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drawings/drawing3.xml" ContentType="application/vnd.openxmlformats-officedocument.drawingml.chartshapes+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4F" w:rsidRPr="004B5371" w:rsidRDefault="0018624F" w:rsidP="00C1098A">
      <w:pPr>
        <w:tabs>
          <w:tab w:val="left" w:pos="2220"/>
        </w:tabs>
        <w:rPr>
          <w:rFonts w:eastAsiaTheme="majorEastAsia" w:cstheme="minorHAnsi"/>
          <w:spacing w:val="5"/>
          <w:kern w:val="28"/>
          <w:sz w:val="52"/>
          <w:szCs w:val="52"/>
        </w:rPr>
      </w:pPr>
      <w:bookmarkStart w:id="0" w:name="_GoBack"/>
      <w:bookmarkEnd w:id="0"/>
    </w:p>
    <w:p w:rsidR="0061220F" w:rsidRDefault="006C31BA" w:rsidP="006C31BA">
      <w:pPr>
        <w:pStyle w:val="Title"/>
        <w:spacing w:before="100" w:beforeAutospacing="1" w:after="120"/>
        <w:rPr>
          <w:rFonts w:asciiTheme="minorHAnsi" w:hAnsiTheme="minorHAnsi" w:cstheme="minorHAnsi"/>
        </w:rPr>
      </w:pPr>
      <w:r w:rsidRPr="00EA4322">
        <w:rPr>
          <w:rFonts w:asciiTheme="minorHAnsi" w:hAnsiTheme="minorHAnsi" w:cstheme="minorHAnsi"/>
        </w:rPr>
        <w:t>Regional Growth Plan</w:t>
      </w:r>
    </w:p>
    <w:p w:rsidR="006C31BA" w:rsidRPr="00EA4322" w:rsidRDefault="0061220F" w:rsidP="006C31BA">
      <w:pPr>
        <w:pStyle w:val="Title"/>
        <w:spacing w:before="100" w:beforeAutospacing="1" w:after="120"/>
        <w:rPr>
          <w:rFonts w:asciiTheme="minorHAnsi" w:hAnsiTheme="minorHAnsi" w:cstheme="minorHAnsi"/>
        </w:rPr>
      </w:pPr>
      <w:r>
        <w:rPr>
          <w:rFonts w:asciiTheme="minorHAnsi" w:hAnsiTheme="minorHAnsi" w:cstheme="minorHAnsi"/>
        </w:rPr>
        <w:t>Background Paper</w:t>
      </w:r>
    </w:p>
    <w:p w:rsidR="006C31BA" w:rsidRDefault="006C31BA" w:rsidP="006C31BA">
      <w:pPr>
        <w:pStyle w:val="Subtitle"/>
        <w:spacing w:before="100" w:beforeAutospacing="1" w:after="120" w:line="240" w:lineRule="auto"/>
        <w:jc w:val="both"/>
        <w:rPr>
          <w:rFonts w:asciiTheme="minorHAnsi" w:hAnsiTheme="minorHAnsi" w:cstheme="minorHAnsi"/>
          <w:b/>
          <w:i w:val="0"/>
          <w:sz w:val="36"/>
          <w:szCs w:val="36"/>
        </w:rPr>
      </w:pPr>
    </w:p>
    <w:p w:rsidR="00683F63" w:rsidRDefault="00683F63" w:rsidP="005D44DB">
      <w:pPr>
        <w:pStyle w:val="bt"/>
        <w:sectPr w:rsidR="00683F63" w:rsidSect="00E731E4">
          <w:headerReference w:type="first" r:id="rId9"/>
          <w:pgSz w:w="11906" w:h="16838"/>
          <w:pgMar w:top="1440" w:right="1440" w:bottom="1440" w:left="1440" w:header="708" w:footer="708" w:gutter="0"/>
          <w:cols w:space="708"/>
          <w:titlePg/>
          <w:docGrid w:linePitch="360"/>
        </w:sectPr>
      </w:pPr>
    </w:p>
    <w:p w:rsidR="000800DD" w:rsidRDefault="000800DD" w:rsidP="005D44DB">
      <w:pPr>
        <w:pStyle w:val="bt"/>
      </w:pPr>
    </w:p>
    <w:p w:rsidR="00203D34" w:rsidRPr="003237BC" w:rsidRDefault="00203D34" w:rsidP="003237BC">
      <w:pPr>
        <w:pStyle w:val="Subtitle"/>
        <w:spacing w:before="0" w:after="0" w:line="240" w:lineRule="auto"/>
        <w:rPr>
          <w:highlight w:val="yellow"/>
        </w:rPr>
        <w:sectPr w:rsidR="00203D34" w:rsidRPr="003237BC" w:rsidSect="00EF09AD">
          <w:headerReference w:type="first" r:id="rId10"/>
          <w:pgSz w:w="11906" w:h="16838"/>
          <w:pgMar w:top="8080" w:right="1440" w:bottom="1440" w:left="1440" w:header="708" w:footer="708" w:gutter="0"/>
          <w:cols w:space="708"/>
          <w:titlePg/>
          <w:docGrid w:linePitch="360"/>
        </w:sectPr>
      </w:pPr>
    </w:p>
    <w:p w:rsidR="00EF09AD" w:rsidRDefault="00EF09AD" w:rsidP="00EF09AD">
      <w:pPr>
        <w:pStyle w:val="bt"/>
      </w:pPr>
      <w:r>
        <w:lastRenderedPageBreak/>
        <w:t>Authorised and published by the Victorian Government, 1 Treasury Place, Melbourne</w:t>
      </w:r>
    </w:p>
    <w:p w:rsidR="00EF09AD" w:rsidRDefault="00EF09AD" w:rsidP="00EF09AD">
      <w:pPr>
        <w:pStyle w:val="bt"/>
      </w:pPr>
      <w:r>
        <w:t>Printed by Finsbury Green, Melbourne</w:t>
      </w:r>
    </w:p>
    <w:p w:rsidR="00EF09AD" w:rsidRPr="00116E6E" w:rsidRDefault="00EF09AD" w:rsidP="00EF09AD">
      <w:pPr>
        <w:pStyle w:val="bt"/>
        <w:rPr>
          <w:sz w:val="28"/>
          <w:szCs w:val="28"/>
        </w:rPr>
      </w:pPr>
      <w:r w:rsidRPr="00116E6E">
        <w:rPr>
          <w:sz w:val="28"/>
          <w:szCs w:val="28"/>
        </w:rPr>
        <w:t>If you would like to receive this publication in an accessible format, please telephone 1300 366 356.</w:t>
      </w:r>
    </w:p>
    <w:p w:rsidR="00EF09AD" w:rsidRDefault="00EF09AD" w:rsidP="00EF09AD">
      <w:pPr>
        <w:pStyle w:val="bt"/>
      </w:pPr>
      <w:r>
        <w:t xml:space="preserve">This document is also available in Word format at </w:t>
      </w:r>
      <w:hyperlink r:id="rId11" w:history="1">
        <w:r>
          <w:rPr>
            <w:color w:val="0000FF"/>
            <w:u w:val="single"/>
          </w:rPr>
          <w:t>www.dtpli.vic.gov.au/regionalgrowthplans</w:t>
        </w:r>
      </w:hyperlink>
    </w:p>
    <w:p w:rsidR="00EF09AD" w:rsidRDefault="00EF09AD" w:rsidP="00EF09AD">
      <w:pPr>
        <w:pStyle w:val="bt"/>
      </w:pPr>
      <w:r>
        <w:t>Unless indicated otherwise, this work is made available under the terms of the Creative Commons Attribution 3.0 Australia licence.</w:t>
      </w:r>
    </w:p>
    <w:p w:rsidR="00EF09AD" w:rsidRDefault="00EF09AD" w:rsidP="00EF09AD">
      <w:pPr>
        <w:pStyle w:val="bt"/>
      </w:pPr>
      <w:r>
        <w:t>To view a copy of the licence, visit creativecommons.org/licences/by/3.0/au</w:t>
      </w:r>
    </w:p>
    <w:p w:rsidR="00EF09AD" w:rsidRDefault="00EF09AD" w:rsidP="00EF09AD">
      <w:pPr>
        <w:pStyle w:val="bt"/>
      </w:pPr>
      <w:r>
        <w:t>It is a condition of this Creative Commons Attribution 3.0 Licence that you must give credit to the original author who is the State of Victoria.</w:t>
      </w:r>
    </w:p>
    <w:p w:rsidR="00EF09AD" w:rsidRDefault="00EF09AD" w:rsidP="00EF09AD">
      <w:pPr>
        <w:pStyle w:val="bt"/>
        <w:rPr>
          <w:b/>
          <w:bCs/>
        </w:rPr>
      </w:pPr>
      <w:r>
        <w:rPr>
          <w:b/>
          <w:bCs/>
        </w:rPr>
        <w:t>Disclaimer</w:t>
      </w:r>
    </w:p>
    <w:p w:rsidR="00EF09AD" w:rsidRDefault="00EF09AD" w:rsidP="00EF09AD">
      <w:pPr>
        <w:pStyle w:val="b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EF09AD" w:rsidRDefault="00EF09AD" w:rsidP="00EF09AD">
      <w:pPr>
        <w:pStyle w:val="bt"/>
        <w:rPr>
          <w:rFonts w:cs="Calibri"/>
          <w:bCs/>
          <w:color w:val="000000" w:themeColor="text1"/>
        </w:rPr>
      </w:pPr>
      <w:r w:rsidRPr="00E4257C">
        <w:rPr>
          <w:b/>
          <w:bCs/>
        </w:rPr>
        <w:t>March 2014</w:t>
      </w:r>
    </w:p>
    <w:p w:rsidR="00683F63" w:rsidRDefault="00683F63" w:rsidP="00675410">
      <w:pPr>
        <w:pStyle w:val="bt"/>
        <w:spacing w:after="360"/>
        <w:rPr>
          <w:rFonts w:cs="Calibri"/>
          <w:bCs/>
          <w:color w:val="000000" w:themeColor="text1"/>
        </w:rPr>
        <w:sectPr w:rsidR="00683F63" w:rsidSect="00EF09AD">
          <w:headerReference w:type="default" r:id="rId12"/>
          <w:footerReference w:type="default" r:id="rId13"/>
          <w:type w:val="continuous"/>
          <w:pgSz w:w="11906" w:h="16838"/>
          <w:pgMar w:top="8364" w:right="1440" w:bottom="993" w:left="1440" w:header="708" w:footer="708" w:gutter="0"/>
          <w:cols w:space="708"/>
          <w:docGrid w:linePitch="360"/>
        </w:sectPr>
      </w:pPr>
    </w:p>
    <w:sdt>
      <w:sdtPr>
        <w:rPr>
          <w:rFonts w:asciiTheme="minorHAnsi" w:eastAsiaTheme="minorEastAsia" w:hAnsiTheme="minorHAnsi" w:cstheme="minorBidi"/>
          <w:b w:val="0"/>
          <w:bCs w:val="0"/>
          <w:color w:val="auto"/>
          <w:sz w:val="20"/>
          <w:szCs w:val="22"/>
          <w:lang w:val="en-AU"/>
        </w:rPr>
        <w:id w:val="9469793"/>
        <w:docPartObj>
          <w:docPartGallery w:val="Table of Contents"/>
          <w:docPartUnique/>
        </w:docPartObj>
      </w:sdtPr>
      <w:sdtEndPr>
        <w:rPr>
          <w:sz w:val="22"/>
        </w:rPr>
      </w:sdtEndPr>
      <w:sdtContent>
        <w:p w:rsidR="00870F37" w:rsidRPr="00BA1934" w:rsidRDefault="00475E42" w:rsidP="000A28F2">
          <w:pPr>
            <w:pStyle w:val="TOCHeading"/>
            <w:spacing w:after="0"/>
          </w:pPr>
          <w:r w:rsidRPr="00BA1934">
            <w:t>Table of c</w:t>
          </w:r>
          <w:r w:rsidR="00870F37" w:rsidRPr="00BA1934">
            <w:t>ontents</w:t>
          </w:r>
        </w:p>
        <w:p w:rsidR="00671E4C" w:rsidRDefault="00AA3D97">
          <w:pPr>
            <w:pStyle w:val="TOC1"/>
            <w:rPr>
              <w:noProof/>
            </w:rPr>
          </w:pPr>
          <w:r>
            <w:fldChar w:fldCharType="begin"/>
          </w:r>
          <w:r w:rsidR="00870F37">
            <w:instrText xml:space="preserve"> TOC \o "1-3" \h \z \u </w:instrText>
          </w:r>
          <w:r>
            <w:fldChar w:fldCharType="separate"/>
          </w:r>
          <w:hyperlink w:anchor="_Toc374612434" w:history="1">
            <w:r w:rsidR="00671E4C" w:rsidRPr="00AF65D3">
              <w:rPr>
                <w:rStyle w:val="Hyperlink"/>
                <w:noProof/>
              </w:rPr>
              <w:t>PART A:</w:t>
            </w:r>
            <w:r w:rsidR="00671E4C">
              <w:rPr>
                <w:noProof/>
              </w:rPr>
              <w:tab/>
            </w:r>
            <w:r w:rsidR="00671E4C" w:rsidRPr="00AF65D3">
              <w:rPr>
                <w:rStyle w:val="Hyperlink"/>
                <w:noProof/>
              </w:rPr>
              <w:t>INTRODUCTION</w:t>
            </w:r>
            <w:r w:rsidR="00671E4C">
              <w:rPr>
                <w:noProof/>
                <w:webHidden/>
              </w:rPr>
              <w:tab/>
            </w:r>
            <w:r>
              <w:rPr>
                <w:noProof/>
                <w:webHidden/>
              </w:rPr>
              <w:fldChar w:fldCharType="begin"/>
            </w:r>
            <w:r w:rsidR="00671E4C">
              <w:rPr>
                <w:noProof/>
                <w:webHidden/>
              </w:rPr>
              <w:instrText xml:space="preserve"> PAGEREF _Toc374612434 \h </w:instrText>
            </w:r>
            <w:r>
              <w:rPr>
                <w:noProof/>
                <w:webHidden/>
              </w:rPr>
            </w:r>
            <w:r>
              <w:rPr>
                <w:noProof/>
                <w:webHidden/>
              </w:rPr>
              <w:fldChar w:fldCharType="separate"/>
            </w:r>
            <w:r w:rsidR="008F6CDA">
              <w:rPr>
                <w:noProof/>
                <w:webHidden/>
              </w:rPr>
              <w:t>1</w:t>
            </w:r>
            <w:r>
              <w:rPr>
                <w:noProof/>
                <w:webHidden/>
              </w:rPr>
              <w:fldChar w:fldCharType="end"/>
            </w:r>
          </w:hyperlink>
        </w:p>
        <w:p w:rsidR="00671E4C" w:rsidRDefault="00827E2D">
          <w:pPr>
            <w:pStyle w:val="TOC1"/>
            <w:rPr>
              <w:noProof/>
            </w:rPr>
          </w:pPr>
          <w:hyperlink w:anchor="_Toc374612435" w:history="1">
            <w:r w:rsidR="00671E4C" w:rsidRPr="00AF65D3">
              <w:rPr>
                <w:rStyle w:val="Hyperlink"/>
                <w:noProof/>
              </w:rPr>
              <w:t>1.</w:t>
            </w:r>
            <w:r w:rsidR="00671E4C">
              <w:rPr>
                <w:noProof/>
              </w:rPr>
              <w:tab/>
            </w:r>
            <w:r w:rsidR="00671E4C" w:rsidRPr="00AF65D3">
              <w:rPr>
                <w:rStyle w:val="Hyperlink"/>
                <w:noProof/>
              </w:rPr>
              <w:t>Regional Growth Plans</w:t>
            </w:r>
            <w:r w:rsidR="00671E4C">
              <w:rPr>
                <w:noProof/>
                <w:webHidden/>
              </w:rPr>
              <w:tab/>
            </w:r>
            <w:r w:rsidR="00AA3D97">
              <w:rPr>
                <w:noProof/>
                <w:webHidden/>
              </w:rPr>
              <w:fldChar w:fldCharType="begin"/>
            </w:r>
            <w:r w:rsidR="00671E4C">
              <w:rPr>
                <w:noProof/>
                <w:webHidden/>
              </w:rPr>
              <w:instrText xml:space="preserve"> PAGEREF _Toc374612435 \h </w:instrText>
            </w:r>
            <w:r w:rsidR="00AA3D97">
              <w:rPr>
                <w:noProof/>
                <w:webHidden/>
              </w:rPr>
            </w:r>
            <w:r w:rsidR="00AA3D97">
              <w:rPr>
                <w:noProof/>
                <w:webHidden/>
              </w:rPr>
              <w:fldChar w:fldCharType="separate"/>
            </w:r>
            <w:r w:rsidR="008F6CDA">
              <w:rPr>
                <w:noProof/>
                <w:webHidden/>
              </w:rPr>
              <w:t>1</w:t>
            </w:r>
            <w:r w:rsidR="00AA3D97">
              <w:rPr>
                <w:noProof/>
                <w:webHidden/>
              </w:rPr>
              <w:fldChar w:fldCharType="end"/>
            </w:r>
          </w:hyperlink>
        </w:p>
        <w:p w:rsidR="00671E4C" w:rsidRDefault="00827E2D">
          <w:pPr>
            <w:pStyle w:val="TOC1"/>
            <w:rPr>
              <w:noProof/>
            </w:rPr>
          </w:pPr>
          <w:hyperlink w:anchor="_Toc374612436" w:history="1">
            <w:r w:rsidR="00671E4C" w:rsidRPr="00AF65D3">
              <w:rPr>
                <w:rStyle w:val="Hyperlink"/>
                <w:noProof/>
              </w:rPr>
              <w:t>2.</w:t>
            </w:r>
            <w:r w:rsidR="00671E4C">
              <w:rPr>
                <w:noProof/>
              </w:rPr>
              <w:tab/>
            </w:r>
            <w:r w:rsidR="00671E4C" w:rsidRPr="00AF65D3">
              <w:rPr>
                <w:rStyle w:val="Hyperlink"/>
                <w:noProof/>
              </w:rPr>
              <w:t>Role of the background paper</w:t>
            </w:r>
            <w:r w:rsidR="00671E4C">
              <w:rPr>
                <w:noProof/>
                <w:webHidden/>
              </w:rPr>
              <w:tab/>
            </w:r>
            <w:r w:rsidR="00AA3D97">
              <w:rPr>
                <w:noProof/>
                <w:webHidden/>
              </w:rPr>
              <w:fldChar w:fldCharType="begin"/>
            </w:r>
            <w:r w:rsidR="00671E4C">
              <w:rPr>
                <w:noProof/>
                <w:webHidden/>
              </w:rPr>
              <w:instrText xml:space="preserve"> PAGEREF _Toc374612436 \h </w:instrText>
            </w:r>
            <w:r w:rsidR="00AA3D97">
              <w:rPr>
                <w:noProof/>
                <w:webHidden/>
              </w:rPr>
            </w:r>
            <w:r w:rsidR="00AA3D97">
              <w:rPr>
                <w:noProof/>
                <w:webHidden/>
              </w:rPr>
              <w:fldChar w:fldCharType="separate"/>
            </w:r>
            <w:r w:rsidR="008F6CDA">
              <w:rPr>
                <w:noProof/>
                <w:webHidden/>
              </w:rPr>
              <w:t>2</w:t>
            </w:r>
            <w:r w:rsidR="00AA3D97">
              <w:rPr>
                <w:noProof/>
                <w:webHidden/>
              </w:rPr>
              <w:fldChar w:fldCharType="end"/>
            </w:r>
          </w:hyperlink>
        </w:p>
        <w:p w:rsidR="00671E4C" w:rsidRDefault="00827E2D">
          <w:pPr>
            <w:pStyle w:val="TOC1"/>
            <w:rPr>
              <w:noProof/>
            </w:rPr>
          </w:pPr>
          <w:hyperlink w:anchor="_Toc374612437" w:history="1">
            <w:r w:rsidR="00671E4C" w:rsidRPr="00AF65D3">
              <w:rPr>
                <w:rStyle w:val="Hyperlink"/>
                <w:noProof/>
              </w:rPr>
              <w:t>3.</w:t>
            </w:r>
            <w:r w:rsidR="00671E4C">
              <w:rPr>
                <w:noProof/>
              </w:rPr>
              <w:tab/>
            </w:r>
            <w:r w:rsidR="00671E4C" w:rsidRPr="00AF65D3">
              <w:rPr>
                <w:rStyle w:val="Hyperlink"/>
                <w:noProof/>
              </w:rPr>
              <w:t>Project governance and stakeholder engagement</w:t>
            </w:r>
            <w:r w:rsidR="00671E4C">
              <w:rPr>
                <w:noProof/>
                <w:webHidden/>
              </w:rPr>
              <w:tab/>
            </w:r>
            <w:r w:rsidR="00AA3D97">
              <w:rPr>
                <w:noProof/>
                <w:webHidden/>
              </w:rPr>
              <w:fldChar w:fldCharType="begin"/>
            </w:r>
            <w:r w:rsidR="00671E4C">
              <w:rPr>
                <w:noProof/>
                <w:webHidden/>
              </w:rPr>
              <w:instrText xml:space="preserve"> PAGEREF _Toc374612437 \h </w:instrText>
            </w:r>
            <w:r w:rsidR="00AA3D97">
              <w:rPr>
                <w:noProof/>
                <w:webHidden/>
              </w:rPr>
            </w:r>
            <w:r w:rsidR="00AA3D97">
              <w:rPr>
                <w:noProof/>
                <w:webHidden/>
              </w:rPr>
              <w:fldChar w:fldCharType="separate"/>
            </w:r>
            <w:r w:rsidR="008F6CDA">
              <w:rPr>
                <w:noProof/>
                <w:webHidden/>
              </w:rPr>
              <w:t>3</w:t>
            </w:r>
            <w:r w:rsidR="00AA3D97">
              <w:rPr>
                <w:noProof/>
                <w:webHidden/>
              </w:rPr>
              <w:fldChar w:fldCharType="end"/>
            </w:r>
          </w:hyperlink>
        </w:p>
        <w:p w:rsidR="00671E4C" w:rsidRDefault="00827E2D">
          <w:pPr>
            <w:pStyle w:val="TOC1"/>
            <w:rPr>
              <w:noProof/>
            </w:rPr>
          </w:pPr>
          <w:hyperlink w:anchor="_Toc374612438" w:history="1">
            <w:r w:rsidR="00671E4C" w:rsidRPr="00AF65D3">
              <w:rPr>
                <w:rStyle w:val="Hyperlink"/>
                <w:noProof/>
              </w:rPr>
              <w:t>PART B:</w:t>
            </w:r>
            <w:r w:rsidR="00671E4C">
              <w:rPr>
                <w:noProof/>
              </w:rPr>
              <w:tab/>
            </w:r>
            <w:r w:rsidR="00671E4C" w:rsidRPr="00AF65D3">
              <w:rPr>
                <w:rStyle w:val="Hyperlink"/>
                <w:noProof/>
              </w:rPr>
              <w:t>CONTEXT</w:t>
            </w:r>
            <w:r w:rsidR="00671E4C">
              <w:rPr>
                <w:noProof/>
                <w:webHidden/>
              </w:rPr>
              <w:tab/>
            </w:r>
            <w:r w:rsidR="00AA3D97">
              <w:rPr>
                <w:noProof/>
                <w:webHidden/>
              </w:rPr>
              <w:fldChar w:fldCharType="begin"/>
            </w:r>
            <w:r w:rsidR="00671E4C">
              <w:rPr>
                <w:noProof/>
                <w:webHidden/>
              </w:rPr>
              <w:instrText xml:space="preserve"> PAGEREF _Toc374612438 \h </w:instrText>
            </w:r>
            <w:r w:rsidR="00AA3D97">
              <w:rPr>
                <w:noProof/>
                <w:webHidden/>
              </w:rPr>
            </w:r>
            <w:r w:rsidR="00AA3D97">
              <w:rPr>
                <w:noProof/>
                <w:webHidden/>
              </w:rPr>
              <w:fldChar w:fldCharType="separate"/>
            </w:r>
            <w:r w:rsidR="008F6CDA">
              <w:rPr>
                <w:noProof/>
                <w:webHidden/>
              </w:rPr>
              <w:t>4</w:t>
            </w:r>
            <w:r w:rsidR="00AA3D97">
              <w:rPr>
                <w:noProof/>
                <w:webHidden/>
              </w:rPr>
              <w:fldChar w:fldCharType="end"/>
            </w:r>
          </w:hyperlink>
        </w:p>
        <w:p w:rsidR="00671E4C" w:rsidRDefault="00827E2D">
          <w:pPr>
            <w:pStyle w:val="TOC1"/>
            <w:rPr>
              <w:noProof/>
            </w:rPr>
          </w:pPr>
          <w:hyperlink w:anchor="_Toc374612439" w:history="1">
            <w:r w:rsidR="00671E4C" w:rsidRPr="00AF65D3">
              <w:rPr>
                <w:rStyle w:val="Hyperlink"/>
                <w:noProof/>
              </w:rPr>
              <w:t>4.</w:t>
            </w:r>
            <w:r w:rsidR="00671E4C">
              <w:rPr>
                <w:noProof/>
              </w:rPr>
              <w:tab/>
            </w:r>
            <w:r w:rsidR="00671E4C" w:rsidRPr="00AF65D3">
              <w:rPr>
                <w:rStyle w:val="Hyperlink"/>
                <w:noProof/>
              </w:rPr>
              <w:t>Overview</w:t>
            </w:r>
            <w:r w:rsidR="00671E4C">
              <w:rPr>
                <w:noProof/>
                <w:webHidden/>
              </w:rPr>
              <w:tab/>
            </w:r>
            <w:r w:rsidR="00671E4C">
              <w:rPr>
                <w:noProof/>
                <w:webHidden/>
              </w:rPr>
              <w:tab/>
            </w:r>
            <w:r w:rsidR="00AA3D97">
              <w:rPr>
                <w:noProof/>
                <w:webHidden/>
              </w:rPr>
              <w:fldChar w:fldCharType="begin"/>
            </w:r>
            <w:r w:rsidR="00671E4C">
              <w:rPr>
                <w:noProof/>
                <w:webHidden/>
              </w:rPr>
              <w:instrText xml:space="preserve"> PAGEREF _Toc374612439 \h </w:instrText>
            </w:r>
            <w:r w:rsidR="00AA3D97">
              <w:rPr>
                <w:noProof/>
                <w:webHidden/>
              </w:rPr>
            </w:r>
            <w:r w:rsidR="00AA3D97">
              <w:rPr>
                <w:noProof/>
                <w:webHidden/>
              </w:rPr>
              <w:fldChar w:fldCharType="separate"/>
            </w:r>
            <w:r w:rsidR="008F6CDA">
              <w:rPr>
                <w:noProof/>
                <w:webHidden/>
              </w:rPr>
              <w:t>4</w:t>
            </w:r>
            <w:r w:rsidR="00AA3D97">
              <w:rPr>
                <w:noProof/>
                <w:webHidden/>
              </w:rPr>
              <w:fldChar w:fldCharType="end"/>
            </w:r>
          </w:hyperlink>
        </w:p>
        <w:p w:rsidR="00671E4C" w:rsidRDefault="00827E2D">
          <w:pPr>
            <w:pStyle w:val="TOC2"/>
            <w:rPr>
              <w:noProof/>
              <w:sz w:val="22"/>
            </w:rPr>
          </w:pPr>
          <w:hyperlink w:anchor="_Toc374612440" w:history="1">
            <w:r w:rsidR="00671E4C" w:rsidRPr="00AF65D3">
              <w:rPr>
                <w:rStyle w:val="Hyperlink"/>
                <w:noProof/>
              </w:rPr>
              <w:t>4.1</w:t>
            </w:r>
            <w:r w:rsidR="00671E4C">
              <w:rPr>
                <w:noProof/>
                <w:sz w:val="22"/>
              </w:rPr>
              <w:tab/>
            </w:r>
            <w:r w:rsidR="00671E4C" w:rsidRPr="00AF65D3">
              <w:rPr>
                <w:rStyle w:val="Hyperlink"/>
                <w:noProof/>
              </w:rPr>
              <w:t>Demographics and community</w:t>
            </w:r>
            <w:r w:rsidR="00671E4C">
              <w:rPr>
                <w:noProof/>
                <w:webHidden/>
              </w:rPr>
              <w:tab/>
            </w:r>
            <w:r w:rsidR="00AA3D97">
              <w:rPr>
                <w:noProof/>
                <w:webHidden/>
              </w:rPr>
              <w:fldChar w:fldCharType="begin"/>
            </w:r>
            <w:r w:rsidR="00671E4C">
              <w:rPr>
                <w:noProof/>
                <w:webHidden/>
              </w:rPr>
              <w:instrText xml:space="preserve"> PAGEREF _Toc374612440 \h </w:instrText>
            </w:r>
            <w:r w:rsidR="00AA3D97">
              <w:rPr>
                <w:noProof/>
                <w:webHidden/>
              </w:rPr>
            </w:r>
            <w:r w:rsidR="00AA3D97">
              <w:rPr>
                <w:noProof/>
                <w:webHidden/>
              </w:rPr>
              <w:fldChar w:fldCharType="separate"/>
            </w:r>
            <w:r w:rsidR="008F6CDA">
              <w:rPr>
                <w:noProof/>
                <w:webHidden/>
              </w:rPr>
              <w:t>5</w:t>
            </w:r>
            <w:r w:rsidR="00AA3D97">
              <w:rPr>
                <w:noProof/>
                <w:webHidden/>
              </w:rPr>
              <w:fldChar w:fldCharType="end"/>
            </w:r>
          </w:hyperlink>
        </w:p>
        <w:p w:rsidR="00671E4C" w:rsidRDefault="00827E2D">
          <w:pPr>
            <w:pStyle w:val="TOC2"/>
            <w:rPr>
              <w:noProof/>
              <w:sz w:val="22"/>
            </w:rPr>
          </w:pPr>
          <w:hyperlink w:anchor="_Toc374612441" w:history="1">
            <w:r w:rsidR="00671E4C" w:rsidRPr="00AF65D3">
              <w:rPr>
                <w:rStyle w:val="Hyperlink"/>
                <w:noProof/>
              </w:rPr>
              <w:t>4.2</w:t>
            </w:r>
            <w:r w:rsidR="00671E4C">
              <w:rPr>
                <w:noProof/>
                <w:sz w:val="22"/>
              </w:rPr>
              <w:tab/>
            </w:r>
            <w:r w:rsidR="00671E4C" w:rsidRPr="00AF65D3">
              <w:rPr>
                <w:rStyle w:val="Hyperlink"/>
                <w:noProof/>
              </w:rPr>
              <w:t>Settlement and rural land use</w:t>
            </w:r>
            <w:r w:rsidR="00671E4C">
              <w:rPr>
                <w:noProof/>
                <w:webHidden/>
              </w:rPr>
              <w:tab/>
            </w:r>
            <w:r w:rsidR="00AA3D97">
              <w:rPr>
                <w:noProof/>
                <w:webHidden/>
              </w:rPr>
              <w:fldChar w:fldCharType="begin"/>
            </w:r>
            <w:r w:rsidR="00671E4C">
              <w:rPr>
                <w:noProof/>
                <w:webHidden/>
              </w:rPr>
              <w:instrText xml:space="preserve"> PAGEREF _Toc374612441 \h </w:instrText>
            </w:r>
            <w:r w:rsidR="00AA3D97">
              <w:rPr>
                <w:noProof/>
                <w:webHidden/>
              </w:rPr>
            </w:r>
            <w:r w:rsidR="00AA3D97">
              <w:rPr>
                <w:noProof/>
                <w:webHidden/>
              </w:rPr>
              <w:fldChar w:fldCharType="separate"/>
            </w:r>
            <w:r w:rsidR="008F6CDA">
              <w:rPr>
                <w:noProof/>
                <w:webHidden/>
              </w:rPr>
              <w:t>10</w:t>
            </w:r>
            <w:r w:rsidR="00AA3D97">
              <w:rPr>
                <w:noProof/>
                <w:webHidden/>
              </w:rPr>
              <w:fldChar w:fldCharType="end"/>
            </w:r>
          </w:hyperlink>
        </w:p>
        <w:p w:rsidR="00671E4C" w:rsidRDefault="00827E2D">
          <w:pPr>
            <w:pStyle w:val="TOC2"/>
            <w:rPr>
              <w:noProof/>
              <w:sz w:val="22"/>
            </w:rPr>
          </w:pPr>
          <w:hyperlink w:anchor="_Toc374612442" w:history="1">
            <w:r w:rsidR="00671E4C" w:rsidRPr="00AF65D3">
              <w:rPr>
                <w:rStyle w:val="Hyperlink"/>
                <w:noProof/>
              </w:rPr>
              <w:t>4.3</w:t>
            </w:r>
            <w:r w:rsidR="00671E4C">
              <w:rPr>
                <w:noProof/>
                <w:sz w:val="22"/>
              </w:rPr>
              <w:tab/>
            </w:r>
            <w:r w:rsidR="00671E4C" w:rsidRPr="00AF65D3">
              <w:rPr>
                <w:rStyle w:val="Hyperlink"/>
                <w:noProof/>
              </w:rPr>
              <w:t>Transport and infrastructure</w:t>
            </w:r>
            <w:r w:rsidR="00671E4C">
              <w:rPr>
                <w:noProof/>
                <w:webHidden/>
              </w:rPr>
              <w:tab/>
            </w:r>
            <w:r w:rsidR="00AA3D97">
              <w:rPr>
                <w:noProof/>
                <w:webHidden/>
              </w:rPr>
              <w:fldChar w:fldCharType="begin"/>
            </w:r>
            <w:r w:rsidR="00671E4C">
              <w:rPr>
                <w:noProof/>
                <w:webHidden/>
              </w:rPr>
              <w:instrText xml:space="preserve"> PAGEREF _Toc374612442 \h </w:instrText>
            </w:r>
            <w:r w:rsidR="00AA3D97">
              <w:rPr>
                <w:noProof/>
                <w:webHidden/>
              </w:rPr>
            </w:r>
            <w:r w:rsidR="00AA3D97">
              <w:rPr>
                <w:noProof/>
                <w:webHidden/>
              </w:rPr>
              <w:fldChar w:fldCharType="separate"/>
            </w:r>
            <w:r w:rsidR="008F6CDA">
              <w:rPr>
                <w:noProof/>
                <w:webHidden/>
              </w:rPr>
              <w:t>10</w:t>
            </w:r>
            <w:r w:rsidR="00AA3D97">
              <w:rPr>
                <w:noProof/>
                <w:webHidden/>
              </w:rPr>
              <w:fldChar w:fldCharType="end"/>
            </w:r>
          </w:hyperlink>
        </w:p>
        <w:p w:rsidR="00671E4C" w:rsidRDefault="00827E2D">
          <w:pPr>
            <w:pStyle w:val="TOC2"/>
            <w:rPr>
              <w:noProof/>
              <w:sz w:val="22"/>
            </w:rPr>
          </w:pPr>
          <w:hyperlink w:anchor="_Toc374612443" w:history="1">
            <w:r w:rsidR="00671E4C" w:rsidRPr="00AF65D3">
              <w:rPr>
                <w:rStyle w:val="Hyperlink"/>
                <w:noProof/>
              </w:rPr>
              <w:t>4.4</w:t>
            </w:r>
            <w:r w:rsidR="00671E4C">
              <w:rPr>
                <w:noProof/>
                <w:sz w:val="22"/>
              </w:rPr>
              <w:tab/>
            </w:r>
            <w:r w:rsidR="00671E4C" w:rsidRPr="00AF65D3">
              <w:rPr>
                <w:rStyle w:val="Hyperlink"/>
                <w:noProof/>
              </w:rPr>
              <w:t>Environment</w:t>
            </w:r>
            <w:r w:rsidR="00671E4C">
              <w:rPr>
                <w:noProof/>
                <w:webHidden/>
              </w:rPr>
              <w:tab/>
            </w:r>
            <w:r w:rsidR="00AA3D97">
              <w:rPr>
                <w:noProof/>
                <w:webHidden/>
              </w:rPr>
              <w:fldChar w:fldCharType="begin"/>
            </w:r>
            <w:r w:rsidR="00671E4C">
              <w:rPr>
                <w:noProof/>
                <w:webHidden/>
              </w:rPr>
              <w:instrText xml:space="preserve"> PAGEREF _Toc374612443 \h </w:instrText>
            </w:r>
            <w:r w:rsidR="00AA3D97">
              <w:rPr>
                <w:noProof/>
                <w:webHidden/>
              </w:rPr>
            </w:r>
            <w:r w:rsidR="00AA3D97">
              <w:rPr>
                <w:noProof/>
                <w:webHidden/>
              </w:rPr>
              <w:fldChar w:fldCharType="separate"/>
            </w:r>
            <w:r w:rsidR="008F6CDA">
              <w:rPr>
                <w:noProof/>
                <w:webHidden/>
              </w:rPr>
              <w:t>13</w:t>
            </w:r>
            <w:r w:rsidR="00AA3D97">
              <w:rPr>
                <w:noProof/>
                <w:webHidden/>
              </w:rPr>
              <w:fldChar w:fldCharType="end"/>
            </w:r>
          </w:hyperlink>
        </w:p>
        <w:p w:rsidR="00671E4C" w:rsidRDefault="00827E2D">
          <w:pPr>
            <w:pStyle w:val="TOC2"/>
            <w:rPr>
              <w:noProof/>
              <w:sz w:val="22"/>
            </w:rPr>
          </w:pPr>
          <w:hyperlink w:anchor="_Toc374612444" w:history="1">
            <w:r w:rsidR="00671E4C" w:rsidRPr="00AF65D3">
              <w:rPr>
                <w:rStyle w:val="Hyperlink"/>
                <w:noProof/>
              </w:rPr>
              <w:t>4.5</w:t>
            </w:r>
            <w:r w:rsidR="00671E4C">
              <w:rPr>
                <w:noProof/>
                <w:sz w:val="22"/>
              </w:rPr>
              <w:tab/>
            </w:r>
            <w:r w:rsidR="00671E4C" w:rsidRPr="00AF65D3">
              <w:rPr>
                <w:rStyle w:val="Hyperlink"/>
                <w:noProof/>
              </w:rPr>
              <w:t>The economy</w:t>
            </w:r>
            <w:r w:rsidR="00671E4C">
              <w:rPr>
                <w:noProof/>
                <w:webHidden/>
              </w:rPr>
              <w:tab/>
            </w:r>
            <w:r w:rsidR="00AA3D97">
              <w:rPr>
                <w:noProof/>
                <w:webHidden/>
              </w:rPr>
              <w:fldChar w:fldCharType="begin"/>
            </w:r>
            <w:r w:rsidR="00671E4C">
              <w:rPr>
                <w:noProof/>
                <w:webHidden/>
              </w:rPr>
              <w:instrText xml:space="preserve"> PAGEREF _Toc374612444 \h </w:instrText>
            </w:r>
            <w:r w:rsidR="00AA3D97">
              <w:rPr>
                <w:noProof/>
                <w:webHidden/>
              </w:rPr>
            </w:r>
            <w:r w:rsidR="00AA3D97">
              <w:rPr>
                <w:noProof/>
                <w:webHidden/>
              </w:rPr>
              <w:fldChar w:fldCharType="separate"/>
            </w:r>
            <w:r w:rsidR="008F6CDA">
              <w:rPr>
                <w:noProof/>
                <w:webHidden/>
              </w:rPr>
              <w:t>13</w:t>
            </w:r>
            <w:r w:rsidR="00AA3D97">
              <w:rPr>
                <w:noProof/>
                <w:webHidden/>
              </w:rPr>
              <w:fldChar w:fldCharType="end"/>
            </w:r>
          </w:hyperlink>
        </w:p>
        <w:p w:rsidR="00671E4C" w:rsidRDefault="00827E2D">
          <w:pPr>
            <w:pStyle w:val="TOC1"/>
            <w:rPr>
              <w:noProof/>
            </w:rPr>
          </w:pPr>
          <w:hyperlink w:anchor="_Toc374612445" w:history="1">
            <w:r w:rsidR="00671E4C" w:rsidRPr="00AF65D3">
              <w:rPr>
                <w:rStyle w:val="Hyperlink"/>
                <w:noProof/>
              </w:rPr>
              <w:t>5.</w:t>
            </w:r>
            <w:r w:rsidR="00671E4C">
              <w:rPr>
                <w:noProof/>
              </w:rPr>
              <w:tab/>
            </w:r>
            <w:r w:rsidR="00671E4C" w:rsidRPr="00AF65D3">
              <w:rPr>
                <w:rStyle w:val="Hyperlink"/>
                <w:noProof/>
              </w:rPr>
              <w:t>Strategic assets</w:t>
            </w:r>
            <w:r w:rsidR="00671E4C">
              <w:rPr>
                <w:noProof/>
                <w:webHidden/>
              </w:rPr>
              <w:tab/>
            </w:r>
            <w:r w:rsidR="00AA3D97">
              <w:rPr>
                <w:noProof/>
                <w:webHidden/>
              </w:rPr>
              <w:fldChar w:fldCharType="begin"/>
            </w:r>
            <w:r w:rsidR="00671E4C">
              <w:rPr>
                <w:noProof/>
                <w:webHidden/>
              </w:rPr>
              <w:instrText xml:space="preserve"> PAGEREF _Toc374612445 \h </w:instrText>
            </w:r>
            <w:r w:rsidR="00AA3D97">
              <w:rPr>
                <w:noProof/>
                <w:webHidden/>
              </w:rPr>
            </w:r>
            <w:r w:rsidR="00AA3D97">
              <w:rPr>
                <w:noProof/>
                <w:webHidden/>
              </w:rPr>
              <w:fldChar w:fldCharType="separate"/>
            </w:r>
            <w:r w:rsidR="008F6CDA">
              <w:rPr>
                <w:noProof/>
                <w:webHidden/>
              </w:rPr>
              <w:t>15</w:t>
            </w:r>
            <w:r w:rsidR="00AA3D97">
              <w:rPr>
                <w:noProof/>
                <w:webHidden/>
              </w:rPr>
              <w:fldChar w:fldCharType="end"/>
            </w:r>
          </w:hyperlink>
        </w:p>
        <w:p w:rsidR="00671E4C" w:rsidRDefault="00827E2D">
          <w:pPr>
            <w:pStyle w:val="TOC1"/>
            <w:rPr>
              <w:noProof/>
            </w:rPr>
          </w:pPr>
          <w:hyperlink w:anchor="_Toc374612446" w:history="1">
            <w:r w:rsidR="00671E4C" w:rsidRPr="00AF65D3">
              <w:rPr>
                <w:rStyle w:val="Hyperlink"/>
                <w:noProof/>
              </w:rPr>
              <w:t>6.</w:t>
            </w:r>
            <w:r w:rsidR="00671E4C">
              <w:rPr>
                <w:noProof/>
              </w:rPr>
              <w:tab/>
            </w:r>
            <w:r w:rsidR="00671E4C" w:rsidRPr="00AF65D3">
              <w:rPr>
                <w:rStyle w:val="Hyperlink"/>
                <w:noProof/>
              </w:rPr>
              <w:t>Growth and change</w:t>
            </w:r>
            <w:r w:rsidR="00671E4C">
              <w:rPr>
                <w:noProof/>
                <w:webHidden/>
              </w:rPr>
              <w:tab/>
            </w:r>
            <w:r w:rsidR="00AA3D97">
              <w:rPr>
                <w:noProof/>
                <w:webHidden/>
              </w:rPr>
              <w:fldChar w:fldCharType="begin"/>
            </w:r>
            <w:r w:rsidR="00671E4C">
              <w:rPr>
                <w:noProof/>
                <w:webHidden/>
              </w:rPr>
              <w:instrText xml:space="preserve"> PAGEREF _Toc374612446 \h </w:instrText>
            </w:r>
            <w:r w:rsidR="00AA3D97">
              <w:rPr>
                <w:noProof/>
                <w:webHidden/>
              </w:rPr>
            </w:r>
            <w:r w:rsidR="00AA3D97">
              <w:rPr>
                <w:noProof/>
                <w:webHidden/>
              </w:rPr>
              <w:fldChar w:fldCharType="separate"/>
            </w:r>
            <w:r w:rsidR="008F6CDA">
              <w:rPr>
                <w:noProof/>
                <w:webHidden/>
              </w:rPr>
              <w:t>16</w:t>
            </w:r>
            <w:r w:rsidR="00AA3D97">
              <w:rPr>
                <w:noProof/>
                <w:webHidden/>
              </w:rPr>
              <w:fldChar w:fldCharType="end"/>
            </w:r>
          </w:hyperlink>
        </w:p>
        <w:p w:rsidR="00671E4C" w:rsidRDefault="00827E2D">
          <w:pPr>
            <w:pStyle w:val="TOC2"/>
            <w:rPr>
              <w:noProof/>
              <w:sz w:val="22"/>
            </w:rPr>
          </w:pPr>
          <w:hyperlink w:anchor="_Toc374612447" w:history="1">
            <w:r w:rsidR="00671E4C" w:rsidRPr="00AF65D3">
              <w:rPr>
                <w:rStyle w:val="Hyperlink"/>
                <w:noProof/>
              </w:rPr>
              <w:t>6.1</w:t>
            </w:r>
            <w:r w:rsidR="00671E4C">
              <w:rPr>
                <w:noProof/>
                <w:sz w:val="22"/>
              </w:rPr>
              <w:tab/>
            </w:r>
            <w:r w:rsidR="00671E4C" w:rsidRPr="00AF65D3">
              <w:rPr>
                <w:rStyle w:val="Hyperlink"/>
                <w:noProof/>
              </w:rPr>
              <w:t>Population growth and demographic change</w:t>
            </w:r>
            <w:r w:rsidR="00671E4C">
              <w:rPr>
                <w:noProof/>
                <w:webHidden/>
              </w:rPr>
              <w:tab/>
            </w:r>
            <w:r w:rsidR="00AA3D97">
              <w:rPr>
                <w:noProof/>
                <w:webHidden/>
              </w:rPr>
              <w:fldChar w:fldCharType="begin"/>
            </w:r>
            <w:r w:rsidR="00671E4C">
              <w:rPr>
                <w:noProof/>
                <w:webHidden/>
              </w:rPr>
              <w:instrText xml:space="preserve"> PAGEREF _Toc374612447 \h </w:instrText>
            </w:r>
            <w:r w:rsidR="00AA3D97">
              <w:rPr>
                <w:noProof/>
                <w:webHidden/>
              </w:rPr>
            </w:r>
            <w:r w:rsidR="00AA3D97">
              <w:rPr>
                <w:noProof/>
                <w:webHidden/>
              </w:rPr>
              <w:fldChar w:fldCharType="separate"/>
            </w:r>
            <w:r w:rsidR="008F6CDA">
              <w:rPr>
                <w:noProof/>
                <w:webHidden/>
              </w:rPr>
              <w:t>16</w:t>
            </w:r>
            <w:r w:rsidR="00AA3D97">
              <w:rPr>
                <w:noProof/>
                <w:webHidden/>
              </w:rPr>
              <w:fldChar w:fldCharType="end"/>
            </w:r>
          </w:hyperlink>
        </w:p>
        <w:p w:rsidR="00671E4C" w:rsidRDefault="00827E2D">
          <w:pPr>
            <w:pStyle w:val="TOC2"/>
            <w:rPr>
              <w:noProof/>
              <w:sz w:val="22"/>
            </w:rPr>
          </w:pPr>
          <w:hyperlink w:anchor="_Toc374612448" w:history="1">
            <w:r w:rsidR="00671E4C" w:rsidRPr="00AF65D3">
              <w:rPr>
                <w:rStyle w:val="Hyperlink"/>
                <w:noProof/>
              </w:rPr>
              <w:t>6.2</w:t>
            </w:r>
            <w:r w:rsidR="00671E4C">
              <w:rPr>
                <w:noProof/>
                <w:sz w:val="22"/>
              </w:rPr>
              <w:tab/>
            </w:r>
            <w:r w:rsidR="00671E4C" w:rsidRPr="00AF65D3">
              <w:rPr>
                <w:rStyle w:val="Hyperlink"/>
                <w:noProof/>
              </w:rPr>
              <w:t>Housing</w:t>
            </w:r>
            <w:r w:rsidR="00671E4C">
              <w:rPr>
                <w:noProof/>
                <w:webHidden/>
              </w:rPr>
              <w:tab/>
            </w:r>
            <w:r w:rsidR="00AA3D97">
              <w:rPr>
                <w:noProof/>
                <w:webHidden/>
              </w:rPr>
              <w:fldChar w:fldCharType="begin"/>
            </w:r>
            <w:r w:rsidR="00671E4C">
              <w:rPr>
                <w:noProof/>
                <w:webHidden/>
              </w:rPr>
              <w:instrText xml:space="preserve"> PAGEREF _Toc374612448 \h </w:instrText>
            </w:r>
            <w:r w:rsidR="00AA3D97">
              <w:rPr>
                <w:noProof/>
                <w:webHidden/>
              </w:rPr>
            </w:r>
            <w:r w:rsidR="00AA3D97">
              <w:rPr>
                <w:noProof/>
                <w:webHidden/>
              </w:rPr>
              <w:fldChar w:fldCharType="separate"/>
            </w:r>
            <w:r w:rsidR="008F6CDA">
              <w:rPr>
                <w:noProof/>
                <w:webHidden/>
              </w:rPr>
              <w:t>22</w:t>
            </w:r>
            <w:r w:rsidR="00AA3D97">
              <w:rPr>
                <w:noProof/>
                <w:webHidden/>
              </w:rPr>
              <w:fldChar w:fldCharType="end"/>
            </w:r>
          </w:hyperlink>
        </w:p>
        <w:p w:rsidR="00671E4C" w:rsidRDefault="00827E2D">
          <w:pPr>
            <w:pStyle w:val="TOC2"/>
            <w:rPr>
              <w:noProof/>
              <w:sz w:val="22"/>
            </w:rPr>
          </w:pPr>
          <w:hyperlink w:anchor="_Toc374612449" w:history="1">
            <w:r w:rsidR="00671E4C" w:rsidRPr="00AF65D3">
              <w:rPr>
                <w:rStyle w:val="Hyperlink"/>
                <w:noProof/>
              </w:rPr>
              <w:t>6.3</w:t>
            </w:r>
            <w:r w:rsidR="00671E4C">
              <w:rPr>
                <w:noProof/>
                <w:sz w:val="22"/>
              </w:rPr>
              <w:tab/>
            </w:r>
            <w:r w:rsidR="00671E4C" w:rsidRPr="00AF65D3">
              <w:rPr>
                <w:rStyle w:val="Hyperlink"/>
                <w:noProof/>
              </w:rPr>
              <w:t>Economy and employment</w:t>
            </w:r>
            <w:r w:rsidR="00671E4C">
              <w:rPr>
                <w:noProof/>
                <w:webHidden/>
              </w:rPr>
              <w:tab/>
            </w:r>
            <w:r w:rsidR="00AA3D97">
              <w:rPr>
                <w:noProof/>
                <w:webHidden/>
              </w:rPr>
              <w:fldChar w:fldCharType="begin"/>
            </w:r>
            <w:r w:rsidR="00671E4C">
              <w:rPr>
                <w:noProof/>
                <w:webHidden/>
              </w:rPr>
              <w:instrText xml:space="preserve"> PAGEREF _Toc374612449 \h </w:instrText>
            </w:r>
            <w:r w:rsidR="00AA3D97">
              <w:rPr>
                <w:noProof/>
                <w:webHidden/>
              </w:rPr>
            </w:r>
            <w:r w:rsidR="00AA3D97">
              <w:rPr>
                <w:noProof/>
                <w:webHidden/>
              </w:rPr>
              <w:fldChar w:fldCharType="separate"/>
            </w:r>
            <w:r w:rsidR="008F6CDA">
              <w:rPr>
                <w:noProof/>
                <w:webHidden/>
              </w:rPr>
              <w:t>24</w:t>
            </w:r>
            <w:r w:rsidR="00AA3D97">
              <w:rPr>
                <w:noProof/>
                <w:webHidden/>
              </w:rPr>
              <w:fldChar w:fldCharType="end"/>
            </w:r>
          </w:hyperlink>
        </w:p>
        <w:p w:rsidR="00671E4C" w:rsidRDefault="00827E2D">
          <w:pPr>
            <w:pStyle w:val="TOC2"/>
            <w:rPr>
              <w:noProof/>
              <w:sz w:val="22"/>
            </w:rPr>
          </w:pPr>
          <w:hyperlink w:anchor="_Toc374612450" w:history="1">
            <w:r w:rsidR="00671E4C" w:rsidRPr="00AF65D3">
              <w:rPr>
                <w:rStyle w:val="Hyperlink"/>
                <w:noProof/>
              </w:rPr>
              <w:t>6.4</w:t>
            </w:r>
            <w:r w:rsidR="00671E4C">
              <w:rPr>
                <w:noProof/>
                <w:sz w:val="22"/>
              </w:rPr>
              <w:tab/>
            </w:r>
            <w:r w:rsidR="00671E4C" w:rsidRPr="00AF65D3">
              <w:rPr>
                <w:rStyle w:val="Hyperlink"/>
                <w:noProof/>
              </w:rPr>
              <w:t>Climate change</w:t>
            </w:r>
            <w:r w:rsidR="00671E4C">
              <w:rPr>
                <w:noProof/>
                <w:webHidden/>
              </w:rPr>
              <w:tab/>
            </w:r>
            <w:r w:rsidR="00AA3D97">
              <w:rPr>
                <w:noProof/>
                <w:webHidden/>
              </w:rPr>
              <w:fldChar w:fldCharType="begin"/>
            </w:r>
            <w:r w:rsidR="00671E4C">
              <w:rPr>
                <w:noProof/>
                <w:webHidden/>
              </w:rPr>
              <w:instrText xml:space="preserve"> PAGEREF _Toc374612450 \h </w:instrText>
            </w:r>
            <w:r w:rsidR="00AA3D97">
              <w:rPr>
                <w:noProof/>
                <w:webHidden/>
              </w:rPr>
            </w:r>
            <w:r w:rsidR="00AA3D97">
              <w:rPr>
                <w:noProof/>
                <w:webHidden/>
              </w:rPr>
              <w:fldChar w:fldCharType="separate"/>
            </w:r>
            <w:r w:rsidR="008F6CDA">
              <w:rPr>
                <w:noProof/>
                <w:webHidden/>
              </w:rPr>
              <w:t>25</w:t>
            </w:r>
            <w:r w:rsidR="00AA3D97">
              <w:rPr>
                <w:noProof/>
                <w:webHidden/>
              </w:rPr>
              <w:fldChar w:fldCharType="end"/>
            </w:r>
          </w:hyperlink>
        </w:p>
        <w:p w:rsidR="00671E4C" w:rsidRDefault="00827E2D">
          <w:pPr>
            <w:pStyle w:val="TOC1"/>
            <w:rPr>
              <w:noProof/>
            </w:rPr>
          </w:pPr>
          <w:hyperlink w:anchor="_Toc374612451" w:history="1">
            <w:r w:rsidR="00671E4C" w:rsidRPr="00AF65D3">
              <w:rPr>
                <w:rStyle w:val="Hyperlink"/>
                <w:noProof/>
              </w:rPr>
              <w:t>7.</w:t>
            </w:r>
            <w:r w:rsidR="00671E4C">
              <w:rPr>
                <w:noProof/>
              </w:rPr>
              <w:tab/>
            </w:r>
            <w:r w:rsidR="00671E4C" w:rsidRPr="00AF65D3">
              <w:rPr>
                <w:rStyle w:val="Hyperlink"/>
                <w:noProof/>
              </w:rPr>
              <w:t>Challenges for growth</w:t>
            </w:r>
            <w:r w:rsidR="00671E4C">
              <w:rPr>
                <w:noProof/>
                <w:webHidden/>
              </w:rPr>
              <w:tab/>
            </w:r>
            <w:r w:rsidR="00AA3D97">
              <w:rPr>
                <w:noProof/>
                <w:webHidden/>
              </w:rPr>
              <w:fldChar w:fldCharType="begin"/>
            </w:r>
            <w:r w:rsidR="00671E4C">
              <w:rPr>
                <w:noProof/>
                <w:webHidden/>
              </w:rPr>
              <w:instrText xml:space="preserve"> PAGEREF _Toc374612451 \h </w:instrText>
            </w:r>
            <w:r w:rsidR="00AA3D97">
              <w:rPr>
                <w:noProof/>
                <w:webHidden/>
              </w:rPr>
            </w:r>
            <w:r w:rsidR="00AA3D97">
              <w:rPr>
                <w:noProof/>
                <w:webHidden/>
              </w:rPr>
              <w:fldChar w:fldCharType="separate"/>
            </w:r>
            <w:r w:rsidR="008F6CDA">
              <w:rPr>
                <w:noProof/>
                <w:webHidden/>
              </w:rPr>
              <w:t>26</w:t>
            </w:r>
            <w:r w:rsidR="00AA3D97">
              <w:rPr>
                <w:noProof/>
                <w:webHidden/>
              </w:rPr>
              <w:fldChar w:fldCharType="end"/>
            </w:r>
          </w:hyperlink>
        </w:p>
        <w:p w:rsidR="00671E4C" w:rsidRDefault="00827E2D">
          <w:pPr>
            <w:pStyle w:val="TOC1"/>
            <w:rPr>
              <w:noProof/>
            </w:rPr>
          </w:pPr>
          <w:hyperlink w:anchor="_Toc374612452" w:history="1">
            <w:r w:rsidR="00671E4C" w:rsidRPr="00AF65D3">
              <w:rPr>
                <w:rStyle w:val="Hyperlink"/>
                <w:noProof/>
              </w:rPr>
              <w:t>PART C:</w:t>
            </w:r>
            <w:r w:rsidR="00671E4C">
              <w:rPr>
                <w:noProof/>
              </w:rPr>
              <w:tab/>
            </w:r>
            <w:r w:rsidR="00671E4C" w:rsidRPr="00AF65D3">
              <w:rPr>
                <w:rStyle w:val="Hyperlink"/>
                <w:noProof/>
              </w:rPr>
              <w:t>THEMATIC OVERVIEW AND FUTURE CONSIDERATIONS</w:t>
            </w:r>
            <w:r w:rsidR="00671E4C">
              <w:rPr>
                <w:noProof/>
                <w:webHidden/>
              </w:rPr>
              <w:tab/>
            </w:r>
            <w:r w:rsidR="00AA3D97">
              <w:rPr>
                <w:noProof/>
                <w:webHidden/>
              </w:rPr>
              <w:fldChar w:fldCharType="begin"/>
            </w:r>
            <w:r w:rsidR="00671E4C">
              <w:rPr>
                <w:noProof/>
                <w:webHidden/>
              </w:rPr>
              <w:instrText xml:space="preserve"> PAGEREF _Toc374612452 \h </w:instrText>
            </w:r>
            <w:r w:rsidR="00AA3D97">
              <w:rPr>
                <w:noProof/>
                <w:webHidden/>
              </w:rPr>
            </w:r>
            <w:r w:rsidR="00AA3D97">
              <w:rPr>
                <w:noProof/>
                <w:webHidden/>
              </w:rPr>
              <w:fldChar w:fldCharType="separate"/>
            </w:r>
            <w:r w:rsidR="008F6CDA">
              <w:rPr>
                <w:noProof/>
                <w:webHidden/>
              </w:rPr>
              <w:t>29</w:t>
            </w:r>
            <w:r w:rsidR="00AA3D97">
              <w:rPr>
                <w:noProof/>
                <w:webHidden/>
              </w:rPr>
              <w:fldChar w:fldCharType="end"/>
            </w:r>
          </w:hyperlink>
        </w:p>
        <w:p w:rsidR="00671E4C" w:rsidRDefault="00827E2D">
          <w:pPr>
            <w:pStyle w:val="TOC1"/>
            <w:rPr>
              <w:noProof/>
            </w:rPr>
          </w:pPr>
          <w:hyperlink w:anchor="_Toc374612453" w:history="1">
            <w:r w:rsidR="00671E4C" w:rsidRPr="00AF65D3">
              <w:rPr>
                <w:rStyle w:val="Hyperlink"/>
                <w:noProof/>
              </w:rPr>
              <w:t>8.</w:t>
            </w:r>
            <w:r w:rsidR="00671E4C">
              <w:rPr>
                <w:noProof/>
              </w:rPr>
              <w:tab/>
            </w:r>
            <w:r w:rsidR="00671E4C" w:rsidRPr="00AF65D3">
              <w:rPr>
                <w:rStyle w:val="Hyperlink"/>
                <w:noProof/>
              </w:rPr>
              <w:t>Urban settlement</w:t>
            </w:r>
            <w:r w:rsidR="00671E4C">
              <w:rPr>
                <w:noProof/>
                <w:webHidden/>
              </w:rPr>
              <w:tab/>
            </w:r>
            <w:r w:rsidR="00AA3D97">
              <w:rPr>
                <w:noProof/>
                <w:webHidden/>
              </w:rPr>
              <w:fldChar w:fldCharType="begin"/>
            </w:r>
            <w:r w:rsidR="00671E4C">
              <w:rPr>
                <w:noProof/>
                <w:webHidden/>
              </w:rPr>
              <w:instrText xml:space="preserve"> PAGEREF _Toc374612453 \h </w:instrText>
            </w:r>
            <w:r w:rsidR="00AA3D97">
              <w:rPr>
                <w:noProof/>
                <w:webHidden/>
              </w:rPr>
            </w:r>
            <w:r w:rsidR="00AA3D97">
              <w:rPr>
                <w:noProof/>
                <w:webHidden/>
              </w:rPr>
              <w:fldChar w:fldCharType="separate"/>
            </w:r>
            <w:r w:rsidR="008F6CDA">
              <w:rPr>
                <w:noProof/>
                <w:webHidden/>
              </w:rPr>
              <w:t>29</w:t>
            </w:r>
            <w:r w:rsidR="00AA3D97">
              <w:rPr>
                <w:noProof/>
                <w:webHidden/>
              </w:rPr>
              <w:fldChar w:fldCharType="end"/>
            </w:r>
          </w:hyperlink>
        </w:p>
        <w:p w:rsidR="00671E4C" w:rsidRDefault="00827E2D">
          <w:pPr>
            <w:pStyle w:val="TOC2"/>
            <w:rPr>
              <w:noProof/>
              <w:sz w:val="22"/>
            </w:rPr>
          </w:pPr>
          <w:hyperlink w:anchor="_Toc374612454" w:history="1">
            <w:r w:rsidR="00671E4C" w:rsidRPr="00AF65D3">
              <w:rPr>
                <w:rStyle w:val="Hyperlink"/>
                <w:noProof/>
              </w:rPr>
              <w:t>8.1</w:t>
            </w:r>
            <w:r w:rsidR="00671E4C">
              <w:rPr>
                <w:noProof/>
                <w:sz w:val="22"/>
              </w:rPr>
              <w:tab/>
            </w:r>
            <w:r w:rsidR="00671E4C" w:rsidRPr="00AF65D3">
              <w:rPr>
                <w:rStyle w:val="Hyperlink"/>
                <w:noProof/>
              </w:rPr>
              <w:t>Overview</w:t>
            </w:r>
            <w:r w:rsidR="00671E4C">
              <w:rPr>
                <w:noProof/>
                <w:webHidden/>
              </w:rPr>
              <w:tab/>
            </w:r>
            <w:r w:rsidR="00AA3D97">
              <w:rPr>
                <w:noProof/>
                <w:webHidden/>
              </w:rPr>
              <w:fldChar w:fldCharType="begin"/>
            </w:r>
            <w:r w:rsidR="00671E4C">
              <w:rPr>
                <w:noProof/>
                <w:webHidden/>
              </w:rPr>
              <w:instrText xml:space="preserve"> PAGEREF _Toc374612454 \h </w:instrText>
            </w:r>
            <w:r w:rsidR="00AA3D97">
              <w:rPr>
                <w:noProof/>
                <w:webHidden/>
              </w:rPr>
            </w:r>
            <w:r w:rsidR="00AA3D97">
              <w:rPr>
                <w:noProof/>
                <w:webHidden/>
              </w:rPr>
              <w:fldChar w:fldCharType="separate"/>
            </w:r>
            <w:r w:rsidR="008F6CDA">
              <w:rPr>
                <w:noProof/>
                <w:webHidden/>
              </w:rPr>
              <w:t>29</w:t>
            </w:r>
            <w:r w:rsidR="00AA3D97">
              <w:rPr>
                <w:noProof/>
                <w:webHidden/>
              </w:rPr>
              <w:fldChar w:fldCharType="end"/>
            </w:r>
          </w:hyperlink>
        </w:p>
        <w:p w:rsidR="00671E4C" w:rsidRDefault="00827E2D">
          <w:pPr>
            <w:pStyle w:val="TOC2"/>
            <w:rPr>
              <w:noProof/>
              <w:sz w:val="22"/>
            </w:rPr>
          </w:pPr>
          <w:hyperlink w:anchor="_Toc374612455" w:history="1">
            <w:r w:rsidR="00671E4C" w:rsidRPr="00AF65D3">
              <w:rPr>
                <w:rStyle w:val="Hyperlink"/>
                <w:noProof/>
              </w:rPr>
              <w:t>8.2</w:t>
            </w:r>
            <w:r w:rsidR="00671E4C">
              <w:rPr>
                <w:noProof/>
                <w:sz w:val="22"/>
              </w:rPr>
              <w:tab/>
            </w:r>
            <w:r w:rsidR="00671E4C" w:rsidRPr="00AF65D3">
              <w:rPr>
                <w:rStyle w:val="Hyperlink"/>
                <w:noProof/>
              </w:rPr>
              <w:t>Guiding future urban settlement in the region</w:t>
            </w:r>
            <w:r w:rsidR="00671E4C">
              <w:rPr>
                <w:noProof/>
                <w:webHidden/>
              </w:rPr>
              <w:tab/>
            </w:r>
            <w:r w:rsidR="00AA3D97">
              <w:rPr>
                <w:noProof/>
                <w:webHidden/>
              </w:rPr>
              <w:fldChar w:fldCharType="begin"/>
            </w:r>
            <w:r w:rsidR="00671E4C">
              <w:rPr>
                <w:noProof/>
                <w:webHidden/>
              </w:rPr>
              <w:instrText xml:space="preserve"> PAGEREF _Toc374612455 \h </w:instrText>
            </w:r>
            <w:r w:rsidR="00AA3D97">
              <w:rPr>
                <w:noProof/>
                <w:webHidden/>
              </w:rPr>
            </w:r>
            <w:r w:rsidR="00AA3D97">
              <w:rPr>
                <w:noProof/>
                <w:webHidden/>
              </w:rPr>
              <w:fldChar w:fldCharType="separate"/>
            </w:r>
            <w:r w:rsidR="008F6CDA">
              <w:rPr>
                <w:noProof/>
                <w:webHidden/>
              </w:rPr>
              <w:t>31</w:t>
            </w:r>
            <w:r w:rsidR="00AA3D97">
              <w:rPr>
                <w:noProof/>
                <w:webHidden/>
              </w:rPr>
              <w:fldChar w:fldCharType="end"/>
            </w:r>
          </w:hyperlink>
        </w:p>
        <w:p w:rsidR="00671E4C" w:rsidRDefault="00827E2D">
          <w:pPr>
            <w:pStyle w:val="TOC3"/>
            <w:rPr>
              <w:sz w:val="22"/>
            </w:rPr>
          </w:pPr>
          <w:hyperlink w:anchor="_Toc374612456" w:history="1">
            <w:r w:rsidR="00671E4C" w:rsidRPr="00AF65D3">
              <w:rPr>
                <w:rStyle w:val="Hyperlink"/>
              </w:rPr>
              <w:t>8.2.1</w:t>
            </w:r>
            <w:r w:rsidR="00671E4C">
              <w:rPr>
                <w:sz w:val="22"/>
              </w:rPr>
              <w:tab/>
            </w:r>
            <w:r w:rsidR="00671E4C" w:rsidRPr="00AF65D3">
              <w:rPr>
                <w:rStyle w:val="Hyperlink"/>
              </w:rPr>
              <w:t>Regional perspective</w:t>
            </w:r>
            <w:r w:rsidR="00671E4C">
              <w:rPr>
                <w:webHidden/>
              </w:rPr>
              <w:tab/>
            </w:r>
            <w:r w:rsidR="00AA3D97">
              <w:rPr>
                <w:webHidden/>
              </w:rPr>
              <w:fldChar w:fldCharType="begin"/>
            </w:r>
            <w:r w:rsidR="00671E4C">
              <w:rPr>
                <w:webHidden/>
              </w:rPr>
              <w:instrText xml:space="preserve"> PAGEREF _Toc374612456 \h </w:instrText>
            </w:r>
            <w:r w:rsidR="00AA3D97">
              <w:rPr>
                <w:webHidden/>
              </w:rPr>
            </w:r>
            <w:r w:rsidR="00AA3D97">
              <w:rPr>
                <w:webHidden/>
              </w:rPr>
              <w:fldChar w:fldCharType="separate"/>
            </w:r>
            <w:r w:rsidR="008F6CDA">
              <w:rPr>
                <w:webHidden/>
              </w:rPr>
              <w:t>33</w:t>
            </w:r>
            <w:r w:rsidR="00AA3D97">
              <w:rPr>
                <w:webHidden/>
              </w:rPr>
              <w:fldChar w:fldCharType="end"/>
            </w:r>
          </w:hyperlink>
        </w:p>
        <w:p w:rsidR="00671E4C" w:rsidRDefault="00827E2D">
          <w:pPr>
            <w:pStyle w:val="TOC3"/>
            <w:rPr>
              <w:sz w:val="22"/>
            </w:rPr>
          </w:pPr>
          <w:hyperlink w:anchor="_Toc374612457" w:history="1">
            <w:r w:rsidR="00671E4C" w:rsidRPr="00AF65D3">
              <w:rPr>
                <w:rStyle w:val="Hyperlink"/>
              </w:rPr>
              <w:t>8.2.2</w:t>
            </w:r>
            <w:r w:rsidR="00671E4C">
              <w:rPr>
                <w:sz w:val="22"/>
              </w:rPr>
              <w:tab/>
            </w:r>
            <w:r w:rsidR="00671E4C" w:rsidRPr="00AF65D3">
              <w:rPr>
                <w:rStyle w:val="Hyperlink"/>
              </w:rPr>
              <w:t>Sub-regional perspectives</w:t>
            </w:r>
            <w:r w:rsidR="00671E4C">
              <w:rPr>
                <w:webHidden/>
              </w:rPr>
              <w:tab/>
            </w:r>
            <w:r w:rsidR="00AA3D97">
              <w:rPr>
                <w:webHidden/>
              </w:rPr>
              <w:fldChar w:fldCharType="begin"/>
            </w:r>
            <w:r w:rsidR="00671E4C">
              <w:rPr>
                <w:webHidden/>
              </w:rPr>
              <w:instrText xml:space="preserve"> PAGEREF _Toc374612457 \h </w:instrText>
            </w:r>
            <w:r w:rsidR="00AA3D97">
              <w:rPr>
                <w:webHidden/>
              </w:rPr>
            </w:r>
            <w:r w:rsidR="00AA3D97">
              <w:rPr>
                <w:webHidden/>
              </w:rPr>
              <w:fldChar w:fldCharType="separate"/>
            </w:r>
            <w:r w:rsidR="008F6CDA">
              <w:rPr>
                <w:webHidden/>
              </w:rPr>
              <w:t>34</w:t>
            </w:r>
            <w:r w:rsidR="00AA3D97">
              <w:rPr>
                <w:webHidden/>
              </w:rPr>
              <w:fldChar w:fldCharType="end"/>
            </w:r>
          </w:hyperlink>
        </w:p>
        <w:p w:rsidR="00671E4C" w:rsidRDefault="00827E2D">
          <w:pPr>
            <w:pStyle w:val="TOC2"/>
            <w:rPr>
              <w:noProof/>
              <w:sz w:val="22"/>
            </w:rPr>
          </w:pPr>
          <w:hyperlink w:anchor="_Toc374612458" w:history="1">
            <w:r w:rsidR="00671E4C" w:rsidRPr="00AF65D3">
              <w:rPr>
                <w:rStyle w:val="Hyperlink"/>
                <w:noProof/>
              </w:rPr>
              <w:t>8.3</w:t>
            </w:r>
            <w:r w:rsidR="00671E4C">
              <w:rPr>
                <w:noProof/>
                <w:sz w:val="22"/>
              </w:rPr>
              <w:tab/>
            </w:r>
            <w:r w:rsidR="00671E4C" w:rsidRPr="00AF65D3">
              <w:rPr>
                <w:rStyle w:val="Hyperlink"/>
                <w:noProof/>
              </w:rPr>
              <w:t>Small settlements</w:t>
            </w:r>
            <w:r w:rsidR="00671E4C">
              <w:rPr>
                <w:noProof/>
                <w:webHidden/>
              </w:rPr>
              <w:tab/>
            </w:r>
            <w:r w:rsidR="00AA3D97">
              <w:rPr>
                <w:noProof/>
                <w:webHidden/>
              </w:rPr>
              <w:fldChar w:fldCharType="begin"/>
            </w:r>
            <w:r w:rsidR="00671E4C">
              <w:rPr>
                <w:noProof/>
                <w:webHidden/>
              </w:rPr>
              <w:instrText xml:space="preserve"> PAGEREF _Toc374612458 \h </w:instrText>
            </w:r>
            <w:r w:rsidR="00AA3D97">
              <w:rPr>
                <w:noProof/>
                <w:webHidden/>
              </w:rPr>
            </w:r>
            <w:r w:rsidR="00AA3D97">
              <w:rPr>
                <w:noProof/>
                <w:webHidden/>
              </w:rPr>
              <w:fldChar w:fldCharType="separate"/>
            </w:r>
            <w:r w:rsidR="008F6CDA">
              <w:rPr>
                <w:noProof/>
                <w:webHidden/>
              </w:rPr>
              <w:t>39</w:t>
            </w:r>
            <w:r w:rsidR="00AA3D97">
              <w:rPr>
                <w:noProof/>
                <w:webHidden/>
              </w:rPr>
              <w:fldChar w:fldCharType="end"/>
            </w:r>
          </w:hyperlink>
        </w:p>
        <w:p w:rsidR="00671E4C" w:rsidRDefault="00827E2D">
          <w:pPr>
            <w:pStyle w:val="TOC2"/>
            <w:rPr>
              <w:noProof/>
              <w:sz w:val="22"/>
            </w:rPr>
          </w:pPr>
          <w:hyperlink w:anchor="_Toc374612459" w:history="1">
            <w:r w:rsidR="00671E4C" w:rsidRPr="00AF65D3">
              <w:rPr>
                <w:rStyle w:val="Hyperlink"/>
                <w:noProof/>
              </w:rPr>
              <w:t>8.4</w:t>
            </w:r>
            <w:r w:rsidR="00671E4C">
              <w:rPr>
                <w:noProof/>
                <w:sz w:val="22"/>
              </w:rPr>
              <w:tab/>
            </w:r>
            <w:r w:rsidR="00671E4C" w:rsidRPr="00AF65D3">
              <w:rPr>
                <w:rStyle w:val="Hyperlink"/>
                <w:noProof/>
              </w:rPr>
              <w:t>Cross-border settlements</w:t>
            </w:r>
            <w:r w:rsidR="00671E4C">
              <w:rPr>
                <w:noProof/>
                <w:webHidden/>
              </w:rPr>
              <w:tab/>
            </w:r>
            <w:r w:rsidR="00AA3D97">
              <w:rPr>
                <w:noProof/>
                <w:webHidden/>
              </w:rPr>
              <w:fldChar w:fldCharType="begin"/>
            </w:r>
            <w:r w:rsidR="00671E4C">
              <w:rPr>
                <w:noProof/>
                <w:webHidden/>
              </w:rPr>
              <w:instrText xml:space="preserve"> PAGEREF _Toc374612459 \h </w:instrText>
            </w:r>
            <w:r w:rsidR="00AA3D97">
              <w:rPr>
                <w:noProof/>
                <w:webHidden/>
              </w:rPr>
            </w:r>
            <w:r w:rsidR="00AA3D97">
              <w:rPr>
                <w:noProof/>
                <w:webHidden/>
              </w:rPr>
              <w:fldChar w:fldCharType="separate"/>
            </w:r>
            <w:r w:rsidR="008F6CDA">
              <w:rPr>
                <w:noProof/>
                <w:webHidden/>
              </w:rPr>
              <w:t>41</w:t>
            </w:r>
            <w:r w:rsidR="00AA3D97">
              <w:rPr>
                <w:noProof/>
                <w:webHidden/>
              </w:rPr>
              <w:fldChar w:fldCharType="end"/>
            </w:r>
          </w:hyperlink>
        </w:p>
        <w:p w:rsidR="00671E4C" w:rsidRDefault="00827E2D">
          <w:pPr>
            <w:pStyle w:val="TOC2"/>
            <w:rPr>
              <w:noProof/>
              <w:sz w:val="22"/>
            </w:rPr>
          </w:pPr>
          <w:hyperlink w:anchor="_Toc374612460" w:history="1">
            <w:r w:rsidR="00671E4C" w:rsidRPr="00AF65D3">
              <w:rPr>
                <w:rStyle w:val="Hyperlink"/>
                <w:noProof/>
              </w:rPr>
              <w:t>8.5</w:t>
            </w:r>
            <w:r w:rsidR="00671E4C">
              <w:rPr>
                <w:noProof/>
                <w:sz w:val="22"/>
              </w:rPr>
              <w:tab/>
            </w:r>
            <w:r w:rsidR="00671E4C" w:rsidRPr="00AF65D3">
              <w:rPr>
                <w:rStyle w:val="Hyperlink"/>
                <w:noProof/>
              </w:rPr>
              <w:t>Peri-urban areas</w:t>
            </w:r>
            <w:r w:rsidR="00671E4C">
              <w:rPr>
                <w:noProof/>
                <w:webHidden/>
              </w:rPr>
              <w:tab/>
            </w:r>
            <w:r w:rsidR="00AA3D97">
              <w:rPr>
                <w:noProof/>
                <w:webHidden/>
              </w:rPr>
              <w:fldChar w:fldCharType="begin"/>
            </w:r>
            <w:r w:rsidR="00671E4C">
              <w:rPr>
                <w:noProof/>
                <w:webHidden/>
              </w:rPr>
              <w:instrText xml:space="preserve"> PAGEREF _Toc374612460 \h </w:instrText>
            </w:r>
            <w:r w:rsidR="00AA3D97">
              <w:rPr>
                <w:noProof/>
                <w:webHidden/>
              </w:rPr>
            </w:r>
            <w:r w:rsidR="00AA3D97">
              <w:rPr>
                <w:noProof/>
                <w:webHidden/>
              </w:rPr>
              <w:fldChar w:fldCharType="separate"/>
            </w:r>
            <w:r w:rsidR="008F6CDA">
              <w:rPr>
                <w:noProof/>
                <w:webHidden/>
              </w:rPr>
              <w:t>42</w:t>
            </w:r>
            <w:r w:rsidR="00AA3D97">
              <w:rPr>
                <w:noProof/>
                <w:webHidden/>
              </w:rPr>
              <w:fldChar w:fldCharType="end"/>
            </w:r>
          </w:hyperlink>
        </w:p>
        <w:p w:rsidR="00671E4C" w:rsidRDefault="00827E2D">
          <w:pPr>
            <w:pStyle w:val="TOC1"/>
            <w:rPr>
              <w:noProof/>
            </w:rPr>
          </w:pPr>
          <w:hyperlink w:anchor="_Toc374612461" w:history="1">
            <w:r w:rsidR="00671E4C" w:rsidRPr="00AF65D3">
              <w:rPr>
                <w:rStyle w:val="Hyperlink"/>
                <w:noProof/>
              </w:rPr>
              <w:t>9.</w:t>
            </w:r>
            <w:r w:rsidR="00671E4C">
              <w:rPr>
                <w:noProof/>
              </w:rPr>
              <w:tab/>
            </w:r>
            <w:r w:rsidR="00671E4C" w:rsidRPr="00AF65D3">
              <w:rPr>
                <w:rStyle w:val="Hyperlink"/>
                <w:noProof/>
              </w:rPr>
              <w:t>Rural land use</w:t>
            </w:r>
            <w:r w:rsidR="00671E4C">
              <w:rPr>
                <w:noProof/>
                <w:webHidden/>
              </w:rPr>
              <w:tab/>
            </w:r>
            <w:r w:rsidR="00AA3D97">
              <w:rPr>
                <w:noProof/>
                <w:webHidden/>
              </w:rPr>
              <w:fldChar w:fldCharType="begin"/>
            </w:r>
            <w:r w:rsidR="00671E4C">
              <w:rPr>
                <w:noProof/>
                <w:webHidden/>
              </w:rPr>
              <w:instrText xml:space="preserve"> PAGEREF _Toc374612461 \h </w:instrText>
            </w:r>
            <w:r w:rsidR="00AA3D97">
              <w:rPr>
                <w:noProof/>
                <w:webHidden/>
              </w:rPr>
            </w:r>
            <w:r w:rsidR="00AA3D97">
              <w:rPr>
                <w:noProof/>
                <w:webHidden/>
              </w:rPr>
              <w:fldChar w:fldCharType="separate"/>
            </w:r>
            <w:r w:rsidR="008F6CDA">
              <w:rPr>
                <w:noProof/>
                <w:webHidden/>
              </w:rPr>
              <w:t>43</w:t>
            </w:r>
            <w:r w:rsidR="00AA3D97">
              <w:rPr>
                <w:noProof/>
                <w:webHidden/>
              </w:rPr>
              <w:fldChar w:fldCharType="end"/>
            </w:r>
          </w:hyperlink>
        </w:p>
        <w:p w:rsidR="00671E4C" w:rsidRDefault="00827E2D">
          <w:pPr>
            <w:pStyle w:val="TOC2"/>
            <w:rPr>
              <w:noProof/>
              <w:sz w:val="22"/>
            </w:rPr>
          </w:pPr>
          <w:hyperlink w:anchor="_Toc374612462" w:history="1">
            <w:r w:rsidR="00671E4C" w:rsidRPr="00AF65D3">
              <w:rPr>
                <w:rStyle w:val="Hyperlink"/>
                <w:noProof/>
              </w:rPr>
              <w:t>9.1</w:t>
            </w:r>
            <w:r w:rsidR="00671E4C">
              <w:rPr>
                <w:noProof/>
                <w:sz w:val="22"/>
              </w:rPr>
              <w:tab/>
            </w:r>
            <w:r w:rsidR="00671E4C" w:rsidRPr="00AF65D3">
              <w:rPr>
                <w:rStyle w:val="Hyperlink"/>
                <w:noProof/>
              </w:rPr>
              <w:t>Overview</w:t>
            </w:r>
            <w:r w:rsidR="00671E4C">
              <w:rPr>
                <w:noProof/>
                <w:webHidden/>
              </w:rPr>
              <w:tab/>
            </w:r>
            <w:r w:rsidR="00AA3D97">
              <w:rPr>
                <w:noProof/>
                <w:webHidden/>
              </w:rPr>
              <w:fldChar w:fldCharType="begin"/>
            </w:r>
            <w:r w:rsidR="00671E4C">
              <w:rPr>
                <w:noProof/>
                <w:webHidden/>
              </w:rPr>
              <w:instrText xml:space="preserve"> PAGEREF _Toc374612462 \h </w:instrText>
            </w:r>
            <w:r w:rsidR="00AA3D97">
              <w:rPr>
                <w:noProof/>
                <w:webHidden/>
              </w:rPr>
            </w:r>
            <w:r w:rsidR="00AA3D97">
              <w:rPr>
                <w:noProof/>
                <w:webHidden/>
              </w:rPr>
              <w:fldChar w:fldCharType="separate"/>
            </w:r>
            <w:r w:rsidR="008F6CDA">
              <w:rPr>
                <w:noProof/>
                <w:webHidden/>
              </w:rPr>
              <w:t>43</w:t>
            </w:r>
            <w:r w:rsidR="00AA3D97">
              <w:rPr>
                <w:noProof/>
                <w:webHidden/>
              </w:rPr>
              <w:fldChar w:fldCharType="end"/>
            </w:r>
          </w:hyperlink>
        </w:p>
        <w:p w:rsidR="00671E4C" w:rsidRDefault="00827E2D">
          <w:pPr>
            <w:pStyle w:val="TOC2"/>
            <w:rPr>
              <w:noProof/>
              <w:sz w:val="22"/>
            </w:rPr>
          </w:pPr>
          <w:hyperlink w:anchor="_Toc374612463" w:history="1">
            <w:r w:rsidR="00671E4C" w:rsidRPr="00AF65D3">
              <w:rPr>
                <w:rStyle w:val="Hyperlink"/>
                <w:noProof/>
              </w:rPr>
              <w:t>9.2</w:t>
            </w:r>
            <w:r w:rsidR="00671E4C">
              <w:rPr>
                <w:noProof/>
                <w:sz w:val="22"/>
              </w:rPr>
              <w:tab/>
            </w:r>
            <w:r w:rsidR="00671E4C" w:rsidRPr="00AF65D3">
              <w:rPr>
                <w:rStyle w:val="Hyperlink"/>
                <w:noProof/>
              </w:rPr>
              <w:t>Guiding future rural land use</w:t>
            </w:r>
            <w:r w:rsidR="00671E4C">
              <w:rPr>
                <w:noProof/>
                <w:webHidden/>
              </w:rPr>
              <w:tab/>
            </w:r>
            <w:r w:rsidR="00AA3D97">
              <w:rPr>
                <w:noProof/>
                <w:webHidden/>
              </w:rPr>
              <w:fldChar w:fldCharType="begin"/>
            </w:r>
            <w:r w:rsidR="00671E4C">
              <w:rPr>
                <w:noProof/>
                <w:webHidden/>
              </w:rPr>
              <w:instrText xml:space="preserve"> PAGEREF _Toc374612463 \h </w:instrText>
            </w:r>
            <w:r w:rsidR="00AA3D97">
              <w:rPr>
                <w:noProof/>
                <w:webHidden/>
              </w:rPr>
            </w:r>
            <w:r w:rsidR="00AA3D97">
              <w:rPr>
                <w:noProof/>
                <w:webHidden/>
              </w:rPr>
              <w:fldChar w:fldCharType="separate"/>
            </w:r>
            <w:r w:rsidR="008F6CDA">
              <w:rPr>
                <w:noProof/>
                <w:webHidden/>
              </w:rPr>
              <w:t>45</w:t>
            </w:r>
            <w:r w:rsidR="00AA3D97">
              <w:rPr>
                <w:noProof/>
                <w:webHidden/>
              </w:rPr>
              <w:fldChar w:fldCharType="end"/>
            </w:r>
          </w:hyperlink>
        </w:p>
        <w:p w:rsidR="00671E4C" w:rsidRDefault="00827E2D">
          <w:pPr>
            <w:pStyle w:val="TOC3"/>
            <w:rPr>
              <w:sz w:val="22"/>
            </w:rPr>
          </w:pPr>
          <w:hyperlink w:anchor="_Toc374612464" w:history="1">
            <w:r w:rsidR="00671E4C" w:rsidRPr="00AF65D3">
              <w:rPr>
                <w:rStyle w:val="Hyperlink"/>
              </w:rPr>
              <w:t>9.2.1</w:t>
            </w:r>
            <w:r w:rsidR="00671E4C">
              <w:rPr>
                <w:sz w:val="22"/>
              </w:rPr>
              <w:tab/>
            </w:r>
            <w:r w:rsidR="00671E4C" w:rsidRPr="00AF65D3">
              <w:rPr>
                <w:rStyle w:val="Hyperlink"/>
              </w:rPr>
              <w:t>Agriculture</w:t>
            </w:r>
            <w:r w:rsidR="00671E4C">
              <w:rPr>
                <w:webHidden/>
              </w:rPr>
              <w:tab/>
            </w:r>
            <w:r w:rsidR="00AA3D97">
              <w:rPr>
                <w:webHidden/>
              </w:rPr>
              <w:fldChar w:fldCharType="begin"/>
            </w:r>
            <w:r w:rsidR="00671E4C">
              <w:rPr>
                <w:webHidden/>
              </w:rPr>
              <w:instrText xml:space="preserve"> PAGEREF _Toc374612464 \h </w:instrText>
            </w:r>
            <w:r w:rsidR="00AA3D97">
              <w:rPr>
                <w:webHidden/>
              </w:rPr>
            </w:r>
            <w:r w:rsidR="00AA3D97">
              <w:rPr>
                <w:webHidden/>
              </w:rPr>
              <w:fldChar w:fldCharType="separate"/>
            </w:r>
            <w:r w:rsidR="008F6CDA">
              <w:rPr>
                <w:webHidden/>
              </w:rPr>
              <w:t>45</w:t>
            </w:r>
            <w:r w:rsidR="00AA3D97">
              <w:rPr>
                <w:webHidden/>
              </w:rPr>
              <w:fldChar w:fldCharType="end"/>
            </w:r>
          </w:hyperlink>
        </w:p>
        <w:p w:rsidR="00671E4C" w:rsidRDefault="00827E2D">
          <w:pPr>
            <w:pStyle w:val="TOC3"/>
            <w:rPr>
              <w:sz w:val="22"/>
            </w:rPr>
          </w:pPr>
          <w:hyperlink w:anchor="_Toc374612465" w:history="1">
            <w:r w:rsidR="00671E4C" w:rsidRPr="00AF65D3">
              <w:rPr>
                <w:rStyle w:val="Hyperlink"/>
              </w:rPr>
              <w:t>9.2.2</w:t>
            </w:r>
            <w:r w:rsidR="00671E4C">
              <w:rPr>
                <w:sz w:val="22"/>
              </w:rPr>
              <w:tab/>
            </w:r>
            <w:r w:rsidR="00671E4C" w:rsidRPr="00AF65D3">
              <w:rPr>
                <w:rStyle w:val="Hyperlink"/>
              </w:rPr>
              <w:t>Accommodating other rural land uses</w:t>
            </w:r>
            <w:r w:rsidR="00671E4C">
              <w:rPr>
                <w:webHidden/>
              </w:rPr>
              <w:tab/>
            </w:r>
            <w:r w:rsidR="00AA3D97">
              <w:rPr>
                <w:webHidden/>
              </w:rPr>
              <w:fldChar w:fldCharType="begin"/>
            </w:r>
            <w:r w:rsidR="00671E4C">
              <w:rPr>
                <w:webHidden/>
              </w:rPr>
              <w:instrText xml:space="preserve"> PAGEREF _Toc374612465 \h </w:instrText>
            </w:r>
            <w:r w:rsidR="00AA3D97">
              <w:rPr>
                <w:webHidden/>
              </w:rPr>
            </w:r>
            <w:r w:rsidR="00AA3D97">
              <w:rPr>
                <w:webHidden/>
              </w:rPr>
              <w:fldChar w:fldCharType="separate"/>
            </w:r>
            <w:r w:rsidR="008F6CDA">
              <w:rPr>
                <w:webHidden/>
              </w:rPr>
              <w:t>50</w:t>
            </w:r>
            <w:r w:rsidR="00AA3D97">
              <w:rPr>
                <w:webHidden/>
              </w:rPr>
              <w:fldChar w:fldCharType="end"/>
            </w:r>
          </w:hyperlink>
        </w:p>
        <w:p w:rsidR="00671E4C" w:rsidRDefault="00827E2D">
          <w:pPr>
            <w:pStyle w:val="TOC1"/>
            <w:rPr>
              <w:noProof/>
            </w:rPr>
          </w:pPr>
          <w:hyperlink w:anchor="_Toc374612466" w:history="1">
            <w:r w:rsidR="00671E4C" w:rsidRPr="00AF65D3">
              <w:rPr>
                <w:rStyle w:val="Hyperlink"/>
                <w:noProof/>
              </w:rPr>
              <w:t>10.</w:t>
            </w:r>
            <w:r w:rsidR="00671E4C">
              <w:rPr>
                <w:noProof/>
              </w:rPr>
              <w:tab/>
            </w:r>
            <w:r w:rsidR="00671E4C" w:rsidRPr="00AF65D3">
              <w:rPr>
                <w:rStyle w:val="Hyperlink"/>
                <w:noProof/>
              </w:rPr>
              <w:t>Economic development</w:t>
            </w:r>
            <w:r w:rsidR="00671E4C">
              <w:rPr>
                <w:noProof/>
                <w:webHidden/>
              </w:rPr>
              <w:tab/>
            </w:r>
            <w:r w:rsidR="00AA3D97">
              <w:rPr>
                <w:noProof/>
                <w:webHidden/>
              </w:rPr>
              <w:fldChar w:fldCharType="begin"/>
            </w:r>
            <w:r w:rsidR="00671E4C">
              <w:rPr>
                <w:noProof/>
                <w:webHidden/>
              </w:rPr>
              <w:instrText xml:space="preserve"> PAGEREF _Toc374612466 \h </w:instrText>
            </w:r>
            <w:r w:rsidR="00AA3D97">
              <w:rPr>
                <w:noProof/>
                <w:webHidden/>
              </w:rPr>
            </w:r>
            <w:r w:rsidR="00AA3D97">
              <w:rPr>
                <w:noProof/>
                <w:webHidden/>
              </w:rPr>
              <w:fldChar w:fldCharType="separate"/>
            </w:r>
            <w:r w:rsidR="008F6CDA">
              <w:rPr>
                <w:noProof/>
                <w:webHidden/>
              </w:rPr>
              <w:t>56</w:t>
            </w:r>
            <w:r w:rsidR="00AA3D97">
              <w:rPr>
                <w:noProof/>
                <w:webHidden/>
              </w:rPr>
              <w:fldChar w:fldCharType="end"/>
            </w:r>
          </w:hyperlink>
        </w:p>
        <w:p w:rsidR="00671E4C" w:rsidRDefault="00827E2D">
          <w:pPr>
            <w:pStyle w:val="TOC2"/>
            <w:rPr>
              <w:noProof/>
              <w:sz w:val="22"/>
            </w:rPr>
          </w:pPr>
          <w:hyperlink w:anchor="_Toc374612467" w:history="1">
            <w:r w:rsidR="00671E4C" w:rsidRPr="00AF65D3">
              <w:rPr>
                <w:rStyle w:val="Hyperlink"/>
                <w:noProof/>
              </w:rPr>
              <w:t>10.1</w:t>
            </w:r>
            <w:r w:rsidR="00671E4C">
              <w:rPr>
                <w:noProof/>
                <w:sz w:val="22"/>
              </w:rPr>
              <w:tab/>
            </w:r>
            <w:r w:rsidR="00671E4C" w:rsidRPr="00AF65D3">
              <w:rPr>
                <w:rStyle w:val="Hyperlink"/>
                <w:noProof/>
              </w:rPr>
              <w:t>Overview – Regional economy</w:t>
            </w:r>
            <w:r w:rsidR="00671E4C">
              <w:rPr>
                <w:noProof/>
                <w:webHidden/>
              </w:rPr>
              <w:tab/>
            </w:r>
            <w:r w:rsidR="00AA3D97">
              <w:rPr>
                <w:noProof/>
                <w:webHidden/>
              </w:rPr>
              <w:fldChar w:fldCharType="begin"/>
            </w:r>
            <w:r w:rsidR="00671E4C">
              <w:rPr>
                <w:noProof/>
                <w:webHidden/>
              </w:rPr>
              <w:instrText xml:space="preserve"> PAGEREF _Toc374612467 \h </w:instrText>
            </w:r>
            <w:r w:rsidR="00AA3D97">
              <w:rPr>
                <w:noProof/>
                <w:webHidden/>
              </w:rPr>
            </w:r>
            <w:r w:rsidR="00AA3D97">
              <w:rPr>
                <w:noProof/>
                <w:webHidden/>
              </w:rPr>
              <w:fldChar w:fldCharType="separate"/>
            </w:r>
            <w:r w:rsidR="008F6CDA">
              <w:rPr>
                <w:noProof/>
                <w:webHidden/>
              </w:rPr>
              <w:t>57</w:t>
            </w:r>
            <w:r w:rsidR="00AA3D97">
              <w:rPr>
                <w:noProof/>
                <w:webHidden/>
              </w:rPr>
              <w:fldChar w:fldCharType="end"/>
            </w:r>
          </w:hyperlink>
        </w:p>
        <w:p w:rsidR="00671E4C" w:rsidRDefault="00827E2D">
          <w:pPr>
            <w:pStyle w:val="TOC2"/>
            <w:rPr>
              <w:noProof/>
              <w:sz w:val="22"/>
            </w:rPr>
          </w:pPr>
          <w:hyperlink w:anchor="_Toc374612468" w:history="1">
            <w:r w:rsidR="00671E4C" w:rsidRPr="00AF65D3">
              <w:rPr>
                <w:rStyle w:val="Hyperlink"/>
                <w:noProof/>
              </w:rPr>
              <w:t>10.2</w:t>
            </w:r>
            <w:r w:rsidR="00671E4C">
              <w:rPr>
                <w:noProof/>
                <w:sz w:val="22"/>
              </w:rPr>
              <w:tab/>
            </w:r>
            <w:r w:rsidR="00671E4C" w:rsidRPr="00AF65D3">
              <w:rPr>
                <w:rStyle w:val="Hyperlink"/>
                <w:noProof/>
              </w:rPr>
              <w:t>Employment</w:t>
            </w:r>
            <w:r w:rsidR="00671E4C">
              <w:rPr>
                <w:noProof/>
                <w:webHidden/>
              </w:rPr>
              <w:tab/>
            </w:r>
            <w:r w:rsidR="00AA3D97">
              <w:rPr>
                <w:noProof/>
                <w:webHidden/>
              </w:rPr>
              <w:fldChar w:fldCharType="begin"/>
            </w:r>
            <w:r w:rsidR="00671E4C">
              <w:rPr>
                <w:noProof/>
                <w:webHidden/>
              </w:rPr>
              <w:instrText xml:space="preserve"> PAGEREF _Toc374612468 \h </w:instrText>
            </w:r>
            <w:r w:rsidR="00AA3D97">
              <w:rPr>
                <w:noProof/>
                <w:webHidden/>
              </w:rPr>
            </w:r>
            <w:r w:rsidR="00AA3D97">
              <w:rPr>
                <w:noProof/>
                <w:webHidden/>
              </w:rPr>
              <w:fldChar w:fldCharType="separate"/>
            </w:r>
            <w:r w:rsidR="008F6CDA">
              <w:rPr>
                <w:noProof/>
                <w:webHidden/>
              </w:rPr>
              <w:t>60</w:t>
            </w:r>
            <w:r w:rsidR="00AA3D97">
              <w:rPr>
                <w:noProof/>
                <w:webHidden/>
              </w:rPr>
              <w:fldChar w:fldCharType="end"/>
            </w:r>
          </w:hyperlink>
        </w:p>
        <w:p w:rsidR="00671E4C" w:rsidRDefault="00827E2D">
          <w:pPr>
            <w:pStyle w:val="TOC2"/>
            <w:rPr>
              <w:noProof/>
              <w:sz w:val="22"/>
            </w:rPr>
          </w:pPr>
          <w:hyperlink w:anchor="_Toc374612469" w:history="1">
            <w:r w:rsidR="00671E4C" w:rsidRPr="00AF65D3">
              <w:rPr>
                <w:rStyle w:val="Hyperlink"/>
                <w:noProof/>
              </w:rPr>
              <w:t>10.3</w:t>
            </w:r>
            <w:r w:rsidR="00671E4C">
              <w:rPr>
                <w:noProof/>
                <w:sz w:val="22"/>
              </w:rPr>
              <w:tab/>
            </w:r>
            <w:r w:rsidR="00671E4C" w:rsidRPr="00AF65D3">
              <w:rPr>
                <w:rStyle w:val="Hyperlink"/>
                <w:noProof/>
              </w:rPr>
              <w:t>Guiding future economic growth</w:t>
            </w:r>
            <w:r w:rsidR="00671E4C">
              <w:rPr>
                <w:noProof/>
                <w:webHidden/>
              </w:rPr>
              <w:tab/>
            </w:r>
            <w:r w:rsidR="00AA3D97">
              <w:rPr>
                <w:noProof/>
                <w:webHidden/>
              </w:rPr>
              <w:fldChar w:fldCharType="begin"/>
            </w:r>
            <w:r w:rsidR="00671E4C">
              <w:rPr>
                <w:noProof/>
                <w:webHidden/>
              </w:rPr>
              <w:instrText xml:space="preserve"> PAGEREF _Toc374612469 \h </w:instrText>
            </w:r>
            <w:r w:rsidR="00AA3D97">
              <w:rPr>
                <w:noProof/>
                <w:webHidden/>
              </w:rPr>
            </w:r>
            <w:r w:rsidR="00AA3D97">
              <w:rPr>
                <w:noProof/>
                <w:webHidden/>
              </w:rPr>
              <w:fldChar w:fldCharType="separate"/>
            </w:r>
            <w:r w:rsidR="008F6CDA">
              <w:rPr>
                <w:noProof/>
                <w:webHidden/>
              </w:rPr>
              <w:t>61</w:t>
            </w:r>
            <w:r w:rsidR="00AA3D97">
              <w:rPr>
                <w:noProof/>
                <w:webHidden/>
              </w:rPr>
              <w:fldChar w:fldCharType="end"/>
            </w:r>
          </w:hyperlink>
        </w:p>
        <w:p w:rsidR="00671E4C" w:rsidRDefault="00827E2D">
          <w:pPr>
            <w:pStyle w:val="TOC3"/>
            <w:rPr>
              <w:sz w:val="22"/>
            </w:rPr>
          </w:pPr>
          <w:hyperlink w:anchor="_Toc374612470" w:history="1">
            <w:r w:rsidR="00671E4C" w:rsidRPr="00AF65D3">
              <w:rPr>
                <w:rStyle w:val="Hyperlink"/>
              </w:rPr>
              <w:t>10.3.1</w:t>
            </w:r>
            <w:r w:rsidR="00671E4C">
              <w:rPr>
                <w:sz w:val="22"/>
              </w:rPr>
              <w:tab/>
            </w:r>
            <w:r w:rsidR="00671E4C" w:rsidRPr="00AF65D3">
              <w:rPr>
                <w:rStyle w:val="Hyperlink"/>
              </w:rPr>
              <w:t>Urban growth</w:t>
            </w:r>
            <w:r w:rsidR="00671E4C">
              <w:rPr>
                <w:webHidden/>
              </w:rPr>
              <w:tab/>
            </w:r>
            <w:r w:rsidR="00AA3D97">
              <w:rPr>
                <w:webHidden/>
              </w:rPr>
              <w:fldChar w:fldCharType="begin"/>
            </w:r>
            <w:r w:rsidR="00671E4C">
              <w:rPr>
                <w:webHidden/>
              </w:rPr>
              <w:instrText xml:space="preserve"> PAGEREF _Toc374612470 \h </w:instrText>
            </w:r>
            <w:r w:rsidR="00AA3D97">
              <w:rPr>
                <w:webHidden/>
              </w:rPr>
            </w:r>
            <w:r w:rsidR="00AA3D97">
              <w:rPr>
                <w:webHidden/>
              </w:rPr>
              <w:fldChar w:fldCharType="separate"/>
            </w:r>
            <w:r w:rsidR="008F6CDA">
              <w:rPr>
                <w:webHidden/>
              </w:rPr>
              <w:t>61</w:t>
            </w:r>
            <w:r w:rsidR="00AA3D97">
              <w:rPr>
                <w:webHidden/>
              </w:rPr>
              <w:fldChar w:fldCharType="end"/>
            </w:r>
          </w:hyperlink>
        </w:p>
        <w:p w:rsidR="00671E4C" w:rsidRDefault="00827E2D">
          <w:pPr>
            <w:pStyle w:val="TOC3"/>
            <w:rPr>
              <w:sz w:val="22"/>
            </w:rPr>
          </w:pPr>
          <w:hyperlink w:anchor="_Toc374612471" w:history="1">
            <w:r w:rsidR="00671E4C" w:rsidRPr="00AF65D3">
              <w:rPr>
                <w:rStyle w:val="Hyperlink"/>
              </w:rPr>
              <w:t>10.3.2</w:t>
            </w:r>
            <w:r w:rsidR="00671E4C">
              <w:rPr>
                <w:sz w:val="22"/>
              </w:rPr>
              <w:tab/>
            </w:r>
            <w:r w:rsidR="00671E4C" w:rsidRPr="00AF65D3">
              <w:rPr>
                <w:rStyle w:val="Hyperlink"/>
              </w:rPr>
              <w:t>Employment</w:t>
            </w:r>
            <w:r w:rsidR="00671E4C">
              <w:rPr>
                <w:webHidden/>
              </w:rPr>
              <w:tab/>
            </w:r>
            <w:r w:rsidR="00AA3D97">
              <w:rPr>
                <w:webHidden/>
              </w:rPr>
              <w:fldChar w:fldCharType="begin"/>
            </w:r>
            <w:r w:rsidR="00671E4C">
              <w:rPr>
                <w:webHidden/>
              </w:rPr>
              <w:instrText xml:space="preserve"> PAGEREF _Toc374612471 \h </w:instrText>
            </w:r>
            <w:r w:rsidR="00AA3D97">
              <w:rPr>
                <w:webHidden/>
              </w:rPr>
            </w:r>
            <w:r w:rsidR="00AA3D97">
              <w:rPr>
                <w:webHidden/>
              </w:rPr>
              <w:fldChar w:fldCharType="separate"/>
            </w:r>
            <w:r w:rsidR="008F6CDA">
              <w:rPr>
                <w:webHidden/>
              </w:rPr>
              <w:t>63</w:t>
            </w:r>
            <w:r w:rsidR="00AA3D97">
              <w:rPr>
                <w:webHidden/>
              </w:rPr>
              <w:fldChar w:fldCharType="end"/>
            </w:r>
          </w:hyperlink>
        </w:p>
        <w:p w:rsidR="00671E4C" w:rsidRDefault="00827E2D">
          <w:pPr>
            <w:pStyle w:val="TOC3"/>
            <w:rPr>
              <w:sz w:val="22"/>
            </w:rPr>
          </w:pPr>
          <w:hyperlink w:anchor="_Toc374612472" w:history="1">
            <w:r w:rsidR="00671E4C" w:rsidRPr="00AF65D3">
              <w:rPr>
                <w:rStyle w:val="Hyperlink"/>
              </w:rPr>
              <w:t>10.3.3</w:t>
            </w:r>
            <w:r w:rsidR="00671E4C">
              <w:rPr>
                <w:sz w:val="22"/>
              </w:rPr>
              <w:tab/>
            </w:r>
            <w:r w:rsidR="00671E4C" w:rsidRPr="00AF65D3">
              <w:rPr>
                <w:rStyle w:val="Hyperlink"/>
              </w:rPr>
              <w:t>Investment</w:t>
            </w:r>
            <w:r w:rsidR="00671E4C">
              <w:rPr>
                <w:webHidden/>
              </w:rPr>
              <w:tab/>
            </w:r>
            <w:r w:rsidR="00AA3D97">
              <w:rPr>
                <w:webHidden/>
              </w:rPr>
              <w:fldChar w:fldCharType="begin"/>
            </w:r>
            <w:r w:rsidR="00671E4C">
              <w:rPr>
                <w:webHidden/>
              </w:rPr>
              <w:instrText xml:space="preserve"> PAGEREF _Toc374612472 \h </w:instrText>
            </w:r>
            <w:r w:rsidR="00AA3D97">
              <w:rPr>
                <w:webHidden/>
              </w:rPr>
            </w:r>
            <w:r w:rsidR="00AA3D97">
              <w:rPr>
                <w:webHidden/>
              </w:rPr>
              <w:fldChar w:fldCharType="separate"/>
            </w:r>
            <w:r w:rsidR="008F6CDA">
              <w:rPr>
                <w:webHidden/>
              </w:rPr>
              <w:t>63</w:t>
            </w:r>
            <w:r w:rsidR="00AA3D97">
              <w:rPr>
                <w:webHidden/>
              </w:rPr>
              <w:fldChar w:fldCharType="end"/>
            </w:r>
          </w:hyperlink>
        </w:p>
        <w:p w:rsidR="00671E4C" w:rsidRDefault="00827E2D">
          <w:pPr>
            <w:pStyle w:val="TOC3"/>
            <w:rPr>
              <w:sz w:val="22"/>
            </w:rPr>
          </w:pPr>
          <w:hyperlink w:anchor="_Toc374612473" w:history="1">
            <w:r w:rsidR="00671E4C" w:rsidRPr="00AF65D3">
              <w:rPr>
                <w:rStyle w:val="Hyperlink"/>
              </w:rPr>
              <w:t>10.3.4</w:t>
            </w:r>
            <w:r w:rsidR="00671E4C">
              <w:rPr>
                <w:sz w:val="22"/>
              </w:rPr>
              <w:tab/>
            </w:r>
            <w:r w:rsidR="00671E4C" w:rsidRPr="00AF65D3">
              <w:rPr>
                <w:rStyle w:val="Hyperlink"/>
              </w:rPr>
              <w:t>Tourism and environmental assets</w:t>
            </w:r>
            <w:r w:rsidR="00671E4C">
              <w:rPr>
                <w:webHidden/>
              </w:rPr>
              <w:tab/>
            </w:r>
            <w:r w:rsidR="00AA3D97">
              <w:rPr>
                <w:webHidden/>
              </w:rPr>
              <w:fldChar w:fldCharType="begin"/>
            </w:r>
            <w:r w:rsidR="00671E4C">
              <w:rPr>
                <w:webHidden/>
              </w:rPr>
              <w:instrText xml:space="preserve"> PAGEREF _Toc374612473 \h </w:instrText>
            </w:r>
            <w:r w:rsidR="00AA3D97">
              <w:rPr>
                <w:webHidden/>
              </w:rPr>
            </w:r>
            <w:r w:rsidR="00AA3D97">
              <w:rPr>
                <w:webHidden/>
              </w:rPr>
              <w:fldChar w:fldCharType="separate"/>
            </w:r>
            <w:r w:rsidR="008F6CDA">
              <w:rPr>
                <w:webHidden/>
              </w:rPr>
              <w:t>63</w:t>
            </w:r>
            <w:r w:rsidR="00AA3D97">
              <w:rPr>
                <w:webHidden/>
              </w:rPr>
              <w:fldChar w:fldCharType="end"/>
            </w:r>
          </w:hyperlink>
        </w:p>
        <w:p w:rsidR="00671E4C" w:rsidRDefault="00827E2D">
          <w:pPr>
            <w:pStyle w:val="TOC3"/>
            <w:rPr>
              <w:sz w:val="22"/>
            </w:rPr>
          </w:pPr>
          <w:hyperlink w:anchor="_Toc374612474" w:history="1">
            <w:r w:rsidR="00671E4C" w:rsidRPr="00AF65D3">
              <w:rPr>
                <w:rStyle w:val="Hyperlink"/>
              </w:rPr>
              <w:t>10.3.5</w:t>
            </w:r>
            <w:r w:rsidR="00671E4C">
              <w:rPr>
                <w:sz w:val="22"/>
              </w:rPr>
              <w:tab/>
            </w:r>
            <w:r w:rsidR="00671E4C" w:rsidRPr="00AF65D3">
              <w:rPr>
                <w:rStyle w:val="Hyperlink"/>
              </w:rPr>
              <w:t>Agriculture</w:t>
            </w:r>
            <w:r w:rsidR="00671E4C">
              <w:rPr>
                <w:webHidden/>
              </w:rPr>
              <w:tab/>
            </w:r>
            <w:r w:rsidR="00AA3D97">
              <w:rPr>
                <w:webHidden/>
              </w:rPr>
              <w:fldChar w:fldCharType="begin"/>
            </w:r>
            <w:r w:rsidR="00671E4C">
              <w:rPr>
                <w:webHidden/>
              </w:rPr>
              <w:instrText xml:space="preserve"> PAGEREF _Toc374612474 \h </w:instrText>
            </w:r>
            <w:r w:rsidR="00AA3D97">
              <w:rPr>
                <w:webHidden/>
              </w:rPr>
            </w:r>
            <w:r w:rsidR="00AA3D97">
              <w:rPr>
                <w:webHidden/>
              </w:rPr>
              <w:fldChar w:fldCharType="separate"/>
            </w:r>
            <w:r w:rsidR="008F6CDA">
              <w:rPr>
                <w:webHidden/>
              </w:rPr>
              <w:t>64</w:t>
            </w:r>
            <w:r w:rsidR="00AA3D97">
              <w:rPr>
                <w:webHidden/>
              </w:rPr>
              <w:fldChar w:fldCharType="end"/>
            </w:r>
          </w:hyperlink>
        </w:p>
        <w:p w:rsidR="00671E4C" w:rsidRDefault="00827E2D">
          <w:pPr>
            <w:pStyle w:val="TOC3"/>
            <w:rPr>
              <w:sz w:val="22"/>
            </w:rPr>
          </w:pPr>
          <w:hyperlink w:anchor="_Toc374612475" w:history="1">
            <w:r w:rsidR="00671E4C" w:rsidRPr="00AF65D3">
              <w:rPr>
                <w:rStyle w:val="Hyperlink"/>
              </w:rPr>
              <w:t>10.3.6</w:t>
            </w:r>
            <w:r w:rsidR="00671E4C">
              <w:rPr>
                <w:sz w:val="22"/>
              </w:rPr>
              <w:tab/>
            </w:r>
            <w:r w:rsidR="00671E4C" w:rsidRPr="00AF65D3">
              <w:rPr>
                <w:rStyle w:val="Hyperlink"/>
              </w:rPr>
              <w:t>Transport</w:t>
            </w:r>
            <w:r w:rsidR="00671E4C">
              <w:rPr>
                <w:webHidden/>
              </w:rPr>
              <w:tab/>
            </w:r>
            <w:r w:rsidR="00AA3D97">
              <w:rPr>
                <w:webHidden/>
              </w:rPr>
              <w:fldChar w:fldCharType="begin"/>
            </w:r>
            <w:r w:rsidR="00671E4C">
              <w:rPr>
                <w:webHidden/>
              </w:rPr>
              <w:instrText xml:space="preserve"> PAGEREF _Toc374612475 \h </w:instrText>
            </w:r>
            <w:r w:rsidR="00AA3D97">
              <w:rPr>
                <w:webHidden/>
              </w:rPr>
            </w:r>
            <w:r w:rsidR="00AA3D97">
              <w:rPr>
                <w:webHidden/>
              </w:rPr>
              <w:fldChar w:fldCharType="separate"/>
            </w:r>
            <w:r w:rsidR="008F6CDA">
              <w:rPr>
                <w:webHidden/>
              </w:rPr>
              <w:t>64</w:t>
            </w:r>
            <w:r w:rsidR="00AA3D97">
              <w:rPr>
                <w:webHidden/>
              </w:rPr>
              <w:fldChar w:fldCharType="end"/>
            </w:r>
          </w:hyperlink>
        </w:p>
        <w:p w:rsidR="00671E4C" w:rsidRDefault="00827E2D">
          <w:pPr>
            <w:pStyle w:val="TOC3"/>
            <w:rPr>
              <w:sz w:val="22"/>
            </w:rPr>
          </w:pPr>
          <w:hyperlink w:anchor="_Toc374612476" w:history="1">
            <w:r w:rsidR="00671E4C" w:rsidRPr="00AF65D3">
              <w:rPr>
                <w:rStyle w:val="Hyperlink"/>
              </w:rPr>
              <w:t>10.3.7</w:t>
            </w:r>
            <w:r w:rsidR="00671E4C">
              <w:rPr>
                <w:sz w:val="22"/>
              </w:rPr>
              <w:tab/>
            </w:r>
            <w:r w:rsidR="00671E4C" w:rsidRPr="00AF65D3">
              <w:rPr>
                <w:rStyle w:val="Hyperlink"/>
              </w:rPr>
              <w:t>New industry and mining</w:t>
            </w:r>
            <w:r w:rsidR="00671E4C">
              <w:rPr>
                <w:webHidden/>
              </w:rPr>
              <w:tab/>
            </w:r>
            <w:r w:rsidR="00AA3D97">
              <w:rPr>
                <w:webHidden/>
              </w:rPr>
              <w:fldChar w:fldCharType="begin"/>
            </w:r>
            <w:r w:rsidR="00671E4C">
              <w:rPr>
                <w:webHidden/>
              </w:rPr>
              <w:instrText xml:space="preserve"> PAGEREF _Toc374612476 \h </w:instrText>
            </w:r>
            <w:r w:rsidR="00AA3D97">
              <w:rPr>
                <w:webHidden/>
              </w:rPr>
            </w:r>
            <w:r w:rsidR="00AA3D97">
              <w:rPr>
                <w:webHidden/>
              </w:rPr>
              <w:fldChar w:fldCharType="separate"/>
            </w:r>
            <w:r w:rsidR="008F6CDA">
              <w:rPr>
                <w:webHidden/>
              </w:rPr>
              <w:t>65</w:t>
            </w:r>
            <w:r w:rsidR="00AA3D97">
              <w:rPr>
                <w:webHidden/>
              </w:rPr>
              <w:fldChar w:fldCharType="end"/>
            </w:r>
          </w:hyperlink>
        </w:p>
        <w:p w:rsidR="00671E4C" w:rsidRDefault="00827E2D">
          <w:pPr>
            <w:pStyle w:val="TOC1"/>
            <w:rPr>
              <w:noProof/>
            </w:rPr>
          </w:pPr>
          <w:hyperlink w:anchor="_Toc374612477" w:history="1">
            <w:r w:rsidR="00671E4C" w:rsidRPr="00AF65D3">
              <w:rPr>
                <w:rStyle w:val="Hyperlink"/>
                <w:noProof/>
              </w:rPr>
              <w:t>11.</w:t>
            </w:r>
            <w:r w:rsidR="00671E4C">
              <w:rPr>
                <w:noProof/>
              </w:rPr>
              <w:tab/>
            </w:r>
            <w:r w:rsidR="00671E4C" w:rsidRPr="00AF65D3">
              <w:rPr>
                <w:rStyle w:val="Hyperlink"/>
                <w:noProof/>
              </w:rPr>
              <w:t>Environment and heritage</w:t>
            </w:r>
            <w:r w:rsidR="00671E4C">
              <w:rPr>
                <w:noProof/>
                <w:webHidden/>
              </w:rPr>
              <w:tab/>
            </w:r>
            <w:r w:rsidR="00AA3D97">
              <w:rPr>
                <w:noProof/>
                <w:webHidden/>
              </w:rPr>
              <w:fldChar w:fldCharType="begin"/>
            </w:r>
            <w:r w:rsidR="00671E4C">
              <w:rPr>
                <w:noProof/>
                <w:webHidden/>
              </w:rPr>
              <w:instrText xml:space="preserve"> PAGEREF _Toc374612477 \h </w:instrText>
            </w:r>
            <w:r w:rsidR="00AA3D97">
              <w:rPr>
                <w:noProof/>
                <w:webHidden/>
              </w:rPr>
            </w:r>
            <w:r w:rsidR="00AA3D97">
              <w:rPr>
                <w:noProof/>
                <w:webHidden/>
              </w:rPr>
              <w:fldChar w:fldCharType="separate"/>
            </w:r>
            <w:r w:rsidR="008F6CDA">
              <w:rPr>
                <w:noProof/>
                <w:webHidden/>
              </w:rPr>
              <w:t>65</w:t>
            </w:r>
            <w:r w:rsidR="00AA3D97">
              <w:rPr>
                <w:noProof/>
                <w:webHidden/>
              </w:rPr>
              <w:fldChar w:fldCharType="end"/>
            </w:r>
          </w:hyperlink>
        </w:p>
        <w:p w:rsidR="00671E4C" w:rsidRDefault="00827E2D">
          <w:pPr>
            <w:pStyle w:val="TOC2"/>
            <w:rPr>
              <w:noProof/>
              <w:sz w:val="22"/>
            </w:rPr>
          </w:pPr>
          <w:hyperlink w:anchor="_Toc374612478" w:history="1">
            <w:r w:rsidR="00671E4C" w:rsidRPr="00AF65D3">
              <w:rPr>
                <w:rStyle w:val="Hyperlink"/>
                <w:noProof/>
              </w:rPr>
              <w:t>11.1</w:t>
            </w:r>
            <w:r w:rsidR="00671E4C">
              <w:rPr>
                <w:noProof/>
                <w:sz w:val="22"/>
              </w:rPr>
              <w:tab/>
            </w:r>
            <w:r w:rsidR="00671E4C" w:rsidRPr="00AF65D3">
              <w:rPr>
                <w:rStyle w:val="Hyperlink"/>
                <w:noProof/>
              </w:rPr>
              <w:t>Overview</w:t>
            </w:r>
            <w:r w:rsidR="00671E4C">
              <w:rPr>
                <w:noProof/>
                <w:webHidden/>
              </w:rPr>
              <w:tab/>
            </w:r>
            <w:r w:rsidR="00AA3D97">
              <w:rPr>
                <w:noProof/>
                <w:webHidden/>
              </w:rPr>
              <w:fldChar w:fldCharType="begin"/>
            </w:r>
            <w:r w:rsidR="00671E4C">
              <w:rPr>
                <w:noProof/>
                <w:webHidden/>
              </w:rPr>
              <w:instrText xml:space="preserve"> PAGEREF _Toc374612478 \h </w:instrText>
            </w:r>
            <w:r w:rsidR="00AA3D97">
              <w:rPr>
                <w:noProof/>
                <w:webHidden/>
              </w:rPr>
            </w:r>
            <w:r w:rsidR="00AA3D97">
              <w:rPr>
                <w:noProof/>
                <w:webHidden/>
              </w:rPr>
              <w:fldChar w:fldCharType="separate"/>
            </w:r>
            <w:r w:rsidR="008F6CDA">
              <w:rPr>
                <w:noProof/>
                <w:webHidden/>
              </w:rPr>
              <w:t>65</w:t>
            </w:r>
            <w:r w:rsidR="00AA3D97">
              <w:rPr>
                <w:noProof/>
                <w:webHidden/>
              </w:rPr>
              <w:fldChar w:fldCharType="end"/>
            </w:r>
          </w:hyperlink>
        </w:p>
        <w:p w:rsidR="00671E4C" w:rsidRDefault="00827E2D">
          <w:pPr>
            <w:pStyle w:val="TOC2"/>
            <w:rPr>
              <w:noProof/>
              <w:sz w:val="22"/>
            </w:rPr>
          </w:pPr>
          <w:hyperlink w:anchor="_Toc374612479" w:history="1">
            <w:r w:rsidR="00671E4C" w:rsidRPr="00AF65D3">
              <w:rPr>
                <w:rStyle w:val="Hyperlink"/>
                <w:noProof/>
              </w:rPr>
              <w:t>11.2</w:t>
            </w:r>
            <w:r w:rsidR="00671E4C">
              <w:rPr>
                <w:noProof/>
                <w:sz w:val="22"/>
              </w:rPr>
              <w:tab/>
            </w:r>
            <w:r w:rsidR="00671E4C" w:rsidRPr="00AF65D3">
              <w:rPr>
                <w:rStyle w:val="Hyperlink"/>
                <w:noProof/>
              </w:rPr>
              <w:t>Guiding the future protection of environmental and heritage assets</w:t>
            </w:r>
            <w:r w:rsidR="00671E4C">
              <w:rPr>
                <w:noProof/>
                <w:webHidden/>
              </w:rPr>
              <w:tab/>
            </w:r>
            <w:r w:rsidR="00AA3D97">
              <w:rPr>
                <w:noProof/>
                <w:webHidden/>
              </w:rPr>
              <w:fldChar w:fldCharType="begin"/>
            </w:r>
            <w:r w:rsidR="00671E4C">
              <w:rPr>
                <w:noProof/>
                <w:webHidden/>
              </w:rPr>
              <w:instrText xml:space="preserve"> PAGEREF _Toc374612479 \h </w:instrText>
            </w:r>
            <w:r w:rsidR="00AA3D97">
              <w:rPr>
                <w:noProof/>
                <w:webHidden/>
              </w:rPr>
            </w:r>
            <w:r w:rsidR="00AA3D97">
              <w:rPr>
                <w:noProof/>
                <w:webHidden/>
              </w:rPr>
              <w:fldChar w:fldCharType="separate"/>
            </w:r>
            <w:r w:rsidR="008F6CDA">
              <w:rPr>
                <w:noProof/>
                <w:webHidden/>
              </w:rPr>
              <w:t>66</w:t>
            </w:r>
            <w:r w:rsidR="00AA3D97">
              <w:rPr>
                <w:noProof/>
                <w:webHidden/>
              </w:rPr>
              <w:fldChar w:fldCharType="end"/>
            </w:r>
          </w:hyperlink>
        </w:p>
        <w:p w:rsidR="00671E4C" w:rsidRDefault="00827E2D">
          <w:pPr>
            <w:pStyle w:val="TOC3"/>
            <w:rPr>
              <w:sz w:val="22"/>
            </w:rPr>
          </w:pPr>
          <w:hyperlink w:anchor="_Toc374612480" w:history="1">
            <w:r w:rsidR="00671E4C" w:rsidRPr="00AF65D3">
              <w:rPr>
                <w:rStyle w:val="Hyperlink"/>
              </w:rPr>
              <w:t>11.2.1</w:t>
            </w:r>
            <w:r w:rsidR="00671E4C">
              <w:rPr>
                <w:sz w:val="22"/>
              </w:rPr>
              <w:tab/>
            </w:r>
            <w:r w:rsidR="00671E4C" w:rsidRPr="00AF65D3">
              <w:rPr>
                <w:rStyle w:val="Hyperlink"/>
              </w:rPr>
              <w:t>Regional landscape</w:t>
            </w:r>
            <w:r w:rsidR="00671E4C">
              <w:rPr>
                <w:webHidden/>
              </w:rPr>
              <w:tab/>
            </w:r>
            <w:r w:rsidR="00AA3D97">
              <w:rPr>
                <w:webHidden/>
              </w:rPr>
              <w:fldChar w:fldCharType="begin"/>
            </w:r>
            <w:r w:rsidR="00671E4C">
              <w:rPr>
                <w:webHidden/>
              </w:rPr>
              <w:instrText xml:space="preserve"> PAGEREF _Toc374612480 \h </w:instrText>
            </w:r>
            <w:r w:rsidR="00AA3D97">
              <w:rPr>
                <w:webHidden/>
              </w:rPr>
            </w:r>
            <w:r w:rsidR="00AA3D97">
              <w:rPr>
                <w:webHidden/>
              </w:rPr>
              <w:fldChar w:fldCharType="separate"/>
            </w:r>
            <w:r w:rsidR="008F6CDA">
              <w:rPr>
                <w:webHidden/>
              </w:rPr>
              <w:t>67</w:t>
            </w:r>
            <w:r w:rsidR="00AA3D97">
              <w:rPr>
                <w:webHidden/>
              </w:rPr>
              <w:fldChar w:fldCharType="end"/>
            </w:r>
          </w:hyperlink>
        </w:p>
        <w:p w:rsidR="00671E4C" w:rsidRDefault="00827E2D">
          <w:pPr>
            <w:pStyle w:val="TOC3"/>
            <w:rPr>
              <w:sz w:val="22"/>
            </w:rPr>
          </w:pPr>
          <w:hyperlink w:anchor="_Toc374612481" w:history="1">
            <w:r w:rsidR="00671E4C" w:rsidRPr="00AF65D3">
              <w:rPr>
                <w:rStyle w:val="Hyperlink"/>
              </w:rPr>
              <w:t>11.2.2</w:t>
            </w:r>
            <w:r w:rsidR="00671E4C">
              <w:rPr>
                <w:sz w:val="22"/>
              </w:rPr>
              <w:tab/>
            </w:r>
            <w:r w:rsidR="00671E4C" w:rsidRPr="00AF65D3">
              <w:rPr>
                <w:rStyle w:val="Hyperlink"/>
              </w:rPr>
              <w:t>Cultural heritage</w:t>
            </w:r>
            <w:r w:rsidR="00671E4C">
              <w:rPr>
                <w:webHidden/>
              </w:rPr>
              <w:tab/>
            </w:r>
            <w:r w:rsidR="00AA3D97">
              <w:rPr>
                <w:webHidden/>
              </w:rPr>
              <w:fldChar w:fldCharType="begin"/>
            </w:r>
            <w:r w:rsidR="00671E4C">
              <w:rPr>
                <w:webHidden/>
              </w:rPr>
              <w:instrText xml:space="preserve"> PAGEREF _Toc374612481 \h </w:instrText>
            </w:r>
            <w:r w:rsidR="00AA3D97">
              <w:rPr>
                <w:webHidden/>
              </w:rPr>
            </w:r>
            <w:r w:rsidR="00AA3D97">
              <w:rPr>
                <w:webHidden/>
              </w:rPr>
              <w:fldChar w:fldCharType="separate"/>
            </w:r>
            <w:r w:rsidR="008F6CDA">
              <w:rPr>
                <w:webHidden/>
              </w:rPr>
              <w:t>69</w:t>
            </w:r>
            <w:r w:rsidR="00AA3D97">
              <w:rPr>
                <w:webHidden/>
              </w:rPr>
              <w:fldChar w:fldCharType="end"/>
            </w:r>
          </w:hyperlink>
        </w:p>
        <w:p w:rsidR="00671E4C" w:rsidRDefault="00827E2D">
          <w:pPr>
            <w:pStyle w:val="TOC3"/>
            <w:rPr>
              <w:sz w:val="22"/>
            </w:rPr>
          </w:pPr>
          <w:hyperlink w:anchor="_Toc374612482" w:history="1">
            <w:r w:rsidR="00671E4C" w:rsidRPr="00AF65D3">
              <w:rPr>
                <w:rStyle w:val="Hyperlink"/>
              </w:rPr>
              <w:t>11.2.3</w:t>
            </w:r>
            <w:r w:rsidR="00671E4C">
              <w:rPr>
                <w:sz w:val="22"/>
              </w:rPr>
              <w:tab/>
            </w:r>
            <w:r w:rsidR="00671E4C" w:rsidRPr="00AF65D3">
              <w:rPr>
                <w:rStyle w:val="Hyperlink"/>
              </w:rPr>
              <w:t>Terrestrial habitat</w:t>
            </w:r>
            <w:r w:rsidR="00671E4C">
              <w:rPr>
                <w:webHidden/>
              </w:rPr>
              <w:tab/>
            </w:r>
            <w:r w:rsidR="00AA3D97">
              <w:rPr>
                <w:webHidden/>
              </w:rPr>
              <w:fldChar w:fldCharType="begin"/>
            </w:r>
            <w:r w:rsidR="00671E4C">
              <w:rPr>
                <w:webHidden/>
              </w:rPr>
              <w:instrText xml:space="preserve"> PAGEREF _Toc374612482 \h </w:instrText>
            </w:r>
            <w:r w:rsidR="00AA3D97">
              <w:rPr>
                <w:webHidden/>
              </w:rPr>
            </w:r>
            <w:r w:rsidR="00AA3D97">
              <w:rPr>
                <w:webHidden/>
              </w:rPr>
              <w:fldChar w:fldCharType="separate"/>
            </w:r>
            <w:r w:rsidR="008F6CDA">
              <w:rPr>
                <w:webHidden/>
              </w:rPr>
              <w:t>70</w:t>
            </w:r>
            <w:r w:rsidR="00AA3D97">
              <w:rPr>
                <w:webHidden/>
              </w:rPr>
              <w:fldChar w:fldCharType="end"/>
            </w:r>
          </w:hyperlink>
        </w:p>
        <w:p w:rsidR="00671E4C" w:rsidRDefault="00827E2D">
          <w:pPr>
            <w:pStyle w:val="TOC3"/>
            <w:rPr>
              <w:sz w:val="22"/>
            </w:rPr>
          </w:pPr>
          <w:hyperlink w:anchor="_Toc374612483" w:history="1">
            <w:r w:rsidR="00671E4C" w:rsidRPr="00AF65D3">
              <w:rPr>
                <w:rStyle w:val="Hyperlink"/>
              </w:rPr>
              <w:t>11.2.4</w:t>
            </w:r>
            <w:r w:rsidR="00671E4C">
              <w:rPr>
                <w:sz w:val="22"/>
              </w:rPr>
              <w:tab/>
            </w:r>
            <w:r w:rsidR="00671E4C" w:rsidRPr="00AF65D3">
              <w:rPr>
                <w:rStyle w:val="Hyperlink"/>
              </w:rPr>
              <w:t>Water and land use</w:t>
            </w:r>
            <w:r w:rsidR="00671E4C">
              <w:rPr>
                <w:webHidden/>
              </w:rPr>
              <w:tab/>
            </w:r>
            <w:r w:rsidR="00AA3D97">
              <w:rPr>
                <w:webHidden/>
              </w:rPr>
              <w:fldChar w:fldCharType="begin"/>
            </w:r>
            <w:r w:rsidR="00671E4C">
              <w:rPr>
                <w:webHidden/>
              </w:rPr>
              <w:instrText xml:space="preserve"> PAGEREF _Toc374612483 \h </w:instrText>
            </w:r>
            <w:r w:rsidR="00AA3D97">
              <w:rPr>
                <w:webHidden/>
              </w:rPr>
            </w:r>
            <w:r w:rsidR="00AA3D97">
              <w:rPr>
                <w:webHidden/>
              </w:rPr>
              <w:fldChar w:fldCharType="separate"/>
            </w:r>
            <w:r w:rsidR="008F6CDA">
              <w:rPr>
                <w:webHidden/>
              </w:rPr>
              <w:t>73</w:t>
            </w:r>
            <w:r w:rsidR="00AA3D97">
              <w:rPr>
                <w:webHidden/>
              </w:rPr>
              <w:fldChar w:fldCharType="end"/>
            </w:r>
          </w:hyperlink>
        </w:p>
        <w:p w:rsidR="00671E4C" w:rsidRDefault="00827E2D">
          <w:pPr>
            <w:pStyle w:val="TOC3"/>
            <w:rPr>
              <w:sz w:val="22"/>
            </w:rPr>
          </w:pPr>
          <w:hyperlink w:anchor="_Toc374612484" w:history="1">
            <w:r w:rsidR="00671E4C" w:rsidRPr="00AF65D3">
              <w:rPr>
                <w:rStyle w:val="Hyperlink"/>
              </w:rPr>
              <w:t>11.2.5</w:t>
            </w:r>
            <w:r w:rsidR="00671E4C">
              <w:rPr>
                <w:sz w:val="22"/>
              </w:rPr>
              <w:tab/>
            </w:r>
            <w:r w:rsidR="00671E4C" w:rsidRPr="00AF65D3">
              <w:rPr>
                <w:rStyle w:val="Hyperlink"/>
              </w:rPr>
              <w:t>Air quality</w:t>
            </w:r>
            <w:r w:rsidR="00671E4C">
              <w:rPr>
                <w:webHidden/>
              </w:rPr>
              <w:tab/>
            </w:r>
            <w:r w:rsidR="00AA3D97">
              <w:rPr>
                <w:webHidden/>
              </w:rPr>
              <w:fldChar w:fldCharType="begin"/>
            </w:r>
            <w:r w:rsidR="00671E4C">
              <w:rPr>
                <w:webHidden/>
              </w:rPr>
              <w:instrText xml:space="preserve"> PAGEREF _Toc374612484 \h </w:instrText>
            </w:r>
            <w:r w:rsidR="00AA3D97">
              <w:rPr>
                <w:webHidden/>
              </w:rPr>
            </w:r>
            <w:r w:rsidR="00AA3D97">
              <w:rPr>
                <w:webHidden/>
              </w:rPr>
              <w:fldChar w:fldCharType="separate"/>
            </w:r>
            <w:r w:rsidR="008F6CDA">
              <w:rPr>
                <w:webHidden/>
              </w:rPr>
              <w:t>77</w:t>
            </w:r>
            <w:r w:rsidR="00AA3D97">
              <w:rPr>
                <w:webHidden/>
              </w:rPr>
              <w:fldChar w:fldCharType="end"/>
            </w:r>
          </w:hyperlink>
        </w:p>
        <w:p w:rsidR="00671E4C" w:rsidRDefault="00827E2D">
          <w:pPr>
            <w:pStyle w:val="TOC3"/>
            <w:rPr>
              <w:sz w:val="22"/>
            </w:rPr>
          </w:pPr>
          <w:hyperlink w:anchor="_Toc374612485" w:history="1">
            <w:r w:rsidR="00671E4C" w:rsidRPr="00AF65D3">
              <w:rPr>
                <w:rStyle w:val="Hyperlink"/>
              </w:rPr>
              <w:t>11.2.6</w:t>
            </w:r>
            <w:r w:rsidR="00671E4C">
              <w:rPr>
                <w:sz w:val="22"/>
              </w:rPr>
              <w:tab/>
            </w:r>
            <w:r w:rsidR="00671E4C" w:rsidRPr="00AF65D3">
              <w:rPr>
                <w:rStyle w:val="Hyperlink"/>
              </w:rPr>
              <w:t>Soils</w:t>
            </w:r>
            <w:r w:rsidR="00671E4C">
              <w:rPr>
                <w:webHidden/>
              </w:rPr>
              <w:tab/>
            </w:r>
            <w:r w:rsidR="00AA3D97">
              <w:rPr>
                <w:webHidden/>
              </w:rPr>
              <w:fldChar w:fldCharType="begin"/>
            </w:r>
            <w:r w:rsidR="00671E4C">
              <w:rPr>
                <w:webHidden/>
              </w:rPr>
              <w:instrText xml:space="preserve"> PAGEREF _Toc374612485 \h </w:instrText>
            </w:r>
            <w:r w:rsidR="00AA3D97">
              <w:rPr>
                <w:webHidden/>
              </w:rPr>
            </w:r>
            <w:r w:rsidR="00AA3D97">
              <w:rPr>
                <w:webHidden/>
              </w:rPr>
              <w:fldChar w:fldCharType="separate"/>
            </w:r>
            <w:r w:rsidR="008F6CDA">
              <w:rPr>
                <w:webHidden/>
              </w:rPr>
              <w:t>77</w:t>
            </w:r>
            <w:r w:rsidR="00AA3D97">
              <w:rPr>
                <w:webHidden/>
              </w:rPr>
              <w:fldChar w:fldCharType="end"/>
            </w:r>
          </w:hyperlink>
        </w:p>
        <w:p w:rsidR="00671E4C" w:rsidRDefault="00827E2D">
          <w:pPr>
            <w:pStyle w:val="TOC3"/>
            <w:rPr>
              <w:sz w:val="22"/>
            </w:rPr>
          </w:pPr>
          <w:hyperlink w:anchor="_Toc374612486" w:history="1">
            <w:r w:rsidR="00671E4C" w:rsidRPr="00AF65D3">
              <w:rPr>
                <w:rStyle w:val="Hyperlink"/>
              </w:rPr>
              <w:t>11.2.7</w:t>
            </w:r>
            <w:r w:rsidR="00671E4C">
              <w:rPr>
                <w:sz w:val="22"/>
              </w:rPr>
              <w:tab/>
            </w:r>
            <w:r w:rsidR="00671E4C" w:rsidRPr="00AF65D3">
              <w:rPr>
                <w:rStyle w:val="Hyperlink"/>
              </w:rPr>
              <w:t>Public land</w:t>
            </w:r>
            <w:r w:rsidR="00671E4C">
              <w:rPr>
                <w:webHidden/>
              </w:rPr>
              <w:tab/>
            </w:r>
            <w:r w:rsidR="00AA3D97">
              <w:rPr>
                <w:webHidden/>
              </w:rPr>
              <w:fldChar w:fldCharType="begin"/>
            </w:r>
            <w:r w:rsidR="00671E4C">
              <w:rPr>
                <w:webHidden/>
              </w:rPr>
              <w:instrText xml:space="preserve"> PAGEREF _Toc374612486 \h </w:instrText>
            </w:r>
            <w:r w:rsidR="00AA3D97">
              <w:rPr>
                <w:webHidden/>
              </w:rPr>
            </w:r>
            <w:r w:rsidR="00AA3D97">
              <w:rPr>
                <w:webHidden/>
              </w:rPr>
              <w:fldChar w:fldCharType="separate"/>
            </w:r>
            <w:r w:rsidR="008F6CDA">
              <w:rPr>
                <w:webHidden/>
              </w:rPr>
              <w:t>77</w:t>
            </w:r>
            <w:r w:rsidR="00AA3D97">
              <w:rPr>
                <w:webHidden/>
              </w:rPr>
              <w:fldChar w:fldCharType="end"/>
            </w:r>
          </w:hyperlink>
        </w:p>
        <w:p w:rsidR="00671E4C" w:rsidRDefault="00827E2D">
          <w:pPr>
            <w:pStyle w:val="TOC2"/>
            <w:rPr>
              <w:noProof/>
              <w:sz w:val="22"/>
            </w:rPr>
          </w:pPr>
          <w:hyperlink w:anchor="_Toc374612487" w:history="1">
            <w:r w:rsidR="00671E4C" w:rsidRPr="00AF65D3">
              <w:rPr>
                <w:rStyle w:val="Hyperlink"/>
                <w:noProof/>
              </w:rPr>
              <w:t>11.3</w:t>
            </w:r>
            <w:r w:rsidR="00671E4C">
              <w:rPr>
                <w:noProof/>
                <w:sz w:val="22"/>
              </w:rPr>
              <w:tab/>
            </w:r>
            <w:r w:rsidR="00671E4C" w:rsidRPr="00AF65D3">
              <w:rPr>
                <w:rStyle w:val="Hyperlink"/>
                <w:noProof/>
              </w:rPr>
              <w:t>Planning for natural hazards</w:t>
            </w:r>
            <w:r w:rsidR="00671E4C">
              <w:rPr>
                <w:noProof/>
                <w:webHidden/>
              </w:rPr>
              <w:tab/>
            </w:r>
            <w:r w:rsidR="00AA3D97">
              <w:rPr>
                <w:noProof/>
                <w:webHidden/>
              </w:rPr>
              <w:fldChar w:fldCharType="begin"/>
            </w:r>
            <w:r w:rsidR="00671E4C">
              <w:rPr>
                <w:noProof/>
                <w:webHidden/>
              </w:rPr>
              <w:instrText xml:space="preserve"> PAGEREF _Toc374612487 \h </w:instrText>
            </w:r>
            <w:r w:rsidR="00AA3D97">
              <w:rPr>
                <w:noProof/>
                <w:webHidden/>
              </w:rPr>
            </w:r>
            <w:r w:rsidR="00AA3D97">
              <w:rPr>
                <w:noProof/>
                <w:webHidden/>
              </w:rPr>
              <w:fldChar w:fldCharType="separate"/>
            </w:r>
            <w:r w:rsidR="008F6CDA">
              <w:rPr>
                <w:noProof/>
                <w:webHidden/>
              </w:rPr>
              <w:t>78</w:t>
            </w:r>
            <w:r w:rsidR="00AA3D97">
              <w:rPr>
                <w:noProof/>
                <w:webHidden/>
              </w:rPr>
              <w:fldChar w:fldCharType="end"/>
            </w:r>
          </w:hyperlink>
        </w:p>
        <w:p w:rsidR="00671E4C" w:rsidRDefault="00827E2D">
          <w:pPr>
            <w:pStyle w:val="TOC3"/>
            <w:rPr>
              <w:sz w:val="22"/>
            </w:rPr>
          </w:pPr>
          <w:hyperlink w:anchor="_Toc374612488" w:history="1">
            <w:r w:rsidR="00671E4C" w:rsidRPr="00AF65D3">
              <w:rPr>
                <w:rStyle w:val="Hyperlink"/>
              </w:rPr>
              <w:t>11.3.1</w:t>
            </w:r>
            <w:r w:rsidR="00671E4C">
              <w:rPr>
                <w:sz w:val="22"/>
              </w:rPr>
              <w:tab/>
            </w:r>
            <w:r w:rsidR="00671E4C" w:rsidRPr="00AF65D3">
              <w:rPr>
                <w:rStyle w:val="Hyperlink"/>
              </w:rPr>
              <w:t>Climate</w:t>
            </w:r>
            <w:r w:rsidR="00671E4C">
              <w:rPr>
                <w:webHidden/>
              </w:rPr>
              <w:tab/>
            </w:r>
            <w:r w:rsidR="00AA3D97">
              <w:rPr>
                <w:webHidden/>
              </w:rPr>
              <w:fldChar w:fldCharType="begin"/>
            </w:r>
            <w:r w:rsidR="00671E4C">
              <w:rPr>
                <w:webHidden/>
              </w:rPr>
              <w:instrText xml:space="preserve"> PAGEREF _Toc374612488 \h </w:instrText>
            </w:r>
            <w:r w:rsidR="00AA3D97">
              <w:rPr>
                <w:webHidden/>
              </w:rPr>
            </w:r>
            <w:r w:rsidR="00AA3D97">
              <w:rPr>
                <w:webHidden/>
              </w:rPr>
              <w:fldChar w:fldCharType="separate"/>
            </w:r>
            <w:r w:rsidR="008F6CDA">
              <w:rPr>
                <w:webHidden/>
              </w:rPr>
              <w:t>78</w:t>
            </w:r>
            <w:r w:rsidR="00AA3D97">
              <w:rPr>
                <w:webHidden/>
              </w:rPr>
              <w:fldChar w:fldCharType="end"/>
            </w:r>
          </w:hyperlink>
        </w:p>
        <w:p w:rsidR="00671E4C" w:rsidRDefault="00827E2D">
          <w:pPr>
            <w:pStyle w:val="TOC3"/>
            <w:rPr>
              <w:sz w:val="22"/>
            </w:rPr>
          </w:pPr>
          <w:hyperlink w:anchor="_Toc374612489" w:history="1">
            <w:r w:rsidR="00671E4C" w:rsidRPr="00AF65D3">
              <w:rPr>
                <w:rStyle w:val="Hyperlink"/>
              </w:rPr>
              <w:t>11.3.2</w:t>
            </w:r>
            <w:r w:rsidR="00671E4C">
              <w:rPr>
                <w:sz w:val="22"/>
              </w:rPr>
              <w:tab/>
            </w:r>
            <w:r w:rsidR="00671E4C" w:rsidRPr="00AF65D3">
              <w:rPr>
                <w:rStyle w:val="Hyperlink"/>
              </w:rPr>
              <w:t>Flooding</w:t>
            </w:r>
            <w:r w:rsidR="00671E4C">
              <w:rPr>
                <w:webHidden/>
              </w:rPr>
              <w:tab/>
            </w:r>
            <w:r w:rsidR="00AA3D97">
              <w:rPr>
                <w:webHidden/>
              </w:rPr>
              <w:fldChar w:fldCharType="begin"/>
            </w:r>
            <w:r w:rsidR="00671E4C">
              <w:rPr>
                <w:webHidden/>
              </w:rPr>
              <w:instrText xml:space="preserve"> PAGEREF _Toc374612489 \h </w:instrText>
            </w:r>
            <w:r w:rsidR="00AA3D97">
              <w:rPr>
                <w:webHidden/>
              </w:rPr>
            </w:r>
            <w:r w:rsidR="00AA3D97">
              <w:rPr>
                <w:webHidden/>
              </w:rPr>
              <w:fldChar w:fldCharType="separate"/>
            </w:r>
            <w:r w:rsidR="008F6CDA">
              <w:rPr>
                <w:webHidden/>
              </w:rPr>
              <w:t>78</w:t>
            </w:r>
            <w:r w:rsidR="00AA3D97">
              <w:rPr>
                <w:webHidden/>
              </w:rPr>
              <w:fldChar w:fldCharType="end"/>
            </w:r>
          </w:hyperlink>
        </w:p>
        <w:p w:rsidR="00671E4C" w:rsidRDefault="00827E2D">
          <w:pPr>
            <w:pStyle w:val="TOC3"/>
            <w:rPr>
              <w:sz w:val="22"/>
            </w:rPr>
          </w:pPr>
          <w:hyperlink w:anchor="_Toc374612490" w:history="1">
            <w:r w:rsidR="00671E4C" w:rsidRPr="00AF65D3">
              <w:rPr>
                <w:rStyle w:val="Hyperlink"/>
              </w:rPr>
              <w:t>11.3.3</w:t>
            </w:r>
            <w:r w:rsidR="00671E4C">
              <w:rPr>
                <w:sz w:val="22"/>
              </w:rPr>
              <w:tab/>
            </w:r>
            <w:r w:rsidR="00671E4C" w:rsidRPr="00AF65D3">
              <w:rPr>
                <w:rStyle w:val="Hyperlink"/>
              </w:rPr>
              <w:t>Bushfire</w:t>
            </w:r>
            <w:r w:rsidR="00671E4C">
              <w:rPr>
                <w:webHidden/>
              </w:rPr>
              <w:tab/>
            </w:r>
            <w:r w:rsidR="00AA3D97">
              <w:rPr>
                <w:webHidden/>
              </w:rPr>
              <w:fldChar w:fldCharType="begin"/>
            </w:r>
            <w:r w:rsidR="00671E4C">
              <w:rPr>
                <w:webHidden/>
              </w:rPr>
              <w:instrText xml:space="preserve"> PAGEREF _Toc374612490 \h </w:instrText>
            </w:r>
            <w:r w:rsidR="00AA3D97">
              <w:rPr>
                <w:webHidden/>
              </w:rPr>
            </w:r>
            <w:r w:rsidR="00AA3D97">
              <w:rPr>
                <w:webHidden/>
              </w:rPr>
              <w:fldChar w:fldCharType="separate"/>
            </w:r>
            <w:r w:rsidR="008F6CDA">
              <w:rPr>
                <w:webHidden/>
              </w:rPr>
              <w:t>80</w:t>
            </w:r>
            <w:r w:rsidR="00AA3D97">
              <w:rPr>
                <w:webHidden/>
              </w:rPr>
              <w:fldChar w:fldCharType="end"/>
            </w:r>
          </w:hyperlink>
        </w:p>
        <w:p w:rsidR="00671E4C" w:rsidRDefault="00827E2D">
          <w:pPr>
            <w:pStyle w:val="TOC3"/>
            <w:rPr>
              <w:sz w:val="22"/>
            </w:rPr>
          </w:pPr>
          <w:hyperlink w:anchor="_Toc374612491" w:history="1">
            <w:r w:rsidR="00671E4C" w:rsidRPr="00AF65D3">
              <w:rPr>
                <w:rStyle w:val="Hyperlink"/>
              </w:rPr>
              <w:t>11.3.4</w:t>
            </w:r>
            <w:r w:rsidR="00671E4C">
              <w:rPr>
                <w:sz w:val="22"/>
              </w:rPr>
              <w:tab/>
            </w:r>
            <w:r w:rsidR="00671E4C" w:rsidRPr="00AF65D3">
              <w:rPr>
                <w:rStyle w:val="Hyperlink"/>
              </w:rPr>
              <w:t>Salinity</w:t>
            </w:r>
            <w:r w:rsidR="00671E4C">
              <w:rPr>
                <w:webHidden/>
              </w:rPr>
              <w:tab/>
            </w:r>
            <w:r w:rsidR="00AA3D97">
              <w:rPr>
                <w:webHidden/>
              </w:rPr>
              <w:fldChar w:fldCharType="begin"/>
            </w:r>
            <w:r w:rsidR="00671E4C">
              <w:rPr>
                <w:webHidden/>
              </w:rPr>
              <w:instrText xml:space="preserve"> PAGEREF _Toc374612491 \h </w:instrText>
            </w:r>
            <w:r w:rsidR="00AA3D97">
              <w:rPr>
                <w:webHidden/>
              </w:rPr>
            </w:r>
            <w:r w:rsidR="00AA3D97">
              <w:rPr>
                <w:webHidden/>
              </w:rPr>
              <w:fldChar w:fldCharType="separate"/>
            </w:r>
            <w:r w:rsidR="008F6CDA">
              <w:rPr>
                <w:webHidden/>
              </w:rPr>
              <w:t>83</w:t>
            </w:r>
            <w:r w:rsidR="00AA3D97">
              <w:rPr>
                <w:webHidden/>
              </w:rPr>
              <w:fldChar w:fldCharType="end"/>
            </w:r>
          </w:hyperlink>
        </w:p>
        <w:p w:rsidR="00671E4C" w:rsidRDefault="00827E2D">
          <w:pPr>
            <w:pStyle w:val="TOC2"/>
            <w:rPr>
              <w:noProof/>
              <w:sz w:val="22"/>
            </w:rPr>
          </w:pPr>
          <w:hyperlink w:anchor="_Toc374612492" w:history="1">
            <w:r w:rsidR="00671E4C" w:rsidRPr="00AF65D3">
              <w:rPr>
                <w:rStyle w:val="Hyperlink"/>
                <w:noProof/>
              </w:rPr>
              <w:t>11.4</w:t>
            </w:r>
            <w:r w:rsidR="00671E4C">
              <w:rPr>
                <w:noProof/>
                <w:sz w:val="22"/>
              </w:rPr>
              <w:tab/>
            </w:r>
            <w:r w:rsidR="00671E4C" w:rsidRPr="00AF65D3">
              <w:rPr>
                <w:rStyle w:val="Hyperlink"/>
                <w:noProof/>
              </w:rPr>
              <w:t>Considerations for planning</w:t>
            </w:r>
            <w:r w:rsidR="00671E4C">
              <w:rPr>
                <w:noProof/>
                <w:webHidden/>
              </w:rPr>
              <w:tab/>
            </w:r>
            <w:r w:rsidR="00AA3D97">
              <w:rPr>
                <w:noProof/>
                <w:webHidden/>
              </w:rPr>
              <w:fldChar w:fldCharType="begin"/>
            </w:r>
            <w:r w:rsidR="00671E4C">
              <w:rPr>
                <w:noProof/>
                <w:webHidden/>
              </w:rPr>
              <w:instrText xml:space="preserve"> PAGEREF _Toc374612492 \h </w:instrText>
            </w:r>
            <w:r w:rsidR="00AA3D97">
              <w:rPr>
                <w:noProof/>
                <w:webHidden/>
              </w:rPr>
            </w:r>
            <w:r w:rsidR="00AA3D97">
              <w:rPr>
                <w:noProof/>
                <w:webHidden/>
              </w:rPr>
              <w:fldChar w:fldCharType="separate"/>
            </w:r>
            <w:r w:rsidR="008F6CDA">
              <w:rPr>
                <w:noProof/>
                <w:webHidden/>
              </w:rPr>
              <w:t>83</w:t>
            </w:r>
            <w:r w:rsidR="00AA3D97">
              <w:rPr>
                <w:noProof/>
                <w:webHidden/>
              </w:rPr>
              <w:fldChar w:fldCharType="end"/>
            </w:r>
          </w:hyperlink>
        </w:p>
        <w:p w:rsidR="00671E4C" w:rsidRDefault="00827E2D">
          <w:pPr>
            <w:pStyle w:val="TOC1"/>
            <w:rPr>
              <w:noProof/>
            </w:rPr>
          </w:pPr>
          <w:hyperlink w:anchor="_Toc374612493" w:history="1">
            <w:r w:rsidR="00671E4C" w:rsidRPr="00AF65D3">
              <w:rPr>
                <w:rStyle w:val="Hyperlink"/>
                <w:noProof/>
              </w:rPr>
              <w:t>12.</w:t>
            </w:r>
            <w:r w:rsidR="00671E4C">
              <w:rPr>
                <w:noProof/>
              </w:rPr>
              <w:tab/>
            </w:r>
            <w:r w:rsidR="00671E4C" w:rsidRPr="00AF65D3">
              <w:rPr>
                <w:rStyle w:val="Hyperlink"/>
                <w:noProof/>
              </w:rPr>
              <w:t>Transport and infrastructure</w:t>
            </w:r>
            <w:r w:rsidR="00671E4C">
              <w:rPr>
                <w:noProof/>
                <w:webHidden/>
              </w:rPr>
              <w:tab/>
            </w:r>
            <w:r w:rsidR="00AA3D97">
              <w:rPr>
                <w:noProof/>
                <w:webHidden/>
              </w:rPr>
              <w:fldChar w:fldCharType="begin"/>
            </w:r>
            <w:r w:rsidR="00671E4C">
              <w:rPr>
                <w:noProof/>
                <w:webHidden/>
              </w:rPr>
              <w:instrText xml:space="preserve"> PAGEREF _Toc374612493 \h </w:instrText>
            </w:r>
            <w:r w:rsidR="00AA3D97">
              <w:rPr>
                <w:noProof/>
                <w:webHidden/>
              </w:rPr>
            </w:r>
            <w:r w:rsidR="00AA3D97">
              <w:rPr>
                <w:noProof/>
                <w:webHidden/>
              </w:rPr>
              <w:fldChar w:fldCharType="separate"/>
            </w:r>
            <w:r w:rsidR="008F6CDA">
              <w:rPr>
                <w:noProof/>
                <w:webHidden/>
              </w:rPr>
              <w:t>85</w:t>
            </w:r>
            <w:r w:rsidR="00AA3D97">
              <w:rPr>
                <w:noProof/>
                <w:webHidden/>
              </w:rPr>
              <w:fldChar w:fldCharType="end"/>
            </w:r>
          </w:hyperlink>
        </w:p>
        <w:p w:rsidR="00671E4C" w:rsidRDefault="00827E2D">
          <w:pPr>
            <w:pStyle w:val="TOC2"/>
            <w:rPr>
              <w:noProof/>
              <w:sz w:val="22"/>
            </w:rPr>
          </w:pPr>
          <w:hyperlink w:anchor="_Toc374612494" w:history="1">
            <w:r w:rsidR="00671E4C" w:rsidRPr="00AF65D3">
              <w:rPr>
                <w:rStyle w:val="Hyperlink"/>
                <w:noProof/>
              </w:rPr>
              <w:t>12.1</w:t>
            </w:r>
            <w:r w:rsidR="00671E4C">
              <w:rPr>
                <w:noProof/>
                <w:sz w:val="22"/>
              </w:rPr>
              <w:tab/>
            </w:r>
            <w:r w:rsidR="00671E4C" w:rsidRPr="00AF65D3">
              <w:rPr>
                <w:rStyle w:val="Hyperlink"/>
                <w:noProof/>
              </w:rPr>
              <w:t>Overview – transport</w:t>
            </w:r>
            <w:r w:rsidR="00671E4C">
              <w:rPr>
                <w:noProof/>
                <w:webHidden/>
              </w:rPr>
              <w:tab/>
            </w:r>
            <w:r w:rsidR="00AA3D97">
              <w:rPr>
                <w:noProof/>
                <w:webHidden/>
              </w:rPr>
              <w:fldChar w:fldCharType="begin"/>
            </w:r>
            <w:r w:rsidR="00671E4C">
              <w:rPr>
                <w:noProof/>
                <w:webHidden/>
              </w:rPr>
              <w:instrText xml:space="preserve"> PAGEREF _Toc374612494 \h </w:instrText>
            </w:r>
            <w:r w:rsidR="00AA3D97">
              <w:rPr>
                <w:noProof/>
                <w:webHidden/>
              </w:rPr>
            </w:r>
            <w:r w:rsidR="00AA3D97">
              <w:rPr>
                <w:noProof/>
                <w:webHidden/>
              </w:rPr>
              <w:fldChar w:fldCharType="separate"/>
            </w:r>
            <w:r w:rsidR="008F6CDA">
              <w:rPr>
                <w:noProof/>
                <w:webHidden/>
              </w:rPr>
              <w:t>85</w:t>
            </w:r>
            <w:r w:rsidR="00AA3D97">
              <w:rPr>
                <w:noProof/>
                <w:webHidden/>
              </w:rPr>
              <w:fldChar w:fldCharType="end"/>
            </w:r>
          </w:hyperlink>
        </w:p>
        <w:p w:rsidR="00671E4C" w:rsidRDefault="00827E2D">
          <w:pPr>
            <w:pStyle w:val="TOC3"/>
            <w:rPr>
              <w:sz w:val="22"/>
            </w:rPr>
          </w:pPr>
          <w:hyperlink w:anchor="_Toc374612495" w:history="1">
            <w:r w:rsidR="00671E4C" w:rsidRPr="00AF65D3">
              <w:rPr>
                <w:rStyle w:val="Hyperlink"/>
              </w:rPr>
              <w:t>12.1.1</w:t>
            </w:r>
            <w:r w:rsidR="00671E4C">
              <w:rPr>
                <w:sz w:val="22"/>
              </w:rPr>
              <w:tab/>
            </w:r>
            <w:r w:rsidR="00671E4C" w:rsidRPr="00AF65D3">
              <w:rPr>
                <w:rStyle w:val="Hyperlink"/>
              </w:rPr>
              <w:t>Policy context</w:t>
            </w:r>
            <w:r w:rsidR="00671E4C">
              <w:rPr>
                <w:webHidden/>
              </w:rPr>
              <w:tab/>
            </w:r>
            <w:r w:rsidR="00AA3D97">
              <w:rPr>
                <w:webHidden/>
              </w:rPr>
              <w:fldChar w:fldCharType="begin"/>
            </w:r>
            <w:r w:rsidR="00671E4C">
              <w:rPr>
                <w:webHidden/>
              </w:rPr>
              <w:instrText xml:space="preserve"> PAGEREF _Toc374612495 \h </w:instrText>
            </w:r>
            <w:r w:rsidR="00AA3D97">
              <w:rPr>
                <w:webHidden/>
              </w:rPr>
            </w:r>
            <w:r w:rsidR="00AA3D97">
              <w:rPr>
                <w:webHidden/>
              </w:rPr>
              <w:fldChar w:fldCharType="separate"/>
            </w:r>
            <w:r w:rsidR="008F6CDA">
              <w:rPr>
                <w:webHidden/>
              </w:rPr>
              <w:t>85</w:t>
            </w:r>
            <w:r w:rsidR="00AA3D97">
              <w:rPr>
                <w:webHidden/>
              </w:rPr>
              <w:fldChar w:fldCharType="end"/>
            </w:r>
          </w:hyperlink>
        </w:p>
        <w:p w:rsidR="00671E4C" w:rsidRDefault="00827E2D">
          <w:pPr>
            <w:pStyle w:val="TOC3"/>
            <w:rPr>
              <w:sz w:val="22"/>
            </w:rPr>
          </w:pPr>
          <w:hyperlink w:anchor="_Toc374612496" w:history="1">
            <w:r w:rsidR="00671E4C" w:rsidRPr="00AF65D3">
              <w:rPr>
                <w:rStyle w:val="Hyperlink"/>
              </w:rPr>
              <w:t>12.1.2</w:t>
            </w:r>
            <w:r w:rsidR="00671E4C">
              <w:rPr>
                <w:sz w:val="22"/>
              </w:rPr>
              <w:tab/>
            </w:r>
            <w:r w:rsidR="00671E4C" w:rsidRPr="00AF65D3">
              <w:rPr>
                <w:rStyle w:val="Hyperlink"/>
              </w:rPr>
              <w:t>Transport in the Hume Region</w:t>
            </w:r>
            <w:r w:rsidR="00671E4C">
              <w:rPr>
                <w:webHidden/>
              </w:rPr>
              <w:tab/>
            </w:r>
            <w:r w:rsidR="00AA3D97">
              <w:rPr>
                <w:webHidden/>
              </w:rPr>
              <w:fldChar w:fldCharType="begin"/>
            </w:r>
            <w:r w:rsidR="00671E4C">
              <w:rPr>
                <w:webHidden/>
              </w:rPr>
              <w:instrText xml:space="preserve"> PAGEREF _Toc374612496 \h </w:instrText>
            </w:r>
            <w:r w:rsidR="00AA3D97">
              <w:rPr>
                <w:webHidden/>
              </w:rPr>
            </w:r>
            <w:r w:rsidR="00AA3D97">
              <w:rPr>
                <w:webHidden/>
              </w:rPr>
              <w:fldChar w:fldCharType="separate"/>
            </w:r>
            <w:r w:rsidR="008F6CDA">
              <w:rPr>
                <w:webHidden/>
              </w:rPr>
              <w:t>86</w:t>
            </w:r>
            <w:r w:rsidR="00AA3D97">
              <w:rPr>
                <w:webHidden/>
              </w:rPr>
              <w:fldChar w:fldCharType="end"/>
            </w:r>
          </w:hyperlink>
        </w:p>
        <w:p w:rsidR="00671E4C" w:rsidRDefault="00827E2D">
          <w:pPr>
            <w:pStyle w:val="TOC2"/>
            <w:rPr>
              <w:noProof/>
              <w:sz w:val="22"/>
            </w:rPr>
          </w:pPr>
          <w:hyperlink w:anchor="_Toc374612497" w:history="1">
            <w:r w:rsidR="00671E4C" w:rsidRPr="00AF65D3">
              <w:rPr>
                <w:rStyle w:val="Hyperlink"/>
                <w:noProof/>
              </w:rPr>
              <w:t>12.2</w:t>
            </w:r>
            <w:r w:rsidR="00671E4C">
              <w:rPr>
                <w:noProof/>
                <w:sz w:val="22"/>
              </w:rPr>
              <w:tab/>
            </w:r>
            <w:r w:rsidR="00671E4C" w:rsidRPr="00AF65D3">
              <w:rPr>
                <w:rStyle w:val="Hyperlink"/>
                <w:noProof/>
              </w:rPr>
              <w:t>Other transport considerations</w:t>
            </w:r>
            <w:r w:rsidR="00671E4C">
              <w:rPr>
                <w:noProof/>
                <w:webHidden/>
              </w:rPr>
              <w:tab/>
            </w:r>
            <w:r w:rsidR="00AA3D97">
              <w:rPr>
                <w:noProof/>
                <w:webHidden/>
              </w:rPr>
              <w:fldChar w:fldCharType="begin"/>
            </w:r>
            <w:r w:rsidR="00671E4C">
              <w:rPr>
                <w:noProof/>
                <w:webHidden/>
              </w:rPr>
              <w:instrText xml:space="preserve"> PAGEREF _Toc374612497 \h </w:instrText>
            </w:r>
            <w:r w:rsidR="00AA3D97">
              <w:rPr>
                <w:noProof/>
                <w:webHidden/>
              </w:rPr>
            </w:r>
            <w:r w:rsidR="00AA3D97">
              <w:rPr>
                <w:noProof/>
                <w:webHidden/>
              </w:rPr>
              <w:fldChar w:fldCharType="separate"/>
            </w:r>
            <w:r w:rsidR="008F6CDA">
              <w:rPr>
                <w:noProof/>
                <w:webHidden/>
              </w:rPr>
              <w:t>94</w:t>
            </w:r>
            <w:r w:rsidR="00AA3D97">
              <w:rPr>
                <w:noProof/>
                <w:webHidden/>
              </w:rPr>
              <w:fldChar w:fldCharType="end"/>
            </w:r>
          </w:hyperlink>
        </w:p>
        <w:p w:rsidR="00671E4C" w:rsidRDefault="00827E2D">
          <w:pPr>
            <w:pStyle w:val="TOC2"/>
            <w:rPr>
              <w:noProof/>
              <w:sz w:val="22"/>
            </w:rPr>
          </w:pPr>
          <w:hyperlink w:anchor="_Toc374612498" w:history="1">
            <w:r w:rsidR="00671E4C" w:rsidRPr="00AF65D3">
              <w:rPr>
                <w:rStyle w:val="Hyperlink"/>
                <w:noProof/>
              </w:rPr>
              <w:t>12.3</w:t>
            </w:r>
            <w:r w:rsidR="00671E4C">
              <w:rPr>
                <w:noProof/>
                <w:sz w:val="22"/>
              </w:rPr>
              <w:tab/>
            </w:r>
            <w:r w:rsidR="00671E4C" w:rsidRPr="00AF65D3">
              <w:rPr>
                <w:rStyle w:val="Hyperlink"/>
                <w:noProof/>
              </w:rPr>
              <w:t>Guiding future transport opportunities</w:t>
            </w:r>
            <w:r w:rsidR="00671E4C">
              <w:rPr>
                <w:noProof/>
                <w:webHidden/>
              </w:rPr>
              <w:tab/>
            </w:r>
            <w:r w:rsidR="00AA3D97">
              <w:rPr>
                <w:noProof/>
                <w:webHidden/>
              </w:rPr>
              <w:fldChar w:fldCharType="begin"/>
            </w:r>
            <w:r w:rsidR="00671E4C">
              <w:rPr>
                <w:noProof/>
                <w:webHidden/>
              </w:rPr>
              <w:instrText xml:space="preserve"> PAGEREF _Toc374612498 \h </w:instrText>
            </w:r>
            <w:r w:rsidR="00AA3D97">
              <w:rPr>
                <w:noProof/>
                <w:webHidden/>
              </w:rPr>
            </w:r>
            <w:r w:rsidR="00AA3D97">
              <w:rPr>
                <w:noProof/>
                <w:webHidden/>
              </w:rPr>
              <w:fldChar w:fldCharType="separate"/>
            </w:r>
            <w:r w:rsidR="008F6CDA">
              <w:rPr>
                <w:noProof/>
                <w:webHidden/>
              </w:rPr>
              <w:t>94</w:t>
            </w:r>
            <w:r w:rsidR="00AA3D97">
              <w:rPr>
                <w:noProof/>
                <w:webHidden/>
              </w:rPr>
              <w:fldChar w:fldCharType="end"/>
            </w:r>
          </w:hyperlink>
        </w:p>
        <w:p w:rsidR="00671E4C" w:rsidRDefault="00827E2D">
          <w:pPr>
            <w:pStyle w:val="TOC3"/>
            <w:rPr>
              <w:sz w:val="22"/>
            </w:rPr>
          </w:pPr>
          <w:hyperlink w:anchor="_Toc374612499" w:history="1">
            <w:r w:rsidR="00671E4C" w:rsidRPr="00AF65D3">
              <w:rPr>
                <w:rStyle w:val="Hyperlink"/>
              </w:rPr>
              <w:t>12.3.1</w:t>
            </w:r>
            <w:r w:rsidR="00671E4C">
              <w:rPr>
                <w:sz w:val="22"/>
              </w:rPr>
              <w:tab/>
            </w:r>
            <w:r w:rsidR="00671E4C" w:rsidRPr="00AF65D3">
              <w:rPr>
                <w:rStyle w:val="Hyperlink"/>
              </w:rPr>
              <w:t>Network capacity</w:t>
            </w:r>
            <w:r w:rsidR="00671E4C">
              <w:rPr>
                <w:webHidden/>
              </w:rPr>
              <w:tab/>
            </w:r>
            <w:r w:rsidR="00AA3D97">
              <w:rPr>
                <w:webHidden/>
              </w:rPr>
              <w:fldChar w:fldCharType="begin"/>
            </w:r>
            <w:r w:rsidR="00671E4C">
              <w:rPr>
                <w:webHidden/>
              </w:rPr>
              <w:instrText xml:space="preserve"> PAGEREF _Toc374612499 \h </w:instrText>
            </w:r>
            <w:r w:rsidR="00AA3D97">
              <w:rPr>
                <w:webHidden/>
              </w:rPr>
            </w:r>
            <w:r w:rsidR="00AA3D97">
              <w:rPr>
                <w:webHidden/>
              </w:rPr>
              <w:fldChar w:fldCharType="separate"/>
            </w:r>
            <w:r w:rsidR="008F6CDA">
              <w:rPr>
                <w:webHidden/>
              </w:rPr>
              <w:t>94</w:t>
            </w:r>
            <w:r w:rsidR="00AA3D97">
              <w:rPr>
                <w:webHidden/>
              </w:rPr>
              <w:fldChar w:fldCharType="end"/>
            </w:r>
          </w:hyperlink>
        </w:p>
        <w:p w:rsidR="00671E4C" w:rsidRDefault="00827E2D">
          <w:pPr>
            <w:pStyle w:val="TOC3"/>
            <w:rPr>
              <w:sz w:val="22"/>
            </w:rPr>
          </w:pPr>
          <w:hyperlink w:anchor="_Toc374612500" w:history="1">
            <w:r w:rsidR="00671E4C" w:rsidRPr="00AF65D3">
              <w:rPr>
                <w:rStyle w:val="Hyperlink"/>
              </w:rPr>
              <w:t>12.3.2</w:t>
            </w:r>
            <w:r w:rsidR="00671E4C">
              <w:rPr>
                <w:sz w:val="22"/>
              </w:rPr>
              <w:tab/>
            </w:r>
            <w:r w:rsidR="00671E4C" w:rsidRPr="00AF65D3">
              <w:rPr>
                <w:rStyle w:val="Hyperlink"/>
              </w:rPr>
              <w:t>Access and connectivity</w:t>
            </w:r>
            <w:r w:rsidR="00671E4C">
              <w:rPr>
                <w:webHidden/>
              </w:rPr>
              <w:tab/>
            </w:r>
            <w:r w:rsidR="00AA3D97">
              <w:rPr>
                <w:webHidden/>
              </w:rPr>
              <w:fldChar w:fldCharType="begin"/>
            </w:r>
            <w:r w:rsidR="00671E4C">
              <w:rPr>
                <w:webHidden/>
              </w:rPr>
              <w:instrText xml:space="preserve"> PAGEREF _Toc374612500 \h </w:instrText>
            </w:r>
            <w:r w:rsidR="00AA3D97">
              <w:rPr>
                <w:webHidden/>
              </w:rPr>
            </w:r>
            <w:r w:rsidR="00AA3D97">
              <w:rPr>
                <w:webHidden/>
              </w:rPr>
              <w:fldChar w:fldCharType="separate"/>
            </w:r>
            <w:r w:rsidR="008F6CDA">
              <w:rPr>
                <w:webHidden/>
              </w:rPr>
              <w:t>95</w:t>
            </w:r>
            <w:r w:rsidR="00AA3D97">
              <w:rPr>
                <w:webHidden/>
              </w:rPr>
              <w:fldChar w:fldCharType="end"/>
            </w:r>
          </w:hyperlink>
        </w:p>
        <w:p w:rsidR="00671E4C" w:rsidRDefault="00827E2D">
          <w:pPr>
            <w:pStyle w:val="TOC3"/>
            <w:rPr>
              <w:sz w:val="22"/>
            </w:rPr>
          </w:pPr>
          <w:hyperlink w:anchor="_Toc374612501" w:history="1">
            <w:r w:rsidR="00671E4C" w:rsidRPr="00AF65D3">
              <w:rPr>
                <w:rStyle w:val="Hyperlink"/>
              </w:rPr>
              <w:t>12.3.3</w:t>
            </w:r>
            <w:r w:rsidR="00671E4C">
              <w:rPr>
                <w:sz w:val="22"/>
              </w:rPr>
              <w:tab/>
            </w:r>
            <w:r w:rsidR="00671E4C" w:rsidRPr="00AF65D3">
              <w:rPr>
                <w:rStyle w:val="Hyperlink"/>
                <w:rFonts w:eastAsiaTheme="minorHAnsi"/>
              </w:rPr>
              <w:t>A safe, reliable and resilient network</w:t>
            </w:r>
            <w:r w:rsidR="00671E4C">
              <w:rPr>
                <w:webHidden/>
              </w:rPr>
              <w:tab/>
            </w:r>
            <w:r w:rsidR="00AA3D97">
              <w:rPr>
                <w:webHidden/>
              </w:rPr>
              <w:fldChar w:fldCharType="begin"/>
            </w:r>
            <w:r w:rsidR="00671E4C">
              <w:rPr>
                <w:webHidden/>
              </w:rPr>
              <w:instrText xml:space="preserve"> PAGEREF _Toc374612501 \h </w:instrText>
            </w:r>
            <w:r w:rsidR="00AA3D97">
              <w:rPr>
                <w:webHidden/>
              </w:rPr>
            </w:r>
            <w:r w:rsidR="00AA3D97">
              <w:rPr>
                <w:webHidden/>
              </w:rPr>
              <w:fldChar w:fldCharType="separate"/>
            </w:r>
            <w:r w:rsidR="008F6CDA">
              <w:rPr>
                <w:webHidden/>
              </w:rPr>
              <w:t>95</w:t>
            </w:r>
            <w:r w:rsidR="00AA3D97">
              <w:rPr>
                <w:webHidden/>
              </w:rPr>
              <w:fldChar w:fldCharType="end"/>
            </w:r>
          </w:hyperlink>
        </w:p>
        <w:p w:rsidR="00671E4C" w:rsidRDefault="00827E2D">
          <w:pPr>
            <w:pStyle w:val="TOC3"/>
            <w:rPr>
              <w:sz w:val="22"/>
            </w:rPr>
          </w:pPr>
          <w:hyperlink w:anchor="_Toc374612502" w:history="1">
            <w:r w:rsidR="00671E4C" w:rsidRPr="00AF65D3">
              <w:rPr>
                <w:rStyle w:val="Hyperlink"/>
              </w:rPr>
              <w:t>12.3.4</w:t>
            </w:r>
            <w:r w:rsidR="00671E4C">
              <w:rPr>
                <w:sz w:val="22"/>
              </w:rPr>
              <w:tab/>
            </w:r>
            <w:r w:rsidR="00671E4C" w:rsidRPr="00AF65D3">
              <w:rPr>
                <w:rStyle w:val="Hyperlink"/>
                <w:rFonts w:eastAsiaTheme="minorHAnsi"/>
              </w:rPr>
              <w:t>Freight and logistics precincts</w:t>
            </w:r>
            <w:r w:rsidR="00671E4C">
              <w:rPr>
                <w:webHidden/>
              </w:rPr>
              <w:tab/>
            </w:r>
            <w:r w:rsidR="00AA3D97">
              <w:rPr>
                <w:webHidden/>
              </w:rPr>
              <w:fldChar w:fldCharType="begin"/>
            </w:r>
            <w:r w:rsidR="00671E4C">
              <w:rPr>
                <w:webHidden/>
              </w:rPr>
              <w:instrText xml:space="preserve"> PAGEREF _Toc374612502 \h </w:instrText>
            </w:r>
            <w:r w:rsidR="00AA3D97">
              <w:rPr>
                <w:webHidden/>
              </w:rPr>
            </w:r>
            <w:r w:rsidR="00AA3D97">
              <w:rPr>
                <w:webHidden/>
              </w:rPr>
              <w:fldChar w:fldCharType="separate"/>
            </w:r>
            <w:r w:rsidR="008F6CDA">
              <w:rPr>
                <w:webHidden/>
              </w:rPr>
              <w:t>96</w:t>
            </w:r>
            <w:r w:rsidR="00AA3D97">
              <w:rPr>
                <w:webHidden/>
              </w:rPr>
              <w:fldChar w:fldCharType="end"/>
            </w:r>
          </w:hyperlink>
        </w:p>
        <w:p w:rsidR="00671E4C" w:rsidRDefault="00827E2D">
          <w:pPr>
            <w:pStyle w:val="TOC3"/>
            <w:rPr>
              <w:sz w:val="22"/>
            </w:rPr>
          </w:pPr>
          <w:hyperlink w:anchor="_Toc374612503" w:history="1">
            <w:r w:rsidR="00671E4C" w:rsidRPr="00AF65D3">
              <w:rPr>
                <w:rStyle w:val="Hyperlink"/>
              </w:rPr>
              <w:t>12.3.5</w:t>
            </w:r>
            <w:r w:rsidR="00671E4C">
              <w:rPr>
                <w:sz w:val="22"/>
              </w:rPr>
              <w:tab/>
            </w:r>
            <w:r w:rsidR="00671E4C" w:rsidRPr="00AF65D3">
              <w:rPr>
                <w:rStyle w:val="Hyperlink"/>
                <w:rFonts w:eastAsiaTheme="minorHAnsi"/>
              </w:rPr>
              <w:t>Technological advancements</w:t>
            </w:r>
            <w:r w:rsidR="00671E4C">
              <w:rPr>
                <w:webHidden/>
              </w:rPr>
              <w:tab/>
            </w:r>
            <w:r w:rsidR="00AA3D97">
              <w:rPr>
                <w:webHidden/>
              </w:rPr>
              <w:fldChar w:fldCharType="begin"/>
            </w:r>
            <w:r w:rsidR="00671E4C">
              <w:rPr>
                <w:webHidden/>
              </w:rPr>
              <w:instrText xml:space="preserve"> PAGEREF _Toc374612503 \h </w:instrText>
            </w:r>
            <w:r w:rsidR="00AA3D97">
              <w:rPr>
                <w:webHidden/>
              </w:rPr>
            </w:r>
            <w:r w:rsidR="00AA3D97">
              <w:rPr>
                <w:webHidden/>
              </w:rPr>
              <w:fldChar w:fldCharType="separate"/>
            </w:r>
            <w:r w:rsidR="008F6CDA">
              <w:rPr>
                <w:webHidden/>
              </w:rPr>
              <w:t>96</w:t>
            </w:r>
            <w:r w:rsidR="00AA3D97">
              <w:rPr>
                <w:webHidden/>
              </w:rPr>
              <w:fldChar w:fldCharType="end"/>
            </w:r>
          </w:hyperlink>
        </w:p>
        <w:p w:rsidR="00671E4C" w:rsidRDefault="00827E2D">
          <w:pPr>
            <w:pStyle w:val="TOC3"/>
            <w:rPr>
              <w:sz w:val="22"/>
            </w:rPr>
          </w:pPr>
          <w:hyperlink w:anchor="_Toc374612504" w:history="1">
            <w:r w:rsidR="00671E4C" w:rsidRPr="00AF65D3">
              <w:rPr>
                <w:rStyle w:val="Hyperlink"/>
              </w:rPr>
              <w:t>12.3.6</w:t>
            </w:r>
            <w:r w:rsidR="00671E4C">
              <w:rPr>
                <w:sz w:val="22"/>
              </w:rPr>
              <w:tab/>
            </w:r>
            <w:r w:rsidR="00671E4C" w:rsidRPr="00AF65D3">
              <w:rPr>
                <w:rStyle w:val="Hyperlink"/>
                <w:rFonts w:eastAsiaTheme="minorHAnsi"/>
              </w:rPr>
              <w:t>Amenity and useability</w:t>
            </w:r>
            <w:r w:rsidR="00671E4C">
              <w:rPr>
                <w:webHidden/>
              </w:rPr>
              <w:tab/>
            </w:r>
            <w:r w:rsidR="00AA3D97">
              <w:rPr>
                <w:webHidden/>
              </w:rPr>
              <w:fldChar w:fldCharType="begin"/>
            </w:r>
            <w:r w:rsidR="00671E4C">
              <w:rPr>
                <w:webHidden/>
              </w:rPr>
              <w:instrText xml:space="preserve"> PAGEREF _Toc374612504 \h </w:instrText>
            </w:r>
            <w:r w:rsidR="00AA3D97">
              <w:rPr>
                <w:webHidden/>
              </w:rPr>
            </w:r>
            <w:r w:rsidR="00AA3D97">
              <w:rPr>
                <w:webHidden/>
              </w:rPr>
              <w:fldChar w:fldCharType="separate"/>
            </w:r>
            <w:r w:rsidR="008F6CDA">
              <w:rPr>
                <w:webHidden/>
              </w:rPr>
              <w:t>96</w:t>
            </w:r>
            <w:r w:rsidR="00AA3D97">
              <w:rPr>
                <w:webHidden/>
              </w:rPr>
              <w:fldChar w:fldCharType="end"/>
            </w:r>
          </w:hyperlink>
        </w:p>
        <w:p w:rsidR="00671E4C" w:rsidRDefault="00827E2D">
          <w:pPr>
            <w:pStyle w:val="TOC3"/>
            <w:rPr>
              <w:sz w:val="22"/>
            </w:rPr>
          </w:pPr>
          <w:hyperlink w:anchor="_Toc374612505" w:history="1">
            <w:r w:rsidR="00671E4C" w:rsidRPr="00AF65D3">
              <w:rPr>
                <w:rStyle w:val="Hyperlink"/>
              </w:rPr>
              <w:t>12.3.7</w:t>
            </w:r>
            <w:r w:rsidR="00671E4C">
              <w:rPr>
                <w:sz w:val="22"/>
              </w:rPr>
              <w:tab/>
            </w:r>
            <w:r w:rsidR="00671E4C" w:rsidRPr="00AF65D3">
              <w:rPr>
                <w:rStyle w:val="Hyperlink"/>
                <w:rFonts w:eastAsiaTheme="minorHAnsi"/>
              </w:rPr>
              <w:t>Supply chains</w:t>
            </w:r>
            <w:r w:rsidR="00671E4C">
              <w:rPr>
                <w:webHidden/>
              </w:rPr>
              <w:tab/>
            </w:r>
            <w:r w:rsidR="00AA3D97">
              <w:rPr>
                <w:webHidden/>
              </w:rPr>
              <w:fldChar w:fldCharType="begin"/>
            </w:r>
            <w:r w:rsidR="00671E4C">
              <w:rPr>
                <w:webHidden/>
              </w:rPr>
              <w:instrText xml:space="preserve"> PAGEREF _Toc374612505 \h </w:instrText>
            </w:r>
            <w:r w:rsidR="00AA3D97">
              <w:rPr>
                <w:webHidden/>
              </w:rPr>
            </w:r>
            <w:r w:rsidR="00AA3D97">
              <w:rPr>
                <w:webHidden/>
              </w:rPr>
              <w:fldChar w:fldCharType="separate"/>
            </w:r>
            <w:r w:rsidR="008F6CDA">
              <w:rPr>
                <w:webHidden/>
              </w:rPr>
              <w:t>97</w:t>
            </w:r>
            <w:r w:rsidR="00AA3D97">
              <w:rPr>
                <w:webHidden/>
              </w:rPr>
              <w:fldChar w:fldCharType="end"/>
            </w:r>
          </w:hyperlink>
        </w:p>
        <w:p w:rsidR="00671E4C" w:rsidRDefault="00827E2D">
          <w:pPr>
            <w:pStyle w:val="TOC2"/>
            <w:rPr>
              <w:noProof/>
              <w:sz w:val="22"/>
            </w:rPr>
          </w:pPr>
          <w:hyperlink w:anchor="_Toc374612506" w:history="1">
            <w:r w:rsidR="00671E4C" w:rsidRPr="00AF65D3">
              <w:rPr>
                <w:rStyle w:val="Hyperlink"/>
                <w:noProof/>
              </w:rPr>
              <w:t>12.4</w:t>
            </w:r>
            <w:r w:rsidR="00671E4C">
              <w:rPr>
                <w:noProof/>
                <w:sz w:val="22"/>
              </w:rPr>
              <w:tab/>
            </w:r>
            <w:r w:rsidR="00671E4C" w:rsidRPr="00AF65D3">
              <w:rPr>
                <w:rStyle w:val="Hyperlink"/>
                <w:noProof/>
              </w:rPr>
              <w:t>Guiding the provision of other infrastructure</w:t>
            </w:r>
            <w:r w:rsidR="00671E4C">
              <w:rPr>
                <w:noProof/>
                <w:webHidden/>
              </w:rPr>
              <w:tab/>
            </w:r>
            <w:r w:rsidR="00AA3D97">
              <w:rPr>
                <w:noProof/>
                <w:webHidden/>
              </w:rPr>
              <w:fldChar w:fldCharType="begin"/>
            </w:r>
            <w:r w:rsidR="00671E4C">
              <w:rPr>
                <w:noProof/>
                <w:webHidden/>
              </w:rPr>
              <w:instrText xml:space="preserve"> PAGEREF _Toc374612506 \h </w:instrText>
            </w:r>
            <w:r w:rsidR="00AA3D97">
              <w:rPr>
                <w:noProof/>
                <w:webHidden/>
              </w:rPr>
            </w:r>
            <w:r w:rsidR="00AA3D97">
              <w:rPr>
                <w:noProof/>
                <w:webHidden/>
              </w:rPr>
              <w:fldChar w:fldCharType="separate"/>
            </w:r>
            <w:r w:rsidR="008F6CDA">
              <w:rPr>
                <w:noProof/>
                <w:webHidden/>
              </w:rPr>
              <w:t>97</w:t>
            </w:r>
            <w:r w:rsidR="00AA3D97">
              <w:rPr>
                <w:noProof/>
                <w:webHidden/>
              </w:rPr>
              <w:fldChar w:fldCharType="end"/>
            </w:r>
          </w:hyperlink>
        </w:p>
        <w:p w:rsidR="00671E4C" w:rsidRDefault="00827E2D">
          <w:pPr>
            <w:pStyle w:val="TOC3"/>
            <w:rPr>
              <w:sz w:val="22"/>
            </w:rPr>
          </w:pPr>
          <w:hyperlink w:anchor="_Toc374612507" w:history="1">
            <w:r w:rsidR="00671E4C" w:rsidRPr="00AF65D3">
              <w:rPr>
                <w:rStyle w:val="Hyperlink"/>
              </w:rPr>
              <w:t>12.4.1</w:t>
            </w:r>
            <w:r w:rsidR="00671E4C">
              <w:rPr>
                <w:sz w:val="22"/>
              </w:rPr>
              <w:tab/>
            </w:r>
            <w:r w:rsidR="00671E4C" w:rsidRPr="00AF65D3">
              <w:rPr>
                <w:rStyle w:val="Hyperlink"/>
              </w:rPr>
              <w:t>Reticulated water and sewerage</w:t>
            </w:r>
            <w:r w:rsidR="00671E4C">
              <w:rPr>
                <w:webHidden/>
              </w:rPr>
              <w:tab/>
            </w:r>
            <w:r w:rsidR="00AA3D97">
              <w:rPr>
                <w:webHidden/>
              </w:rPr>
              <w:fldChar w:fldCharType="begin"/>
            </w:r>
            <w:r w:rsidR="00671E4C">
              <w:rPr>
                <w:webHidden/>
              </w:rPr>
              <w:instrText xml:space="preserve"> PAGEREF _Toc374612507 \h </w:instrText>
            </w:r>
            <w:r w:rsidR="00AA3D97">
              <w:rPr>
                <w:webHidden/>
              </w:rPr>
            </w:r>
            <w:r w:rsidR="00AA3D97">
              <w:rPr>
                <w:webHidden/>
              </w:rPr>
              <w:fldChar w:fldCharType="separate"/>
            </w:r>
            <w:r w:rsidR="008F6CDA">
              <w:rPr>
                <w:webHidden/>
              </w:rPr>
              <w:t>97</w:t>
            </w:r>
            <w:r w:rsidR="00AA3D97">
              <w:rPr>
                <w:webHidden/>
              </w:rPr>
              <w:fldChar w:fldCharType="end"/>
            </w:r>
          </w:hyperlink>
        </w:p>
        <w:p w:rsidR="00671E4C" w:rsidRDefault="00827E2D">
          <w:pPr>
            <w:pStyle w:val="TOC3"/>
            <w:rPr>
              <w:sz w:val="22"/>
            </w:rPr>
          </w:pPr>
          <w:hyperlink w:anchor="_Toc374612508" w:history="1">
            <w:r w:rsidR="00671E4C" w:rsidRPr="00AF65D3">
              <w:rPr>
                <w:rStyle w:val="Hyperlink"/>
              </w:rPr>
              <w:t>12.4.2</w:t>
            </w:r>
            <w:r w:rsidR="00671E4C">
              <w:rPr>
                <w:sz w:val="22"/>
              </w:rPr>
              <w:tab/>
            </w:r>
            <w:r w:rsidR="00671E4C" w:rsidRPr="00AF65D3">
              <w:rPr>
                <w:rStyle w:val="Hyperlink"/>
              </w:rPr>
              <w:t>Irrigation infrastructure</w:t>
            </w:r>
            <w:r w:rsidR="00671E4C">
              <w:rPr>
                <w:webHidden/>
              </w:rPr>
              <w:tab/>
            </w:r>
            <w:r w:rsidR="00AA3D97">
              <w:rPr>
                <w:webHidden/>
              </w:rPr>
              <w:fldChar w:fldCharType="begin"/>
            </w:r>
            <w:r w:rsidR="00671E4C">
              <w:rPr>
                <w:webHidden/>
              </w:rPr>
              <w:instrText xml:space="preserve"> PAGEREF _Toc374612508 \h </w:instrText>
            </w:r>
            <w:r w:rsidR="00AA3D97">
              <w:rPr>
                <w:webHidden/>
              </w:rPr>
            </w:r>
            <w:r w:rsidR="00AA3D97">
              <w:rPr>
                <w:webHidden/>
              </w:rPr>
              <w:fldChar w:fldCharType="separate"/>
            </w:r>
            <w:r w:rsidR="008F6CDA">
              <w:rPr>
                <w:webHidden/>
              </w:rPr>
              <w:t>98</w:t>
            </w:r>
            <w:r w:rsidR="00AA3D97">
              <w:rPr>
                <w:webHidden/>
              </w:rPr>
              <w:fldChar w:fldCharType="end"/>
            </w:r>
          </w:hyperlink>
        </w:p>
        <w:p w:rsidR="00671E4C" w:rsidRDefault="00827E2D">
          <w:pPr>
            <w:pStyle w:val="TOC3"/>
            <w:rPr>
              <w:sz w:val="22"/>
            </w:rPr>
          </w:pPr>
          <w:hyperlink w:anchor="_Toc374612509" w:history="1">
            <w:r w:rsidR="00671E4C" w:rsidRPr="00AF65D3">
              <w:rPr>
                <w:rStyle w:val="Hyperlink"/>
              </w:rPr>
              <w:t>12.4.3</w:t>
            </w:r>
            <w:r w:rsidR="00671E4C">
              <w:rPr>
                <w:sz w:val="22"/>
              </w:rPr>
              <w:tab/>
            </w:r>
            <w:r w:rsidR="00671E4C" w:rsidRPr="00AF65D3">
              <w:rPr>
                <w:rStyle w:val="Hyperlink"/>
              </w:rPr>
              <w:t>Energy, telecommunications and solid waste</w:t>
            </w:r>
            <w:r w:rsidR="00671E4C">
              <w:rPr>
                <w:webHidden/>
              </w:rPr>
              <w:tab/>
            </w:r>
            <w:r w:rsidR="00AA3D97">
              <w:rPr>
                <w:webHidden/>
              </w:rPr>
              <w:fldChar w:fldCharType="begin"/>
            </w:r>
            <w:r w:rsidR="00671E4C">
              <w:rPr>
                <w:webHidden/>
              </w:rPr>
              <w:instrText xml:space="preserve"> PAGEREF _Toc374612509 \h </w:instrText>
            </w:r>
            <w:r w:rsidR="00AA3D97">
              <w:rPr>
                <w:webHidden/>
              </w:rPr>
            </w:r>
            <w:r w:rsidR="00AA3D97">
              <w:rPr>
                <w:webHidden/>
              </w:rPr>
              <w:fldChar w:fldCharType="separate"/>
            </w:r>
            <w:r w:rsidR="008F6CDA">
              <w:rPr>
                <w:webHidden/>
              </w:rPr>
              <w:t>99</w:t>
            </w:r>
            <w:r w:rsidR="00AA3D97">
              <w:rPr>
                <w:webHidden/>
              </w:rPr>
              <w:fldChar w:fldCharType="end"/>
            </w:r>
          </w:hyperlink>
        </w:p>
        <w:p w:rsidR="00671E4C" w:rsidRDefault="00827E2D">
          <w:pPr>
            <w:pStyle w:val="TOC1"/>
            <w:rPr>
              <w:noProof/>
            </w:rPr>
          </w:pPr>
          <w:hyperlink w:anchor="_Toc374612510" w:history="1">
            <w:r w:rsidR="00671E4C" w:rsidRPr="00AF65D3">
              <w:rPr>
                <w:rStyle w:val="Hyperlink"/>
                <w:noProof/>
              </w:rPr>
              <w:t>13.</w:t>
            </w:r>
            <w:r w:rsidR="00671E4C">
              <w:rPr>
                <w:noProof/>
              </w:rPr>
              <w:tab/>
            </w:r>
            <w:r w:rsidR="00671E4C" w:rsidRPr="00AF65D3">
              <w:rPr>
                <w:rStyle w:val="Hyperlink"/>
                <w:noProof/>
              </w:rPr>
              <w:t>Communities</w:t>
            </w:r>
            <w:r w:rsidR="00671E4C">
              <w:rPr>
                <w:noProof/>
                <w:webHidden/>
              </w:rPr>
              <w:tab/>
            </w:r>
            <w:r w:rsidR="00671E4C">
              <w:rPr>
                <w:noProof/>
                <w:webHidden/>
              </w:rPr>
              <w:tab/>
            </w:r>
            <w:r w:rsidR="00AA3D97">
              <w:rPr>
                <w:noProof/>
                <w:webHidden/>
              </w:rPr>
              <w:fldChar w:fldCharType="begin"/>
            </w:r>
            <w:r w:rsidR="00671E4C">
              <w:rPr>
                <w:noProof/>
                <w:webHidden/>
              </w:rPr>
              <w:instrText xml:space="preserve"> PAGEREF _Toc374612510 \h </w:instrText>
            </w:r>
            <w:r w:rsidR="00AA3D97">
              <w:rPr>
                <w:noProof/>
                <w:webHidden/>
              </w:rPr>
            </w:r>
            <w:r w:rsidR="00AA3D97">
              <w:rPr>
                <w:noProof/>
                <w:webHidden/>
              </w:rPr>
              <w:fldChar w:fldCharType="separate"/>
            </w:r>
            <w:r w:rsidR="008F6CDA">
              <w:rPr>
                <w:noProof/>
                <w:webHidden/>
              </w:rPr>
              <w:t>101</w:t>
            </w:r>
            <w:r w:rsidR="00AA3D97">
              <w:rPr>
                <w:noProof/>
                <w:webHidden/>
              </w:rPr>
              <w:fldChar w:fldCharType="end"/>
            </w:r>
          </w:hyperlink>
        </w:p>
        <w:p w:rsidR="00671E4C" w:rsidRDefault="00827E2D">
          <w:pPr>
            <w:pStyle w:val="TOC2"/>
            <w:rPr>
              <w:noProof/>
              <w:sz w:val="22"/>
            </w:rPr>
          </w:pPr>
          <w:hyperlink w:anchor="_Toc374612511" w:history="1">
            <w:r w:rsidR="00671E4C" w:rsidRPr="00AF65D3">
              <w:rPr>
                <w:rStyle w:val="Hyperlink"/>
                <w:noProof/>
              </w:rPr>
              <w:t>13.1</w:t>
            </w:r>
            <w:r w:rsidR="00671E4C">
              <w:rPr>
                <w:noProof/>
                <w:sz w:val="22"/>
              </w:rPr>
              <w:tab/>
            </w:r>
            <w:r w:rsidR="00671E4C" w:rsidRPr="00AF65D3">
              <w:rPr>
                <w:rStyle w:val="Hyperlink"/>
                <w:noProof/>
              </w:rPr>
              <w:t>Overview</w:t>
            </w:r>
            <w:r w:rsidR="00671E4C">
              <w:rPr>
                <w:noProof/>
                <w:webHidden/>
              </w:rPr>
              <w:tab/>
            </w:r>
            <w:r w:rsidR="00AA3D97">
              <w:rPr>
                <w:noProof/>
                <w:webHidden/>
              </w:rPr>
              <w:fldChar w:fldCharType="begin"/>
            </w:r>
            <w:r w:rsidR="00671E4C">
              <w:rPr>
                <w:noProof/>
                <w:webHidden/>
              </w:rPr>
              <w:instrText xml:space="preserve"> PAGEREF _Toc374612511 \h </w:instrText>
            </w:r>
            <w:r w:rsidR="00AA3D97">
              <w:rPr>
                <w:noProof/>
                <w:webHidden/>
              </w:rPr>
            </w:r>
            <w:r w:rsidR="00AA3D97">
              <w:rPr>
                <w:noProof/>
                <w:webHidden/>
              </w:rPr>
              <w:fldChar w:fldCharType="separate"/>
            </w:r>
            <w:r w:rsidR="008F6CDA">
              <w:rPr>
                <w:noProof/>
                <w:webHidden/>
              </w:rPr>
              <w:t>101</w:t>
            </w:r>
            <w:r w:rsidR="00AA3D97">
              <w:rPr>
                <w:noProof/>
                <w:webHidden/>
              </w:rPr>
              <w:fldChar w:fldCharType="end"/>
            </w:r>
          </w:hyperlink>
        </w:p>
        <w:p w:rsidR="00671E4C" w:rsidRDefault="00827E2D">
          <w:pPr>
            <w:pStyle w:val="TOC2"/>
            <w:rPr>
              <w:noProof/>
              <w:sz w:val="22"/>
            </w:rPr>
          </w:pPr>
          <w:hyperlink w:anchor="_Toc374612512" w:history="1">
            <w:r w:rsidR="00671E4C" w:rsidRPr="00AF65D3">
              <w:rPr>
                <w:rStyle w:val="Hyperlink"/>
                <w:noProof/>
              </w:rPr>
              <w:t>13.2</w:t>
            </w:r>
            <w:r w:rsidR="00671E4C">
              <w:rPr>
                <w:noProof/>
                <w:sz w:val="22"/>
              </w:rPr>
              <w:tab/>
            </w:r>
            <w:r w:rsidR="00671E4C" w:rsidRPr="00AF65D3">
              <w:rPr>
                <w:rStyle w:val="Hyperlink"/>
                <w:noProof/>
              </w:rPr>
              <w:t>Planning for communities</w:t>
            </w:r>
            <w:r w:rsidR="00671E4C">
              <w:rPr>
                <w:noProof/>
                <w:webHidden/>
              </w:rPr>
              <w:tab/>
            </w:r>
            <w:r w:rsidR="00AA3D97">
              <w:rPr>
                <w:noProof/>
                <w:webHidden/>
              </w:rPr>
              <w:fldChar w:fldCharType="begin"/>
            </w:r>
            <w:r w:rsidR="00671E4C">
              <w:rPr>
                <w:noProof/>
                <w:webHidden/>
              </w:rPr>
              <w:instrText xml:space="preserve"> PAGEREF _Toc374612512 \h </w:instrText>
            </w:r>
            <w:r w:rsidR="00AA3D97">
              <w:rPr>
                <w:noProof/>
                <w:webHidden/>
              </w:rPr>
            </w:r>
            <w:r w:rsidR="00AA3D97">
              <w:rPr>
                <w:noProof/>
                <w:webHidden/>
              </w:rPr>
              <w:fldChar w:fldCharType="separate"/>
            </w:r>
            <w:r w:rsidR="008F6CDA">
              <w:rPr>
                <w:noProof/>
                <w:webHidden/>
              </w:rPr>
              <w:t>101</w:t>
            </w:r>
            <w:r w:rsidR="00AA3D97">
              <w:rPr>
                <w:noProof/>
                <w:webHidden/>
              </w:rPr>
              <w:fldChar w:fldCharType="end"/>
            </w:r>
          </w:hyperlink>
        </w:p>
        <w:p w:rsidR="00671E4C" w:rsidRDefault="00827E2D">
          <w:pPr>
            <w:pStyle w:val="TOC3"/>
            <w:rPr>
              <w:sz w:val="22"/>
            </w:rPr>
          </w:pPr>
          <w:hyperlink w:anchor="_Toc374612513" w:history="1">
            <w:r w:rsidR="00671E4C" w:rsidRPr="00AF65D3">
              <w:rPr>
                <w:rStyle w:val="Hyperlink"/>
              </w:rPr>
              <w:t>13.2.1</w:t>
            </w:r>
            <w:r w:rsidR="00671E4C">
              <w:rPr>
                <w:sz w:val="22"/>
              </w:rPr>
              <w:tab/>
            </w:r>
            <w:r w:rsidR="00671E4C" w:rsidRPr="00AF65D3">
              <w:rPr>
                <w:rStyle w:val="Hyperlink"/>
              </w:rPr>
              <w:t>Service access and delivery</w:t>
            </w:r>
            <w:r w:rsidR="00671E4C">
              <w:rPr>
                <w:webHidden/>
              </w:rPr>
              <w:tab/>
            </w:r>
            <w:r w:rsidR="00AA3D97">
              <w:rPr>
                <w:webHidden/>
              </w:rPr>
              <w:fldChar w:fldCharType="begin"/>
            </w:r>
            <w:r w:rsidR="00671E4C">
              <w:rPr>
                <w:webHidden/>
              </w:rPr>
              <w:instrText xml:space="preserve"> PAGEREF _Toc374612513 \h </w:instrText>
            </w:r>
            <w:r w:rsidR="00AA3D97">
              <w:rPr>
                <w:webHidden/>
              </w:rPr>
            </w:r>
            <w:r w:rsidR="00AA3D97">
              <w:rPr>
                <w:webHidden/>
              </w:rPr>
              <w:fldChar w:fldCharType="separate"/>
            </w:r>
            <w:r w:rsidR="008F6CDA">
              <w:rPr>
                <w:webHidden/>
              </w:rPr>
              <w:t>101</w:t>
            </w:r>
            <w:r w:rsidR="00AA3D97">
              <w:rPr>
                <w:webHidden/>
              </w:rPr>
              <w:fldChar w:fldCharType="end"/>
            </w:r>
          </w:hyperlink>
        </w:p>
        <w:p w:rsidR="00671E4C" w:rsidRDefault="00827E2D">
          <w:pPr>
            <w:pStyle w:val="TOC3"/>
            <w:rPr>
              <w:sz w:val="22"/>
            </w:rPr>
          </w:pPr>
          <w:hyperlink w:anchor="_Toc374612514" w:history="1">
            <w:r w:rsidR="00671E4C" w:rsidRPr="00AF65D3">
              <w:rPr>
                <w:rStyle w:val="Hyperlink"/>
              </w:rPr>
              <w:t>13.2.2</w:t>
            </w:r>
            <w:r w:rsidR="00671E4C">
              <w:rPr>
                <w:sz w:val="22"/>
              </w:rPr>
              <w:tab/>
            </w:r>
            <w:r w:rsidR="00671E4C" w:rsidRPr="00AF65D3">
              <w:rPr>
                <w:rStyle w:val="Hyperlink"/>
              </w:rPr>
              <w:t>Ageing population</w:t>
            </w:r>
            <w:r w:rsidR="00671E4C">
              <w:rPr>
                <w:webHidden/>
              </w:rPr>
              <w:tab/>
            </w:r>
            <w:r w:rsidR="00AA3D97">
              <w:rPr>
                <w:webHidden/>
              </w:rPr>
              <w:fldChar w:fldCharType="begin"/>
            </w:r>
            <w:r w:rsidR="00671E4C">
              <w:rPr>
                <w:webHidden/>
              </w:rPr>
              <w:instrText xml:space="preserve"> PAGEREF _Toc374612514 \h </w:instrText>
            </w:r>
            <w:r w:rsidR="00AA3D97">
              <w:rPr>
                <w:webHidden/>
              </w:rPr>
            </w:r>
            <w:r w:rsidR="00AA3D97">
              <w:rPr>
                <w:webHidden/>
              </w:rPr>
              <w:fldChar w:fldCharType="separate"/>
            </w:r>
            <w:r w:rsidR="008F6CDA">
              <w:rPr>
                <w:webHidden/>
              </w:rPr>
              <w:t>102</w:t>
            </w:r>
            <w:r w:rsidR="00AA3D97">
              <w:rPr>
                <w:webHidden/>
              </w:rPr>
              <w:fldChar w:fldCharType="end"/>
            </w:r>
          </w:hyperlink>
        </w:p>
        <w:p w:rsidR="00671E4C" w:rsidRDefault="00827E2D">
          <w:pPr>
            <w:pStyle w:val="TOC3"/>
            <w:rPr>
              <w:sz w:val="22"/>
            </w:rPr>
          </w:pPr>
          <w:hyperlink w:anchor="_Toc374612515" w:history="1">
            <w:r w:rsidR="00671E4C" w:rsidRPr="00AF65D3">
              <w:rPr>
                <w:rStyle w:val="Hyperlink"/>
              </w:rPr>
              <w:t>13.2.3</w:t>
            </w:r>
            <w:r w:rsidR="00671E4C">
              <w:rPr>
                <w:sz w:val="22"/>
              </w:rPr>
              <w:tab/>
            </w:r>
            <w:r w:rsidR="00671E4C" w:rsidRPr="00AF65D3">
              <w:rPr>
                <w:rStyle w:val="Hyperlink"/>
              </w:rPr>
              <w:t>Youth out-migration</w:t>
            </w:r>
            <w:r w:rsidR="00671E4C">
              <w:rPr>
                <w:webHidden/>
              </w:rPr>
              <w:tab/>
            </w:r>
            <w:r w:rsidR="00AA3D97">
              <w:rPr>
                <w:webHidden/>
              </w:rPr>
              <w:fldChar w:fldCharType="begin"/>
            </w:r>
            <w:r w:rsidR="00671E4C">
              <w:rPr>
                <w:webHidden/>
              </w:rPr>
              <w:instrText xml:space="preserve"> PAGEREF _Toc374612515 \h </w:instrText>
            </w:r>
            <w:r w:rsidR="00AA3D97">
              <w:rPr>
                <w:webHidden/>
              </w:rPr>
            </w:r>
            <w:r w:rsidR="00AA3D97">
              <w:rPr>
                <w:webHidden/>
              </w:rPr>
              <w:fldChar w:fldCharType="separate"/>
            </w:r>
            <w:r w:rsidR="008F6CDA">
              <w:rPr>
                <w:webHidden/>
              </w:rPr>
              <w:t>102</w:t>
            </w:r>
            <w:r w:rsidR="00AA3D97">
              <w:rPr>
                <w:webHidden/>
              </w:rPr>
              <w:fldChar w:fldCharType="end"/>
            </w:r>
          </w:hyperlink>
        </w:p>
        <w:p w:rsidR="00671E4C" w:rsidRDefault="00827E2D">
          <w:pPr>
            <w:pStyle w:val="TOC3"/>
            <w:rPr>
              <w:sz w:val="22"/>
            </w:rPr>
          </w:pPr>
          <w:hyperlink w:anchor="_Toc374612516" w:history="1">
            <w:r w:rsidR="00671E4C" w:rsidRPr="00AF65D3">
              <w:rPr>
                <w:rStyle w:val="Hyperlink"/>
              </w:rPr>
              <w:t>13.2.4</w:t>
            </w:r>
            <w:r w:rsidR="00671E4C">
              <w:rPr>
                <w:sz w:val="22"/>
              </w:rPr>
              <w:tab/>
            </w:r>
            <w:r w:rsidR="00671E4C" w:rsidRPr="00AF65D3">
              <w:rPr>
                <w:rStyle w:val="Hyperlink"/>
              </w:rPr>
              <w:t>Disability</w:t>
            </w:r>
            <w:r w:rsidR="00671E4C">
              <w:rPr>
                <w:webHidden/>
              </w:rPr>
              <w:tab/>
            </w:r>
            <w:r w:rsidR="00AA3D97">
              <w:rPr>
                <w:webHidden/>
              </w:rPr>
              <w:fldChar w:fldCharType="begin"/>
            </w:r>
            <w:r w:rsidR="00671E4C">
              <w:rPr>
                <w:webHidden/>
              </w:rPr>
              <w:instrText xml:space="preserve"> PAGEREF _Toc374612516 \h </w:instrText>
            </w:r>
            <w:r w:rsidR="00AA3D97">
              <w:rPr>
                <w:webHidden/>
              </w:rPr>
            </w:r>
            <w:r w:rsidR="00AA3D97">
              <w:rPr>
                <w:webHidden/>
              </w:rPr>
              <w:fldChar w:fldCharType="separate"/>
            </w:r>
            <w:r w:rsidR="008F6CDA">
              <w:rPr>
                <w:webHidden/>
              </w:rPr>
              <w:t>105</w:t>
            </w:r>
            <w:r w:rsidR="00AA3D97">
              <w:rPr>
                <w:webHidden/>
              </w:rPr>
              <w:fldChar w:fldCharType="end"/>
            </w:r>
          </w:hyperlink>
        </w:p>
        <w:p w:rsidR="00671E4C" w:rsidRDefault="00827E2D">
          <w:pPr>
            <w:pStyle w:val="TOC3"/>
            <w:rPr>
              <w:sz w:val="22"/>
            </w:rPr>
          </w:pPr>
          <w:hyperlink w:anchor="_Toc374612517" w:history="1">
            <w:r w:rsidR="00671E4C" w:rsidRPr="00AF65D3">
              <w:rPr>
                <w:rStyle w:val="Hyperlink"/>
              </w:rPr>
              <w:t>13.2.5</w:t>
            </w:r>
            <w:r w:rsidR="00671E4C">
              <w:rPr>
                <w:sz w:val="22"/>
              </w:rPr>
              <w:tab/>
            </w:r>
            <w:r w:rsidR="00671E4C" w:rsidRPr="00AF65D3">
              <w:rPr>
                <w:rStyle w:val="Hyperlink"/>
              </w:rPr>
              <w:t>Aboriginal population</w:t>
            </w:r>
            <w:r w:rsidR="00671E4C">
              <w:rPr>
                <w:webHidden/>
              </w:rPr>
              <w:tab/>
            </w:r>
            <w:r w:rsidR="00AA3D97">
              <w:rPr>
                <w:webHidden/>
              </w:rPr>
              <w:fldChar w:fldCharType="begin"/>
            </w:r>
            <w:r w:rsidR="00671E4C">
              <w:rPr>
                <w:webHidden/>
              </w:rPr>
              <w:instrText xml:space="preserve"> PAGEREF _Toc374612517 \h </w:instrText>
            </w:r>
            <w:r w:rsidR="00AA3D97">
              <w:rPr>
                <w:webHidden/>
              </w:rPr>
            </w:r>
            <w:r w:rsidR="00AA3D97">
              <w:rPr>
                <w:webHidden/>
              </w:rPr>
              <w:fldChar w:fldCharType="separate"/>
            </w:r>
            <w:r w:rsidR="008F6CDA">
              <w:rPr>
                <w:webHidden/>
              </w:rPr>
              <w:t>106</w:t>
            </w:r>
            <w:r w:rsidR="00AA3D97">
              <w:rPr>
                <w:webHidden/>
              </w:rPr>
              <w:fldChar w:fldCharType="end"/>
            </w:r>
          </w:hyperlink>
        </w:p>
        <w:p w:rsidR="00671E4C" w:rsidRDefault="00827E2D">
          <w:pPr>
            <w:pStyle w:val="TOC3"/>
            <w:rPr>
              <w:sz w:val="22"/>
            </w:rPr>
          </w:pPr>
          <w:hyperlink w:anchor="_Toc374612518" w:history="1">
            <w:r w:rsidR="00671E4C" w:rsidRPr="00AF65D3">
              <w:rPr>
                <w:rStyle w:val="Hyperlink"/>
                <w:lang w:val="en-US"/>
              </w:rPr>
              <w:t>13.2.6</w:t>
            </w:r>
            <w:r w:rsidR="00671E4C">
              <w:rPr>
                <w:sz w:val="22"/>
              </w:rPr>
              <w:tab/>
            </w:r>
            <w:r w:rsidR="00671E4C" w:rsidRPr="00AF65D3">
              <w:rPr>
                <w:rStyle w:val="Hyperlink"/>
                <w:lang w:val="en-US"/>
              </w:rPr>
              <w:t>Cultural diversity</w:t>
            </w:r>
            <w:r w:rsidR="00671E4C">
              <w:rPr>
                <w:webHidden/>
              </w:rPr>
              <w:tab/>
            </w:r>
            <w:r w:rsidR="00AA3D97">
              <w:rPr>
                <w:webHidden/>
              </w:rPr>
              <w:fldChar w:fldCharType="begin"/>
            </w:r>
            <w:r w:rsidR="00671E4C">
              <w:rPr>
                <w:webHidden/>
              </w:rPr>
              <w:instrText xml:space="preserve"> PAGEREF _Toc374612518 \h </w:instrText>
            </w:r>
            <w:r w:rsidR="00AA3D97">
              <w:rPr>
                <w:webHidden/>
              </w:rPr>
            </w:r>
            <w:r w:rsidR="00AA3D97">
              <w:rPr>
                <w:webHidden/>
              </w:rPr>
              <w:fldChar w:fldCharType="separate"/>
            </w:r>
            <w:r w:rsidR="008F6CDA">
              <w:rPr>
                <w:webHidden/>
              </w:rPr>
              <w:t>106</w:t>
            </w:r>
            <w:r w:rsidR="00AA3D97">
              <w:rPr>
                <w:webHidden/>
              </w:rPr>
              <w:fldChar w:fldCharType="end"/>
            </w:r>
          </w:hyperlink>
        </w:p>
        <w:p w:rsidR="00671E4C" w:rsidRDefault="00827E2D">
          <w:pPr>
            <w:pStyle w:val="TOC3"/>
            <w:rPr>
              <w:sz w:val="22"/>
            </w:rPr>
          </w:pPr>
          <w:hyperlink w:anchor="_Toc374612519" w:history="1">
            <w:r w:rsidR="00671E4C" w:rsidRPr="00AF65D3">
              <w:rPr>
                <w:rStyle w:val="Hyperlink"/>
              </w:rPr>
              <w:t>13.2.7</w:t>
            </w:r>
            <w:r w:rsidR="00671E4C">
              <w:rPr>
                <w:sz w:val="22"/>
              </w:rPr>
              <w:tab/>
            </w:r>
            <w:r w:rsidR="00671E4C" w:rsidRPr="00AF65D3">
              <w:rPr>
                <w:rStyle w:val="Hyperlink"/>
              </w:rPr>
              <w:t>Housing</w:t>
            </w:r>
            <w:r w:rsidR="00671E4C">
              <w:rPr>
                <w:webHidden/>
              </w:rPr>
              <w:tab/>
            </w:r>
            <w:r w:rsidR="00AA3D97">
              <w:rPr>
                <w:webHidden/>
              </w:rPr>
              <w:fldChar w:fldCharType="begin"/>
            </w:r>
            <w:r w:rsidR="00671E4C">
              <w:rPr>
                <w:webHidden/>
              </w:rPr>
              <w:instrText xml:space="preserve"> PAGEREF _Toc374612519 \h </w:instrText>
            </w:r>
            <w:r w:rsidR="00AA3D97">
              <w:rPr>
                <w:webHidden/>
              </w:rPr>
            </w:r>
            <w:r w:rsidR="00AA3D97">
              <w:rPr>
                <w:webHidden/>
              </w:rPr>
              <w:fldChar w:fldCharType="separate"/>
            </w:r>
            <w:r w:rsidR="008F6CDA">
              <w:rPr>
                <w:webHidden/>
              </w:rPr>
              <w:t>106</w:t>
            </w:r>
            <w:r w:rsidR="00AA3D97">
              <w:rPr>
                <w:webHidden/>
              </w:rPr>
              <w:fldChar w:fldCharType="end"/>
            </w:r>
          </w:hyperlink>
        </w:p>
        <w:p w:rsidR="00671E4C" w:rsidRDefault="00827E2D">
          <w:pPr>
            <w:pStyle w:val="TOC3"/>
            <w:rPr>
              <w:sz w:val="22"/>
            </w:rPr>
          </w:pPr>
          <w:hyperlink w:anchor="_Toc374612520" w:history="1">
            <w:r w:rsidR="00671E4C" w:rsidRPr="00AF65D3">
              <w:rPr>
                <w:rStyle w:val="Hyperlink"/>
              </w:rPr>
              <w:t>13.2.8</w:t>
            </w:r>
            <w:r w:rsidR="00671E4C">
              <w:rPr>
                <w:sz w:val="22"/>
              </w:rPr>
              <w:tab/>
            </w:r>
            <w:r w:rsidR="00671E4C" w:rsidRPr="00AF65D3">
              <w:rPr>
                <w:rStyle w:val="Hyperlink"/>
              </w:rPr>
              <w:t>Education</w:t>
            </w:r>
            <w:r w:rsidR="00671E4C">
              <w:rPr>
                <w:webHidden/>
              </w:rPr>
              <w:tab/>
            </w:r>
            <w:r w:rsidR="00AA3D97">
              <w:rPr>
                <w:webHidden/>
              </w:rPr>
              <w:fldChar w:fldCharType="begin"/>
            </w:r>
            <w:r w:rsidR="00671E4C">
              <w:rPr>
                <w:webHidden/>
              </w:rPr>
              <w:instrText xml:space="preserve"> PAGEREF _Toc374612520 \h </w:instrText>
            </w:r>
            <w:r w:rsidR="00AA3D97">
              <w:rPr>
                <w:webHidden/>
              </w:rPr>
            </w:r>
            <w:r w:rsidR="00AA3D97">
              <w:rPr>
                <w:webHidden/>
              </w:rPr>
              <w:fldChar w:fldCharType="separate"/>
            </w:r>
            <w:r w:rsidR="008F6CDA">
              <w:rPr>
                <w:webHidden/>
              </w:rPr>
              <w:t>107</w:t>
            </w:r>
            <w:r w:rsidR="00AA3D97">
              <w:rPr>
                <w:webHidden/>
              </w:rPr>
              <w:fldChar w:fldCharType="end"/>
            </w:r>
          </w:hyperlink>
        </w:p>
        <w:p w:rsidR="00671E4C" w:rsidRDefault="00827E2D">
          <w:pPr>
            <w:pStyle w:val="TOC3"/>
            <w:rPr>
              <w:sz w:val="22"/>
            </w:rPr>
          </w:pPr>
          <w:hyperlink w:anchor="_Toc374612521" w:history="1">
            <w:r w:rsidR="00671E4C" w:rsidRPr="00AF65D3">
              <w:rPr>
                <w:rStyle w:val="Hyperlink"/>
              </w:rPr>
              <w:t>13.2.9</w:t>
            </w:r>
            <w:r w:rsidR="00671E4C">
              <w:rPr>
                <w:sz w:val="22"/>
              </w:rPr>
              <w:tab/>
            </w:r>
            <w:r w:rsidR="00671E4C" w:rsidRPr="00AF65D3">
              <w:rPr>
                <w:rStyle w:val="Hyperlink"/>
              </w:rPr>
              <w:t>Non-resident ratepayers</w:t>
            </w:r>
            <w:r w:rsidR="00671E4C">
              <w:rPr>
                <w:webHidden/>
              </w:rPr>
              <w:tab/>
            </w:r>
            <w:r w:rsidR="00AA3D97">
              <w:rPr>
                <w:webHidden/>
              </w:rPr>
              <w:fldChar w:fldCharType="begin"/>
            </w:r>
            <w:r w:rsidR="00671E4C">
              <w:rPr>
                <w:webHidden/>
              </w:rPr>
              <w:instrText xml:space="preserve"> PAGEREF _Toc374612521 \h </w:instrText>
            </w:r>
            <w:r w:rsidR="00AA3D97">
              <w:rPr>
                <w:webHidden/>
              </w:rPr>
            </w:r>
            <w:r w:rsidR="00AA3D97">
              <w:rPr>
                <w:webHidden/>
              </w:rPr>
              <w:fldChar w:fldCharType="separate"/>
            </w:r>
            <w:r w:rsidR="008F6CDA">
              <w:rPr>
                <w:webHidden/>
              </w:rPr>
              <w:t>107</w:t>
            </w:r>
            <w:r w:rsidR="00AA3D97">
              <w:rPr>
                <w:webHidden/>
              </w:rPr>
              <w:fldChar w:fldCharType="end"/>
            </w:r>
          </w:hyperlink>
        </w:p>
        <w:p w:rsidR="00671E4C" w:rsidRDefault="00827E2D">
          <w:pPr>
            <w:pStyle w:val="TOC3"/>
            <w:rPr>
              <w:sz w:val="22"/>
            </w:rPr>
          </w:pPr>
          <w:hyperlink w:anchor="_Toc374612522" w:history="1">
            <w:r w:rsidR="00671E4C" w:rsidRPr="00AF65D3">
              <w:rPr>
                <w:rStyle w:val="Hyperlink"/>
              </w:rPr>
              <w:t>13.2.10</w:t>
            </w:r>
            <w:r w:rsidR="00671E4C">
              <w:rPr>
                <w:sz w:val="22"/>
              </w:rPr>
              <w:tab/>
            </w:r>
            <w:r w:rsidR="00671E4C" w:rsidRPr="00AF65D3">
              <w:rPr>
                <w:rStyle w:val="Hyperlink"/>
              </w:rPr>
              <w:t>Health and wellbeing</w:t>
            </w:r>
            <w:r w:rsidR="00671E4C">
              <w:rPr>
                <w:webHidden/>
              </w:rPr>
              <w:tab/>
            </w:r>
            <w:r w:rsidR="00AA3D97">
              <w:rPr>
                <w:webHidden/>
              </w:rPr>
              <w:fldChar w:fldCharType="begin"/>
            </w:r>
            <w:r w:rsidR="00671E4C">
              <w:rPr>
                <w:webHidden/>
              </w:rPr>
              <w:instrText xml:space="preserve"> PAGEREF _Toc374612522 \h </w:instrText>
            </w:r>
            <w:r w:rsidR="00AA3D97">
              <w:rPr>
                <w:webHidden/>
              </w:rPr>
            </w:r>
            <w:r w:rsidR="00AA3D97">
              <w:rPr>
                <w:webHidden/>
              </w:rPr>
              <w:fldChar w:fldCharType="separate"/>
            </w:r>
            <w:r w:rsidR="008F6CDA">
              <w:rPr>
                <w:webHidden/>
              </w:rPr>
              <w:t>108</w:t>
            </w:r>
            <w:r w:rsidR="00AA3D97">
              <w:rPr>
                <w:webHidden/>
              </w:rPr>
              <w:fldChar w:fldCharType="end"/>
            </w:r>
          </w:hyperlink>
        </w:p>
        <w:p w:rsidR="00671E4C" w:rsidRDefault="00827E2D">
          <w:pPr>
            <w:pStyle w:val="TOC3"/>
            <w:rPr>
              <w:sz w:val="22"/>
            </w:rPr>
          </w:pPr>
          <w:hyperlink w:anchor="_Toc374612523" w:history="1">
            <w:r w:rsidR="00671E4C" w:rsidRPr="00AF65D3">
              <w:rPr>
                <w:rStyle w:val="Hyperlink"/>
                <w:rFonts w:cstheme="minorHAnsi"/>
              </w:rPr>
              <w:t>13.2.11</w:t>
            </w:r>
            <w:r w:rsidR="00671E4C">
              <w:rPr>
                <w:sz w:val="22"/>
              </w:rPr>
              <w:tab/>
            </w:r>
            <w:r w:rsidR="00671E4C" w:rsidRPr="00AF65D3">
              <w:rPr>
                <w:rStyle w:val="Hyperlink"/>
              </w:rPr>
              <w:t>Assisting communities to adapt to climate change</w:t>
            </w:r>
            <w:r w:rsidR="00671E4C">
              <w:rPr>
                <w:webHidden/>
              </w:rPr>
              <w:tab/>
            </w:r>
            <w:r w:rsidR="00AA3D97">
              <w:rPr>
                <w:webHidden/>
              </w:rPr>
              <w:fldChar w:fldCharType="begin"/>
            </w:r>
            <w:r w:rsidR="00671E4C">
              <w:rPr>
                <w:webHidden/>
              </w:rPr>
              <w:instrText xml:space="preserve"> PAGEREF _Toc374612523 \h </w:instrText>
            </w:r>
            <w:r w:rsidR="00AA3D97">
              <w:rPr>
                <w:webHidden/>
              </w:rPr>
            </w:r>
            <w:r w:rsidR="00AA3D97">
              <w:rPr>
                <w:webHidden/>
              </w:rPr>
              <w:fldChar w:fldCharType="separate"/>
            </w:r>
            <w:r w:rsidR="008F6CDA">
              <w:rPr>
                <w:webHidden/>
              </w:rPr>
              <w:t>108</w:t>
            </w:r>
            <w:r w:rsidR="00AA3D97">
              <w:rPr>
                <w:webHidden/>
              </w:rPr>
              <w:fldChar w:fldCharType="end"/>
            </w:r>
          </w:hyperlink>
        </w:p>
        <w:p w:rsidR="00671E4C" w:rsidRDefault="00827E2D">
          <w:pPr>
            <w:pStyle w:val="TOC1"/>
            <w:rPr>
              <w:noProof/>
            </w:rPr>
          </w:pPr>
          <w:hyperlink w:anchor="_Toc374612524" w:history="1">
            <w:r w:rsidR="00671E4C" w:rsidRPr="00AF65D3">
              <w:rPr>
                <w:rStyle w:val="Hyperlink"/>
                <w:rFonts w:eastAsiaTheme="minorHAnsi"/>
                <w:noProof/>
              </w:rPr>
              <w:t>APPENDIX A:</w:t>
            </w:r>
            <w:r w:rsidR="00671E4C">
              <w:rPr>
                <w:noProof/>
              </w:rPr>
              <w:tab/>
            </w:r>
            <w:r w:rsidR="00671E4C" w:rsidRPr="00AF65D3">
              <w:rPr>
                <w:rStyle w:val="Hyperlink"/>
                <w:rFonts w:eastAsiaTheme="minorHAnsi"/>
                <w:noProof/>
              </w:rPr>
              <w:t>REFERENCES</w:t>
            </w:r>
            <w:r w:rsidR="00671E4C">
              <w:rPr>
                <w:noProof/>
                <w:webHidden/>
              </w:rPr>
              <w:tab/>
            </w:r>
            <w:r w:rsidR="00AA3D97">
              <w:rPr>
                <w:noProof/>
                <w:webHidden/>
              </w:rPr>
              <w:fldChar w:fldCharType="begin"/>
            </w:r>
            <w:r w:rsidR="00671E4C">
              <w:rPr>
                <w:noProof/>
                <w:webHidden/>
              </w:rPr>
              <w:instrText xml:space="preserve"> PAGEREF _Toc374612524 \h </w:instrText>
            </w:r>
            <w:r w:rsidR="00AA3D97">
              <w:rPr>
                <w:noProof/>
                <w:webHidden/>
              </w:rPr>
            </w:r>
            <w:r w:rsidR="00AA3D97">
              <w:rPr>
                <w:noProof/>
                <w:webHidden/>
              </w:rPr>
              <w:fldChar w:fldCharType="separate"/>
            </w:r>
            <w:r w:rsidR="008F6CDA">
              <w:rPr>
                <w:noProof/>
                <w:webHidden/>
              </w:rPr>
              <w:t>109</w:t>
            </w:r>
            <w:r w:rsidR="00AA3D97">
              <w:rPr>
                <w:noProof/>
                <w:webHidden/>
              </w:rPr>
              <w:fldChar w:fldCharType="end"/>
            </w:r>
          </w:hyperlink>
        </w:p>
        <w:p w:rsidR="00870F37" w:rsidRDefault="00827E2D" w:rsidP="00CF4C6D">
          <w:pPr>
            <w:pStyle w:val="TOC1"/>
          </w:pPr>
          <w:hyperlink w:anchor="_Toc374612525" w:history="1">
            <w:r w:rsidR="00671E4C" w:rsidRPr="00AF65D3">
              <w:rPr>
                <w:rStyle w:val="Hyperlink"/>
                <w:rFonts w:eastAsiaTheme="minorHAnsi"/>
                <w:noProof/>
              </w:rPr>
              <w:t>APPENDIX B:</w:t>
            </w:r>
            <w:r w:rsidR="00671E4C">
              <w:rPr>
                <w:noProof/>
              </w:rPr>
              <w:tab/>
            </w:r>
            <w:r w:rsidR="00671E4C" w:rsidRPr="00AF65D3">
              <w:rPr>
                <w:rStyle w:val="Hyperlink"/>
                <w:rFonts w:eastAsiaTheme="minorHAnsi"/>
                <w:noProof/>
              </w:rPr>
              <w:t>TECHNICAL WORKING GROUP MEMBERS</w:t>
            </w:r>
            <w:r w:rsidR="00671E4C">
              <w:rPr>
                <w:noProof/>
                <w:webHidden/>
              </w:rPr>
              <w:tab/>
            </w:r>
            <w:r w:rsidR="00AA3D97">
              <w:rPr>
                <w:noProof/>
                <w:webHidden/>
              </w:rPr>
              <w:fldChar w:fldCharType="begin"/>
            </w:r>
            <w:r w:rsidR="00671E4C">
              <w:rPr>
                <w:noProof/>
                <w:webHidden/>
              </w:rPr>
              <w:instrText xml:space="preserve"> PAGEREF _Toc374612525 \h </w:instrText>
            </w:r>
            <w:r w:rsidR="00AA3D97">
              <w:rPr>
                <w:noProof/>
                <w:webHidden/>
              </w:rPr>
            </w:r>
            <w:r w:rsidR="00AA3D97">
              <w:rPr>
                <w:noProof/>
                <w:webHidden/>
              </w:rPr>
              <w:fldChar w:fldCharType="separate"/>
            </w:r>
            <w:r w:rsidR="008F6CDA">
              <w:rPr>
                <w:noProof/>
                <w:webHidden/>
              </w:rPr>
              <w:t>113</w:t>
            </w:r>
            <w:r w:rsidR="00AA3D97">
              <w:rPr>
                <w:noProof/>
                <w:webHidden/>
              </w:rPr>
              <w:fldChar w:fldCharType="end"/>
            </w:r>
          </w:hyperlink>
          <w:r w:rsidR="00AA3D97">
            <w:fldChar w:fldCharType="end"/>
          </w:r>
        </w:p>
      </w:sdtContent>
    </w:sdt>
    <w:p w:rsidR="001E6B61" w:rsidRPr="00F3663A" w:rsidRDefault="000F5B4D" w:rsidP="00A02D48">
      <w:pPr>
        <w:pStyle w:val="TOCHeading"/>
        <w:spacing w:before="180" w:after="40" w:line="270" w:lineRule="exact"/>
      </w:pPr>
      <w:r w:rsidRPr="00F3663A">
        <w:lastRenderedPageBreak/>
        <w:t>Figures:</w:t>
      </w:r>
    </w:p>
    <w:p w:rsidR="00671E4C" w:rsidRDefault="00AA3D97">
      <w:pPr>
        <w:pStyle w:val="TableofFigures"/>
        <w:tabs>
          <w:tab w:val="right" w:leader="dot" w:pos="9016"/>
        </w:tabs>
        <w:rPr>
          <w:noProof/>
          <w:sz w:val="22"/>
        </w:rPr>
      </w:pPr>
      <w:r w:rsidRPr="00501FEF">
        <w:rPr>
          <w:rFonts w:eastAsiaTheme="minorHAnsi"/>
          <w:sz w:val="22"/>
          <w:szCs w:val="20"/>
          <w:lang w:eastAsia="en-US"/>
        </w:rPr>
        <w:fldChar w:fldCharType="begin"/>
      </w:r>
      <w:r w:rsidR="00DF1C26" w:rsidRPr="00501FEF">
        <w:rPr>
          <w:szCs w:val="20"/>
        </w:rPr>
        <w:instrText xml:space="preserve"> TOC \c "Figure" </w:instrText>
      </w:r>
      <w:r w:rsidRPr="00501FEF">
        <w:rPr>
          <w:rFonts w:eastAsiaTheme="minorHAnsi"/>
          <w:sz w:val="22"/>
          <w:szCs w:val="20"/>
          <w:lang w:eastAsia="en-US"/>
        </w:rPr>
        <w:fldChar w:fldCharType="separate"/>
      </w:r>
      <w:r w:rsidR="00671E4C">
        <w:rPr>
          <w:noProof/>
        </w:rPr>
        <w:t>Figure 1: Victoria's eight regional growth plans</w:t>
      </w:r>
      <w:r w:rsidR="00671E4C">
        <w:rPr>
          <w:noProof/>
        </w:rPr>
        <w:tab/>
      </w:r>
      <w:r>
        <w:rPr>
          <w:noProof/>
        </w:rPr>
        <w:fldChar w:fldCharType="begin"/>
      </w:r>
      <w:r w:rsidR="00671E4C">
        <w:rPr>
          <w:noProof/>
        </w:rPr>
        <w:instrText xml:space="preserve"> PAGEREF _Toc374612526 \h </w:instrText>
      </w:r>
      <w:r>
        <w:rPr>
          <w:noProof/>
        </w:rPr>
      </w:r>
      <w:r>
        <w:rPr>
          <w:noProof/>
        </w:rPr>
        <w:fldChar w:fldCharType="separate"/>
      </w:r>
      <w:r w:rsidR="008F6CDA">
        <w:rPr>
          <w:noProof/>
        </w:rPr>
        <w:t>1</w:t>
      </w:r>
      <w:r>
        <w:rPr>
          <w:noProof/>
        </w:rPr>
        <w:fldChar w:fldCharType="end"/>
      </w:r>
    </w:p>
    <w:p w:rsidR="00671E4C" w:rsidRDefault="00671E4C">
      <w:pPr>
        <w:pStyle w:val="TableofFigures"/>
        <w:tabs>
          <w:tab w:val="right" w:leader="dot" w:pos="9016"/>
        </w:tabs>
        <w:rPr>
          <w:noProof/>
          <w:sz w:val="22"/>
        </w:rPr>
      </w:pPr>
      <w:r>
        <w:rPr>
          <w:noProof/>
        </w:rPr>
        <w:t>Figure 2: National context</w:t>
      </w:r>
      <w:r>
        <w:rPr>
          <w:noProof/>
        </w:rPr>
        <w:tab/>
      </w:r>
      <w:r w:rsidR="00AA3D97">
        <w:rPr>
          <w:noProof/>
        </w:rPr>
        <w:fldChar w:fldCharType="begin"/>
      </w:r>
      <w:r>
        <w:rPr>
          <w:noProof/>
        </w:rPr>
        <w:instrText xml:space="preserve"> PAGEREF _Toc374612527 \h </w:instrText>
      </w:r>
      <w:r w:rsidR="00AA3D97">
        <w:rPr>
          <w:noProof/>
        </w:rPr>
      </w:r>
      <w:r w:rsidR="00AA3D97">
        <w:rPr>
          <w:noProof/>
        </w:rPr>
        <w:fldChar w:fldCharType="separate"/>
      </w:r>
      <w:r w:rsidR="008F6CDA">
        <w:rPr>
          <w:noProof/>
        </w:rPr>
        <w:t>4</w:t>
      </w:r>
      <w:r w:rsidR="00AA3D97">
        <w:rPr>
          <w:noProof/>
        </w:rPr>
        <w:fldChar w:fldCharType="end"/>
      </w:r>
    </w:p>
    <w:p w:rsidR="00671E4C" w:rsidRDefault="00671E4C">
      <w:pPr>
        <w:pStyle w:val="TableofFigures"/>
        <w:tabs>
          <w:tab w:val="right" w:leader="dot" w:pos="9016"/>
        </w:tabs>
        <w:rPr>
          <w:noProof/>
          <w:sz w:val="22"/>
        </w:rPr>
      </w:pPr>
      <w:r>
        <w:rPr>
          <w:noProof/>
        </w:rPr>
        <w:t>Figure 3: Hume Region and sub-regions</w:t>
      </w:r>
      <w:r>
        <w:rPr>
          <w:noProof/>
        </w:rPr>
        <w:tab/>
      </w:r>
      <w:r w:rsidR="00AA3D97">
        <w:rPr>
          <w:noProof/>
        </w:rPr>
        <w:fldChar w:fldCharType="begin"/>
      </w:r>
      <w:r>
        <w:rPr>
          <w:noProof/>
        </w:rPr>
        <w:instrText xml:space="preserve"> PAGEREF _Toc374612528 \h </w:instrText>
      </w:r>
      <w:r w:rsidR="00AA3D97">
        <w:rPr>
          <w:noProof/>
        </w:rPr>
      </w:r>
      <w:r w:rsidR="00AA3D97">
        <w:rPr>
          <w:noProof/>
        </w:rPr>
        <w:fldChar w:fldCharType="separate"/>
      </w:r>
      <w:r w:rsidR="008F6CDA">
        <w:rPr>
          <w:noProof/>
        </w:rPr>
        <w:t>5</w:t>
      </w:r>
      <w:r w:rsidR="00AA3D97">
        <w:rPr>
          <w:noProof/>
        </w:rPr>
        <w:fldChar w:fldCharType="end"/>
      </w:r>
    </w:p>
    <w:p w:rsidR="00671E4C" w:rsidRDefault="00671E4C">
      <w:pPr>
        <w:pStyle w:val="TableofFigures"/>
        <w:tabs>
          <w:tab w:val="right" w:leader="dot" w:pos="9016"/>
        </w:tabs>
        <w:rPr>
          <w:noProof/>
          <w:sz w:val="22"/>
        </w:rPr>
      </w:pPr>
      <w:r>
        <w:rPr>
          <w:noProof/>
        </w:rPr>
        <w:t>Figure 4: Index of relative socio-economic disadvantage – Hume Region (2006)</w:t>
      </w:r>
      <w:r>
        <w:rPr>
          <w:noProof/>
        </w:rPr>
        <w:tab/>
      </w:r>
      <w:r w:rsidR="00AA3D97">
        <w:rPr>
          <w:noProof/>
        </w:rPr>
        <w:fldChar w:fldCharType="begin"/>
      </w:r>
      <w:r>
        <w:rPr>
          <w:noProof/>
        </w:rPr>
        <w:instrText xml:space="preserve"> PAGEREF _Toc374612529 \h </w:instrText>
      </w:r>
      <w:r w:rsidR="00AA3D97">
        <w:rPr>
          <w:noProof/>
        </w:rPr>
      </w:r>
      <w:r w:rsidR="00AA3D97">
        <w:rPr>
          <w:noProof/>
        </w:rPr>
        <w:fldChar w:fldCharType="separate"/>
      </w:r>
      <w:r w:rsidR="008F6CDA">
        <w:rPr>
          <w:noProof/>
        </w:rPr>
        <w:t>9</w:t>
      </w:r>
      <w:r w:rsidR="00AA3D97">
        <w:rPr>
          <w:noProof/>
        </w:rPr>
        <w:fldChar w:fldCharType="end"/>
      </w:r>
    </w:p>
    <w:p w:rsidR="00671E4C" w:rsidRDefault="00671E4C">
      <w:pPr>
        <w:pStyle w:val="TableofFigures"/>
        <w:tabs>
          <w:tab w:val="right" w:leader="dot" w:pos="9016"/>
        </w:tabs>
        <w:rPr>
          <w:noProof/>
          <w:sz w:val="22"/>
        </w:rPr>
      </w:pPr>
      <w:r>
        <w:rPr>
          <w:noProof/>
        </w:rPr>
        <w:t>Figure 5: Natural gas and electricity infrastructure – Hume Region</w:t>
      </w:r>
      <w:r>
        <w:rPr>
          <w:noProof/>
        </w:rPr>
        <w:tab/>
      </w:r>
      <w:r w:rsidR="00AA3D97">
        <w:rPr>
          <w:noProof/>
        </w:rPr>
        <w:fldChar w:fldCharType="begin"/>
      </w:r>
      <w:r>
        <w:rPr>
          <w:noProof/>
        </w:rPr>
        <w:instrText xml:space="preserve"> PAGEREF _Toc374612530 \h </w:instrText>
      </w:r>
      <w:r w:rsidR="00AA3D97">
        <w:rPr>
          <w:noProof/>
        </w:rPr>
      </w:r>
      <w:r w:rsidR="00AA3D97">
        <w:rPr>
          <w:noProof/>
        </w:rPr>
        <w:fldChar w:fldCharType="separate"/>
      </w:r>
      <w:r w:rsidR="008F6CDA">
        <w:rPr>
          <w:noProof/>
        </w:rPr>
        <w:t>12</w:t>
      </w:r>
      <w:r w:rsidR="00AA3D97">
        <w:rPr>
          <w:noProof/>
        </w:rPr>
        <w:fldChar w:fldCharType="end"/>
      </w:r>
    </w:p>
    <w:p w:rsidR="00671E4C" w:rsidRDefault="00671E4C">
      <w:pPr>
        <w:pStyle w:val="TableofFigures"/>
        <w:tabs>
          <w:tab w:val="right" w:leader="dot" w:pos="9016"/>
        </w:tabs>
        <w:rPr>
          <w:noProof/>
          <w:sz w:val="22"/>
        </w:rPr>
      </w:pPr>
      <w:r>
        <w:rPr>
          <w:noProof/>
        </w:rPr>
        <w:t>Figure 6: Percentage of employed persons per sector (1996, 2001, 2006) – Hume Region</w:t>
      </w:r>
      <w:r>
        <w:rPr>
          <w:noProof/>
        </w:rPr>
        <w:tab/>
      </w:r>
      <w:r w:rsidR="00AA3D97">
        <w:rPr>
          <w:noProof/>
        </w:rPr>
        <w:fldChar w:fldCharType="begin"/>
      </w:r>
      <w:r>
        <w:rPr>
          <w:noProof/>
        </w:rPr>
        <w:instrText xml:space="preserve"> PAGEREF _Toc374612531 \h </w:instrText>
      </w:r>
      <w:r w:rsidR="00AA3D97">
        <w:rPr>
          <w:noProof/>
        </w:rPr>
      </w:r>
      <w:r w:rsidR="00AA3D97">
        <w:rPr>
          <w:noProof/>
        </w:rPr>
        <w:fldChar w:fldCharType="separate"/>
      </w:r>
      <w:r w:rsidR="008F6CDA">
        <w:rPr>
          <w:noProof/>
        </w:rPr>
        <w:t>14</w:t>
      </w:r>
      <w:r w:rsidR="00AA3D97">
        <w:rPr>
          <w:noProof/>
        </w:rPr>
        <w:fldChar w:fldCharType="end"/>
      </w:r>
    </w:p>
    <w:p w:rsidR="00671E4C" w:rsidRDefault="00671E4C">
      <w:pPr>
        <w:pStyle w:val="TableofFigures"/>
        <w:tabs>
          <w:tab w:val="right" w:leader="dot" w:pos="9016"/>
        </w:tabs>
        <w:rPr>
          <w:noProof/>
          <w:sz w:val="22"/>
        </w:rPr>
      </w:pPr>
      <w:r>
        <w:rPr>
          <w:noProof/>
        </w:rPr>
        <w:t>Figure 7: Age structure (2011 and 2031) – Hume Region</w:t>
      </w:r>
      <w:r>
        <w:rPr>
          <w:noProof/>
        </w:rPr>
        <w:tab/>
      </w:r>
      <w:r w:rsidR="00AA3D97">
        <w:rPr>
          <w:noProof/>
        </w:rPr>
        <w:fldChar w:fldCharType="begin"/>
      </w:r>
      <w:r>
        <w:rPr>
          <w:noProof/>
        </w:rPr>
        <w:instrText xml:space="preserve"> PAGEREF _Toc374612532 \h </w:instrText>
      </w:r>
      <w:r w:rsidR="00AA3D97">
        <w:rPr>
          <w:noProof/>
        </w:rPr>
      </w:r>
      <w:r w:rsidR="00AA3D97">
        <w:rPr>
          <w:noProof/>
        </w:rPr>
        <w:fldChar w:fldCharType="separate"/>
      </w:r>
      <w:r w:rsidR="008F6CDA">
        <w:rPr>
          <w:noProof/>
        </w:rPr>
        <w:t>19</w:t>
      </w:r>
      <w:r w:rsidR="00AA3D97">
        <w:rPr>
          <w:noProof/>
        </w:rPr>
        <w:fldChar w:fldCharType="end"/>
      </w:r>
    </w:p>
    <w:p w:rsidR="00671E4C" w:rsidRDefault="00671E4C">
      <w:pPr>
        <w:pStyle w:val="TableofFigures"/>
        <w:tabs>
          <w:tab w:val="right" w:leader="dot" w:pos="9016"/>
        </w:tabs>
        <w:rPr>
          <w:noProof/>
          <w:sz w:val="22"/>
        </w:rPr>
      </w:pPr>
      <w:r>
        <w:rPr>
          <w:noProof/>
        </w:rPr>
        <w:t>Figure 8: Employment forecasts per sector – Hume Region</w:t>
      </w:r>
      <w:r>
        <w:rPr>
          <w:noProof/>
        </w:rPr>
        <w:tab/>
      </w:r>
      <w:r w:rsidR="00AA3D97">
        <w:rPr>
          <w:noProof/>
        </w:rPr>
        <w:fldChar w:fldCharType="begin"/>
      </w:r>
      <w:r>
        <w:rPr>
          <w:noProof/>
        </w:rPr>
        <w:instrText xml:space="preserve"> PAGEREF _Toc374612533 \h </w:instrText>
      </w:r>
      <w:r w:rsidR="00AA3D97">
        <w:rPr>
          <w:noProof/>
        </w:rPr>
      </w:r>
      <w:r w:rsidR="00AA3D97">
        <w:rPr>
          <w:noProof/>
        </w:rPr>
        <w:fldChar w:fldCharType="separate"/>
      </w:r>
      <w:r w:rsidR="008F6CDA">
        <w:rPr>
          <w:noProof/>
        </w:rPr>
        <w:t>25</w:t>
      </w:r>
      <w:r w:rsidR="00AA3D97">
        <w:rPr>
          <w:noProof/>
        </w:rPr>
        <w:fldChar w:fldCharType="end"/>
      </w:r>
    </w:p>
    <w:p w:rsidR="00671E4C" w:rsidRDefault="00671E4C">
      <w:pPr>
        <w:pStyle w:val="TableofFigures"/>
        <w:tabs>
          <w:tab w:val="right" w:leader="dot" w:pos="9016"/>
        </w:tabs>
        <w:rPr>
          <w:noProof/>
          <w:sz w:val="22"/>
        </w:rPr>
      </w:pPr>
      <w:r>
        <w:rPr>
          <w:noProof/>
        </w:rPr>
        <w:t>Figure 9: Existing urban settlement network – Hume region</w:t>
      </w:r>
      <w:r>
        <w:rPr>
          <w:noProof/>
        </w:rPr>
        <w:tab/>
      </w:r>
      <w:r w:rsidR="00AA3D97">
        <w:rPr>
          <w:noProof/>
        </w:rPr>
        <w:fldChar w:fldCharType="begin"/>
      </w:r>
      <w:r>
        <w:rPr>
          <w:noProof/>
        </w:rPr>
        <w:instrText xml:space="preserve"> PAGEREF _Toc374612534 \h </w:instrText>
      </w:r>
      <w:r w:rsidR="00AA3D97">
        <w:rPr>
          <w:noProof/>
        </w:rPr>
      </w:r>
      <w:r w:rsidR="00AA3D97">
        <w:rPr>
          <w:noProof/>
        </w:rPr>
        <w:fldChar w:fldCharType="separate"/>
      </w:r>
      <w:r w:rsidR="008F6CDA">
        <w:rPr>
          <w:noProof/>
        </w:rPr>
        <w:t>30</w:t>
      </w:r>
      <w:r w:rsidR="00AA3D97">
        <w:rPr>
          <w:noProof/>
        </w:rPr>
        <w:fldChar w:fldCharType="end"/>
      </w:r>
    </w:p>
    <w:p w:rsidR="00671E4C" w:rsidRDefault="00671E4C">
      <w:pPr>
        <w:pStyle w:val="TableofFigures"/>
        <w:tabs>
          <w:tab w:val="right" w:leader="dot" w:pos="9016"/>
        </w:tabs>
        <w:rPr>
          <w:noProof/>
          <w:sz w:val="22"/>
        </w:rPr>
      </w:pPr>
      <w:r>
        <w:rPr>
          <w:noProof/>
        </w:rPr>
        <w:t>Figure 10: Estimated resident population growth by Statistical Local Area, 2011 to 2031</w:t>
      </w:r>
      <w:r>
        <w:rPr>
          <w:noProof/>
        </w:rPr>
        <w:tab/>
      </w:r>
      <w:r w:rsidR="00AA3D97">
        <w:rPr>
          <w:noProof/>
        </w:rPr>
        <w:fldChar w:fldCharType="begin"/>
      </w:r>
      <w:r>
        <w:rPr>
          <w:noProof/>
        </w:rPr>
        <w:instrText xml:space="preserve"> PAGEREF _Toc374612535 \h </w:instrText>
      </w:r>
      <w:r w:rsidR="00AA3D97">
        <w:rPr>
          <w:noProof/>
        </w:rPr>
      </w:r>
      <w:r w:rsidR="00AA3D97">
        <w:rPr>
          <w:noProof/>
        </w:rPr>
        <w:fldChar w:fldCharType="separate"/>
      </w:r>
      <w:r w:rsidR="008F6CDA">
        <w:rPr>
          <w:noProof/>
        </w:rPr>
        <w:t>32</w:t>
      </w:r>
      <w:r w:rsidR="00AA3D97">
        <w:rPr>
          <w:noProof/>
        </w:rPr>
        <w:fldChar w:fldCharType="end"/>
      </w:r>
    </w:p>
    <w:p w:rsidR="00671E4C" w:rsidRDefault="00671E4C">
      <w:pPr>
        <w:pStyle w:val="TableofFigures"/>
        <w:tabs>
          <w:tab w:val="right" w:leader="dot" w:pos="9016"/>
        </w:tabs>
        <w:rPr>
          <w:noProof/>
          <w:sz w:val="22"/>
        </w:rPr>
      </w:pPr>
      <w:r>
        <w:rPr>
          <w:noProof/>
        </w:rPr>
        <w:t>Figure 11: Agricultural land use – Hume Region</w:t>
      </w:r>
      <w:r>
        <w:rPr>
          <w:noProof/>
        </w:rPr>
        <w:tab/>
      </w:r>
      <w:r w:rsidR="00AA3D97">
        <w:rPr>
          <w:noProof/>
        </w:rPr>
        <w:fldChar w:fldCharType="begin"/>
      </w:r>
      <w:r>
        <w:rPr>
          <w:noProof/>
        </w:rPr>
        <w:instrText xml:space="preserve"> PAGEREF _Toc374612536 \h </w:instrText>
      </w:r>
      <w:r w:rsidR="00AA3D97">
        <w:rPr>
          <w:noProof/>
        </w:rPr>
      </w:r>
      <w:r w:rsidR="00AA3D97">
        <w:rPr>
          <w:noProof/>
        </w:rPr>
        <w:fldChar w:fldCharType="separate"/>
      </w:r>
      <w:r w:rsidR="008F6CDA">
        <w:rPr>
          <w:noProof/>
        </w:rPr>
        <w:t>44</w:t>
      </w:r>
      <w:r w:rsidR="00AA3D97">
        <w:rPr>
          <w:noProof/>
        </w:rPr>
        <w:fldChar w:fldCharType="end"/>
      </w:r>
    </w:p>
    <w:p w:rsidR="00671E4C" w:rsidRDefault="00671E4C">
      <w:pPr>
        <w:pStyle w:val="TableofFigures"/>
        <w:tabs>
          <w:tab w:val="right" w:leader="dot" w:pos="9016"/>
        </w:tabs>
        <w:rPr>
          <w:noProof/>
          <w:sz w:val="22"/>
        </w:rPr>
      </w:pPr>
      <w:r>
        <w:rPr>
          <w:noProof/>
        </w:rPr>
        <w:t>Figure 12: Strategic agricultural land</w:t>
      </w:r>
      <w:r>
        <w:rPr>
          <w:noProof/>
        </w:rPr>
        <w:tab/>
      </w:r>
      <w:r w:rsidR="00AA3D97">
        <w:rPr>
          <w:noProof/>
        </w:rPr>
        <w:fldChar w:fldCharType="begin"/>
      </w:r>
      <w:r>
        <w:rPr>
          <w:noProof/>
        </w:rPr>
        <w:instrText xml:space="preserve"> PAGEREF _Toc374612537 \h </w:instrText>
      </w:r>
      <w:r w:rsidR="00AA3D97">
        <w:rPr>
          <w:noProof/>
        </w:rPr>
      </w:r>
      <w:r w:rsidR="00AA3D97">
        <w:rPr>
          <w:noProof/>
        </w:rPr>
        <w:fldChar w:fldCharType="separate"/>
      </w:r>
      <w:r w:rsidR="008F6CDA">
        <w:rPr>
          <w:noProof/>
        </w:rPr>
        <w:t>47</w:t>
      </w:r>
      <w:r w:rsidR="00AA3D97">
        <w:rPr>
          <w:noProof/>
        </w:rPr>
        <w:fldChar w:fldCharType="end"/>
      </w:r>
    </w:p>
    <w:p w:rsidR="00671E4C" w:rsidRDefault="00671E4C">
      <w:pPr>
        <w:pStyle w:val="TableofFigures"/>
        <w:tabs>
          <w:tab w:val="right" w:leader="dot" w:pos="9016"/>
        </w:tabs>
        <w:rPr>
          <w:noProof/>
          <w:sz w:val="22"/>
        </w:rPr>
      </w:pPr>
      <w:r>
        <w:rPr>
          <w:noProof/>
        </w:rPr>
        <w:t>Figure 13: Lot parcels 0.4 to 8.0 hectares – Hume Region</w:t>
      </w:r>
      <w:r>
        <w:rPr>
          <w:noProof/>
        </w:rPr>
        <w:tab/>
      </w:r>
      <w:r w:rsidR="00AA3D97">
        <w:rPr>
          <w:noProof/>
        </w:rPr>
        <w:fldChar w:fldCharType="begin"/>
      </w:r>
      <w:r>
        <w:rPr>
          <w:noProof/>
        </w:rPr>
        <w:instrText xml:space="preserve"> PAGEREF _Toc374612538 \h </w:instrText>
      </w:r>
      <w:r w:rsidR="00AA3D97">
        <w:rPr>
          <w:noProof/>
        </w:rPr>
      </w:r>
      <w:r w:rsidR="00AA3D97">
        <w:rPr>
          <w:noProof/>
        </w:rPr>
        <w:fldChar w:fldCharType="separate"/>
      </w:r>
      <w:r w:rsidR="008F6CDA">
        <w:rPr>
          <w:noProof/>
        </w:rPr>
        <w:t>51</w:t>
      </w:r>
      <w:r w:rsidR="00AA3D97">
        <w:rPr>
          <w:noProof/>
        </w:rPr>
        <w:fldChar w:fldCharType="end"/>
      </w:r>
    </w:p>
    <w:p w:rsidR="00671E4C" w:rsidRDefault="00671E4C">
      <w:pPr>
        <w:pStyle w:val="TableofFigures"/>
        <w:tabs>
          <w:tab w:val="right" w:leader="dot" w:pos="9016"/>
        </w:tabs>
        <w:rPr>
          <w:noProof/>
          <w:sz w:val="22"/>
        </w:rPr>
      </w:pPr>
      <w:r>
        <w:rPr>
          <w:noProof/>
        </w:rPr>
        <w:t>Figure 14: Mining and extractive industries, tenements and licences</w:t>
      </w:r>
      <w:r>
        <w:rPr>
          <w:noProof/>
        </w:rPr>
        <w:tab/>
      </w:r>
      <w:r w:rsidR="00AA3D97">
        <w:rPr>
          <w:noProof/>
        </w:rPr>
        <w:fldChar w:fldCharType="begin"/>
      </w:r>
      <w:r>
        <w:rPr>
          <w:noProof/>
        </w:rPr>
        <w:instrText xml:space="preserve"> PAGEREF _Toc374612539 \h </w:instrText>
      </w:r>
      <w:r w:rsidR="00AA3D97">
        <w:rPr>
          <w:noProof/>
        </w:rPr>
      </w:r>
      <w:r w:rsidR="00AA3D97">
        <w:rPr>
          <w:noProof/>
        </w:rPr>
        <w:fldChar w:fldCharType="separate"/>
      </w:r>
      <w:r w:rsidR="008F6CDA">
        <w:rPr>
          <w:noProof/>
        </w:rPr>
        <w:t>54</w:t>
      </w:r>
      <w:r w:rsidR="00AA3D97">
        <w:rPr>
          <w:noProof/>
        </w:rPr>
        <w:fldChar w:fldCharType="end"/>
      </w:r>
    </w:p>
    <w:p w:rsidR="00671E4C" w:rsidRDefault="00671E4C">
      <w:pPr>
        <w:pStyle w:val="TableofFigures"/>
        <w:tabs>
          <w:tab w:val="right" w:leader="dot" w:pos="9016"/>
        </w:tabs>
        <w:rPr>
          <w:noProof/>
          <w:sz w:val="22"/>
        </w:rPr>
      </w:pPr>
      <w:r>
        <w:rPr>
          <w:noProof/>
        </w:rPr>
        <w:t>Figure 15: Key enterprises – Hume Region</w:t>
      </w:r>
      <w:r>
        <w:rPr>
          <w:noProof/>
        </w:rPr>
        <w:tab/>
      </w:r>
      <w:r w:rsidR="00AA3D97">
        <w:rPr>
          <w:noProof/>
        </w:rPr>
        <w:fldChar w:fldCharType="begin"/>
      </w:r>
      <w:r>
        <w:rPr>
          <w:noProof/>
        </w:rPr>
        <w:instrText xml:space="preserve"> PAGEREF _Toc374612540 \h </w:instrText>
      </w:r>
      <w:r w:rsidR="00AA3D97">
        <w:rPr>
          <w:noProof/>
        </w:rPr>
      </w:r>
      <w:r w:rsidR="00AA3D97">
        <w:rPr>
          <w:noProof/>
        </w:rPr>
        <w:fldChar w:fldCharType="separate"/>
      </w:r>
      <w:r w:rsidR="008F6CDA">
        <w:rPr>
          <w:noProof/>
        </w:rPr>
        <w:t>62</w:t>
      </w:r>
      <w:r w:rsidR="00AA3D97">
        <w:rPr>
          <w:noProof/>
        </w:rPr>
        <w:fldChar w:fldCharType="end"/>
      </w:r>
    </w:p>
    <w:p w:rsidR="00671E4C" w:rsidRDefault="00671E4C">
      <w:pPr>
        <w:pStyle w:val="TableofFigures"/>
        <w:tabs>
          <w:tab w:val="right" w:leader="dot" w:pos="9016"/>
        </w:tabs>
        <w:rPr>
          <w:noProof/>
          <w:sz w:val="22"/>
        </w:rPr>
      </w:pPr>
      <w:r>
        <w:rPr>
          <w:noProof/>
        </w:rPr>
        <w:t>Figure 16: Landscapes with potential scenic amenity value</w:t>
      </w:r>
      <w:r>
        <w:rPr>
          <w:noProof/>
        </w:rPr>
        <w:tab/>
      </w:r>
      <w:r w:rsidR="00AA3D97">
        <w:rPr>
          <w:noProof/>
        </w:rPr>
        <w:fldChar w:fldCharType="begin"/>
      </w:r>
      <w:r>
        <w:rPr>
          <w:noProof/>
        </w:rPr>
        <w:instrText xml:space="preserve"> PAGEREF _Toc374612541 \h </w:instrText>
      </w:r>
      <w:r w:rsidR="00AA3D97">
        <w:rPr>
          <w:noProof/>
        </w:rPr>
      </w:r>
      <w:r w:rsidR="00AA3D97">
        <w:rPr>
          <w:noProof/>
        </w:rPr>
        <w:fldChar w:fldCharType="separate"/>
      </w:r>
      <w:r w:rsidR="008F6CDA">
        <w:rPr>
          <w:noProof/>
        </w:rPr>
        <w:t>68</w:t>
      </w:r>
      <w:r w:rsidR="00AA3D97">
        <w:rPr>
          <w:noProof/>
        </w:rPr>
        <w:fldChar w:fldCharType="end"/>
      </w:r>
    </w:p>
    <w:p w:rsidR="00671E4C" w:rsidRDefault="00671E4C">
      <w:pPr>
        <w:pStyle w:val="TableofFigures"/>
        <w:tabs>
          <w:tab w:val="right" w:leader="dot" w:pos="9016"/>
        </w:tabs>
        <w:rPr>
          <w:noProof/>
          <w:sz w:val="22"/>
        </w:rPr>
      </w:pPr>
      <w:r>
        <w:rPr>
          <w:noProof/>
        </w:rPr>
        <w:t>Figure 17: Areas of high value terrestrial habitat</w:t>
      </w:r>
      <w:r>
        <w:rPr>
          <w:noProof/>
        </w:rPr>
        <w:tab/>
      </w:r>
      <w:r w:rsidR="00AA3D97">
        <w:rPr>
          <w:noProof/>
        </w:rPr>
        <w:fldChar w:fldCharType="begin"/>
      </w:r>
      <w:r>
        <w:rPr>
          <w:noProof/>
        </w:rPr>
        <w:instrText xml:space="preserve"> PAGEREF _Toc374612542 \h </w:instrText>
      </w:r>
      <w:r w:rsidR="00AA3D97">
        <w:rPr>
          <w:noProof/>
        </w:rPr>
      </w:r>
      <w:r w:rsidR="00AA3D97">
        <w:rPr>
          <w:noProof/>
        </w:rPr>
        <w:fldChar w:fldCharType="separate"/>
      </w:r>
      <w:r w:rsidR="008F6CDA">
        <w:rPr>
          <w:noProof/>
        </w:rPr>
        <w:t>71</w:t>
      </w:r>
      <w:r w:rsidR="00AA3D97">
        <w:rPr>
          <w:noProof/>
        </w:rPr>
        <w:fldChar w:fldCharType="end"/>
      </w:r>
    </w:p>
    <w:p w:rsidR="00671E4C" w:rsidRDefault="00671E4C">
      <w:pPr>
        <w:pStyle w:val="TableofFigures"/>
        <w:tabs>
          <w:tab w:val="right" w:leader="dot" w:pos="9016"/>
        </w:tabs>
        <w:rPr>
          <w:noProof/>
          <w:sz w:val="22"/>
        </w:rPr>
      </w:pPr>
      <w:r>
        <w:rPr>
          <w:noProof/>
        </w:rPr>
        <w:t>Figure 18: Regionally significant waterways of the Hume Region</w:t>
      </w:r>
      <w:r>
        <w:rPr>
          <w:noProof/>
        </w:rPr>
        <w:tab/>
      </w:r>
      <w:r w:rsidR="00AA3D97">
        <w:rPr>
          <w:noProof/>
        </w:rPr>
        <w:fldChar w:fldCharType="begin"/>
      </w:r>
      <w:r>
        <w:rPr>
          <w:noProof/>
        </w:rPr>
        <w:instrText xml:space="preserve"> PAGEREF _Toc374612543 \h </w:instrText>
      </w:r>
      <w:r w:rsidR="00AA3D97">
        <w:rPr>
          <w:noProof/>
        </w:rPr>
      </w:r>
      <w:r w:rsidR="00AA3D97">
        <w:rPr>
          <w:noProof/>
        </w:rPr>
        <w:fldChar w:fldCharType="separate"/>
      </w:r>
      <w:r w:rsidR="008F6CDA">
        <w:rPr>
          <w:noProof/>
        </w:rPr>
        <w:t>74</w:t>
      </w:r>
      <w:r w:rsidR="00AA3D97">
        <w:rPr>
          <w:noProof/>
        </w:rPr>
        <w:fldChar w:fldCharType="end"/>
      </w:r>
    </w:p>
    <w:p w:rsidR="00671E4C" w:rsidRDefault="00671E4C">
      <w:pPr>
        <w:pStyle w:val="TableofFigures"/>
        <w:tabs>
          <w:tab w:val="right" w:leader="dot" w:pos="9016"/>
        </w:tabs>
        <w:rPr>
          <w:noProof/>
          <w:sz w:val="22"/>
        </w:rPr>
      </w:pPr>
      <w:r>
        <w:rPr>
          <w:noProof/>
        </w:rPr>
        <w:t>Figure 19: Declared water supply catchments of the Hume Region</w:t>
      </w:r>
      <w:r>
        <w:rPr>
          <w:noProof/>
        </w:rPr>
        <w:tab/>
      </w:r>
      <w:r w:rsidR="00AA3D97">
        <w:rPr>
          <w:noProof/>
        </w:rPr>
        <w:fldChar w:fldCharType="begin"/>
      </w:r>
      <w:r>
        <w:rPr>
          <w:noProof/>
        </w:rPr>
        <w:instrText xml:space="preserve"> PAGEREF _Toc374612544 \h </w:instrText>
      </w:r>
      <w:r w:rsidR="00AA3D97">
        <w:rPr>
          <w:noProof/>
        </w:rPr>
      </w:r>
      <w:r w:rsidR="00AA3D97">
        <w:rPr>
          <w:noProof/>
        </w:rPr>
        <w:fldChar w:fldCharType="separate"/>
      </w:r>
      <w:r w:rsidR="008F6CDA">
        <w:rPr>
          <w:noProof/>
        </w:rPr>
        <w:t>76</w:t>
      </w:r>
      <w:r w:rsidR="00AA3D97">
        <w:rPr>
          <w:noProof/>
        </w:rPr>
        <w:fldChar w:fldCharType="end"/>
      </w:r>
    </w:p>
    <w:p w:rsidR="00671E4C" w:rsidRDefault="00671E4C">
      <w:pPr>
        <w:pStyle w:val="TableofFigures"/>
        <w:tabs>
          <w:tab w:val="right" w:leader="dot" w:pos="9016"/>
        </w:tabs>
        <w:rPr>
          <w:noProof/>
          <w:sz w:val="22"/>
        </w:rPr>
      </w:pPr>
      <w:r>
        <w:rPr>
          <w:noProof/>
        </w:rPr>
        <w:t>Figure 20: Current flood related overlays and zones in the Hume Region</w:t>
      </w:r>
      <w:r>
        <w:rPr>
          <w:noProof/>
        </w:rPr>
        <w:tab/>
      </w:r>
      <w:r w:rsidR="00AA3D97">
        <w:rPr>
          <w:noProof/>
        </w:rPr>
        <w:fldChar w:fldCharType="begin"/>
      </w:r>
      <w:r>
        <w:rPr>
          <w:noProof/>
        </w:rPr>
        <w:instrText xml:space="preserve"> PAGEREF _Toc374612545 \h </w:instrText>
      </w:r>
      <w:r w:rsidR="00AA3D97">
        <w:rPr>
          <w:noProof/>
        </w:rPr>
      </w:r>
      <w:r w:rsidR="00AA3D97">
        <w:rPr>
          <w:noProof/>
        </w:rPr>
        <w:fldChar w:fldCharType="separate"/>
      </w:r>
      <w:r w:rsidR="008F6CDA">
        <w:rPr>
          <w:noProof/>
        </w:rPr>
        <w:t>79</w:t>
      </w:r>
      <w:r w:rsidR="00AA3D97">
        <w:rPr>
          <w:noProof/>
        </w:rPr>
        <w:fldChar w:fldCharType="end"/>
      </w:r>
    </w:p>
    <w:p w:rsidR="00671E4C" w:rsidRDefault="00671E4C">
      <w:pPr>
        <w:pStyle w:val="TableofFigures"/>
        <w:tabs>
          <w:tab w:val="right" w:leader="dot" w:pos="9016"/>
        </w:tabs>
        <w:rPr>
          <w:noProof/>
          <w:sz w:val="22"/>
        </w:rPr>
      </w:pPr>
      <w:r>
        <w:rPr>
          <w:noProof/>
        </w:rPr>
        <w:t>Figure 21: Current bushfire management overlays in the Hume Region</w:t>
      </w:r>
      <w:r>
        <w:rPr>
          <w:noProof/>
        </w:rPr>
        <w:tab/>
      </w:r>
      <w:r w:rsidR="00AA3D97">
        <w:rPr>
          <w:noProof/>
        </w:rPr>
        <w:fldChar w:fldCharType="begin"/>
      </w:r>
      <w:r>
        <w:rPr>
          <w:noProof/>
        </w:rPr>
        <w:instrText xml:space="preserve"> PAGEREF _Toc374612546 \h </w:instrText>
      </w:r>
      <w:r w:rsidR="00AA3D97">
        <w:rPr>
          <w:noProof/>
        </w:rPr>
      </w:r>
      <w:r w:rsidR="00AA3D97">
        <w:rPr>
          <w:noProof/>
        </w:rPr>
        <w:fldChar w:fldCharType="separate"/>
      </w:r>
      <w:r w:rsidR="008F6CDA">
        <w:rPr>
          <w:noProof/>
        </w:rPr>
        <w:t>82</w:t>
      </w:r>
      <w:r w:rsidR="00AA3D97">
        <w:rPr>
          <w:noProof/>
        </w:rPr>
        <w:fldChar w:fldCharType="end"/>
      </w:r>
    </w:p>
    <w:p w:rsidR="00671E4C" w:rsidRDefault="00671E4C">
      <w:pPr>
        <w:pStyle w:val="TableofFigures"/>
        <w:tabs>
          <w:tab w:val="right" w:leader="dot" w:pos="9016"/>
        </w:tabs>
        <w:rPr>
          <w:noProof/>
          <w:sz w:val="22"/>
        </w:rPr>
      </w:pPr>
      <w:r>
        <w:rPr>
          <w:noProof/>
        </w:rPr>
        <w:t>Figure 22: Planning considerations</w:t>
      </w:r>
      <w:r>
        <w:rPr>
          <w:noProof/>
        </w:rPr>
        <w:tab/>
      </w:r>
      <w:r w:rsidR="00AA3D97">
        <w:rPr>
          <w:noProof/>
        </w:rPr>
        <w:fldChar w:fldCharType="begin"/>
      </w:r>
      <w:r>
        <w:rPr>
          <w:noProof/>
        </w:rPr>
        <w:instrText xml:space="preserve"> PAGEREF _Toc374612547 \h </w:instrText>
      </w:r>
      <w:r w:rsidR="00AA3D97">
        <w:rPr>
          <w:noProof/>
        </w:rPr>
      </w:r>
      <w:r w:rsidR="00AA3D97">
        <w:rPr>
          <w:noProof/>
        </w:rPr>
        <w:fldChar w:fldCharType="separate"/>
      </w:r>
      <w:r w:rsidR="008F6CDA">
        <w:rPr>
          <w:noProof/>
        </w:rPr>
        <w:t>84</w:t>
      </w:r>
      <w:r w:rsidR="00AA3D97">
        <w:rPr>
          <w:noProof/>
        </w:rPr>
        <w:fldChar w:fldCharType="end"/>
      </w:r>
    </w:p>
    <w:p w:rsidR="00671E4C" w:rsidRDefault="00671E4C">
      <w:pPr>
        <w:pStyle w:val="TableofFigures"/>
        <w:tabs>
          <w:tab w:val="right" w:leader="dot" w:pos="9016"/>
        </w:tabs>
        <w:rPr>
          <w:noProof/>
          <w:sz w:val="22"/>
        </w:rPr>
      </w:pPr>
      <w:r>
        <w:rPr>
          <w:noProof/>
        </w:rPr>
        <w:t>Figure 23: Transport network – Hume Region</w:t>
      </w:r>
      <w:r>
        <w:rPr>
          <w:noProof/>
        </w:rPr>
        <w:tab/>
      </w:r>
      <w:r w:rsidR="00AA3D97">
        <w:rPr>
          <w:noProof/>
        </w:rPr>
        <w:fldChar w:fldCharType="begin"/>
      </w:r>
      <w:r>
        <w:rPr>
          <w:noProof/>
        </w:rPr>
        <w:instrText xml:space="preserve"> PAGEREF _Toc374612548 \h </w:instrText>
      </w:r>
      <w:r w:rsidR="00AA3D97">
        <w:rPr>
          <w:noProof/>
        </w:rPr>
      </w:r>
      <w:r w:rsidR="00AA3D97">
        <w:rPr>
          <w:noProof/>
        </w:rPr>
        <w:fldChar w:fldCharType="separate"/>
      </w:r>
      <w:r w:rsidR="008F6CDA">
        <w:rPr>
          <w:noProof/>
        </w:rPr>
        <w:t>87</w:t>
      </w:r>
      <w:r w:rsidR="00AA3D97">
        <w:rPr>
          <w:noProof/>
        </w:rPr>
        <w:fldChar w:fldCharType="end"/>
      </w:r>
    </w:p>
    <w:p w:rsidR="00671E4C" w:rsidRDefault="00671E4C">
      <w:pPr>
        <w:pStyle w:val="TableofFigures"/>
        <w:tabs>
          <w:tab w:val="right" w:leader="dot" w:pos="9016"/>
        </w:tabs>
        <w:rPr>
          <w:noProof/>
          <w:sz w:val="22"/>
        </w:rPr>
      </w:pPr>
      <w:r>
        <w:rPr>
          <w:noProof/>
        </w:rPr>
        <w:t>Figure 24: Hume exports 2011, and annual average growth rate 2001 to 2011</w:t>
      </w:r>
      <w:r>
        <w:rPr>
          <w:noProof/>
        </w:rPr>
        <w:tab/>
      </w:r>
      <w:r w:rsidR="00AA3D97">
        <w:rPr>
          <w:noProof/>
        </w:rPr>
        <w:fldChar w:fldCharType="begin"/>
      </w:r>
      <w:r>
        <w:rPr>
          <w:noProof/>
        </w:rPr>
        <w:instrText xml:space="preserve"> PAGEREF _Toc374612549 \h </w:instrText>
      </w:r>
      <w:r w:rsidR="00AA3D97">
        <w:rPr>
          <w:noProof/>
        </w:rPr>
      </w:r>
      <w:r w:rsidR="00AA3D97">
        <w:rPr>
          <w:noProof/>
        </w:rPr>
        <w:fldChar w:fldCharType="separate"/>
      </w:r>
      <w:r w:rsidR="008F6CDA">
        <w:rPr>
          <w:noProof/>
        </w:rPr>
        <w:t>88</w:t>
      </w:r>
      <w:r w:rsidR="00AA3D97">
        <w:rPr>
          <w:noProof/>
        </w:rPr>
        <w:fldChar w:fldCharType="end"/>
      </w:r>
    </w:p>
    <w:p w:rsidR="00671E4C" w:rsidRDefault="00671E4C">
      <w:pPr>
        <w:pStyle w:val="TableofFigures"/>
        <w:tabs>
          <w:tab w:val="right" w:leader="dot" w:pos="9016"/>
        </w:tabs>
        <w:rPr>
          <w:noProof/>
          <w:sz w:val="22"/>
        </w:rPr>
      </w:pPr>
      <w:r>
        <w:rPr>
          <w:noProof/>
        </w:rPr>
        <w:t>Figure 25: LGA exports 2011, and annual average growth rate 2001 to 2011</w:t>
      </w:r>
      <w:r>
        <w:rPr>
          <w:noProof/>
        </w:rPr>
        <w:tab/>
      </w:r>
      <w:r w:rsidR="00AA3D97">
        <w:rPr>
          <w:noProof/>
        </w:rPr>
        <w:fldChar w:fldCharType="begin"/>
      </w:r>
      <w:r>
        <w:rPr>
          <w:noProof/>
        </w:rPr>
        <w:instrText xml:space="preserve"> PAGEREF _Toc374612550 \h </w:instrText>
      </w:r>
      <w:r w:rsidR="00AA3D97">
        <w:rPr>
          <w:noProof/>
        </w:rPr>
      </w:r>
      <w:r w:rsidR="00AA3D97">
        <w:rPr>
          <w:noProof/>
        </w:rPr>
        <w:fldChar w:fldCharType="separate"/>
      </w:r>
      <w:r w:rsidR="008F6CDA">
        <w:rPr>
          <w:noProof/>
        </w:rPr>
        <w:t>89</w:t>
      </w:r>
      <w:r w:rsidR="00AA3D97">
        <w:rPr>
          <w:noProof/>
        </w:rPr>
        <w:fldChar w:fldCharType="end"/>
      </w:r>
    </w:p>
    <w:p w:rsidR="00671E4C" w:rsidRDefault="00671E4C">
      <w:pPr>
        <w:pStyle w:val="TableofFigures"/>
        <w:tabs>
          <w:tab w:val="right" w:leader="dot" w:pos="9016"/>
        </w:tabs>
        <w:rPr>
          <w:noProof/>
          <w:sz w:val="22"/>
        </w:rPr>
      </w:pPr>
      <w:r>
        <w:rPr>
          <w:noProof/>
        </w:rPr>
        <w:t>Figure 26: Compound growth rates, two-way, 2006 to 2010 – Hume traffic count data points</w:t>
      </w:r>
      <w:r>
        <w:rPr>
          <w:noProof/>
        </w:rPr>
        <w:tab/>
      </w:r>
      <w:r w:rsidR="00AA3D97">
        <w:rPr>
          <w:noProof/>
        </w:rPr>
        <w:fldChar w:fldCharType="begin"/>
      </w:r>
      <w:r>
        <w:rPr>
          <w:noProof/>
        </w:rPr>
        <w:instrText xml:space="preserve"> PAGEREF _Toc374612551 \h </w:instrText>
      </w:r>
      <w:r w:rsidR="00AA3D97">
        <w:rPr>
          <w:noProof/>
        </w:rPr>
      </w:r>
      <w:r w:rsidR="00AA3D97">
        <w:rPr>
          <w:noProof/>
        </w:rPr>
        <w:fldChar w:fldCharType="separate"/>
      </w:r>
      <w:r w:rsidR="008F6CDA">
        <w:rPr>
          <w:noProof/>
        </w:rPr>
        <w:t>90</w:t>
      </w:r>
      <w:r w:rsidR="00AA3D97">
        <w:rPr>
          <w:noProof/>
        </w:rPr>
        <w:fldChar w:fldCharType="end"/>
      </w:r>
    </w:p>
    <w:p w:rsidR="00671E4C" w:rsidRDefault="00671E4C">
      <w:pPr>
        <w:pStyle w:val="TableofFigures"/>
        <w:tabs>
          <w:tab w:val="right" w:leader="dot" w:pos="9016"/>
        </w:tabs>
        <w:rPr>
          <w:noProof/>
          <w:sz w:val="22"/>
        </w:rPr>
      </w:pPr>
      <w:r>
        <w:rPr>
          <w:noProof/>
        </w:rPr>
        <w:t>Figure 27: Normal weekday rail patronage (estimate) by station – Hume Region</w:t>
      </w:r>
      <w:r>
        <w:rPr>
          <w:noProof/>
        </w:rPr>
        <w:tab/>
      </w:r>
      <w:r w:rsidR="00AA3D97">
        <w:rPr>
          <w:noProof/>
        </w:rPr>
        <w:fldChar w:fldCharType="begin"/>
      </w:r>
      <w:r>
        <w:rPr>
          <w:noProof/>
        </w:rPr>
        <w:instrText xml:space="preserve"> PAGEREF _Toc374612552 \h </w:instrText>
      </w:r>
      <w:r w:rsidR="00AA3D97">
        <w:rPr>
          <w:noProof/>
        </w:rPr>
      </w:r>
      <w:r w:rsidR="00AA3D97">
        <w:rPr>
          <w:noProof/>
        </w:rPr>
        <w:fldChar w:fldCharType="separate"/>
      </w:r>
      <w:r w:rsidR="008F6CDA">
        <w:rPr>
          <w:noProof/>
        </w:rPr>
        <w:t>91</w:t>
      </w:r>
      <w:r w:rsidR="00AA3D97">
        <w:rPr>
          <w:noProof/>
        </w:rPr>
        <w:fldChar w:fldCharType="end"/>
      </w:r>
    </w:p>
    <w:p w:rsidR="00671E4C" w:rsidRDefault="00671E4C">
      <w:pPr>
        <w:pStyle w:val="TableofFigures"/>
        <w:tabs>
          <w:tab w:val="right" w:leader="dot" w:pos="9016"/>
        </w:tabs>
        <w:rPr>
          <w:noProof/>
          <w:sz w:val="22"/>
        </w:rPr>
      </w:pPr>
      <w:r>
        <w:rPr>
          <w:noProof/>
        </w:rPr>
        <w:t>Figure 28: Public transport routes and services – Hume Region</w:t>
      </w:r>
      <w:r>
        <w:rPr>
          <w:noProof/>
        </w:rPr>
        <w:tab/>
      </w:r>
      <w:r w:rsidR="00AA3D97">
        <w:rPr>
          <w:noProof/>
        </w:rPr>
        <w:fldChar w:fldCharType="begin"/>
      </w:r>
      <w:r>
        <w:rPr>
          <w:noProof/>
        </w:rPr>
        <w:instrText xml:space="preserve"> PAGEREF _Toc374612553 \h </w:instrText>
      </w:r>
      <w:r w:rsidR="00AA3D97">
        <w:rPr>
          <w:noProof/>
        </w:rPr>
      </w:r>
      <w:r w:rsidR="00AA3D97">
        <w:rPr>
          <w:noProof/>
        </w:rPr>
        <w:fldChar w:fldCharType="separate"/>
      </w:r>
      <w:r w:rsidR="008F6CDA">
        <w:rPr>
          <w:noProof/>
        </w:rPr>
        <w:t>93</w:t>
      </w:r>
      <w:r w:rsidR="00AA3D97">
        <w:rPr>
          <w:noProof/>
        </w:rPr>
        <w:fldChar w:fldCharType="end"/>
      </w:r>
    </w:p>
    <w:p w:rsidR="001E6B61" w:rsidRDefault="00AA3D97" w:rsidP="000346F6">
      <w:pPr>
        <w:pStyle w:val="TableofFigures"/>
        <w:tabs>
          <w:tab w:val="right" w:leader="dot" w:pos="9016"/>
        </w:tabs>
        <w:rPr>
          <w:szCs w:val="20"/>
        </w:rPr>
      </w:pPr>
      <w:r w:rsidRPr="00501FEF">
        <w:rPr>
          <w:szCs w:val="20"/>
        </w:rPr>
        <w:fldChar w:fldCharType="end"/>
      </w:r>
    </w:p>
    <w:p w:rsidR="001E6B61" w:rsidRPr="00F3663A" w:rsidRDefault="000F5B4D" w:rsidP="00CF45B4">
      <w:pPr>
        <w:pStyle w:val="ToC-Heading"/>
      </w:pPr>
      <w:r>
        <w:t>Tab</w:t>
      </w:r>
      <w:r w:rsidR="007536C0" w:rsidRPr="007536C0">
        <w:t>l</w:t>
      </w:r>
      <w:r>
        <w:t>es:</w:t>
      </w:r>
    </w:p>
    <w:p w:rsidR="00671E4C" w:rsidRDefault="00AA3D97">
      <w:pPr>
        <w:pStyle w:val="TableofFigures"/>
        <w:tabs>
          <w:tab w:val="right" w:leader="dot" w:pos="9016"/>
        </w:tabs>
        <w:rPr>
          <w:noProof/>
          <w:sz w:val="22"/>
        </w:rPr>
      </w:pPr>
      <w:r w:rsidRPr="00501FEF">
        <w:rPr>
          <w:rFonts w:eastAsiaTheme="minorHAnsi"/>
          <w:sz w:val="22"/>
          <w:szCs w:val="20"/>
          <w:lang w:eastAsia="en-US"/>
        </w:rPr>
        <w:fldChar w:fldCharType="begin"/>
      </w:r>
      <w:r w:rsidR="00A030E0" w:rsidRPr="00501FEF">
        <w:rPr>
          <w:szCs w:val="20"/>
        </w:rPr>
        <w:instrText xml:space="preserve"> TOC \c "Table" </w:instrText>
      </w:r>
      <w:r w:rsidRPr="00501FEF">
        <w:rPr>
          <w:rFonts w:eastAsiaTheme="minorHAnsi"/>
          <w:sz w:val="22"/>
          <w:szCs w:val="20"/>
          <w:lang w:eastAsia="en-US"/>
        </w:rPr>
        <w:fldChar w:fldCharType="separate"/>
      </w:r>
      <w:r w:rsidR="00671E4C">
        <w:rPr>
          <w:noProof/>
        </w:rPr>
        <w:t>Table 1: Aboriginal persons as a percentage of population 2011</w:t>
      </w:r>
      <w:r w:rsidR="00671E4C">
        <w:rPr>
          <w:noProof/>
        </w:rPr>
        <w:tab/>
      </w:r>
      <w:r>
        <w:rPr>
          <w:noProof/>
        </w:rPr>
        <w:fldChar w:fldCharType="begin"/>
      </w:r>
      <w:r w:rsidR="00671E4C">
        <w:rPr>
          <w:noProof/>
        </w:rPr>
        <w:instrText xml:space="preserve"> PAGEREF _Toc374612554 \h </w:instrText>
      </w:r>
      <w:r>
        <w:rPr>
          <w:noProof/>
        </w:rPr>
      </w:r>
      <w:r>
        <w:rPr>
          <w:noProof/>
        </w:rPr>
        <w:fldChar w:fldCharType="separate"/>
      </w:r>
      <w:r w:rsidR="008F6CDA">
        <w:rPr>
          <w:noProof/>
        </w:rPr>
        <w:t>6</w:t>
      </w:r>
      <w:r>
        <w:rPr>
          <w:noProof/>
        </w:rPr>
        <w:fldChar w:fldCharType="end"/>
      </w:r>
    </w:p>
    <w:p w:rsidR="00671E4C" w:rsidRDefault="00671E4C">
      <w:pPr>
        <w:pStyle w:val="TableofFigures"/>
        <w:tabs>
          <w:tab w:val="right" w:leader="dot" w:pos="9016"/>
        </w:tabs>
        <w:rPr>
          <w:noProof/>
          <w:sz w:val="22"/>
        </w:rPr>
      </w:pPr>
      <w:r>
        <w:rPr>
          <w:noProof/>
        </w:rPr>
        <w:t>Table 2: Population growth projections for municipalities to 2031</w:t>
      </w:r>
      <w:r>
        <w:rPr>
          <w:noProof/>
        </w:rPr>
        <w:tab/>
      </w:r>
      <w:r w:rsidR="00AA3D97">
        <w:rPr>
          <w:noProof/>
        </w:rPr>
        <w:fldChar w:fldCharType="begin"/>
      </w:r>
      <w:r>
        <w:rPr>
          <w:noProof/>
        </w:rPr>
        <w:instrText xml:space="preserve"> PAGEREF _Toc374612555 \h </w:instrText>
      </w:r>
      <w:r w:rsidR="00AA3D97">
        <w:rPr>
          <w:noProof/>
        </w:rPr>
      </w:r>
      <w:r w:rsidR="00AA3D97">
        <w:rPr>
          <w:noProof/>
        </w:rPr>
        <w:fldChar w:fldCharType="separate"/>
      </w:r>
      <w:r w:rsidR="008F6CDA">
        <w:rPr>
          <w:noProof/>
        </w:rPr>
        <w:t>16</w:t>
      </w:r>
      <w:r w:rsidR="00AA3D97">
        <w:rPr>
          <w:noProof/>
        </w:rPr>
        <w:fldChar w:fldCharType="end"/>
      </w:r>
    </w:p>
    <w:p w:rsidR="00671E4C" w:rsidRDefault="00671E4C">
      <w:pPr>
        <w:pStyle w:val="TableofFigures"/>
        <w:tabs>
          <w:tab w:val="right" w:leader="dot" w:pos="9016"/>
        </w:tabs>
        <w:rPr>
          <w:noProof/>
          <w:sz w:val="22"/>
        </w:rPr>
      </w:pPr>
      <w:r>
        <w:rPr>
          <w:noProof/>
        </w:rPr>
        <w:t>Table 3: Rural balance population change 2001 -2011</w:t>
      </w:r>
      <w:r>
        <w:rPr>
          <w:noProof/>
        </w:rPr>
        <w:tab/>
      </w:r>
      <w:r w:rsidR="00AA3D97">
        <w:rPr>
          <w:noProof/>
        </w:rPr>
        <w:fldChar w:fldCharType="begin"/>
      </w:r>
      <w:r>
        <w:rPr>
          <w:noProof/>
        </w:rPr>
        <w:instrText xml:space="preserve"> PAGEREF _Toc374612556 \h </w:instrText>
      </w:r>
      <w:r w:rsidR="00AA3D97">
        <w:rPr>
          <w:noProof/>
        </w:rPr>
      </w:r>
      <w:r w:rsidR="00AA3D97">
        <w:rPr>
          <w:noProof/>
        </w:rPr>
        <w:fldChar w:fldCharType="separate"/>
      </w:r>
      <w:r w:rsidR="008F6CDA">
        <w:rPr>
          <w:noProof/>
        </w:rPr>
        <w:t>18</w:t>
      </w:r>
      <w:r w:rsidR="00AA3D97">
        <w:rPr>
          <w:noProof/>
        </w:rPr>
        <w:fldChar w:fldCharType="end"/>
      </w:r>
    </w:p>
    <w:p w:rsidR="00671E4C" w:rsidRDefault="00671E4C">
      <w:pPr>
        <w:pStyle w:val="TableofFigures"/>
        <w:tabs>
          <w:tab w:val="right" w:leader="dot" w:pos="9016"/>
        </w:tabs>
        <w:rPr>
          <w:noProof/>
          <w:sz w:val="22"/>
        </w:rPr>
      </w:pPr>
      <w:r>
        <w:rPr>
          <w:noProof/>
        </w:rPr>
        <w:t>Table 4: Population by age group – projected change between 2011 and 2031</w:t>
      </w:r>
      <w:r>
        <w:rPr>
          <w:noProof/>
        </w:rPr>
        <w:tab/>
      </w:r>
      <w:r w:rsidR="00AA3D97">
        <w:rPr>
          <w:noProof/>
        </w:rPr>
        <w:fldChar w:fldCharType="begin"/>
      </w:r>
      <w:r>
        <w:rPr>
          <w:noProof/>
        </w:rPr>
        <w:instrText xml:space="preserve"> PAGEREF _Toc374612557 \h </w:instrText>
      </w:r>
      <w:r w:rsidR="00AA3D97">
        <w:rPr>
          <w:noProof/>
        </w:rPr>
      </w:r>
      <w:r w:rsidR="00AA3D97">
        <w:rPr>
          <w:noProof/>
        </w:rPr>
        <w:fldChar w:fldCharType="separate"/>
      </w:r>
      <w:r w:rsidR="008F6CDA">
        <w:rPr>
          <w:noProof/>
        </w:rPr>
        <w:t>19</w:t>
      </w:r>
      <w:r w:rsidR="00AA3D97">
        <w:rPr>
          <w:noProof/>
        </w:rPr>
        <w:fldChar w:fldCharType="end"/>
      </w:r>
    </w:p>
    <w:p w:rsidR="00671E4C" w:rsidRDefault="00671E4C">
      <w:pPr>
        <w:pStyle w:val="TableofFigures"/>
        <w:tabs>
          <w:tab w:val="right" w:leader="dot" w:pos="9016"/>
        </w:tabs>
        <w:rPr>
          <w:noProof/>
          <w:sz w:val="22"/>
        </w:rPr>
      </w:pPr>
      <w:r>
        <w:rPr>
          <w:noProof/>
        </w:rPr>
        <w:t>Table 5: Projected requirements for new private dwellings</w:t>
      </w:r>
      <w:r>
        <w:rPr>
          <w:noProof/>
        </w:rPr>
        <w:tab/>
      </w:r>
      <w:r w:rsidR="00AA3D97">
        <w:rPr>
          <w:noProof/>
        </w:rPr>
        <w:fldChar w:fldCharType="begin"/>
      </w:r>
      <w:r>
        <w:rPr>
          <w:noProof/>
        </w:rPr>
        <w:instrText xml:space="preserve"> PAGEREF _Toc374612558 \h </w:instrText>
      </w:r>
      <w:r w:rsidR="00AA3D97">
        <w:rPr>
          <w:noProof/>
        </w:rPr>
      </w:r>
      <w:r w:rsidR="00AA3D97">
        <w:rPr>
          <w:noProof/>
        </w:rPr>
        <w:fldChar w:fldCharType="separate"/>
      </w:r>
      <w:r w:rsidR="008F6CDA">
        <w:rPr>
          <w:noProof/>
        </w:rPr>
        <w:t>23</w:t>
      </w:r>
      <w:r w:rsidR="00AA3D97">
        <w:rPr>
          <w:noProof/>
        </w:rPr>
        <w:fldChar w:fldCharType="end"/>
      </w:r>
    </w:p>
    <w:p w:rsidR="00671E4C" w:rsidRDefault="00671E4C">
      <w:pPr>
        <w:pStyle w:val="TableofFigures"/>
        <w:tabs>
          <w:tab w:val="right" w:leader="dot" w:pos="9016"/>
        </w:tabs>
        <w:rPr>
          <w:noProof/>
          <w:sz w:val="22"/>
        </w:rPr>
      </w:pPr>
      <w:r>
        <w:rPr>
          <w:noProof/>
        </w:rPr>
        <w:t>Table 6: Number of train services across Victoria</w:t>
      </w:r>
      <w:r>
        <w:rPr>
          <w:noProof/>
        </w:rPr>
        <w:tab/>
      </w:r>
      <w:r w:rsidR="00AA3D97">
        <w:rPr>
          <w:noProof/>
        </w:rPr>
        <w:fldChar w:fldCharType="begin"/>
      </w:r>
      <w:r>
        <w:rPr>
          <w:noProof/>
        </w:rPr>
        <w:instrText xml:space="preserve"> PAGEREF _Toc374612559 \h </w:instrText>
      </w:r>
      <w:r w:rsidR="00AA3D97">
        <w:rPr>
          <w:noProof/>
        </w:rPr>
      </w:r>
      <w:r w:rsidR="00AA3D97">
        <w:rPr>
          <w:noProof/>
        </w:rPr>
        <w:fldChar w:fldCharType="separate"/>
      </w:r>
      <w:r w:rsidR="008F6CDA">
        <w:rPr>
          <w:noProof/>
        </w:rPr>
        <w:t>91</w:t>
      </w:r>
      <w:r w:rsidR="00AA3D97">
        <w:rPr>
          <w:noProof/>
        </w:rPr>
        <w:fldChar w:fldCharType="end"/>
      </w:r>
    </w:p>
    <w:p w:rsidR="00671E4C" w:rsidRDefault="00671E4C">
      <w:pPr>
        <w:pStyle w:val="TableofFigures"/>
        <w:tabs>
          <w:tab w:val="right" w:leader="dot" w:pos="9016"/>
        </w:tabs>
        <w:rPr>
          <w:noProof/>
          <w:sz w:val="22"/>
        </w:rPr>
      </w:pPr>
      <w:r>
        <w:rPr>
          <w:noProof/>
        </w:rPr>
        <w:t>Table 7: Implied net migration of youth (2006 to 2011) – Victorian regions percentage change</w:t>
      </w:r>
      <w:r>
        <w:rPr>
          <w:noProof/>
        </w:rPr>
        <w:tab/>
      </w:r>
      <w:r w:rsidR="00AA3D97">
        <w:rPr>
          <w:noProof/>
        </w:rPr>
        <w:fldChar w:fldCharType="begin"/>
      </w:r>
      <w:r>
        <w:rPr>
          <w:noProof/>
        </w:rPr>
        <w:instrText xml:space="preserve"> PAGEREF _Toc374612560 \h </w:instrText>
      </w:r>
      <w:r w:rsidR="00AA3D97">
        <w:rPr>
          <w:noProof/>
        </w:rPr>
      </w:r>
      <w:r w:rsidR="00AA3D97">
        <w:rPr>
          <w:noProof/>
        </w:rPr>
        <w:fldChar w:fldCharType="separate"/>
      </w:r>
      <w:r w:rsidR="008F6CDA">
        <w:rPr>
          <w:noProof/>
        </w:rPr>
        <w:t>103</w:t>
      </w:r>
      <w:r w:rsidR="00AA3D97">
        <w:rPr>
          <w:noProof/>
        </w:rPr>
        <w:fldChar w:fldCharType="end"/>
      </w:r>
    </w:p>
    <w:p w:rsidR="001E6B61" w:rsidRDefault="00AA3D97">
      <w:pPr>
        <w:pStyle w:val="bt"/>
        <w:spacing w:before="60" w:after="0" w:line="276" w:lineRule="auto"/>
        <w:rPr>
          <w:szCs w:val="20"/>
        </w:rPr>
      </w:pPr>
      <w:r w:rsidRPr="00501FEF">
        <w:rPr>
          <w:szCs w:val="20"/>
        </w:rPr>
        <w:fldChar w:fldCharType="end"/>
      </w:r>
    </w:p>
    <w:p w:rsidR="0061220F" w:rsidRDefault="0061220F" w:rsidP="00291A8D">
      <w:pPr>
        <w:pStyle w:val="Heading1"/>
        <w:sectPr w:rsidR="0061220F" w:rsidSect="00261534">
          <w:pgSz w:w="11906" w:h="16838"/>
          <w:pgMar w:top="851" w:right="1440" w:bottom="284" w:left="1440" w:header="708" w:footer="1" w:gutter="0"/>
          <w:cols w:space="708"/>
          <w:docGrid w:linePitch="360"/>
        </w:sectPr>
      </w:pPr>
      <w:bookmarkStart w:id="1" w:name="_Toc355970751"/>
      <w:bookmarkStart w:id="2" w:name="_Toc359422933"/>
    </w:p>
    <w:p w:rsidR="00A43B5F" w:rsidRPr="00BA1934" w:rsidRDefault="00BA1934" w:rsidP="00BA1934">
      <w:pPr>
        <w:pStyle w:val="Heading1"/>
      </w:pPr>
      <w:bookmarkStart w:id="3" w:name="_Toc374612434"/>
      <w:r>
        <w:lastRenderedPageBreak/>
        <w:t>PART A:</w:t>
      </w:r>
      <w:r>
        <w:tab/>
      </w:r>
      <w:r w:rsidR="00A43B5F" w:rsidRPr="00BA1934">
        <w:t>I</w:t>
      </w:r>
      <w:r w:rsidR="009B6188" w:rsidRPr="00BA1934">
        <w:t>NTRODUCTION</w:t>
      </w:r>
      <w:bookmarkEnd w:id="1"/>
      <w:bookmarkEnd w:id="2"/>
      <w:bookmarkEnd w:id="3"/>
    </w:p>
    <w:p w:rsidR="007A143F" w:rsidRDefault="00A13A59">
      <w:pPr>
        <w:pStyle w:val="Heading11"/>
      </w:pPr>
      <w:bookmarkStart w:id="4" w:name="_Toc355970752"/>
      <w:bookmarkStart w:id="5" w:name="_Toc359422934"/>
      <w:bookmarkStart w:id="6" w:name="_Toc374612435"/>
      <w:r w:rsidRPr="00BB6F46">
        <w:t>Regional Growth Plan</w:t>
      </w:r>
      <w:r w:rsidR="00747F82" w:rsidRPr="00BB6F46">
        <w:t>s</w:t>
      </w:r>
      <w:bookmarkEnd w:id="4"/>
      <w:bookmarkEnd w:id="5"/>
      <w:bookmarkEnd w:id="6"/>
    </w:p>
    <w:p w:rsidR="007A143F" w:rsidRPr="00762976" w:rsidRDefault="00747F82" w:rsidP="00762976">
      <w:pPr>
        <w:pStyle w:val="bt"/>
      </w:pPr>
      <w:r w:rsidRPr="00762976">
        <w:t>The</w:t>
      </w:r>
      <w:r w:rsidR="0061462E" w:rsidRPr="00762976">
        <w:t xml:space="preserve"> </w:t>
      </w:r>
      <w:r w:rsidRPr="00762976">
        <w:rPr>
          <w:rStyle w:val="Emphasis"/>
          <w:i w:val="0"/>
          <w:iCs w:val="0"/>
        </w:rPr>
        <w:t>Hume Regional Growth Plan</w:t>
      </w:r>
      <w:r w:rsidRPr="00762976">
        <w:t xml:space="preserve"> is one of eight </w:t>
      </w:r>
      <w:r w:rsidR="00D84217" w:rsidRPr="00762976">
        <w:t>r</w:t>
      </w:r>
      <w:r w:rsidR="00AC3736" w:rsidRPr="00762976">
        <w:t xml:space="preserve">egional </w:t>
      </w:r>
      <w:r w:rsidR="00D84217" w:rsidRPr="00762976">
        <w:t>g</w:t>
      </w:r>
      <w:r w:rsidR="00AC3736" w:rsidRPr="00762976">
        <w:t xml:space="preserve">rowth </w:t>
      </w:r>
      <w:r w:rsidR="00D84217" w:rsidRPr="00762976">
        <w:t>p</w:t>
      </w:r>
      <w:r w:rsidR="00AC3736" w:rsidRPr="00762976">
        <w:t xml:space="preserve">lans </w:t>
      </w:r>
      <w:r w:rsidRPr="00762976">
        <w:t xml:space="preserve">in </w:t>
      </w:r>
      <w:r w:rsidR="00146809" w:rsidRPr="00762976">
        <w:t>Victoria</w:t>
      </w:r>
      <w:r w:rsidRPr="00762976">
        <w:t xml:space="preserve"> </w:t>
      </w:r>
      <w:r w:rsidR="007D1305" w:rsidRPr="00762976">
        <w:t xml:space="preserve">intended </w:t>
      </w:r>
      <w:r w:rsidR="00AC3736" w:rsidRPr="00762976">
        <w:t xml:space="preserve">to </w:t>
      </w:r>
      <w:r w:rsidRPr="00762976">
        <w:t xml:space="preserve">guide </w:t>
      </w:r>
      <w:r w:rsidR="00C94872" w:rsidRPr="00762976">
        <w:t xml:space="preserve">regional </w:t>
      </w:r>
      <w:r w:rsidRPr="00762976">
        <w:t>growth and change to 2041 (</w:t>
      </w:r>
      <w:r w:rsidR="00827E2D">
        <w:fldChar w:fldCharType="begin"/>
      </w:r>
      <w:r w:rsidR="00827E2D">
        <w:instrText xml:space="preserve"> REF _Ref348348495 \h  \* MERGEFORMAT </w:instrText>
      </w:r>
      <w:r w:rsidR="00827E2D">
        <w:fldChar w:fldCharType="separate"/>
      </w:r>
      <w:r w:rsidR="009034D4" w:rsidRPr="00DF6019">
        <w:t xml:space="preserve">Figure </w:t>
      </w:r>
      <w:r w:rsidR="009034D4">
        <w:t>1</w:t>
      </w:r>
      <w:r w:rsidR="00827E2D">
        <w:fldChar w:fldCharType="end"/>
      </w:r>
      <w:r w:rsidRPr="00762976">
        <w:t xml:space="preserve">). </w:t>
      </w:r>
      <w:r w:rsidR="00AC3736" w:rsidRPr="00762976">
        <w:t>R</w:t>
      </w:r>
      <w:r w:rsidRPr="00762976">
        <w:t xml:space="preserve">egional </w:t>
      </w:r>
      <w:r w:rsidR="00D84217" w:rsidRPr="00762976">
        <w:t>g</w:t>
      </w:r>
      <w:r w:rsidRPr="00762976">
        <w:t xml:space="preserve">rowth </w:t>
      </w:r>
      <w:r w:rsidR="00D84217" w:rsidRPr="00762976">
        <w:t>p</w:t>
      </w:r>
      <w:r w:rsidRPr="00762976">
        <w:t xml:space="preserve">lans </w:t>
      </w:r>
      <w:r w:rsidR="007D1305" w:rsidRPr="00762976">
        <w:t>were</w:t>
      </w:r>
      <w:r w:rsidRPr="00762976">
        <w:t xml:space="preserve"> prepared in conjunction with the </w:t>
      </w:r>
      <w:r w:rsidR="00F71775">
        <w:t xml:space="preserve">new </w:t>
      </w:r>
      <w:r w:rsidR="00EF21D4">
        <w:t>m</w:t>
      </w:r>
      <w:r w:rsidR="00F71775">
        <w:t xml:space="preserve">etropolitan planning strategy </w:t>
      </w:r>
      <w:r w:rsidRPr="00762976">
        <w:t xml:space="preserve">for Melbourne, </w:t>
      </w:r>
      <w:r w:rsidR="00F71775" w:rsidRPr="00F71775">
        <w:rPr>
          <w:i/>
        </w:rPr>
        <w:t>Plan Melbourne</w:t>
      </w:r>
      <w:r w:rsidRPr="00762976">
        <w:t xml:space="preserve">. These plans will build on the strengths of Melbourne and Victoria’s regions to provide long-term planning for the </w:t>
      </w:r>
      <w:r w:rsidR="00AC3736" w:rsidRPr="00762976">
        <w:t>s</w:t>
      </w:r>
      <w:r w:rsidRPr="00762976">
        <w:t xml:space="preserve">tate. </w:t>
      </w:r>
    </w:p>
    <w:p w:rsidR="005A26C5" w:rsidRDefault="005A26C5" w:rsidP="00DF6019">
      <w:pPr>
        <w:pStyle w:val="Caption"/>
      </w:pPr>
      <w:bookmarkStart w:id="7" w:name="_Ref348348495"/>
      <w:bookmarkStart w:id="8" w:name="_Toc374612526"/>
      <w:r w:rsidRPr="00DF6019">
        <w:t xml:space="preserve">Figure </w:t>
      </w:r>
      <w:r w:rsidR="00827E2D">
        <w:fldChar w:fldCharType="begin"/>
      </w:r>
      <w:r w:rsidR="00827E2D">
        <w:instrText xml:space="preserve"> SEQ Figure \* ARABIC </w:instrText>
      </w:r>
      <w:r w:rsidR="00827E2D">
        <w:fldChar w:fldCharType="separate"/>
      </w:r>
      <w:r w:rsidR="009034D4">
        <w:rPr>
          <w:noProof/>
        </w:rPr>
        <w:t>1</w:t>
      </w:r>
      <w:r w:rsidR="00827E2D">
        <w:rPr>
          <w:noProof/>
        </w:rPr>
        <w:fldChar w:fldCharType="end"/>
      </w:r>
      <w:bookmarkEnd w:id="7"/>
      <w:r w:rsidR="007536C0" w:rsidRPr="007536C0">
        <w:t xml:space="preserve">: Victoria's </w:t>
      </w:r>
      <w:r w:rsidR="00D84217">
        <w:t>eight</w:t>
      </w:r>
      <w:r w:rsidR="007536C0" w:rsidRPr="007536C0">
        <w:t xml:space="preserve"> regional growth plans</w:t>
      </w:r>
      <w:bookmarkEnd w:id="8"/>
    </w:p>
    <w:p w:rsidR="0075278A" w:rsidRPr="0075278A" w:rsidRDefault="0075278A" w:rsidP="0075278A">
      <w:pPr>
        <w:pStyle w:val="bt"/>
      </w:pPr>
      <w:r>
        <w:t>[</w:t>
      </w:r>
      <w:r w:rsidRPr="0075278A">
        <w:t>Map showing Victoria's eight regional growth plans</w:t>
      </w:r>
      <w:r>
        <w:t>]</w:t>
      </w:r>
    </w:p>
    <w:p w:rsidR="00E3224D" w:rsidRDefault="007536C0" w:rsidP="0061220F">
      <w:pPr>
        <w:pStyle w:val="source"/>
      </w:pPr>
      <w:r w:rsidRPr="007536C0">
        <w:t xml:space="preserve">Source: Department of </w:t>
      </w:r>
      <w:r w:rsidR="00464BA9">
        <w:t>Transport, Planning and Local Infrastructure</w:t>
      </w:r>
    </w:p>
    <w:p w:rsidR="007A143F" w:rsidRPr="00762976" w:rsidRDefault="00747F82" w:rsidP="00762976">
      <w:pPr>
        <w:pStyle w:val="bt"/>
      </w:pPr>
      <w:r w:rsidRPr="00762976">
        <w:t xml:space="preserve">Regional </w:t>
      </w:r>
      <w:r w:rsidR="00D84217" w:rsidRPr="00762976">
        <w:t>g</w:t>
      </w:r>
      <w:r w:rsidRPr="00762976">
        <w:t xml:space="preserve">rowth </w:t>
      </w:r>
      <w:r w:rsidR="00D84217" w:rsidRPr="00762976">
        <w:t>p</w:t>
      </w:r>
      <w:r w:rsidRPr="00762976">
        <w:t xml:space="preserve">lans are being developed in partnership with local government to provide broad direction for land use and development across regional Victoria. Regional </w:t>
      </w:r>
      <w:r w:rsidR="00D84217" w:rsidRPr="00762976">
        <w:t>g</w:t>
      </w:r>
      <w:r w:rsidRPr="00762976">
        <w:t xml:space="preserve">rowth </w:t>
      </w:r>
      <w:r w:rsidR="00D84217" w:rsidRPr="00762976">
        <w:t>p</w:t>
      </w:r>
      <w:r w:rsidRPr="00762976">
        <w:t xml:space="preserve">lans will assist councils in regional areas </w:t>
      </w:r>
      <w:r w:rsidR="00C94872" w:rsidRPr="00762976">
        <w:t>to plan</w:t>
      </w:r>
      <w:r w:rsidRPr="00762976">
        <w:t xml:space="preserve"> for population and economic growth, enable long</w:t>
      </w:r>
      <w:r w:rsidR="00661204" w:rsidRPr="00762976">
        <w:t xml:space="preserve"> </w:t>
      </w:r>
      <w:r w:rsidRPr="00762976">
        <w:t>term land supply</w:t>
      </w:r>
      <w:r w:rsidR="00AC3736" w:rsidRPr="00762976">
        <w:t>,</w:t>
      </w:r>
      <w:r w:rsidRPr="00762976">
        <w:t xml:space="preserve"> and guide investment decisions (public and private).</w:t>
      </w:r>
    </w:p>
    <w:p w:rsidR="007A143F" w:rsidRPr="00762976" w:rsidRDefault="00747F82" w:rsidP="00762976">
      <w:pPr>
        <w:pStyle w:val="bt"/>
      </w:pPr>
      <w:r w:rsidRPr="00762976">
        <w:t xml:space="preserve">The Hume Region’s boundary includes future metropolitan growth areas extending into Mitchell Shire in the southern part of the region. This metropolitan growth </w:t>
      </w:r>
      <w:r w:rsidR="00EF21D4">
        <w:t>p</w:t>
      </w:r>
      <w:r w:rsidRPr="00762976">
        <w:t xml:space="preserve">lanned for through </w:t>
      </w:r>
      <w:r w:rsidR="00EF21D4" w:rsidRPr="00EF21D4">
        <w:rPr>
          <w:i/>
        </w:rPr>
        <w:t>Plan Melbourne</w:t>
      </w:r>
      <w:r w:rsidR="00EF21D4">
        <w:t xml:space="preserve"> </w:t>
      </w:r>
      <w:r w:rsidRPr="00762976">
        <w:t xml:space="preserve">and </w:t>
      </w:r>
      <w:r w:rsidR="005341F6" w:rsidRPr="00762976">
        <w:t xml:space="preserve">the </w:t>
      </w:r>
      <w:r w:rsidR="0061462E" w:rsidRPr="00762976">
        <w:t xml:space="preserve">plan </w:t>
      </w:r>
      <w:r w:rsidRPr="00762976">
        <w:t>only considers regional growth outside future metropolitan areas.</w:t>
      </w:r>
    </w:p>
    <w:p w:rsidR="009075F4" w:rsidRDefault="00947198" w:rsidP="00762976">
      <w:pPr>
        <w:pStyle w:val="bt"/>
      </w:pPr>
      <w:r w:rsidRPr="00762976">
        <w:t>The</w:t>
      </w:r>
      <w:r w:rsidR="00747F82" w:rsidRPr="00762976">
        <w:t xml:space="preserve"> </w:t>
      </w:r>
      <w:r w:rsidR="0061462E" w:rsidRPr="00762976">
        <w:t xml:space="preserve">plan </w:t>
      </w:r>
      <w:r w:rsidR="00747F82" w:rsidRPr="00762976">
        <w:t xml:space="preserve">has been developed following adoption of the </w:t>
      </w:r>
      <w:r w:rsidR="003E5C44" w:rsidRPr="00762976">
        <w:rPr>
          <w:rStyle w:val="Emphasis"/>
          <w:i w:val="0"/>
          <w:iCs w:val="0"/>
        </w:rPr>
        <w:t>Hume Strategy for Sustainable Communities 2010–2020</w:t>
      </w:r>
      <w:r w:rsidR="003E5C44" w:rsidRPr="00762976">
        <w:t xml:space="preserve"> </w:t>
      </w:r>
      <w:r w:rsidR="00747F82" w:rsidRPr="00762976">
        <w:t xml:space="preserve">(the Hume Strategy), which was finalised in 2010. The </w:t>
      </w:r>
      <w:r w:rsidR="00B11E99" w:rsidRPr="00762976">
        <w:t xml:space="preserve">Hume </w:t>
      </w:r>
      <w:r w:rsidR="00747F82" w:rsidRPr="00762976">
        <w:t>Strategy sets out future land use and infrastructure directions. It was prepared in the region and represents regional stakeholders’ aspirations and agenda for regional development and long</w:t>
      </w:r>
      <w:r w:rsidR="00661204" w:rsidRPr="00762976">
        <w:t xml:space="preserve"> </w:t>
      </w:r>
      <w:r w:rsidR="00747F82" w:rsidRPr="00762976">
        <w:t>term strategic planning.</w:t>
      </w:r>
    </w:p>
    <w:p w:rsidR="007A143F" w:rsidRDefault="009075F4" w:rsidP="006A5C1C">
      <w:r>
        <w:br w:type="page"/>
      </w:r>
      <w:r w:rsidR="00747F82" w:rsidRPr="00C33AD2">
        <w:lastRenderedPageBreak/>
        <w:t xml:space="preserve">The Hume Strategy </w:t>
      </w:r>
      <w:r w:rsidR="006E4A2B">
        <w:t xml:space="preserve">outlines </w:t>
      </w:r>
      <w:r w:rsidR="00747F82" w:rsidRPr="00C33AD2">
        <w:t xml:space="preserve">goals focused </w:t>
      </w:r>
      <w:r w:rsidR="006E4A2B">
        <w:t>on</w:t>
      </w:r>
      <w:r w:rsidR="00747F82" w:rsidRPr="00C33AD2">
        <w:t>:</w:t>
      </w:r>
    </w:p>
    <w:p w:rsidR="007A143F" w:rsidRDefault="00747F82">
      <w:pPr>
        <w:pStyle w:val="ListBullet"/>
      </w:pPr>
      <w:r w:rsidRPr="00C33AD2">
        <w:t xml:space="preserve">natural resources protected and enhanced for current and future generations </w:t>
      </w:r>
    </w:p>
    <w:p w:rsidR="007A143F" w:rsidRDefault="00747F82">
      <w:pPr>
        <w:pStyle w:val="ListBullet"/>
      </w:pPr>
      <w:r w:rsidRPr="00C33AD2">
        <w:t>healthy, vibrant and resilient communities</w:t>
      </w:r>
    </w:p>
    <w:p w:rsidR="007A143F" w:rsidRDefault="00747F82">
      <w:pPr>
        <w:pStyle w:val="ListBullet"/>
      </w:pPr>
      <w:r w:rsidRPr="00C33AD2">
        <w:t>a thriving and dynamic economy</w:t>
      </w:r>
    </w:p>
    <w:p w:rsidR="007A143F" w:rsidRDefault="00747F82">
      <w:pPr>
        <w:pStyle w:val="ListBullet"/>
      </w:pPr>
      <w:r w:rsidRPr="00C33AD2">
        <w:t>an integrated network of efficient and high functioning transport systems</w:t>
      </w:r>
    </w:p>
    <w:p w:rsidR="007A143F" w:rsidRDefault="00747F82">
      <w:pPr>
        <w:pStyle w:val="ListBullet"/>
      </w:pPr>
      <w:r w:rsidRPr="00C33AD2">
        <w:t>an efficient and sustainable pattern of urban and rural land use and development.</w:t>
      </w:r>
    </w:p>
    <w:p w:rsidR="007A143F" w:rsidRDefault="00747F82" w:rsidP="001A3FCF">
      <w:pPr>
        <w:pStyle w:val="bt"/>
        <w:spacing w:after="0"/>
      </w:pPr>
      <w:r w:rsidRPr="00C33AD2">
        <w:t>The Hume Strategy also establishes four key directions about regional settlement planning:</w:t>
      </w:r>
    </w:p>
    <w:p w:rsidR="007A143F" w:rsidRDefault="00747F82">
      <w:pPr>
        <w:pStyle w:val="ListBullet"/>
      </w:pPr>
      <w:r w:rsidRPr="00C33AD2">
        <w:t>directing future population growth to settlements with the greatest capacity to accommodate it</w:t>
      </w:r>
    </w:p>
    <w:p w:rsidR="007A143F" w:rsidRDefault="00747F82">
      <w:pPr>
        <w:pStyle w:val="ListBullet"/>
      </w:pPr>
      <w:r w:rsidRPr="00C33AD2">
        <w:t>maximising the use of existing infrastructure and services and facilitating strategic investment in future infrastructure and services</w:t>
      </w:r>
    </w:p>
    <w:p w:rsidR="007A143F" w:rsidRDefault="00747F82">
      <w:pPr>
        <w:pStyle w:val="ListBullet"/>
      </w:pPr>
      <w:r w:rsidRPr="00C33AD2">
        <w:t>retaining productive rural land for agriculture and other compatible rural uses</w:t>
      </w:r>
    </w:p>
    <w:p w:rsidR="007A143F" w:rsidRDefault="00747F82">
      <w:pPr>
        <w:pStyle w:val="ListBullet"/>
      </w:pPr>
      <w:r w:rsidRPr="00C33AD2">
        <w:t>ensuring efficient use of land use planning resources in the region.</w:t>
      </w:r>
    </w:p>
    <w:p w:rsidR="003E386E" w:rsidRDefault="00747F82" w:rsidP="00EB39D0">
      <w:pPr>
        <w:pStyle w:val="bt"/>
      </w:pPr>
      <w:r w:rsidRPr="00C33AD2">
        <w:t>The</w:t>
      </w:r>
      <w:r w:rsidR="0061462E">
        <w:t xml:space="preserve"> p</w:t>
      </w:r>
      <w:r w:rsidRPr="00C33AD2">
        <w:t>lan refines these directions and provides advice on impleme</w:t>
      </w:r>
      <w:r w:rsidRPr="00BB6F46">
        <w:t>ntation.</w:t>
      </w:r>
    </w:p>
    <w:p w:rsidR="007A143F" w:rsidRDefault="00747F82">
      <w:pPr>
        <w:pStyle w:val="Heading11"/>
      </w:pPr>
      <w:bookmarkStart w:id="9" w:name="_Toc355970753"/>
      <w:bookmarkStart w:id="10" w:name="_Toc359422935"/>
      <w:bookmarkStart w:id="11" w:name="_Toc374612436"/>
      <w:r w:rsidRPr="00BB6F46">
        <w:t xml:space="preserve">Role of the </w:t>
      </w:r>
      <w:r w:rsidR="00D84217">
        <w:t>b</w:t>
      </w:r>
      <w:r w:rsidRPr="00BB6F46">
        <w:t xml:space="preserve">ackground </w:t>
      </w:r>
      <w:r w:rsidR="00D84217">
        <w:t>p</w:t>
      </w:r>
      <w:r w:rsidRPr="00BB6F46">
        <w:t>aper</w:t>
      </w:r>
      <w:bookmarkEnd w:id="9"/>
      <w:bookmarkEnd w:id="10"/>
      <w:bookmarkEnd w:id="11"/>
    </w:p>
    <w:p w:rsidR="007A143F" w:rsidRDefault="00DA722B">
      <w:pPr>
        <w:pStyle w:val="bt"/>
      </w:pPr>
      <w:r w:rsidRPr="00DA722B">
        <w:t>This</w:t>
      </w:r>
      <w:r w:rsidR="005341F6">
        <w:t xml:space="preserve"> </w:t>
      </w:r>
      <w:r w:rsidR="00D84217">
        <w:t>b</w:t>
      </w:r>
      <w:r w:rsidRPr="00DA722B">
        <w:t xml:space="preserve">ackground </w:t>
      </w:r>
      <w:r w:rsidR="00D84217">
        <w:t>p</w:t>
      </w:r>
      <w:r w:rsidRPr="00DA722B">
        <w:t xml:space="preserve">aper documents the information and considerations that were taken into account when preparing the </w:t>
      </w:r>
      <w:r w:rsidR="0061462E">
        <w:t>p</w:t>
      </w:r>
      <w:r w:rsidR="0061462E" w:rsidRPr="00DA722B">
        <w:t>lan</w:t>
      </w:r>
      <w:r w:rsidRPr="00DA722B">
        <w:t>.</w:t>
      </w:r>
    </w:p>
    <w:p w:rsidR="007A143F" w:rsidRDefault="00DA722B" w:rsidP="001A3FCF">
      <w:pPr>
        <w:pStyle w:val="bt"/>
        <w:spacing w:after="0"/>
      </w:pPr>
      <w:r w:rsidRPr="00DA722B">
        <w:t xml:space="preserve">The </w:t>
      </w:r>
      <w:r w:rsidR="00B31123">
        <w:t>b</w:t>
      </w:r>
      <w:r w:rsidRPr="00DA722B">
        <w:t xml:space="preserve">ackground </w:t>
      </w:r>
      <w:r w:rsidR="00B31123">
        <w:t>p</w:t>
      </w:r>
      <w:r w:rsidRPr="00DA722B">
        <w:t xml:space="preserve">aper was published alongside the </w:t>
      </w:r>
      <w:r w:rsidR="0061462E">
        <w:t>p</w:t>
      </w:r>
      <w:r w:rsidR="0061462E" w:rsidRPr="00DA722B">
        <w:t>lan</w:t>
      </w:r>
      <w:r w:rsidRPr="00DA722B">
        <w:t>, in order to:</w:t>
      </w:r>
    </w:p>
    <w:p w:rsidR="007A143F" w:rsidRDefault="00CF72A4" w:rsidP="001A3FCF">
      <w:pPr>
        <w:pStyle w:val="ListBullet"/>
      </w:pPr>
      <w:r w:rsidRPr="00C33AD2">
        <w:t xml:space="preserve">provide background data on the existing characteristics of the </w:t>
      </w:r>
      <w:r w:rsidR="006E4A2B">
        <w:t xml:space="preserve">Hume </w:t>
      </w:r>
      <w:r w:rsidR="00146809">
        <w:t>R</w:t>
      </w:r>
      <w:r w:rsidRPr="00C33AD2">
        <w:t>egion’s environment, economy and communities</w:t>
      </w:r>
    </w:p>
    <w:p w:rsidR="007A143F" w:rsidRDefault="00CF72A4" w:rsidP="001A3FCF">
      <w:pPr>
        <w:pStyle w:val="ListBullet"/>
      </w:pPr>
      <w:r w:rsidRPr="00C33AD2">
        <w:t xml:space="preserve">summarise current information on the changes the </w:t>
      </w:r>
      <w:r w:rsidR="00527E40">
        <w:t>r</w:t>
      </w:r>
      <w:r w:rsidRPr="00C33AD2">
        <w:t>egion is expected to experience in the next 30 years</w:t>
      </w:r>
    </w:p>
    <w:p w:rsidR="007A143F" w:rsidRDefault="00CF72A4" w:rsidP="001A3FCF">
      <w:pPr>
        <w:pStyle w:val="ListBullet"/>
      </w:pPr>
      <w:r w:rsidRPr="00C33AD2">
        <w:t xml:space="preserve">discuss in more detail than can be accommodated in the </w:t>
      </w:r>
      <w:r w:rsidR="00527E40">
        <w:t>p</w:t>
      </w:r>
      <w:r w:rsidR="00527E40" w:rsidRPr="00C33AD2">
        <w:t xml:space="preserve">lan </w:t>
      </w:r>
      <w:r w:rsidRPr="00C33AD2">
        <w:t xml:space="preserve">the challenges and opportunities facing the </w:t>
      </w:r>
      <w:r w:rsidR="00527E40">
        <w:t>r</w:t>
      </w:r>
      <w:r w:rsidRPr="00C33AD2">
        <w:t>egion during this period</w:t>
      </w:r>
    </w:p>
    <w:p w:rsidR="001819DA" w:rsidRDefault="00CF72A4" w:rsidP="00EE0F0D">
      <w:pPr>
        <w:pStyle w:val="ListBullet"/>
      </w:pPr>
      <w:r w:rsidRPr="00C33AD2">
        <w:t xml:space="preserve">support the key strategic directions for land use and development </w:t>
      </w:r>
      <w:r w:rsidR="00B11E99">
        <w:t xml:space="preserve">as </w:t>
      </w:r>
      <w:r w:rsidRPr="00C33AD2">
        <w:t xml:space="preserve">set out in the </w:t>
      </w:r>
      <w:r w:rsidR="00527E40">
        <w:t>p</w:t>
      </w:r>
      <w:r w:rsidR="00527E40" w:rsidRPr="00C33AD2">
        <w:t>lan</w:t>
      </w:r>
      <w:r w:rsidRPr="00C33AD2">
        <w:t>.</w:t>
      </w:r>
    </w:p>
    <w:p w:rsidR="001819DA" w:rsidRDefault="001819DA">
      <w:pPr>
        <w:rPr>
          <w:rFonts w:ascii="Calibri" w:eastAsia="Times New Roman" w:hAnsi="Calibri" w:cs="Times New Roman"/>
          <w:szCs w:val="24"/>
        </w:rPr>
      </w:pPr>
      <w:r>
        <w:br w:type="page"/>
      </w:r>
    </w:p>
    <w:p w:rsidR="007A143F" w:rsidRDefault="00C507C7">
      <w:pPr>
        <w:pStyle w:val="Heading11"/>
      </w:pPr>
      <w:bookmarkStart w:id="12" w:name="_Toc336871210"/>
      <w:bookmarkStart w:id="13" w:name="_Toc355970754"/>
      <w:bookmarkStart w:id="14" w:name="_Toc359422936"/>
      <w:bookmarkStart w:id="15" w:name="_Toc374612437"/>
      <w:r w:rsidRPr="00BB6F46">
        <w:lastRenderedPageBreak/>
        <w:t>P</w:t>
      </w:r>
      <w:r w:rsidR="00F03862" w:rsidRPr="00BB6F46">
        <w:t>ro</w:t>
      </w:r>
      <w:r w:rsidR="00DA722B" w:rsidRPr="00DA722B">
        <w:t>ject governance and stakeholder engagement</w:t>
      </w:r>
      <w:bookmarkEnd w:id="12"/>
      <w:bookmarkEnd w:id="13"/>
      <w:bookmarkEnd w:id="14"/>
      <w:bookmarkEnd w:id="15"/>
    </w:p>
    <w:p w:rsidR="007A143F" w:rsidRDefault="00F03862">
      <w:pPr>
        <w:pStyle w:val="bt"/>
      </w:pPr>
      <w:r w:rsidRPr="00C33AD2">
        <w:t xml:space="preserve">The </w:t>
      </w:r>
      <w:r w:rsidR="0061462E">
        <w:t>p</w:t>
      </w:r>
      <w:r w:rsidRPr="00C33AD2">
        <w:t xml:space="preserve">lan is a partnership approach to regional planning across 12 municipalities, </w:t>
      </w:r>
      <w:r w:rsidR="00CA17CD">
        <w:t>s</w:t>
      </w:r>
      <w:r w:rsidRPr="00C33AD2">
        <w:t xml:space="preserve">tate </w:t>
      </w:r>
      <w:r w:rsidR="00CA17CD">
        <w:t>g</w:t>
      </w:r>
      <w:r w:rsidRPr="00C33AD2">
        <w:t xml:space="preserve">overnment departments and agencies including the Department of </w:t>
      </w:r>
      <w:r w:rsidR="000327E7">
        <w:t xml:space="preserve">Transport, </w:t>
      </w:r>
      <w:r w:rsidRPr="00C33AD2">
        <w:t xml:space="preserve">Planning and </w:t>
      </w:r>
      <w:r w:rsidR="000327E7">
        <w:t>Local Infrastructure</w:t>
      </w:r>
      <w:r w:rsidRPr="00C33AD2">
        <w:t xml:space="preserve">, Department of Environment </w:t>
      </w:r>
      <w:r w:rsidR="000327E7">
        <w:t>and Primary Industries</w:t>
      </w:r>
      <w:r w:rsidRPr="00C33AD2">
        <w:t>, Department</w:t>
      </w:r>
      <w:r w:rsidR="00BB7794">
        <w:t xml:space="preserve"> of</w:t>
      </w:r>
      <w:r w:rsidRPr="00C33AD2">
        <w:t xml:space="preserve"> </w:t>
      </w:r>
      <w:r w:rsidR="000327E7">
        <w:t>State Development, Business and Innovation</w:t>
      </w:r>
      <w:r w:rsidRPr="00C33AD2">
        <w:t xml:space="preserve">, VicRoads, the Goulburn Broken Catchment Management Authority and the North East Catchment Management Authority. </w:t>
      </w:r>
    </w:p>
    <w:p w:rsidR="007A143F" w:rsidRDefault="00F03862">
      <w:pPr>
        <w:pStyle w:val="bt"/>
        <w:rPr>
          <w:szCs w:val="20"/>
        </w:rPr>
      </w:pPr>
      <w:r w:rsidRPr="00C33AD2">
        <w:rPr>
          <w:szCs w:val="20"/>
        </w:rPr>
        <w:t xml:space="preserve">The </w:t>
      </w:r>
      <w:r w:rsidR="0061462E">
        <w:rPr>
          <w:szCs w:val="20"/>
        </w:rPr>
        <w:t>p</w:t>
      </w:r>
      <w:r w:rsidRPr="00C33AD2">
        <w:rPr>
          <w:szCs w:val="20"/>
        </w:rPr>
        <w:t xml:space="preserve">lan has been informed by a Project Steering Committee and a Technical Working Group, both formed as part of this project. The Technical Working Group is made up of representatives from a broad range of government agencies including those listed above and the Department of Education and Early Childhood Development, Department of </w:t>
      </w:r>
      <w:r w:rsidR="003467C9" w:rsidRPr="00C33AD2">
        <w:rPr>
          <w:szCs w:val="20"/>
        </w:rPr>
        <w:t>Health and</w:t>
      </w:r>
      <w:r w:rsidRPr="00C33AD2">
        <w:rPr>
          <w:szCs w:val="20"/>
        </w:rPr>
        <w:t xml:space="preserve"> Department of Human Services.</w:t>
      </w:r>
      <w:r w:rsidR="00C4507B">
        <w:rPr>
          <w:szCs w:val="20"/>
        </w:rPr>
        <w:t xml:space="preserve"> A full list of organisations represented on the </w:t>
      </w:r>
      <w:r w:rsidR="00C4507B" w:rsidRPr="00C33AD2">
        <w:rPr>
          <w:szCs w:val="20"/>
        </w:rPr>
        <w:t>Technical Working Group</w:t>
      </w:r>
      <w:r w:rsidR="00C4507B">
        <w:rPr>
          <w:szCs w:val="20"/>
        </w:rPr>
        <w:t xml:space="preserve"> is included in Appendix B.</w:t>
      </w:r>
    </w:p>
    <w:p w:rsidR="007A143F" w:rsidRDefault="00F03862">
      <w:pPr>
        <w:pStyle w:val="bt"/>
        <w:rPr>
          <w:szCs w:val="20"/>
        </w:rPr>
      </w:pPr>
      <w:r w:rsidRPr="00C33AD2">
        <w:rPr>
          <w:szCs w:val="20"/>
        </w:rPr>
        <w:t xml:space="preserve">The </w:t>
      </w:r>
      <w:r w:rsidR="00D15792">
        <w:rPr>
          <w:szCs w:val="20"/>
        </w:rPr>
        <w:t>p</w:t>
      </w:r>
      <w:r w:rsidR="00D15792" w:rsidRPr="00C33AD2">
        <w:rPr>
          <w:szCs w:val="20"/>
        </w:rPr>
        <w:t xml:space="preserve">lan </w:t>
      </w:r>
      <w:r w:rsidRPr="00C33AD2">
        <w:rPr>
          <w:szCs w:val="20"/>
        </w:rPr>
        <w:t xml:space="preserve">has been prepared in </w:t>
      </w:r>
      <w:r w:rsidR="004B7F13">
        <w:rPr>
          <w:szCs w:val="20"/>
        </w:rPr>
        <w:t xml:space="preserve">close </w:t>
      </w:r>
      <w:r w:rsidRPr="00C33AD2">
        <w:rPr>
          <w:szCs w:val="20"/>
        </w:rPr>
        <w:t xml:space="preserve">consultation with stakeholders. The first phase of consultation (January to April 2012) assisted development of the </w:t>
      </w:r>
      <w:r w:rsidR="00CA17CD">
        <w:rPr>
          <w:szCs w:val="20"/>
        </w:rPr>
        <w:t>s</w:t>
      </w:r>
      <w:r w:rsidRPr="00C33AD2">
        <w:rPr>
          <w:szCs w:val="20"/>
        </w:rPr>
        <w:t xml:space="preserve">trategic </w:t>
      </w:r>
      <w:r w:rsidR="00CA17CD">
        <w:rPr>
          <w:szCs w:val="20"/>
        </w:rPr>
        <w:t>f</w:t>
      </w:r>
      <w:r w:rsidRPr="00C33AD2">
        <w:rPr>
          <w:szCs w:val="20"/>
        </w:rPr>
        <w:t>ramework, which comprise</w:t>
      </w:r>
      <w:r w:rsidR="004B7F13">
        <w:rPr>
          <w:szCs w:val="20"/>
        </w:rPr>
        <w:t>d</w:t>
      </w:r>
      <w:r w:rsidRPr="00C33AD2">
        <w:rPr>
          <w:szCs w:val="20"/>
        </w:rPr>
        <w:t xml:space="preserve"> a vision, a set of principles and a ‘high level’ concept plan. During this phase</w:t>
      </w:r>
      <w:r w:rsidR="00B11E99">
        <w:rPr>
          <w:szCs w:val="20"/>
        </w:rPr>
        <w:t>,</w:t>
      </w:r>
      <w:r w:rsidRPr="00C33AD2">
        <w:rPr>
          <w:szCs w:val="20"/>
        </w:rPr>
        <w:t xml:space="preserve"> workshops were held with the </w:t>
      </w:r>
      <w:r w:rsidR="00B11E99">
        <w:rPr>
          <w:szCs w:val="20"/>
        </w:rPr>
        <w:t xml:space="preserve">Project Steering Committee, </w:t>
      </w:r>
      <w:r w:rsidRPr="00C33AD2">
        <w:rPr>
          <w:szCs w:val="20"/>
        </w:rPr>
        <w:t xml:space="preserve">Technical Working Group, North East Planners Forum and the Hume Regional Development Australia committee. Three community leadership groups across the region were also consulted on the draft </w:t>
      </w:r>
      <w:r w:rsidR="004B7F13">
        <w:rPr>
          <w:szCs w:val="20"/>
        </w:rPr>
        <w:t xml:space="preserve">Strategic </w:t>
      </w:r>
      <w:r w:rsidRPr="00C33AD2">
        <w:rPr>
          <w:szCs w:val="20"/>
        </w:rPr>
        <w:t>Framework.</w:t>
      </w:r>
    </w:p>
    <w:p w:rsidR="007A143F" w:rsidRDefault="00F03862">
      <w:pPr>
        <w:pStyle w:val="bt"/>
        <w:rPr>
          <w:szCs w:val="20"/>
        </w:rPr>
      </w:pPr>
      <w:r w:rsidRPr="00C33AD2">
        <w:rPr>
          <w:szCs w:val="20"/>
        </w:rPr>
        <w:t xml:space="preserve">The second phase of consultation (June to August 2012) sought input </w:t>
      </w:r>
      <w:r w:rsidR="004B7F13">
        <w:rPr>
          <w:szCs w:val="20"/>
        </w:rPr>
        <w:t xml:space="preserve">on </w:t>
      </w:r>
      <w:r w:rsidRPr="00C33AD2">
        <w:rPr>
          <w:szCs w:val="20"/>
        </w:rPr>
        <w:t xml:space="preserve">the development of the </w:t>
      </w:r>
      <w:r w:rsidR="00D15792">
        <w:rPr>
          <w:szCs w:val="20"/>
        </w:rPr>
        <w:t>p</w:t>
      </w:r>
      <w:r w:rsidR="00D15792" w:rsidRPr="00C33AD2">
        <w:rPr>
          <w:szCs w:val="20"/>
        </w:rPr>
        <w:t>lan</w:t>
      </w:r>
      <w:r w:rsidRPr="00C33AD2">
        <w:rPr>
          <w:szCs w:val="20"/>
        </w:rPr>
        <w:t xml:space="preserve">. Five workshops were held with government stakeholders to verify technical mapping and background information about transport, infrastructure, the environment and settlement networks, as well as to seek input to the draft </w:t>
      </w:r>
      <w:r w:rsidRPr="00B44623">
        <w:rPr>
          <w:rStyle w:val="Emphasis"/>
          <w:i w:val="0"/>
        </w:rPr>
        <w:t>Hume Regional Rural Land Use Study</w:t>
      </w:r>
      <w:r w:rsidRPr="00C33AD2">
        <w:rPr>
          <w:szCs w:val="20"/>
        </w:rPr>
        <w:t xml:space="preserve">. A workshop was also held in June to integrate technical information to form the basis of the </w:t>
      </w:r>
      <w:r w:rsidR="00D15792">
        <w:rPr>
          <w:szCs w:val="20"/>
        </w:rPr>
        <w:t>p</w:t>
      </w:r>
      <w:r w:rsidR="00D15792" w:rsidRPr="00C33AD2">
        <w:rPr>
          <w:szCs w:val="20"/>
        </w:rPr>
        <w:t>lan</w:t>
      </w:r>
      <w:r w:rsidRPr="00C33AD2">
        <w:rPr>
          <w:szCs w:val="20"/>
        </w:rPr>
        <w:t>.</w:t>
      </w:r>
    </w:p>
    <w:p w:rsidR="007A143F" w:rsidRDefault="00F03862">
      <w:pPr>
        <w:pStyle w:val="bt"/>
        <w:rPr>
          <w:szCs w:val="20"/>
        </w:rPr>
      </w:pPr>
      <w:r w:rsidRPr="00C33AD2">
        <w:rPr>
          <w:szCs w:val="20"/>
        </w:rPr>
        <w:t xml:space="preserve">The third phase of consultation (August to September 2012) was held during the preparation of a preliminary </w:t>
      </w:r>
      <w:r w:rsidR="00D15792">
        <w:rPr>
          <w:szCs w:val="20"/>
        </w:rPr>
        <w:t>plan</w:t>
      </w:r>
      <w:r w:rsidRPr="00C33AD2">
        <w:rPr>
          <w:szCs w:val="20"/>
        </w:rPr>
        <w:t xml:space="preserve">. This included targeted consultation with government agencies such as </w:t>
      </w:r>
      <w:r w:rsidR="00CA17CD">
        <w:rPr>
          <w:szCs w:val="20"/>
        </w:rPr>
        <w:t xml:space="preserve">the </w:t>
      </w:r>
      <w:r w:rsidRPr="00C33AD2">
        <w:rPr>
          <w:szCs w:val="20"/>
        </w:rPr>
        <w:t>D</w:t>
      </w:r>
      <w:r w:rsidR="00CA17CD">
        <w:rPr>
          <w:szCs w:val="20"/>
        </w:rPr>
        <w:t>epartment of Human Services</w:t>
      </w:r>
      <w:r w:rsidRPr="00C33AD2">
        <w:rPr>
          <w:szCs w:val="20"/>
        </w:rPr>
        <w:t>, D</w:t>
      </w:r>
      <w:r w:rsidR="00CA17CD">
        <w:rPr>
          <w:szCs w:val="20"/>
        </w:rPr>
        <w:t>epartment of Health</w:t>
      </w:r>
      <w:r w:rsidRPr="00C33AD2">
        <w:rPr>
          <w:szCs w:val="20"/>
        </w:rPr>
        <w:t xml:space="preserve"> and </w:t>
      </w:r>
      <w:r w:rsidR="00CA17CD">
        <w:rPr>
          <w:szCs w:val="20"/>
        </w:rPr>
        <w:t>the Department of Education and Early Childhood Development</w:t>
      </w:r>
      <w:r w:rsidR="00CA17CD" w:rsidRPr="00C33AD2">
        <w:rPr>
          <w:szCs w:val="20"/>
        </w:rPr>
        <w:t xml:space="preserve"> </w:t>
      </w:r>
      <w:r w:rsidRPr="00C33AD2">
        <w:rPr>
          <w:szCs w:val="20"/>
        </w:rPr>
        <w:t xml:space="preserve">to discuss specific information needs. Interviews were also held with business and industry leaders across the </w:t>
      </w:r>
      <w:r w:rsidR="004B7F13">
        <w:rPr>
          <w:szCs w:val="20"/>
        </w:rPr>
        <w:t xml:space="preserve">Hume </w:t>
      </w:r>
      <w:r w:rsidR="00146809">
        <w:rPr>
          <w:szCs w:val="20"/>
        </w:rPr>
        <w:t>R</w:t>
      </w:r>
      <w:r w:rsidRPr="00C33AD2">
        <w:rPr>
          <w:szCs w:val="20"/>
        </w:rPr>
        <w:t>egion to seek advice about large-scale regional initiatives and possible future strategies.</w:t>
      </w:r>
    </w:p>
    <w:p w:rsidR="007A143F" w:rsidRDefault="00D109BA">
      <w:pPr>
        <w:pStyle w:val="bt"/>
        <w:rPr>
          <w:szCs w:val="20"/>
        </w:rPr>
      </w:pPr>
      <w:r>
        <w:rPr>
          <w:szCs w:val="20"/>
        </w:rPr>
        <w:t xml:space="preserve">During the fourth phase of consultation the </w:t>
      </w:r>
      <w:r w:rsidR="008C05DC">
        <w:rPr>
          <w:szCs w:val="20"/>
        </w:rPr>
        <w:t xml:space="preserve">content of the </w:t>
      </w:r>
      <w:r w:rsidR="00D15792">
        <w:rPr>
          <w:szCs w:val="20"/>
        </w:rPr>
        <w:t xml:space="preserve">plan </w:t>
      </w:r>
      <w:r>
        <w:rPr>
          <w:szCs w:val="20"/>
        </w:rPr>
        <w:t xml:space="preserve">was </w:t>
      </w:r>
      <w:r w:rsidR="008C05DC">
        <w:rPr>
          <w:szCs w:val="20"/>
        </w:rPr>
        <w:t>discussed with stakeholders and this process informed the development of</w:t>
      </w:r>
      <w:r>
        <w:rPr>
          <w:szCs w:val="20"/>
        </w:rPr>
        <w:t xml:space="preserve"> </w:t>
      </w:r>
      <w:r w:rsidR="00BB7794">
        <w:rPr>
          <w:szCs w:val="20"/>
        </w:rPr>
        <w:t xml:space="preserve">a </w:t>
      </w:r>
      <w:r>
        <w:rPr>
          <w:szCs w:val="20"/>
        </w:rPr>
        <w:t>draft plan</w:t>
      </w:r>
      <w:r w:rsidR="00D15792">
        <w:rPr>
          <w:szCs w:val="20"/>
        </w:rPr>
        <w:t xml:space="preserve"> </w:t>
      </w:r>
      <w:r>
        <w:rPr>
          <w:szCs w:val="20"/>
        </w:rPr>
        <w:t xml:space="preserve">which was </w:t>
      </w:r>
      <w:r w:rsidR="008C05DC">
        <w:rPr>
          <w:szCs w:val="20"/>
        </w:rPr>
        <w:t>released</w:t>
      </w:r>
      <w:r w:rsidR="005341F6">
        <w:rPr>
          <w:szCs w:val="20"/>
        </w:rPr>
        <w:t xml:space="preserve"> </w:t>
      </w:r>
      <w:r w:rsidR="003467C9">
        <w:rPr>
          <w:szCs w:val="20"/>
        </w:rPr>
        <w:t>for public</w:t>
      </w:r>
      <w:r w:rsidR="008C05DC">
        <w:rPr>
          <w:szCs w:val="20"/>
        </w:rPr>
        <w:t xml:space="preserve"> consultation </w:t>
      </w:r>
      <w:r>
        <w:rPr>
          <w:szCs w:val="20"/>
        </w:rPr>
        <w:t>in June 2013</w:t>
      </w:r>
      <w:r w:rsidR="008C05DC">
        <w:rPr>
          <w:szCs w:val="20"/>
        </w:rPr>
        <w:t>.</w:t>
      </w:r>
    </w:p>
    <w:p w:rsidR="008C05DC" w:rsidRDefault="00D109BA" w:rsidP="009D0BBD">
      <w:pPr>
        <w:pStyle w:val="bt"/>
        <w:sectPr w:rsidR="008C05DC" w:rsidSect="00683F63">
          <w:headerReference w:type="default" r:id="rId14"/>
          <w:footerReference w:type="default" r:id="rId15"/>
          <w:pgSz w:w="11906" w:h="16838"/>
          <w:pgMar w:top="1530" w:right="1440" w:bottom="993" w:left="1440" w:header="708" w:footer="708" w:gutter="0"/>
          <w:pgNumType w:start="1"/>
          <w:cols w:space="708"/>
          <w:docGrid w:linePitch="360"/>
        </w:sectPr>
      </w:pPr>
      <w:r>
        <w:t>Feedback received during this public consultation period was then taken into consideration and informed the preparation of th</w:t>
      </w:r>
      <w:r w:rsidR="00907A9B">
        <w:t>e current</w:t>
      </w:r>
      <w:r>
        <w:t xml:space="preserve"> version of the plan.</w:t>
      </w:r>
    </w:p>
    <w:p w:rsidR="00A42BAD" w:rsidRPr="00BA1934" w:rsidRDefault="00BA1934" w:rsidP="00BA1934">
      <w:pPr>
        <w:pStyle w:val="Heading1"/>
      </w:pPr>
      <w:bookmarkStart w:id="16" w:name="_Toc355970755"/>
      <w:bookmarkStart w:id="17" w:name="_Toc359422937"/>
      <w:bookmarkStart w:id="18" w:name="_Toc374612438"/>
      <w:bookmarkStart w:id="19" w:name="_Toc336871213"/>
      <w:r w:rsidRPr="00BA1934">
        <w:lastRenderedPageBreak/>
        <w:t>PART B:</w:t>
      </w:r>
      <w:r w:rsidRPr="00BA1934">
        <w:tab/>
      </w:r>
      <w:r w:rsidR="00DA722B" w:rsidRPr="00BA1934">
        <w:t>CONTEXT</w:t>
      </w:r>
      <w:bookmarkEnd w:id="16"/>
      <w:bookmarkEnd w:id="17"/>
      <w:bookmarkEnd w:id="18"/>
    </w:p>
    <w:p w:rsidR="007A143F" w:rsidRDefault="00DA722B">
      <w:pPr>
        <w:pStyle w:val="Heading11"/>
      </w:pPr>
      <w:bookmarkStart w:id="20" w:name="_Toc336871214"/>
      <w:bookmarkStart w:id="21" w:name="_Toc355970756"/>
      <w:bookmarkStart w:id="22" w:name="_Toc359422938"/>
      <w:bookmarkStart w:id="23" w:name="_Toc374612439"/>
      <w:r w:rsidRPr="00DA722B">
        <w:t>Overview</w:t>
      </w:r>
      <w:bookmarkEnd w:id="20"/>
      <w:bookmarkEnd w:id="21"/>
      <w:bookmarkEnd w:id="22"/>
      <w:bookmarkEnd w:id="23"/>
    </w:p>
    <w:p w:rsidR="007A143F" w:rsidRDefault="00A42BAD" w:rsidP="00EE0F0D">
      <w:pPr>
        <w:pStyle w:val="bt"/>
      </w:pPr>
      <w:r w:rsidRPr="00C33AD2">
        <w:t>This section describes the current characteristics of the Hume Region, focussing on those that are significant in planning for future growth and change.</w:t>
      </w:r>
    </w:p>
    <w:p w:rsidR="007A143F" w:rsidRDefault="00A42BAD" w:rsidP="00EE0F0D">
      <w:pPr>
        <w:pStyle w:val="bt"/>
      </w:pPr>
      <w:r w:rsidRPr="00C33AD2">
        <w:t xml:space="preserve">The Hume Region extends over 40,000 </w:t>
      </w:r>
      <w:r w:rsidR="00724C71">
        <w:t>km</w:t>
      </w:r>
      <w:r w:rsidR="00724C71">
        <w:rPr>
          <w:vertAlign w:val="superscript"/>
        </w:rPr>
        <w:t>2</w:t>
      </w:r>
      <w:r w:rsidRPr="00C33AD2">
        <w:t xml:space="preserve"> of north</w:t>
      </w:r>
      <w:r w:rsidR="004B7F13">
        <w:t>-</w:t>
      </w:r>
      <w:r w:rsidRPr="00C33AD2">
        <w:t>east Victoria and the Goulburn Valley and constitutes approximately 18</w:t>
      </w:r>
      <w:r w:rsidR="00CA17CD">
        <w:t xml:space="preserve"> per cent </w:t>
      </w:r>
      <w:r w:rsidRPr="00C33AD2">
        <w:t>of Victoria’s total land area. The population of the region was approximately 276,300 in 2011 (Victoria in Future 2012) and has been growing at an average of 0.6</w:t>
      </w:r>
      <w:r w:rsidR="00CA17CD">
        <w:t xml:space="preserve"> per cent</w:t>
      </w:r>
      <w:r w:rsidR="00CA17CD" w:rsidRPr="00C33AD2">
        <w:t xml:space="preserve"> </w:t>
      </w:r>
      <w:r w:rsidRPr="00C33AD2">
        <w:t>per year for the past decade</w:t>
      </w:r>
      <w:r w:rsidRPr="00C33AD2">
        <w:rPr>
          <w:rStyle w:val="FootnoteReference"/>
          <w:szCs w:val="20"/>
        </w:rPr>
        <w:footnoteReference w:id="1"/>
      </w:r>
      <w:r w:rsidRPr="00C33AD2">
        <w:t>.</w:t>
      </w:r>
    </w:p>
    <w:p w:rsidR="007A143F" w:rsidRDefault="00A42BAD" w:rsidP="00EE0F0D">
      <w:pPr>
        <w:pStyle w:val="bt"/>
      </w:pPr>
      <w:r w:rsidRPr="00C33AD2">
        <w:t xml:space="preserve">The </w:t>
      </w:r>
      <w:r w:rsidR="00527E40">
        <w:t>r</w:t>
      </w:r>
      <w:r w:rsidRPr="00C33AD2">
        <w:t>egion is strategically located from a national perspective, with key interstate road and rail transport routes</w:t>
      </w:r>
      <w:r w:rsidR="005A26C5">
        <w:t xml:space="preserve"> </w:t>
      </w:r>
      <w:r w:rsidR="005A26C5" w:rsidRPr="004555AA">
        <w:t>traversing the region (</w:t>
      </w:r>
      <w:r w:rsidR="00827E2D">
        <w:fldChar w:fldCharType="begin"/>
      </w:r>
      <w:r w:rsidR="00827E2D">
        <w:instrText xml:space="preserve"> REF _Ref348348533 \h  \* MERGEFORMAT </w:instrText>
      </w:r>
      <w:r w:rsidR="00827E2D">
        <w:fldChar w:fldCharType="separate"/>
      </w:r>
      <w:r w:rsidR="009034D4" w:rsidRPr="00762976">
        <w:t xml:space="preserve">Figure </w:t>
      </w:r>
      <w:r w:rsidR="009034D4">
        <w:t>2</w:t>
      </w:r>
      <w:r w:rsidR="00827E2D">
        <w:fldChar w:fldCharType="end"/>
      </w:r>
      <w:r w:rsidRPr="004555AA">
        <w:t>).</w:t>
      </w:r>
    </w:p>
    <w:p w:rsidR="005A26C5" w:rsidRDefault="005A26C5" w:rsidP="00762976">
      <w:pPr>
        <w:pStyle w:val="Caption"/>
      </w:pPr>
      <w:bookmarkStart w:id="24" w:name="_Ref348348533"/>
      <w:bookmarkStart w:id="25" w:name="_Toc374612527"/>
      <w:r w:rsidRPr="00762976">
        <w:t xml:space="preserve">Figure </w:t>
      </w:r>
      <w:r w:rsidR="00827E2D">
        <w:fldChar w:fldCharType="begin"/>
      </w:r>
      <w:r w:rsidR="00827E2D">
        <w:instrText xml:space="preserve"> SEQ Figure \* ARABIC </w:instrText>
      </w:r>
      <w:r w:rsidR="00827E2D">
        <w:fldChar w:fldCharType="separate"/>
      </w:r>
      <w:r w:rsidR="009034D4">
        <w:rPr>
          <w:noProof/>
        </w:rPr>
        <w:t>2</w:t>
      </w:r>
      <w:r w:rsidR="00827E2D">
        <w:rPr>
          <w:noProof/>
        </w:rPr>
        <w:fldChar w:fldCharType="end"/>
      </w:r>
      <w:bookmarkEnd w:id="24"/>
      <w:r w:rsidR="007536C0" w:rsidRPr="00762976">
        <w:t>: National context</w:t>
      </w:r>
      <w:bookmarkEnd w:id="25"/>
    </w:p>
    <w:p w:rsidR="0075278A" w:rsidRPr="0075278A" w:rsidRDefault="0075278A" w:rsidP="0075278A">
      <w:pPr>
        <w:pStyle w:val="bt"/>
      </w:pPr>
      <w:r>
        <w:t>[</w:t>
      </w:r>
      <w:r w:rsidRPr="0075278A">
        <w:t>Map showing the Hume region in its national context</w:t>
      </w:r>
      <w:r>
        <w:t>]</w:t>
      </w:r>
    </w:p>
    <w:bookmarkEnd w:id="19"/>
    <w:p w:rsidR="001F2FA1" w:rsidRDefault="001F2FA1" w:rsidP="00D3176B">
      <w:pPr>
        <w:pStyle w:val="source"/>
      </w:pPr>
      <w:r>
        <w:t xml:space="preserve">Source: </w:t>
      </w:r>
      <w:r w:rsidR="00503EB2">
        <w:t xml:space="preserve">Department of </w:t>
      </w:r>
      <w:r w:rsidR="00464BA9">
        <w:t>Transport</w:t>
      </w:r>
      <w:r w:rsidR="00977AC9">
        <w:t>,</w:t>
      </w:r>
      <w:r w:rsidR="00464BA9">
        <w:t xml:space="preserve"> Planning and Local Infrastructure</w:t>
      </w:r>
    </w:p>
    <w:p w:rsidR="00EE0F0D" w:rsidRDefault="00EE0F0D" w:rsidP="00EE0F0D">
      <w:pPr>
        <w:pStyle w:val="bt"/>
        <w:spacing w:before="120"/>
      </w:pPr>
      <w:r w:rsidRPr="00C33AD2">
        <w:t xml:space="preserve">The </w:t>
      </w:r>
      <w:r>
        <w:t>r</w:t>
      </w:r>
      <w:r w:rsidRPr="00C33AD2">
        <w:t xml:space="preserve">egion is bounded to the north by the New South Wales border, to the west by the Loddon Mallee </w:t>
      </w:r>
      <w:r w:rsidR="00967083">
        <w:t>North and South r</w:t>
      </w:r>
      <w:r w:rsidRPr="00C33AD2">
        <w:t>egion</w:t>
      </w:r>
      <w:r w:rsidR="00967083">
        <w:t>s</w:t>
      </w:r>
      <w:r w:rsidRPr="00C33AD2">
        <w:t xml:space="preserve"> and to the south and east by the Western, Northern and Eastern Metropolitan regions and Gippsland.  </w:t>
      </w:r>
    </w:p>
    <w:p w:rsidR="00EE0F0D" w:rsidRDefault="00EE0F0D" w:rsidP="00EE0F0D">
      <w:pPr>
        <w:pStyle w:val="bt"/>
        <w:spacing w:after="360"/>
      </w:pPr>
      <w:r w:rsidRPr="00C33AD2">
        <w:t xml:space="preserve">The Hume Strategy recognises the </w:t>
      </w:r>
      <w:r>
        <w:t>r</w:t>
      </w:r>
      <w:r w:rsidRPr="00C33AD2">
        <w:t xml:space="preserve">egion is made up of four distinct and inter-connected </w:t>
      </w:r>
      <w:r>
        <w:t>sub-region</w:t>
      </w:r>
      <w:r w:rsidRPr="00C33AD2">
        <w:t>s: Central Hume, Goulburn Valley, Lower Hume and Upper Hume (</w:t>
      </w:r>
      <w:r w:rsidR="00827E2D">
        <w:fldChar w:fldCharType="begin"/>
      </w:r>
      <w:r w:rsidR="00827E2D">
        <w:instrText xml:space="preserve"> REF _Ref348348591 \h  \* MERGEFORMAT </w:instrText>
      </w:r>
      <w:r w:rsidR="00827E2D">
        <w:fldChar w:fldCharType="separate"/>
      </w:r>
      <w:r w:rsidR="009034D4" w:rsidRPr="00762976">
        <w:t xml:space="preserve">Figure </w:t>
      </w:r>
      <w:r w:rsidR="009034D4">
        <w:t>3</w:t>
      </w:r>
      <w:r w:rsidR="00827E2D">
        <w:fldChar w:fldCharType="end"/>
      </w:r>
      <w:r w:rsidRPr="00C33AD2">
        <w:t>). Together, they cover the municipalities of Alpine, Benalla, Greater Shepparton, Indigo, Mansfield, Mitchell, Moira, Murrindindi, Strathbogie, Towong, Wangaratta and Wodonga.</w:t>
      </w:r>
    </w:p>
    <w:p w:rsidR="000800DD" w:rsidRDefault="00EE0F0D" w:rsidP="00762976">
      <w:pPr>
        <w:pStyle w:val="Caption"/>
      </w:pPr>
      <w:bookmarkStart w:id="26" w:name="_Ref348348591"/>
      <w:bookmarkStart w:id="27" w:name="_Toc374612528"/>
      <w:r w:rsidRPr="00762976">
        <w:t xml:space="preserve">Figure </w:t>
      </w:r>
      <w:r w:rsidR="00AA3D97" w:rsidRPr="00762976">
        <w:fldChar w:fldCharType="begin"/>
      </w:r>
      <w:r w:rsidR="00C5295C" w:rsidRPr="00762976">
        <w:instrText xml:space="preserve"> SEQ Figure \* ARABIC </w:instrText>
      </w:r>
      <w:r w:rsidR="00AA3D97" w:rsidRPr="00762976">
        <w:fldChar w:fldCharType="separate"/>
      </w:r>
      <w:r w:rsidR="009034D4">
        <w:rPr>
          <w:noProof/>
        </w:rPr>
        <w:t>3</w:t>
      </w:r>
      <w:r w:rsidR="00AA3D97" w:rsidRPr="00762976">
        <w:fldChar w:fldCharType="end"/>
      </w:r>
      <w:bookmarkEnd w:id="26"/>
      <w:r w:rsidRPr="00762976">
        <w:t>: Hume Region and sub-regions</w:t>
      </w:r>
      <w:bookmarkEnd w:id="27"/>
    </w:p>
    <w:p w:rsidR="0075278A" w:rsidRPr="0075278A" w:rsidRDefault="0075278A" w:rsidP="0075278A">
      <w:pPr>
        <w:pStyle w:val="bt"/>
      </w:pPr>
      <w:r>
        <w:t>[</w:t>
      </w:r>
      <w:r w:rsidRPr="0075278A">
        <w:t>Map showing the Hume region and its sub-regions: Central Hume, Goulburn Valley, Lower Hume and Upper Hume</w:t>
      </w:r>
      <w:r>
        <w:t>]</w:t>
      </w:r>
    </w:p>
    <w:p w:rsidR="00EE0F0D" w:rsidRPr="00C33AD2" w:rsidRDefault="00EE0F0D" w:rsidP="0061220F">
      <w:pPr>
        <w:pStyle w:val="source"/>
      </w:pPr>
      <w:r>
        <w:t xml:space="preserve">Source: </w:t>
      </w:r>
      <w:r w:rsidR="00503EB2">
        <w:t xml:space="preserve">Department of </w:t>
      </w:r>
      <w:r w:rsidR="00464BA9">
        <w:t>Transport, Planning and Local Infrastructure</w:t>
      </w:r>
    </w:p>
    <w:p w:rsidR="00EE0F0D" w:rsidRDefault="00EE0F0D" w:rsidP="00EE0F0D">
      <w:pPr>
        <w:pStyle w:val="bt"/>
        <w:spacing w:after="120"/>
      </w:pPr>
      <w:r w:rsidRPr="00C33AD2">
        <w:t xml:space="preserve">The </w:t>
      </w:r>
      <w:r>
        <w:t>r</w:t>
      </w:r>
      <w:r w:rsidRPr="00C33AD2">
        <w:t>egion encompasses a variety of terrain, with the Great Dividing Range and foothills to the east</w:t>
      </w:r>
      <w:r>
        <w:t>,</w:t>
      </w:r>
      <w:r w:rsidRPr="00C33AD2">
        <w:t xml:space="preserve"> river plains stretching westwards</w:t>
      </w:r>
      <w:r>
        <w:t>,</w:t>
      </w:r>
      <w:r w:rsidRPr="00C33AD2">
        <w:t xml:space="preserve"> and </w:t>
      </w:r>
      <w:r>
        <w:t xml:space="preserve">extending north </w:t>
      </w:r>
      <w:r w:rsidRPr="00C33AD2">
        <w:t>to the Murray River. Land use in the region is dominated by rural activities (56.5</w:t>
      </w:r>
      <w:r w:rsidR="008428CB">
        <w:t xml:space="preserve"> per cent</w:t>
      </w:r>
      <w:r w:rsidR="008428CB" w:rsidRPr="00C33AD2">
        <w:t xml:space="preserve"> </w:t>
      </w:r>
      <w:r w:rsidRPr="00C33AD2">
        <w:t>by area) and public land (42.5</w:t>
      </w:r>
      <w:r w:rsidR="008428CB">
        <w:t xml:space="preserve"> per cent</w:t>
      </w:r>
      <w:r w:rsidR="008428CB" w:rsidRPr="00C33AD2">
        <w:t xml:space="preserve">). </w:t>
      </w:r>
      <w:r w:rsidRPr="00C33AD2">
        <w:t>Less than one</w:t>
      </w:r>
      <w:r>
        <w:t xml:space="preserve"> per cent</w:t>
      </w:r>
      <w:r w:rsidRPr="00C33AD2">
        <w:t xml:space="preserve"> of land is zoned for urban purposes.</w:t>
      </w:r>
    </w:p>
    <w:p w:rsidR="00762976" w:rsidRDefault="00EE0F0D" w:rsidP="00EE0F0D">
      <w:pPr>
        <w:pStyle w:val="bt"/>
        <w:spacing w:before="120" w:after="360"/>
      </w:pPr>
      <w:r w:rsidRPr="00C33AD2">
        <w:t xml:space="preserve">Local government areas in the </w:t>
      </w:r>
      <w:r>
        <w:t>r</w:t>
      </w:r>
      <w:r w:rsidRPr="00C33AD2">
        <w:t>egion have differing characteristics. They include future metropolitan growth areas, large regional</w:t>
      </w:r>
      <w:r>
        <w:t xml:space="preserve"> cities and</w:t>
      </w:r>
      <w:r w:rsidRPr="00C33AD2">
        <w:t xml:space="preserve"> centres, smaller settlements and relatively isolated rural communities, as well as areas of distinctive natural beauty and environmental significance</w:t>
      </w:r>
      <w:r>
        <w:t>,</w:t>
      </w:r>
      <w:r w:rsidRPr="00C33AD2">
        <w:t xml:space="preserve"> and large agricultural areas.</w:t>
      </w:r>
    </w:p>
    <w:p w:rsidR="007A143F" w:rsidRDefault="00E1404C" w:rsidP="00A41B2E">
      <w:pPr>
        <w:pStyle w:val="Heading2"/>
        <w:numPr>
          <w:ilvl w:val="1"/>
          <w:numId w:val="18"/>
        </w:numPr>
        <w:tabs>
          <w:tab w:val="clear" w:pos="396"/>
        </w:tabs>
        <w:spacing w:before="0" w:after="120"/>
        <w:ind w:left="567"/>
      </w:pPr>
      <w:bookmarkStart w:id="28" w:name="_Toc348422752"/>
      <w:bookmarkStart w:id="29" w:name="_Toc348620355"/>
      <w:bookmarkStart w:id="30" w:name="_Toc349053889"/>
      <w:bookmarkStart w:id="31" w:name="_Toc349137076"/>
      <w:bookmarkStart w:id="32" w:name="_Toc349200582"/>
      <w:bookmarkStart w:id="33" w:name="_Toc349201464"/>
      <w:bookmarkStart w:id="34" w:name="_Toc349642300"/>
      <w:bookmarkStart w:id="35" w:name="_Toc353952875"/>
      <w:bookmarkStart w:id="36" w:name="_Toc353980832"/>
      <w:bookmarkStart w:id="37" w:name="_Toc354039280"/>
      <w:bookmarkStart w:id="38" w:name="_Toc354134713"/>
      <w:bookmarkStart w:id="39" w:name="_Toc354415386"/>
      <w:bookmarkStart w:id="40" w:name="_Toc348422753"/>
      <w:bookmarkStart w:id="41" w:name="_Toc348620356"/>
      <w:bookmarkStart w:id="42" w:name="_Toc349053890"/>
      <w:bookmarkStart w:id="43" w:name="_Toc349137077"/>
      <w:bookmarkStart w:id="44" w:name="_Toc349200583"/>
      <w:bookmarkStart w:id="45" w:name="_Toc349201465"/>
      <w:bookmarkStart w:id="46" w:name="_Toc349642301"/>
      <w:bookmarkStart w:id="47" w:name="_Toc353952876"/>
      <w:bookmarkStart w:id="48" w:name="_Toc353980833"/>
      <w:bookmarkStart w:id="49" w:name="_Toc354039281"/>
      <w:bookmarkStart w:id="50" w:name="_Toc354134714"/>
      <w:bookmarkStart w:id="51" w:name="_Toc354415387"/>
      <w:bookmarkStart w:id="52" w:name="_Toc348422754"/>
      <w:bookmarkStart w:id="53" w:name="_Toc348620357"/>
      <w:bookmarkStart w:id="54" w:name="_Toc349053891"/>
      <w:bookmarkStart w:id="55" w:name="_Toc349137078"/>
      <w:bookmarkStart w:id="56" w:name="_Toc349200584"/>
      <w:bookmarkStart w:id="57" w:name="_Toc349201466"/>
      <w:bookmarkStart w:id="58" w:name="_Toc349642302"/>
      <w:bookmarkStart w:id="59" w:name="_Toc353952877"/>
      <w:bookmarkStart w:id="60" w:name="_Toc353980834"/>
      <w:bookmarkStart w:id="61" w:name="_Toc354039282"/>
      <w:bookmarkStart w:id="62" w:name="_Toc354134715"/>
      <w:bookmarkStart w:id="63" w:name="_Toc354415388"/>
      <w:bookmarkStart w:id="64" w:name="_Toc348422755"/>
      <w:bookmarkStart w:id="65" w:name="_Toc348620358"/>
      <w:bookmarkStart w:id="66" w:name="_Toc349053892"/>
      <w:bookmarkStart w:id="67" w:name="_Toc349137079"/>
      <w:bookmarkStart w:id="68" w:name="_Toc349200585"/>
      <w:bookmarkStart w:id="69" w:name="_Toc349201467"/>
      <w:bookmarkStart w:id="70" w:name="_Toc349642303"/>
      <w:bookmarkStart w:id="71" w:name="_Toc353952878"/>
      <w:bookmarkStart w:id="72" w:name="_Toc353980835"/>
      <w:bookmarkStart w:id="73" w:name="_Toc354039283"/>
      <w:bookmarkStart w:id="74" w:name="_Toc354134716"/>
      <w:bookmarkStart w:id="75" w:name="_Toc354415389"/>
      <w:bookmarkStart w:id="76" w:name="_Toc348422756"/>
      <w:bookmarkStart w:id="77" w:name="_Toc348620359"/>
      <w:bookmarkStart w:id="78" w:name="_Toc349053893"/>
      <w:bookmarkStart w:id="79" w:name="_Toc349137080"/>
      <w:bookmarkStart w:id="80" w:name="_Toc349200586"/>
      <w:bookmarkStart w:id="81" w:name="_Toc349201468"/>
      <w:bookmarkStart w:id="82" w:name="_Toc349642304"/>
      <w:bookmarkStart w:id="83" w:name="_Toc353952879"/>
      <w:bookmarkStart w:id="84" w:name="_Toc353980836"/>
      <w:bookmarkStart w:id="85" w:name="_Toc354039284"/>
      <w:bookmarkStart w:id="86" w:name="_Toc354134717"/>
      <w:bookmarkStart w:id="87" w:name="_Toc354415390"/>
      <w:bookmarkStart w:id="88" w:name="_Toc355970757"/>
      <w:bookmarkStart w:id="89" w:name="_Toc359422939"/>
      <w:bookmarkStart w:id="90" w:name="_Toc37461244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A51841">
        <w:t xml:space="preserve">Demographics and </w:t>
      </w:r>
      <w:r w:rsidR="00724C71" w:rsidRPr="00A51841">
        <w:t>c</w:t>
      </w:r>
      <w:r w:rsidR="00C33AD2" w:rsidRPr="00A51841">
        <w:t>ommunity</w:t>
      </w:r>
      <w:bookmarkEnd w:id="88"/>
      <w:bookmarkEnd w:id="89"/>
      <w:bookmarkEnd w:id="90"/>
    </w:p>
    <w:p w:rsidR="00B5794B" w:rsidRDefault="000D5017" w:rsidP="00B5794B">
      <w:pPr>
        <w:pStyle w:val="ListBullet"/>
        <w:spacing w:after="0"/>
      </w:pPr>
      <w:r w:rsidRPr="000D5017">
        <w:t xml:space="preserve">Between 2006 and 2011, the </w:t>
      </w:r>
      <w:r w:rsidR="00724C71">
        <w:t xml:space="preserve">Hume </w:t>
      </w:r>
      <w:r w:rsidR="008C05DC">
        <w:t>R</w:t>
      </w:r>
      <w:r w:rsidRPr="000D5017">
        <w:t xml:space="preserve">egion’s annual average rate of population growth was the sixth highest of all regions in Victoria. The highest growth rates in Hume were in Mitchell </w:t>
      </w:r>
      <w:r w:rsidR="003467C9" w:rsidRPr="000D5017">
        <w:t>Shire</w:t>
      </w:r>
      <w:r w:rsidRPr="000D5017">
        <w:t xml:space="preserve"> followed by growth in and around Shepparton, Wodonga and Wangaratta and in areas such as </w:t>
      </w:r>
      <w:r w:rsidR="00D35F41">
        <w:t xml:space="preserve">the </w:t>
      </w:r>
      <w:r w:rsidRPr="000D5017">
        <w:t xml:space="preserve">Mansfield and Moira </w:t>
      </w:r>
      <w:r w:rsidR="00724C71">
        <w:t>s</w:t>
      </w:r>
      <w:r w:rsidRPr="000D5017">
        <w:t>hires.</w:t>
      </w:r>
    </w:p>
    <w:p w:rsidR="001A3FCF" w:rsidRDefault="000D5017" w:rsidP="001A3FCF">
      <w:pPr>
        <w:pStyle w:val="ListBullet"/>
        <w:spacing w:after="0"/>
      </w:pPr>
      <w:r w:rsidRPr="000D5017">
        <w:lastRenderedPageBreak/>
        <w:t xml:space="preserve">The average age of </w:t>
      </w:r>
      <w:r w:rsidR="00724C71">
        <w:t xml:space="preserve">people living in the </w:t>
      </w:r>
      <w:r w:rsidR="00F7217C">
        <w:t>r</w:t>
      </w:r>
      <w:r w:rsidR="00724C71">
        <w:t xml:space="preserve">egion </w:t>
      </w:r>
      <w:r w:rsidRPr="000D5017">
        <w:t>is increasing. This is most apparent in smaller rural settlements, but</w:t>
      </w:r>
      <w:r w:rsidR="00D35F41">
        <w:t xml:space="preserve"> it</w:t>
      </w:r>
      <w:r w:rsidRPr="000D5017">
        <w:t xml:space="preserve"> is also </w:t>
      </w:r>
      <w:r w:rsidRPr="00226D34">
        <w:t>occurring in most regional cities and centres.</w:t>
      </w:r>
    </w:p>
    <w:p w:rsidR="001E6B61" w:rsidRDefault="00CB6D32" w:rsidP="00762976">
      <w:pPr>
        <w:pStyle w:val="Caption"/>
      </w:pPr>
      <w:bookmarkStart w:id="91" w:name="_Ref348348747"/>
      <w:bookmarkStart w:id="92" w:name="_Toc374612554"/>
      <w:r w:rsidRPr="00762976">
        <w:t xml:space="preserve">Table </w:t>
      </w:r>
      <w:r w:rsidR="00827E2D">
        <w:fldChar w:fldCharType="begin"/>
      </w:r>
      <w:r w:rsidR="00827E2D">
        <w:instrText xml:space="preserve"> SEQ Table \* ARABIC </w:instrText>
      </w:r>
      <w:r w:rsidR="00827E2D">
        <w:fldChar w:fldCharType="separate"/>
      </w:r>
      <w:r w:rsidR="009034D4">
        <w:rPr>
          <w:noProof/>
        </w:rPr>
        <w:t>1</w:t>
      </w:r>
      <w:r w:rsidR="00827E2D">
        <w:rPr>
          <w:noProof/>
        </w:rPr>
        <w:fldChar w:fldCharType="end"/>
      </w:r>
      <w:bookmarkEnd w:id="91"/>
      <w:r w:rsidR="007536C0" w:rsidRPr="00762976">
        <w:t>: Aboriginal persons as a percentage of population 2011</w:t>
      </w:r>
      <w:bookmarkEnd w:id="92"/>
    </w:p>
    <w:p w:rsidR="008A4E8C" w:rsidRPr="008A4E8C" w:rsidRDefault="008A4E8C" w:rsidP="008A4E8C">
      <w:pPr>
        <w:pStyle w:val="bt"/>
        <w:spacing w:before="60" w:after="0"/>
      </w:pPr>
      <w:r w:rsidRPr="008A4E8C">
        <w:rPr>
          <w:b/>
        </w:rPr>
        <w:t xml:space="preserve">Local Government Area: </w:t>
      </w:r>
      <w:r w:rsidRPr="00C146C9">
        <w:t>Alpine</w:t>
      </w:r>
    </w:p>
    <w:p w:rsidR="008A4E8C" w:rsidRDefault="008A4E8C" w:rsidP="00A41B2E">
      <w:pPr>
        <w:pStyle w:val="bt"/>
        <w:numPr>
          <w:ilvl w:val="0"/>
          <w:numId w:val="27"/>
        </w:numPr>
        <w:spacing w:before="60" w:after="0"/>
      </w:pPr>
      <w:r>
        <w:t xml:space="preserve">Total population 2011 – </w:t>
      </w:r>
      <w:r w:rsidRPr="00C146C9">
        <w:t>11,881</w:t>
      </w:r>
    </w:p>
    <w:p w:rsidR="008A4E8C" w:rsidRDefault="008A4E8C" w:rsidP="00A41B2E">
      <w:pPr>
        <w:pStyle w:val="bt"/>
        <w:numPr>
          <w:ilvl w:val="0"/>
          <w:numId w:val="27"/>
        </w:numPr>
        <w:spacing w:before="60" w:after="0"/>
      </w:pPr>
      <w:r>
        <w:t xml:space="preserve">Number of Aboriginal persons 2011 – </w:t>
      </w:r>
      <w:r w:rsidRPr="00C146C9">
        <w:t>85</w:t>
      </w:r>
    </w:p>
    <w:p w:rsidR="008A4E8C" w:rsidRDefault="008A4E8C" w:rsidP="00A41B2E">
      <w:pPr>
        <w:pStyle w:val="bt"/>
        <w:numPr>
          <w:ilvl w:val="0"/>
          <w:numId w:val="27"/>
        </w:numPr>
        <w:spacing w:before="60" w:after="0"/>
      </w:pPr>
      <w:r>
        <w:t xml:space="preserve">Percentage Aboriginal persons – </w:t>
      </w:r>
      <w:r w:rsidRPr="00C146C9">
        <w:t>0.72</w:t>
      </w:r>
    </w:p>
    <w:p w:rsidR="008A4E8C" w:rsidRPr="008A4E8C" w:rsidRDefault="008A4E8C" w:rsidP="008A4E8C">
      <w:pPr>
        <w:pStyle w:val="bt"/>
        <w:spacing w:before="60" w:after="0"/>
        <w:rPr>
          <w:b/>
        </w:rPr>
      </w:pPr>
      <w:r w:rsidRPr="008A4E8C">
        <w:rPr>
          <w:b/>
        </w:rPr>
        <w:t xml:space="preserve">Local Government Area: </w:t>
      </w:r>
      <w:r w:rsidRPr="00DA722B">
        <w:t>Benalla</w:t>
      </w:r>
    </w:p>
    <w:p w:rsidR="008A4E8C" w:rsidRDefault="008A4E8C" w:rsidP="00A41B2E">
      <w:pPr>
        <w:pStyle w:val="bt"/>
        <w:numPr>
          <w:ilvl w:val="0"/>
          <w:numId w:val="27"/>
        </w:numPr>
        <w:spacing w:before="60" w:after="0"/>
      </w:pPr>
      <w:r>
        <w:t xml:space="preserve">Total population 2011 – </w:t>
      </w:r>
      <w:r w:rsidRPr="00C146C9">
        <w:t>13,647</w:t>
      </w:r>
    </w:p>
    <w:p w:rsidR="008A4E8C" w:rsidRDefault="008A4E8C" w:rsidP="00A41B2E">
      <w:pPr>
        <w:pStyle w:val="bt"/>
        <w:numPr>
          <w:ilvl w:val="0"/>
          <w:numId w:val="27"/>
        </w:numPr>
        <w:spacing w:before="60" w:after="0"/>
      </w:pPr>
      <w:r>
        <w:t xml:space="preserve">Number of Aboriginal persons 2011 – </w:t>
      </w:r>
      <w:r w:rsidRPr="00C146C9">
        <w:t>165</w:t>
      </w:r>
    </w:p>
    <w:p w:rsidR="008A4E8C" w:rsidRPr="008A4E8C" w:rsidRDefault="008A4E8C" w:rsidP="00A41B2E">
      <w:pPr>
        <w:pStyle w:val="bt"/>
        <w:numPr>
          <w:ilvl w:val="0"/>
          <w:numId w:val="27"/>
        </w:numPr>
        <w:spacing w:before="60" w:after="0"/>
      </w:pPr>
      <w:r>
        <w:t xml:space="preserve">Percentage Aboriginal persons – </w:t>
      </w:r>
      <w:r w:rsidRPr="00C146C9">
        <w:t>1.21</w:t>
      </w:r>
    </w:p>
    <w:p w:rsidR="008A4E8C" w:rsidRPr="008A4E8C" w:rsidRDefault="008A4E8C" w:rsidP="008A4E8C">
      <w:pPr>
        <w:pStyle w:val="bt"/>
        <w:spacing w:before="60" w:after="0"/>
        <w:rPr>
          <w:b/>
        </w:rPr>
      </w:pPr>
      <w:r w:rsidRPr="008A4E8C">
        <w:rPr>
          <w:b/>
        </w:rPr>
        <w:t xml:space="preserve">Local Government Area: </w:t>
      </w:r>
      <w:r w:rsidRPr="00C146C9">
        <w:t>Greater Shepparton</w:t>
      </w:r>
    </w:p>
    <w:p w:rsidR="008A4E8C" w:rsidRDefault="008A4E8C" w:rsidP="00A41B2E">
      <w:pPr>
        <w:pStyle w:val="bt"/>
        <w:numPr>
          <w:ilvl w:val="0"/>
          <w:numId w:val="27"/>
        </w:numPr>
        <w:spacing w:before="60" w:after="0"/>
      </w:pPr>
      <w:r>
        <w:t xml:space="preserve">Total population 2011 – </w:t>
      </w:r>
      <w:r w:rsidRPr="00C146C9">
        <w:t>60,449</w:t>
      </w:r>
    </w:p>
    <w:p w:rsidR="008A4E8C" w:rsidRDefault="008A4E8C" w:rsidP="00A41B2E">
      <w:pPr>
        <w:pStyle w:val="bt"/>
        <w:numPr>
          <w:ilvl w:val="0"/>
          <w:numId w:val="27"/>
        </w:numPr>
        <w:spacing w:before="60" w:after="0"/>
      </w:pPr>
      <w:r>
        <w:t xml:space="preserve">Number of Aboriginal persons 2011 – </w:t>
      </w:r>
      <w:r w:rsidRPr="00C146C9">
        <w:t>2082</w:t>
      </w:r>
    </w:p>
    <w:p w:rsidR="008A4E8C" w:rsidRPr="008A4E8C" w:rsidRDefault="008A4E8C" w:rsidP="00A41B2E">
      <w:pPr>
        <w:pStyle w:val="bt"/>
        <w:numPr>
          <w:ilvl w:val="0"/>
          <w:numId w:val="27"/>
        </w:numPr>
        <w:spacing w:before="60" w:after="0"/>
      </w:pPr>
      <w:r>
        <w:t xml:space="preserve">Percentage Aboriginal persons – </w:t>
      </w:r>
      <w:r w:rsidRPr="00C146C9">
        <w:t>3.44</w:t>
      </w:r>
    </w:p>
    <w:p w:rsidR="008A4E8C" w:rsidRPr="008A4E8C" w:rsidRDefault="008A4E8C" w:rsidP="008A4E8C">
      <w:pPr>
        <w:pStyle w:val="bt"/>
        <w:spacing w:before="60" w:after="0"/>
        <w:rPr>
          <w:b/>
        </w:rPr>
      </w:pPr>
      <w:r w:rsidRPr="008A4E8C">
        <w:rPr>
          <w:b/>
        </w:rPr>
        <w:t xml:space="preserve">Local Government Area: </w:t>
      </w:r>
      <w:r w:rsidRPr="00C146C9">
        <w:t>Indigo</w:t>
      </w:r>
    </w:p>
    <w:p w:rsidR="008A4E8C" w:rsidRDefault="008A4E8C" w:rsidP="00A41B2E">
      <w:pPr>
        <w:pStyle w:val="bt"/>
        <w:numPr>
          <w:ilvl w:val="0"/>
          <w:numId w:val="27"/>
        </w:numPr>
        <w:spacing w:before="60" w:after="0"/>
      </w:pPr>
      <w:r>
        <w:t xml:space="preserve">Total population 2011 – </w:t>
      </w:r>
      <w:r w:rsidRPr="00C146C9">
        <w:t>15,178</w:t>
      </w:r>
    </w:p>
    <w:p w:rsidR="008A4E8C" w:rsidRDefault="008A4E8C" w:rsidP="00A41B2E">
      <w:pPr>
        <w:pStyle w:val="bt"/>
        <w:numPr>
          <w:ilvl w:val="0"/>
          <w:numId w:val="27"/>
        </w:numPr>
        <w:spacing w:before="60" w:after="0"/>
      </w:pPr>
      <w:r>
        <w:t xml:space="preserve">Number of Aboriginal persons 2011 – </w:t>
      </w:r>
      <w:r w:rsidRPr="00C146C9">
        <w:t>143</w:t>
      </w:r>
    </w:p>
    <w:p w:rsidR="008A4E8C" w:rsidRPr="008A4E8C" w:rsidRDefault="008A4E8C" w:rsidP="00A41B2E">
      <w:pPr>
        <w:pStyle w:val="bt"/>
        <w:numPr>
          <w:ilvl w:val="0"/>
          <w:numId w:val="27"/>
        </w:numPr>
        <w:spacing w:before="60" w:after="0"/>
      </w:pPr>
      <w:r>
        <w:t xml:space="preserve">Percentage Aboriginal persons – </w:t>
      </w:r>
      <w:r w:rsidRPr="00C146C9">
        <w:t>0.94</w:t>
      </w:r>
    </w:p>
    <w:p w:rsidR="008A4E8C" w:rsidRPr="008A4E8C" w:rsidRDefault="008A4E8C" w:rsidP="008A4E8C">
      <w:pPr>
        <w:pStyle w:val="bt"/>
        <w:spacing w:before="60" w:after="0"/>
        <w:rPr>
          <w:b/>
        </w:rPr>
      </w:pPr>
      <w:r w:rsidRPr="008A4E8C">
        <w:rPr>
          <w:b/>
        </w:rPr>
        <w:t xml:space="preserve">Local Government Area: </w:t>
      </w:r>
      <w:r w:rsidRPr="00C146C9">
        <w:t>Mansfield</w:t>
      </w:r>
    </w:p>
    <w:p w:rsidR="008A4E8C" w:rsidRDefault="008A4E8C" w:rsidP="00A41B2E">
      <w:pPr>
        <w:pStyle w:val="bt"/>
        <w:numPr>
          <w:ilvl w:val="0"/>
          <w:numId w:val="27"/>
        </w:numPr>
        <w:spacing w:before="60" w:after="0"/>
      </w:pPr>
      <w:r>
        <w:t xml:space="preserve">Total population 2011 – </w:t>
      </w:r>
      <w:r w:rsidRPr="00C146C9">
        <w:t>7893</w:t>
      </w:r>
    </w:p>
    <w:p w:rsidR="008A4E8C" w:rsidRDefault="008A4E8C" w:rsidP="00A41B2E">
      <w:pPr>
        <w:pStyle w:val="bt"/>
        <w:numPr>
          <w:ilvl w:val="0"/>
          <w:numId w:val="27"/>
        </w:numPr>
        <w:spacing w:before="60" w:after="0"/>
      </w:pPr>
      <w:r>
        <w:t xml:space="preserve">Number of Aboriginal persons 2011 – </w:t>
      </w:r>
      <w:r w:rsidRPr="00C146C9">
        <w:t>58</w:t>
      </w:r>
    </w:p>
    <w:p w:rsidR="008A4E8C" w:rsidRPr="008A4E8C" w:rsidRDefault="008A4E8C" w:rsidP="00A41B2E">
      <w:pPr>
        <w:pStyle w:val="bt"/>
        <w:numPr>
          <w:ilvl w:val="0"/>
          <w:numId w:val="27"/>
        </w:numPr>
        <w:spacing w:before="60" w:after="0"/>
      </w:pPr>
      <w:r>
        <w:t xml:space="preserve">Percentage Aboriginal persons – </w:t>
      </w:r>
      <w:r w:rsidRPr="00C146C9">
        <w:t>0.73</w:t>
      </w:r>
    </w:p>
    <w:p w:rsidR="008A4E8C" w:rsidRPr="008A4E8C" w:rsidRDefault="008A4E8C" w:rsidP="008A4E8C">
      <w:pPr>
        <w:pStyle w:val="bt"/>
        <w:spacing w:before="60" w:after="0"/>
        <w:rPr>
          <w:b/>
        </w:rPr>
      </w:pPr>
      <w:r w:rsidRPr="008A4E8C">
        <w:rPr>
          <w:b/>
        </w:rPr>
        <w:t xml:space="preserve">Local Government Area: </w:t>
      </w:r>
      <w:r w:rsidRPr="00C146C9">
        <w:t>Mitchell</w:t>
      </w:r>
    </w:p>
    <w:p w:rsidR="008A4E8C" w:rsidRDefault="008A4E8C" w:rsidP="00A41B2E">
      <w:pPr>
        <w:pStyle w:val="bt"/>
        <w:numPr>
          <w:ilvl w:val="0"/>
          <w:numId w:val="27"/>
        </w:numPr>
        <w:spacing w:before="60" w:after="0"/>
      </w:pPr>
      <w:r>
        <w:t xml:space="preserve">Total population 2011 – </w:t>
      </w:r>
      <w:r w:rsidRPr="00C146C9">
        <w:t>34,637</w:t>
      </w:r>
    </w:p>
    <w:p w:rsidR="008A4E8C" w:rsidRDefault="008A4E8C" w:rsidP="00A41B2E">
      <w:pPr>
        <w:pStyle w:val="bt"/>
        <w:numPr>
          <w:ilvl w:val="0"/>
          <w:numId w:val="27"/>
        </w:numPr>
        <w:spacing w:before="60" w:after="0"/>
      </w:pPr>
      <w:r>
        <w:t xml:space="preserve">Number of Aboriginal persons 2011 – </w:t>
      </w:r>
      <w:r w:rsidRPr="00C146C9">
        <w:t>403</w:t>
      </w:r>
    </w:p>
    <w:p w:rsidR="008A4E8C" w:rsidRPr="008A4E8C" w:rsidRDefault="008A4E8C" w:rsidP="00A41B2E">
      <w:pPr>
        <w:pStyle w:val="bt"/>
        <w:numPr>
          <w:ilvl w:val="0"/>
          <w:numId w:val="27"/>
        </w:numPr>
        <w:spacing w:before="60" w:after="0"/>
      </w:pPr>
      <w:r>
        <w:t xml:space="preserve">Percentage Aboriginal persons – </w:t>
      </w:r>
      <w:r w:rsidRPr="00C146C9">
        <w:t>1.16</w:t>
      </w:r>
    </w:p>
    <w:p w:rsidR="008A4E8C" w:rsidRPr="008A4E8C" w:rsidRDefault="008A4E8C" w:rsidP="008A4E8C">
      <w:pPr>
        <w:pStyle w:val="bt"/>
        <w:spacing w:before="60" w:after="0"/>
        <w:rPr>
          <w:b/>
        </w:rPr>
      </w:pPr>
      <w:r w:rsidRPr="008A4E8C">
        <w:rPr>
          <w:b/>
        </w:rPr>
        <w:t xml:space="preserve">Local Government Area: </w:t>
      </w:r>
      <w:r w:rsidRPr="00C146C9">
        <w:t>Moira</w:t>
      </w:r>
    </w:p>
    <w:p w:rsidR="008A4E8C" w:rsidRDefault="008A4E8C" w:rsidP="00A41B2E">
      <w:pPr>
        <w:pStyle w:val="bt"/>
        <w:numPr>
          <w:ilvl w:val="0"/>
          <w:numId w:val="27"/>
        </w:numPr>
        <w:spacing w:before="60" w:after="0"/>
      </w:pPr>
      <w:r>
        <w:t xml:space="preserve">Total population 2011 – </w:t>
      </w:r>
      <w:r w:rsidRPr="00C146C9">
        <w:t>28,124</w:t>
      </w:r>
    </w:p>
    <w:p w:rsidR="008A4E8C" w:rsidRDefault="008A4E8C" w:rsidP="00A41B2E">
      <w:pPr>
        <w:pStyle w:val="bt"/>
        <w:numPr>
          <w:ilvl w:val="0"/>
          <w:numId w:val="27"/>
        </w:numPr>
        <w:spacing w:before="60" w:after="0"/>
      </w:pPr>
      <w:r>
        <w:t xml:space="preserve">Number of Aboriginal persons 2011 – </w:t>
      </w:r>
      <w:r w:rsidRPr="00C146C9">
        <w:t>394</w:t>
      </w:r>
    </w:p>
    <w:p w:rsidR="008A4E8C" w:rsidRPr="008A4E8C" w:rsidRDefault="008A4E8C" w:rsidP="00A41B2E">
      <w:pPr>
        <w:pStyle w:val="bt"/>
        <w:numPr>
          <w:ilvl w:val="0"/>
          <w:numId w:val="27"/>
        </w:numPr>
        <w:spacing w:before="60" w:after="0"/>
      </w:pPr>
      <w:r>
        <w:t xml:space="preserve">Percentage Aboriginal persons – </w:t>
      </w:r>
      <w:r w:rsidRPr="00C146C9">
        <w:t>1.40</w:t>
      </w:r>
    </w:p>
    <w:p w:rsidR="008A4E8C" w:rsidRPr="008A4E8C" w:rsidRDefault="008A4E8C" w:rsidP="008A4E8C">
      <w:pPr>
        <w:pStyle w:val="bt"/>
        <w:spacing w:before="60" w:after="0"/>
        <w:rPr>
          <w:b/>
        </w:rPr>
      </w:pPr>
      <w:r w:rsidRPr="008A4E8C">
        <w:rPr>
          <w:b/>
        </w:rPr>
        <w:t xml:space="preserve">Local Government Area: </w:t>
      </w:r>
      <w:r w:rsidRPr="00C146C9">
        <w:t>Murrindindi</w:t>
      </w:r>
    </w:p>
    <w:p w:rsidR="008A4E8C" w:rsidRDefault="008A4E8C" w:rsidP="00A41B2E">
      <w:pPr>
        <w:pStyle w:val="bt"/>
        <w:numPr>
          <w:ilvl w:val="0"/>
          <w:numId w:val="27"/>
        </w:numPr>
        <w:spacing w:before="60" w:after="0"/>
      </w:pPr>
      <w:r>
        <w:t xml:space="preserve">Total population 2011 – </w:t>
      </w:r>
      <w:r w:rsidRPr="00C146C9">
        <w:t>13,058</w:t>
      </w:r>
    </w:p>
    <w:p w:rsidR="008A4E8C" w:rsidRDefault="008A4E8C" w:rsidP="00A41B2E">
      <w:pPr>
        <w:pStyle w:val="bt"/>
        <w:numPr>
          <w:ilvl w:val="0"/>
          <w:numId w:val="27"/>
        </w:numPr>
        <w:spacing w:before="60" w:after="0"/>
      </w:pPr>
      <w:r>
        <w:t xml:space="preserve">Number of Aboriginal persons 2011 – </w:t>
      </w:r>
      <w:r w:rsidRPr="00C146C9">
        <w:t>98</w:t>
      </w:r>
    </w:p>
    <w:p w:rsidR="008A4E8C" w:rsidRPr="008A4E8C" w:rsidRDefault="008A4E8C" w:rsidP="00A41B2E">
      <w:pPr>
        <w:pStyle w:val="bt"/>
        <w:numPr>
          <w:ilvl w:val="0"/>
          <w:numId w:val="27"/>
        </w:numPr>
        <w:spacing w:before="60" w:after="0"/>
      </w:pPr>
      <w:r>
        <w:t xml:space="preserve">Percentage Aboriginal persons – </w:t>
      </w:r>
      <w:r w:rsidRPr="00C146C9">
        <w:t>0.75</w:t>
      </w:r>
    </w:p>
    <w:p w:rsidR="008A4E8C" w:rsidRPr="008A4E8C" w:rsidRDefault="008A4E8C" w:rsidP="008A4E8C">
      <w:pPr>
        <w:pStyle w:val="bt"/>
        <w:spacing w:before="60" w:after="0"/>
        <w:rPr>
          <w:b/>
        </w:rPr>
      </w:pPr>
      <w:r w:rsidRPr="008A4E8C">
        <w:rPr>
          <w:b/>
        </w:rPr>
        <w:t xml:space="preserve">Local Government Area: </w:t>
      </w:r>
      <w:r w:rsidRPr="00C146C9">
        <w:t>Strathbogie</w:t>
      </w:r>
    </w:p>
    <w:p w:rsidR="008A4E8C" w:rsidRDefault="008A4E8C" w:rsidP="00A41B2E">
      <w:pPr>
        <w:pStyle w:val="bt"/>
        <w:numPr>
          <w:ilvl w:val="0"/>
          <w:numId w:val="27"/>
        </w:numPr>
        <w:spacing w:before="60" w:after="0"/>
      </w:pPr>
      <w:r>
        <w:t xml:space="preserve">Total population 2011 – </w:t>
      </w:r>
      <w:r w:rsidRPr="00C146C9">
        <w:t>9486</w:t>
      </w:r>
    </w:p>
    <w:p w:rsidR="008A4E8C" w:rsidRDefault="008A4E8C" w:rsidP="00A41B2E">
      <w:pPr>
        <w:pStyle w:val="bt"/>
        <w:numPr>
          <w:ilvl w:val="0"/>
          <w:numId w:val="27"/>
        </w:numPr>
        <w:spacing w:before="60" w:after="0"/>
      </w:pPr>
      <w:r>
        <w:t xml:space="preserve">Number of Aboriginal persons 2011 – </w:t>
      </w:r>
      <w:r w:rsidRPr="00C146C9">
        <w:t>89</w:t>
      </w:r>
    </w:p>
    <w:p w:rsidR="008A4E8C" w:rsidRPr="008A4E8C" w:rsidRDefault="008A4E8C" w:rsidP="00A41B2E">
      <w:pPr>
        <w:pStyle w:val="bt"/>
        <w:numPr>
          <w:ilvl w:val="0"/>
          <w:numId w:val="27"/>
        </w:numPr>
        <w:spacing w:before="60" w:after="0"/>
      </w:pPr>
      <w:r>
        <w:t xml:space="preserve">Percentage Aboriginal persons – </w:t>
      </w:r>
      <w:r w:rsidRPr="00C146C9">
        <w:t>0.94</w:t>
      </w:r>
    </w:p>
    <w:p w:rsidR="008A4E8C" w:rsidRPr="008A4E8C" w:rsidRDefault="008A4E8C" w:rsidP="008A4E8C">
      <w:pPr>
        <w:pStyle w:val="bt"/>
        <w:spacing w:before="60" w:after="0"/>
        <w:rPr>
          <w:b/>
        </w:rPr>
      </w:pPr>
      <w:r w:rsidRPr="008A4E8C">
        <w:rPr>
          <w:b/>
        </w:rPr>
        <w:t xml:space="preserve">Local Government Area: </w:t>
      </w:r>
      <w:r w:rsidRPr="00C146C9">
        <w:t>Towong</w:t>
      </w:r>
    </w:p>
    <w:p w:rsidR="008A4E8C" w:rsidRDefault="008A4E8C" w:rsidP="00A41B2E">
      <w:pPr>
        <w:pStyle w:val="bt"/>
        <w:numPr>
          <w:ilvl w:val="0"/>
          <w:numId w:val="27"/>
        </w:numPr>
        <w:spacing w:before="60" w:after="0"/>
      </w:pPr>
      <w:r>
        <w:t xml:space="preserve">Total population 2011 – </w:t>
      </w:r>
      <w:r w:rsidR="00AF5412" w:rsidRPr="00C146C9">
        <w:t>5891</w:t>
      </w:r>
    </w:p>
    <w:p w:rsidR="008A4E8C" w:rsidRDefault="008A4E8C" w:rsidP="00A41B2E">
      <w:pPr>
        <w:pStyle w:val="bt"/>
        <w:numPr>
          <w:ilvl w:val="0"/>
          <w:numId w:val="27"/>
        </w:numPr>
        <w:spacing w:before="60" w:after="0"/>
      </w:pPr>
      <w:r>
        <w:t xml:space="preserve">Number of Aboriginal persons 2011 – </w:t>
      </w:r>
      <w:r w:rsidR="00AF5412" w:rsidRPr="00C146C9">
        <w:t>84</w:t>
      </w:r>
    </w:p>
    <w:p w:rsidR="008A4E8C" w:rsidRPr="008A4E8C" w:rsidRDefault="008A4E8C" w:rsidP="00A41B2E">
      <w:pPr>
        <w:pStyle w:val="bt"/>
        <w:numPr>
          <w:ilvl w:val="0"/>
          <w:numId w:val="27"/>
        </w:numPr>
        <w:spacing w:before="60" w:after="0"/>
      </w:pPr>
      <w:r>
        <w:t xml:space="preserve">Percentage Aboriginal persons – </w:t>
      </w:r>
      <w:r w:rsidR="00AF5412" w:rsidRPr="00C146C9">
        <w:t>1.43</w:t>
      </w:r>
    </w:p>
    <w:p w:rsidR="00AF5412" w:rsidRPr="008A4E8C" w:rsidRDefault="00AF5412" w:rsidP="00AF5412">
      <w:pPr>
        <w:pStyle w:val="bt"/>
        <w:spacing w:before="60" w:after="0"/>
        <w:rPr>
          <w:b/>
        </w:rPr>
      </w:pPr>
      <w:r w:rsidRPr="008A4E8C">
        <w:rPr>
          <w:b/>
        </w:rPr>
        <w:lastRenderedPageBreak/>
        <w:t xml:space="preserve">Local Government Area: </w:t>
      </w:r>
      <w:r w:rsidRPr="00C146C9">
        <w:t>Wangaratta</w:t>
      </w:r>
    </w:p>
    <w:p w:rsidR="00AF5412" w:rsidRDefault="00AF5412" w:rsidP="00A41B2E">
      <w:pPr>
        <w:pStyle w:val="bt"/>
        <w:numPr>
          <w:ilvl w:val="0"/>
          <w:numId w:val="27"/>
        </w:numPr>
        <w:spacing w:before="60" w:after="0"/>
      </w:pPr>
      <w:r>
        <w:t xml:space="preserve">Total population 2011 – </w:t>
      </w:r>
      <w:r w:rsidRPr="00C146C9">
        <w:t>26,815</w:t>
      </w:r>
    </w:p>
    <w:p w:rsidR="00AF5412" w:rsidRDefault="00AF5412" w:rsidP="00A41B2E">
      <w:pPr>
        <w:pStyle w:val="bt"/>
        <w:numPr>
          <w:ilvl w:val="0"/>
          <w:numId w:val="27"/>
        </w:numPr>
        <w:spacing w:before="60" w:after="0"/>
      </w:pPr>
      <w:r>
        <w:t xml:space="preserve">Number of Aboriginal persons 2011 – </w:t>
      </w:r>
      <w:r w:rsidRPr="00C146C9">
        <w:t>260</w:t>
      </w:r>
    </w:p>
    <w:p w:rsidR="00AF5412" w:rsidRPr="008A4E8C" w:rsidRDefault="00AF5412" w:rsidP="00A41B2E">
      <w:pPr>
        <w:pStyle w:val="bt"/>
        <w:numPr>
          <w:ilvl w:val="0"/>
          <w:numId w:val="27"/>
        </w:numPr>
        <w:spacing w:before="60" w:after="0"/>
      </w:pPr>
      <w:r>
        <w:t xml:space="preserve">Percentage Aboriginal persons – </w:t>
      </w:r>
      <w:r w:rsidRPr="00C146C9">
        <w:t>0.97</w:t>
      </w:r>
    </w:p>
    <w:p w:rsidR="00AF5412" w:rsidRPr="008A4E8C" w:rsidRDefault="00AF5412" w:rsidP="00AF5412">
      <w:pPr>
        <w:pStyle w:val="bt"/>
        <w:spacing w:before="60" w:after="0"/>
        <w:rPr>
          <w:b/>
        </w:rPr>
      </w:pPr>
      <w:r w:rsidRPr="008A4E8C">
        <w:rPr>
          <w:b/>
        </w:rPr>
        <w:t xml:space="preserve">Local Government Area: </w:t>
      </w:r>
      <w:r w:rsidRPr="00C146C9">
        <w:t>Wodonga</w:t>
      </w:r>
    </w:p>
    <w:p w:rsidR="00AF5412" w:rsidRDefault="00AF5412" w:rsidP="00A41B2E">
      <w:pPr>
        <w:pStyle w:val="bt"/>
        <w:numPr>
          <w:ilvl w:val="0"/>
          <w:numId w:val="27"/>
        </w:numPr>
        <w:spacing w:before="60" w:after="0"/>
      </w:pPr>
      <w:r>
        <w:t xml:space="preserve">Total population 2011 – </w:t>
      </w:r>
      <w:r w:rsidRPr="00C146C9">
        <w:t>35,519</w:t>
      </w:r>
    </w:p>
    <w:p w:rsidR="00AF5412" w:rsidRDefault="00AF5412" w:rsidP="00A41B2E">
      <w:pPr>
        <w:pStyle w:val="bt"/>
        <w:numPr>
          <w:ilvl w:val="0"/>
          <w:numId w:val="27"/>
        </w:numPr>
        <w:spacing w:before="60" w:after="0"/>
      </w:pPr>
      <w:r>
        <w:t xml:space="preserve">Number of Aboriginal persons 2011 – </w:t>
      </w:r>
      <w:r w:rsidRPr="00C146C9">
        <w:t>706</w:t>
      </w:r>
    </w:p>
    <w:p w:rsidR="00AF5412" w:rsidRPr="008A4E8C" w:rsidRDefault="00AF5412" w:rsidP="00A41B2E">
      <w:pPr>
        <w:pStyle w:val="bt"/>
        <w:numPr>
          <w:ilvl w:val="0"/>
          <w:numId w:val="27"/>
        </w:numPr>
        <w:spacing w:before="60" w:after="0"/>
      </w:pPr>
      <w:r>
        <w:t xml:space="preserve">Percentage Aboriginal persons – </w:t>
      </w:r>
      <w:r w:rsidRPr="00C146C9">
        <w:t>1.99</w:t>
      </w:r>
    </w:p>
    <w:p w:rsidR="00AF5412" w:rsidRPr="00AF5412" w:rsidRDefault="00AF5412" w:rsidP="00AF5412">
      <w:pPr>
        <w:pStyle w:val="bt"/>
        <w:spacing w:before="60" w:after="0"/>
        <w:rPr>
          <w:b/>
        </w:rPr>
      </w:pPr>
      <w:r w:rsidRPr="00AF5412">
        <w:rPr>
          <w:b/>
        </w:rPr>
        <w:t>Hume Region</w:t>
      </w:r>
    </w:p>
    <w:p w:rsidR="00AF5412" w:rsidRDefault="00AF5412" w:rsidP="00A41B2E">
      <w:pPr>
        <w:pStyle w:val="bt"/>
        <w:numPr>
          <w:ilvl w:val="0"/>
          <w:numId w:val="27"/>
        </w:numPr>
        <w:spacing w:before="60" w:after="0"/>
      </w:pPr>
      <w:r>
        <w:t xml:space="preserve">Total population 2011 – </w:t>
      </w:r>
      <w:r w:rsidRPr="00C146C9">
        <w:t>262,578</w:t>
      </w:r>
    </w:p>
    <w:p w:rsidR="00AF5412" w:rsidRDefault="00AF5412" w:rsidP="00A41B2E">
      <w:pPr>
        <w:pStyle w:val="bt"/>
        <w:numPr>
          <w:ilvl w:val="0"/>
          <w:numId w:val="27"/>
        </w:numPr>
        <w:spacing w:before="60" w:after="0"/>
      </w:pPr>
      <w:r>
        <w:t xml:space="preserve">Number of Aboriginal persons 2011 – </w:t>
      </w:r>
      <w:r w:rsidRPr="00C146C9">
        <w:t>4567</w:t>
      </w:r>
    </w:p>
    <w:p w:rsidR="00AF5412" w:rsidRPr="008A4E8C" w:rsidRDefault="00AF5412" w:rsidP="00A41B2E">
      <w:pPr>
        <w:pStyle w:val="bt"/>
        <w:numPr>
          <w:ilvl w:val="0"/>
          <w:numId w:val="27"/>
        </w:numPr>
        <w:spacing w:before="60" w:after="0"/>
      </w:pPr>
      <w:r>
        <w:t xml:space="preserve">Percentage Aboriginal persons – </w:t>
      </w:r>
      <w:r w:rsidRPr="00C146C9">
        <w:t>1.74</w:t>
      </w:r>
    </w:p>
    <w:p w:rsidR="00AF5412" w:rsidRPr="00AF5412" w:rsidRDefault="00AF5412" w:rsidP="00AF5412">
      <w:pPr>
        <w:pStyle w:val="bt"/>
        <w:spacing w:before="60" w:after="0"/>
        <w:rPr>
          <w:b/>
        </w:rPr>
      </w:pPr>
      <w:r w:rsidRPr="00AF5412">
        <w:rPr>
          <w:b/>
        </w:rPr>
        <w:t>Melbourne</w:t>
      </w:r>
    </w:p>
    <w:p w:rsidR="00AF5412" w:rsidRDefault="00AF5412" w:rsidP="00A41B2E">
      <w:pPr>
        <w:pStyle w:val="bt"/>
        <w:numPr>
          <w:ilvl w:val="0"/>
          <w:numId w:val="27"/>
        </w:numPr>
        <w:spacing w:before="60" w:after="0"/>
      </w:pPr>
      <w:r>
        <w:t xml:space="preserve">Total population 2011 – </w:t>
      </w:r>
      <w:r w:rsidRPr="00C146C9">
        <w:t>3,940,806</w:t>
      </w:r>
    </w:p>
    <w:p w:rsidR="00AF5412" w:rsidRDefault="00AF5412" w:rsidP="00A41B2E">
      <w:pPr>
        <w:pStyle w:val="bt"/>
        <w:numPr>
          <w:ilvl w:val="0"/>
          <w:numId w:val="27"/>
        </w:numPr>
        <w:spacing w:before="60" w:after="0"/>
      </w:pPr>
      <w:r>
        <w:t xml:space="preserve">Number of Aboriginal persons 2011 – </w:t>
      </w:r>
      <w:r w:rsidRPr="00C146C9">
        <w:t>17,587</w:t>
      </w:r>
    </w:p>
    <w:p w:rsidR="00AF5412" w:rsidRPr="008A4E8C" w:rsidRDefault="00AF5412" w:rsidP="00A41B2E">
      <w:pPr>
        <w:pStyle w:val="bt"/>
        <w:numPr>
          <w:ilvl w:val="0"/>
          <w:numId w:val="27"/>
        </w:numPr>
        <w:spacing w:before="60" w:after="0"/>
      </w:pPr>
      <w:r>
        <w:t xml:space="preserve">Percentage Aboriginal persons – </w:t>
      </w:r>
      <w:r w:rsidRPr="00C146C9">
        <w:t>0.45</w:t>
      </w:r>
    </w:p>
    <w:p w:rsidR="00AF5412" w:rsidRPr="00AF5412" w:rsidRDefault="00AF5412" w:rsidP="00AF5412">
      <w:pPr>
        <w:pStyle w:val="bt"/>
        <w:spacing w:before="60" w:after="0"/>
        <w:rPr>
          <w:b/>
        </w:rPr>
      </w:pPr>
      <w:r w:rsidRPr="00AF5412">
        <w:rPr>
          <w:b/>
        </w:rPr>
        <w:t>Regional Victoria</w:t>
      </w:r>
    </w:p>
    <w:p w:rsidR="00AF5412" w:rsidRDefault="00AF5412" w:rsidP="00A41B2E">
      <w:pPr>
        <w:pStyle w:val="bt"/>
        <w:numPr>
          <w:ilvl w:val="0"/>
          <w:numId w:val="27"/>
        </w:numPr>
        <w:spacing w:before="60" w:after="0"/>
      </w:pPr>
      <w:r>
        <w:t xml:space="preserve">Total population 2011 – </w:t>
      </w:r>
      <w:r w:rsidRPr="00C146C9">
        <w:t>1,413,233</w:t>
      </w:r>
    </w:p>
    <w:p w:rsidR="00AF5412" w:rsidRDefault="00AF5412" w:rsidP="00A41B2E">
      <w:pPr>
        <w:pStyle w:val="bt"/>
        <w:numPr>
          <w:ilvl w:val="0"/>
          <w:numId w:val="27"/>
        </w:numPr>
        <w:spacing w:before="60" w:after="0"/>
      </w:pPr>
      <w:r>
        <w:t xml:space="preserve">Number of Aboriginal persons 2011 – </w:t>
      </w:r>
      <w:r w:rsidRPr="00C146C9">
        <w:t>20,405</w:t>
      </w:r>
    </w:p>
    <w:p w:rsidR="00AF5412" w:rsidRPr="008A4E8C" w:rsidRDefault="00AF5412" w:rsidP="00A41B2E">
      <w:pPr>
        <w:pStyle w:val="bt"/>
        <w:numPr>
          <w:ilvl w:val="0"/>
          <w:numId w:val="27"/>
        </w:numPr>
        <w:spacing w:before="60" w:after="0"/>
      </w:pPr>
      <w:r>
        <w:t xml:space="preserve">Percentage Aboriginal persons – </w:t>
      </w:r>
      <w:r w:rsidRPr="00C146C9">
        <w:t>1.44</w:t>
      </w:r>
    </w:p>
    <w:p w:rsidR="00AF5412" w:rsidRPr="00AF5412" w:rsidRDefault="00AF5412" w:rsidP="00AF5412">
      <w:pPr>
        <w:pStyle w:val="bt"/>
        <w:spacing w:before="60" w:after="0"/>
        <w:rPr>
          <w:b/>
        </w:rPr>
      </w:pPr>
      <w:r w:rsidRPr="00AF5412">
        <w:rPr>
          <w:b/>
        </w:rPr>
        <w:t>Victoria</w:t>
      </w:r>
    </w:p>
    <w:p w:rsidR="00AF5412" w:rsidRDefault="00AF5412" w:rsidP="00A41B2E">
      <w:pPr>
        <w:pStyle w:val="bt"/>
        <w:numPr>
          <w:ilvl w:val="0"/>
          <w:numId w:val="27"/>
        </w:numPr>
        <w:spacing w:before="60" w:after="0"/>
      </w:pPr>
      <w:r>
        <w:t xml:space="preserve">Total population 2011 – </w:t>
      </w:r>
      <w:r w:rsidRPr="00C146C9">
        <w:t>5,354,039</w:t>
      </w:r>
    </w:p>
    <w:p w:rsidR="00AF5412" w:rsidRDefault="00AF5412" w:rsidP="00A41B2E">
      <w:pPr>
        <w:pStyle w:val="bt"/>
        <w:numPr>
          <w:ilvl w:val="0"/>
          <w:numId w:val="27"/>
        </w:numPr>
        <w:spacing w:before="60" w:after="0"/>
      </w:pPr>
      <w:r>
        <w:t xml:space="preserve">Number of Aboriginal persons 2011 – </w:t>
      </w:r>
      <w:r w:rsidRPr="00C146C9">
        <w:t>37,992</w:t>
      </w:r>
    </w:p>
    <w:p w:rsidR="008A4E8C" w:rsidRPr="008A4E8C" w:rsidRDefault="00AF5412" w:rsidP="00A41B2E">
      <w:pPr>
        <w:pStyle w:val="bt"/>
        <w:numPr>
          <w:ilvl w:val="0"/>
          <w:numId w:val="27"/>
        </w:numPr>
        <w:spacing w:before="60" w:after="0"/>
      </w:pPr>
      <w:r>
        <w:t xml:space="preserve">Percentage Aboriginal persons – </w:t>
      </w:r>
      <w:r w:rsidRPr="00C146C9">
        <w:t>0.71</w:t>
      </w:r>
    </w:p>
    <w:p w:rsidR="008A4E8C" w:rsidRPr="008A4E8C" w:rsidRDefault="000D5017" w:rsidP="00AF5412">
      <w:pPr>
        <w:pStyle w:val="source"/>
      </w:pPr>
      <w:r w:rsidRPr="00334DD2">
        <w:t xml:space="preserve">Source: </w:t>
      </w:r>
      <w:r w:rsidR="000E47D5">
        <w:t>Australian Bureau of Statistics</w:t>
      </w:r>
      <w:r w:rsidRPr="00334DD2">
        <w:t xml:space="preserve"> Census 2011, table B01</w:t>
      </w:r>
    </w:p>
    <w:p w:rsidR="001A3FCF" w:rsidRPr="001A3FCF" w:rsidRDefault="001A3FCF" w:rsidP="001A3FCF">
      <w:pPr>
        <w:pStyle w:val="ListBullet"/>
      </w:pPr>
      <w:r w:rsidRPr="001A3FCF">
        <w:t>The region has a high proportion of Aboriginal</w:t>
      </w:r>
      <w:r w:rsidRPr="005177F2">
        <w:rPr>
          <w:rStyle w:val="FootnoteReference"/>
        </w:rPr>
        <w:footnoteReference w:id="2"/>
      </w:r>
      <w:r w:rsidRPr="001A3FCF">
        <w:t xml:space="preserve"> residents compared with other parts of regional Victoria and the state as a whole (</w:t>
      </w:r>
      <w:r w:rsidR="00827E2D">
        <w:fldChar w:fldCharType="begin"/>
      </w:r>
      <w:r w:rsidR="00827E2D">
        <w:instrText xml:space="preserve"> REF _Ref348348747 \h  \* MERGEFORMAT </w:instrText>
      </w:r>
      <w:r w:rsidR="00827E2D">
        <w:fldChar w:fldCharType="separate"/>
      </w:r>
      <w:r w:rsidR="009034D4" w:rsidRPr="00762976">
        <w:t xml:space="preserve">Table </w:t>
      </w:r>
      <w:r w:rsidR="009034D4">
        <w:t>1</w:t>
      </w:r>
      <w:r w:rsidR="00827E2D">
        <w:fldChar w:fldCharType="end"/>
      </w:r>
      <w:r w:rsidRPr="001A3FCF">
        <w:t>). Aboriginal peoples made up a particularly high percentage of the population of the City of Greater Shepparton and the City of Wodonga.</w:t>
      </w:r>
    </w:p>
    <w:p w:rsidR="007A143F" w:rsidRDefault="00A0076F" w:rsidP="001A3FCF">
      <w:pPr>
        <w:pStyle w:val="ListBullet"/>
        <w:rPr>
          <w:lang w:val="en-US"/>
        </w:rPr>
      </w:pPr>
      <w:r w:rsidRPr="00A0076F">
        <w:rPr>
          <w:lang w:val="en-US"/>
        </w:rPr>
        <w:t xml:space="preserve">The </w:t>
      </w:r>
      <w:r w:rsidR="00F7217C">
        <w:rPr>
          <w:lang w:val="en-US"/>
        </w:rPr>
        <w:t>r</w:t>
      </w:r>
      <w:r w:rsidRPr="00A0076F">
        <w:rPr>
          <w:lang w:val="en-US"/>
        </w:rPr>
        <w:t>egion is more culturally diverse than the rest of regional Victoria and is home to people from over 50 different cultural groups. More than 12</w:t>
      </w:r>
      <w:r w:rsidR="008428CB">
        <w:rPr>
          <w:lang w:val="en-US"/>
        </w:rPr>
        <w:t xml:space="preserve"> per cent</w:t>
      </w:r>
      <w:r w:rsidRPr="00A0076F">
        <w:rPr>
          <w:lang w:val="en-US"/>
        </w:rPr>
        <w:t xml:space="preserve"> of the region’s population </w:t>
      </w:r>
      <w:r w:rsidR="005403AE">
        <w:rPr>
          <w:lang w:val="en-US"/>
        </w:rPr>
        <w:t xml:space="preserve">in 2011 </w:t>
      </w:r>
      <w:r w:rsidRPr="00A0076F">
        <w:rPr>
          <w:lang w:val="en-US"/>
        </w:rPr>
        <w:t>was born overseas</w:t>
      </w:r>
      <w:r w:rsidR="0052751B">
        <w:rPr>
          <w:lang w:val="en-US"/>
        </w:rPr>
        <w:t xml:space="preserve">, with the highest proportions of people born overseas located in the </w:t>
      </w:r>
      <w:r w:rsidR="0052751B" w:rsidRPr="00A0076F">
        <w:rPr>
          <w:lang w:val="en-US"/>
        </w:rPr>
        <w:t>City of Greater Shepparton</w:t>
      </w:r>
      <w:r w:rsidR="0052751B">
        <w:rPr>
          <w:lang w:val="en-US"/>
        </w:rPr>
        <w:t xml:space="preserve"> and </w:t>
      </w:r>
      <w:r w:rsidRPr="00A0076F">
        <w:rPr>
          <w:lang w:val="en-US"/>
        </w:rPr>
        <w:t>Alpine</w:t>
      </w:r>
      <w:r w:rsidR="0052751B">
        <w:rPr>
          <w:lang w:val="en-US"/>
        </w:rPr>
        <w:t xml:space="preserve">, </w:t>
      </w:r>
      <w:r w:rsidRPr="00A0076F">
        <w:rPr>
          <w:lang w:val="en-US"/>
        </w:rPr>
        <w:t>Mansfield</w:t>
      </w:r>
      <w:r w:rsidR="0052751B">
        <w:rPr>
          <w:lang w:val="en-US"/>
        </w:rPr>
        <w:t xml:space="preserve">, </w:t>
      </w:r>
      <w:r w:rsidRPr="00A0076F">
        <w:rPr>
          <w:lang w:val="en-US"/>
        </w:rPr>
        <w:t xml:space="preserve">Murrindindi </w:t>
      </w:r>
      <w:r w:rsidR="0052751B">
        <w:rPr>
          <w:lang w:val="en-US"/>
        </w:rPr>
        <w:t xml:space="preserve">and </w:t>
      </w:r>
      <w:r w:rsidRPr="00A0076F">
        <w:rPr>
          <w:lang w:val="en-US"/>
        </w:rPr>
        <w:t xml:space="preserve">Mitchell </w:t>
      </w:r>
      <w:r w:rsidR="0052751B">
        <w:rPr>
          <w:lang w:val="en-US"/>
        </w:rPr>
        <w:t>s</w:t>
      </w:r>
      <w:r w:rsidRPr="00A0076F">
        <w:rPr>
          <w:lang w:val="en-US"/>
        </w:rPr>
        <w:t>hire</w:t>
      </w:r>
      <w:r w:rsidR="0052751B">
        <w:rPr>
          <w:lang w:val="en-US"/>
        </w:rPr>
        <w:t>s</w:t>
      </w:r>
      <w:r w:rsidRPr="00A0076F">
        <w:rPr>
          <w:lang w:val="en-US"/>
        </w:rPr>
        <w:t>.</w:t>
      </w:r>
    </w:p>
    <w:p w:rsidR="009D5A85" w:rsidRDefault="009D5A85" w:rsidP="001A3FCF">
      <w:pPr>
        <w:pStyle w:val="ListBullet"/>
      </w:pPr>
      <w:r>
        <w:t xml:space="preserve">Seasonal population fluctuations occur in part of the region, particularly </w:t>
      </w:r>
      <w:r w:rsidR="00C03F58">
        <w:t xml:space="preserve">at </w:t>
      </w:r>
      <w:r>
        <w:t>popular holiday locations</w:t>
      </w:r>
      <w:r w:rsidR="001B0932">
        <w:t xml:space="preserve"> such as B</w:t>
      </w:r>
      <w:r>
        <w:t>right and Yarrawonga.</w:t>
      </w:r>
    </w:p>
    <w:p w:rsidR="007A143F" w:rsidRDefault="00A0076F" w:rsidP="001A3FCF">
      <w:pPr>
        <w:pStyle w:val="ListBullet"/>
      </w:pPr>
      <w:r w:rsidRPr="00A0076F">
        <w:t xml:space="preserve">Despite the fact that the </w:t>
      </w:r>
      <w:r w:rsidR="00F7217C">
        <w:t>r</w:t>
      </w:r>
      <w:r w:rsidRPr="00A0076F">
        <w:t>egion contains a number of large urban centres that provide high</w:t>
      </w:r>
      <w:r w:rsidR="00661204">
        <w:t xml:space="preserve"> </w:t>
      </w:r>
      <w:r w:rsidRPr="00A0076F">
        <w:t>level services to their catchments, many people in the region still have to travel long distances and rely on private vehicles to access employment and services.</w:t>
      </w:r>
    </w:p>
    <w:p w:rsidR="007A143F" w:rsidRDefault="00A0076F" w:rsidP="001A3FCF">
      <w:pPr>
        <w:pStyle w:val="ListBullet"/>
      </w:pPr>
      <w:r w:rsidRPr="00A0076F">
        <w:t xml:space="preserve">The </w:t>
      </w:r>
      <w:r w:rsidR="00F7217C">
        <w:t>r</w:t>
      </w:r>
      <w:r w:rsidRPr="00A0076F">
        <w:t xml:space="preserve">egion’s educational outcomes are the lowest in regional Victoria on a number of measures, including tertiary entry by young people. This applies across early years, secondary and tertiary education. </w:t>
      </w:r>
    </w:p>
    <w:p w:rsidR="007A143F" w:rsidRDefault="00A0076F" w:rsidP="001A3FCF">
      <w:pPr>
        <w:pStyle w:val="ListBullet"/>
      </w:pPr>
      <w:r w:rsidRPr="00A0076F">
        <w:t xml:space="preserve">With the exception of Wodonga and the Lower Hume </w:t>
      </w:r>
      <w:r w:rsidR="00DA46DA">
        <w:t>sub</w:t>
      </w:r>
      <w:r w:rsidR="00EB6ABC">
        <w:t>-</w:t>
      </w:r>
      <w:r w:rsidR="00DA46DA">
        <w:t>region</w:t>
      </w:r>
      <w:r w:rsidRPr="00A0076F">
        <w:t xml:space="preserve">, where the proportion of younger people is growing, the </w:t>
      </w:r>
      <w:r w:rsidR="00F7217C">
        <w:t>r</w:t>
      </w:r>
      <w:r w:rsidRPr="00A0076F">
        <w:t xml:space="preserve">egion’s population profile has a ‘gap’ in the number of young </w:t>
      </w:r>
      <w:r w:rsidRPr="00A0076F">
        <w:lastRenderedPageBreak/>
        <w:t xml:space="preserve">adults aged 20 to 29 years. Young people move from the area to seek education, employment and entertainment opportunities. This pattern is common across regional Victoria but recent analysis by </w:t>
      </w:r>
      <w:r w:rsidR="008428CB">
        <w:t>the Department of Transport, Planning and Local Infrastructure</w:t>
      </w:r>
      <w:r w:rsidR="008428CB" w:rsidRPr="00A0076F">
        <w:t xml:space="preserve"> </w:t>
      </w:r>
      <w:r w:rsidRPr="00A0076F">
        <w:t xml:space="preserve">indicates </w:t>
      </w:r>
      <w:r w:rsidRPr="00226D34">
        <w:t>it is a particular problem in regions where the major cities are furthest from Melbourne.</w:t>
      </w:r>
    </w:p>
    <w:p w:rsidR="00602EE1" w:rsidRDefault="00A92FE6" w:rsidP="00602EE1">
      <w:pPr>
        <w:pStyle w:val="ListBullet"/>
        <w:sectPr w:rsidR="00602EE1" w:rsidSect="009075F4">
          <w:pgSz w:w="11906" w:h="16838"/>
          <w:pgMar w:top="1530" w:right="993" w:bottom="993" w:left="1440" w:header="708" w:footer="708" w:gutter="0"/>
          <w:cols w:space="708"/>
          <w:docGrid w:linePitch="360"/>
        </w:sectPr>
      </w:pPr>
      <w:r w:rsidRPr="00621F23">
        <w:t>The most socio-economically disadvantaged communities in the region are located predominantly within regional centres or larger settlements but are also found in isolated rural areas</w:t>
      </w:r>
      <w:r w:rsidR="00602EE1">
        <w:t xml:space="preserve"> </w:t>
      </w:r>
      <w:r w:rsidR="00AA3D97">
        <w:fldChar w:fldCharType="begin"/>
      </w:r>
      <w:r w:rsidR="00E97521">
        <w:instrText xml:space="preserve"> REF _Ref348348842 \h </w:instrText>
      </w:r>
      <w:r w:rsidR="00AA3D97">
        <w:fldChar w:fldCharType="separate"/>
      </w:r>
      <w:r w:rsidR="009034D4" w:rsidRPr="00AD75D4">
        <w:t xml:space="preserve">Figure </w:t>
      </w:r>
      <w:r w:rsidR="009034D4">
        <w:rPr>
          <w:noProof/>
        </w:rPr>
        <w:t>4</w:t>
      </w:r>
      <w:r w:rsidR="00AA3D97">
        <w:fldChar w:fldCharType="end"/>
      </w:r>
      <w:r w:rsidR="00602EE1">
        <w:t>)</w:t>
      </w:r>
      <w:r w:rsidR="00147F07">
        <w:t>.</w:t>
      </w:r>
    </w:p>
    <w:p w:rsidR="0075278A" w:rsidRDefault="00602EE1" w:rsidP="0075278A">
      <w:pPr>
        <w:pStyle w:val="Caption"/>
      </w:pPr>
      <w:r w:rsidDel="00602EE1">
        <w:lastRenderedPageBreak/>
        <w:t xml:space="preserve"> </w:t>
      </w:r>
      <w:bookmarkStart w:id="93" w:name="_Ref348348842"/>
      <w:bookmarkStart w:id="94" w:name="_Ref356580473"/>
      <w:bookmarkStart w:id="95" w:name="_Toc374612529"/>
      <w:r w:rsidR="00CB6D32" w:rsidRPr="00AD75D4">
        <w:t xml:space="preserve">Figure </w:t>
      </w:r>
      <w:r w:rsidR="00827E2D">
        <w:fldChar w:fldCharType="begin"/>
      </w:r>
      <w:r w:rsidR="00827E2D">
        <w:instrText xml:space="preserve"> SEQ Figure \* ARABIC </w:instrText>
      </w:r>
      <w:r w:rsidR="00827E2D">
        <w:fldChar w:fldCharType="separate"/>
      </w:r>
      <w:r w:rsidR="009034D4">
        <w:rPr>
          <w:noProof/>
        </w:rPr>
        <w:t>4</w:t>
      </w:r>
      <w:r w:rsidR="00827E2D">
        <w:rPr>
          <w:noProof/>
        </w:rPr>
        <w:fldChar w:fldCharType="end"/>
      </w:r>
      <w:bookmarkEnd w:id="93"/>
      <w:bookmarkEnd w:id="94"/>
      <w:r w:rsidR="007536C0" w:rsidRPr="00AD75D4">
        <w:t>: Index of relative socio-economic disadvantage – Hume Region (2006)</w:t>
      </w:r>
      <w:bookmarkEnd w:id="95"/>
    </w:p>
    <w:p w:rsidR="0075278A" w:rsidRPr="0075278A" w:rsidRDefault="0075278A" w:rsidP="0075278A">
      <w:pPr>
        <w:pStyle w:val="bt"/>
      </w:pPr>
      <w:r>
        <w:t>[</w:t>
      </w:r>
      <w:r w:rsidRPr="0075278A">
        <w:t>Map showing index of relative socio-economic disadvantage in the Hume Region (2006)</w:t>
      </w:r>
      <w:r>
        <w:t>]</w:t>
      </w:r>
    </w:p>
    <w:p w:rsidR="006376FC" w:rsidRDefault="005E2E6E" w:rsidP="0061220F">
      <w:pPr>
        <w:pStyle w:val="source"/>
        <w:sectPr w:rsidR="006376FC" w:rsidSect="00602EE1">
          <w:pgSz w:w="16838" w:h="11906" w:orient="landscape"/>
          <w:pgMar w:top="1440" w:right="1702" w:bottom="993" w:left="993" w:header="708" w:footer="708" w:gutter="0"/>
          <w:cols w:space="708"/>
          <w:docGrid w:linePitch="360"/>
        </w:sectPr>
      </w:pPr>
      <w:r w:rsidRPr="00334DD2">
        <w:t xml:space="preserve">Source: </w:t>
      </w:r>
      <w:r w:rsidR="000E47D5">
        <w:t>Australian Bureau of Statistics</w:t>
      </w:r>
      <w:r w:rsidRPr="00334DD2">
        <w:t xml:space="preserve"> </w:t>
      </w:r>
      <w:r w:rsidR="000E47D5">
        <w:t>Socio-Economic Indexes for Areas</w:t>
      </w:r>
      <w:r>
        <w:t xml:space="preserve"> – index of relative socio-economic disadvantage 2006</w:t>
      </w:r>
    </w:p>
    <w:p w:rsidR="007A143F" w:rsidRDefault="00E1404C" w:rsidP="00746919">
      <w:pPr>
        <w:pStyle w:val="Heading2"/>
        <w:tabs>
          <w:tab w:val="clear" w:pos="396"/>
        </w:tabs>
        <w:ind w:left="567"/>
      </w:pPr>
      <w:bookmarkStart w:id="96" w:name="_Toc336871215"/>
      <w:bookmarkStart w:id="97" w:name="_Toc355970758"/>
      <w:bookmarkStart w:id="98" w:name="_Toc359422940"/>
      <w:bookmarkStart w:id="99" w:name="_Toc374612441"/>
      <w:r w:rsidRPr="00BB6F46">
        <w:lastRenderedPageBreak/>
        <w:t xml:space="preserve">Settlement and </w:t>
      </w:r>
      <w:r w:rsidR="005403AE" w:rsidRPr="00BB6F46">
        <w:t>r</w:t>
      </w:r>
      <w:r w:rsidR="00DA722B" w:rsidRPr="00DA722B">
        <w:t>ural land use</w:t>
      </w:r>
      <w:bookmarkEnd w:id="96"/>
      <w:bookmarkEnd w:id="97"/>
      <w:bookmarkEnd w:id="98"/>
      <w:bookmarkEnd w:id="99"/>
    </w:p>
    <w:p w:rsidR="007A143F" w:rsidRDefault="00A0076F" w:rsidP="001A3FCF">
      <w:pPr>
        <w:pStyle w:val="ListBullet"/>
      </w:pPr>
      <w:r w:rsidRPr="00A0076F">
        <w:t>Hume is a multi-centred region that is not dominated by one large city. The three largest population centres are Shepparton, Wodonga and Wangaratta.</w:t>
      </w:r>
    </w:p>
    <w:p w:rsidR="007A143F" w:rsidRDefault="00A0076F" w:rsidP="001A3FCF">
      <w:pPr>
        <w:pStyle w:val="ListBullet"/>
      </w:pPr>
      <w:r w:rsidRPr="00A0076F">
        <w:t>Larger settlements are spread across the region, supporting a network of smaller settlements, making services and facilities reasonably accessible to most communities.</w:t>
      </w:r>
    </w:p>
    <w:p w:rsidR="007A143F" w:rsidRDefault="00A0076F" w:rsidP="001A3FCF">
      <w:pPr>
        <w:pStyle w:val="ListBullet"/>
      </w:pPr>
      <w:r w:rsidRPr="00A0076F">
        <w:t xml:space="preserve">There is a wide variety of settlement types ranging from Melbourne’s peri-urban areas to regional cities and centres such as Shepparton, Wodonga and Wangaratta and their hinterlands, through </w:t>
      </w:r>
      <w:r w:rsidR="00721FFA">
        <w:t xml:space="preserve">to </w:t>
      </w:r>
      <w:r w:rsidRPr="00A0076F">
        <w:t>medium</w:t>
      </w:r>
      <w:r w:rsidR="00661204">
        <w:t xml:space="preserve"> </w:t>
      </w:r>
      <w:r w:rsidRPr="00A0076F">
        <w:t>sized towns</w:t>
      </w:r>
      <w:r w:rsidR="00661204">
        <w:t>,</w:t>
      </w:r>
      <w:r w:rsidRPr="00A0076F">
        <w:t xml:space="preserve"> such as Benalla</w:t>
      </w:r>
      <w:r w:rsidR="00661204">
        <w:t>,</w:t>
      </w:r>
      <w:r w:rsidRPr="00A0076F">
        <w:t xml:space="preserve"> to small and relatively isolated settlements. </w:t>
      </w:r>
    </w:p>
    <w:p w:rsidR="007A143F" w:rsidRDefault="00A0076F" w:rsidP="001A3FCF">
      <w:pPr>
        <w:pStyle w:val="ListBullet"/>
      </w:pPr>
      <w:r w:rsidRPr="00A0076F">
        <w:t xml:space="preserve">Established rural townships provide a diversity of residential and lifestyle options, support liveability, maximise use of existing community and physical infrastructure, protect </w:t>
      </w:r>
      <w:r w:rsidR="00BD62EC">
        <w:t xml:space="preserve">cultural </w:t>
      </w:r>
      <w:r w:rsidRPr="00A0076F">
        <w:t>heritage, character and amenity</w:t>
      </w:r>
      <w:r w:rsidR="00721FFA">
        <w:t xml:space="preserve">, </w:t>
      </w:r>
      <w:r w:rsidRPr="00A0076F">
        <w:t>and build on locational strengths.</w:t>
      </w:r>
    </w:p>
    <w:p w:rsidR="007A143F" w:rsidRDefault="00A0076F" w:rsidP="001A3FCF">
      <w:pPr>
        <w:pStyle w:val="ListBullet"/>
      </w:pPr>
      <w:r w:rsidRPr="00A0076F">
        <w:t>There is no regional</w:t>
      </w:r>
      <w:r w:rsidR="00661204">
        <w:t xml:space="preserve"> </w:t>
      </w:r>
      <w:r w:rsidRPr="00A0076F">
        <w:t xml:space="preserve">scale city or centre in the southern part of the region. </w:t>
      </w:r>
    </w:p>
    <w:p w:rsidR="007A143F" w:rsidRDefault="00A0076F" w:rsidP="001A3FCF">
      <w:pPr>
        <w:pStyle w:val="ListBullet"/>
      </w:pPr>
      <w:r w:rsidRPr="00A0076F">
        <w:t xml:space="preserve">Communities in the southern part of the </w:t>
      </w:r>
      <w:r w:rsidR="00D15792">
        <w:t>r</w:t>
      </w:r>
      <w:r w:rsidR="00D15792" w:rsidRPr="00A0076F">
        <w:t xml:space="preserve">egion </w:t>
      </w:r>
      <w:r w:rsidRPr="00A0076F">
        <w:t>must travel long distances to access higher order services and facilities.</w:t>
      </w:r>
    </w:p>
    <w:p w:rsidR="007A143F" w:rsidRDefault="00A0076F" w:rsidP="001A3FCF">
      <w:pPr>
        <w:pStyle w:val="ListBullet"/>
      </w:pPr>
      <w:r w:rsidRPr="00A0076F">
        <w:t xml:space="preserve">‘Cross-border’ settlements along the Murray River play an important role in providing services and facilities to communities on both sides of the border. </w:t>
      </w:r>
    </w:p>
    <w:p w:rsidR="007A143F" w:rsidRDefault="00A0076F" w:rsidP="001A3FCF">
      <w:pPr>
        <w:pStyle w:val="ListBullet"/>
      </w:pPr>
      <w:r w:rsidRPr="00A0076F">
        <w:t xml:space="preserve">Dispersed dwellings not related to agricultural or other rural uses are increasing in some rural areas. Substantial numbers </w:t>
      </w:r>
      <w:r w:rsidR="00721FFA">
        <w:t xml:space="preserve">of these dwellings </w:t>
      </w:r>
      <w:r w:rsidRPr="00A0076F">
        <w:t>are located in areas of high bushfire hazard</w:t>
      </w:r>
      <w:r w:rsidR="00661204">
        <w:t>,</w:t>
      </w:r>
      <w:r w:rsidRPr="00A0076F">
        <w:t xml:space="preserve"> such as in the Alpine, Mitchell and Murrindindi </w:t>
      </w:r>
      <w:r w:rsidR="00721FFA">
        <w:t>s</w:t>
      </w:r>
      <w:r w:rsidRPr="00A0076F">
        <w:t>hires.</w:t>
      </w:r>
    </w:p>
    <w:p w:rsidR="007A143F" w:rsidRDefault="00A0076F" w:rsidP="001A3FCF">
      <w:pPr>
        <w:pStyle w:val="ListBullet"/>
      </w:pPr>
      <w:r w:rsidRPr="00A0076F">
        <w:t xml:space="preserve">Some productive agricultural areas have been fragmented over time by subdivision into smaller parcels </w:t>
      </w:r>
      <w:r w:rsidR="00721FFA">
        <w:t xml:space="preserve">of land </w:t>
      </w:r>
      <w:r w:rsidRPr="00A0076F">
        <w:t>or affected by the introduction of uses that are not compatible with farming.</w:t>
      </w:r>
    </w:p>
    <w:p w:rsidR="007A143F" w:rsidRDefault="00A0076F" w:rsidP="001A3FCF">
      <w:pPr>
        <w:pStyle w:val="ListBullet"/>
      </w:pPr>
      <w:r w:rsidRPr="00A0076F">
        <w:t>In some areas, there has been a significant and sustained reduction in the rural population.</w:t>
      </w:r>
    </w:p>
    <w:p w:rsidR="007A143F" w:rsidRDefault="00E1404C" w:rsidP="00746919">
      <w:pPr>
        <w:pStyle w:val="Heading2"/>
        <w:tabs>
          <w:tab w:val="clear" w:pos="396"/>
        </w:tabs>
        <w:ind w:left="567"/>
      </w:pPr>
      <w:bookmarkStart w:id="100" w:name="_Toc355970759"/>
      <w:bookmarkStart w:id="101" w:name="_Toc359422941"/>
      <w:bookmarkStart w:id="102" w:name="_Toc374612442"/>
      <w:r w:rsidRPr="00A51841">
        <w:t xml:space="preserve">Transport and </w:t>
      </w:r>
      <w:r w:rsidR="005403AE" w:rsidRPr="00A51841">
        <w:t>i</w:t>
      </w:r>
      <w:r w:rsidR="00DA722B" w:rsidRPr="00DA722B">
        <w:t>nfrastructure</w:t>
      </w:r>
      <w:bookmarkEnd w:id="100"/>
      <w:bookmarkEnd w:id="101"/>
      <w:bookmarkEnd w:id="102"/>
    </w:p>
    <w:p w:rsidR="007A143F" w:rsidRDefault="003F53F6" w:rsidP="001A3FCF">
      <w:pPr>
        <w:pStyle w:val="ListBullet"/>
      </w:pPr>
      <w:r w:rsidRPr="003F53F6">
        <w:t xml:space="preserve">Major road and rail transport networks of national significance play a dual role in the region – providing transport links to the rest of Australia and forming the backbone of connections between regional settlements. </w:t>
      </w:r>
    </w:p>
    <w:p w:rsidR="007A143F" w:rsidRDefault="003F53F6" w:rsidP="001A3FCF">
      <w:pPr>
        <w:pStyle w:val="ListBullet"/>
      </w:pPr>
      <w:r w:rsidRPr="003F53F6">
        <w:t>The Hume corridor provides the main interstate link between Melbourne and Sydney, connecting with the coastal route to Brisbane.</w:t>
      </w:r>
    </w:p>
    <w:p w:rsidR="007A143F" w:rsidRDefault="003F53F6" w:rsidP="001A3FCF">
      <w:pPr>
        <w:pStyle w:val="ListBullet"/>
      </w:pPr>
      <w:r w:rsidRPr="003F53F6">
        <w:t>The Goulburn Valley corridor is part of a major route to inland New South Wales and Queensland.</w:t>
      </w:r>
    </w:p>
    <w:p w:rsidR="007A143F" w:rsidRDefault="003F53F6" w:rsidP="001A3FCF">
      <w:pPr>
        <w:pStyle w:val="ListBullet"/>
      </w:pPr>
      <w:r w:rsidRPr="003F53F6">
        <w:t xml:space="preserve">The </w:t>
      </w:r>
      <w:r w:rsidR="00F7217C">
        <w:t>r</w:t>
      </w:r>
      <w:r w:rsidRPr="003F53F6">
        <w:t xml:space="preserve">egion’s settlement pattern is strongly influenced by transport corridors.  </w:t>
      </w:r>
    </w:p>
    <w:p w:rsidR="007A143F" w:rsidRDefault="003F53F6" w:rsidP="001A3FCF">
      <w:pPr>
        <w:pStyle w:val="ListBullet"/>
      </w:pPr>
      <w:r w:rsidRPr="003F53F6">
        <w:t>Apart from the north–south Hume and Goulburn Valley transport corridors</w:t>
      </w:r>
      <w:r w:rsidR="00D35F41">
        <w:t>,</w:t>
      </w:r>
      <w:r w:rsidRPr="003F53F6">
        <w:t xml:space="preserve"> a number of other links form important parts of the transport network in the </w:t>
      </w:r>
      <w:r w:rsidR="00D15792">
        <w:t>r</w:t>
      </w:r>
      <w:r w:rsidR="00D15792" w:rsidRPr="003F53F6">
        <w:t>egion</w:t>
      </w:r>
      <w:r w:rsidRPr="003F53F6">
        <w:t xml:space="preserve">, including key east–west routes such as the Midland and the Murray Valley </w:t>
      </w:r>
      <w:r w:rsidR="00721FFA">
        <w:t>h</w:t>
      </w:r>
      <w:r w:rsidRPr="003F53F6">
        <w:t>ighway</w:t>
      </w:r>
      <w:r w:rsidR="00D35F41">
        <w:t>s, which link</w:t>
      </w:r>
      <w:r w:rsidRPr="003F53F6">
        <w:t xml:space="preserve"> the region to Adelaide, New South Wales and the Snowy Mountains. However, east–west transport links in the Hume Region are not as well developed as north-south ones.</w:t>
      </w:r>
    </w:p>
    <w:p w:rsidR="007A143F" w:rsidRDefault="003F53F6" w:rsidP="001A3FCF">
      <w:pPr>
        <w:pStyle w:val="ListBullet"/>
      </w:pPr>
      <w:r w:rsidRPr="003F53F6">
        <w:t xml:space="preserve">There is limited public transport in parts of the </w:t>
      </w:r>
      <w:r w:rsidR="00D15792">
        <w:t>r</w:t>
      </w:r>
      <w:r w:rsidR="00D15792" w:rsidRPr="003F53F6">
        <w:t>egion</w:t>
      </w:r>
      <w:r w:rsidRPr="003F53F6">
        <w:t>.</w:t>
      </w:r>
    </w:p>
    <w:p w:rsidR="007A143F" w:rsidRDefault="003F53F6" w:rsidP="001A3FCF">
      <w:pPr>
        <w:pStyle w:val="ListBullet"/>
      </w:pPr>
      <w:r w:rsidRPr="003F53F6">
        <w:t xml:space="preserve">Freight and logistics play an important role in the </w:t>
      </w:r>
      <w:r w:rsidR="00D15792">
        <w:t>r</w:t>
      </w:r>
      <w:r w:rsidRPr="003F53F6">
        <w:t>egion.</w:t>
      </w:r>
    </w:p>
    <w:p w:rsidR="007A143F" w:rsidRDefault="003F53F6" w:rsidP="001A3FCF">
      <w:pPr>
        <w:pStyle w:val="ListBullet"/>
      </w:pPr>
      <w:r w:rsidRPr="003F53F6">
        <w:lastRenderedPageBreak/>
        <w:t>Protecting the current and future operation of significant airports in the region is essential for economic and social development.</w:t>
      </w:r>
    </w:p>
    <w:p w:rsidR="007A143F" w:rsidRDefault="003F53F6" w:rsidP="001A3FCF">
      <w:pPr>
        <w:pStyle w:val="ListBullet"/>
      </w:pPr>
      <w:r w:rsidRPr="003F53F6">
        <w:t xml:space="preserve">There are no landfills in the </w:t>
      </w:r>
      <w:r w:rsidR="00BB7794">
        <w:t>Upper Hume sub</w:t>
      </w:r>
      <w:r w:rsidR="002E6021">
        <w:t>-</w:t>
      </w:r>
      <w:r w:rsidR="00D15792">
        <w:t>r</w:t>
      </w:r>
      <w:r w:rsidRPr="003F53F6">
        <w:t>egion and some municipalities are ‘exporting’ their waste to New South Wales.</w:t>
      </w:r>
    </w:p>
    <w:p w:rsidR="007A143F" w:rsidRDefault="003F53F6" w:rsidP="001A3FCF">
      <w:pPr>
        <w:pStyle w:val="ListBullet"/>
      </w:pPr>
      <w:r w:rsidRPr="003F53F6">
        <w:t xml:space="preserve">Many settlements in the </w:t>
      </w:r>
      <w:r w:rsidR="00D15792">
        <w:t>r</w:t>
      </w:r>
      <w:r w:rsidRPr="003F53F6">
        <w:t>egion are well serviced with reticulated water and sewerage systems.</w:t>
      </w:r>
    </w:p>
    <w:p w:rsidR="007A143F" w:rsidRDefault="003F53F6" w:rsidP="001A3FCF">
      <w:pPr>
        <w:pStyle w:val="ListBullet"/>
      </w:pPr>
      <w:r w:rsidRPr="003F53F6">
        <w:t xml:space="preserve">A number of small communities are unsewered and provision of conventional sewerage services is generally prohibitively expensive.  </w:t>
      </w:r>
    </w:p>
    <w:p w:rsidR="007A143F" w:rsidRDefault="003F53F6" w:rsidP="001A3FCF">
      <w:pPr>
        <w:pStyle w:val="ListBullet"/>
      </w:pPr>
      <w:r w:rsidRPr="003F53F6">
        <w:t>Access to information and communications technology across the region becomes problematic with increasing distance from major centres.</w:t>
      </w:r>
    </w:p>
    <w:p w:rsidR="006C743D" w:rsidRDefault="003F53F6" w:rsidP="001A3FCF">
      <w:pPr>
        <w:pStyle w:val="ListBullet"/>
      </w:pPr>
      <w:r w:rsidRPr="003F53F6">
        <w:t xml:space="preserve">The regional community is a high user of energy due to wide temperature variations, but only limited areas of the </w:t>
      </w:r>
      <w:r w:rsidR="00D15792">
        <w:t>r</w:t>
      </w:r>
      <w:r w:rsidRPr="003F53F6">
        <w:t xml:space="preserve">egion have reticulated natural </w:t>
      </w:r>
      <w:r w:rsidRPr="002262EE">
        <w:t>gas (</w:t>
      </w:r>
      <w:r w:rsidR="00827E2D">
        <w:fldChar w:fldCharType="begin"/>
      </w:r>
      <w:r w:rsidR="00827E2D">
        <w:instrText xml:space="preserve"> REF _Ref</w:instrText>
      </w:r>
      <w:r w:rsidR="00827E2D">
        <w:instrText xml:space="preserve">348348904 \h  \* MERGEFORMAT </w:instrText>
      </w:r>
      <w:r w:rsidR="00827E2D">
        <w:fldChar w:fldCharType="separate"/>
      </w:r>
      <w:r w:rsidR="009034D4" w:rsidRPr="00980FA0">
        <w:t xml:space="preserve">Figure </w:t>
      </w:r>
      <w:r w:rsidR="009034D4">
        <w:t>5</w:t>
      </w:r>
      <w:r w:rsidR="00827E2D">
        <w:fldChar w:fldCharType="end"/>
      </w:r>
      <w:r w:rsidRPr="002262EE">
        <w:t>).</w:t>
      </w:r>
      <w:r w:rsidRPr="003F53F6">
        <w:t xml:space="preserve"> The remainder of the </w:t>
      </w:r>
      <w:r w:rsidR="00721FFA">
        <w:t xml:space="preserve">region </w:t>
      </w:r>
      <w:r w:rsidRPr="003F53F6">
        <w:t>depends on elec</w:t>
      </w:r>
      <w:r w:rsidR="006C743D">
        <w:t>tricity or firewood for heating</w:t>
      </w:r>
      <w:r w:rsidR="00977AC9">
        <w:t>.</w:t>
      </w:r>
    </w:p>
    <w:p w:rsidR="00977AC9" w:rsidRDefault="00977AC9" w:rsidP="00977AC9">
      <w:pPr>
        <w:pStyle w:val="bt"/>
      </w:pPr>
    </w:p>
    <w:p w:rsidR="00977AC9" w:rsidRDefault="00977AC9" w:rsidP="001A3FCF">
      <w:pPr>
        <w:pStyle w:val="ListBullet"/>
        <w:sectPr w:rsidR="00977AC9" w:rsidSect="009075F4">
          <w:pgSz w:w="11906" w:h="16838"/>
          <w:pgMar w:top="1530" w:right="1440" w:bottom="993" w:left="1440" w:header="708" w:footer="708" w:gutter="0"/>
          <w:cols w:space="708"/>
          <w:docGrid w:linePitch="360"/>
        </w:sectPr>
      </w:pPr>
    </w:p>
    <w:p w:rsidR="005E2E6E" w:rsidRDefault="002E1F59" w:rsidP="00AF5412">
      <w:pPr>
        <w:pStyle w:val="Caption"/>
        <w:ind w:left="0" w:firstLine="0"/>
      </w:pPr>
      <w:bookmarkStart w:id="103" w:name="_Ref348348904"/>
      <w:bookmarkStart w:id="104" w:name="_Toc374612530"/>
      <w:r w:rsidRPr="00980FA0">
        <w:lastRenderedPageBreak/>
        <w:t xml:space="preserve">Figure </w:t>
      </w:r>
      <w:r w:rsidR="00827E2D">
        <w:fldChar w:fldCharType="begin"/>
      </w:r>
      <w:r w:rsidR="00827E2D">
        <w:instrText xml:space="preserve"> SEQ Figure \* ARABIC </w:instrText>
      </w:r>
      <w:r w:rsidR="00827E2D">
        <w:fldChar w:fldCharType="separate"/>
      </w:r>
      <w:r w:rsidR="009034D4">
        <w:rPr>
          <w:noProof/>
        </w:rPr>
        <w:t>5</w:t>
      </w:r>
      <w:r w:rsidR="00827E2D">
        <w:rPr>
          <w:noProof/>
        </w:rPr>
        <w:fldChar w:fldCharType="end"/>
      </w:r>
      <w:bookmarkEnd w:id="103"/>
      <w:r w:rsidR="007536C0" w:rsidRPr="00980FA0">
        <w:t>: Natural gas and electricity infrastructure – Hume Region</w:t>
      </w:r>
      <w:bookmarkEnd w:id="104"/>
    </w:p>
    <w:p w:rsidR="0075278A" w:rsidRPr="0075278A" w:rsidRDefault="0075278A" w:rsidP="0075278A">
      <w:pPr>
        <w:pStyle w:val="bt"/>
      </w:pPr>
      <w:r>
        <w:t>[</w:t>
      </w:r>
      <w:r w:rsidRPr="0075278A">
        <w:t>Map showing natural gas and electricity infrastructure in the Hume Region</w:t>
      </w:r>
      <w:r>
        <w:t>]</w:t>
      </w:r>
    </w:p>
    <w:p w:rsidR="006C743D" w:rsidRDefault="002262EE" w:rsidP="0061220F">
      <w:pPr>
        <w:pStyle w:val="source"/>
        <w:sectPr w:rsidR="006C743D" w:rsidSect="006C743D">
          <w:pgSz w:w="16838" w:h="11906" w:orient="landscape"/>
          <w:pgMar w:top="1440" w:right="1702" w:bottom="993" w:left="993" w:header="708" w:footer="708" w:gutter="0"/>
          <w:cols w:space="708"/>
          <w:docGrid w:linePitch="360"/>
        </w:sectPr>
      </w:pPr>
      <w:r w:rsidRPr="002262EE">
        <w:t xml:space="preserve">Source: </w:t>
      </w:r>
      <w:r w:rsidR="00663321">
        <w:t>Vicmap data, 2013</w:t>
      </w:r>
    </w:p>
    <w:p w:rsidR="00E3224D" w:rsidRDefault="009766BD" w:rsidP="00E07CE5">
      <w:pPr>
        <w:pStyle w:val="Heading2"/>
        <w:tabs>
          <w:tab w:val="clear" w:pos="396"/>
        </w:tabs>
        <w:spacing w:before="240" w:after="120"/>
        <w:ind w:left="567"/>
      </w:pPr>
      <w:bookmarkStart w:id="105" w:name="_Toc355970760"/>
      <w:bookmarkStart w:id="106" w:name="_Toc359422942"/>
      <w:bookmarkStart w:id="107" w:name="_Toc374612443"/>
      <w:r w:rsidRPr="00A51841">
        <w:lastRenderedPageBreak/>
        <w:t>Environment</w:t>
      </w:r>
      <w:bookmarkEnd w:id="105"/>
      <w:bookmarkEnd w:id="106"/>
      <w:bookmarkEnd w:id="107"/>
    </w:p>
    <w:p w:rsidR="007A143F" w:rsidRDefault="009766BD" w:rsidP="001A3FCF">
      <w:pPr>
        <w:pStyle w:val="ListBullet"/>
      </w:pPr>
      <w:r w:rsidRPr="009766BD">
        <w:t xml:space="preserve">The Hume Region has a diversity of landscapes and environments, including snow-covered mountains, forests and woodlands, </w:t>
      </w:r>
      <w:r w:rsidR="000535A4">
        <w:t>r</w:t>
      </w:r>
      <w:r w:rsidRPr="009766BD">
        <w:t>iver red gum floodplains, mixed farms, irrigated pastures and orchards. It contains many threatened species and communities.</w:t>
      </w:r>
    </w:p>
    <w:p w:rsidR="007A143F" w:rsidRDefault="009766BD" w:rsidP="001A3FCF">
      <w:pPr>
        <w:pStyle w:val="ListBullet"/>
      </w:pPr>
      <w:r w:rsidRPr="009766BD">
        <w:t>Average rainfall varies from 1600 millimetres in the high country in the south</w:t>
      </w:r>
      <w:r w:rsidR="00BB2CB1">
        <w:t>-</w:t>
      </w:r>
      <w:r w:rsidRPr="009766BD">
        <w:t xml:space="preserve">east to 400 millimetres in the irrigated and </w:t>
      </w:r>
      <w:r w:rsidR="0051117D" w:rsidRPr="009766BD">
        <w:t>dry</w:t>
      </w:r>
      <w:r w:rsidR="00F24832">
        <w:t xml:space="preserve"> </w:t>
      </w:r>
      <w:r w:rsidR="0051117D" w:rsidRPr="009766BD">
        <w:t>land</w:t>
      </w:r>
      <w:r w:rsidRPr="009766BD">
        <w:t xml:space="preserve"> farming areas in the north</w:t>
      </w:r>
      <w:r w:rsidR="00BB2CB1">
        <w:t>-</w:t>
      </w:r>
      <w:r w:rsidRPr="009766BD">
        <w:t>west.</w:t>
      </w:r>
    </w:p>
    <w:p w:rsidR="007A143F" w:rsidRDefault="009766BD" w:rsidP="001A3FCF">
      <w:pPr>
        <w:pStyle w:val="ListBullet"/>
      </w:pPr>
      <w:r w:rsidRPr="009766BD">
        <w:t xml:space="preserve">The water resources of the </w:t>
      </w:r>
      <w:r w:rsidR="00D15792">
        <w:t>r</w:t>
      </w:r>
      <w:r w:rsidRPr="009766BD">
        <w:t>egion are critical to the region’s position as the major food</w:t>
      </w:r>
      <w:r w:rsidR="00661204">
        <w:t xml:space="preserve"> </w:t>
      </w:r>
      <w:r w:rsidRPr="009766BD">
        <w:t>producing area of the state</w:t>
      </w:r>
      <w:r w:rsidR="00BB2CB1">
        <w:t>,</w:t>
      </w:r>
      <w:r w:rsidRPr="009766BD">
        <w:t xml:space="preserve"> and its waterways play a central role in its appeal for tourism.</w:t>
      </w:r>
    </w:p>
    <w:p w:rsidR="007A143F" w:rsidRDefault="009766BD" w:rsidP="001A3FCF">
      <w:pPr>
        <w:pStyle w:val="ListBullet"/>
      </w:pPr>
      <w:r w:rsidRPr="009766BD">
        <w:t xml:space="preserve">The </w:t>
      </w:r>
      <w:r w:rsidR="00D15792">
        <w:t>r</w:t>
      </w:r>
      <w:r w:rsidRPr="009766BD">
        <w:t xml:space="preserve">egion contributes close to half of the total water inflows to the Murray-Darling Basin. The Ovens, Kiewa and Upper Murray </w:t>
      </w:r>
      <w:r w:rsidR="00BA7334">
        <w:t>River</w:t>
      </w:r>
      <w:r w:rsidRPr="009766BD">
        <w:t xml:space="preserve"> basins supply 38</w:t>
      </w:r>
      <w:r w:rsidR="008428CB">
        <w:t xml:space="preserve"> per cent</w:t>
      </w:r>
      <w:r w:rsidR="008428CB" w:rsidRPr="009766BD">
        <w:t xml:space="preserve"> </w:t>
      </w:r>
      <w:r w:rsidR="00BB2CB1">
        <w:t xml:space="preserve">of inflows </w:t>
      </w:r>
      <w:r w:rsidRPr="009766BD">
        <w:t xml:space="preserve">and the Goulburn and Broken </w:t>
      </w:r>
      <w:r w:rsidR="00BB2CB1">
        <w:t>r</w:t>
      </w:r>
      <w:r w:rsidRPr="009766BD">
        <w:t>ivers provide a further 11</w:t>
      </w:r>
      <w:r w:rsidR="008428CB">
        <w:t xml:space="preserve"> per cent</w:t>
      </w:r>
      <w:r w:rsidR="008428CB" w:rsidRPr="009766BD">
        <w:t xml:space="preserve">. </w:t>
      </w:r>
    </w:p>
    <w:p w:rsidR="007A143F" w:rsidRDefault="009766BD" w:rsidP="001A3FCF">
      <w:pPr>
        <w:pStyle w:val="ListBullet"/>
      </w:pPr>
      <w:r w:rsidRPr="002262EE">
        <w:t>Around 40</w:t>
      </w:r>
      <w:r w:rsidR="008428CB">
        <w:t xml:space="preserve"> per cent</w:t>
      </w:r>
      <w:r w:rsidR="008428CB" w:rsidRPr="002262EE">
        <w:t xml:space="preserve"> </w:t>
      </w:r>
      <w:r w:rsidRPr="002262EE">
        <w:t xml:space="preserve">of land in the </w:t>
      </w:r>
      <w:r w:rsidR="00D15792">
        <w:t>r</w:t>
      </w:r>
      <w:r w:rsidRPr="002262EE">
        <w:t>egion has been cleared of native vegetation. This compares to approximately 65</w:t>
      </w:r>
      <w:r w:rsidR="008428CB">
        <w:t xml:space="preserve"> per cent</w:t>
      </w:r>
      <w:r w:rsidR="008428CB" w:rsidRPr="002262EE">
        <w:t xml:space="preserve"> </w:t>
      </w:r>
      <w:r w:rsidRPr="002262EE">
        <w:t>for the whole of Victoria. More native vegetation remains in the eastern and southern parts of the region than in the north and west. Much</w:t>
      </w:r>
      <w:r w:rsidRPr="009766BD">
        <w:t xml:space="preserve"> of the intact, forested land in the </w:t>
      </w:r>
      <w:r w:rsidR="00D15792">
        <w:t>r</w:t>
      </w:r>
      <w:r w:rsidRPr="009766BD">
        <w:t>egion is protected in national parks and other reserves. There has been significant loss of native vegetation on private land, particularly in productive landscapes such as those in the north</w:t>
      </w:r>
      <w:r w:rsidR="00BB2CB1">
        <w:t>-</w:t>
      </w:r>
      <w:r w:rsidRPr="009766BD">
        <w:t>west of the region, but there are still pockets of significant remnant vegetation within these areas.</w:t>
      </w:r>
    </w:p>
    <w:p w:rsidR="007A143F" w:rsidRDefault="009766BD" w:rsidP="001A3FCF">
      <w:pPr>
        <w:pStyle w:val="ListBullet"/>
      </w:pPr>
      <w:r w:rsidRPr="009766BD">
        <w:t xml:space="preserve">There are a number of declared water supply catchments in the </w:t>
      </w:r>
      <w:r w:rsidR="00D15792">
        <w:t>r</w:t>
      </w:r>
      <w:r w:rsidRPr="009766BD">
        <w:t>egion that are used to supply drinking water to urban and rural consumers.</w:t>
      </w:r>
    </w:p>
    <w:p w:rsidR="007A143F" w:rsidRDefault="009766BD" w:rsidP="001A3FCF">
      <w:pPr>
        <w:pStyle w:val="ListBullet"/>
      </w:pPr>
      <w:r w:rsidRPr="009766BD">
        <w:t>Expanding settlements have contributed to reductions in native vegetation cover, through direct clearing and associated infrastructure such as roads and powerlines.</w:t>
      </w:r>
    </w:p>
    <w:p w:rsidR="003C1AE6" w:rsidRDefault="003C1AE6" w:rsidP="003C1AE6">
      <w:pPr>
        <w:pStyle w:val="ListBullet"/>
      </w:pPr>
      <w:r>
        <w:t xml:space="preserve">The region contains significant wetlands and wetland complexes, including the Barmah Forest which is listed on the international Ramsar convention, numerous wetlands that are recognised as nationally significant through </w:t>
      </w:r>
      <w:r w:rsidR="00FE63A4">
        <w:t>listing</w:t>
      </w:r>
      <w:r>
        <w:t xml:space="preserve"> on the Directory of Important Wetlands in Australia, and many additional wetlands that are identified as regionally significant by catchment management authorities.</w:t>
      </w:r>
    </w:p>
    <w:p w:rsidR="003C1AE6" w:rsidRDefault="003C1AE6" w:rsidP="003C1AE6">
      <w:pPr>
        <w:pStyle w:val="ListBullet"/>
      </w:pPr>
      <w:r>
        <w:t>The region contains many significant rivers and tributaries, some of which are recognised for their significance by being listed as Heritage Rivers in Victoria.</w:t>
      </w:r>
    </w:p>
    <w:p w:rsidR="007A143F" w:rsidRDefault="009766BD" w:rsidP="001A3FCF">
      <w:pPr>
        <w:pStyle w:val="ListBullet"/>
      </w:pPr>
      <w:r w:rsidRPr="009766BD">
        <w:t>Approximately 60</w:t>
      </w:r>
      <w:r w:rsidR="005177F2">
        <w:t xml:space="preserve"> per cent</w:t>
      </w:r>
      <w:r w:rsidRPr="009766BD">
        <w:t xml:space="preserve"> of the rivers in the </w:t>
      </w:r>
      <w:r w:rsidR="00D15792">
        <w:t>r</w:t>
      </w:r>
      <w:r w:rsidRPr="009766BD">
        <w:t>egion are in moderate to poor condition and there have been significant impacts on natural waterways and wetlands from channelisation, water storage, and runoff of untreated stormwater and wastewater.</w:t>
      </w:r>
    </w:p>
    <w:p w:rsidR="00E07CE5" w:rsidRDefault="009766BD" w:rsidP="00E07CE5">
      <w:pPr>
        <w:pStyle w:val="ListBullet"/>
        <w:spacing w:after="360"/>
      </w:pPr>
      <w:r w:rsidRPr="009766BD">
        <w:t>The region is subject to natural hazards such as bushfire</w:t>
      </w:r>
      <w:r w:rsidR="00661204">
        <w:t xml:space="preserve"> and</w:t>
      </w:r>
      <w:r w:rsidRPr="009766BD">
        <w:t xml:space="preserve"> flood and </w:t>
      </w:r>
      <w:r w:rsidR="00AB09A2">
        <w:t>extreme climatic conditions</w:t>
      </w:r>
      <w:r w:rsidR="00661204">
        <w:t>, including</w:t>
      </w:r>
      <w:r w:rsidR="00AB09A2">
        <w:t xml:space="preserve"> </w:t>
      </w:r>
      <w:r w:rsidRPr="009766BD">
        <w:t>drought.</w:t>
      </w:r>
    </w:p>
    <w:p w:rsidR="001E6B61" w:rsidRDefault="009766BD" w:rsidP="009D0BBD">
      <w:pPr>
        <w:pStyle w:val="Heading2"/>
        <w:tabs>
          <w:tab w:val="clear" w:pos="396"/>
        </w:tabs>
        <w:spacing w:before="120" w:after="120"/>
        <w:ind w:left="567"/>
      </w:pPr>
      <w:bookmarkStart w:id="108" w:name="_Toc355970761"/>
      <w:bookmarkStart w:id="109" w:name="_Toc359422943"/>
      <w:bookmarkStart w:id="110" w:name="_Toc374612444"/>
      <w:bookmarkStart w:id="111" w:name="_Toc336871216"/>
      <w:r w:rsidRPr="00A51841">
        <w:t xml:space="preserve">The </w:t>
      </w:r>
      <w:r w:rsidR="00721FFA" w:rsidRPr="00A51841">
        <w:t>e</w:t>
      </w:r>
      <w:r w:rsidR="00DA722B" w:rsidRPr="00DA722B">
        <w:t>conomy</w:t>
      </w:r>
      <w:bookmarkEnd w:id="108"/>
      <w:bookmarkEnd w:id="109"/>
      <w:bookmarkEnd w:id="110"/>
    </w:p>
    <w:p w:rsidR="007A143F" w:rsidRDefault="009766BD" w:rsidP="001A3FCF">
      <w:pPr>
        <w:pStyle w:val="ListBullet"/>
      </w:pPr>
      <w:r w:rsidRPr="009766BD">
        <w:t xml:space="preserve">The </w:t>
      </w:r>
      <w:r w:rsidR="00F7217C">
        <w:t>r</w:t>
      </w:r>
      <w:r w:rsidRPr="009766BD">
        <w:t>egion’s economy is driven by its access to natural resources including water and productive agricultural land, significant areas of natural beauty and its strategic location in the Melbourne-Canberra-Sydney-Brisbane national freight corridors.</w:t>
      </w:r>
    </w:p>
    <w:p w:rsidR="007A143F" w:rsidRDefault="009766BD" w:rsidP="001A3FCF">
      <w:pPr>
        <w:pStyle w:val="ListBullet"/>
      </w:pPr>
      <w:r w:rsidRPr="009766BD">
        <w:t>The Goulburn Valley area earns over $1.6 billion per annum from primary production and the man</w:t>
      </w:r>
      <w:r w:rsidR="00226D34">
        <w:t>ufacture of food and beverages.</w:t>
      </w:r>
    </w:p>
    <w:p w:rsidR="007D684E" w:rsidRDefault="009766BD" w:rsidP="00E07CE5">
      <w:pPr>
        <w:pStyle w:val="ListBullet"/>
        <w:spacing w:after="360"/>
      </w:pPr>
      <w:r w:rsidRPr="009766BD">
        <w:t xml:space="preserve">Major </w:t>
      </w:r>
      <w:r w:rsidRPr="00226D34">
        <w:t xml:space="preserve">employment sectors in the </w:t>
      </w:r>
      <w:r w:rsidR="00D15792">
        <w:t>r</w:t>
      </w:r>
      <w:r w:rsidRPr="00226D34">
        <w:t>egion include agriculture, manufacturing, construction, retail, healthcare and social services (</w:t>
      </w:r>
      <w:r w:rsidR="00827E2D">
        <w:fldChar w:fldCharType="begin"/>
      </w:r>
      <w:r w:rsidR="00827E2D">
        <w:instrText xml:space="preserve"> REF _Ref348348982 \h  \* MERGEFORMAT </w:instrText>
      </w:r>
      <w:r w:rsidR="00827E2D">
        <w:fldChar w:fldCharType="separate"/>
      </w:r>
      <w:r w:rsidR="009034D4" w:rsidRPr="0046300E">
        <w:t xml:space="preserve">Figure </w:t>
      </w:r>
      <w:r w:rsidR="009034D4">
        <w:t>6</w:t>
      </w:r>
      <w:r w:rsidR="00827E2D">
        <w:fldChar w:fldCharType="end"/>
      </w:r>
      <w:r w:rsidRPr="00226D34">
        <w:t>).</w:t>
      </w:r>
    </w:p>
    <w:p w:rsidR="001E6B61" w:rsidRDefault="007D684E" w:rsidP="0046300E">
      <w:pPr>
        <w:pStyle w:val="Caption"/>
      </w:pPr>
      <w:bookmarkStart w:id="112" w:name="_Ref348348982"/>
      <w:r>
        <w:rPr>
          <w:noProof/>
        </w:rPr>
        <w:lastRenderedPageBreak/>
        <w:drawing>
          <wp:anchor distT="0" distB="0" distL="114300" distR="114300" simplePos="0" relativeHeight="251693056" behindDoc="0" locked="0" layoutInCell="1" allowOverlap="1">
            <wp:simplePos x="0" y="0"/>
            <wp:positionH relativeFrom="column">
              <wp:posOffset>-25400</wp:posOffset>
            </wp:positionH>
            <wp:positionV relativeFrom="paragraph">
              <wp:posOffset>214630</wp:posOffset>
            </wp:positionV>
            <wp:extent cx="6426200" cy="4216400"/>
            <wp:effectExtent l="0" t="0" r="0" b="0"/>
            <wp:wrapTopAndBottom/>
            <wp:docPr id="8" name="Chart 1" descr="Graph showing percentage of employed persons per sector (1996, 2001, 2006) in the Hume Reg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bookmarkStart w:id="113" w:name="_Toc374612531"/>
      <w:r w:rsidR="002E1F59" w:rsidRPr="0046300E">
        <w:t xml:space="preserve">Figure </w:t>
      </w:r>
      <w:r w:rsidR="00827E2D">
        <w:fldChar w:fldCharType="begin"/>
      </w:r>
      <w:r w:rsidR="00827E2D">
        <w:instrText xml:space="preserve"> SEQ Figure \* ARABIC </w:instrText>
      </w:r>
      <w:r w:rsidR="00827E2D">
        <w:fldChar w:fldCharType="separate"/>
      </w:r>
      <w:r w:rsidR="009034D4">
        <w:rPr>
          <w:noProof/>
        </w:rPr>
        <w:t>6</w:t>
      </w:r>
      <w:r w:rsidR="00827E2D">
        <w:rPr>
          <w:noProof/>
        </w:rPr>
        <w:fldChar w:fldCharType="end"/>
      </w:r>
      <w:bookmarkEnd w:id="112"/>
      <w:r w:rsidR="007536C0" w:rsidRPr="0046300E">
        <w:t>: Percentage of employed persons per sector (1996, 2001, 2006) – Hume Region</w:t>
      </w:r>
      <w:bookmarkEnd w:id="113"/>
    </w:p>
    <w:p w:rsidR="00F24832" w:rsidRDefault="00CE171F" w:rsidP="00AF5412">
      <w:pPr>
        <w:pStyle w:val="source"/>
      </w:pPr>
      <w:r w:rsidRPr="0017338C">
        <w:t>Source: Australian Bureau of Statistics</w:t>
      </w:r>
    </w:p>
    <w:p w:rsidR="00AF5412" w:rsidRPr="00AF5412" w:rsidRDefault="00AF5412" w:rsidP="00AF5412">
      <w:pPr>
        <w:pStyle w:val="bt"/>
      </w:pPr>
    </w:p>
    <w:p w:rsidR="007A143F" w:rsidRDefault="00CE171F" w:rsidP="001A3FCF">
      <w:pPr>
        <w:pStyle w:val="ListBullet"/>
      </w:pPr>
      <w:r w:rsidRPr="00CE171F">
        <w:t>The regional economy is heavily reliant on manufacturing and agriculture.</w:t>
      </w:r>
    </w:p>
    <w:p w:rsidR="007A143F" w:rsidRDefault="00CE171F" w:rsidP="001A3FCF">
      <w:pPr>
        <w:pStyle w:val="ListBullet"/>
      </w:pPr>
      <w:r w:rsidRPr="00CE171F">
        <w:t>Manufacturing is the largest economic sector in terms of employment, accounting for over 15</w:t>
      </w:r>
      <w:r w:rsidR="008428CB">
        <w:t xml:space="preserve"> per cent</w:t>
      </w:r>
      <w:r w:rsidR="008428CB" w:rsidRPr="00CE171F">
        <w:t xml:space="preserve"> </w:t>
      </w:r>
      <w:r w:rsidRPr="00CE171F">
        <w:t>of the workforce. While the manufacturing sector is under pressure and declining in some areas, it has shown recent growth in other</w:t>
      </w:r>
      <w:r w:rsidR="002E457D">
        <w:t xml:space="preserve"> areas</w:t>
      </w:r>
      <w:r w:rsidR="00214286">
        <w:t>,</w:t>
      </w:r>
      <w:r w:rsidRPr="00CE171F">
        <w:t xml:space="preserve"> such as Wodonga.</w:t>
      </w:r>
    </w:p>
    <w:p w:rsidR="007A143F" w:rsidRDefault="00CE171F" w:rsidP="001A3FCF">
      <w:pPr>
        <w:pStyle w:val="ListBullet"/>
      </w:pPr>
      <w:r w:rsidRPr="00CE171F">
        <w:t xml:space="preserve">The agricultural sector is a key economic force in the </w:t>
      </w:r>
      <w:r w:rsidR="00C77D8A">
        <w:t>r</w:t>
      </w:r>
      <w:r w:rsidRPr="00CE171F">
        <w:t>egion and accounted for almost 10</w:t>
      </w:r>
      <w:r w:rsidR="008428CB">
        <w:t xml:space="preserve"> per cent</w:t>
      </w:r>
      <w:r w:rsidR="008428CB" w:rsidRPr="00CE171F">
        <w:t xml:space="preserve"> </w:t>
      </w:r>
      <w:r w:rsidRPr="00CE171F">
        <w:t xml:space="preserve">of employment over the last five years. </w:t>
      </w:r>
    </w:p>
    <w:p w:rsidR="007A143F" w:rsidRDefault="00CE171F" w:rsidP="001A3FCF">
      <w:pPr>
        <w:pStyle w:val="ListBullet"/>
      </w:pPr>
      <w:r w:rsidRPr="00CE171F">
        <w:t xml:space="preserve">The defence industry (included in the Public Administration and Safety sector in </w:t>
      </w:r>
      <w:r w:rsidR="00AA3D97">
        <w:fldChar w:fldCharType="begin"/>
      </w:r>
      <w:r w:rsidR="008279B5">
        <w:instrText xml:space="preserve"> REF _Ref348348982 \h </w:instrText>
      </w:r>
      <w:r w:rsidR="00AA3D97">
        <w:fldChar w:fldCharType="separate"/>
      </w:r>
      <w:r w:rsidR="009034D4" w:rsidRPr="0046300E">
        <w:t xml:space="preserve">Figure </w:t>
      </w:r>
      <w:r w:rsidR="009034D4">
        <w:rPr>
          <w:noProof/>
        </w:rPr>
        <w:t>6</w:t>
      </w:r>
      <w:r w:rsidR="00AA3D97">
        <w:fldChar w:fldCharType="end"/>
      </w:r>
      <w:r w:rsidRPr="00CE171F">
        <w:t>) is a significant contributor to the regional economy, particularly in areas such as Wodonga and Seymour that are close to large military bases.</w:t>
      </w:r>
    </w:p>
    <w:p w:rsidR="007A143F" w:rsidRDefault="00CE171F" w:rsidP="001A3FCF">
      <w:pPr>
        <w:pStyle w:val="ListBullet"/>
      </w:pPr>
      <w:r w:rsidRPr="00CE171F">
        <w:t xml:space="preserve">Tourism is an important industry and employer </w:t>
      </w:r>
      <w:r w:rsidR="002E457D">
        <w:t xml:space="preserve">in </w:t>
      </w:r>
      <w:r w:rsidRPr="00CE171F">
        <w:t xml:space="preserve">the </w:t>
      </w:r>
      <w:r w:rsidR="00C77D8A">
        <w:t>r</w:t>
      </w:r>
      <w:r w:rsidRPr="00CE171F">
        <w:t>egion.</w:t>
      </w:r>
    </w:p>
    <w:p w:rsidR="00B308BE" w:rsidRDefault="00CE171F" w:rsidP="00EE0F0D">
      <w:pPr>
        <w:pStyle w:val="ListBullet"/>
      </w:pPr>
      <w:r w:rsidRPr="00CE171F">
        <w:t xml:space="preserve">Five of Victoria’s six </w:t>
      </w:r>
      <w:r w:rsidR="002E457D">
        <w:t>a</w:t>
      </w:r>
      <w:r w:rsidRPr="00CE171F">
        <w:t xml:space="preserve">lpine </w:t>
      </w:r>
      <w:r w:rsidR="002E457D">
        <w:t>r</w:t>
      </w:r>
      <w:r w:rsidRPr="00CE171F">
        <w:t xml:space="preserve">esorts are located in the </w:t>
      </w:r>
      <w:r w:rsidR="00C77D8A">
        <w:t>r</w:t>
      </w:r>
      <w:r w:rsidRPr="00CE171F">
        <w:t xml:space="preserve">egion. They play a significant role in the </w:t>
      </w:r>
      <w:r w:rsidR="002E457D">
        <w:t xml:space="preserve">regional </w:t>
      </w:r>
      <w:r w:rsidRPr="00CE171F">
        <w:t>economy, as well as providing tourism and recreational services and facilities to local communities.</w:t>
      </w:r>
    </w:p>
    <w:p w:rsidR="008F6B05" w:rsidRPr="00B308BE" w:rsidRDefault="00B308BE" w:rsidP="00B308BE">
      <w:pPr>
        <w:rPr>
          <w:rFonts w:ascii="Calibri" w:eastAsia="Times New Roman" w:hAnsi="Calibri" w:cs="Times New Roman"/>
          <w:szCs w:val="24"/>
        </w:rPr>
      </w:pPr>
      <w:r>
        <w:br w:type="page"/>
      </w:r>
    </w:p>
    <w:p w:rsidR="007A143F" w:rsidRDefault="00E1404C" w:rsidP="00EE0F0D">
      <w:pPr>
        <w:pStyle w:val="Heading11"/>
      </w:pPr>
      <w:bookmarkStart w:id="114" w:name="_Toc354415396"/>
      <w:bookmarkStart w:id="115" w:name="_Toc355970762"/>
      <w:bookmarkStart w:id="116" w:name="_Toc359422944"/>
      <w:bookmarkStart w:id="117" w:name="_Toc374612445"/>
      <w:bookmarkEnd w:id="114"/>
      <w:r w:rsidRPr="00A51841">
        <w:lastRenderedPageBreak/>
        <w:t xml:space="preserve">Strategic </w:t>
      </w:r>
      <w:r w:rsidR="00DA722B" w:rsidRPr="00DA722B">
        <w:t>assets</w:t>
      </w:r>
      <w:bookmarkEnd w:id="115"/>
      <w:bookmarkEnd w:id="116"/>
      <w:bookmarkEnd w:id="117"/>
    </w:p>
    <w:p w:rsidR="007A143F" w:rsidRDefault="00CE171F" w:rsidP="00B308BE">
      <w:pPr>
        <w:pStyle w:val="bt"/>
        <w:spacing w:after="0"/>
      </w:pPr>
      <w:r w:rsidRPr="00CE171F">
        <w:t>The Hume Region has a number of strategic assets that are of regional</w:t>
      </w:r>
      <w:r w:rsidR="006F0EB4">
        <w:t>,</w:t>
      </w:r>
      <w:r w:rsidRPr="00CE171F">
        <w:t xml:space="preserve"> and in some cases</w:t>
      </w:r>
      <w:r w:rsidR="006F0EB4">
        <w:t>,</w:t>
      </w:r>
      <w:r w:rsidRPr="00CE171F">
        <w:t xml:space="preserve"> national significance:</w:t>
      </w:r>
    </w:p>
    <w:p w:rsidR="00F24E46" w:rsidRDefault="00DA722B" w:rsidP="008B7F2D">
      <w:pPr>
        <w:pStyle w:val="btbullet"/>
        <w:rPr>
          <w:rStyle w:val="Strong"/>
          <w:b w:val="0"/>
          <w:bCs w:val="0"/>
        </w:rPr>
      </w:pPr>
      <w:r w:rsidRPr="00010AE8">
        <w:rPr>
          <w:rStyle w:val="Strong"/>
          <w:b w:val="0"/>
          <w:bCs w:val="0"/>
        </w:rPr>
        <w:t>Network of settlements</w:t>
      </w:r>
    </w:p>
    <w:p w:rsidR="007A143F" w:rsidRDefault="00CE171F" w:rsidP="00F24E46">
      <w:pPr>
        <w:pStyle w:val="btindent"/>
      </w:pPr>
      <w:r w:rsidRPr="00F24E46">
        <w:t xml:space="preserve">The </w:t>
      </w:r>
      <w:r w:rsidR="00C77D8A" w:rsidRPr="00F24E46">
        <w:t>r</w:t>
      </w:r>
      <w:r w:rsidRPr="00F24E46">
        <w:t>egion contains fo</w:t>
      </w:r>
      <w:r w:rsidRPr="00CE171F">
        <w:t xml:space="preserve">ur distinct and inter-connected </w:t>
      </w:r>
      <w:r w:rsidR="00DA46DA">
        <w:t>sub</w:t>
      </w:r>
      <w:r w:rsidR="00EB6ABC">
        <w:t>-</w:t>
      </w:r>
      <w:r w:rsidR="00DA46DA">
        <w:t>region</w:t>
      </w:r>
      <w:r w:rsidRPr="00CE171F">
        <w:t xml:space="preserve">s and a number of high functioning regional cities and centres located along major transport routes. These centres support and are supported by networks of smaller settlements. There is no dominant major regional city in the </w:t>
      </w:r>
      <w:r w:rsidR="00C77D8A">
        <w:t>r</w:t>
      </w:r>
      <w:r w:rsidRPr="00CE171F">
        <w:t>egion. Settlements have distinctive characteristics that make them attractive places to live and work.</w:t>
      </w:r>
    </w:p>
    <w:p w:rsidR="007A143F" w:rsidRPr="00010AE8" w:rsidRDefault="00DA722B" w:rsidP="008B7F2D">
      <w:pPr>
        <w:pStyle w:val="btbullet"/>
        <w:rPr>
          <w:rStyle w:val="Strong"/>
          <w:b w:val="0"/>
          <w:bCs w:val="0"/>
        </w:rPr>
      </w:pPr>
      <w:r w:rsidRPr="00010AE8">
        <w:rPr>
          <w:rStyle w:val="Strong"/>
          <w:b w:val="0"/>
          <w:bCs w:val="0"/>
        </w:rPr>
        <w:t>Accessibility</w:t>
      </w:r>
    </w:p>
    <w:p w:rsidR="00EE0F0D" w:rsidRDefault="00CE171F" w:rsidP="00F24E46">
      <w:pPr>
        <w:pStyle w:val="btindent"/>
        <w:rPr>
          <w:color w:val="000000" w:themeColor="text1"/>
        </w:rPr>
      </w:pPr>
      <w:r w:rsidRPr="00CE171F">
        <w:t xml:space="preserve">The </w:t>
      </w:r>
      <w:r w:rsidR="00C77D8A">
        <w:t>r</w:t>
      </w:r>
      <w:r w:rsidRPr="00CE171F">
        <w:t xml:space="preserve">egion has high performance, nationally significant interstate road and rail transport routes that support regional connectivity and provide access to markets. These routes provide strong linkages to Melbourne, Sydney and Brisbane. </w:t>
      </w:r>
      <w:r w:rsidRPr="00CE171F">
        <w:rPr>
          <w:color w:val="000000" w:themeColor="text1"/>
        </w:rPr>
        <w:t xml:space="preserve">Key transport linkages also provide access to infrastructure and services such as health, education, entertainment and commercial airports in large urban centres outside the region, including Albury and Melbourne. Access to Albury </w:t>
      </w:r>
      <w:r w:rsidR="006F0EB4">
        <w:rPr>
          <w:color w:val="000000" w:themeColor="text1"/>
        </w:rPr>
        <w:t>A</w:t>
      </w:r>
      <w:r w:rsidRPr="00CE171F">
        <w:rPr>
          <w:color w:val="000000" w:themeColor="text1"/>
        </w:rPr>
        <w:t>irport is particularly important for regional connectivity, as it offers multiple daily flights to Melbourne and Sydney.</w:t>
      </w:r>
    </w:p>
    <w:p w:rsidR="007A143F" w:rsidRPr="00010AE8" w:rsidRDefault="00DA722B" w:rsidP="008B7F2D">
      <w:pPr>
        <w:pStyle w:val="btbullet"/>
        <w:rPr>
          <w:rStyle w:val="Strong"/>
          <w:b w:val="0"/>
          <w:bCs w:val="0"/>
        </w:rPr>
      </w:pPr>
      <w:r w:rsidRPr="00010AE8">
        <w:rPr>
          <w:rStyle w:val="Strong"/>
          <w:b w:val="0"/>
          <w:bCs w:val="0"/>
        </w:rPr>
        <w:t>Water</w:t>
      </w:r>
    </w:p>
    <w:p w:rsidR="007A143F" w:rsidRDefault="00CE171F" w:rsidP="00F24E46">
      <w:pPr>
        <w:pStyle w:val="btindent"/>
      </w:pPr>
      <w:r w:rsidRPr="00CE171F">
        <w:t xml:space="preserve">High quality water resources including groundwater, catchments, rivers and water storages of national significance are located in the </w:t>
      </w:r>
      <w:r w:rsidR="00C77D8A">
        <w:t>r</w:t>
      </w:r>
      <w:r w:rsidRPr="00CE171F">
        <w:t xml:space="preserve">egion. Access to these resources provides a competitive advantage that is likely to become more important in the future. The current $2 billion Food Bowl Modernisation Project is </w:t>
      </w:r>
      <w:r w:rsidR="001037F4">
        <w:t xml:space="preserve">the </w:t>
      </w:r>
      <w:r w:rsidRPr="00CE171F">
        <w:t>largest irrigation upgrade in Australia’s history. Other projects are underway to explore deep aquifers and the potential to use water from them for production.</w:t>
      </w:r>
    </w:p>
    <w:p w:rsidR="007A143F" w:rsidRPr="00010AE8" w:rsidRDefault="00DA722B" w:rsidP="008B7F2D">
      <w:pPr>
        <w:pStyle w:val="btbullet"/>
        <w:rPr>
          <w:rStyle w:val="Strong"/>
          <w:b w:val="0"/>
          <w:bCs w:val="0"/>
        </w:rPr>
      </w:pPr>
      <w:r w:rsidRPr="00010AE8">
        <w:rPr>
          <w:rStyle w:val="Strong"/>
          <w:b w:val="0"/>
          <w:bCs w:val="0"/>
        </w:rPr>
        <w:t>Environment and heritage</w:t>
      </w:r>
    </w:p>
    <w:p w:rsidR="007A143F" w:rsidRDefault="00CE171F" w:rsidP="00F24E46">
      <w:pPr>
        <w:pStyle w:val="btindent"/>
      </w:pPr>
      <w:r w:rsidRPr="00CE171F">
        <w:t xml:space="preserve">The </w:t>
      </w:r>
      <w:r w:rsidR="00C77D8A">
        <w:t>r</w:t>
      </w:r>
      <w:r w:rsidRPr="00CE171F">
        <w:t xml:space="preserve">egion’s highly valued environments and landscapes, including large areas of public land, not only attract new residents and visitors but also provide important </w:t>
      </w:r>
      <w:r w:rsidR="00E56740">
        <w:rPr>
          <w:rFonts w:cs="Calibri"/>
          <w:szCs w:val="20"/>
          <w:lang w:eastAsia="en-US"/>
        </w:rPr>
        <w:t>environmental values</w:t>
      </w:r>
      <w:r w:rsidR="00214286">
        <w:rPr>
          <w:rFonts w:cs="Calibri"/>
          <w:szCs w:val="20"/>
          <w:lang w:eastAsia="en-US"/>
        </w:rPr>
        <w:t>. These include</w:t>
      </w:r>
      <w:r w:rsidR="00E56740">
        <w:rPr>
          <w:rFonts w:cs="Calibri"/>
          <w:szCs w:val="20"/>
          <w:lang w:eastAsia="en-US"/>
        </w:rPr>
        <w:t xml:space="preserve"> </w:t>
      </w:r>
      <w:r w:rsidR="00E56740" w:rsidRPr="00A25511">
        <w:rPr>
          <w:rFonts w:cs="Calibri"/>
          <w:szCs w:val="20"/>
          <w:lang w:eastAsia="en-US"/>
        </w:rPr>
        <w:t xml:space="preserve">ecosystem services </w:t>
      </w:r>
      <w:r w:rsidR="00E56740">
        <w:rPr>
          <w:rFonts w:cs="Calibri"/>
          <w:szCs w:val="20"/>
          <w:lang w:eastAsia="en-US"/>
        </w:rPr>
        <w:t xml:space="preserve">that provide </w:t>
      </w:r>
      <w:r w:rsidR="00E56740" w:rsidRPr="00A25511">
        <w:rPr>
          <w:rFonts w:cs="Calibri"/>
          <w:szCs w:val="20"/>
          <w:lang w:eastAsia="en-US"/>
        </w:rPr>
        <w:t xml:space="preserve">pollination, </w:t>
      </w:r>
      <w:r w:rsidR="00E56740">
        <w:rPr>
          <w:rFonts w:cs="Calibri"/>
          <w:szCs w:val="20"/>
          <w:lang w:eastAsia="en-US"/>
        </w:rPr>
        <w:t xml:space="preserve">clean air and </w:t>
      </w:r>
      <w:r w:rsidR="00E56740" w:rsidRPr="00A25511">
        <w:rPr>
          <w:rFonts w:cs="Calibri"/>
          <w:szCs w:val="20"/>
          <w:lang w:eastAsia="en-US"/>
        </w:rPr>
        <w:t>water</w:t>
      </w:r>
      <w:r w:rsidRPr="00CE171F">
        <w:t>. Key regional environmental assets include the Barmah–Millewa</w:t>
      </w:r>
      <w:r w:rsidR="00AB09A2">
        <w:t xml:space="preserve"> Forest</w:t>
      </w:r>
      <w:r w:rsidRPr="00CE171F">
        <w:t xml:space="preserve">, the largest </w:t>
      </w:r>
      <w:r w:rsidR="000535A4">
        <w:t>r</w:t>
      </w:r>
      <w:r w:rsidRPr="00CE171F">
        <w:t>iver red gum forest in Australia</w:t>
      </w:r>
      <w:r w:rsidR="00AB09A2">
        <w:t xml:space="preserve"> </w:t>
      </w:r>
      <w:r w:rsidR="006C0B67">
        <w:t>which is</w:t>
      </w:r>
      <w:r w:rsidR="00AB09A2">
        <w:t xml:space="preserve"> internationally recognised </w:t>
      </w:r>
      <w:r w:rsidR="006C0B67">
        <w:t>by</w:t>
      </w:r>
      <w:r w:rsidR="00AB09A2">
        <w:t xml:space="preserve"> the Ramsar Convention</w:t>
      </w:r>
      <w:r w:rsidRPr="00CE171F">
        <w:t xml:space="preserve">, as well as the nation’s largest wetland rehabilitation site at the Winton Wetlands. Tourism in </w:t>
      </w:r>
      <w:r w:rsidR="006F0EB4">
        <w:t xml:space="preserve">the </w:t>
      </w:r>
      <w:r w:rsidR="00C77D8A">
        <w:t>r</w:t>
      </w:r>
      <w:r w:rsidR="006F0EB4">
        <w:t xml:space="preserve">egion </w:t>
      </w:r>
      <w:r w:rsidRPr="00CE171F">
        <w:t xml:space="preserve">is based largely around the quality of the natural environment and the region’s </w:t>
      </w:r>
      <w:r w:rsidR="00E56740">
        <w:t xml:space="preserve">cultural </w:t>
      </w:r>
      <w:r w:rsidRPr="00CE171F">
        <w:t>heritage assets.</w:t>
      </w:r>
    </w:p>
    <w:p w:rsidR="007A143F" w:rsidRPr="00010AE8" w:rsidRDefault="00DA722B" w:rsidP="008B7F2D">
      <w:pPr>
        <w:pStyle w:val="btbullet"/>
        <w:rPr>
          <w:rStyle w:val="Strong"/>
          <w:b w:val="0"/>
          <w:bCs w:val="0"/>
        </w:rPr>
      </w:pPr>
      <w:r w:rsidRPr="00010AE8">
        <w:rPr>
          <w:rStyle w:val="Strong"/>
          <w:b w:val="0"/>
          <w:bCs w:val="0"/>
        </w:rPr>
        <w:t>Rural production</w:t>
      </w:r>
    </w:p>
    <w:p w:rsidR="00EE0F0D" w:rsidRDefault="00AB09A2" w:rsidP="00F24E46">
      <w:pPr>
        <w:pStyle w:val="btindent"/>
      </w:pPr>
      <w:r>
        <w:t>Natural</w:t>
      </w:r>
      <w:r w:rsidRPr="00CE171F">
        <w:t xml:space="preserve"> </w:t>
      </w:r>
      <w:r w:rsidR="00CE171F" w:rsidRPr="00CE171F">
        <w:t xml:space="preserve">resources such as productive agricultural land and water, as well as associated infrastructure, are available in the </w:t>
      </w:r>
      <w:r w:rsidR="00C77D8A">
        <w:t>r</w:t>
      </w:r>
      <w:r w:rsidR="00CE171F" w:rsidRPr="00CE171F">
        <w:t xml:space="preserve">egion to </w:t>
      </w:r>
      <w:r w:rsidR="006F217A">
        <w:t>underpin</w:t>
      </w:r>
      <w:r w:rsidR="00CE171F" w:rsidRPr="00CE171F">
        <w:t xml:space="preserve"> rural production and contribute to the economy.</w:t>
      </w:r>
    </w:p>
    <w:p w:rsidR="007A143F" w:rsidRPr="00010AE8" w:rsidRDefault="00DA722B" w:rsidP="008B7F2D">
      <w:pPr>
        <w:pStyle w:val="btbullet"/>
        <w:rPr>
          <w:rStyle w:val="Strong"/>
          <w:b w:val="0"/>
          <w:bCs w:val="0"/>
        </w:rPr>
      </w:pPr>
      <w:r w:rsidRPr="00010AE8">
        <w:rPr>
          <w:rStyle w:val="Strong"/>
          <w:b w:val="0"/>
          <w:bCs w:val="0"/>
        </w:rPr>
        <w:t>Social infrastructure</w:t>
      </w:r>
    </w:p>
    <w:p w:rsidR="00010AE8" w:rsidRDefault="00CE171F" w:rsidP="00F24E46">
      <w:pPr>
        <w:pStyle w:val="btindent"/>
      </w:pPr>
      <w:r w:rsidRPr="00CE171F">
        <w:t>The region is home to major heal</w:t>
      </w:r>
      <w:r w:rsidR="00214286">
        <w:t>th and learning facilities</w:t>
      </w:r>
      <w:r w:rsidRPr="00CE171F">
        <w:t xml:space="preserve"> including schools and libraries. Education is available at all levels of the learning spectrum and at key locations across the </w:t>
      </w:r>
      <w:r w:rsidR="00C77D8A">
        <w:t>r</w:t>
      </w:r>
      <w:r w:rsidRPr="00CE171F">
        <w:t>egion.</w:t>
      </w:r>
    </w:p>
    <w:p w:rsidR="007A143F" w:rsidRPr="00010AE8" w:rsidRDefault="00DA722B" w:rsidP="008B7F2D">
      <w:pPr>
        <w:pStyle w:val="btbullet"/>
        <w:rPr>
          <w:rStyle w:val="Strong"/>
          <w:b w:val="0"/>
          <w:bCs w:val="0"/>
        </w:rPr>
      </w:pPr>
      <w:r w:rsidRPr="00010AE8">
        <w:rPr>
          <w:rStyle w:val="Strong"/>
          <w:b w:val="0"/>
          <w:bCs w:val="0"/>
        </w:rPr>
        <w:t>Diverse economic base</w:t>
      </w:r>
    </w:p>
    <w:p w:rsidR="009401CB" w:rsidRDefault="00CE171F" w:rsidP="00F24E46">
      <w:pPr>
        <w:pStyle w:val="btindent"/>
      </w:pPr>
      <w:r w:rsidRPr="00CE171F">
        <w:t>Compared to other regions, the</w:t>
      </w:r>
      <w:r w:rsidR="00FE642F">
        <w:t xml:space="preserve"> Hume R</w:t>
      </w:r>
      <w:r w:rsidRPr="00CE171F">
        <w:t>egion has a relatively diverse economy based on manufacturing, agriculture and food processing, human and health services and facilities, defence, tourism, ha</w:t>
      </w:r>
      <w:r w:rsidR="00EE0F0D">
        <w:t>ulage and logistics industries.</w:t>
      </w:r>
    </w:p>
    <w:p w:rsidR="00A2483D" w:rsidRPr="00010AE8" w:rsidRDefault="00A2483D" w:rsidP="008B7F2D">
      <w:pPr>
        <w:pStyle w:val="btbullet"/>
        <w:rPr>
          <w:rStyle w:val="Strong"/>
          <w:b w:val="0"/>
          <w:bCs w:val="0"/>
        </w:rPr>
      </w:pPr>
      <w:r w:rsidRPr="00010AE8">
        <w:rPr>
          <w:rStyle w:val="Strong"/>
          <w:b w:val="0"/>
          <w:bCs w:val="0"/>
        </w:rPr>
        <w:t>Social capital</w:t>
      </w:r>
    </w:p>
    <w:p w:rsidR="000800DD" w:rsidRPr="00F24E46" w:rsidRDefault="00A2483D" w:rsidP="00F24E46">
      <w:pPr>
        <w:pStyle w:val="btindent"/>
      </w:pPr>
      <w:r w:rsidRPr="00F24E46">
        <w:t>The region has a growing, culturally diverse population. Communities in Hume Region are characterised as engaged, connected, inclusive, safe and diverse.</w:t>
      </w:r>
    </w:p>
    <w:p w:rsidR="001E6B61" w:rsidRDefault="00A66A5F">
      <w:pPr>
        <w:pStyle w:val="Heading11"/>
        <w:spacing w:after="120"/>
      </w:pPr>
      <w:bookmarkStart w:id="118" w:name="_Toc355969816"/>
      <w:bookmarkStart w:id="119" w:name="_Toc355969983"/>
      <w:bookmarkStart w:id="120" w:name="_Toc355970232"/>
      <w:bookmarkStart w:id="121" w:name="_Toc355970363"/>
      <w:bookmarkStart w:id="122" w:name="_Toc355970495"/>
      <w:bookmarkStart w:id="123" w:name="_Toc355970632"/>
      <w:bookmarkStart w:id="124" w:name="_Toc355970763"/>
      <w:bookmarkStart w:id="125" w:name="_Toc355970894"/>
      <w:bookmarkStart w:id="126" w:name="_Toc355971025"/>
      <w:bookmarkStart w:id="127" w:name="_Toc355971102"/>
      <w:bookmarkStart w:id="128" w:name="_Toc355970764"/>
      <w:bookmarkStart w:id="129" w:name="_Toc359422945"/>
      <w:bookmarkStart w:id="130" w:name="_Toc374612446"/>
      <w:bookmarkEnd w:id="118"/>
      <w:bookmarkEnd w:id="119"/>
      <w:bookmarkEnd w:id="120"/>
      <w:bookmarkEnd w:id="121"/>
      <w:bookmarkEnd w:id="122"/>
      <w:bookmarkEnd w:id="123"/>
      <w:bookmarkEnd w:id="124"/>
      <w:bookmarkEnd w:id="125"/>
      <w:bookmarkEnd w:id="126"/>
      <w:bookmarkEnd w:id="127"/>
      <w:r w:rsidRPr="00A51841">
        <w:lastRenderedPageBreak/>
        <w:t xml:space="preserve">Growth and </w:t>
      </w:r>
      <w:r w:rsidR="00DA722B" w:rsidRPr="00DA722B">
        <w:t>change</w:t>
      </w:r>
      <w:bookmarkEnd w:id="128"/>
      <w:bookmarkEnd w:id="129"/>
      <w:bookmarkEnd w:id="130"/>
    </w:p>
    <w:p w:rsidR="007A143F" w:rsidRDefault="00A66A5F">
      <w:pPr>
        <w:pStyle w:val="bt"/>
      </w:pPr>
      <w:r w:rsidRPr="00A66A5F">
        <w:t>The Hume Region is growing and changing, and will face challenges and opportunities that will affect its environment, economy and way of life.</w:t>
      </w:r>
    </w:p>
    <w:p w:rsidR="007A143F" w:rsidRDefault="00A66A5F">
      <w:pPr>
        <w:pStyle w:val="bt"/>
      </w:pPr>
      <w:r w:rsidRPr="00A66A5F">
        <w:t xml:space="preserve">The urban growth boundary for Melbourne was extended in 2012 to encompass Beveridge and Wallan in Mitchell Shire, in the southern part of the </w:t>
      </w:r>
      <w:r w:rsidR="004175EC">
        <w:t>r</w:t>
      </w:r>
      <w:r w:rsidRPr="00A66A5F">
        <w:t xml:space="preserve">egion. The substantial growth expected in these areas will be planned for through the new </w:t>
      </w:r>
      <w:r w:rsidR="00F24832">
        <w:t>m</w:t>
      </w:r>
      <w:r w:rsidR="00F71775">
        <w:t>etropolitan planning strategy</w:t>
      </w:r>
      <w:r w:rsidR="00F24832">
        <w:t xml:space="preserve">, </w:t>
      </w:r>
      <w:r w:rsidR="00F24832" w:rsidRPr="00F24832">
        <w:rPr>
          <w:i/>
        </w:rPr>
        <w:t>Plan Melbourne</w:t>
      </w:r>
      <w:r w:rsidR="00214286">
        <w:t>,</w:t>
      </w:r>
      <w:r w:rsidRPr="00A66A5F">
        <w:t xml:space="preserve"> rather than through </w:t>
      </w:r>
      <w:r w:rsidR="005341F6">
        <w:t xml:space="preserve">the </w:t>
      </w:r>
      <w:r w:rsidR="00F24832">
        <w:t>regional growth plan.</w:t>
      </w:r>
    </w:p>
    <w:p w:rsidR="001E6B61" w:rsidRDefault="00A66A5F" w:rsidP="00A41B2E">
      <w:pPr>
        <w:pStyle w:val="Heading2"/>
        <w:numPr>
          <w:ilvl w:val="1"/>
          <w:numId w:val="19"/>
        </w:numPr>
        <w:tabs>
          <w:tab w:val="clear" w:pos="396"/>
        </w:tabs>
        <w:spacing w:before="240" w:after="120"/>
        <w:ind w:left="567"/>
      </w:pPr>
      <w:bookmarkStart w:id="131" w:name="_Toc355970765"/>
      <w:bookmarkStart w:id="132" w:name="_Toc359422946"/>
      <w:bookmarkStart w:id="133" w:name="_Toc374612447"/>
      <w:r w:rsidRPr="00A51841">
        <w:t xml:space="preserve">Population </w:t>
      </w:r>
      <w:r w:rsidR="006F0EB4" w:rsidRPr="00A51841">
        <w:t>g</w:t>
      </w:r>
      <w:r w:rsidR="00DA722B" w:rsidRPr="00DA722B">
        <w:t>rowth and demographic change</w:t>
      </w:r>
      <w:bookmarkEnd w:id="131"/>
      <w:bookmarkEnd w:id="132"/>
      <w:bookmarkEnd w:id="133"/>
    </w:p>
    <w:p w:rsidR="007A143F" w:rsidRDefault="00A66A5F">
      <w:pPr>
        <w:pStyle w:val="bt"/>
      </w:pPr>
      <w:r w:rsidRPr="00A66A5F">
        <w:t xml:space="preserve">The rate of population growth in the Hume Region (excluding towns within </w:t>
      </w:r>
      <w:r w:rsidR="00AD5595">
        <w:t>Melbourne’s</w:t>
      </w:r>
      <w:r w:rsidR="00AD5595" w:rsidRPr="00A66A5F">
        <w:t xml:space="preserve"> </w:t>
      </w:r>
      <w:r w:rsidR="00B15526">
        <w:t xml:space="preserve">urban </w:t>
      </w:r>
      <w:r w:rsidRPr="00A66A5F">
        <w:t>growth boundary) is expected to increase from 0.6</w:t>
      </w:r>
      <w:r w:rsidR="00F932B5">
        <w:t xml:space="preserve"> per cent</w:t>
      </w:r>
      <w:r w:rsidR="00F932B5" w:rsidRPr="00A66A5F">
        <w:t xml:space="preserve"> </w:t>
      </w:r>
      <w:r w:rsidRPr="00A66A5F">
        <w:t>per year to approximately 0.88</w:t>
      </w:r>
      <w:r w:rsidR="00F932B5">
        <w:t xml:space="preserve"> per cent</w:t>
      </w:r>
      <w:r w:rsidR="00F932B5" w:rsidRPr="00A66A5F">
        <w:t xml:space="preserve"> </w:t>
      </w:r>
      <w:r w:rsidRPr="00A66A5F">
        <w:t>per year for the period 2011</w:t>
      </w:r>
      <w:r w:rsidR="00B15526">
        <w:t xml:space="preserve"> to </w:t>
      </w:r>
      <w:r w:rsidRPr="00A66A5F">
        <w:t xml:space="preserve">2031. This will result in population growth of approximately 58,000 people by </w:t>
      </w:r>
      <w:r w:rsidRPr="00DE4301">
        <w:t>2031 (</w:t>
      </w:r>
      <w:r w:rsidR="00827E2D">
        <w:fldChar w:fldCharType="begin"/>
      </w:r>
      <w:r w:rsidR="00827E2D">
        <w:instrText xml:space="preserve"> REF _Ref348349056 \h  \* MERGEFORMAT </w:instrText>
      </w:r>
      <w:r w:rsidR="00827E2D">
        <w:fldChar w:fldCharType="separate"/>
      </w:r>
      <w:r w:rsidR="009034D4" w:rsidRPr="00DF6019">
        <w:t xml:space="preserve">Table </w:t>
      </w:r>
      <w:r w:rsidR="009034D4">
        <w:t>2</w:t>
      </w:r>
      <w:r w:rsidR="00827E2D">
        <w:fldChar w:fldCharType="end"/>
      </w:r>
      <w:r w:rsidRPr="00DE4301">
        <w:t>).</w:t>
      </w:r>
      <w:r w:rsidRPr="00A66A5F">
        <w:t xml:space="preserve"> The regional population is expected to grow by a further 20,000 people between 2031 and 2041, to a total of 354,000 </w:t>
      </w:r>
      <w:r w:rsidR="00771FFF">
        <w:t xml:space="preserve">(based on </w:t>
      </w:r>
      <w:r w:rsidR="00F932B5">
        <w:t>Department of Planning and Community D</w:t>
      </w:r>
      <w:r w:rsidR="0027647F">
        <w:t>e</w:t>
      </w:r>
      <w:r w:rsidR="00F932B5">
        <w:t>velopment</w:t>
      </w:r>
      <w:r w:rsidR="00F932B5" w:rsidRPr="00771FFF">
        <w:t xml:space="preserve"> </w:t>
      </w:r>
      <w:r w:rsidR="00771FFF" w:rsidRPr="00771FFF">
        <w:t>unpublished population projections 2012</w:t>
      </w:r>
      <w:r w:rsidR="00771FFF">
        <w:t xml:space="preserve">). This is </w:t>
      </w:r>
      <w:r w:rsidRPr="00A66A5F">
        <w:t>a 30</w:t>
      </w:r>
      <w:r w:rsidR="00F932B5">
        <w:t xml:space="preserve"> per cent</w:t>
      </w:r>
      <w:r w:rsidR="00B15526">
        <w:t xml:space="preserve"> </w:t>
      </w:r>
      <w:r w:rsidRPr="00A66A5F">
        <w:t>increase over the period from 2011.</w:t>
      </w:r>
    </w:p>
    <w:p w:rsidR="007A143F" w:rsidRDefault="00A66A5F">
      <w:pPr>
        <w:pStyle w:val="bt"/>
      </w:pPr>
      <w:r w:rsidRPr="00A66A5F">
        <w:t xml:space="preserve">Growth is likely to be distributed unevenly across the </w:t>
      </w:r>
      <w:r w:rsidR="0021059A">
        <w:t>r</w:t>
      </w:r>
      <w:r w:rsidRPr="00A66A5F">
        <w:t xml:space="preserve">egion, with the majority of population increases concentrated in the City of Greater Shepparton, </w:t>
      </w:r>
      <w:r w:rsidR="00B15526">
        <w:t xml:space="preserve">the </w:t>
      </w:r>
      <w:r w:rsidRPr="00A66A5F">
        <w:t xml:space="preserve">City of Wodonga and the </w:t>
      </w:r>
      <w:r w:rsidR="00B15526">
        <w:t>s</w:t>
      </w:r>
      <w:r w:rsidRPr="00A66A5F">
        <w:t>hires of Mitchell and Moira.</w:t>
      </w:r>
    </w:p>
    <w:p w:rsidR="001E6B61" w:rsidRDefault="00C23328" w:rsidP="00B44623">
      <w:pPr>
        <w:pStyle w:val="Caption"/>
        <w:ind w:left="142"/>
      </w:pPr>
      <w:bookmarkStart w:id="134" w:name="_Ref348349056"/>
      <w:bookmarkStart w:id="135" w:name="_Toc374612555"/>
      <w:r w:rsidRPr="00DF6019">
        <w:t xml:space="preserve">Table </w:t>
      </w:r>
      <w:r w:rsidR="00827E2D">
        <w:fldChar w:fldCharType="begin"/>
      </w:r>
      <w:r w:rsidR="00827E2D">
        <w:instrText xml:space="preserve"> SEQ Table \* ARABIC </w:instrText>
      </w:r>
      <w:r w:rsidR="00827E2D">
        <w:fldChar w:fldCharType="separate"/>
      </w:r>
      <w:r w:rsidR="009034D4">
        <w:rPr>
          <w:noProof/>
        </w:rPr>
        <w:t>2</w:t>
      </w:r>
      <w:r w:rsidR="00827E2D">
        <w:rPr>
          <w:noProof/>
        </w:rPr>
        <w:fldChar w:fldCharType="end"/>
      </w:r>
      <w:bookmarkEnd w:id="134"/>
      <w:r w:rsidR="007536C0" w:rsidRPr="007536C0">
        <w:t>: Population growth projections for municipalities to 2031</w:t>
      </w:r>
      <w:bookmarkEnd w:id="135"/>
    </w:p>
    <w:p w:rsidR="00AF5412" w:rsidRPr="00AF5412" w:rsidRDefault="00AF5412" w:rsidP="00AF5412">
      <w:pPr>
        <w:pStyle w:val="bt"/>
        <w:spacing w:before="60" w:after="0"/>
        <w:rPr>
          <w:b/>
        </w:rPr>
      </w:pPr>
      <w:r w:rsidRPr="00AF5412">
        <w:rPr>
          <w:b/>
        </w:rPr>
        <w:t xml:space="preserve">Local Government Area: </w:t>
      </w:r>
      <w:r>
        <w:t>Alpine</w:t>
      </w:r>
    </w:p>
    <w:p w:rsidR="00AF5412" w:rsidRDefault="00AF5412" w:rsidP="00A41B2E">
      <w:pPr>
        <w:pStyle w:val="bt"/>
        <w:numPr>
          <w:ilvl w:val="0"/>
          <w:numId w:val="28"/>
        </w:numPr>
        <w:spacing w:before="60" w:after="0"/>
      </w:pPr>
      <w:r w:rsidRPr="00704F6F">
        <w:t>Estimated Resident Population (ERP)</w:t>
      </w:r>
      <w:r>
        <w:t>: 2011 – 12,900</w:t>
      </w:r>
    </w:p>
    <w:p w:rsidR="00AF5412" w:rsidRDefault="00AF5412" w:rsidP="00A41B2E">
      <w:pPr>
        <w:pStyle w:val="bt"/>
        <w:numPr>
          <w:ilvl w:val="0"/>
          <w:numId w:val="28"/>
        </w:numPr>
        <w:spacing w:before="60" w:after="0"/>
      </w:pPr>
      <w:r w:rsidRPr="00704F6F">
        <w:t>Estimated Resident Population (ERP)</w:t>
      </w:r>
      <w:r>
        <w:t>: 2021 – 13,200</w:t>
      </w:r>
    </w:p>
    <w:p w:rsidR="00AF5412" w:rsidRDefault="00AF5412" w:rsidP="00A41B2E">
      <w:pPr>
        <w:pStyle w:val="bt"/>
        <w:numPr>
          <w:ilvl w:val="0"/>
          <w:numId w:val="28"/>
        </w:numPr>
        <w:spacing w:before="60" w:after="0"/>
      </w:pPr>
      <w:r w:rsidRPr="00704F6F">
        <w:t>Estimated Resident Population (ERP)</w:t>
      </w:r>
      <w:r>
        <w:t xml:space="preserve">: 2031 – </w:t>
      </w:r>
      <w:r w:rsidR="0073697A">
        <w:t>13,600</w:t>
      </w:r>
    </w:p>
    <w:p w:rsidR="00AF5412" w:rsidRPr="0073697A" w:rsidRDefault="00AF5412" w:rsidP="00A41B2E">
      <w:pPr>
        <w:pStyle w:val="bt"/>
        <w:numPr>
          <w:ilvl w:val="0"/>
          <w:numId w:val="28"/>
        </w:numPr>
        <w:spacing w:before="60" w:after="0"/>
        <w:rPr>
          <w:szCs w:val="20"/>
        </w:rPr>
      </w:pPr>
      <w:r w:rsidRPr="00AF5412">
        <w:rPr>
          <w:szCs w:val="20"/>
        </w:rPr>
        <w:t xml:space="preserve">Land area </w:t>
      </w:r>
      <w:r w:rsidRPr="00AF5412">
        <w:rPr>
          <w:rFonts w:cs="Calibri"/>
          <w:bCs/>
          <w:szCs w:val="20"/>
        </w:rPr>
        <w:t>(km²)</w:t>
      </w:r>
      <w:r>
        <w:rPr>
          <w:rFonts w:cs="Calibri"/>
          <w:bCs/>
          <w:szCs w:val="20"/>
        </w:rPr>
        <w:t xml:space="preserve"> – </w:t>
      </w:r>
      <w:r w:rsidR="0073697A" w:rsidRPr="002D3FD3">
        <w:rPr>
          <w:rFonts w:ascii="Arial Narrow" w:hAnsi="Arial Narrow" w:cs="Calibri"/>
          <w:bCs/>
          <w:iCs/>
          <w:color w:val="000000" w:themeColor="text1"/>
          <w:szCs w:val="20"/>
        </w:rPr>
        <w:t>5005</w:t>
      </w:r>
    </w:p>
    <w:p w:rsidR="0073697A" w:rsidRPr="00AF5412" w:rsidRDefault="0073697A" w:rsidP="0073697A">
      <w:pPr>
        <w:pStyle w:val="bt"/>
        <w:spacing w:before="60" w:after="0"/>
        <w:rPr>
          <w:b/>
        </w:rPr>
      </w:pPr>
      <w:r w:rsidRPr="00AF5412">
        <w:rPr>
          <w:b/>
        </w:rPr>
        <w:t xml:space="preserve">Local Government Area: </w:t>
      </w:r>
      <w:r>
        <w:t>Benalla</w:t>
      </w:r>
    </w:p>
    <w:p w:rsidR="0073697A" w:rsidRDefault="0073697A" w:rsidP="00A41B2E">
      <w:pPr>
        <w:pStyle w:val="bt"/>
        <w:numPr>
          <w:ilvl w:val="0"/>
          <w:numId w:val="28"/>
        </w:numPr>
        <w:spacing w:before="60" w:after="0"/>
      </w:pPr>
      <w:r w:rsidRPr="00704F6F">
        <w:t>Estimated Resident Population (ERP)</w:t>
      </w:r>
      <w:r>
        <w:t>: 2011 – 14,300</w:t>
      </w:r>
    </w:p>
    <w:p w:rsidR="0073697A" w:rsidRDefault="0073697A" w:rsidP="00A41B2E">
      <w:pPr>
        <w:pStyle w:val="bt"/>
        <w:numPr>
          <w:ilvl w:val="0"/>
          <w:numId w:val="28"/>
        </w:numPr>
        <w:spacing w:before="60" w:after="0"/>
      </w:pPr>
      <w:r w:rsidRPr="00704F6F">
        <w:t>Estimated Resident Population (ERP)</w:t>
      </w:r>
      <w:r>
        <w:t>: 2021 – 15,300</w:t>
      </w:r>
    </w:p>
    <w:p w:rsidR="0073697A" w:rsidRDefault="0073697A" w:rsidP="00A41B2E">
      <w:pPr>
        <w:pStyle w:val="bt"/>
        <w:numPr>
          <w:ilvl w:val="0"/>
          <w:numId w:val="28"/>
        </w:numPr>
        <w:spacing w:before="60" w:after="0"/>
      </w:pPr>
      <w:r w:rsidRPr="00704F6F">
        <w:t>Estimated Resident Population (ERP)</w:t>
      </w:r>
      <w:r>
        <w:t>: 2031 – 16,000</w:t>
      </w:r>
    </w:p>
    <w:p w:rsidR="0073697A" w:rsidRPr="00AF5412" w:rsidRDefault="0073697A" w:rsidP="00A41B2E">
      <w:pPr>
        <w:pStyle w:val="bt"/>
        <w:numPr>
          <w:ilvl w:val="0"/>
          <w:numId w:val="28"/>
        </w:numPr>
        <w:spacing w:before="60" w:after="0"/>
        <w:rPr>
          <w:szCs w:val="20"/>
        </w:rPr>
      </w:pPr>
      <w:r w:rsidRPr="00AF5412">
        <w:rPr>
          <w:szCs w:val="20"/>
        </w:rPr>
        <w:t xml:space="preserve">Land area </w:t>
      </w:r>
      <w:r w:rsidRPr="00AF5412">
        <w:rPr>
          <w:rFonts w:cs="Calibri"/>
          <w:bCs/>
          <w:szCs w:val="20"/>
        </w:rPr>
        <w:t>(km²)</w:t>
      </w:r>
      <w:r>
        <w:rPr>
          <w:rFonts w:cs="Calibri"/>
          <w:bCs/>
          <w:szCs w:val="20"/>
        </w:rPr>
        <w:t xml:space="preserve"> – </w:t>
      </w:r>
      <w:r w:rsidRPr="002D3FD3">
        <w:rPr>
          <w:rFonts w:ascii="Arial Narrow" w:hAnsi="Arial Narrow"/>
          <w:szCs w:val="20"/>
        </w:rPr>
        <w:t>2351</w:t>
      </w:r>
    </w:p>
    <w:p w:rsidR="0073697A" w:rsidRPr="00AF5412" w:rsidRDefault="0073697A" w:rsidP="0073697A">
      <w:pPr>
        <w:pStyle w:val="bt"/>
        <w:spacing w:before="60" w:after="0"/>
        <w:rPr>
          <w:b/>
        </w:rPr>
      </w:pPr>
      <w:r w:rsidRPr="00AF5412">
        <w:rPr>
          <w:b/>
        </w:rPr>
        <w:t xml:space="preserve">Local Government Area: </w:t>
      </w:r>
      <w:r>
        <w:t>Greater Shepparton</w:t>
      </w:r>
    </w:p>
    <w:p w:rsidR="0073697A" w:rsidRDefault="0073697A" w:rsidP="00A41B2E">
      <w:pPr>
        <w:pStyle w:val="bt"/>
        <w:numPr>
          <w:ilvl w:val="0"/>
          <w:numId w:val="28"/>
        </w:numPr>
        <w:spacing w:before="60" w:after="0"/>
      </w:pPr>
      <w:r w:rsidRPr="00704F6F">
        <w:t>Estimated Resident Population (ERP)</w:t>
      </w:r>
      <w:r>
        <w:t>: 2011 – 63,900</w:t>
      </w:r>
    </w:p>
    <w:p w:rsidR="0073697A" w:rsidRDefault="0073697A" w:rsidP="00A41B2E">
      <w:pPr>
        <w:pStyle w:val="bt"/>
        <w:numPr>
          <w:ilvl w:val="0"/>
          <w:numId w:val="28"/>
        </w:numPr>
        <w:spacing w:before="60" w:after="0"/>
      </w:pPr>
      <w:r w:rsidRPr="00704F6F">
        <w:t>Estimated Resident Population (ERP)</w:t>
      </w:r>
      <w:r>
        <w:t>: 2021 – 71,300</w:t>
      </w:r>
    </w:p>
    <w:p w:rsidR="0073697A" w:rsidRDefault="0073697A" w:rsidP="00A41B2E">
      <w:pPr>
        <w:pStyle w:val="bt"/>
        <w:numPr>
          <w:ilvl w:val="0"/>
          <w:numId w:val="28"/>
        </w:numPr>
        <w:spacing w:before="60" w:after="0"/>
      </w:pPr>
      <w:r w:rsidRPr="00704F6F">
        <w:t>Estimated Resident Population (ERP)</w:t>
      </w:r>
      <w:r>
        <w:t>: 2031 – 77,800</w:t>
      </w:r>
    </w:p>
    <w:p w:rsidR="0073697A" w:rsidRPr="00AF5412" w:rsidRDefault="0073697A" w:rsidP="00A41B2E">
      <w:pPr>
        <w:pStyle w:val="bt"/>
        <w:numPr>
          <w:ilvl w:val="0"/>
          <w:numId w:val="28"/>
        </w:numPr>
        <w:spacing w:before="60" w:after="0"/>
        <w:rPr>
          <w:szCs w:val="20"/>
        </w:rPr>
      </w:pPr>
      <w:r w:rsidRPr="00AF5412">
        <w:rPr>
          <w:szCs w:val="20"/>
        </w:rPr>
        <w:t xml:space="preserve">Land area </w:t>
      </w:r>
      <w:r w:rsidRPr="00AF5412">
        <w:rPr>
          <w:rFonts w:cs="Calibri"/>
          <w:bCs/>
          <w:szCs w:val="20"/>
        </w:rPr>
        <w:t>(km²)</w:t>
      </w:r>
      <w:r>
        <w:rPr>
          <w:rFonts w:cs="Calibri"/>
          <w:bCs/>
          <w:szCs w:val="20"/>
        </w:rPr>
        <w:t xml:space="preserve"> – </w:t>
      </w:r>
      <w:r w:rsidRPr="002D3FD3">
        <w:rPr>
          <w:rFonts w:ascii="Arial Narrow" w:hAnsi="Arial Narrow"/>
          <w:szCs w:val="20"/>
        </w:rPr>
        <w:t>2420</w:t>
      </w:r>
    </w:p>
    <w:p w:rsidR="0073697A" w:rsidRPr="00AF5412" w:rsidRDefault="0073697A" w:rsidP="0073697A">
      <w:pPr>
        <w:pStyle w:val="bt"/>
        <w:spacing w:before="60" w:after="0"/>
        <w:rPr>
          <w:b/>
        </w:rPr>
      </w:pPr>
      <w:r w:rsidRPr="00AF5412">
        <w:rPr>
          <w:b/>
        </w:rPr>
        <w:t xml:space="preserve">Local Government Area: </w:t>
      </w:r>
      <w:r>
        <w:t>Indigo</w:t>
      </w:r>
    </w:p>
    <w:p w:rsidR="0073697A" w:rsidRDefault="0073697A" w:rsidP="00A41B2E">
      <w:pPr>
        <w:pStyle w:val="bt"/>
        <w:numPr>
          <w:ilvl w:val="0"/>
          <w:numId w:val="28"/>
        </w:numPr>
        <w:spacing w:before="60" w:after="0"/>
      </w:pPr>
      <w:r w:rsidRPr="00704F6F">
        <w:t>Estimated Resident Population (ERP)</w:t>
      </w:r>
      <w:r>
        <w:t>: 2011 – 16,200</w:t>
      </w:r>
    </w:p>
    <w:p w:rsidR="0073697A" w:rsidRDefault="0073697A" w:rsidP="00A41B2E">
      <w:pPr>
        <w:pStyle w:val="bt"/>
        <w:numPr>
          <w:ilvl w:val="0"/>
          <w:numId w:val="28"/>
        </w:numPr>
        <w:spacing w:before="60" w:after="0"/>
      </w:pPr>
      <w:r w:rsidRPr="00704F6F">
        <w:t>Estimated Resident Population (ERP)</w:t>
      </w:r>
      <w:r>
        <w:t>: 2021 – 17,200</w:t>
      </w:r>
    </w:p>
    <w:p w:rsidR="0073697A" w:rsidRDefault="0073697A" w:rsidP="00A41B2E">
      <w:pPr>
        <w:pStyle w:val="bt"/>
        <w:numPr>
          <w:ilvl w:val="0"/>
          <w:numId w:val="28"/>
        </w:numPr>
        <w:spacing w:before="60" w:after="0"/>
      </w:pPr>
      <w:r w:rsidRPr="00704F6F">
        <w:t>Estimated Resident Population (ERP)</w:t>
      </w:r>
      <w:r>
        <w:t>: 2031 – 18,200</w:t>
      </w:r>
    </w:p>
    <w:p w:rsidR="0073697A" w:rsidRPr="00AF5412" w:rsidRDefault="0073697A" w:rsidP="00A41B2E">
      <w:pPr>
        <w:pStyle w:val="bt"/>
        <w:numPr>
          <w:ilvl w:val="0"/>
          <w:numId w:val="28"/>
        </w:numPr>
        <w:spacing w:before="60" w:after="0"/>
        <w:rPr>
          <w:szCs w:val="20"/>
        </w:rPr>
      </w:pPr>
      <w:r w:rsidRPr="00AF5412">
        <w:rPr>
          <w:szCs w:val="20"/>
        </w:rPr>
        <w:t xml:space="preserve">Land area </w:t>
      </w:r>
      <w:r w:rsidRPr="00AF5412">
        <w:rPr>
          <w:rFonts w:cs="Calibri"/>
          <w:bCs/>
          <w:szCs w:val="20"/>
        </w:rPr>
        <w:t>(km²)</w:t>
      </w:r>
      <w:r>
        <w:rPr>
          <w:rFonts w:cs="Calibri"/>
          <w:bCs/>
          <w:szCs w:val="20"/>
        </w:rPr>
        <w:t xml:space="preserve"> – </w:t>
      </w:r>
      <w:r w:rsidRPr="002D3FD3">
        <w:rPr>
          <w:rFonts w:ascii="Arial Narrow" w:hAnsi="Arial Narrow"/>
          <w:szCs w:val="20"/>
        </w:rPr>
        <w:t>2044</w:t>
      </w:r>
    </w:p>
    <w:p w:rsidR="0073697A" w:rsidRPr="00AF5412" w:rsidRDefault="0073697A" w:rsidP="0073697A">
      <w:pPr>
        <w:pStyle w:val="bt"/>
        <w:spacing w:before="60" w:after="0"/>
        <w:rPr>
          <w:b/>
        </w:rPr>
      </w:pPr>
      <w:r w:rsidRPr="00AF5412">
        <w:rPr>
          <w:b/>
        </w:rPr>
        <w:t xml:space="preserve">Local Government Area: </w:t>
      </w:r>
      <w:r>
        <w:t>Mansfield</w:t>
      </w:r>
    </w:p>
    <w:p w:rsidR="0073697A" w:rsidRDefault="0073697A" w:rsidP="00A41B2E">
      <w:pPr>
        <w:pStyle w:val="bt"/>
        <w:numPr>
          <w:ilvl w:val="0"/>
          <w:numId w:val="28"/>
        </w:numPr>
        <w:spacing w:before="60" w:after="0"/>
      </w:pPr>
      <w:r w:rsidRPr="00704F6F">
        <w:t>Estimated Resident Population (ERP)</w:t>
      </w:r>
      <w:r>
        <w:t>: 2011 – 8000</w:t>
      </w:r>
    </w:p>
    <w:p w:rsidR="0073697A" w:rsidRDefault="0073697A" w:rsidP="00A41B2E">
      <w:pPr>
        <w:pStyle w:val="bt"/>
        <w:numPr>
          <w:ilvl w:val="0"/>
          <w:numId w:val="28"/>
        </w:numPr>
        <w:spacing w:before="60" w:after="0"/>
      </w:pPr>
      <w:r w:rsidRPr="00704F6F">
        <w:t>Estimated Resident Population (ERP)</w:t>
      </w:r>
      <w:r>
        <w:t>: 2021 – 9000</w:t>
      </w:r>
    </w:p>
    <w:p w:rsidR="0073697A" w:rsidRDefault="0073697A" w:rsidP="00A41B2E">
      <w:pPr>
        <w:pStyle w:val="bt"/>
        <w:numPr>
          <w:ilvl w:val="0"/>
          <w:numId w:val="28"/>
        </w:numPr>
        <w:spacing w:before="60" w:after="0"/>
      </w:pPr>
      <w:r w:rsidRPr="00704F6F">
        <w:t>Estimated Resident Population (ERP)</w:t>
      </w:r>
      <w:r>
        <w:t>: 2031 – 10,200</w:t>
      </w:r>
    </w:p>
    <w:p w:rsidR="0073697A" w:rsidRPr="00AF5412" w:rsidRDefault="0073697A" w:rsidP="00A41B2E">
      <w:pPr>
        <w:pStyle w:val="bt"/>
        <w:numPr>
          <w:ilvl w:val="0"/>
          <w:numId w:val="28"/>
        </w:numPr>
        <w:spacing w:before="60" w:after="0"/>
        <w:rPr>
          <w:szCs w:val="20"/>
        </w:rPr>
      </w:pPr>
      <w:r w:rsidRPr="00AF5412">
        <w:rPr>
          <w:szCs w:val="20"/>
        </w:rPr>
        <w:lastRenderedPageBreak/>
        <w:t xml:space="preserve">Land area </w:t>
      </w:r>
      <w:r w:rsidRPr="00AF5412">
        <w:rPr>
          <w:rFonts w:cs="Calibri"/>
          <w:bCs/>
          <w:szCs w:val="20"/>
        </w:rPr>
        <w:t>(km²)</w:t>
      </w:r>
      <w:r>
        <w:rPr>
          <w:rFonts w:cs="Calibri"/>
          <w:bCs/>
          <w:szCs w:val="20"/>
        </w:rPr>
        <w:t xml:space="preserve"> – </w:t>
      </w:r>
      <w:r w:rsidRPr="002D3FD3">
        <w:rPr>
          <w:rFonts w:ascii="Arial Narrow" w:hAnsi="Arial Narrow"/>
          <w:szCs w:val="20"/>
        </w:rPr>
        <w:t>3892</w:t>
      </w:r>
    </w:p>
    <w:p w:rsidR="0073697A" w:rsidRPr="00AF5412" w:rsidRDefault="0073697A" w:rsidP="0073697A">
      <w:pPr>
        <w:pStyle w:val="bt"/>
        <w:spacing w:before="60" w:after="0"/>
        <w:rPr>
          <w:b/>
        </w:rPr>
      </w:pPr>
      <w:r w:rsidRPr="00AF5412">
        <w:rPr>
          <w:b/>
        </w:rPr>
        <w:t xml:space="preserve">Local Government Area: </w:t>
      </w:r>
      <w:r>
        <w:t>Mitchell</w:t>
      </w:r>
      <w:r w:rsidR="00147F07">
        <w:t xml:space="preserve"> *</w:t>
      </w:r>
    </w:p>
    <w:p w:rsidR="0073697A" w:rsidRDefault="0073697A" w:rsidP="00A41B2E">
      <w:pPr>
        <w:pStyle w:val="bt"/>
        <w:numPr>
          <w:ilvl w:val="0"/>
          <w:numId w:val="28"/>
        </w:numPr>
        <w:spacing w:before="60" w:after="0"/>
      </w:pPr>
      <w:r w:rsidRPr="00704F6F">
        <w:t>Estimated Resident Population (ERP)</w:t>
      </w:r>
      <w:r>
        <w:t>: 2011 – 35,400</w:t>
      </w:r>
    </w:p>
    <w:p w:rsidR="0073697A" w:rsidRDefault="0073697A" w:rsidP="00A41B2E">
      <w:pPr>
        <w:pStyle w:val="bt"/>
        <w:numPr>
          <w:ilvl w:val="0"/>
          <w:numId w:val="28"/>
        </w:numPr>
        <w:spacing w:before="60" w:after="0"/>
      </w:pPr>
      <w:r w:rsidRPr="00704F6F">
        <w:t>Estimated Resident Population (ERP)</w:t>
      </w:r>
      <w:r>
        <w:t>: 2021 – 42,500</w:t>
      </w:r>
    </w:p>
    <w:p w:rsidR="0073697A" w:rsidRDefault="0073697A" w:rsidP="00A41B2E">
      <w:pPr>
        <w:pStyle w:val="bt"/>
        <w:numPr>
          <w:ilvl w:val="0"/>
          <w:numId w:val="28"/>
        </w:numPr>
        <w:spacing w:before="60" w:after="0"/>
      </w:pPr>
      <w:r w:rsidRPr="00704F6F">
        <w:t>Estimated Resident Population (ERP)</w:t>
      </w:r>
      <w:r>
        <w:t>: 2031 – 45,600</w:t>
      </w:r>
    </w:p>
    <w:p w:rsidR="0073697A" w:rsidRPr="00AF5412" w:rsidRDefault="0073697A" w:rsidP="00A41B2E">
      <w:pPr>
        <w:pStyle w:val="bt"/>
        <w:numPr>
          <w:ilvl w:val="0"/>
          <w:numId w:val="28"/>
        </w:numPr>
        <w:spacing w:before="60" w:after="0"/>
        <w:rPr>
          <w:szCs w:val="20"/>
        </w:rPr>
      </w:pPr>
      <w:r w:rsidRPr="00AF5412">
        <w:rPr>
          <w:szCs w:val="20"/>
        </w:rPr>
        <w:t xml:space="preserve">Land area </w:t>
      </w:r>
      <w:r w:rsidRPr="00AF5412">
        <w:rPr>
          <w:rFonts w:cs="Calibri"/>
          <w:bCs/>
          <w:szCs w:val="20"/>
        </w:rPr>
        <w:t>(km²)</w:t>
      </w:r>
      <w:r>
        <w:rPr>
          <w:rFonts w:cs="Calibri"/>
          <w:bCs/>
          <w:szCs w:val="20"/>
        </w:rPr>
        <w:t xml:space="preserve"> – </w:t>
      </w:r>
      <w:r w:rsidRPr="002D3FD3">
        <w:rPr>
          <w:rFonts w:ascii="Arial Narrow" w:hAnsi="Arial Narrow"/>
          <w:szCs w:val="20"/>
        </w:rPr>
        <w:t>2862</w:t>
      </w:r>
    </w:p>
    <w:p w:rsidR="0073697A" w:rsidRPr="00AF5412" w:rsidRDefault="0073697A" w:rsidP="0073697A">
      <w:pPr>
        <w:pStyle w:val="bt"/>
        <w:spacing w:before="60" w:after="0"/>
        <w:rPr>
          <w:b/>
        </w:rPr>
      </w:pPr>
      <w:r w:rsidRPr="00AF5412">
        <w:rPr>
          <w:b/>
        </w:rPr>
        <w:t xml:space="preserve">Local Government Area: </w:t>
      </w:r>
      <w:r>
        <w:t>Moira</w:t>
      </w:r>
    </w:p>
    <w:p w:rsidR="0073697A" w:rsidRDefault="0073697A" w:rsidP="00A41B2E">
      <w:pPr>
        <w:pStyle w:val="bt"/>
        <w:numPr>
          <w:ilvl w:val="0"/>
          <w:numId w:val="28"/>
        </w:numPr>
        <w:spacing w:before="60" w:after="0"/>
      </w:pPr>
      <w:r w:rsidRPr="00704F6F">
        <w:t>Estimated Resident Population (ERP)</w:t>
      </w:r>
      <w:r>
        <w:t>: 2011 – 29,500</w:t>
      </w:r>
    </w:p>
    <w:p w:rsidR="0073697A" w:rsidRDefault="0073697A" w:rsidP="00A41B2E">
      <w:pPr>
        <w:pStyle w:val="bt"/>
        <w:numPr>
          <w:ilvl w:val="0"/>
          <w:numId w:val="28"/>
        </w:numPr>
        <w:spacing w:before="60" w:after="0"/>
      </w:pPr>
      <w:r w:rsidRPr="00704F6F">
        <w:t>Estimated Resident Population (ERP)</w:t>
      </w:r>
      <w:r>
        <w:t>: 2021 – 33,200</w:t>
      </w:r>
    </w:p>
    <w:p w:rsidR="0073697A" w:rsidRDefault="0073697A" w:rsidP="00A41B2E">
      <w:pPr>
        <w:pStyle w:val="bt"/>
        <w:numPr>
          <w:ilvl w:val="0"/>
          <w:numId w:val="28"/>
        </w:numPr>
        <w:spacing w:before="60" w:after="0"/>
      </w:pPr>
      <w:r w:rsidRPr="00704F6F">
        <w:t>Estimated Resident Population (ERP)</w:t>
      </w:r>
      <w:r>
        <w:t>: 2031 – 36,900</w:t>
      </w:r>
    </w:p>
    <w:p w:rsidR="0073697A" w:rsidRPr="00AF5412" w:rsidRDefault="0073697A" w:rsidP="00A41B2E">
      <w:pPr>
        <w:pStyle w:val="bt"/>
        <w:numPr>
          <w:ilvl w:val="0"/>
          <w:numId w:val="28"/>
        </w:numPr>
        <w:spacing w:before="60" w:after="0"/>
        <w:rPr>
          <w:szCs w:val="20"/>
        </w:rPr>
      </w:pPr>
      <w:r w:rsidRPr="00AF5412">
        <w:rPr>
          <w:szCs w:val="20"/>
        </w:rPr>
        <w:t xml:space="preserve">Land area </w:t>
      </w:r>
      <w:r w:rsidRPr="00AF5412">
        <w:rPr>
          <w:rFonts w:cs="Calibri"/>
          <w:bCs/>
          <w:szCs w:val="20"/>
        </w:rPr>
        <w:t>(km²)</w:t>
      </w:r>
      <w:r>
        <w:rPr>
          <w:rFonts w:cs="Calibri"/>
          <w:bCs/>
          <w:szCs w:val="20"/>
        </w:rPr>
        <w:t xml:space="preserve"> – </w:t>
      </w:r>
      <w:r w:rsidRPr="002D3FD3">
        <w:rPr>
          <w:rFonts w:ascii="Arial Narrow" w:hAnsi="Arial Narrow"/>
          <w:szCs w:val="20"/>
        </w:rPr>
        <w:t>4078</w:t>
      </w:r>
    </w:p>
    <w:p w:rsidR="0073697A" w:rsidRPr="00AF5412" w:rsidRDefault="0073697A" w:rsidP="0073697A">
      <w:pPr>
        <w:pStyle w:val="bt"/>
        <w:spacing w:before="60" w:after="0"/>
        <w:rPr>
          <w:b/>
        </w:rPr>
      </w:pPr>
      <w:r w:rsidRPr="00AF5412">
        <w:rPr>
          <w:b/>
        </w:rPr>
        <w:t xml:space="preserve">Local Government Area: </w:t>
      </w:r>
      <w:r>
        <w:t>Murrindindi</w:t>
      </w:r>
    </w:p>
    <w:p w:rsidR="0073697A" w:rsidRDefault="0073697A" w:rsidP="00A41B2E">
      <w:pPr>
        <w:pStyle w:val="bt"/>
        <w:numPr>
          <w:ilvl w:val="0"/>
          <w:numId w:val="28"/>
        </w:numPr>
        <w:spacing w:before="60" w:after="0"/>
      </w:pPr>
      <w:r w:rsidRPr="00704F6F">
        <w:t>Estimated Resident Population (ERP)</w:t>
      </w:r>
      <w:r>
        <w:t>: 2011 – 13,600</w:t>
      </w:r>
    </w:p>
    <w:p w:rsidR="0073697A" w:rsidRDefault="0073697A" w:rsidP="00A41B2E">
      <w:pPr>
        <w:pStyle w:val="bt"/>
        <w:numPr>
          <w:ilvl w:val="0"/>
          <w:numId w:val="28"/>
        </w:numPr>
        <w:spacing w:before="60" w:after="0"/>
      </w:pPr>
      <w:r w:rsidRPr="00704F6F">
        <w:t>Estimated Resident Population (ERP)</w:t>
      </w:r>
      <w:r>
        <w:t>: 2021 – 16,500</w:t>
      </w:r>
    </w:p>
    <w:p w:rsidR="0073697A" w:rsidRDefault="0073697A" w:rsidP="00A41B2E">
      <w:pPr>
        <w:pStyle w:val="bt"/>
        <w:numPr>
          <w:ilvl w:val="0"/>
          <w:numId w:val="28"/>
        </w:numPr>
        <w:spacing w:before="60" w:after="0"/>
      </w:pPr>
      <w:r w:rsidRPr="00704F6F">
        <w:t>Estimated Resident Population (ERP)</w:t>
      </w:r>
      <w:r>
        <w:t>: 2031 – 17,900</w:t>
      </w:r>
    </w:p>
    <w:p w:rsidR="0073697A" w:rsidRPr="00AF5412" w:rsidRDefault="0073697A" w:rsidP="00A41B2E">
      <w:pPr>
        <w:pStyle w:val="bt"/>
        <w:numPr>
          <w:ilvl w:val="0"/>
          <w:numId w:val="28"/>
        </w:numPr>
        <w:spacing w:before="60" w:after="0"/>
        <w:rPr>
          <w:szCs w:val="20"/>
        </w:rPr>
      </w:pPr>
      <w:r w:rsidRPr="00AF5412">
        <w:rPr>
          <w:szCs w:val="20"/>
        </w:rPr>
        <w:t xml:space="preserve">Land area </w:t>
      </w:r>
      <w:r w:rsidRPr="00AF5412">
        <w:rPr>
          <w:rFonts w:cs="Calibri"/>
          <w:bCs/>
          <w:szCs w:val="20"/>
        </w:rPr>
        <w:t>(km²)</w:t>
      </w:r>
      <w:r>
        <w:rPr>
          <w:rFonts w:cs="Calibri"/>
          <w:bCs/>
          <w:szCs w:val="20"/>
        </w:rPr>
        <w:t xml:space="preserve"> – </w:t>
      </w:r>
      <w:r w:rsidRPr="002D3FD3">
        <w:rPr>
          <w:rFonts w:ascii="Arial Narrow" w:hAnsi="Arial Narrow"/>
          <w:szCs w:val="20"/>
        </w:rPr>
        <w:t>3889</w:t>
      </w:r>
    </w:p>
    <w:p w:rsidR="0073697A" w:rsidRPr="00AF5412" w:rsidRDefault="0073697A" w:rsidP="0073697A">
      <w:pPr>
        <w:pStyle w:val="bt"/>
        <w:spacing w:before="60" w:after="0"/>
        <w:rPr>
          <w:b/>
        </w:rPr>
      </w:pPr>
      <w:r w:rsidRPr="00AF5412">
        <w:rPr>
          <w:b/>
        </w:rPr>
        <w:t xml:space="preserve">Local Government Area: </w:t>
      </w:r>
      <w:r>
        <w:t>Strathbogie</w:t>
      </w:r>
    </w:p>
    <w:p w:rsidR="0073697A" w:rsidRDefault="0073697A" w:rsidP="00A41B2E">
      <w:pPr>
        <w:pStyle w:val="bt"/>
        <w:numPr>
          <w:ilvl w:val="0"/>
          <w:numId w:val="28"/>
        </w:numPr>
        <w:spacing w:before="60" w:after="0"/>
      </w:pPr>
      <w:r w:rsidRPr="00704F6F">
        <w:t>Estimated Resident Population (ERP)</w:t>
      </w:r>
      <w:r>
        <w:t>: 2011 – 10,100</w:t>
      </w:r>
    </w:p>
    <w:p w:rsidR="0073697A" w:rsidRDefault="0073697A" w:rsidP="00A41B2E">
      <w:pPr>
        <w:pStyle w:val="bt"/>
        <w:numPr>
          <w:ilvl w:val="0"/>
          <w:numId w:val="28"/>
        </w:numPr>
        <w:spacing w:before="60" w:after="0"/>
      </w:pPr>
      <w:r w:rsidRPr="00704F6F">
        <w:t>Estimated Resident Population (ERP)</w:t>
      </w:r>
      <w:r>
        <w:t>: 2021 – 10,500</w:t>
      </w:r>
    </w:p>
    <w:p w:rsidR="0073697A" w:rsidRDefault="0073697A" w:rsidP="00A41B2E">
      <w:pPr>
        <w:pStyle w:val="bt"/>
        <w:numPr>
          <w:ilvl w:val="0"/>
          <w:numId w:val="28"/>
        </w:numPr>
        <w:spacing w:before="60" w:after="0"/>
      </w:pPr>
      <w:r w:rsidRPr="00704F6F">
        <w:t>Estimated Resident Population (ERP)</w:t>
      </w:r>
      <w:r>
        <w:t>: 2031 – 11,100</w:t>
      </w:r>
    </w:p>
    <w:p w:rsidR="0073697A" w:rsidRPr="00AF5412" w:rsidRDefault="0073697A" w:rsidP="00A41B2E">
      <w:pPr>
        <w:pStyle w:val="bt"/>
        <w:numPr>
          <w:ilvl w:val="0"/>
          <w:numId w:val="28"/>
        </w:numPr>
        <w:spacing w:before="60" w:after="0"/>
        <w:rPr>
          <w:szCs w:val="20"/>
        </w:rPr>
      </w:pPr>
      <w:r w:rsidRPr="00AF5412">
        <w:rPr>
          <w:szCs w:val="20"/>
        </w:rPr>
        <w:t xml:space="preserve">Land area </w:t>
      </w:r>
      <w:r w:rsidRPr="00AF5412">
        <w:rPr>
          <w:rFonts w:cs="Calibri"/>
          <w:bCs/>
          <w:szCs w:val="20"/>
        </w:rPr>
        <w:t>(km²)</w:t>
      </w:r>
      <w:r>
        <w:rPr>
          <w:rFonts w:cs="Calibri"/>
          <w:bCs/>
          <w:szCs w:val="20"/>
        </w:rPr>
        <w:t xml:space="preserve"> – </w:t>
      </w:r>
      <w:r w:rsidRPr="002D3FD3">
        <w:rPr>
          <w:rFonts w:ascii="Arial Narrow" w:hAnsi="Arial Narrow"/>
          <w:szCs w:val="20"/>
        </w:rPr>
        <w:t>3302</w:t>
      </w:r>
    </w:p>
    <w:p w:rsidR="0073697A" w:rsidRPr="00AF5412" w:rsidRDefault="0073697A" w:rsidP="0073697A">
      <w:pPr>
        <w:pStyle w:val="bt"/>
        <w:spacing w:before="60" w:after="0"/>
        <w:rPr>
          <w:b/>
        </w:rPr>
      </w:pPr>
      <w:r w:rsidRPr="00AF5412">
        <w:rPr>
          <w:b/>
        </w:rPr>
        <w:t xml:space="preserve">Local Government Area: </w:t>
      </w:r>
      <w:r>
        <w:t>Towong</w:t>
      </w:r>
    </w:p>
    <w:p w:rsidR="0073697A" w:rsidRDefault="0073697A" w:rsidP="00A41B2E">
      <w:pPr>
        <w:pStyle w:val="bt"/>
        <w:numPr>
          <w:ilvl w:val="0"/>
          <w:numId w:val="28"/>
        </w:numPr>
        <w:spacing w:before="60" w:after="0"/>
      </w:pPr>
      <w:r w:rsidRPr="00704F6F">
        <w:t>Estimated Resident Population (ERP)</w:t>
      </w:r>
      <w:r>
        <w:t>: 2011 – 6300</w:t>
      </w:r>
    </w:p>
    <w:p w:rsidR="0073697A" w:rsidRDefault="0073697A" w:rsidP="00A41B2E">
      <w:pPr>
        <w:pStyle w:val="bt"/>
        <w:numPr>
          <w:ilvl w:val="0"/>
          <w:numId w:val="28"/>
        </w:numPr>
        <w:spacing w:before="60" w:after="0"/>
      </w:pPr>
      <w:r w:rsidRPr="00704F6F">
        <w:t>Estimated Resident Population (ERP)</w:t>
      </w:r>
      <w:r>
        <w:t>: 2021 – 6400</w:t>
      </w:r>
    </w:p>
    <w:p w:rsidR="0073697A" w:rsidRDefault="0073697A" w:rsidP="00A41B2E">
      <w:pPr>
        <w:pStyle w:val="bt"/>
        <w:numPr>
          <w:ilvl w:val="0"/>
          <w:numId w:val="28"/>
        </w:numPr>
        <w:spacing w:before="60" w:after="0"/>
      </w:pPr>
      <w:r w:rsidRPr="00704F6F">
        <w:t>Estimated Resident Population (ERP)</w:t>
      </w:r>
      <w:r>
        <w:t>: 2031 – 6600</w:t>
      </w:r>
    </w:p>
    <w:p w:rsidR="0073697A" w:rsidRPr="00AF5412" w:rsidRDefault="0073697A" w:rsidP="00A41B2E">
      <w:pPr>
        <w:pStyle w:val="bt"/>
        <w:numPr>
          <w:ilvl w:val="0"/>
          <w:numId w:val="28"/>
        </w:numPr>
        <w:spacing w:before="60" w:after="0"/>
        <w:rPr>
          <w:szCs w:val="20"/>
        </w:rPr>
      </w:pPr>
      <w:r w:rsidRPr="00AF5412">
        <w:rPr>
          <w:szCs w:val="20"/>
        </w:rPr>
        <w:t xml:space="preserve">Land area </w:t>
      </w:r>
      <w:r w:rsidRPr="00AF5412">
        <w:rPr>
          <w:rFonts w:cs="Calibri"/>
          <w:bCs/>
          <w:szCs w:val="20"/>
        </w:rPr>
        <w:t>(km²)</w:t>
      </w:r>
      <w:r>
        <w:rPr>
          <w:rFonts w:cs="Calibri"/>
          <w:bCs/>
          <w:szCs w:val="20"/>
        </w:rPr>
        <w:t xml:space="preserve"> – </w:t>
      </w:r>
      <w:r w:rsidRPr="002D3FD3">
        <w:rPr>
          <w:rFonts w:ascii="Arial Narrow" w:hAnsi="Arial Narrow"/>
          <w:szCs w:val="20"/>
        </w:rPr>
        <w:t>6673</w:t>
      </w:r>
    </w:p>
    <w:p w:rsidR="0073697A" w:rsidRPr="00AF5412" w:rsidRDefault="0073697A" w:rsidP="0073697A">
      <w:pPr>
        <w:pStyle w:val="bt"/>
        <w:spacing w:before="60" w:after="0"/>
        <w:rPr>
          <w:b/>
        </w:rPr>
      </w:pPr>
      <w:r w:rsidRPr="00AF5412">
        <w:rPr>
          <w:b/>
        </w:rPr>
        <w:t xml:space="preserve">Local Government Area: </w:t>
      </w:r>
      <w:r>
        <w:t>Wangaratta</w:t>
      </w:r>
    </w:p>
    <w:p w:rsidR="0073697A" w:rsidRDefault="0073697A" w:rsidP="00A41B2E">
      <w:pPr>
        <w:pStyle w:val="bt"/>
        <w:numPr>
          <w:ilvl w:val="0"/>
          <w:numId w:val="28"/>
        </w:numPr>
        <w:spacing w:before="60" w:after="0"/>
      </w:pPr>
      <w:r w:rsidRPr="00704F6F">
        <w:t>Estimated Resident Population (ERP)</w:t>
      </w:r>
      <w:r>
        <w:t>: 2011 – 29,000</w:t>
      </w:r>
    </w:p>
    <w:p w:rsidR="0073697A" w:rsidRDefault="0073697A" w:rsidP="00A41B2E">
      <w:pPr>
        <w:pStyle w:val="bt"/>
        <w:numPr>
          <w:ilvl w:val="0"/>
          <w:numId w:val="28"/>
        </w:numPr>
        <w:spacing w:before="60" w:after="0"/>
      </w:pPr>
      <w:r w:rsidRPr="00704F6F">
        <w:t>Estimated Resident Population (ERP)</w:t>
      </w:r>
      <w:r>
        <w:t>: 2021 – 30,300</w:t>
      </w:r>
    </w:p>
    <w:p w:rsidR="0073697A" w:rsidRDefault="0073697A" w:rsidP="00A41B2E">
      <w:pPr>
        <w:pStyle w:val="bt"/>
        <w:numPr>
          <w:ilvl w:val="0"/>
          <w:numId w:val="28"/>
        </w:numPr>
        <w:spacing w:before="60" w:after="0"/>
      </w:pPr>
      <w:r w:rsidRPr="00704F6F">
        <w:t>Estimated Resident Population (ERP)</w:t>
      </w:r>
      <w:r>
        <w:t>: 2031 – 31,600</w:t>
      </w:r>
    </w:p>
    <w:p w:rsidR="0073697A" w:rsidRPr="00AF5412" w:rsidRDefault="0073697A" w:rsidP="00A41B2E">
      <w:pPr>
        <w:pStyle w:val="bt"/>
        <w:numPr>
          <w:ilvl w:val="0"/>
          <w:numId w:val="28"/>
        </w:numPr>
        <w:spacing w:before="60" w:after="0"/>
        <w:rPr>
          <w:szCs w:val="20"/>
        </w:rPr>
      </w:pPr>
      <w:r w:rsidRPr="00AF5412">
        <w:rPr>
          <w:szCs w:val="20"/>
        </w:rPr>
        <w:t xml:space="preserve">Land area </w:t>
      </w:r>
      <w:r w:rsidRPr="00AF5412">
        <w:rPr>
          <w:rFonts w:cs="Calibri"/>
          <w:bCs/>
          <w:szCs w:val="20"/>
        </w:rPr>
        <w:t>(km²)</w:t>
      </w:r>
      <w:r>
        <w:rPr>
          <w:rFonts w:cs="Calibri"/>
          <w:bCs/>
          <w:szCs w:val="20"/>
        </w:rPr>
        <w:t xml:space="preserve"> – </w:t>
      </w:r>
      <w:r w:rsidRPr="002D3FD3">
        <w:rPr>
          <w:rFonts w:ascii="Arial Narrow" w:hAnsi="Arial Narrow"/>
          <w:szCs w:val="20"/>
        </w:rPr>
        <w:t>3764</w:t>
      </w:r>
    </w:p>
    <w:p w:rsidR="0073697A" w:rsidRPr="00AF5412" w:rsidRDefault="0073697A" w:rsidP="0073697A">
      <w:pPr>
        <w:pStyle w:val="bt"/>
        <w:spacing w:before="60" w:after="0"/>
        <w:rPr>
          <w:b/>
        </w:rPr>
      </w:pPr>
      <w:r w:rsidRPr="00AF5412">
        <w:rPr>
          <w:b/>
        </w:rPr>
        <w:t xml:space="preserve">Local Government Area: </w:t>
      </w:r>
      <w:r>
        <w:t>Wodonga</w:t>
      </w:r>
    </w:p>
    <w:p w:rsidR="0073697A" w:rsidRDefault="0073697A" w:rsidP="00A41B2E">
      <w:pPr>
        <w:pStyle w:val="bt"/>
        <w:numPr>
          <w:ilvl w:val="0"/>
          <w:numId w:val="28"/>
        </w:numPr>
        <w:spacing w:before="60" w:after="0"/>
      </w:pPr>
      <w:r w:rsidRPr="00704F6F">
        <w:t>Estimated Resident Population (ERP)</w:t>
      </w:r>
      <w:r>
        <w:t>: 2011 – 37,100</w:t>
      </w:r>
    </w:p>
    <w:p w:rsidR="0073697A" w:rsidRDefault="0073697A" w:rsidP="00A41B2E">
      <w:pPr>
        <w:pStyle w:val="bt"/>
        <w:numPr>
          <w:ilvl w:val="0"/>
          <w:numId w:val="28"/>
        </w:numPr>
        <w:spacing w:before="60" w:after="0"/>
      </w:pPr>
      <w:r w:rsidRPr="00704F6F">
        <w:t>Estimated Resident Population (ERP)</w:t>
      </w:r>
      <w:r>
        <w:t>: 2021 – 43,000</w:t>
      </w:r>
    </w:p>
    <w:p w:rsidR="0073697A" w:rsidRDefault="0073697A" w:rsidP="00A41B2E">
      <w:pPr>
        <w:pStyle w:val="bt"/>
        <w:numPr>
          <w:ilvl w:val="0"/>
          <w:numId w:val="28"/>
        </w:numPr>
        <w:spacing w:before="60" w:after="0"/>
      </w:pPr>
      <w:r w:rsidRPr="00704F6F">
        <w:t>Estimated Resident Population (ERP)</w:t>
      </w:r>
      <w:r>
        <w:t>: 2031 – 48,400</w:t>
      </w:r>
    </w:p>
    <w:p w:rsidR="0073697A" w:rsidRPr="00AF5412" w:rsidRDefault="0073697A" w:rsidP="00A41B2E">
      <w:pPr>
        <w:pStyle w:val="bt"/>
        <w:numPr>
          <w:ilvl w:val="0"/>
          <w:numId w:val="28"/>
        </w:numPr>
        <w:spacing w:before="60" w:after="0"/>
        <w:rPr>
          <w:szCs w:val="20"/>
        </w:rPr>
      </w:pPr>
      <w:r w:rsidRPr="00AF5412">
        <w:rPr>
          <w:szCs w:val="20"/>
        </w:rPr>
        <w:t xml:space="preserve">Land area </w:t>
      </w:r>
      <w:r w:rsidRPr="00AF5412">
        <w:rPr>
          <w:rFonts w:cs="Calibri"/>
          <w:bCs/>
          <w:szCs w:val="20"/>
        </w:rPr>
        <w:t>(km²)</w:t>
      </w:r>
      <w:r>
        <w:rPr>
          <w:rFonts w:cs="Calibri"/>
          <w:bCs/>
          <w:szCs w:val="20"/>
        </w:rPr>
        <w:t xml:space="preserve"> – </w:t>
      </w:r>
      <w:r w:rsidRPr="002D3FD3">
        <w:rPr>
          <w:rFonts w:ascii="Arial Narrow" w:hAnsi="Arial Narrow"/>
          <w:szCs w:val="20"/>
        </w:rPr>
        <w:t>433</w:t>
      </w:r>
    </w:p>
    <w:p w:rsidR="0073697A" w:rsidRPr="0073697A" w:rsidRDefault="0073697A" w:rsidP="0073697A">
      <w:pPr>
        <w:pStyle w:val="bt"/>
        <w:spacing w:before="60" w:after="0"/>
        <w:rPr>
          <w:b/>
        </w:rPr>
      </w:pPr>
      <w:r w:rsidRPr="0073697A">
        <w:rPr>
          <w:b/>
        </w:rPr>
        <w:t>Total</w:t>
      </w:r>
    </w:p>
    <w:p w:rsidR="0073697A" w:rsidRDefault="0073697A" w:rsidP="00A41B2E">
      <w:pPr>
        <w:pStyle w:val="bt"/>
        <w:numPr>
          <w:ilvl w:val="0"/>
          <w:numId w:val="28"/>
        </w:numPr>
        <w:spacing w:before="60" w:after="0"/>
      </w:pPr>
      <w:r w:rsidRPr="00704F6F">
        <w:t>Estimated Resident Population (ERP)</w:t>
      </w:r>
      <w:r>
        <w:t xml:space="preserve">: 2011 – </w:t>
      </w:r>
      <w:r w:rsidRPr="007536C0">
        <w:t>276,300</w:t>
      </w:r>
    </w:p>
    <w:p w:rsidR="0073697A" w:rsidRDefault="0073697A" w:rsidP="00A41B2E">
      <w:pPr>
        <w:pStyle w:val="bt"/>
        <w:numPr>
          <w:ilvl w:val="0"/>
          <w:numId w:val="28"/>
        </w:numPr>
        <w:spacing w:before="60" w:after="0"/>
      </w:pPr>
      <w:r w:rsidRPr="00704F6F">
        <w:t>Estimated Resident Population (ERP)</w:t>
      </w:r>
      <w:r>
        <w:t xml:space="preserve">: 2021 – </w:t>
      </w:r>
      <w:r w:rsidRPr="007536C0">
        <w:t>308,400</w:t>
      </w:r>
    </w:p>
    <w:p w:rsidR="0073697A" w:rsidRDefault="0073697A" w:rsidP="00A41B2E">
      <w:pPr>
        <w:pStyle w:val="bt"/>
        <w:numPr>
          <w:ilvl w:val="0"/>
          <w:numId w:val="28"/>
        </w:numPr>
        <w:spacing w:before="60" w:after="0"/>
      </w:pPr>
      <w:r w:rsidRPr="00704F6F">
        <w:t>Estimated Resident Population (ERP)</w:t>
      </w:r>
      <w:r>
        <w:t xml:space="preserve">: 2031 – </w:t>
      </w:r>
      <w:r w:rsidRPr="007536C0">
        <w:t>333,800</w:t>
      </w:r>
    </w:p>
    <w:p w:rsidR="0073697A" w:rsidRPr="0073697A" w:rsidRDefault="0073697A" w:rsidP="00A41B2E">
      <w:pPr>
        <w:pStyle w:val="bt"/>
        <w:numPr>
          <w:ilvl w:val="0"/>
          <w:numId w:val="28"/>
        </w:numPr>
        <w:spacing w:before="60" w:after="0"/>
        <w:rPr>
          <w:szCs w:val="20"/>
        </w:rPr>
      </w:pPr>
      <w:r w:rsidRPr="00AF5412">
        <w:rPr>
          <w:szCs w:val="20"/>
        </w:rPr>
        <w:t xml:space="preserve">Land area </w:t>
      </w:r>
      <w:r w:rsidRPr="00AF5412">
        <w:rPr>
          <w:rFonts w:cs="Calibri"/>
          <w:bCs/>
          <w:szCs w:val="20"/>
        </w:rPr>
        <w:t>(km²)</w:t>
      </w:r>
      <w:r>
        <w:rPr>
          <w:rFonts w:cs="Calibri"/>
          <w:bCs/>
          <w:szCs w:val="20"/>
        </w:rPr>
        <w:t xml:space="preserve"> – </w:t>
      </w:r>
      <w:r w:rsidRPr="002D3FD3">
        <w:rPr>
          <w:rFonts w:ascii="Arial Narrow" w:hAnsi="Arial Narrow" w:cs="Calibri"/>
          <w:b/>
          <w:bCs/>
          <w:color w:val="000000"/>
          <w:szCs w:val="20"/>
        </w:rPr>
        <w:t>40,713</w:t>
      </w:r>
    </w:p>
    <w:p w:rsidR="00146D2E" w:rsidRDefault="00146D2E" w:rsidP="0061220F">
      <w:pPr>
        <w:pStyle w:val="source"/>
      </w:pPr>
      <w:r w:rsidRPr="00F24E46">
        <w:t>Source: Victoria in Future 2012 (</w:t>
      </w:r>
      <w:r w:rsidR="000327E7" w:rsidRPr="00F24E46">
        <w:t xml:space="preserve">former </w:t>
      </w:r>
      <w:r w:rsidRPr="00F24E46">
        <w:t>Department of Planning and Community Development)</w:t>
      </w:r>
    </w:p>
    <w:p w:rsidR="00931E50" w:rsidRPr="00F24E46" w:rsidRDefault="00931E50" w:rsidP="00931E50">
      <w:pPr>
        <w:pStyle w:val="Sourcestyle"/>
      </w:pPr>
    </w:p>
    <w:p w:rsidR="001E6B61" w:rsidRDefault="00A66A5F" w:rsidP="00931E50">
      <w:pPr>
        <w:pStyle w:val="Sourcestyle"/>
      </w:pPr>
      <w:r w:rsidRPr="00F24E46">
        <w:t>* Figures for Mitchell Shire excludes expected metropolitan growth in the southern part of the LGA</w:t>
      </w:r>
    </w:p>
    <w:p w:rsidR="00931E50" w:rsidRPr="00F24E46" w:rsidRDefault="00931E50" w:rsidP="00931E50">
      <w:pPr>
        <w:pStyle w:val="Sourcestyle"/>
      </w:pPr>
    </w:p>
    <w:p w:rsidR="001E6B61" w:rsidRDefault="00A66A5F" w:rsidP="00931E50">
      <w:pPr>
        <w:pStyle w:val="Sourcestyle"/>
      </w:pPr>
      <w:r w:rsidRPr="00F24E46">
        <w:t xml:space="preserve">Note: </w:t>
      </w:r>
      <w:r w:rsidR="000327E7" w:rsidRPr="00F24E46">
        <w:t>P</w:t>
      </w:r>
      <w:r w:rsidRPr="00F24E46">
        <w:t>rojected totals for LGAs beyond 20 years (2031)</w:t>
      </w:r>
      <w:r w:rsidR="000327E7" w:rsidRPr="00F24E46">
        <w:t xml:space="preserve"> are not published as part of Victoria in Future</w:t>
      </w:r>
    </w:p>
    <w:p w:rsidR="00931E50" w:rsidRPr="00F24E46" w:rsidRDefault="00931E50" w:rsidP="00931E50">
      <w:pPr>
        <w:pStyle w:val="Sourcestyle"/>
      </w:pPr>
    </w:p>
    <w:p w:rsidR="008F6B05" w:rsidRDefault="00B5794B" w:rsidP="00181F96">
      <w:pPr>
        <w:pStyle w:val="bt"/>
        <w:spacing w:before="0"/>
      </w:pPr>
      <w:r w:rsidRPr="00B5794B">
        <w:t>The population of a</w:t>
      </w:r>
      <w:r>
        <w:t xml:space="preserve"> relatively small </w:t>
      </w:r>
      <w:r w:rsidRPr="00B5794B">
        <w:t>pr</w:t>
      </w:r>
      <w:r w:rsidR="005C3A96">
        <w:t>o</w:t>
      </w:r>
      <w:r w:rsidRPr="00B5794B">
        <w:t xml:space="preserve">portion of settlements in the region has </w:t>
      </w:r>
      <w:r w:rsidR="005C3A96">
        <w:t xml:space="preserve">decreased </w:t>
      </w:r>
      <w:r w:rsidRPr="00B5794B">
        <w:t xml:space="preserve">in the recent past and rural population has also </w:t>
      </w:r>
      <w:r w:rsidR="00907A9B" w:rsidRPr="00B5794B">
        <w:t>generally</w:t>
      </w:r>
      <w:r w:rsidR="00907A9B">
        <w:t xml:space="preserve"> decreased</w:t>
      </w:r>
      <w:r w:rsidRPr="00B5794B">
        <w:t>, particularly in those areas where employment is reliant on agriculture.</w:t>
      </w:r>
      <w:r>
        <w:t xml:space="preserve"> </w:t>
      </w:r>
      <w:r w:rsidR="00AA3D97">
        <w:fldChar w:fldCharType="begin"/>
      </w:r>
      <w:r w:rsidR="000706AF">
        <w:instrText xml:space="preserve"> REF _Ref363467932 \h </w:instrText>
      </w:r>
      <w:r w:rsidR="00AA3D97">
        <w:fldChar w:fldCharType="separate"/>
      </w:r>
      <w:r w:rsidR="009034D4" w:rsidRPr="008B7E59">
        <w:t xml:space="preserve">Table </w:t>
      </w:r>
      <w:r w:rsidR="009034D4">
        <w:rPr>
          <w:noProof/>
        </w:rPr>
        <w:t>3</w:t>
      </w:r>
      <w:r w:rsidR="00AA3D97">
        <w:fldChar w:fldCharType="end"/>
      </w:r>
      <w:r w:rsidR="000706AF">
        <w:t xml:space="preserve"> </w:t>
      </w:r>
      <w:r w:rsidR="00BD26C2">
        <w:t>shows that rural balance population (L</w:t>
      </w:r>
      <w:r w:rsidR="0027647F">
        <w:t>ocal Government Area</w:t>
      </w:r>
      <w:r w:rsidR="00BD26C2">
        <w:t xml:space="preserve"> population less all town populations within the </w:t>
      </w:r>
      <w:r w:rsidR="0027647F">
        <w:t>Local Government Area</w:t>
      </w:r>
      <w:r w:rsidR="00BD26C2">
        <w:t xml:space="preserve">) in the majority of municipalities in the </w:t>
      </w:r>
      <w:r w:rsidR="00D27CAB">
        <w:t xml:space="preserve">region </w:t>
      </w:r>
      <w:r w:rsidR="00BD26C2">
        <w:t xml:space="preserve">has declined between 2001 and 2011. </w:t>
      </w:r>
    </w:p>
    <w:p w:rsidR="00BD26C2" w:rsidRDefault="008B7E59" w:rsidP="008B7E59">
      <w:pPr>
        <w:pStyle w:val="Caption"/>
      </w:pPr>
      <w:bookmarkStart w:id="136" w:name="_Ref363467932"/>
      <w:bookmarkStart w:id="137" w:name="_Toc374612556"/>
      <w:r w:rsidRPr="008B7E59">
        <w:t xml:space="preserve">Table </w:t>
      </w:r>
      <w:r w:rsidR="00AA3D97" w:rsidRPr="008B7E59">
        <w:fldChar w:fldCharType="begin"/>
      </w:r>
      <w:r w:rsidRPr="008B7E59">
        <w:instrText xml:space="preserve"> SEQ Table \* ARABIC </w:instrText>
      </w:r>
      <w:r w:rsidR="00AA3D97" w:rsidRPr="008B7E59">
        <w:fldChar w:fldCharType="separate"/>
      </w:r>
      <w:r w:rsidR="009034D4">
        <w:rPr>
          <w:noProof/>
        </w:rPr>
        <w:t>3</w:t>
      </w:r>
      <w:r w:rsidR="00AA3D97" w:rsidRPr="008B7E59">
        <w:fldChar w:fldCharType="end"/>
      </w:r>
      <w:bookmarkEnd w:id="136"/>
      <w:r w:rsidR="00310929" w:rsidRPr="008B7E59">
        <w:t>:</w:t>
      </w:r>
      <w:r w:rsidR="00BD26C2" w:rsidRPr="008B7E59">
        <w:t xml:space="preserve"> Rural</w:t>
      </w:r>
      <w:r w:rsidR="00BD26C2">
        <w:t xml:space="preserve"> balance population change 2001 -2011</w:t>
      </w:r>
      <w:bookmarkEnd w:id="137"/>
    </w:p>
    <w:p w:rsidR="0073697A" w:rsidRDefault="0073697A" w:rsidP="0073697A">
      <w:pPr>
        <w:pStyle w:val="bt"/>
        <w:spacing w:before="60" w:after="0"/>
        <w:rPr>
          <w:b/>
        </w:rPr>
      </w:pPr>
      <w:r>
        <w:rPr>
          <w:b/>
        </w:rPr>
        <w:t xml:space="preserve">Local Government Area: </w:t>
      </w:r>
      <w:r w:rsidRPr="008457C2">
        <w:t>Alpine</w:t>
      </w:r>
    </w:p>
    <w:p w:rsidR="0073697A" w:rsidRPr="0073697A" w:rsidRDefault="0073697A" w:rsidP="00A41B2E">
      <w:pPr>
        <w:pStyle w:val="bt"/>
        <w:numPr>
          <w:ilvl w:val="0"/>
          <w:numId w:val="29"/>
        </w:numPr>
        <w:spacing w:before="60" w:after="0"/>
      </w:pPr>
      <w:r w:rsidRPr="0073697A">
        <w:t>Rural balance population change 2001-2011: -5964</w:t>
      </w:r>
    </w:p>
    <w:p w:rsidR="0073697A" w:rsidRDefault="0073697A" w:rsidP="0073697A">
      <w:pPr>
        <w:pStyle w:val="bt"/>
        <w:spacing w:before="60" w:after="0"/>
        <w:rPr>
          <w:b/>
        </w:rPr>
      </w:pPr>
      <w:r>
        <w:rPr>
          <w:b/>
        </w:rPr>
        <w:t xml:space="preserve">Local Government Area: </w:t>
      </w:r>
      <w:r w:rsidRPr="008457C2">
        <w:t>Benalla</w:t>
      </w:r>
    </w:p>
    <w:p w:rsidR="0073697A" w:rsidRPr="0073697A" w:rsidRDefault="0073697A" w:rsidP="00A41B2E">
      <w:pPr>
        <w:pStyle w:val="bt"/>
        <w:numPr>
          <w:ilvl w:val="0"/>
          <w:numId w:val="29"/>
        </w:numPr>
        <w:spacing w:before="60" w:after="0"/>
      </w:pPr>
      <w:r w:rsidRPr="0073697A">
        <w:t>Rural balance population change 2001-2011: -247</w:t>
      </w:r>
    </w:p>
    <w:p w:rsidR="0073697A" w:rsidRDefault="0073697A" w:rsidP="0073697A">
      <w:pPr>
        <w:pStyle w:val="bt"/>
        <w:spacing w:before="60" w:after="0"/>
        <w:rPr>
          <w:b/>
        </w:rPr>
      </w:pPr>
      <w:r>
        <w:rPr>
          <w:b/>
        </w:rPr>
        <w:t xml:space="preserve">Local Government Area: </w:t>
      </w:r>
      <w:r w:rsidRPr="008457C2">
        <w:t>Greater Shepparton</w:t>
      </w:r>
    </w:p>
    <w:p w:rsidR="0073697A" w:rsidRPr="0073697A" w:rsidRDefault="0073697A" w:rsidP="00A41B2E">
      <w:pPr>
        <w:pStyle w:val="bt"/>
        <w:numPr>
          <w:ilvl w:val="0"/>
          <w:numId w:val="29"/>
        </w:numPr>
        <w:spacing w:before="60" w:after="0"/>
      </w:pPr>
      <w:r w:rsidRPr="0073697A">
        <w:t>Rural balance population change 2001-2011: -3464</w:t>
      </w:r>
    </w:p>
    <w:p w:rsidR="0073697A" w:rsidRDefault="0073697A" w:rsidP="0073697A">
      <w:pPr>
        <w:pStyle w:val="bt"/>
        <w:spacing w:before="60" w:after="0"/>
        <w:rPr>
          <w:b/>
        </w:rPr>
      </w:pPr>
      <w:r>
        <w:rPr>
          <w:b/>
        </w:rPr>
        <w:t xml:space="preserve">Local Government Area: </w:t>
      </w:r>
      <w:r w:rsidRPr="008457C2">
        <w:t>Indigo</w:t>
      </w:r>
    </w:p>
    <w:p w:rsidR="0073697A" w:rsidRPr="0073697A" w:rsidRDefault="0073697A" w:rsidP="00A41B2E">
      <w:pPr>
        <w:pStyle w:val="bt"/>
        <w:numPr>
          <w:ilvl w:val="0"/>
          <w:numId w:val="29"/>
        </w:numPr>
        <w:spacing w:before="60" w:after="0"/>
      </w:pPr>
      <w:r w:rsidRPr="0073697A">
        <w:t>Rural balance population change 2001-2011: -36</w:t>
      </w:r>
    </w:p>
    <w:p w:rsidR="0073697A" w:rsidRDefault="0073697A" w:rsidP="0073697A">
      <w:pPr>
        <w:pStyle w:val="bt"/>
        <w:spacing w:before="60" w:after="0"/>
        <w:rPr>
          <w:b/>
        </w:rPr>
      </w:pPr>
      <w:r>
        <w:rPr>
          <w:b/>
        </w:rPr>
        <w:t xml:space="preserve">Local Government Area: </w:t>
      </w:r>
      <w:r w:rsidRPr="008457C2">
        <w:t>Mansfield</w:t>
      </w:r>
    </w:p>
    <w:p w:rsidR="0073697A" w:rsidRPr="0073697A" w:rsidRDefault="0073697A" w:rsidP="00A41B2E">
      <w:pPr>
        <w:pStyle w:val="bt"/>
        <w:numPr>
          <w:ilvl w:val="0"/>
          <w:numId w:val="29"/>
        </w:numPr>
        <w:spacing w:before="60" w:after="0"/>
      </w:pPr>
      <w:r w:rsidRPr="0073697A">
        <w:t>Rural balance population change 2001-2011: -696</w:t>
      </w:r>
    </w:p>
    <w:p w:rsidR="0073697A" w:rsidRDefault="0073697A" w:rsidP="0073697A">
      <w:pPr>
        <w:pStyle w:val="bt"/>
        <w:spacing w:before="60" w:after="0"/>
        <w:rPr>
          <w:b/>
        </w:rPr>
      </w:pPr>
      <w:r>
        <w:rPr>
          <w:b/>
        </w:rPr>
        <w:t xml:space="preserve">Local Government Area: </w:t>
      </w:r>
      <w:r w:rsidRPr="008457C2">
        <w:t>Mitchell</w:t>
      </w:r>
    </w:p>
    <w:p w:rsidR="0073697A" w:rsidRPr="0073697A" w:rsidRDefault="0073697A" w:rsidP="00A41B2E">
      <w:pPr>
        <w:pStyle w:val="bt"/>
        <w:numPr>
          <w:ilvl w:val="0"/>
          <w:numId w:val="29"/>
        </w:numPr>
        <w:spacing w:before="60" w:after="0"/>
      </w:pPr>
      <w:r w:rsidRPr="0073697A">
        <w:t>Rural balance population change 2001-2011: 214</w:t>
      </w:r>
    </w:p>
    <w:p w:rsidR="0073697A" w:rsidRDefault="0073697A" w:rsidP="0073697A">
      <w:pPr>
        <w:pStyle w:val="bt"/>
        <w:spacing w:before="60" w:after="0"/>
        <w:rPr>
          <w:b/>
        </w:rPr>
      </w:pPr>
      <w:r>
        <w:rPr>
          <w:b/>
        </w:rPr>
        <w:t xml:space="preserve">Local Government Area: </w:t>
      </w:r>
      <w:r w:rsidRPr="008457C2">
        <w:t>Moira</w:t>
      </w:r>
    </w:p>
    <w:p w:rsidR="0073697A" w:rsidRPr="0073697A" w:rsidRDefault="0073697A" w:rsidP="00A41B2E">
      <w:pPr>
        <w:pStyle w:val="bt"/>
        <w:numPr>
          <w:ilvl w:val="0"/>
          <w:numId w:val="29"/>
        </w:numPr>
        <w:spacing w:before="60" w:after="0"/>
      </w:pPr>
      <w:r w:rsidRPr="0073697A">
        <w:t>Rural balance population change 2001-2011: -1245</w:t>
      </w:r>
    </w:p>
    <w:p w:rsidR="0073697A" w:rsidRDefault="0073697A" w:rsidP="0073697A">
      <w:pPr>
        <w:pStyle w:val="bt"/>
        <w:spacing w:before="60" w:after="0"/>
        <w:rPr>
          <w:b/>
        </w:rPr>
      </w:pPr>
      <w:r>
        <w:rPr>
          <w:b/>
        </w:rPr>
        <w:t xml:space="preserve">Local Government Area: </w:t>
      </w:r>
      <w:r w:rsidRPr="008457C2">
        <w:t>Murrindindi</w:t>
      </w:r>
    </w:p>
    <w:p w:rsidR="0073697A" w:rsidRPr="0073697A" w:rsidRDefault="0073697A" w:rsidP="00A41B2E">
      <w:pPr>
        <w:pStyle w:val="bt"/>
        <w:numPr>
          <w:ilvl w:val="0"/>
          <w:numId w:val="29"/>
        </w:numPr>
        <w:spacing w:before="60" w:after="0"/>
      </w:pPr>
      <w:r w:rsidRPr="0073697A">
        <w:t>Rural balance population change 2001-2011: 382</w:t>
      </w:r>
    </w:p>
    <w:p w:rsidR="0073697A" w:rsidRDefault="0073697A" w:rsidP="0073697A">
      <w:pPr>
        <w:pStyle w:val="bt"/>
        <w:spacing w:before="60" w:after="0"/>
        <w:rPr>
          <w:b/>
        </w:rPr>
      </w:pPr>
      <w:r>
        <w:rPr>
          <w:b/>
        </w:rPr>
        <w:t xml:space="preserve">Local Government Area: </w:t>
      </w:r>
      <w:r w:rsidRPr="008457C2">
        <w:t>Strathbogie</w:t>
      </w:r>
    </w:p>
    <w:p w:rsidR="0073697A" w:rsidRPr="0073697A" w:rsidRDefault="0073697A" w:rsidP="00A41B2E">
      <w:pPr>
        <w:pStyle w:val="bt"/>
        <w:numPr>
          <w:ilvl w:val="0"/>
          <w:numId w:val="29"/>
        </w:numPr>
        <w:spacing w:before="60" w:after="0"/>
      </w:pPr>
      <w:r w:rsidRPr="0073697A">
        <w:t>Rural balance population change 2001-2011: -234</w:t>
      </w:r>
    </w:p>
    <w:p w:rsidR="0073697A" w:rsidRDefault="0073697A" w:rsidP="0073697A">
      <w:pPr>
        <w:pStyle w:val="bt"/>
        <w:spacing w:before="60" w:after="0"/>
        <w:rPr>
          <w:b/>
        </w:rPr>
      </w:pPr>
      <w:r>
        <w:rPr>
          <w:b/>
        </w:rPr>
        <w:t xml:space="preserve">Local Government Area: </w:t>
      </w:r>
      <w:r w:rsidRPr="008457C2">
        <w:t>Towong</w:t>
      </w:r>
    </w:p>
    <w:p w:rsidR="0073697A" w:rsidRPr="0073697A" w:rsidRDefault="0073697A" w:rsidP="00A41B2E">
      <w:pPr>
        <w:pStyle w:val="bt"/>
        <w:numPr>
          <w:ilvl w:val="0"/>
          <w:numId w:val="29"/>
        </w:numPr>
        <w:spacing w:before="60" w:after="0"/>
      </w:pPr>
      <w:r w:rsidRPr="0073697A">
        <w:t>Rural balance population change 2001-2011: -145</w:t>
      </w:r>
    </w:p>
    <w:p w:rsidR="0073697A" w:rsidRDefault="0073697A" w:rsidP="0073697A">
      <w:pPr>
        <w:pStyle w:val="bt"/>
        <w:spacing w:before="60" w:after="0"/>
        <w:rPr>
          <w:b/>
        </w:rPr>
      </w:pPr>
      <w:r>
        <w:rPr>
          <w:b/>
        </w:rPr>
        <w:t xml:space="preserve">Local Government Area: </w:t>
      </w:r>
      <w:r w:rsidRPr="008457C2">
        <w:t>Wangaratta</w:t>
      </w:r>
    </w:p>
    <w:p w:rsidR="0073697A" w:rsidRPr="0073697A" w:rsidRDefault="0073697A" w:rsidP="00A41B2E">
      <w:pPr>
        <w:pStyle w:val="bt"/>
        <w:numPr>
          <w:ilvl w:val="0"/>
          <w:numId w:val="29"/>
        </w:numPr>
        <w:spacing w:before="60" w:after="0"/>
      </w:pPr>
      <w:r w:rsidRPr="0073697A">
        <w:t>Rural balance population change 2001-2011: -476</w:t>
      </w:r>
    </w:p>
    <w:p w:rsidR="0073697A" w:rsidRDefault="0073697A" w:rsidP="0073697A">
      <w:pPr>
        <w:pStyle w:val="bt"/>
        <w:spacing w:before="60" w:after="0"/>
        <w:rPr>
          <w:b/>
        </w:rPr>
      </w:pPr>
      <w:r>
        <w:rPr>
          <w:b/>
        </w:rPr>
        <w:t xml:space="preserve">Local Government Area: </w:t>
      </w:r>
      <w:r w:rsidRPr="008457C2">
        <w:t>Wodonga</w:t>
      </w:r>
    </w:p>
    <w:p w:rsidR="0073697A" w:rsidRPr="0073697A" w:rsidRDefault="0073697A" w:rsidP="00A41B2E">
      <w:pPr>
        <w:pStyle w:val="bt"/>
        <w:numPr>
          <w:ilvl w:val="0"/>
          <w:numId w:val="29"/>
        </w:numPr>
        <w:spacing w:before="60" w:after="0"/>
      </w:pPr>
      <w:r w:rsidRPr="0073697A">
        <w:t>Rural balance population change 2001-2011: 94</w:t>
      </w:r>
    </w:p>
    <w:p w:rsidR="00BD26C2" w:rsidRPr="0061220F" w:rsidRDefault="008F6B05" w:rsidP="0061220F">
      <w:pPr>
        <w:pStyle w:val="source"/>
      </w:pPr>
      <w:r w:rsidRPr="0061220F">
        <w:rPr>
          <w:rStyle w:val="CommentReference"/>
          <w:sz w:val="18"/>
        </w:rPr>
        <w:t>Source</w:t>
      </w:r>
      <w:r w:rsidR="00BD26C2" w:rsidRPr="0061220F">
        <w:t>: Towns in Time 2011</w:t>
      </w:r>
      <w:r w:rsidR="00737E07">
        <w:t>, Department of Planning and Community Development</w:t>
      </w:r>
    </w:p>
    <w:p w:rsidR="00812E74" w:rsidRPr="007A5C2A" w:rsidRDefault="00812E74" w:rsidP="007A5C2A">
      <w:pPr>
        <w:pStyle w:val="Sourcestyle"/>
      </w:pPr>
    </w:p>
    <w:p w:rsidR="008B7E59" w:rsidRPr="007A5C2A" w:rsidRDefault="008B7E59" w:rsidP="007A5C2A">
      <w:pPr>
        <w:pStyle w:val="Sourcestyle"/>
      </w:pPr>
      <w:r w:rsidRPr="007A5C2A">
        <w:t>Note: Rural balance population refers to Local Government Area population less all town populations within the Local Government Area</w:t>
      </w:r>
    </w:p>
    <w:p w:rsidR="001E6B61" w:rsidRDefault="00A66A5F" w:rsidP="00EE0F0D">
      <w:pPr>
        <w:pStyle w:val="bt"/>
        <w:spacing w:after="120"/>
      </w:pPr>
      <w:r w:rsidRPr="00A66A5F">
        <w:t xml:space="preserve">The demographic structure of the </w:t>
      </w:r>
      <w:r w:rsidR="0021059A">
        <w:t>r</w:t>
      </w:r>
      <w:r w:rsidRPr="00A66A5F">
        <w:t xml:space="preserve">egion is predicted to change </w:t>
      </w:r>
      <w:r w:rsidRPr="009606D7">
        <w:t xml:space="preserve">significantly </w:t>
      </w:r>
      <w:r w:rsidR="00204278">
        <w:t>(</w:t>
      </w:r>
      <w:r w:rsidR="00827E2D">
        <w:fldChar w:fldCharType="begin"/>
      </w:r>
      <w:r w:rsidR="00827E2D">
        <w:instrText xml:space="preserve"> REF _Ref354407435 \h  \* MERGEFORMAT </w:instrText>
      </w:r>
      <w:r w:rsidR="00827E2D">
        <w:fldChar w:fldCharType="separate"/>
      </w:r>
      <w:r w:rsidR="009034D4" w:rsidRPr="00DF6019">
        <w:t xml:space="preserve">Figure </w:t>
      </w:r>
      <w:r w:rsidR="009034D4">
        <w:t>7</w:t>
      </w:r>
      <w:r w:rsidR="00827E2D">
        <w:fldChar w:fldCharType="end"/>
      </w:r>
      <w:r w:rsidRPr="009606D7">
        <w:t>). Projections</w:t>
      </w:r>
      <w:r w:rsidRPr="00A66A5F">
        <w:t xml:space="preserve"> to 2031 indicate changes are likely to include a substantial increase in the number of people aged 55 years and over, </w:t>
      </w:r>
      <w:r w:rsidR="00B15526">
        <w:t xml:space="preserve">making </w:t>
      </w:r>
      <w:r w:rsidRPr="00A66A5F">
        <w:t xml:space="preserve">this group a much larger proportion of the population than it </w:t>
      </w:r>
      <w:r w:rsidR="00B15526">
        <w:t>is</w:t>
      </w:r>
      <w:r w:rsidRPr="00A66A5F">
        <w:t xml:space="preserve"> at present. The number of people aged 24</w:t>
      </w:r>
      <w:r w:rsidR="00B15526">
        <w:t xml:space="preserve"> to </w:t>
      </w:r>
      <w:r w:rsidRPr="00A66A5F">
        <w:t>54 years is expected to remain stable but this group will decline as a proportion of the population.</w:t>
      </w:r>
    </w:p>
    <w:p w:rsidR="000604EC" w:rsidRDefault="009401CB" w:rsidP="00EE0F0D">
      <w:pPr>
        <w:pStyle w:val="bt"/>
      </w:pPr>
      <w:r w:rsidRPr="00A66A5F">
        <w:t xml:space="preserve">There will </w:t>
      </w:r>
      <w:r>
        <w:t xml:space="preserve">generally </w:t>
      </w:r>
      <w:r w:rsidRPr="00A66A5F">
        <w:t xml:space="preserve">be </w:t>
      </w:r>
      <w:r w:rsidR="00214286">
        <w:t>less children and young people aged 24 years and under</w:t>
      </w:r>
      <w:r w:rsidRPr="00A66A5F">
        <w:t xml:space="preserve"> in the </w:t>
      </w:r>
      <w:r>
        <w:t>r</w:t>
      </w:r>
      <w:r w:rsidRPr="00A66A5F">
        <w:t xml:space="preserve">egion in </w:t>
      </w:r>
      <w:r>
        <w:t xml:space="preserve">the </w:t>
      </w:r>
      <w:r w:rsidRPr="00A66A5F">
        <w:t>future.</w:t>
      </w:r>
      <w:r w:rsidR="001E6B61">
        <w:t xml:space="preserve"> </w:t>
      </w:r>
      <w:r>
        <w:t>However,</w:t>
      </w:r>
      <w:r w:rsidRPr="001B1442">
        <w:t xml:space="preserve"> a number of specific areas </w:t>
      </w:r>
      <w:r>
        <w:t>in the region</w:t>
      </w:r>
      <w:r w:rsidRPr="001B1442">
        <w:t xml:space="preserve"> </w:t>
      </w:r>
      <w:r>
        <w:t>are expected to</w:t>
      </w:r>
      <w:r w:rsidRPr="001B1442">
        <w:t xml:space="preserve"> experience an increase in the numbers of young people between 2011 and 2031, most notably in the municipalities of</w:t>
      </w:r>
      <w:r>
        <w:t xml:space="preserve"> Greater </w:t>
      </w:r>
      <w:r w:rsidRPr="001B1442">
        <w:t>Shepparton</w:t>
      </w:r>
      <w:r>
        <w:t xml:space="preserve">, Mitchell, </w:t>
      </w:r>
      <w:r w:rsidRPr="001B1442">
        <w:t xml:space="preserve">Murrindindi </w:t>
      </w:r>
      <w:r>
        <w:t>and</w:t>
      </w:r>
      <w:r w:rsidRPr="001B1442">
        <w:t xml:space="preserve"> Wodonga </w:t>
      </w:r>
      <w:r>
        <w:t>(refer to</w:t>
      </w:r>
      <w:r w:rsidR="000706AF">
        <w:t xml:space="preserve"> </w:t>
      </w:r>
      <w:r w:rsidR="00AA3D97">
        <w:fldChar w:fldCharType="begin"/>
      </w:r>
      <w:r w:rsidR="000706AF">
        <w:instrText xml:space="preserve"> REF _Ref350840733 \h </w:instrText>
      </w:r>
      <w:r w:rsidR="00AA3D97">
        <w:fldChar w:fldCharType="separate"/>
      </w:r>
      <w:r w:rsidR="009034D4" w:rsidRPr="00DF6019">
        <w:t xml:space="preserve">Table </w:t>
      </w:r>
      <w:r w:rsidR="009034D4">
        <w:rPr>
          <w:noProof/>
        </w:rPr>
        <w:t>4</w:t>
      </w:r>
      <w:r w:rsidR="00AA3D97">
        <w:fldChar w:fldCharType="end"/>
      </w:r>
      <w:r w:rsidRPr="001B1442">
        <w:t>).</w:t>
      </w:r>
    </w:p>
    <w:p w:rsidR="00394A16" w:rsidRDefault="007A5C2A" w:rsidP="000800DD">
      <w:pPr>
        <w:pStyle w:val="Caption"/>
        <w:ind w:left="0"/>
      </w:pPr>
      <w:bookmarkStart w:id="138" w:name="_Ref348349103"/>
      <w:bookmarkStart w:id="139" w:name="_Ref354407435"/>
      <w:r>
        <w:rPr>
          <w:noProof/>
        </w:rPr>
        <w:lastRenderedPageBreak/>
        <w:drawing>
          <wp:anchor distT="0" distB="0" distL="114300" distR="114300" simplePos="0" relativeHeight="251696128" behindDoc="0" locked="0" layoutInCell="1" allowOverlap="1">
            <wp:simplePos x="0" y="0"/>
            <wp:positionH relativeFrom="column">
              <wp:posOffset>2349500</wp:posOffset>
            </wp:positionH>
            <wp:positionV relativeFrom="paragraph">
              <wp:posOffset>223520</wp:posOffset>
            </wp:positionV>
            <wp:extent cx="2552700" cy="3213100"/>
            <wp:effectExtent l="0" t="0" r="0" b="0"/>
            <wp:wrapNone/>
            <wp:docPr id="35" name="Chart 6" descr="Graph showing age structure amongst females in the Hume region - 2011 and 2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noProof/>
        </w:rPr>
        <w:drawing>
          <wp:anchor distT="0" distB="0" distL="114300" distR="114300" simplePos="0" relativeHeight="251694080" behindDoc="0" locked="0" layoutInCell="1" allowOverlap="1">
            <wp:simplePos x="0" y="0"/>
            <wp:positionH relativeFrom="column">
              <wp:posOffset>-88900</wp:posOffset>
            </wp:positionH>
            <wp:positionV relativeFrom="paragraph">
              <wp:posOffset>185420</wp:posOffset>
            </wp:positionV>
            <wp:extent cx="2590800" cy="3213100"/>
            <wp:effectExtent l="0" t="0" r="0" b="0"/>
            <wp:wrapTopAndBottom/>
            <wp:docPr id="18" name="Chart 5" descr="Graph showing age structure amongst males in the Hume region - 2011 and 20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bookmarkStart w:id="140" w:name="_Toc374612532"/>
      <w:r w:rsidR="00C23328" w:rsidRPr="00DF6019">
        <w:t xml:space="preserve">Figure </w:t>
      </w:r>
      <w:r w:rsidR="00827E2D">
        <w:fldChar w:fldCharType="begin"/>
      </w:r>
      <w:r w:rsidR="00827E2D">
        <w:instrText xml:space="preserve"> SEQ Figure \* ARABIC </w:instrText>
      </w:r>
      <w:r w:rsidR="00827E2D">
        <w:fldChar w:fldCharType="separate"/>
      </w:r>
      <w:r w:rsidR="009034D4">
        <w:rPr>
          <w:noProof/>
        </w:rPr>
        <w:t>7</w:t>
      </w:r>
      <w:r w:rsidR="00827E2D">
        <w:rPr>
          <w:noProof/>
        </w:rPr>
        <w:fldChar w:fldCharType="end"/>
      </w:r>
      <w:bookmarkEnd w:id="138"/>
      <w:bookmarkEnd w:id="139"/>
      <w:r w:rsidR="007536C0" w:rsidRPr="007536C0">
        <w:t>: Age structure (2011 and 2031) – Hume Region</w:t>
      </w:r>
      <w:bookmarkEnd w:id="140"/>
    </w:p>
    <w:p w:rsidR="001E6B61" w:rsidRDefault="00A66A5F" w:rsidP="0061220F">
      <w:pPr>
        <w:pStyle w:val="source"/>
      </w:pPr>
      <w:r w:rsidRPr="00CA1CF7">
        <w:t>Source: Victoria in Future 2012</w:t>
      </w:r>
    </w:p>
    <w:p w:rsidR="00865B4B" w:rsidRDefault="00865B4B" w:rsidP="00865B4B">
      <w:pPr>
        <w:pStyle w:val="Sourcestyle"/>
      </w:pPr>
    </w:p>
    <w:p w:rsidR="001E6B61" w:rsidRDefault="00720BB7" w:rsidP="00EE0F0D">
      <w:pPr>
        <w:pStyle w:val="Caption"/>
        <w:ind w:left="0"/>
      </w:pPr>
      <w:bookmarkStart w:id="141" w:name="_Ref350840733"/>
      <w:bookmarkStart w:id="142" w:name="_Toc374612557"/>
      <w:r w:rsidRPr="00DF6019">
        <w:t xml:space="preserve">Table </w:t>
      </w:r>
      <w:r w:rsidR="00827E2D">
        <w:fldChar w:fldCharType="begin"/>
      </w:r>
      <w:r w:rsidR="00827E2D">
        <w:instrText xml:space="preserve"> SEQ Table \* ARABIC </w:instrText>
      </w:r>
      <w:r w:rsidR="00827E2D">
        <w:fldChar w:fldCharType="separate"/>
      </w:r>
      <w:r w:rsidR="009034D4">
        <w:rPr>
          <w:noProof/>
        </w:rPr>
        <w:t>4</w:t>
      </w:r>
      <w:r w:rsidR="00827E2D">
        <w:rPr>
          <w:noProof/>
        </w:rPr>
        <w:fldChar w:fldCharType="end"/>
      </w:r>
      <w:bookmarkEnd w:id="141"/>
      <w:r w:rsidR="007536C0" w:rsidRPr="007536C0">
        <w:t>: Population by age group – projected change between 2011 and 2031</w:t>
      </w:r>
      <w:bookmarkEnd w:id="142"/>
      <w:r w:rsidR="007536C0" w:rsidRPr="007536C0">
        <w:t xml:space="preserve"> </w:t>
      </w:r>
    </w:p>
    <w:p w:rsidR="00484988" w:rsidRDefault="00484988" w:rsidP="00484988">
      <w:pPr>
        <w:pStyle w:val="bt"/>
        <w:rPr>
          <w:rFonts w:cs="Calibri"/>
          <w:b/>
          <w:bCs/>
          <w:szCs w:val="20"/>
        </w:rPr>
      </w:pPr>
      <w:r w:rsidRPr="00484988">
        <w:rPr>
          <w:rFonts w:cs="Calibri"/>
          <w:b/>
          <w:bCs/>
          <w:szCs w:val="20"/>
        </w:rPr>
        <w:t>Estimated Resident Population (ERP) by age group - change 2011 to 2031</w:t>
      </w:r>
    </w:p>
    <w:p w:rsidR="00484988" w:rsidRPr="00484988" w:rsidRDefault="00484988" w:rsidP="00484988">
      <w:pPr>
        <w:pStyle w:val="bt"/>
        <w:spacing w:before="60" w:after="0"/>
        <w:rPr>
          <w:b/>
        </w:rPr>
      </w:pPr>
      <w:r w:rsidRPr="00484988">
        <w:rPr>
          <w:b/>
        </w:rPr>
        <w:t>Local Government Area:</w:t>
      </w:r>
      <w:r w:rsidRPr="00484988">
        <w:t xml:space="preserve"> </w:t>
      </w:r>
      <w:r w:rsidRPr="00F03DC7">
        <w:t>Alpine</w:t>
      </w:r>
    </w:p>
    <w:p w:rsidR="00484988" w:rsidRPr="00484988" w:rsidRDefault="00484988" w:rsidP="00A41B2E">
      <w:pPr>
        <w:pStyle w:val="bt"/>
        <w:numPr>
          <w:ilvl w:val="0"/>
          <w:numId w:val="29"/>
        </w:numPr>
        <w:spacing w:before="60" w:after="0"/>
      </w:pPr>
      <w:r w:rsidRPr="00484988">
        <w:t>Persons 0-4</w:t>
      </w:r>
      <w:r>
        <w:t xml:space="preserve"> – </w:t>
      </w:r>
      <w:r w:rsidRPr="00F03DC7">
        <w:t>-70</w:t>
      </w:r>
    </w:p>
    <w:p w:rsidR="00484988" w:rsidRPr="00484988" w:rsidRDefault="00484988" w:rsidP="00A41B2E">
      <w:pPr>
        <w:pStyle w:val="bt"/>
        <w:numPr>
          <w:ilvl w:val="0"/>
          <w:numId w:val="29"/>
        </w:numPr>
        <w:spacing w:before="60" w:after="0"/>
      </w:pPr>
      <w:r w:rsidRPr="00484988">
        <w:t>Persons 5-14</w:t>
      </w:r>
      <w:r>
        <w:t xml:space="preserve"> – </w:t>
      </w:r>
      <w:r w:rsidRPr="00F03DC7">
        <w:t>-275</w:t>
      </w:r>
    </w:p>
    <w:p w:rsidR="00484988" w:rsidRPr="00484988" w:rsidRDefault="00484988" w:rsidP="00A41B2E">
      <w:pPr>
        <w:pStyle w:val="bt"/>
        <w:numPr>
          <w:ilvl w:val="0"/>
          <w:numId w:val="29"/>
        </w:numPr>
        <w:spacing w:before="60" w:after="0"/>
      </w:pPr>
      <w:r w:rsidRPr="00484988">
        <w:t>Persons 15-24</w:t>
      </w:r>
      <w:r>
        <w:t xml:space="preserve"> – </w:t>
      </w:r>
      <w:r w:rsidRPr="00F03DC7">
        <w:t>-166</w:t>
      </w:r>
    </w:p>
    <w:p w:rsidR="00484988" w:rsidRPr="00484988" w:rsidRDefault="00484988" w:rsidP="00A41B2E">
      <w:pPr>
        <w:pStyle w:val="bt"/>
        <w:numPr>
          <w:ilvl w:val="0"/>
          <w:numId w:val="29"/>
        </w:numPr>
        <w:spacing w:before="60" w:after="0"/>
      </w:pPr>
      <w:r w:rsidRPr="00484988">
        <w:t>Persons 25-34</w:t>
      </w:r>
      <w:r>
        <w:t xml:space="preserve"> – </w:t>
      </w:r>
      <w:r w:rsidRPr="00F03DC7">
        <w:t>20</w:t>
      </w:r>
    </w:p>
    <w:p w:rsidR="00484988" w:rsidRPr="00484988" w:rsidRDefault="00484988" w:rsidP="00A41B2E">
      <w:pPr>
        <w:pStyle w:val="bt"/>
        <w:numPr>
          <w:ilvl w:val="0"/>
          <w:numId w:val="29"/>
        </w:numPr>
        <w:spacing w:before="60" w:after="0"/>
      </w:pPr>
      <w:r w:rsidRPr="00484988">
        <w:t>Persons 35-44</w:t>
      </w:r>
      <w:r>
        <w:t xml:space="preserve"> – </w:t>
      </w:r>
      <w:r w:rsidRPr="00F03DC7">
        <w:t>-283</w:t>
      </w:r>
    </w:p>
    <w:p w:rsidR="00484988" w:rsidRPr="00484988" w:rsidRDefault="00484988" w:rsidP="00A41B2E">
      <w:pPr>
        <w:pStyle w:val="bt"/>
        <w:numPr>
          <w:ilvl w:val="0"/>
          <w:numId w:val="29"/>
        </w:numPr>
        <w:spacing w:before="60" w:after="0"/>
      </w:pPr>
      <w:r w:rsidRPr="00484988">
        <w:t>Persons 45-54</w:t>
      </w:r>
      <w:r>
        <w:t xml:space="preserve"> – </w:t>
      </w:r>
      <w:r w:rsidRPr="00F03DC7">
        <w:t>-697</w:t>
      </w:r>
    </w:p>
    <w:p w:rsidR="00484988" w:rsidRPr="00484988" w:rsidRDefault="00484988" w:rsidP="00A41B2E">
      <w:pPr>
        <w:pStyle w:val="bt"/>
        <w:numPr>
          <w:ilvl w:val="0"/>
          <w:numId w:val="29"/>
        </w:numPr>
        <w:spacing w:before="60" w:after="0"/>
      </w:pPr>
      <w:r w:rsidRPr="00484988">
        <w:t>Persons 55-64</w:t>
      </w:r>
      <w:r>
        <w:t xml:space="preserve"> – </w:t>
      </w:r>
      <w:r w:rsidRPr="00F03DC7">
        <w:t>-80</w:t>
      </w:r>
    </w:p>
    <w:p w:rsidR="00484988" w:rsidRPr="00484988" w:rsidRDefault="00484988" w:rsidP="00A41B2E">
      <w:pPr>
        <w:pStyle w:val="bt"/>
        <w:numPr>
          <w:ilvl w:val="0"/>
          <w:numId w:val="29"/>
        </w:numPr>
        <w:spacing w:before="60" w:after="0"/>
      </w:pPr>
      <w:r w:rsidRPr="00484988">
        <w:t>Persons 65 and over</w:t>
      </w:r>
      <w:r>
        <w:t xml:space="preserve"> – </w:t>
      </w:r>
      <w:r w:rsidRPr="00F03DC7">
        <w:t>2289</w:t>
      </w:r>
    </w:p>
    <w:p w:rsidR="00484988" w:rsidRPr="00484988" w:rsidRDefault="00484988" w:rsidP="00A41B2E">
      <w:pPr>
        <w:pStyle w:val="bt"/>
        <w:numPr>
          <w:ilvl w:val="0"/>
          <w:numId w:val="29"/>
        </w:numPr>
        <w:spacing w:before="60" w:after="0"/>
        <w:rPr>
          <w:szCs w:val="20"/>
        </w:rPr>
      </w:pPr>
      <w:r w:rsidRPr="00484988">
        <w:t>Total</w:t>
      </w:r>
      <w:r>
        <w:t xml:space="preserve"> – </w:t>
      </w:r>
      <w:r w:rsidRPr="00F03DC7">
        <w:t>738</w:t>
      </w:r>
    </w:p>
    <w:p w:rsidR="00484988" w:rsidRPr="00484988" w:rsidRDefault="00484988" w:rsidP="00484988">
      <w:pPr>
        <w:pStyle w:val="bt"/>
        <w:spacing w:before="60" w:after="0"/>
        <w:rPr>
          <w:b/>
        </w:rPr>
      </w:pPr>
      <w:r w:rsidRPr="00484988">
        <w:rPr>
          <w:b/>
        </w:rPr>
        <w:t>Local Government Area:</w:t>
      </w:r>
      <w:r w:rsidRPr="00484988">
        <w:t xml:space="preserve"> </w:t>
      </w:r>
      <w:r>
        <w:t>Benalla</w:t>
      </w:r>
    </w:p>
    <w:p w:rsidR="00484988" w:rsidRPr="00484988" w:rsidRDefault="00484988" w:rsidP="00A41B2E">
      <w:pPr>
        <w:pStyle w:val="bt"/>
        <w:numPr>
          <w:ilvl w:val="0"/>
          <w:numId w:val="29"/>
        </w:numPr>
        <w:spacing w:before="60" w:after="0"/>
      </w:pPr>
      <w:r w:rsidRPr="00484988">
        <w:t>Persons 0-4</w:t>
      </w:r>
      <w:r>
        <w:t xml:space="preserve"> – 9</w:t>
      </w:r>
    </w:p>
    <w:p w:rsidR="00484988" w:rsidRPr="00484988" w:rsidRDefault="00484988" w:rsidP="00A41B2E">
      <w:pPr>
        <w:pStyle w:val="bt"/>
        <w:numPr>
          <w:ilvl w:val="0"/>
          <w:numId w:val="29"/>
        </w:numPr>
        <w:spacing w:before="60" w:after="0"/>
      </w:pPr>
      <w:r w:rsidRPr="00484988">
        <w:t>Persons 5-14</w:t>
      </w:r>
      <w:r>
        <w:t xml:space="preserve"> – -124</w:t>
      </w:r>
    </w:p>
    <w:p w:rsidR="00484988" w:rsidRPr="00484988" w:rsidRDefault="00484988" w:rsidP="00A41B2E">
      <w:pPr>
        <w:pStyle w:val="bt"/>
        <w:numPr>
          <w:ilvl w:val="0"/>
          <w:numId w:val="29"/>
        </w:numPr>
        <w:spacing w:before="60" w:after="0"/>
      </w:pPr>
      <w:r w:rsidRPr="00484988">
        <w:t>Persons 15-24</w:t>
      </w:r>
      <w:r>
        <w:t xml:space="preserve"> – -437</w:t>
      </w:r>
    </w:p>
    <w:p w:rsidR="00484988" w:rsidRPr="00484988" w:rsidRDefault="00484988" w:rsidP="00A41B2E">
      <w:pPr>
        <w:pStyle w:val="bt"/>
        <w:numPr>
          <w:ilvl w:val="0"/>
          <w:numId w:val="29"/>
        </w:numPr>
        <w:spacing w:before="60" w:after="0"/>
      </w:pPr>
      <w:r w:rsidRPr="00484988">
        <w:t>Persons 25-34</w:t>
      </w:r>
      <w:r>
        <w:t xml:space="preserve"> – 28</w:t>
      </w:r>
    </w:p>
    <w:p w:rsidR="00484988" w:rsidRPr="00484988" w:rsidRDefault="00484988" w:rsidP="00A41B2E">
      <w:pPr>
        <w:pStyle w:val="bt"/>
        <w:numPr>
          <w:ilvl w:val="0"/>
          <w:numId w:val="29"/>
        </w:numPr>
        <w:spacing w:before="60" w:after="0"/>
      </w:pPr>
      <w:r w:rsidRPr="00484988">
        <w:t>Persons 35-44</w:t>
      </w:r>
      <w:r>
        <w:t xml:space="preserve"> – 218</w:t>
      </w:r>
    </w:p>
    <w:p w:rsidR="00484988" w:rsidRPr="00484988" w:rsidRDefault="00484988" w:rsidP="00A41B2E">
      <w:pPr>
        <w:pStyle w:val="bt"/>
        <w:numPr>
          <w:ilvl w:val="0"/>
          <w:numId w:val="29"/>
        </w:numPr>
        <w:spacing w:before="60" w:after="0"/>
      </w:pPr>
      <w:r w:rsidRPr="00484988">
        <w:t>Persons 45-54</w:t>
      </w:r>
      <w:r>
        <w:t xml:space="preserve"> – -462</w:t>
      </w:r>
    </w:p>
    <w:p w:rsidR="00484988" w:rsidRPr="00484988" w:rsidRDefault="00484988" w:rsidP="00A41B2E">
      <w:pPr>
        <w:pStyle w:val="bt"/>
        <w:numPr>
          <w:ilvl w:val="0"/>
          <w:numId w:val="29"/>
        </w:numPr>
        <w:spacing w:before="60" w:after="0"/>
      </w:pPr>
      <w:r w:rsidRPr="00484988">
        <w:t>Persons 55-64</w:t>
      </w:r>
      <w:r>
        <w:t xml:space="preserve"> – -76</w:t>
      </w:r>
    </w:p>
    <w:p w:rsidR="00484988" w:rsidRPr="00484988" w:rsidRDefault="00484988" w:rsidP="00A41B2E">
      <w:pPr>
        <w:pStyle w:val="bt"/>
        <w:numPr>
          <w:ilvl w:val="0"/>
          <w:numId w:val="29"/>
        </w:numPr>
        <w:spacing w:before="60" w:after="0"/>
      </w:pPr>
      <w:r w:rsidRPr="00484988">
        <w:t>Persons 65 and over</w:t>
      </w:r>
      <w:r>
        <w:t xml:space="preserve"> – 2543</w:t>
      </w:r>
    </w:p>
    <w:p w:rsidR="00484988" w:rsidRPr="00484988" w:rsidRDefault="00484988" w:rsidP="00A41B2E">
      <w:pPr>
        <w:pStyle w:val="bt"/>
        <w:numPr>
          <w:ilvl w:val="0"/>
          <w:numId w:val="29"/>
        </w:numPr>
        <w:spacing w:before="60" w:after="0"/>
        <w:rPr>
          <w:szCs w:val="20"/>
        </w:rPr>
      </w:pPr>
      <w:r w:rsidRPr="00484988">
        <w:t>Total</w:t>
      </w:r>
      <w:r>
        <w:t xml:space="preserve"> – 1699</w:t>
      </w:r>
    </w:p>
    <w:p w:rsidR="00484988" w:rsidRPr="00484988" w:rsidRDefault="00484988" w:rsidP="00484988">
      <w:pPr>
        <w:pStyle w:val="bt"/>
        <w:spacing w:before="60" w:after="0"/>
        <w:rPr>
          <w:b/>
        </w:rPr>
      </w:pPr>
      <w:r w:rsidRPr="00484988">
        <w:rPr>
          <w:b/>
        </w:rPr>
        <w:t>Local Government Area:</w:t>
      </w:r>
      <w:r w:rsidRPr="00484988">
        <w:t xml:space="preserve"> </w:t>
      </w:r>
      <w:r w:rsidRPr="00F03DC7">
        <w:t>Greater Shepparton</w:t>
      </w:r>
    </w:p>
    <w:p w:rsidR="00484988" w:rsidRPr="00484988" w:rsidRDefault="00484988" w:rsidP="00A41B2E">
      <w:pPr>
        <w:pStyle w:val="bt"/>
        <w:numPr>
          <w:ilvl w:val="0"/>
          <w:numId w:val="29"/>
        </w:numPr>
        <w:spacing w:before="60" w:after="0"/>
      </w:pPr>
      <w:r w:rsidRPr="00484988">
        <w:t>Persons 0-4</w:t>
      </w:r>
      <w:r>
        <w:t xml:space="preserve"> – </w:t>
      </w:r>
      <w:r w:rsidRPr="00F03DC7">
        <w:t>354</w:t>
      </w:r>
    </w:p>
    <w:p w:rsidR="00484988" w:rsidRPr="00484988" w:rsidRDefault="00484988" w:rsidP="00A41B2E">
      <w:pPr>
        <w:pStyle w:val="bt"/>
        <w:numPr>
          <w:ilvl w:val="0"/>
          <w:numId w:val="29"/>
        </w:numPr>
        <w:spacing w:before="60" w:after="0"/>
      </w:pPr>
      <w:r w:rsidRPr="00484988">
        <w:t>Persons 5-14</w:t>
      </w:r>
      <w:r>
        <w:t xml:space="preserve"> – </w:t>
      </w:r>
      <w:r w:rsidRPr="00F03DC7">
        <w:t>1028</w:t>
      </w:r>
    </w:p>
    <w:p w:rsidR="00484988" w:rsidRPr="00484988" w:rsidRDefault="00484988" w:rsidP="00A41B2E">
      <w:pPr>
        <w:pStyle w:val="bt"/>
        <w:numPr>
          <w:ilvl w:val="0"/>
          <w:numId w:val="29"/>
        </w:numPr>
        <w:spacing w:before="60" w:after="0"/>
      </w:pPr>
      <w:r w:rsidRPr="00484988">
        <w:lastRenderedPageBreak/>
        <w:t>Persons 15-24</w:t>
      </w:r>
      <w:r>
        <w:t xml:space="preserve"> – </w:t>
      </w:r>
      <w:r w:rsidRPr="00F03DC7">
        <w:t>1093</w:t>
      </w:r>
    </w:p>
    <w:p w:rsidR="00484988" w:rsidRPr="00484988" w:rsidRDefault="00484988" w:rsidP="00A41B2E">
      <w:pPr>
        <w:pStyle w:val="bt"/>
        <w:numPr>
          <w:ilvl w:val="0"/>
          <w:numId w:val="29"/>
        </w:numPr>
        <w:spacing w:before="60" w:after="0"/>
      </w:pPr>
      <w:r w:rsidRPr="00484988">
        <w:t>Persons 25-34</w:t>
      </w:r>
      <w:r>
        <w:t xml:space="preserve"> – </w:t>
      </w:r>
      <w:r w:rsidRPr="00F03DC7">
        <w:t>1606</w:t>
      </w:r>
    </w:p>
    <w:p w:rsidR="00484988" w:rsidRPr="00484988" w:rsidRDefault="00484988" w:rsidP="00A41B2E">
      <w:pPr>
        <w:pStyle w:val="bt"/>
        <w:numPr>
          <w:ilvl w:val="0"/>
          <w:numId w:val="29"/>
        </w:numPr>
        <w:spacing w:before="60" w:after="0"/>
      </w:pPr>
      <w:r w:rsidRPr="00484988">
        <w:t>Persons 35-44</w:t>
      </w:r>
      <w:r>
        <w:t xml:space="preserve"> – </w:t>
      </w:r>
      <w:r w:rsidRPr="00F03DC7">
        <w:t>847</w:t>
      </w:r>
    </w:p>
    <w:p w:rsidR="00484988" w:rsidRPr="00484988" w:rsidRDefault="00484988" w:rsidP="00A41B2E">
      <w:pPr>
        <w:pStyle w:val="bt"/>
        <w:numPr>
          <w:ilvl w:val="0"/>
          <w:numId w:val="29"/>
        </w:numPr>
        <w:spacing w:before="60" w:after="0"/>
      </w:pPr>
      <w:r w:rsidRPr="00484988">
        <w:t>Persons 45-54</w:t>
      </w:r>
      <w:r>
        <w:t xml:space="preserve"> – </w:t>
      </w:r>
      <w:r w:rsidRPr="00F03DC7">
        <w:t>-308</w:t>
      </w:r>
    </w:p>
    <w:p w:rsidR="00484988" w:rsidRPr="00484988" w:rsidRDefault="00484988" w:rsidP="00A41B2E">
      <w:pPr>
        <w:pStyle w:val="bt"/>
        <w:numPr>
          <w:ilvl w:val="0"/>
          <w:numId w:val="29"/>
        </w:numPr>
        <w:spacing w:before="60" w:after="0"/>
      </w:pPr>
      <w:r w:rsidRPr="00484988">
        <w:t>Persons 55-64</w:t>
      </w:r>
      <w:r>
        <w:t xml:space="preserve"> – </w:t>
      </w:r>
      <w:r w:rsidRPr="00F03DC7">
        <w:t>1312</w:t>
      </w:r>
    </w:p>
    <w:p w:rsidR="00484988" w:rsidRPr="00484988" w:rsidRDefault="00484988" w:rsidP="00A41B2E">
      <w:pPr>
        <w:pStyle w:val="bt"/>
        <w:numPr>
          <w:ilvl w:val="0"/>
          <w:numId w:val="29"/>
        </w:numPr>
        <w:spacing w:before="60" w:after="0"/>
      </w:pPr>
      <w:r w:rsidRPr="00484988">
        <w:t>Persons 65 and over</w:t>
      </w:r>
      <w:r>
        <w:t xml:space="preserve"> – </w:t>
      </w:r>
      <w:r w:rsidRPr="00F03DC7">
        <w:t>8013</w:t>
      </w:r>
    </w:p>
    <w:p w:rsidR="00484988" w:rsidRPr="00484988" w:rsidRDefault="00484988" w:rsidP="00A41B2E">
      <w:pPr>
        <w:pStyle w:val="bt"/>
        <w:numPr>
          <w:ilvl w:val="0"/>
          <w:numId w:val="29"/>
        </w:numPr>
        <w:spacing w:before="60" w:after="0"/>
        <w:rPr>
          <w:szCs w:val="20"/>
        </w:rPr>
      </w:pPr>
      <w:r w:rsidRPr="00484988">
        <w:t>Total</w:t>
      </w:r>
      <w:r>
        <w:t xml:space="preserve"> – </w:t>
      </w:r>
      <w:r w:rsidRPr="00F03DC7">
        <w:t>13,943</w:t>
      </w:r>
    </w:p>
    <w:p w:rsidR="00484988" w:rsidRPr="00484988" w:rsidRDefault="00484988" w:rsidP="00484988">
      <w:pPr>
        <w:pStyle w:val="bt"/>
        <w:spacing w:before="60" w:after="0"/>
        <w:rPr>
          <w:b/>
        </w:rPr>
      </w:pPr>
      <w:r w:rsidRPr="00484988">
        <w:rPr>
          <w:b/>
        </w:rPr>
        <w:t>Local Government Area:</w:t>
      </w:r>
      <w:r w:rsidRPr="00484988">
        <w:t xml:space="preserve"> </w:t>
      </w:r>
      <w:r w:rsidRPr="00F03DC7">
        <w:t>Indigo</w:t>
      </w:r>
    </w:p>
    <w:p w:rsidR="00484988" w:rsidRPr="00484988" w:rsidRDefault="00484988" w:rsidP="00A41B2E">
      <w:pPr>
        <w:pStyle w:val="bt"/>
        <w:numPr>
          <w:ilvl w:val="0"/>
          <w:numId w:val="29"/>
        </w:numPr>
        <w:spacing w:before="60" w:after="0"/>
      </w:pPr>
      <w:r w:rsidRPr="00484988">
        <w:t>Persons 0-4</w:t>
      </w:r>
      <w:r>
        <w:t xml:space="preserve"> – </w:t>
      </w:r>
      <w:r w:rsidRPr="00F03DC7">
        <w:t>-152</w:t>
      </w:r>
    </w:p>
    <w:p w:rsidR="00484988" w:rsidRPr="00484988" w:rsidRDefault="00484988" w:rsidP="00A41B2E">
      <w:pPr>
        <w:pStyle w:val="bt"/>
        <w:numPr>
          <w:ilvl w:val="0"/>
          <w:numId w:val="29"/>
        </w:numPr>
        <w:spacing w:before="60" w:after="0"/>
      </w:pPr>
      <w:r w:rsidRPr="00484988">
        <w:t>Persons 5-14</w:t>
      </w:r>
      <w:r>
        <w:t xml:space="preserve"> – </w:t>
      </w:r>
      <w:r w:rsidRPr="00F03DC7">
        <w:t>-109</w:t>
      </w:r>
    </w:p>
    <w:p w:rsidR="00484988" w:rsidRPr="00484988" w:rsidRDefault="00484988" w:rsidP="00A41B2E">
      <w:pPr>
        <w:pStyle w:val="bt"/>
        <w:numPr>
          <w:ilvl w:val="0"/>
          <w:numId w:val="29"/>
        </w:numPr>
        <w:spacing w:before="60" w:after="0"/>
      </w:pPr>
      <w:r w:rsidRPr="00484988">
        <w:t>Persons 15-24</w:t>
      </w:r>
      <w:r>
        <w:t xml:space="preserve"> – </w:t>
      </w:r>
      <w:r w:rsidRPr="00F03DC7">
        <w:t>-405</w:t>
      </w:r>
    </w:p>
    <w:p w:rsidR="00484988" w:rsidRPr="00484988" w:rsidRDefault="00484988" w:rsidP="00A41B2E">
      <w:pPr>
        <w:pStyle w:val="bt"/>
        <w:numPr>
          <w:ilvl w:val="0"/>
          <w:numId w:val="29"/>
        </w:numPr>
        <w:spacing w:before="60" w:after="0"/>
      </w:pPr>
      <w:r w:rsidRPr="00484988">
        <w:t>Persons 25-34</w:t>
      </w:r>
      <w:r>
        <w:t xml:space="preserve"> – </w:t>
      </w:r>
      <w:r w:rsidRPr="00F03DC7">
        <w:t>-364</w:t>
      </w:r>
    </w:p>
    <w:p w:rsidR="00484988" w:rsidRPr="00484988" w:rsidRDefault="00484988" w:rsidP="00A41B2E">
      <w:pPr>
        <w:pStyle w:val="bt"/>
        <w:numPr>
          <w:ilvl w:val="0"/>
          <w:numId w:val="29"/>
        </w:numPr>
        <w:spacing w:before="60" w:after="0"/>
      </w:pPr>
      <w:r w:rsidRPr="00484988">
        <w:t>Persons 35-44</w:t>
      </w:r>
      <w:r>
        <w:t xml:space="preserve"> – </w:t>
      </w:r>
      <w:r w:rsidRPr="00F03DC7">
        <w:t>89</w:t>
      </w:r>
    </w:p>
    <w:p w:rsidR="00484988" w:rsidRPr="00484988" w:rsidRDefault="00484988" w:rsidP="00A41B2E">
      <w:pPr>
        <w:pStyle w:val="bt"/>
        <w:numPr>
          <w:ilvl w:val="0"/>
          <w:numId w:val="29"/>
        </w:numPr>
        <w:spacing w:before="60" w:after="0"/>
      </w:pPr>
      <w:r w:rsidRPr="00484988">
        <w:t>Persons 45-54</w:t>
      </w:r>
      <w:r>
        <w:t xml:space="preserve"> – </w:t>
      </w:r>
      <w:r w:rsidRPr="00F03DC7">
        <w:t>-100</w:t>
      </w:r>
    </w:p>
    <w:p w:rsidR="00484988" w:rsidRPr="00484988" w:rsidRDefault="00484988" w:rsidP="00A41B2E">
      <w:pPr>
        <w:pStyle w:val="bt"/>
        <w:numPr>
          <w:ilvl w:val="0"/>
          <w:numId w:val="29"/>
        </w:numPr>
        <w:spacing w:before="60" w:after="0"/>
      </w:pPr>
      <w:r w:rsidRPr="00484988">
        <w:t>Persons 55-64</w:t>
      </w:r>
      <w:r>
        <w:t xml:space="preserve"> – </w:t>
      </w:r>
      <w:r w:rsidRPr="00F03DC7">
        <w:t>312</w:t>
      </w:r>
    </w:p>
    <w:p w:rsidR="00484988" w:rsidRPr="00484988" w:rsidRDefault="00484988" w:rsidP="00A41B2E">
      <w:pPr>
        <w:pStyle w:val="bt"/>
        <w:numPr>
          <w:ilvl w:val="0"/>
          <w:numId w:val="29"/>
        </w:numPr>
        <w:spacing w:before="60" w:after="0"/>
      </w:pPr>
      <w:r w:rsidRPr="00484988">
        <w:t>Persons 65 and over</w:t>
      </w:r>
      <w:r>
        <w:t xml:space="preserve"> – </w:t>
      </w:r>
      <w:r w:rsidRPr="00F03DC7">
        <w:t>2715</w:t>
      </w:r>
    </w:p>
    <w:p w:rsidR="00484988" w:rsidRPr="00484988" w:rsidRDefault="00484988" w:rsidP="00A41B2E">
      <w:pPr>
        <w:pStyle w:val="bt"/>
        <w:numPr>
          <w:ilvl w:val="0"/>
          <w:numId w:val="29"/>
        </w:numPr>
        <w:spacing w:before="60" w:after="0"/>
        <w:rPr>
          <w:szCs w:val="20"/>
        </w:rPr>
      </w:pPr>
      <w:r w:rsidRPr="00484988">
        <w:t>Total</w:t>
      </w:r>
      <w:r>
        <w:t xml:space="preserve"> – </w:t>
      </w:r>
      <w:r w:rsidRPr="00F03DC7">
        <w:t>1985</w:t>
      </w:r>
    </w:p>
    <w:p w:rsidR="00484988" w:rsidRPr="00484988" w:rsidRDefault="00484988" w:rsidP="00484988">
      <w:pPr>
        <w:pStyle w:val="bt"/>
        <w:spacing w:before="60" w:after="0"/>
        <w:rPr>
          <w:b/>
        </w:rPr>
      </w:pPr>
      <w:r w:rsidRPr="00484988">
        <w:rPr>
          <w:b/>
        </w:rPr>
        <w:t>Local Government Area:</w:t>
      </w:r>
      <w:r w:rsidRPr="00484988">
        <w:t xml:space="preserve"> </w:t>
      </w:r>
      <w:r w:rsidRPr="00F03DC7">
        <w:t>Mansfield</w:t>
      </w:r>
    </w:p>
    <w:p w:rsidR="00484988" w:rsidRPr="00484988" w:rsidRDefault="00484988" w:rsidP="00A41B2E">
      <w:pPr>
        <w:pStyle w:val="bt"/>
        <w:numPr>
          <w:ilvl w:val="0"/>
          <w:numId w:val="29"/>
        </w:numPr>
        <w:spacing w:before="60" w:after="0"/>
      </w:pPr>
      <w:r w:rsidRPr="00484988">
        <w:t>Persons 0-4</w:t>
      </w:r>
      <w:r>
        <w:t xml:space="preserve"> – </w:t>
      </w:r>
      <w:r w:rsidRPr="00F03DC7">
        <w:t>-137</w:t>
      </w:r>
    </w:p>
    <w:p w:rsidR="00484988" w:rsidRPr="00484988" w:rsidRDefault="00484988" w:rsidP="00A41B2E">
      <w:pPr>
        <w:pStyle w:val="bt"/>
        <w:numPr>
          <w:ilvl w:val="0"/>
          <w:numId w:val="29"/>
        </w:numPr>
        <w:spacing w:before="60" w:after="0"/>
      </w:pPr>
      <w:r w:rsidRPr="00484988">
        <w:t>Persons 5-14</w:t>
      </w:r>
      <w:r>
        <w:t xml:space="preserve"> – </w:t>
      </w:r>
      <w:r w:rsidRPr="00F03DC7">
        <w:t>162</w:t>
      </w:r>
    </w:p>
    <w:p w:rsidR="00484988" w:rsidRPr="00484988" w:rsidRDefault="00484988" w:rsidP="00A41B2E">
      <w:pPr>
        <w:pStyle w:val="bt"/>
        <w:numPr>
          <w:ilvl w:val="0"/>
          <w:numId w:val="29"/>
        </w:numPr>
        <w:spacing w:before="60" w:after="0"/>
      </w:pPr>
      <w:r w:rsidRPr="00484988">
        <w:t>Persons 15-24</w:t>
      </w:r>
      <w:r>
        <w:t xml:space="preserve"> – </w:t>
      </w:r>
      <w:r w:rsidRPr="00F03DC7">
        <w:t>-72</w:t>
      </w:r>
    </w:p>
    <w:p w:rsidR="00484988" w:rsidRPr="00484988" w:rsidRDefault="00484988" w:rsidP="00A41B2E">
      <w:pPr>
        <w:pStyle w:val="bt"/>
        <w:numPr>
          <w:ilvl w:val="0"/>
          <w:numId w:val="29"/>
        </w:numPr>
        <w:spacing w:before="60" w:after="0"/>
      </w:pPr>
      <w:r w:rsidRPr="00484988">
        <w:t>Persons 25-34</w:t>
      </w:r>
      <w:r>
        <w:t xml:space="preserve"> – </w:t>
      </w:r>
      <w:r w:rsidRPr="00F03DC7">
        <w:t>-310</w:t>
      </w:r>
    </w:p>
    <w:p w:rsidR="00484988" w:rsidRPr="00484988" w:rsidRDefault="00484988" w:rsidP="00A41B2E">
      <w:pPr>
        <w:pStyle w:val="bt"/>
        <w:numPr>
          <w:ilvl w:val="0"/>
          <w:numId w:val="29"/>
        </w:numPr>
        <w:spacing w:before="60" w:after="0"/>
      </w:pPr>
      <w:r w:rsidRPr="00484988">
        <w:t>Persons 35-44</w:t>
      </w:r>
      <w:r>
        <w:t xml:space="preserve"> – </w:t>
      </w:r>
      <w:r w:rsidRPr="00F03DC7">
        <w:t>229</w:t>
      </w:r>
    </w:p>
    <w:p w:rsidR="00484988" w:rsidRPr="00484988" w:rsidRDefault="00484988" w:rsidP="00A41B2E">
      <w:pPr>
        <w:pStyle w:val="bt"/>
        <w:numPr>
          <w:ilvl w:val="0"/>
          <w:numId w:val="29"/>
        </w:numPr>
        <w:spacing w:before="60" w:after="0"/>
      </w:pPr>
      <w:r w:rsidRPr="00484988">
        <w:t>Persons 45-54</w:t>
      </w:r>
      <w:r>
        <w:t xml:space="preserve"> – </w:t>
      </w:r>
      <w:r w:rsidRPr="00F03DC7">
        <w:t>246</w:t>
      </w:r>
    </w:p>
    <w:p w:rsidR="00484988" w:rsidRPr="00484988" w:rsidRDefault="00484988" w:rsidP="00A41B2E">
      <w:pPr>
        <w:pStyle w:val="bt"/>
        <w:numPr>
          <w:ilvl w:val="0"/>
          <w:numId w:val="29"/>
        </w:numPr>
        <w:spacing w:before="60" w:after="0"/>
      </w:pPr>
      <w:r w:rsidRPr="00484988">
        <w:t>Persons 55-64</w:t>
      </w:r>
      <w:r>
        <w:t xml:space="preserve"> – </w:t>
      </w:r>
      <w:r w:rsidRPr="00F03DC7">
        <w:t>289</w:t>
      </w:r>
    </w:p>
    <w:p w:rsidR="00484988" w:rsidRPr="00484988" w:rsidRDefault="00484988" w:rsidP="00A41B2E">
      <w:pPr>
        <w:pStyle w:val="bt"/>
        <w:numPr>
          <w:ilvl w:val="0"/>
          <w:numId w:val="29"/>
        </w:numPr>
        <w:spacing w:before="60" w:after="0"/>
      </w:pPr>
      <w:r w:rsidRPr="00484988">
        <w:t>Persons 65 and over</w:t>
      </w:r>
      <w:r>
        <w:t xml:space="preserve"> – </w:t>
      </w:r>
      <w:r w:rsidRPr="00F03DC7">
        <w:t>1749</w:t>
      </w:r>
    </w:p>
    <w:p w:rsidR="00484988" w:rsidRPr="00484988" w:rsidRDefault="00484988" w:rsidP="00A41B2E">
      <w:pPr>
        <w:pStyle w:val="bt"/>
        <w:numPr>
          <w:ilvl w:val="0"/>
          <w:numId w:val="29"/>
        </w:numPr>
        <w:spacing w:before="60" w:after="0"/>
        <w:rPr>
          <w:szCs w:val="20"/>
        </w:rPr>
      </w:pPr>
      <w:r w:rsidRPr="00484988">
        <w:t>Total</w:t>
      </w:r>
      <w:r>
        <w:t xml:space="preserve"> – </w:t>
      </w:r>
      <w:r w:rsidRPr="00F03DC7">
        <w:t>2155</w:t>
      </w:r>
    </w:p>
    <w:p w:rsidR="00484988" w:rsidRPr="00484988" w:rsidRDefault="00484988" w:rsidP="00484988">
      <w:pPr>
        <w:pStyle w:val="bt"/>
        <w:spacing w:before="60" w:after="0"/>
        <w:rPr>
          <w:b/>
        </w:rPr>
      </w:pPr>
      <w:r w:rsidRPr="00484988">
        <w:rPr>
          <w:b/>
        </w:rPr>
        <w:t>Local Government Area:</w:t>
      </w:r>
      <w:r w:rsidRPr="00484988">
        <w:t xml:space="preserve"> </w:t>
      </w:r>
      <w:r w:rsidRPr="00F03DC7">
        <w:t>Mitchell</w:t>
      </w:r>
      <w:r>
        <w:t>*</w:t>
      </w:r>
    </w:p>
    <w:p w:rsidR="00484988" w:rsidRPr="00484988" w:rsidRDefault="00484988" w:rsidP="00A41B2E">
      <w:pPr>
        <w:pStyle w:val="bt"/>
        <w:numPr>
          <w:ilvl w:val="0"/>
          <w:numId w:val="29"/>
        </w:numPr>
        <w:spacing w:before="60" w:after="0"/>
      </w:pPr>
      <w:r w:rsidRPr="00484988">
        <w:t>Persons 0-4</w:t>
      </w:r>
      <w:r>
        <w:t xml:space="preserve"> – </w:t>
      </w:r>
      <w:r w:rsidRPr="00F03DC7">
        <w:t>-527</w:t>
      </w:r>
    </w:p>
    <w:p w:rsidR="00484988" w:rsidRPr="00484988" w:rsidRDefault="00484988" w:rsidP="00A41B2E">
      <w:pPr>
        <w:pStyle w:val="bt"/>
        <w:numPr>
          <w:ilvl w:val="0"/>
          <w:numId w:val="29"/>
        </w:numPr>
        <w:spacing w:before="60" w:after="0"/>
      </w:pPr>
      <w:r w:rsidRPr="00484988">
        <w:t>Persons 5-14</w:t>
      </w:r>
      <w:r>
        <w:t xml:space="preserve"> – </w:t>
      </w:r>
      <w:r w:rsidRPr="00F03DC7">
        <w:t>279</w:t>
      </w:r>
    </w:p>
    <w:p w:rsidR="00484988" w:rsidRPr="00484988" w:rsidRDefault="00484988" w:rsidP="00A41B2E">
      <w:pPr>
        <w:pStyle w:val="bt"/>
        <w:numPr>
          <w:ilvl w:val="0"/>
          <w:numId w:val="29"/>
        </w:numPr>
        <w:spacing w:before="60" w:after="0"/>
      </w:pPr>
      <w:r w:rsidRPr="00484988">
        <w:t>Persons 15-24</w:t>
      </w:r>
      <w:r>
        <w:t xml:space="preserve"> – </w:t>
      </w:r>
      <w:r w:rsidRPr="00F03DC7">
        <w:t>617</w:t>
      </w:r>
    </w:p>
    <w:p w:rsidR="00484988" w:rsidRPr="00484988" w:rsidRDefault="00484988" w:rsidP="00A41B2E">
      <w:pPr>
        <w:pStyle w:val="bt"/>
        <w:numPr>
          <w:ilvl w:val="0"/>
          <w:numId w:val="29"/>
        </w:numPr>
        <w:spacing w:before="60" w:after="0"/>
      </w:pPr>
      <w:r w:rsidRPr="00484988">
        <w:t>Persons 25-34</w:t>
      </w:r>
      <w:r>
        <w:t xml:space="preserve"> – </w:t>
      </w:r>
      <w:r w:rsidRPr="00F03DC7">
        <w:t>-665</w:t>
      </w:r>
    </w:p>
    <w:p w:rsidR="00484988" w:rsidRPr="00484988" w:rsidRDefault="00484988" w:rsidP="00A41B2E">
      <w:pPr>
        <w:pStyle w:val="bt"/>
        <w:numPr>
          <w:ilvl w:val="0"/>
          <w:numId w:val="29"/>
        </w:numPr>
        <w:spacing w:before="60" w:after="0"/>
      </w:pPr>
      <w:r w:rsidRPr="00484988">
        <w:t>Persons 35-44</w:t>
      </w:r>
      <w:r>
        <w:t xml:space="preserve"> – </w:t>
      </w:r>
      <w:r w:rsidRPr="00F03DC7">
        <w:t>1918</w:t>
      </w:r>
    </w:p>
    <w:p w:rsidR="00484988" w:rsidRPr="00484988" w:rsidRDefault="00484988" w:rsidP="00A41B2E">
      <w:pPr>
        <w:pStyle w:val="bt"/>
        <w:numPr>
          <w:ilvl w:val="0"/>
          <w:numId w:val="29"/>
        </w:numPr>
        <w:spacing w:before="60" w:after="0"/>
      </w:pPr>
      <w:r w:rsidRPr="00484988">
        <w:t>Persons 45-54</w:t>
      </w:r>
      <w:r>
        <w:t xml:space="preserve"> – </w:t>
      </w:r>
      <w:r w:rsidRPr="00F03DC7">
        <w:t>1861</w:t>
      </w:r>
    </w:p>
    <w:p w:rsidR="00484988" w:rsidRPr="00484988" w:rsidRDefault="00484988" w:rsidP="00A41B2E">
      <w:pPr>
        <w:pStyle w:val="bt"/>
        <w:numPr>
          <w:ilvl w:val="0"/>
          <w:numId w:val="29"/>
        </w:numPr>
        <w:spacing w:before="60" w:after="0"/>
      </w:pPr>
      <w:r w:rsidRPr="00484988">
        <w:t>Persons 55-64</w:t>
      </w:r>
      <w:r>
        <w:t xml:space="preserve"> – </w:t>
      </w:r>
      <w:r w:rsidRPr="00F03DC7">
        <w:t>1681</w:t>
      </w:r>
    </w:p>
    <w:p w:rsidR="00484988" w:rsidRPr="00484988" w:rsidRDefault="00484988" w:rsidP="00A41B2E">
      <w:pPr>
        <w:pStyle w:val="bt"/>
        <w:numPr>
          <w:ilvl w:val="0"/>
          <w:numId w:val="29"/>
        </w:numPr>
        <w:spacing w:before="60" w:after="0"/>
      </w:pPr>
      <w:r w:rsidRPr="00484988">
        <w:t>Persons 65 and over</w:t>
      </w:r>
      <w:r>
        <w:t xml:space="preserve"> – </w:t>
      </w:r>
      <w:r w:rsidRPr="00F03DC7">
        <w:t>5075</w:t>
      </w:r>
    </w:p>
    <w:p w:rsidR="00484988" w:rsidRPr="00484988" w:rsidRDefault="00484988" w:rsidP="00A41B2E">
      <w:pPr>
        <w:pStyle w:val="bt"/>
        <w:numPr>
          <w:ilvl w:val="0"/>
          <w:numId w:val="29"/>
        </w:numPr>
        <w:spacing w:before="60" w:after="0"/>
        <w:rPr>
          <w:szCs w:val="20"/>
        </w:rPr>
      </w:pPr>
      <w:r w:rsidRPr="00484988">
        <w:t>Total</w:t>
      </w:r>
      <w:r>
        <w:t xml:space="preserve"> – </w:t>
      </w:r>
      <w:r w:rsidRPr="00F03DC7">
        <w:t>10,240</w:t>
      </w:r>
    </w:p>
    <w:p w:rsidR="00484988" w:rsidRPr="00484988" w:rsidRDefault="00484988" w:rsidP="00484988">
      <w:pPr>
        <w:pStyle w:val="bt"/>
        <w:spacing w:before="60" w:after="0"/>
        <w:rPr>
          <w:b/>
        </w:rPr>
      </w:pPr>
      <w:r w:rsidRPr="00484988">
        <w:rPr>
          <w:b/>
        </w:rPr>
        <w:t>Local Government Area:</w:t>
      </w:r>
      <w:r w:rsidRPr="00484988">
        <w:t xml:space="preserve"> </w:t>
      </w:r>
      <w:r w:rsidRPr="00F03DC7">
        <w:t>Moira</w:t>
      </w:r>
    </w:p>
    <w:p w:rsidR="00484988" w:rsidRPr="00484988" w:rsidRDefault="00484988" w:rsidP="00A41B2E">
      <w:pPr>
        <w:pStyle w:val="bt"/>
        <w:numPr>
          <w:ilvl w:val="0"/>
          <w:numId w:val="29"/>
        </w:numPr>
        <w:spacing w:before="60" w:after="0"/>
      </w:pPr>
      <w:r w:rsidRPr="00484988">
        <w:t>Persons 0-4</w:t>
      </w:r>
      <w:r>
        <w:t xml:space="preserve"> – </w:t>
      </w:r>
      <w:r w:rsidRPr="00F03DC7">
        <w:t>-58</w:t>
      </w:r>
    </w:p>
    <w:p w:rsidR="00484988" w:rsidRPr="00484988" w:rsidRDefault="00484988" w:rsidP="00A41B2E">
      <w:pPr>
        <w:pStyle w:val="bt"/>
        <w:numPr>
          <w:ilvl w:val="0"/>
          <w:numId w:val="29"/>
        </w:numPr>
        <w:spacing w:before="60" w:after="0"/>
      </w:pPr>
      <w:r w:rsidRPr="00484988">
        <w:t>Persons 5-14</w:t>
      </w:r>
      <w:r>
        <w:t xml:space="preserve"> – </w:t>
      </w:r>
      <w:r w:rsidRPr="00F03DC7">
        <w:t>149</w:t>
      </w:r>
    </w:p>
    <w:p w:rsidR="00484988" w:rsidRPr="00484988" w:rsidRDefault="00484988" w:rsidP="00A41B2E">
      <w:pPr>
        <w:pStyle w:val="bt"/>
        <w:numPr>
          <w:ilvl w:val="0"/>
          <w:numId w:val="29"/>
        </w:numPr>
        <w:spacing w:before="60" w:after="0"/>
      </w:pPr>
      <w:r w:rsidRPr="00484988">
        <w:t>Persons 15-24</w:t>
      </w:r>
      <w:r>
        <w:t xml:space="preserve"> – </w:t>
      </w:r>
      <w:r w:rsidRPr="00F03DC7">
        <w:t>-5</w:t>
      </w:r>
    </w:p>
    <w:p w:rsidR="00484988" w:rsidRPr="00484988" w:rsidRDefault="00484988" w:rsidP="00A41B2E">
      <w:pPr>
        <w:pStyle w:val="bt"/>
        <w:numPr>
          <w:ilvl w:val="0"/>
          <w:numId w:val="29"/>
        </w:numPr>
        <w:spacing w:before="60" w:after="0"/>
      </w:pPr>
      <w:r w:rsidRPr="00484988">
        <w:t>Persons 25-34</w:t>
      </w:r>
      <w:r>
        <w:t xml:space="preserve"> – </w:t>
      </w:r>
      <w:r w:rsidRPr="00F03DC7">
        <w:t>158</w:t>
      </w:r>
    </w:p>
    <w:p w:rsidR="00484988" w:rsidRPr="00484988" w:rsidRDefault="00484988" w:rsidP="00A41B2E">
      <w:pPr>
        <w:pStyle w:val="bt"/>
        <w:numPr>
          <w:ilvl w:val="0"/>
          <w:numId w:val="29"/>
        </w:numPr>
        <w:spacing w:before="60" w:after="0"/>
      </w:pPr>
      <w:r w:rsidRPr="00484988">
        <w:t>Persons 35-44</w:t>
      </w:r>
      <w:r>
        <w:t xml:space="preserve"> – </w:t>
      </w:r>
      <w:r w:rsidRPr="00F03DC7">
        <w:t>794</w:t>
      </w:r>
    </w:p>
    <w:p w:rsidR="00484988" w:rsidRPr="00484988" w:rsidRDefault="00484988" w:rsidP="00A41B2E">
      <w:pPr>
        <w:pStyle w:val="bt"/>
        <w:numPr>
          <w:ilvl w:val="0"/>
          <w:numId w:val="29"/>
        </w:numPr>
        <w:spacing w:before="60" w:after="0"/>
      </w:pPr>
      <w:r w:rsidRPr="00484988">
        <w:lastRenderedPageBreak/>
        <w:t>Persons 45-54</w:t>
      </w:r>
      <w:r>
        <w:t xml:space="preserve"> – </w:t>
      </w:r>
      <w:r w:rsidRPr="00F03DC7">
        <w:t>774</w:t>
      </w:r>
    </w:p>
    <w:p w:rsidR="00484988" w:rsidRPr="00484988" w:rsidRDefault="00484988" w:rsidP="00A41B2E">
      <w:pPr>
        <w:pStyle w:val="bt"/>
        <w:numPr>
          <w:ilvl w:val="0"/>
          <w:numId w:val="29"/>
        </w:numPr>
        <w:spacing w:before="60" w:after="0"/>
      </w:pPr>
      <w:r w:rsidRPr="00484988">
        <w:t>Persons 55-64</w:t>
      </w:r>
      <w:r>
        <w:t xml:space="preserve"> – </w:t>
      </w:r>
      <w:r w:rsidRPr="00F03DC7">
        <w:t>969</w:t>
      </w:r>
    </w:p>
    <w:p w:rsidR="00484988" w:rsidRPr="00484988" w:rsidRDefault="00484988" w:rsidP="00A41B2E">
      <w:pPr>
        <w:pStyle w:val="bt"/>
        <w:numPr>
          <w:ilvl w:val="0"/>
          <w:numId w:val="29"/>
        </w:numPr>
        <w:spacing w:before="60" w:after="0"/>
      </w:pPr>
      <w:r w:rsidRPr="00484988">
        <w:t>Persons 65 and over</w:t>
      </w:r>
      <w:r>
        <w:t xml:space="preserve"> – </w:t>
      </w:r>
      <w:r w:rsidRPr="00F03DC7">
        <w:t>4615</w:t>
      </w:r>
    </w:p>
    <w:p w:rsidR="00484988" w:rsidRPr="00484988" w:rsidRDefault="00484988" w:rsidP="00A41B2E">
      <w:pPr>
        <w:pStyle w:val="bt"/>
        <w:numPr>
          <w:ilvl w:val="0"/>
          <w:numId w:val="29"/>
        </w:numPr>
        <w:spacing w:before="60" w:after="0"/>
        <w:rPr>
          <w:szCs w:val="20"/>
        </w:rPr>
      </w:pPr>
      <w:r w:rsidRPr="00484988">
        <w:t>Total</w:t>
      </w:r>
      <w:r>
        <w:t xml:space="preserve"> – </w:t>
      </w:r>
      <w:r w:rsidRPr="00F03DC7">
        <w:t>7395</w:t>
      </w:r>
    </w:p>
    <w:p w:rsidR="00484988" w:rsidRPr="00484988" w:rsidRDefault="00484988" w:rsidP="00484988">
      <w:pPr>
        <w:pStyle w:val="bt"/>
        <w:spacing w:before="60" w:after="0"/>
        <w:rPr>
          <w:b/>
        </w:rPr>
      </w:pPr>
      <w:r w:rsidRPr="00484988">
        <w:rPr>
          <w:b/>
        </w:rPr>
        <w:t>Local Government Area:</w:t>
      </w:r>
      <w:r w:rsidRPr="00484988">
        <w:t xml:space="preserve"> </w:t>
      </w:r>
      <w:r w:rsidRPr="00F03DC7">
        <w:t>Murrindindi</w:t>
      </w:r>
    </w:p>
    <w:p w:rsidR="00484988" w:rsidRPr="00484988" w:rsidRDefault="00484988" w:rsidP="00A41B2E">
      <w:pPr>
        <w:pStyle w:val="bt"/>
        <w:numPr>
          <w:ilvl w:val="0"/>
          <w:numId w:val="29"/>
        </w:numPr>
        <w:spacing w:before="60" w:after="0"/>
      </w:pPr>
      <w:r w:rsidRPr="00484988">
        <w:t>Persons 0-4</w:t>
      </w:r>
      <w:r>
        <w:t xml:space="preserve"> – </w:t>
      </w:r>
      <w:r w:rsidRPr="00F03DC7">
        <w:t>63</w:t>
      </w:r>
    </w:p>
    <w:p w:rsidR="00484988" w:rsidRPr="00484988" w:rsidRDefault="00484988" w:rsidP="00A41B2E">
      <w:pPr>
        <w:pStyle w:val="bt"/>
        <w:numPr>
          <w:ilvl w:val="0"/>
          <w:numId w:val="29"/>
        </w:numPr>
        <w:spacing w:before="60" w:after="0"/>
      </w:pPr>
      <w:r w:rsidRPr="00484988">
        <w:t>Persons 5-14</w:t>
      </w:r>
      <w:r>
        <w:t xml:space="preserve"> – </w:t>
      </w:r>
      <w:r w:rsidRPr="00F03DC7">
        <w:t>210</w:t>
      </w:r>
    </w:p>
    <w:p w:rsidR="00484988" w:rsidRPr="00484988" w:rsidRDefault="00484988" w:rsidP="00A41B2E">
      <w:pPr>
        <w:pStyle w:val="bt"/>
        <w:numPr>
          <w:ilvl w:val="0"/>
          <w:numId w:val="29"/>
        </w:numPr>
        <w:spacing w:before="60" w:after="0"/>
      </w:pPr>
      <w:r w:rsidRPr="00484988">
        <w:t>Persons 15-24</w:t>
      </w:r>
      <w:r>
        <w:t xml:space="preserve"> – </w:t>
      </w:r>
      <w:r w:rsidRPr="00F03DC7">
        <w:t>214</w:t>
      </w:r>
    </w:p>
    <w:p w:rsidR="00484988" w:rsidRPr="00484988" w:rsidRDefault="00484988" w:rsidP="00A41B2E">
      <w:pPr>
        <w:pStyle w:val="bt"/>
        <w:numPr>
          <w:ilvl w:val="0"/>
          <w:numId w:val="29"/>
        </w:numPr>
        <w:spacing w:before="60" w:after="0"/>
      </w:pPr>
      <w:r w:rsidRPr="00484988">
        <w:t>Persons 25-34</w:t>
      </w:r>
      <w:r>
        <w:t xml:space="preserve"> – </w:t>
      </w:r>
      <w:r w:rsidRPr="00F03DC7">
        <w:t>346</w:t>
      </w:r>
    </w:p>
    <w:p w:rsidR="00484988" w:rsidRPr="00484988" w:rsidRDefault="00484988" w:rsidP="00A41B2E">
      <w:pPr>
        <w:pStyle w:val="bt"/>
        <w:numPr>
          <w:ilvl w:val="0"/>
          <w:numId w:val="29"/>
        </w:numPr>
        <w:spacing w:before="60" w:after="0"/>
      </w:pPr>
      <w:r w:rsidRPr="00484988">
        <w:t>Persons 35-44</w:t>
      </w:r>
      <w:r>
        <w:t xml:space="preserve"> – </w:t>
      </w:r>
      <w:r w:rsidRPr="00F03DC7">
        <w:t>241</w:t>
      </w:r>
    </w:p>
    <w:p w:rsidR="00484988" w:rsidRPr="00484988" w:rsidRDefault="00484988" w:rsidP="00A41B2E">
      <w:pPr>
        <w:pStyle w:val="bt"/>
        <w:numPr>
          <w:ilvl w:val="0"/>
          <w:numId w:val="29"/>
        </w:numPr>
        <w:spacing w:before="60" w:after="0"/>
      </w:pPr>
      <w:r w:rsidRPr="00484988">
        <w:t>Persons 45-54</w:t>
      </w:r>
      <w:r>
        <w:t xml:space="preserve"> – </w:t>
      </w:r>
      <w:r w:rsidRPr="00F03DC7">
        <w:t>-25</w:t>
      </w:r>
    </w:p>
    <w:p w:rsidR="00484988" w:rsidRPr="00484988" w:rsidRDefault="00484988" w:rsidP="00A41B2E">
      <w:pPr>
        <w:pStyle w:val="bt"/>
        <w:numPr>
          <w:ilvl w:val="0"/>
          <w:numId w:val="29"/>
        </w:numPr>
        <w:spacing w:before="60" w:after="0"/>
      </w:pPr>
      <w:r w:rsidRPr="00484988">
        <w:t>Persons 55-64</w:t>
      </w:r>
      <w:r>
        <w:t xml:space="preserve"> – </w:t>
      </w:r>
      <w:r w:rsidRPr="00F03DC7">
        <w:t>459</w:t>
      </w:r>
    </w:p>
    <w:p w:rsidR="00484988" w:rsidRPr="00484988" w:rsidRDefault="00484988" w:rsidP="00A41B2E">
      <w:pPr>
        <w:pStyle w:val="bt"/>
        <w:numPr>
          <w:ilvl w:val="0"/>
          <w:numId w:val="29"/>
        </w:numPr>
        <w:spacing w:before="60" w:after="0"/>
      </w:pPr>
      <w:r w:rsidRPr="00484988">
        <w:t>Persons 65 and over</w:t>
      </w:r>
      <w:r>
        <w:t xml:space="preserve"> – </w:t>
      </w:r>
      <w:r w:rsidRPr="00F03DC7">
        <w:t>2760</w:t>
      </w:r>
    </w:p>
    <w:p w:rsidR="00484988" w:rsidRPr="00484988" w:rsidRDefault="00484988" w:rsidP="00A41B2E">
      <w:pPr>
        <w:pStyle w:val="bt"/>
        <w:numPr>
          <w:ilvl w:val="0"/>
          <w:numId w:val="29"/>
        </w:numPr>
        <w:spacing w:before="60" w:after="0"/>
        <w:rPr>
          <w:szCs w:val="20"/>
        </w:rPr>
      </w:pPr>
      <w:r w:rsidRPr="00484988">
        <w:t>Total</w:t>
      </w:r>
      <w:r>
        <w:t xml:space="preserve"> – 4</w:t>
      </w:r>
      <w:r w:rsidRPr="00F03DC7">
        <w:t>268</w:t>
      </w:r>
    </w:p>
    <w:p w:rsidR="00484988" w:rsidRPr="00484988" w:rsidRDefault="00484988" w:rsidP="00484988">
      <w:pPr>
        <w:pStyle w:val="bt"/>
        <w:spacing w:before="60" w:after="0"/>
        <w:rPr>
          <w:b/>
        </w:rPr>
      </w:pPr>
      <w:r w:rsidRPr="00484988">
        <w:rPr>
          <w:b/>
        </w:rPr>
        <w:t>Local Government Area:</w:t>
      </w:r>
      <w:r w:rsidRPr="00484988">
        <w:t xml:space="preserve"> </w:t>
      </w:r>
      <w:r w:rsidRPr="00F03DC7">
        <w:t>Strathbogie</w:t>
      </w:r>
    </w:p>
    <w:p w:rsidR="00484988" w:rsidRPr="00484988" w:rsidRDefault="00484988" w:rsidP="00A41B2E">
      <w:pPr>
        <w:pStyle w:val="bt"/>
        <w:numPr>
          <w:ilvl w:val="0"/>
          <w:numId w:val="29"/>
        </w:numPr>
        <w:spacing w:before="60" w:after="0"/>
      </w:pPr>
      <w:r w:rsidRPr="00484988">
        <w:t>Persons 0-4</w:t>
      </w:r>
      <w:r>
        <w:t xml:space="preserve"> – </w:t>
      </w:r>
      <w:r w:rsidRPr="00F03DC7">
        <w:t>-94</w:t>
      </w:r>
    </w:p>
    <w:p w:rsidR="00484988" w:rsidRPr="00484988" w:rsidRDefault="00484988" w:rsidP="00A41B2E">
      <w:pPr>
        <w:pStyle w:val="bt"/>
        <w:numPr>
          <w:ilvl w:val="0"/>
          <w:numId w:val="29"/>
        </w:numPr>
        <w:spacing w:before="60" w:after="0"/>
      </w:pPr>
      <w:r w:rsidRPr="00484988">
        <w:t>Persons 5-14</w:t>
      </w:r>
      <w:r>
        <w:t xml:space="preserve"> – </w:t>
      </w:r>
      <w:r w:rsidR="000D3090" w:rsidRPr="00F03DC7">
        <w:t>-45</w:t>
      </w:r>
    </w:p>
    <w:p w:rsidR="00484988" w:rsidRPr="00484988" w:rsidRDefault="00484988" w:rsidP="00A41B2E">
      <w:pPr>
        <w:pStyle w:val="bt"/>
        <w:numPr>
          <w:ilvl w:val="0"/>
          <w:numId w:val="29"/>
        </w:numPr>
        <w:spacing w:before="60" w:after="0"/>
      </w:pPr>
      <w:r w:rsidRPr="00484988">
        <w:t>Persons 15-24</w:t>
      </w:r>
      <w:r>
        <w:t xml:space="preserve"> – </w:t>
      </w:r>
      <w:r w:rsidR="000D3090" w:rsidRPr="00F03DC7">
        <w:t>-155</w:t>
      </w:r>
    </w:p>
    <w:p w:rsidR="00484988" w:rsidRPr="00484988" w:rsidRDefault="00484988" w:rsidP="00A41B2E">
      <w:pPr>
        <w:pStyle w:val="bt"/>
        <w:numPr>
          <w:ilvl w:val="0"/>
          <w:numId w:val="29"/>
        </w:numPr>
        <w:spacing w:before="60" w:after="0"/>
      </w:pPr>
      <w:r w:rsidRPr="00484988">
        <w:t>Persons 25-34</w:t>
      </w:r>
      <w:r>
        <w:t xml:space="preserve"> – </w:t>
      </w:r>
      <w:r w:rsidR="000D3090" w:rsidRPr="00F03DC7">
        <w:t>-145</w:t>
      </w:r>
    </w:p>
    <w:p w:rsidR="00484988" w:rsidRPr="00484988" w:rsidRDefault="00484988" w:rsidP="00A41B2E">
      <w:pPr>
        <w:pStyle w:val="bt"/>
        <w:numPr>
          <w:ilvl w:val="0"/>
          <w:numId w:val="29"/>
        </w:numPr>
        <w:spacing w:before="60" w:after="0"/>
      </w:pPr>
      <w:r w:rsidRPr="00484988">
        <w:t>Persons 35-44</w:t>
      </w:r>
      <w:r>
        <w:t xml:space="preserve"> – </w:t>
      </w:r>
      <w:r w:rsidR="000D3090" w:rsidRPr="00F03DC7">
        <w:t>55</w:t>
      </w:r>
    </w:p>
    <w:p w:rsidR="00484988" w:rsidRPr="00484988" w:rsidRDefault="00484988" w:rsidP="00A41B2E">
      <w:pPr>
        <w:pStyle w:val="bt"/>
        <w:numPr>
          <w:ilvl w:val="0"/>
          <w:numId w:val="29"/>
        </w:numPr>
        <w:spacing w:before="60" w:after="0"/>
      </w:pPr>
      <w:r w:rsidRPr="00484988">
        <w:t>Persons 45-54</w:t>
      </w:r>
      <w:r>
        <w:t xml:space="preserve"> – </w:t>
      </w:r>
      <w:r w:rsidR="000D3090" w:rsidRPr="00F03DC7">
        <w:t>-101</w:t>
      </w:r>
    </w:p>
    <w:p w:rsidR="00484988" w:rsidRPr="00484988" w:rsidRDefault="00484988" w:rsidP="00A41B2E">
      <w:pPr>
        <w:pStyle w:val="bt"/>
        <w:numPr>
          <w:ilvl w:val="0"/>
          <w:numId w:val="29"/>
        </w:numPr>
        <w:spacing w:before="60" w:after="0"/>
      </w:pPr>
      <w:r w:rsidRPr="00484988">
        <w:t>Persons 55-64</w:t>
      </w:r>
      <w:r>
        <w:t xml:space="preserve"> – </w:t>
      </w:r>
      <w:r w:rsidR="000D3090" w:rsidRPr="00F03DC7">
        <w:t>-49</w:t>
      </w:r>
    </w:p>
    <w:p w:rsidR="00484988" w:rsidRPr="00484988" w:rsidRDefault="00484988" w:rsidP="00A41B2E">
      <w:pPr>
        <w:pStyle w:val="bt"/>
        <w:numPr>
          <w:ilvl w:val="0"/>
          <w:numId w:val="29"/>
        </w:numPr>
        <w:spacing w:before="60" w:after="0"/>
      </w:pPr>
      <w:r w:rsidRPr="00484988">
        <w:t>Persons 65 and over</w:t>
      </w:r>
      <w:r>
        <w:t xml:space="preserve"> – </w:t>
      </w:r>
      <w:r w:rsidR="000D3090" w:rsidRPr="00F03DC7">
        <w:t>1559</w:t>
      </w:r>
    </w:p>
    <w:p w:rsidR="00484988" w:rsidRPr="00484988" w:rsidRDefault="00484988" w:rsidP="00A41B2E">
      <w:pPr>
        <w:pStyle w:val="bt"/>
        <w:numPr>
          <w:ilvl w:val="0"/>
          <w:numId w:val="29"/>
        </w:numPr>
        <w:spacing w:before="60" w:after="0"/>
        <w:rPr>
          <w:szCs w:val="20"/>
        </w:rPr>
      </w:pPr>
      <w:r w:rsidRPr="00484988">
        <w:t>Total</w:t>
      </w:r>
      <w:r>
        <w:t xml:space="preserve"> – </w:t>
      </w:r>
      <w:r w:rsidR="000D3090" w:rsidRPr="00F03DC7">
        <w:t>1025</w:t>
      </w:r>
    </w:p>
    <w:p w:rsidR="000D3090" w:rsidRPr="00484988" w:rsidRDefault="000D3090" w:rsidP="000D3090">
      <w:pPr>
        <w:pStyle w:val="bt"/>
        <w:spacing w:before="60" w:after="0"/>
        <w:rPr>
          <w:b/>
        </w:rPr>
      </w:pPr>
      <w:r w:rsidRPr="00484988">
        <w:rPr>
          <w:b/>
        </w:rPr>
        <w:t>Local Government Area:</w:t>
      </w:r>
      <w:r w:rsidRPr="000D3090">
        <w:t xml:space="preserve"> </w:t>
      </w:r>
      <w:r w:rsidRPr="00F03DC7">
        <w:t>Towong</w:t>
      </w:r>
    </w:p>
    <w:p w:rsidR="000D3090" w:rsidRPr="00484988" w:rsidRDefault="000D3090" w:rsidP="00A41B2E">
      <w:pPr>
        <w:pStyle w:val="bt"/>
        <w:numPr>
          <w:ilvl w:val="0"/>
          <w:numId w:val="29"/>
        </w:numPr>
        <w:spacing w:before="60" w:after="0"/>
      </w:pPr>
      <w:r w:rsidRPr="00484988">
        <w:t>Persons 0-4</w:t>
      </w:r>
      <w:r>
        <w:t xml:space="preserve"> – </w:t>
      </w:r>
      <w:r w:rsidRPr="00F03DC7">
        <w:t>18</w:t>
      </w:r>
    </w:p>
    <w:p w:rsidR="000D3090" w:rsidRPr="00484988" w:rsidRDefault="000D3090" w:rsidP="00A41B2E">
      <w:pPr>
        <w:pStyle w:val="bt"/>
        <w:numPr>
          <w:ilvl w:val="0"/>
          <w:numId w:val="29"/>
        </w:numPr>
        <w:spacing w:before="60" w:after="0"/>
      </w:pPr>
      <w:r w:rsidRPr="00484988">
        <w:t>Persons 5-14</w:t>
      </w:r>
      <w:r>
        <w:t xml:space="preserve"> – </w:t>
      </w:r>
      <w:r w:rsidRPr="00F03DC7">
        <w:t>-65</w:t>
      </w:r>
    </w:p>
    <w:p w:rsidR="000D3090" w:rsidRPr="00484988" w:rsidRDefault="000D3090" w:rsidP="00A41B2E">
      <w:pPr>
        <w:pStyle w:val="bt"/>
        <w:numPr>
          <w:ilvl w:val="0"/>
          <w:numId w:val="29"/>
        </w:numPr>
        <w:spacing w:before="60" w:after="0"/>
      </w:pPr>
      <w:r w:rsidRPr="00484988">
        <w:t>Persons 15-24</w:t>
      </w:r>
      <w:r>
        <w:t xml:space="preserve"> – </w:t>
      </w:r>
      <w:r w:rsidRPr="00F03DC7">
        <w:t>-160</w:t>
      </w:r>
    </w:p>
    <w:p w:rsidR="000D3090" w:rsidRPr="00484988" w:rsidRDefault="000D3090" w:rsidP="00A41B2E">
      <w:pPr>
        <w:pStyle w:val="bt"/>
        <w:numPr>
          <w:ilvl w:val="0"/>
          <w:numId w:val="29"/>
        </w:numPr>
        <w:spacing w:before="60" w:after="0"/>
      </w:pPr>
      <w:r w:rsidRPr="00484988">
        <w:t>Persons 25-34</w:t>
      </w:r>
      <w:r>
        <w:t xml:space="preserve"> – </w:t>
      </w:r>
      <w:r w:rsidRPr="00F03DC7">
        <w:t>80</w:t>
      </w:r>
    </w:p>
    <w:p w:rsidR="000D3090" w:rsidRPr="00484988" w:rsidRDefault="000D3090" w:rsidP="00A41B2E">
      <w:pPr>
        <w:pStyle w:val="bt"/>
        <w:numPr>
          <w:ilvl w:val="0"/>
          <w:numId w:val="29"/>
        </w:numPr>
        <w:spacing w:before="60" w:after="0"/>
      </w:pPr>
      <w:r w:rsidRPr="00484988">
        <w:t>Persons 35-44</w:t>
      </w:r>
      <w:r>
        <w:t xml:space="preserve"> – </w:t>
      </w:r>
      <w:r w:rsidRPr="00F03DC7">
        <w:t>-111</w:t>
      </w:r>
    </w:p>
    <w:p w:rsidR="000D3090" w:rsidRPr="00484988" w:rsidRDefault="000D3090" w:rsidP="00A41B2E">
      <w:pPr>
        <w:pStyle w:val="bt"/>
        <w:numPr>
          <w:ilvl w:val="0"/>
          <w:numId w:val="29"/>
        </w:numPr>
        <w:spacing w:before="60" w:after="0"/>
      </w:pPr>
      <w:r w:rsidRPr="00484988">
        <w:t>Persons 45-54</w:t>
      </w:r>
      <w:r>
        <w:t xml:space="preserve"> – </w:t>
      </w:r>
      <w:r w:rsidRPr="00F03DC7">
        <w:t>-353</w:t>
      </w:r>
    </w:p>
    <w:p w:rsidR="000D3090" w:rsidRPr="00484988" w:rsidRDefault="000D3090" w:rsidP="00A41B2E">
      <w:pPr>
        <w:pStyle w:val="bt"/>
        <w:numPr>
          <w:ilvl w:val="0"/>
          <w:numId w:val="29"/>
        </w:numPr>
        <w:spacing w:before="60" w:after="0"/>
      </w:pPr>
      <w:r w:rsidRPr="00484988">
        <w:t>Persons 55-64</w:t>
      </w:r>
      <w:r>
        <w:t xml:space="preserve"> – </w:t>
      </w:r>
      <w:r w:rsidRPr="00F03DC7">
        <w:t>-75</w:t>
      </w:r>
    </w:p>
    <w:p w:rsidR="000D3090" w:rsidRPr="00484988" w:rsidRDefault="000D3090" w:rsidP="00A41B2E">
      <w:pPr>
        <w:pStyle w:val="bt"/>
        <w:numPr>
          <w:ilvl w:val="0"/>
          <w:numId w:val="29"/>
        </w:numPr>
        <w:spacing w:before="60" w:after="0"/>
      </w:pPr>
      <w:r w:rsidRPr="00484988">
        <w:t>Persons 65 and over</w:t>
      </w:r>
      <w:r>
        <w:t xml:space="preserve"> – </w:t>
      </w:r>
      <w:r w:rsidRPr="00F03DC7">
        <w:t>943</w:t>
      </w:r>
    </w:p>
    <w:p w:rsidR="000D3090" w:rsidRPr="00484988" w:rsidRDefault="000D3090" w:rsidP="00A41B2E">
      <w:pPr>
        <w:pStyle w:val="bt"/>
        <w:numPr>
          <w:ilvl w:val="0"/>
          <w:numId w:val="29"/>
        </w:numPr>
        <w:spacing w:before="60" w:after="0"/>
        <w:rPr>
          <w:szCs w:val="20"/>
        </w:rPr>
      </w:pPr>
      <w:r w:rsidRPr="00484988">
        <w:t>Total</w:t>
      </w:r>
      <w:r>
        <w:t xml:space="preserve"> – </w:t>
      </w:r>
      <w:r w:rsidRPr="00F03DC7">
        <w:t>276</w:t>
      </w:r>
    </w:p>
    <w:p w:rsidR="000D3090" w:rsidRPr="00484988" w:rsidRDefault="000D3090" w:rsidP="000D3090">
      <w:pPr>
        <w:pStyle w:val="bt"/>
        <w:spacing w:before="60" w:after="0"/>
        <w:rPr>
          <w:b/>
        </w:rPr>
      </w:pPr>
      <w:r w:rsidRPr="00484988">
        <w:rPr>
          <w:b/>
        </w:rPr>
        <w:t>Local Government Area:</w:t>
      </w:r>
      <w:r w:rsidRPr="000D3090">
        <w:t xml:space="preserve"> </w:t>
      </w:r>
      <w:r w:rsidRPr="00F03DC7">
        <w:t>Wangaratta</w:t>
      </w:r>
    </w:p>
    <w:p w:rsidR="000D3090" w:rsidRPr="00484988" w:rsidRDefault="000D3090" w:rsidP="00A41B2E">
      <w:pPr>
        <w:pStyle w:val="bt"/>
        <w:numPr>
          <w:ilvl w:val="0"/>
          <w:numId w:val="29"/>
        </w:numPr>
        <w:spacing w:before="60" w:after="0"/>
      </w:pPr>
      <w:r w:rsidRPr="00484988">
        <w:t>Persons 0-4</w:t>
      </w:r>
      <w:r>
        <w:t xml:space="preserve"> – </w:t>
      </w:r>
      <w:r w:rsidRPr="00F03DC7">
        <w:t>-134</w:t>
      </w:r>
    </w:p>
    <w:p w:rsidR="000D3090" w:rsidRPr="00484988" w:rsidRDefault="000D3090" w:rsidP="00A41B2E">
      <w:pPr>
        <w:pStyle w:val="bt"/>
        <w:numPr>
          <w:ilvl w:val="0"/>
          <w:numId w:val="29"/>
        </w:numPr>
        <w:spacing w:before="60" w:after="0"/>
      </w:pPr>
      <w:r w:rsidRPr="00484988">
        <w:t>Persons 5-14</w:t>
      </w:r>
      <w:r>
        <w:t xml:space="preserve"> – </w:t>
      </w:r>
      <w:r w:rsidRPr="00F03DC7">
        <w:t>45</w:t>
      </w:r>
    </w:p>
    <w:p w:rsidR="000D3090" w:rsidRPr="00484988" w:rsidRDefault="000D3090" w:rsidP="00A41B2E">
      <w:pPr>
        <w:pStyle w:val="bt"/>
        <w:numPr>
          <w:ilvl w:val="0"/>
          <w:numId w:val="29"/>
        </w:numPr>
        <w:spacing w:before="60" w:after="0"/>
      </w:pPr>
      <w:r w:rsidRPr="00484988">
        <w:t>Persons 15-24</w:t>
      </w:r>
      <w:r>
        <w:t xml:space="preserve"> – </w:t>
      </w:r>
      <w:r w:rsidRPr="00F03DC7">
        <w:t>-311</w:t>
      </w:r>
    </w:p>
    <w:p w:rsidR="000D3090" w:rsidRPr="00484988" w:rsidRDefault="000D3090" w:rsidP="00A41B2E">
      <w:pPr>
        <w:pStyle w:val="bt"/>
        <w:numPr>
          <w:ilvl w:val="0"/>
          <w:numId w:val="29"/>
        </w:numPr>
        <w:spacing w:before="60" w:after="0"/>
      </w:pPr>
      <w:r w:rsidRPr="00484988">
        <w:t>Persons 25-34</w:t>
      </w:r>
      <w:r>
        <w:t xml:space="preserve"> – </w:t>
      </w:r>
      <w:r w:rsidRPr="00F03DC7">
        <w:t>-516</w:t>
      </w:r>
    </w:p>
    <w:p w:rsidR="000D3090" w:rsidRPr="00484988" w:rsidRDefault="000D3090" w:rsidP="00A41B2E">
      <w:pPr>
        <w:pStyle w:val="bt"/>
        <w:numPr>
          <w:ilvl w:val="0"/>
          <w:numId w:val="29"/>
        </w:numPr>
        <w:spacing w:before="60" w:after="0"/>
      </w:pPr>
      <w:r w:rsidRPr="00484988">
        <w:t>Persons 35-44</w:t>
      </w:r>
      <w:r>
        <w:t xml:space="preserve"> – </w:t>
      </w:r>
      <w:r w:rsidRPr="00F03DC7">
        <w:t>-85</w:t>
      </w:r>
    </w:p>
    <w:p w:rsidR="000D3090" w:rsidRPr="00484988" w:rsidRDefault="000D3090" w:rsidP="00A41B2E">
      <w:pPr>
        <w:pStyle w:val="bt"/>
        <w:numPr>
          <w:ilvl w:val="0"/>
          <w:numId w:val="29"/>
        </w:numPr>
        <w:spacing w:before="60" w:after="0"/>
      </w:pPr>
      <w:r w:rsidRPr="00484988">
        <w:t>Persons 45-54</w:t>
      </w:r>
      <w:r>
        <w:t xml:space="preserve"> – </w:t>
      </w:r>
      <w:r w:rsidRPr="00F03DC7">
        <w:t>-89</w:t>
      </w:r>
    </w:p>
    <w:p w:rsidR="000D3090" w:rsidRPr="00484988" w:rsidRDefault="000D3090" w:rsidP="00A41B2E">
      <w:pPr>
        <w:pStyle w:val="bt"/>
        <w:numPr>
          <w:ilvl w:val="0"/>
          <w:numId w:val="29"/>
        </w:numPr>
        <w:spacing w:before="60" w:after="0"/>
      </w:pPr>
      <w:r w:rsidRPr="00484988">
        <w:t>Persons 55-64</w:t>
      </w:r>
      <w:r>
        <w:t xml:space="preserve"> – </w:t>
      </w:r>
      <w:r w:rsidRPr="00F03DC7">
        <w:t>357</w:t>
      </w:r>
    </w:p>
    <w:p w:rsidR="000D3090" w:rsidRPr="00484988" w:rsidRDefault="000D3090" w:rsidP="00A41B2E">
      <w:pPr>
        <w:pStyle w:val="bt"/>
        <w:numPr>
          <w:ilvl w:val="0"/>
          <w:numId w:val="29"/>
        </w:numPr>
        <w:spacing w:before="60" w:after="0"/>
      </w:pPr>
      <w:r w:rsidRPr="00484988">
        <w:t>Persons 65 and over</w:t>
      </w:r>
      <w:r>
        <w:t xml:space="preserve"> – </w:t>
      </w:r>
      <w:r w:rsidRPr="00F03DC7">
        <w:t>3272</w:t>
      </w:r>
    </w:p>
    <w:p w:rsidR="000D3090" w:rsidRPr="00484988" w:rsidRDefault="000D3090" w:rsidP="00A41B2E">
      <w:pPr>
        <w:pStyle w:val="bt"/>
        <w:numPr>
          <w:ilvl w:val="0"/>
          <w:numId w:val="29"/>
        </w:numPr>
        <w:spacing w:before="60" w:after="0"/>
        <w:rPr>
          <w:szCs w:val="20"/>
        </w:rPr>
      </w:pPr>
      <w:r w:rsidRPr="00484988">
        <w:lastRenderedPageBreak/>
        <w:t>Total</w:t>
      </w:r>
      <w:r>
        <w:t xml:space="preserve"> – </w:t>
      </w:r>
      <w:r w:rsidRPr="00F03DC7">
        <w:t>2538</w:t>
      </w:r>
    </w:p>
    <w:p w:rsidR="000D3090" w:rsidRPr="00484988" w:rsidRDefault="000D3090" w:rsidP="000D3090">
      <w:pPr>
        <w:pStyle w:val="bt"/>
        <w:spacing w:before="60" w:after="0"/>
        <w:rPr>
          <w:b/>
        </w:rPr>
      </w:pPr>
      <w:r w:rsidRPr="00484988">
        <w:rPr>
          <w:b/>
        </w:rPr>
        <w:t>Local Government Area:</w:t>
      </w:r>
      <w:r w:rsidRPr="000D3090">
        <w:t xml:space="preserve"> </w:t>
      </w:r>
      <w:r w:rsidRPr="00F03DC7">
        <w:t>Wodonga</w:t>
      </w:r>
    </w:p>
    <w:p w:rsidR="000D3090" w:rsidRPr="00484988" w:rsidRDefault="000D3090" w:rsidP="00A41B2E">
      <w:pPr>
        <w:pStyle w:val="bt"/>
        <w:numPr>
          <w:ilvl w:val="0"/>
          <w:numId w:val="29"/>
        </w:numPr>
        <w:spacing w:before="60" w:after="0"/>
      </w:pPr>
      <w:r w:rsidRPr="00484988">
        <w:t>Persons 0-4</w:t>
      </w:r>
      <w:r>
        <w:t xml:space="preserve"> – </w:t>
      </w:r>
      <w:r w:rsidRPr="00F03DC7">
        <w:t>260</w:t>
      </w:r>
    </w:p>
    <w:p w:rsidR="000D3090" w:rsidRPr="00484988" w:rsidRDefault="000D3090" w:rsidP="00A41B2E">
      <w:pPr>
        <w:pStyle w:val="bt"/>
        <w:numPr>
          <w:ilvl w:val="0"/>
          <w:numId w:val="29"/>
        </w:numPr>
        <w:spacing w:before="60" w:after="0"/>
      </w:pPr>
      <w:r w:rsidRPr="00484988">
        <w:t>Persons 5-14</w:t>
      </w:r>
      <w:r>
        <w:t xml:space="preserve"> – </w:t>
      </w:r>
      <w:r w:rsidRPr="00F03DC7">
        <w:t>639</w:t>
      </w:r>
    </w:p>
    <w:p w:rsidR="000D3090" w:rsidRPr="00484988" w:rsidRDefault="000D3090" w:rsidP="00A41B2E">
      <w:pPr>
        <w:pStyle w:val="bt"/>
        <w:numPr>
          <w:ilvl w:val="0"/>
          <w:numId w:val="29"/>
        </w:numPr>
        <w:spacing w:before="60" w:after="0"/>
      </w:pPr>
      <w:r w:rsidRPr="00484988">
        <w:t>Persons 15-24</w:t>
      </w:r>
      <w:r>
        <w:t xml:space="preserve"> – </w:t>
      </w:r>
      <w:r w:rsidRPr="00F03DC7">
        <w:t>930</w:t>
      </w:r>
    </w:p>
    <w:p w:rsidR="000D3090" w:rsidRPr="00484988" w:rsidRDefault="000D3090" w:rsidP="00A41B2E">
      <w:pPr>
        <w:pStyle w:val="bt"/>
        <w:numPr>
          <w:ilvl w:val="0"/>
          <w:numId w:val="29"/>
        </w:numPr>
        <w:spacing w:before="60" w:after="0"/>
      </w:pPr>
      <w:r w:rsidRPr="00484988">
        <w:t>Persons 25-34</w:t>
      </w:r>
      <w:r>
        <w:t xml:space="preserve"> – </w:t>
      </w:r>
      <w:r w:rsidRPr="00F03DC7">
        <w:t>1491</w:t>
      </w:r>
    </w:p>
    <w:p w:rsidR="000D3090" w:rsidRPr="00484988" w:rsidRDefault="000D3090" w:rsidP="00A41B2E">
      <w:pPr>
        <w:pStyle w:val="bt"/>
        <w:numPr>
          <w:ilvl w:val="0"/>
          <w:numId w:val="29"/>
        </w:numPr>
        <w:spacing w:before="60" w:after="0"/>
      </w:pPr>
      <w:r w:rsidRPr="00484988">
        <w:t>Persons 35-44</w:t>
      </w:r>
      <w:r>
        <w:t xml:space="preserve"> – </w:t>
      </w:r>
      <w:r w:rsidRPr="00F03DC7">
        <w:t>1379</w:t>
      </w:r>
    </w:p>
    <w:p w:rsidR="000D3090" w:rsidRPr="00484988" w:rsidRDefault="000D3090" w:rsidP="00A41B2E">
      <w:pPr>
        <w:pStyle w:val="bt"/>
        <w:numPr>
          <w:ilvl w:val="0"/>
          <w:numId w:val="29"/>
        </w:numPr>
        <w:spacing w:before="60" w:after="0"/>
      </w:pPr>
      <w:r w:rsidRPr="00484988">
        <w:t>Persons 45-54</w:t>
      </w:r>
      <w:r>
        <w:t xml:space="preserve"> – </w:t>
      </w:r>
      <w:r w:rsidRPr="00F03DC7">
        <w:t>749</w:t>
      </w:r>
    </w:p>
    <w:p w:rsidR="000D3090" w:rsidRPr="00484988" w:rsidRDefault="000D3090" w:rsidP="00A41B2E">
      <w:pPr>
        <w:pStyle w:val="bt"/>
        <w:numPr>
          <w:ilvl w:val="0"/>
          <w:numId w:val="29"/>
        </w:numPr>
        <w:spacing w:before="60" w:after="0"/>
      </w:pPr>
      <w:r w:rsidRPr="00484988">
        <w:t>Persons 55-64</w:t>
      </w:r>
      <w:r>
        <w:t xml:space="preserve"> – </w:t>
      </w:r>
      <w:r w:rsidRPr="00F03DC7">
        <w:t>983</w:t>
      </w:r>
    </w:p>
    <w:p w:rsidR="000D3090" w:rsidRPr="00484988" w:rsidRDefault="000D3090" w:rsidP="00A41B2E">
      <w:pPr>
        <w:pStyle w:val="bt"/>
        <w:numPr>
          <w:ilvl w:val="0"/>
          <w:numId w:val="29"/>
        </w:numPr>
        <w:spacing w:before="60" w:after="0"/>
      </w:pPr>
      <w:r w:rsidRPr="00484988">
        <w:t>Persons 65 and over</w:t>
      </w:r>
      <w:r>
        <w:t xml:space="preserve"> – </w:t>
      </w:r>
      <w:r w:rsidRPr="00F03DC7">
        <w:t>4873</w:t>
      </w:r>
    </w:p>
    <w:p w:rsidR="000D3090" w:rsidRPr="00484988" w:rsidRDefault="000D3090" w:rsidP="00A41B2E">
      <w:pPr>
        <w:pStyle w:val="bt"/>
        <w:numPr>
          <w:ilvl w:val="0"/>
          <w:numId w:val="29"/>
        </w:numPr>
        <w:spacing w:before="60" w:after="0"/>
        <w:rPr>
          <w:szCs w:val="20"/>
        </w:rPr>
      </w:pPr>
      <w:r w:rsidRPr="00484988">
        <w:t>Total</w:t>
      </w:r>
      <w:r>
        <w:t xml:space="preserve"> – </w:t>
      </w:r>
      <w:r w:rsidRPr="00F03DC7">
        <w:t>11,304</w:t>
      </w:r>
    </w:p>
    <w:p w:rsidR="000D3090" w:rsidRPr="00484988" w:rsidRDefault="000D3090" w:rsidP="000D3090">
      <w:pPr>
        <w:pStyle w:val="bt"/>
        <w:spacing w:before="60" w:after="0"/>
        <w:rPr>
          <w:b/>
        </w:rPr>
      </w:pPr>
      <w:r w:rsidRPr="00484988">
        <w:rPr>
          <w:b/>
        </w:rPr>
        <w:t>Local Government Area:</w:t>
      </w:r>
      <w:r w:rsidRPr="000D3090">
        <w:t xml:space="preserve"> </w:t>
      </w:r>
      <w:r w:rsidRPr="007536C0">
        <w:t>Total</w:t>
      </w:r>
    </w:p>
    <w:p w:rsidR="000D3090" w:rsidRPr="00484988" w:rsidRDefault="000D3090" w:rsidP="00A41B2E">
      <w:pPr>
        <w:pStyle w:val="bt"/>
        <w:numPr>
          <w:ilvl w:val="0"/>
          <w:numId w:val="29"/>
        </w:numPr>
        <w:spacing w:before="60" w:after="0"/>
      </w:pPr>
      <w:r w:rsidRPr="00484988">
        <w:t>Persons 0-4</w:t>
      </w:r>
      <w:r>
        <w:t xml:space="preserve"> – </w:t>
      </w:r>
      <w:r w:rsidRPr="007536C0">
        <w:t>-468</w:t>
      </w:r>
    </w:p>
    <w:p w:rsidR="000D3090" w:rsidRPr="00484988" w:rsidRDefault="000D3090" w:rsidP="00A41B2E">
      <w:pPr>
        <w:pStyle w:val="bt"/>
        <w:numPr>
          <w:ilvl w:val="0"/>
          <w:numId w:val="29"/>
        </w:numPr>
        <w:spacing w:before="60" w:after="0"/>
      </w:pPr>
      <w:r w:rsidRPr="00484988">
        <w:t>Persons 5-14</w:t>
      </w:r>
      <w:r>
        <w:t xml:space="preserve"> – </w:t>
      </w:r>
      <w:r w:rsidRPr="007536C0">
        <w:t>1894</w:t>
      </w:r>
    </w:p>
    <w:p w:rsidR="000D3090" w:rsidRPr="00484988" w:rsidRDefault="000D3090" w:rsidP="00A41B2E">
      <w:pPr>
        <w:pStyle w:val="bt"/>
        <w:numPr>
          <w:ilvl w:val="0"/>
          <w:numId w:val="29"/>
        </w:numPr>
        <w:spacing w:before="60" w:after="0"/>
      </w:pPr>
      <w:r w:rsidRPr="00484988">
        <w:t>Persons 15-24</w:t>
      </w:r>
      <w:r>
        <w:t xml:space="preserve"> – </w:t>
      </w:r>
      <w:r w:rsidRPr="007536C0">
        <w:t>1143</w:t>
      </w:r>
    </w:p>
    <w:p w:rsidR="000D3090" w:rsidRPr="00484988" w:rsidRDefault="000D3090" w:rsidP="00A41B2E">
      <w:pPr>
        <w:pStyle w:val="bt"/>
        <w:numPr>
          <w:ilvl w:val="0"/>
          <w:numId w:val="29"/>
        </w:numPr>
        <w:spacing w:before="60" w:after="0"/>
      </w:pPr>
      <w:r w:rsidRPr="00484988">
        <w:t>Persons 25-34</w:t>
      </w:r>
      <w:r>
        <w:t xml:space="preserve"> – </w:t>
      </w:r>
      <w:r w:rsidRPr="007536C0">
        <w:t>1729</w:t>
      </w:r>
    </w:p>
    <w:p w:rsidR="000D3090" w:rsidRPr="00484988" w:rsidRDefault="000D3090" w:rsidP="00A41B2E">
      <w:pPr>
        <w:pStyle w:val="bt"/>
        <w:numPr>
          <w:ilvl w:val="0"/>
          <w:numId w:val="29"/>
        </w:numPr>
        <w:spacing w:before="60" w:after="0"/>
      </w:pPr>
      <w:r w:rsidRPr="00484988">
        <w:t>Persons 35-44</w:t>
      </w:r>
      <w:r>
        <w:t xml:space="preserve"> – </w:t>
      </w:r>
      <w:r w:rsidRPr="007536C0">
        <w:t>5291</w:t>
      </w:r>
    </w:p>
    <w:p w:rsidR="000D3090" w:rsidRPr="00484988" w:rsidRDefault="000D3090" w:rsidP="00A41B2E">
      <w:pPr>
        <w:pStyle w:val="bt"/>
        <w:numPr>
          <w:ilvl w:val="0"/>
          <w:numId w:val="29"/>
        </w:numPr>
        <w:spacing w:before="60" w:after="0"/>
      </w:pPr>
      <w:r w:rsidRPr="00484988">
        <w:t>Persons 45-54</w:t>
      </w:r>
      <w:r>
        <w:t xml:space="preserve"> – </w:t>
      </w:r>
      <w:r w:rsidRPr="007536C0">
        <w:t>1495</w:t>
      </w:r>
    </w:p>
    <w:p w:rsidR="000D3090" w:rsidRPr="00484988" w:rsidRDefault="000D3090" w:rsidP="00A41B2E">
      <w:pPr>
        <w:pStyle w:val="bt"/>
        <w:numPr>
          <w:ilvl w:val="0"/>
          <w:numId w:val="29"/>
        </w:numPr>
        <w:spacing w:before="60" w:after="0"/>
      </w:pPr>
      <w:r w:rsidRPr="00484988">
        <w:t>Persons 55-64</w:t>
      </w:r>
      <w:r>
        <w:t xml:space="preserve"> – </w:t>
      </w:r>
      <w:r w:rsidRPr="007536C0">
        <w:t>6082</w:t>
      </w:r>
    </w:p>
    <w:p w:rsidR="000D3090" w:rsidRPr="00484988" w:rsidRDefault="000D3090" w:rsidP="00A41B2E">
      <w:pPr>
        <w:pStyle w:val="bt"/>
        <w:numPr>
          <w:ilvl w:val="0"/>
          <w:numId w:val="29"/>
        </w:numPr>
        <w:spacing w:before="60" w:after="0"/>
      </w:pPr>
      <w:r w:rsidRPr="00484988">
        <w:t>Persons 65 and over</w:t>
      </w:r>
      <w:r>
        <w:t xml:space="preserve"> – </w:t>
      </w:r>
      <w:r w:rsidRPr="007536C0">
        <w:t>40,406</w:t>
      </w:r>
    </w:p>
    <w:p w:rsidR="00484988" w:rsidRPr="000D3090" w:rsidRDefault="000D3090" w:rsidP="00A41B2E">
      <w:pPr>
        <w:pStyle w:val="bt"/>
        <w:numPr>
          <w:ilvl w:val="0"/>
          <w:numId w:val="29"/>
        </w:numPr>
        <w:spacing w:before="60" w:after="0"/>
        <w:rPr>
          <w:szCs w:val="20"/>
        </w:rPr>
      </w:pPr>
      <w:r w:rsidRPr="00484988">
        <w:t>Total</w:t>
      </w:r>
      <w:r>
        <w:t xml:space="preserve"> – </w:t>
      </w:r>
      <w:r w:rsidRPr="007536C0">
        <w:t>57,566</w:t>
      </w:r>
    </w:p>
    <w:p w:rsidR="00385B90" w:rsidRDefault="00385B90" w:rsidP="0061220F">
      <w:pPr>
        <w:pStyle w:val="source"/>
      </w:pPr>
      <w:r w:rsidRPr="008F6B05">
        <w:t>Source: Victoria in Future 2012</w:t>
      </w:r>
    </w:p>
    <w:p w:rsidR="00865B4B" w:rsidRPr="008F6B05" w:rsidRDefault="00865B4B" w:rsidP="007A5C2A">
      <w:pPr>
        <w:pStyle w:val="Sourcestyle"/>
      </w:pPr>
    </w:p>
    <w:p w:rsidR="001E6B61" w:rsidRDefault="00720BB7" w:rsidP="007A5C2A">
      <w:pPr>
        <w:pStyle w:val="Sourcestyle"/>
      </w:pPr>
      <w:r w:rsidRPr="008F6B05">
        <w:t xml:space="preserve">* Figures for Mitchell Shire excludes expected metropolitan growth in the southern part of the </w:t>
      </w:r>
      <w:r w:rsidR="00272C61" w:rsidRPr="008F6B05">
        <w:t>Local Government Area</w:t>
      </w:r>
    </w:p>
    <w:p w:rsidR="00865B4B" w:rsidRPr="008F6B05" w:rsidRDefault="00865B4B" w:rsidP="007A5C2A">
      <w:pPr>
        <w:pStyle w:val="Sourcestyle"/>
      </w:pPr>
    </w:p>
    <w:p w:rsidR="00484988" w:rsidRDefault="00720BB7" w:rsidP="000D3090">
      <w:pPr>
        <w:pStyle w:val="Sourcestyle"/>
      </w:pPr>
      <w:r w:rsidRPr="008F6B05">
        <w:t xml:space="preserve">Note: Projections are based on the </w:t>
      </w:r>
      <w:r w:rsidR="00272C61" w:rsidRPr="008F6B05">
        <w:t xml:space="preserve">Estimated Resident Population </w:t>
      </w:r>
      <w:r w:rsidRPr="008F6B05">
        <w:t>at time of publication (</w:t>
      </w:r>
      <w:r w:rsidR="00272C61" w:rsidRPr="008F6B05">
        <w:t xml:space="preserve">Estimated Resident Population </w:t>
      </w:r>
      <w:r w:rsidRPr="008F6B05">
        <w:t>for 30 June 2011, current as at 31 March 2012).</w:t>
      </w:r>
    </w:p>
    <w:p w:rsidR="000D3090" w:rsidRPr="00484988" w:rsidRDefault="000D3090" w:rsidP="000D3090">
      <w:pPr>
        <w:pStyle w:val="Sourcestyle"/>
      </w:pPr>
    </w:p>
    <w:p w:rsidR="001E6B61" w:rsidRDefault="00F35342" w:rsidP="008F6B05">
      <w:pPr>
        <w:pStyle w:val="Heading2"/>
        <w:tabs>
          <w:tab w:val="clear" w:pos="396"/>
        </w:tabs>
        <w:spacing w:before="0" w:after="0"/>
        <w:ind w:left="567"/>
      </w:pPr>
      <w:bookmarkStart w:id="143" w:name="_Toc355970766"/>
      <w:bookmarkStart w:id="144" w:name="_Toc359422947"/>
      <w:bookmarkStart w:id="145" w:name="_Toc374612448"/>
      <w:r w:rsidRPr="00204278">
        <w:t>Housing</w:t>
      </w:r>
      <w:bookmarkEnd w:id="143"/>
      <w:bookmarkEnd w:id="144"/>
      <w:bookmarkEnd w:id="145"/>
    </w:p>
    <w:p w:rsidR="001E6B61" w:rsidRDefault="00F35342">
      <w:pPr>
        <w:pStyle w:val="bt"/>
        <w:spacing w:after="120"/>
      </w:pPr>
      <w:r w:rsidRPr="00F35342">
        <w:t xml:space="preserve">Changing population characteristics and social preferences are expected to influence the demand for new dwellings in the </w:t>
      </w:r>
      <w:r w:rsidR="00490334">
        <w:t xml:space="preserve">Hume </w:t>
      </w:r>
      <w:r w:rsidR="005B7A6F">
        <w:t>R</w:t>
      </w:r>
      <w:r w:rsidRPr="00F35342">
        <w:t xml:space="preserve">egion. Average household sizes are decreasing as families get smaller and many single people prefer to live alone. These trends are expected to continue and be reinforced as the average age of the population increases, leading to more one or two person households. As a result, more dwellings will be needed in </w:t>
      </w:r>
      <w:r w:rsidR="00A07677">
        <w:t xml:space="preserve">the </w:t>
      </w:r>
      <w:r w:rsidRPr="00F35342">
        <w:t>future to house a given population.</w:t>
      </w:r>
    </w:p>
    <w:p w:rsidR="007A5C2A" w:rsidRDefault="00F35342">
      <w:pPr>
        <w:pStyle w:val="bt"/>
      </w:pPr>
      <w:r w:rsidRPr="00F35342">
        <w:t xml:space="preserve">Housing projections for the region (not including areas within the metropolitan urban growth boundary) indicate that almost 53,000 new dwellings will be needed to accommodate the expected population growth of around 80,000 people </w:t>
      </w:r>
      <w:r w:rsidRPr="004555AA">
        <w:t>to 2041 (</w:t>
      </w:r>
      <w:r w:rsidR="002445CA">
        <w:t xml:space="preserve">Table </w:t>
      </w:r>
      <w:r w:rsidR="003B1962">
        <w:t>5</w:t>
      </w:r>
      <w:r w:rsidRPr="004555AA">
        <w:t>). The</w:t>
      </w:r>
      <w:r w:rsidRPr="00F35342">
        <w:t xml:space="preserve"> greatest number of new dwellings will be required in the municipalities of Greater Shepparton, Wodonga, Mitchell and Moira.</w:t>
      </w:r>
    </w:p>
    <w:p w:rsidR="007A5C2A" w:rsidRDefault="007A5C2A">
      <w:pPr>
        <w:rPr>
          <w:rFonts w:ascii="Calibri" w:eastAsia="Times New Roman" w:hAnsi="Calibri" w:cs="Times New Roman"/>
          <w:szCs w:val="24"/>
        </w:rPr>
      </w:pPr>
      <w:r>
        <w:br w:type="page"/>
      </w:r>
    </w:p>
    <w:p w:rsidR="001E6B61" w:rsidRDefault="00C23328" w:rsidP="00F24E46">
      <w:pPr>
        <w:pStyle w:val="Caption"/>
      </w:pPr>
      <w:bookmarkStart w:id="146" w:name="_Ref348349189"/>
      <w:bookmarkStart w:id="147" w:name="_Ref354407522"/>
      <w:bookmarkStart w:id="148" w:name="_Toc374612558"/>
      <w:r w:rsidRPr="00F24E46">
        <w:lastRenderedPageBreak/>
        <w:t xml:space="preserve">Table </w:t>
      </w:r>
      <w:r w:rsidR="00827E2D">
        <w:fldChar w:fldCharType="begin"/>
      </w:r>
      <w:r w:rsidR="00827E2D">
        <w:instrText xml:space="preserve"> SEQ Table \* ARABIC </w:instrText>
      </w:r>
      <w:r w:rsidR="00827E2D">
        <w:fldChar w:fldCharType="separate"/>
      </w:r>
      <w:r w:rsidR="009034D4">
        <w:rPr>
          <w:noProof/>
        </w:rPr>
        <w:t>5</w:t>
      </w:r>
      <w:r w:rsidR="00827E2D">
        <w:rPr>
          <w:noProof/>
        </w:rPr>
        <w:fldChar w:fldCharType="end"/>
      </w:r>
      <w:bookmarkEnd w:id="146"/>
      <w:bookmarkEnd w:id="147"/>
      <w:r w:rsidR="007536C0" w:rsidRPr="00F24E46">
        <w:t>: Projected requirements for new private dwellings</w:t>
      </w:r>
      <w:bookmarkEnd w:id="148"/>
    </w:p>
    <w:p w:rsidR="00B06C89" w:rsidRPr="00B06C89" w:rsidRDefault="00B06C89" w:rsidP="00B06C89">
      <w:pPr>
        <w:pStyle w:val="bt"/>
        <w:spacing w:before="60" w:after="0"/>
        <w:rPr>
          <w:b/>
        </w:rPr>
      </w:pPr>
      <w:r w:rsidRPr="00B06C89">
        <w:rPr>
          <w:b/>
        </w:rPr>
        <w:t xml:space="preserve">Local Government Area: </w:t>
      </w:r>
      <w:r w:rsidRPr="001501D3">
        <w:t>Alpine</w:t>
      </w:r>
    </w:p>
    <w:p w:rsidR="00B06C89" w:rsidRDefault="00B06C89" w:rsidP="00A41B2E">
      <w:pPr>
        <w:pStyle w:val="bt"/>
        <w:numPr>
          <w:ilvl w:val="0"/>
          <w:numId w:val="30"/>
        </w:numPr>
        <w:spacing w:before="60" w:after="0"/>
      </w:pPr>
      <w:r w:rsidRPr="00EE66D9">
        <w:t>Structural private dwellings</w:t>
      </w:r>
      <w:r>
        <w:t xml:space="preserve">: 2011** - </w:t>
      </w:r>
      <w:r w:rsidRPr="0097773E">
        <w:t>7000</w:t>
      </w:r>
    </w:p>
    <w:p w:rsidR="00B06C89" w:rsidRDefault="00B06C89" w:rsidP="00A41B2E">
      <w:pPr>
        <w:pStyle w:val="bt"/>
        <w:numPr>
          <w:ilvl w:val="0"/>
          <w:numId w:val="30"/>
        </w:numPr>
        <w:spacing w:before="60" w:after="0"/>
      </w:pPr>
      <w:r w:rsidRPr="00EE66D9">
        <w:t>Structural private dwellings</w:t>
      </w:r>
      <w:r>
        <w:t xml:space="preserve">: 2021** - </w:t>
      </w:r>
      <w:r w:rsidRPr="0097773E">
        <w:t>7500</w:t>
      </w:r>
    </w:p>
    <w:p w:rsidR="00B06C89" w:rsidRDefault="00B06C89" w:rsidP="00A41B2E">
      <w:pPr>
        <w:pStyle w:val="bt"/>
        <w:numPr>
          <w:ilvl w:val="0"/>
          <w:numId w:val="30"/>
        </w:numPr>
        <w:spacing w:before="60" w:after="0"/>
      </w:pPr>
      <w:r w:rsidRPr="00EE66D9">
        <w:t>Structural private dwellings</w:t>
      </w:r>
      <w:r>
        <w:t xml:space="preserve">: 2031** - </w:t>
      </w:r>
      <w:r w:rsidRPr="0097773E">
        <w:t>8100</w:t>
      </w:r>
    </w:p>
    <w:p w:rsidR="00B06C89" w:rsidRDefault="00B06C89" w:rsidP="00A41B2E">
      <w:pPr>
        <w:pStyle w:val="bt"/>
        <w:numPr>
          <w:ilvl w:val="0"/>
          <w:numId w:val="30"/>
        </w:numPr>
        <w:spacing w:before="60" w:after="0"/>
      </w:pPr>
      <w:r w:rsidRPr="00EE66D9">
        <w:t>Structural private dwellings</w:t>
      </w:r>
      <w:r>
        <w:t xml:space="preserve">: 2041*** - </w:t>
      </w:r>
      <w:r w:rsidRPr="0097773E">
        <w:t>n/a</w:t>
      </w:r>
    </w:p>
    <w:p w:rsidR="00B06C89" w:rsidRPr="00B06C89" w:rsidRDefault="00B06C89" w:rsidP="00B06C89">
      <w:pPr>
        <w:pStyle w:val="bt"/>
        <w:spacing w:before="60" w:after="0"/>
        <w:rPr>
          <w:b/>
        </w:rPr>
      </w:pPr>
      <w:r w:rsidRPr="00B06C89">
        <w:rPr>
          <w:b/>
        </w:rPr>
        <w:t xml:space="preserve">Local Government Area: </w:t>
      </w:r>
      <w:r w:rsidRPr="001501D3">
        <w:t>Benalla</w:t>
      </w:r>
    </w:p>
    <w:p w:rsidR="00B06C89" w:rsidRDefault="00B06C89" w:rsidP="00A41B2E">
      <w:pPr>
        <w:pStyle w:val="bt"/>
        <w:numPr>
          <w:ilvl w:val="0"/>
          <w:numId w:val="30"/>
        </w:numPr>
        <w:spacing w:before="60" w:after="0"/>
      </w:pPr>
      <w:r w:rsidRPr="00EE66D9">
        <w:t>Structural private dwellings</w:t>
      </w:r>
      <w:r>
        <w:t xml:space="preserve">: 2011** - </w:t>
      </w:r>
      <w:r w:rsidRPr="0097773E">
        <w:t>6600</w:t>
      </w:r>
    </w:p>
    <w:p w:rsidR="00B06C89" w:rsidRDefault="00B06C89" w:rsidP="00A41B2E">
      <w:pPr>
        <w:pStyle w:val="bt"/>
        <w:numPr>
          <w:ilvl w:val="0"/>
          <w:numId w:val="30"/>
        </w:numPr>
        <w:spacing w:before="60" w:after="0"/>
      </w:pPr>
      <w:r w:rsidRPr="00EE66D9">
        <w:t>Structural private dwellings</w:t>
      </w:r>
      <w:r>
        <w:t xml:space="preserve">: 2021** - </w:t>
      </w:r>
      <w:r w:rsidRPr="0097773E">
        <w:t>7400</w:t>
      </w:r>
    </w:p>
    <w:p w:rsidR="00B06C89" w:rsidRDefault="00B06C89" w:rsidP="00A41B2E">
      <w:pPr>
        <w:pStyle w:val="bt"/>
        <w:numPr>
          <w:ilvl w:val="0"/>
          <w:numId w:val="30"/>
        </w:numPr>
        <w:spacing w:before="60" w:after="0"/>
      </w:pPr>
      <w:r w:rsidRPr="00EE66D9">
        <w:t>Structural private dwellings</w:t>
      </w:r>
      <w:r>
        <w:t xml:space="preserve">: 2031** - </w:t>
      </w:r>
      <w:r w:rsidRPr="0097773E">
        <w:t>8100</w:t>
      </w:r>
    </w:p>
    <w:p w:rsidR="00B06C89" w:rsidRPr="00B06C89" w:rsidRDefault="00B06C89" w:rsidP="00A41B2E">
      <w:pPr>
        <w:pStyle w:val="bt"/>
        <w:numPr>
          <w:ilvl w:val="0"/>
          <w:numId w:val="30"/>
        </w:numPr>
        <w:spacing w:before="60" w:after="0"/>
      </w:pPr>
      <w:r w:rsidRPr="00EE66D9">
        <w:t>Structural private dwellings</w:t>
      </w:r>
      <w:r>
        <w:t xml:space="preserve">: 2041*** - </w:t>
      </w:r>
      <w:r w:rsidRPr="0097773E">
        <w:t>n/a</w:t>
      </w:r>
    </w:p>
    <w:p w:rsidR="00B06C89" w:rsidRPr="00B06C89" w:rsidRDefault="00B06C89" w:rsidP="00B06C89">
      <w:pPr>
        <w:pStyle w:val="bt"/>
        <w:spacing w:before="60" w:after="0"/>
        <w:rPr>
          <w:b/>
        </w:rPr>
      </w:pPr>
      <w:r w:rsidRPr="00B06C89">
        <w:rPr>
          <w:b/>
        </w:rPr>
        <w:t xml:space="preserve">Local Government Area: </w:t>
      </w:r>
      <w:r w:rsidRPr="001501D3">
        <w:t>Greater Shepparton</w:t>
      </w:r>
    </w:p>
    <w:p w:rsidR="00B06C89" w:rsidRDefault="00B06C89" w:rsidP="00A41B2E">
      <w:pPr>
        <w:pStyle w:val="bt"/>
        <w:numPr>
          <w:ilvl w:val="0"/>
          <w:numId w:val="30"/>
        </w:numPr>
        <w:spacing w:before="60" w:after="0"/>
      </w:pPr>
      <w:r w:rsidRPr="00EE66D9">
        <w:t>Structural private dwellings</w:t>
      </w:r>
      <w:r>
        <w:t xml:space="preserve">: 2011** - </w:t>
      </w:r>
      <w:r w:rsidRPr="0097773E">
        <w:t>25,400</w:t>
      </w:r>
    </w:p>
    <w:p w:rsidR="00B06C89" w:rsidRDefault="00B06C89" w:rsidP="00A41B2E">
      <w:pPr>
        <w:pStyle w:val="bt"/>
        <w:numPr>
          <w:ilvl w:val="0"/>
          <w:numId w:val="30"/>
        </w:numPr>
        <w:spacing w:before="60" w:after="0"/>
      </w:pPr>
      <w:r w:rsidRPr="00EE66D9">
        <w:t>Structural private dwellings</w:t>
      </w:r>
      <w:r>
        <w:t xml:space="preserve">: 2021** - </w:t>
      </w:r>
      <w:r w:rsidRPr="0097773E">
        <w:t>29,700</w:t>
      </w:r>
    </w:p>
    <w:p w:rsidR="00B06C89" w:rsidRDefault="00B06C89" w:rsidP="00A41B2E">
      <w:pPr>
        <w:pStyle w:val="bt"/>
        <w:numPr>
          <w:ilvl w:val="0"/>
          <w:numId w:val="30"/>
        </w:numPr>
        <w:spacing w:before="60" w:after="0"/>
      </w:pPr>
      <w:r w:rsidRPr="00EE66D9">
        <w:t>Structural private dwellings</w:t>
      </w:r>
      <w:r>
        <w:t xml:space="preserve">: 2031** - </w:t>
      </w:r>
      <w:r w:rsidRPr="0097773E">
        <w:t>33,900</w:t>
      </w:r>
    </w:p>
    <w:p w:rsidR="00B06C89" w:rsidRPr="00B06C89" w:rsidRDefault="00B06C89" w:rsidP="00A41B2E">
      <w:pPr>
        <w:pStyle w:val="bt"/>
        <w:numPr>
          <w:ilvl w:val="0"/>
          <w:numId w:val="30"/>
        </w:numPr>
        <w:spacing w:before="60" w:after="0"/>
      </w:pPr>
      <w:r w:rsidRPr="00EE66D9">
        <w:t>Structural private dwellings</w:t>
      </w:r>
      <w:r>
        <w:t xml:space="preserve">: 2041*** - </w:t>
      </w:r>
      <w:r w:rsidRPr="0097773E">
        <w:t>n/a</w:t>
      </w:r>
    </w:p>
    <w:p w:rsidR="00B06C89" w:rsidRPr="00B06C89" w:rsidRDefault="00B06C89" w:rsidP="00B06C89">
      <w:pPr>
        <w:pStyle w:val="bt"/>
        <w:spacing w:before="60" w:after="0"/>
        <w:rPr>
          <w:b/>
        </w:rPr>
      </w:pPr>
      <w:r w:rsidRPr="00B06C89">
        <w:rPr>
          <w:b/>
        </w:rPr>
        <w:t xml:space="preserve">Local Government Area: </w:t>
      </w:r>
      <w:r w:rsidRPr="001501D3">
        <w:t>Indigo</w:t>
      </w:r>
    </w:p>
    <w:p w:rsidR="00B06C89" w:rsidRDefault="00B06C89" w:rsidP="00A41B2E">
      <w:pPr>
        <w:pStyle w:val="bt"/>
        <w:numPr>
          <w:ilvl w:val="0"/>
          <w:numId w:val="30"/>
        </w:numPr>
        <w:spacing w:before="60" w:after="0"/>
      </w:pPr>
      <w:r w:rsidRPr="00EE66D9">
        <w:t>Structural private dwellings</w:t>
      </w:r>
      <w:r>
        <w:t xml:space="preserve">: 2011** - </w:t>
      </w:r>
      <w:r w:rsidRPr="0097773E">
        <w:t>6600</w:t>
      </w:r>
    </w:p>
    <w:p w:rsidR="00B06C89" w:rsidRDefault="00B06C89" w:rsidP="00A41B2E">
      <w:pPr>
        <w:pStyle w:val="bt"/>
        <w:numPr>
          <w:ilvl w:val="0"/>
          <w:numId w:val="30"/>
        </w:numPr>
        <w:spacing w:before="60" w:after="0"/>
      </w:pPr>
      <w:r w:rsidRPr="00EE66D9">
        <w:t>Structural private dwellings</w:t>
      </w:r>
      <w:r>
        <w:t xml:space="preserve">: 2021** - </w:t>
      </w:r>
      <w:r w:rsidRPr="0097773E">
        <w:t>7400</w:t>
      </w:r>
    </w:p>
    <w:p w:rsidR="00B06C89" w:rsidRDefault="00B06C89" w:rsidP="00A41B2E">
      <w:pPr>
        <w:pStyle w:val="bt"/>
        <w:numPr>
          <w:ilvl w:val="0"/>
          <w:numId w:val="30"/>
        </w:numPr>
        <w:spacing w:before="60" w:after="0"/>
      </w:pPr>
      <w:r w:rsidRPr="00EE66D9">
        <w:t>Structural private dwellings</w:t>
      </w:r>
      <w:r>
        <w:t xml:space="preserve">: 2031** - </w:t>
      </w:r>
      <w:r w:rsidRPr="0097773E">
        <w:t>8200</w:t>
      </w:r>
    </w:p>
    <w:p w:rsidR="00B06C89" w:rsidRPr="00B06C89" w:rsidRDefault="00B06C89" w:rsidP="00A41B2E">
      <w:pPr>
        <w:pStyle w:val="bt"/>
        <w:numPr>
          <w:ilvl w:val="0"/>
          <w:numId w:val="30"/>
        </w:numPr>
        <w:spacing w:before="60" w:after="0"/>
      </w:pPr>
      <w:r w:rsidRPr="00EE66D9">
        <w:t>Structural private dwellings</w:t>
      </w:r>
      <w:r>
        <w:t xml:space="preserve">: 2041*** - </w:t>
      </w:r>
      <w:r w:rsidRPr="0097773E">
        <w:t>n/a</w:t>
      </w:r>
    </w:p>
    <w:p w:rsidR="00B06C89" w:rsidRPr="00B06C89" w:rsidRDefault="00B06C89" w:rsidP="00B06C89">
      <w:pPr>
        <w:pStyle w:val="bt"/>
        <w:spacing w:before="60" w:after="0"/>
        <w:rPr>
          <w:b/>
        </w:rPr>
      </w:pPr>
      <w:r w:rsidRPr="00B06C89">
        <w:rPr>
          <w:b/>
        </w:rPr>
        <w:t xml:space="preserve">Local Government Area: </w:t>
      </w:r>
      <w:r w:rsidRPr="001501D3">
        <w:t>Mansfield</w:t>
      </w:r>
    </w:p>
    <w:p w:rsidR="00B06C89" w:rsidRDefault="00B06C89" w:rsidP="00A41B2E">
      <w:pPr>
        <w:pStyle w:val="bt"/>
        <w:numPr>
          <w:ilvl w:val="0"/>
          <w:numId w:val="30"/>
        </w:numPr>
        <w:spacing w:before="60" w:after="0"/>
      </w:pPr>
      <w:r w:rsidRPr="00EE66D9">
        <w:t>Structural private dwellings</w:t>
      </w:r>
      <w:r>
        <w:t xml:space="preserve">: 2011** - </w:t>
      </w:r>
      <w:r w:rsidRPr="0097773E">
        <w:t>5600</w:t>
      </w:r>
    </w:p>
    <w:p w:rsidR="00B06C89" w:rsidRDefault="00B06C89" w:rsidP="00A41B2E">
      <w:pPr>
        <w:pStyle w:val="bt"/>
        <w:numPr>
          <w:ilvl w:val="0"/>
          <w:numId w:val="30"/>
        </w:numPr>
        <w:spacing w:before="60" w:after="0"/>
      </w:pPr>
      <w:r w:rsidRPr="00EE66D9">
        <w:t>Structural private dwellings</w:t>
      </w:r>
      <w:r>
        <w:t xml:space="preserve">: 2021** - </w:t>
      </w:r>
      <w:r w:rsidRPr="0097773E">
        <w:t>6600</w:t>
      </w:r>
    </w:p>
    <w:p w:rsidR="00B06C89" w:rsidRDefault="00B06C89" w:rsidP="00A41B2E">
      <w:pPr>
        <w:pStyle w:val="bt"/>
        <w:numPr>
          <w:ilvl w:val="0"/>
          <w:numId w:val="30"/>
        </w:numPr>
        <w:spacing w:before="60" w:after="0"/>
      </w:pPr>
      <w:r w:rsidRPr="00EE66D9">
        <w:t>Structural private dwellings</w:t>
      </w:r>
      <w:r>
        <w:t xml:space="preserve">: 2031** - </w:t>
      </w:r>
      <w:r w:rsidRPr="0097773E">
        <w:t>7700</w:t>
      </w:r>
    </w:p>
    <w:p w:rsidR="00B06C89" w:rsidRPr="00B06C89" w:rsidRDefault="00B06C89" w:rsidP="00A41B2E">
      <w:pPr>
        <w:pStyle w:val="bt"/>
        <w:numPr>
          <w:ilvl w:val="0"/>
          <w:numId w:val="30"/>
        </w:numPr>
        <w:spacing w:before="60" w:after="0"/>
      </w:pPr>
      <w:r w:rsidRPr="00EE66D9">
        <w:t>Structural private dwellings</w:t>
      </w:r>
      <w:r>
        <w:t xml:space="preserve">: 2041*** - </w:t>
      </w:r>
      <w:r w:rsidRPr="0097773E">
        <w:t>n/a</w:t>
      </w:r>
    </w:p>
    <w:p w:rsidR="00B06C89" w:rsidRPr="00B06C89" w:rsidRDefault="00B06C89" w:rsidP="00B06C89">
      <w:pPr>
        <w:pStyle w:val="bt"/>
        <w:spacing w:before="60" w:after="0"/>
        <w:rPr>
          <w:b/>
        </w:rPr>
      </w:pPr>
      <w:r w:rsidRPr="00B06C89">
        <w:rPr>
          <w:b/>
        </w:rPr>
        <w:t xml:space="preserve">Local Government Area: </w:t>
      </w:r>
      <w:r>
        <w:t>Mitchell</w:t>
      </w:r>
    </w:p>
    <w:p w:rsidR="00B06C89" w:rsidRDefault="00B06C89" w:rsidP="00A41B2E">
      <w:pPr>
        <w:pStyle w:val="bt"/>
        <w:numPr>
          <w:ilvl w:val="0"/>
          <w:numId w:val="30"/>
        </w:numPr>
        <w:spacing w:before="60" w:after="0"/>
      </w:pPr>
      <w:r w:rsidRPr="00EE66D9">
        <w:t>Structural private dwellings</w:t>
      </w:r>
      <w:r>
        <w:t xml:space="preserve">: 2011** - </w:t>
      </w:r>
      <w:r w:rsidRPr="0097773E">
        <w:t>13,400</w:t>
      </w:r>
    </w:p>
    <w:p w:rsidR="00B06C89" w:rsidRDefault="00B06C89" w:rsidP="00A41B2E">
      <w:pPr>
        <w:pStyle w:val="bt"/>
        <w:numPr>
          <w:ilvl w:val="0"/>
          <w:numId w:val="30"/>
        </w:numPr>
        <w:spacing w:before="60" w:after="0"/>
      </w:pPr>
      <w:r w:rsidRPr="00EE66D9">
        <w:t>Structural private dwellings</w:t>
      </w:r>
      <w:r>
        <w:t xml:space="preserve">: 2021** - </w:t>
      </w:r>
      <w:r w:rsidRPr="0097773E">
        <w:t>16,900</w:t>
      </w:r>
    </w:p>
    <w:p w:rsidR="00B06C89" w:rsidRDefault="00B06C89" w:rsidP="00A41B2E">
      <w:pPr>
        <w:pStyle w:val="bt"/>
        <w:numPr>
          <w:ilvl w:val="0"/>
          <w:numId w:val="30"/>
        </w:numPr>
        <w:spacing w:before="60" w:after="0"/>
      </w:pPr>
      <w:r w:rsidRPr="00EE66D9">
        <w:t>Structural private dwellings</w:t>
      </w:r>
      <w:r>
        <w:t xml:space="preserve">: 2031** - </w:t>
      </w:r>
      <w:r w:rsidRPr="0097773E">
        <w:t>19,400</w:t>
      </w:r>
    </w:p>
    <w:p w:rsidR="00B06C89" w:rsidRPr="00B06C89" w:rsidRDefault="00B06C89" w:rsidP="00A41B2E">
      <w:pPr>
        <w:pStyle w:val="bt"/>
        <w:numPr>
          <w:ilvl w:val="0"/>
          <w:numId w:val="30"/>
        </w:numPr>
        <w:spacing w:before="60" w:after="0"/>
      </w:pPr>
      <w:r w:rsidRPr="00EE66D9">
        <w:t>Structural private dwellings</w:t>
      </w:r>
      <w:r>
        <w:t xml:space="preserve">: 2041*** - </w:t>
      </w:r>
      <w:r w:rsidRPr="0097773E">
        <w:t>n/a</w:t>
      </w:r>
    </w:p>
    <w:p w:rsidR="00B06C89" w:rsidRPr="00B06C89" w:rsidRDefault="00B06C89" w:rsidP="00B06C89">
      <w:pPr>
        <w:pStyle w:val="bt"/>
        <w:spacing w:before="60" w:after="0"/>
        <w:rPr>
          <w:b/>
        </w:rPr>
      </w:pPr>
      <w:r w:rsidRPr="00B06C89">
        <w:rPr>
          <w:b/>
        </w:rPr>
        <w:t xml:space="preserve">Local Government Area: </w:t>
      </w:r>
      <w:r w:rsidRPr="001501D3">
        <w:t>Moira</w:t>
      </w:r>
    </w:p>
    <w:p w:rsidR="00B06C89" w:rsidRDefault="00B06C89" w:rsidP="00A41B2E">
      <w:pPr>
        <w:pStyle w:val="bt"/>
        <w:numPr>
          <w:ilvl w:val="0"/>
          <w:numId w:val="30"/>
        </w:numPr>
        <w:spacing w:before="60" w:after="0"/>
      </w:pPr>
      <w:r w:rsidRPr="00EE66D9">
        <w:t>Structural private dwellings</w:t>
      </w:r>
      <w:r>
        <w:t xml:space="preserve">: 2011** - </w:t>
      </w:r>
      <w:r w:rsidRPr="0097773E">
        <w:t>13,400</w:t>
      </w:r>
    </w:p>
    <w:p w:rsidR="00B06C89" w:rsidRDefault="00B06C89" w:rsidP="00A41B2E">
      <w:pPr>
        <w:pStyle w:val="bt"/>
        <w:numPr>
          <w:ilvl w:val="0"/>
          <w:numId w:val="30"/>
        </w:numPr>
        <w:spacing w:before="60" w:after="0"/>
      </w:pPr>
      <w:r w:rsidRPr="00EE66D9">
        <w:t>Structural private dwellings</w:t>
      </w:r>
      <w:r>
        <w:t xml:space="preserve">: 2021** - </w:t>
      </w:r>
      <w:r w:rsidRPr="0097773E">
        <w:t>15,800</w:t>
      </w:r>
    </w:p>
    <w:p w:rsidR="00B06C89" w:rsidRDefault="00B06C89" w:rsidP="00A41B2E">
      <w:pPr>
        <w:pStyle w:val="bt"/>
        <w:numPr>
          <w:ilvl w:val="0"/>
          <w:numId w:val="30"/>
        </w:numPr>
        <w:spacing w:before="60" w:after="0"/>
      </w:pPr>
      <w:r w:rsidRPr="00EE66D9">
        <w:t>Structural private dwellings</w:t>
      </w:r>
      <w:r>
        <w:t xml:space="preserve">: 2031** - </w:t>
      </w:r>
      <w:r w:rsidRPr="0097773E">
        <w:t>18,500</w:t>
      </w:r>
    </w:p>
    <w:p w:rsidR="00B06C89" w:rsidRPr="00B06C89" w:rsidRDefault="00B06C89" w:rsidP="00A41B2E">
      <w:pPr>
        <w:pStyle w:val="bt"/>
        <w:numPr>
          <w:ilvl w:val="0"/>
          <w:numId w:val="30"/>
        </w:numPr>
        <w:spacing w:before="60" w:after="0"/>
      </w:pPr>
      <w:r w:rsidRPr="00EE66D9">
        <w:t>Structural private dwellings</w:t>
      </w:r>
      <w:r>
        <w:t xml:space="preserve">: 2041*** - </w:t>
      </w:r>
      <w:r w:rsidRPr="0097773E">
        <w:t>n/a</w:t>
      </w:r>
    </w:p>
    <w:p w:rsidR="00B06C89" w:rsidRPr="00B06C89" w:rsidRDefault="00B06C89" w:rsidP="00B06C89">
      <w:pPr>
        <w:pStyle w:val="bt"/>
        <w:spacing w:before="60" w:after="0"/>
        <w:rPr>
          <w:b/>
        </w:rPr>
      </w:pPr>
      <w:r w:rsidRPr="00B06C89">
        <w:rPr>
          <w:b/>
        </w:rPr>
        <w:t xml:space="preserve">Local Government Area: </w:t>
      </w:r>
      <w:r w:rsidRPr="001501D3">
        <w:t>Murrindindi</w:t>
      </w:r>
    </w:p>
    <w:p w:rsidR="00B06C89" w:rsidRDefault="00B06C89" w:rsidP="00A41B2E">
      <w:pPr>
        <w:pStyle w:val="bt"/>
        <w:numPr>
          <w:ilvl w:val="0"/>
          <w:numId w:val="30"/>
        </w:numPr>
        <w:spacing w:before="60" w:after="0"/>
      </w:pPr>
      <w:r w:rsidRPr="00EE66D9">
        <w:t>Structural private dwellings</w:t>
      </w:r>
      <w:r>
        <w:t xml:space="preserve">: 2011** - </w:t>
      </w:r>
      <w:r w:rsidRPr="0097773E">
        <w:t>7200</w:t>
      </w:r>
    </w:p>
    <w:p w:rsidR="00B06C89" w:rsidRDefault="00B06C89" w:rsidP="00A41B2E">
      <w:pPr>
        <w:pStyle w:val="bt"/>
        <w:numPr>
          <w:ilvl w:val="0"/>
          <w:numId w:val="30"/>
        </w:numPr>
        <w:spacing w:before="60" w:after="0"/>
      </w:pPr>
      <w:r w:rsidRPr="00EE66D9">
        <w:t>Structural private dwellings</w:t>
      </w:r>
      <w:r>
        <w:t xml:space="preserve">: 2021** - </w:t>
      </w:r>
      <w:r w:rsidRPr="0097773E">
        <w:t>8700</w:t>
      </w:r>
    </w:p>
    <w:p w:rsidR="00B06C89" w:rsidRDefault="00B06C89" w:rsidP="00A41B2E">
      <w:pPr>
        <w:pStyle w:val="bt"/>
        <w:numPr>
          <w:ilvl w:val="0"/>
          <w:numId w:val="30"/>
        </w:numPr>
        <w:spacing w:before="60" w:after="0"/>
      </w:pPr>
      <w:r w:rsidRPr="00EE66D9">
        <w:t>Structural private dwellings</w:t>
      </w:r>
      <w:r>
        <w:t xml:space="preserve">: 2031** - </w:t>
      </w:r>
      <w:r w:rsidRPr="0097773E">
        <w:t>9900</w:t>
      </w:r>
    </w:p>
    <w:p w:rsidR="00B06C89" w:rsidRPr="00B06C89" w:rsidRDefault="00B06C89" w:rsidP="00A41B2E">
      <w:pPr>
        <w:pStyle w:val="bt"/>
        <w:numPr>
          <w:ilvl w:val="0"/>
          <w:numId w:val="30"/>
        </w:numPr>
        <w:spacing w:before="60" w:after="0"/>
      </w:pPr>
      <w:r w:rsidRPr="00EE66D9">
        <w:t>Structural private dwellings</w:t>
      </w:r>
      <w:r>
        <w:t xml:space="preserve">: 2041*** - </w:t>
      </w:r>
      <w:r w:rsidRPr="0097773E">
        <w:t>n/a</w:t>
      </w:r>
    </w:p>
    <w:p w:rsidR="00B06C89" w:rsidRPr="00B06C89" w:rsidRDefault="00B06C89" w:rsidP="00B06C89">
      <w:pPr>
        <w:pStyle w:val="bt"/>
        <w:spacing w:before="60" w:after="0"/>
        <w:rPr>
          <w:b/>
        </w:rPr>
      </w:pPr>
      <w:r w:rsidRPr="00B06C89">
        <w:rPr>
          <w:b/>
        </w:rPr>
        <w:t xml:space="preserve">Local Government Area: </w:t>
      </w:r>
      <w:r w:rsidRPr="001501D3">
        <w:t>Strathbogie</w:t>
      </w:r>
    </w:p>
    <w:p w:rsidR="00B06C89" w:rsidRDefault="00B06C89" w:rsidP="00A41B2E">
      <w:pPr>
        <w:pStyle w:val="bt"/>
        <w:numPr>
          <w:ilvl w:val="0"/>
          <w:numId w:val="30"/>
        </w:numPr>
        <w:spacing w:before="60" w:after="0"/>
      </w:pPr>
      <w:r w:rsidRPr="00EE66D9">
        <w:t>Structural private dwellings</w:t>
      </w:r>
      <w:r>
        <w:t xml:space="preserve">: 2011** - </w:t>
      </w:r>
      <w:r w:rsidRPr="0097773E">
        <w:t>5200</w:t>
      </w:r>
    </w:p>
    <w:p w:rsidR="00B06C89" w:rsidRDefault="00B06C89" w:rsidP="00A41B2E">
      <w:pPr>
        <w:pStyle w:val="bt"/>
        <w:numPr>
          <w:ilvl w:val="0"/>
          <w:numId w:val="30"/>
        </w:numPr>
        <w:spacing w:before="60" w:after="0"/>
      </w:pPr>
      <w:r w:rsidRPr="00EE66D9">
        <w:lastRenderedPageBreak/>
        <w:t>Structural private dwellings</w:t>
      </w:r>
      <w:r>
        <w:t xml:space="preserve">: 2021** - </w:t>
      </w:r>
      <w:r w:rsidRPr="0097773E">
        <w:t>5700</w:t>
      </w:r>
    </w:p>
    <w:p w:rsidR="00B06C89" w:rsidRDefault="00B06C89" w:rsidP="00A41B2E">
      <w:pPr>
        <w:pStyle w:val="bt"/>
        <w:numPr>
          <w:ilvl w:val="0"/>
          <w:numId w:val="30"/>
        </w:numPr>
        <w:spacing w:before="60" w:after="0"/>
      </w:pPr>
      <w:r w:rsidRPr="00EE66D9">
        <w:t>Structural private dwellings</w:t>
      </w:r>
      <w:r>
        <w:t xml:space="preserve">: 2031** - </w:t>
      </w:r>
      <w:r w:rsidRPr="0097773E">
        <w:t>6200</w:t>
      </w:r>
    </w:p>
    <w:p w:rsidR="00B06C89" w:rsidRPr="00B06C89" w:rsidRDefault="00B06C89" w:rsidP="00A41B2E">
      <w:pPr>
        <w:pStyle w:val="bt"/>
        <w:numPr>
          <w:ilvl w:val="0"/>
          <w:numId w:val="30"/>
        </w:numPr>
        <w:spacing w:before="60" w:after="0"/>
      </w:pPr>
      <w:r w:rsidRPr="00EE66D9">
        <w:t>Structural private dwellings</w:t>
      </w:r>
      <w:r>
        <w:t xml:space="preserve">: 2041*** - </w:t>
      </w:r>
      <w:r w:rsidRPr="0097773E">
        <w:t>n/a</w:t>
      </w:r>
    </w:p>
    <w:p w:rsidR="00B06C89" w:rsidRPr="00B06C89" w:rsidRDefault="00B06C89" w:rsidP="00B06C89">
      <w:pPr>
        <w:pStyle w:val="bt"/>
        <w:spacing w:before="60" w:after="0"/>
        <w:rPr>
          <w:b/>
        </w:rPr>
      </w:pPr>
      <w:r w:rsidRPr="00B06C89">
        <w:rPr>
          <w:b/>
        </w:rPr>
        <w:t xml:space="preserve">Local Government Area: </w:t>
      </w:r>
      <w:r w:rsidRPr="001501D3">
        <w:t>Towong</w:t>
      </w:r>
    </w:p>
    <w:p w:rsidR="00B06C89" w:rsidRDefault="00B06C89" w:rsidP="00A41B2E">
      <w:pPr>
        <w:pStyle w:val="bt"/>
        <w:numPr>
          <w:ilvl w:val="0"/>
          <w:numId w:val="30"/>
        </w:numPr>
        <w:spacing w:before="60" w:after="0"/>
      </w:pPr>
      <w:r w:rsidRPr="00EE66D9">
        <w:t>Structural private dwellings</w:t>
      </w:r>
      <w:r>
        <w:t xml:space="preserve">: 2011** - </w:t>
      </w:r>
      <w:r w:rsidRPr="0097773E">
        <w:t>3100</w:t>
      </w:r>
    </w:p>
    <w:p w:rsidR="00B06C89" w:rsidRDefault="00B06C89" w:rsidP="00A41B2E">
      <w:pPr>
        <w:pStyle w:val="bt"/>
        <w:numPr>
          <w:ilvl w:val="0"/>
          <w:numId w:val="30"/>
        </w:numPr>
        <w:spacing w:before="60" w:after="0"/>
      </w:pPr>
      <w:r w:rsidRPr="00EE66D9">
        <w:t>Structural private dwellings</w:t>
      </w:r>
      <w:r>
        <w:t xml:space="preserve">: 2021** - </w:t>
      </w:r>
      <w:r w:rsidRPr="0097773E">
        <w:t>3300</w:t>
      </w:r>
    </w:p>
    <w:p w:rsidR="00B06C89" w:rsidRDefault="00B06C89" w:rsidP="00A41B2E">
      <w:pPr>
        <w:pStyle w:val="bt"/>
        <w:numPr>
          <w:ilvl w:val="0"/>
          <w:numId w:val="30"/>
        </w:numPr>
        <w:spacing w:before="60" w:after="0"/>
      </w:pPr>
      <w:r w:rsidRPr="00EE66D9">
        <w:t>Structural private dwellings</w:t>
      </w:r>
      <w:r>
        <w:t xml:space="preserve">: 2031** - </w:t>
      </w:r>
      <w:r w:rsidRPr="0097773E">
        <w:t>3500</w:t>
      </w:r>
    </w:p>
    <w:p w:rsidR="00B06C89" w:rsidRPr="00B06C89" w:rsidRDefault="00B06C89" w:rsidP="00A41B2E">
      <w:pPr>
        <w:pStyle w:val="bt"/>
        <w:numPr>
          <w:ilvl w:val="0"/>
          <w:numId w:val="30"/>
        </w:numPr>
        <w:spacing w:before="60" w:after="0"/>
      </w:pPr>
      <w:r w:rsidRPr="00EE66D9">
        <w:t>Structural private dwellings</w:t>
      </w:r>
      <w:r>
        <w:t xml:space="preserve">: 2041*** - </w:t>
      </w:r>
      <w:r w:rsidRPr="0097773E">
        <w:t>n/a</w:t>
      </w:r>
    </w:p>
    <w:p w:rsidR="00B06C89" w:rsidRPr="00B06C89" w:rsidRDefault="00B06C89" w:rsidP="00B06C89">
      <w:pPr>
        <w:pStyle w:val="bt"/>
        <w:spacing w:before="60" w:after="0"/>
        <w:rPr>
          <w:b/>
        </w:rPr>
      </w:pPr>
      <w:r w:rsidRPr="00B06C89">
        <w:rPr>
          <w:b/>
        </w:rPr>
        <w:t xml:space="preserve">Local Government Area: </w:t>
      </w:r>
      <w:r w:rsidRPr="001501D3">
        <w:t>Wangaratta</w:t>
      </w:r>
    </w:p>
    <w:p w:rsidR="00B06C89" w:rsidRDefault="00B06C89" w:rsidP="00A41B2E">
      <w:pPr>
        <w:pStyle w:val="bt"/>
        <w:numPr>
          <w:ilvl w:val="0"/>
          <w:numId w:val="30"/>
        </w:numPr>
        <w:spacing w:before="60" w:after="0"/>
      </w:pPr>
      <w:r w:rsidRPr="00EE66D9">
        <w:t>Structural private dwellings</w:t>
      </w:r>
      <w:r>
        <w:t xml:space="preserve">: 2011** - </w:t>
      </w:r>
      <w:r w:rsidRPr="0097773E">
        <w:t>12,400</w:t>
      </w:r>
    </w:p>
    <w:p w:rsidR="00B06C89" w:rsidRDefault="00B06C89" w:rsidP="00A41B2E">
      <w:pPr>
        <w:pStyle w:val="bt"/>
        <w:numPr>
          <w:ilvl w:val="0"/>
          <w:numId w:val="30"/>
        </w:numPr>
        <w:spacing w:before="60" w:after="0"/>
      </w:pPr>
      <w:r w:rsidRPr="00EE66D9">
        <w:t>Structural private dwellings</w:t>
      </w:r>
      <w:r>
        <w:t xml:space="preserve">: 2021** - </w:t>
      </w:r>
      <w:r w:rsidRPr="0097773E">
        <w:t>13,600</w:t>
      </w:r>
    </w:p>
    <w:p w:rsidR="00B06C89" w:rsidRDefault="00B06C89" w:rsidP="00A41B2E">
      <w:pPr>
        <w:pStyle w:val="bt"/>
        <w:numPr>
          <w:ilvl w:val="0"/>
          <w:numId w:val="30"/>
        </w:numPr>
        <w:spacing w:before="60" w:after="0"/>
      </w:pPr>
      <w:r w:rsidRPr="00EE66D9">
        <w:t>Structural private dwellings</w:t>
      </w:r>
      <w:r>
        <w:t xml:space="preserve">: 2031** - </w:t>
      </w:r>
      <w:r w:rsidRPr="0097773E">
        <w:t>14,800</w:t>
      </w:r>
    </w:p>
    <w:p w:rsidR="00B06C89" w:rsidRPr="00B06C89" w:rsidRDefault="00B06C89" w:rsidP="00A41B2E">
      <w:pPr>
        <w:pStyle w:val="bt"/>
        <w:numPr>
          <w:ilvl w:val="0"/>
          <w:numId w:val="30"/>
        </w:numPr>
        <w:spacing w:before="60" w:after="0"/>
      </w:pPr>
      <w:r w:rsidRPr="00EE66D9">
        <w:t>Structural private dwellings</w:t>
      </w:r>
      <w:r>
        <w:t xml:space="preserve">: 2041*** - </w:t>
      </w:r>
      <w:r w:rsidRPr="0097773E">
        <w:t>n/a</w:t>
      </w:r>
    </w:p>
    <w:p w:rsidR="00B06C89" w:rsidRPr="00B06C89" w:rsidRDefault="00B06C89" w:rsidP="00B06C89">
      <w:pPr>
        <w:pStyle w:val="bt"/>
        <w:spacing w:before="60" w:after="0"/>
        <w:rPr>
          <w:b/>
        </w:rPr>
      </w:pPr>
      <w:r w:rsidRPr="00B06C89">
        <w:rPr>
          <w:b/>
        </w:rPr>
        <w:t xml:space="preserve">Local Government Area: </w:t>
      </w:r>
      <w:r w:rsidRPr="001501D3">
        <w:t>Wodonga</w:t>
      </w:r>
    </w:p>
    <w:p w:rsidR="00B06C89" w:rsidRDefault="00B06C89" w:rsidP="00A41B2E">
      <w:pPr>
        <w:pStyle w:val="bt"/>
        <w:numPr>
          <w:ilvl w:val="0"/>
          <w:numId w:val="30"/>
        </w:numPr>
        <w:spacing w:before="60" w:after="0"/>
      </w:pPr>
      <w:r w:rsidRPr="00EE66D9">
        <w:t>Structural private dwellings</w:t>
      </w:r>
      <w:r>
        <w:t xml:space="preserve">: 2011** - </w:t>
      </w:r>
      <w:r w:rsidRPr="0097773E">
        <w:t>14,700</w:t>
      </w:r>
    </w:p>
    <w:p w:rsidR="00B06C89" w:rsidRDefault="00B06C89" w:rsidP="00A41B2E">
      <w:pPr>
        <w:pStyle w:val="bt"/>
        <w:numPr>
          <w:ilvl w:val="0"/>
          <w:numId w:val="30"/>
        </w:numPr>
        <w:spacing w:before="60" w:after="0"/>
      </w:pPr>
      <w:r w:rsidRPr="00EE66D9">
        <w:t>Structural private dwellings</w:t>
      </w:r>
      <w:r>
        <w:t xml:space="preserve">: 2021** - </w:t>
      </w:r>
      <w:r w:rsidRPr="0097773E">
        <w:t>18,000</w:t>
      </w:r>
    </w:p>
    <w:p w:rsidR="00B06C89" w:rsidRDefault="00B06C89" w:rsidP="00A41B2E">
      <w:pPr>
        <w:pStyle w:val="bt"/>
        <w:numPr>
          <w:ilvl w:val="0"/>
          <w:numId w:val="30"/>
        </w:numPr>
        <w:spacing w:before="60" w:after="0"/>
      </w:pPr>
      <w:r w:rsidRPr="00EE66D9">
        <w:t>Structural private dwellings</w:t>
      </w:r>
      <w:r>
        <w:t xml:space="preserve">: 2031** - </w:t>
      </w:r>
      <w:r w:rsidRPr="0097773E">
        <w:t>21,200</w:t>
      </w:r>
    </w:p>
    <w:p w:rsidR="00B06C89" w:rsidRPr="00B06C89" w:rsidRDefault="00B06C89" w:rsidP="00A41B2E">
      <w:pPr>
        <w:pStyle w:val="bt"/>
        <w:numPr>
          <w:ilvl w:val="0"/>
          <w:numId w:val="30"/>
        </w:numPr>
        <w:spacing w:before="60" w:after="0"/>
      </w:pPr>
      <w:r w:rsidRPr="00EE66D9">
        <w:t>Structural private dwellings</w:t>
      </w:r>
      <w:r>
        <w:t xml:space="preserve">: 2041*** - </w:t>
      </w:r>
      <w:r w:rsidRPr="0097773E">
        <w:t>n/a</w:t>
      </w:r>
    </w:p>
    <w:p w:rsidR="00B06C89" w:rsidRPr="00B06C89" w:rsidRDefault="00B06C89" w:rsidP="00B06C89">
      <w:pPr>
        <w:pStyle w:val="bt"/>
        <w:spacing w:before="60" w:after="0"/>
        <w:rPr>
          <w:b/>
        </w:rPr>
      </w:pPr>
      <w:r w:rsidRPr="00B06C89">
        <w:rPr>
          <w:b/>
        </w:rPr>
        <w:t>Total</w:t>
      </w:r>
    </w:p>
    <w:p w:rsidR="00B06C89" w:rsidRDefault="00B06C89" w:rsidP="00A41B2E">
      <w:pPr>
        <w:pStyle w:val="bt"/>
        <w:numPr>
          <w:ilvl w:val="0"/>
          <w:numId w:val="30"/>
        </w:numPr>
        <w:spacing w:before="60" w:after="0"/>
      </w:pPr>
      <w:r w:rsidRPr="00EE66D9">
        <w:t>Structural private dwellings</w:t>
      </w:r>
      <w:r>
        <w:t xml:space="preserve">: 2011** - </w:t>
      </w:r>
      <w:r w:rsidRPr="007536C0">
        <w:t>120,600</w:t>
      </w:r>
    </w:p>
    <w:p w:rsidR="00B06C89" w:rsidRDefault="00B06C89" w:rsidP="00A41B2E">
      <w:pPr>
        <w:pStyle w:val="bt"/>
        <w:numPr>
          <w:ilvl w:val="0"/>
          <w:numId w:val="30"/>
        </w:numPr>
        <w:spacing w:before="60" w:after="0"/>
      </w:pPr>
      <w:r w:rsidRPr="00EE66D9">
        <w:t>Structural private dwellings</w:t>
      </w:r>
      <w:r>
        <w:t xml:space="preserve">: 2021** - </w:t>
      </w:r>
      <w:r w:rsidRPr="007536C0">
        <w:t>140,600</w:t>
      </w:r>
    </w:p>
    <w:p w:rsidR="00B06C89" w:rsidRDefault="00B06C89" w:rsidP="00A41B2E">
      <w:pPr>
        <w:pStyle w:val="bt"/>
        <w:numPr>
          <w:ilvl w:val="0"/>
          <w:numId w:val="30"/>
        </w:numPr>
        <w:spacing w:before="60" w:after="0"/>
      </w:pPr>
      <w:r w:rsidRPr="00EE66D9">
        <w:t>Structural private dwellings</w:t>
      </w:r>
      <w:r>
        <w:t xml:space="preserve">: 2031** - </w:t>
      </w:r>
      <w:r w:rsidRPr="007536C0">
        <w:t>159,500</w:t>
      </w:r>
    </w:p>
    <w:p w:rsidR="00B67D6E" w:rsidRDefault="00B06C89" w:rsidP="00A41B2E">
      <w:pPr>
        <w:pStyle w:val="bt"/>
        <w:numPr>
          <w:ilvl w:val="0"/>
          <w:numId w:val="30"/>
        </w:numPr>
        <w:spacing w:before="60" w:after="0"/>
      </w:pPr>
      <w:r w:rsidRPr="00EE66D9">
        <w:t>Structural private dwellings</w:t>
      </w:r>
      <w:r>
        <w:t xml:space="preserve">: 2041*** - </w:t>
      </w:r>
      <w:r w:rsidRPr="007536C0">
        <w:t>173,400</w:t>
      </w:r>
    </w:p>
    <w:p w:rsidR="001E6B61" w:rsidRDefault="00F35342" w:rsidP="007A5C2A">
      <w:pPr>
        <w:pStyle w:val="source"/>
      </w:pPr>
      <w:r w:rsidRPr="008C68B5">
        <w:t>* Figures for Mitchell Shire excludes expected metropolitan growth in the southern part of the LGA</w:t>
      </w:r>
    </w:p>
    <w:p w:rsidR="001E6B61" w:rsidRDefault="00F35342" w:rsidP="007A5C2A">
      <w:pPr>
        <w:pStyle w:val="source"/>
      </w:pPr>
      <w:r>
        <w:t>** Source: Victoria in Future 2012 (</w:t>
      </w:r>
      <w:r w:rsidR="000327E7">
        <w:t xml:space="preserve">former </w:t>
      </w:r>
      <w:r w:rsidR="00503EB2">
        <w:t>Department of Planning and Community Development</w:t>
      </w:r>
      <w:r>
        <w:t>)</w:t>
      </w:r>
    </w:p>
    <w:p w:rsidR="001E6B61" w:rsidRDefault="00F35342" w:rsidP="007A5C2A">
      <w:pPr>
        <w:pStyle w:val="source"/>
      </w:pPr>
      <w:r w:rsidRPr="008C68B5">
        <w:t>**</w:t>
      </w:r>
      <w:r>
        <w:t>*</w:t>
      </w:r>
      <w:r w:rsidRPr="008C68B5">
        <w:t xml:space="preserve"> Source: </w:t>
      </w:r>
      <w:r w:rsidR="00503EB2">
        <w:t>Department of Planning and Community Development</w:t>
      </w:r>
      <w:r w:rsidRPr="008C68B5">
        <w:t xml:space="preserve"> unpublished population projections 2012</w:t>
      </w:r>
    </w:p>
    <w:p w:rsidR="00B67D6E" w:rsidRDefault="00B67D6E" w:rsidP="0061220F">
      <w:pPr>
        <w:pStyle w:val="source"/>
      </w:pPr>
    </w:p>
    <w:p w:rsidR="001E6B61" w:rsidRDefault="00F35342" w:rsidP="007A5C2A">
      <w:pPr>
        <w:pStyle w:val="Sourcestyle"/>
      </w:pPr>
      <w:r>
        <w:t xml:space="preserve">Note: </w:t>
      </w:r>
      <w:r w:rsidR="000327E7">
        <w:t>P</w:t>
      </w:r>
      <w:r>
        <w:t>rojected totals for LGAs beyond 20 years (2031)</w:t>
      </w:r>
      <w:r w:rsidR="000327E7">
        <w:t xml:space="preserve"> are not published as part of Victoria in Future</w:t>
      </w:r>
    </w:p>
    <w:p w:rsidR="00B06C89" w:rsidRDefault="00B06C89" w:rsidP="007A5C2A">
      <w:pPr>
        <w:pStyle w:val="Sourcestyle"/>
      </w:pPr>
    </w:p>
    <w:p w:rsidR="001E6B61" w:rsidRDefault="00F35342" w:rsidP="00CA749D">
      <w:pPr>
        <w:pStyle w:val="Heading2"/>
        <w:tabs>
          <w:tab w:val="clear" w:pos="396"/>
        </w:tabs>
        <w:spacing w:before="240"/>
        <w:ind w:left="567"/>
      </w:pPr>
      <w:bookmarkStart w:id="149" w:name="_Toc355970767"/>
      <w:bookmarkStart w:id="150" w:name="_Toc359422948"/>
      <w:bookmarkStart w:id="151" w:name="_Toc374612449"/>
      <w:r w:rsidRPr="00204278">
        <w:t xml:space="preserve">Economy and </w:t>
      </w:r>
      <w:r w:rsidR="00490334" w:rsidRPr="00204278">
        <w:t>e</w:t>
      </w:r>
      <w:r w:rsidRPr="00204278">
        <w:t>mployment</w:t>
      </w:r>
      <w:bookmarkEnd w:id="149"/>
      <w:bookmarkEnd w:id="150"/>
      <w:bookmarkEnd w:id="151"/>
    </w:p>
    <w:p w:rsidR="007A143F" w:rsidRDefault="00F35342">
      <w:pPr>
        <w:pStyle w:val="bt"/>
      </w:pPr>
      <w:r w:rsidRPr="00F35342">
        <w:t xml:space="preserve">Manufacturing employment in the </w:t>
      </w:r>
      <w:r w:rsidR="00490334">
        <w:t xml:space="preserve">Hume </w:t>
      </w:r>
      <w:r w:rsidR="005B7A6F">
        <w:t>R</w:t>
      </w:r>
      <w:r w:rsidRPr="00F35342">
        <w:t>egion is projected to decrease by 2018–19 to around 11</w:t>
      </w:r>
      <w:r w:rsidR="00272C61">
        <w:t xml:space="preserve"> per cent</w:t>
      </w:r>
      <w:r w:rsidRPr="00F35342">
        <w:t xml:space="preserve"> of the </w:t>
      </w:r>
      <w:r w:rsidRPr="00226D34">
        <w:t>workforce (</w:t>
      </w:r>
      <w:r w:rsidR="00827E2D">
        <w:fldChar w:fldCharType="begin"/>
      </w:r>
      <w:r w:rsidR="00827E2D">
        <w:instrText xml:space="preserve"> REF _Ref348349253 \h  \* MERGEFORMAT </w:instrText>
      </w:r>
      <w:r w:rsidR="00827E2D">
        <w:fldChar w:fldCharType="separate"/>
      </w:r>
      <w:r w:rsidR="009034D4" w:rsidRPr="00DF6019">
        <w:t xml:space="preserve">Figure </w:t>
      </w:r>
      <w:r w:rsidR="009034D4">
        <w:t>8</w:t>
      </w:r>
      <w:r w:rsidR="00827E2D">
        <w:fldChar w:fldCharType="end"/>
      </w:r>
      <w:r w:rsidRPr="00226D34">
        <w:t>). Employment</w:t>
      </w:r>
      <w:r w:rsidRPr="00F35342">
        <w:t xml:space="preserve"> in the agricultural sector is also likely to decline over the next decade to </w:t>
      </w:r>
      <w:r w:rsidR="00490334">
        <w:t>8</w:t>
      </w:r>
      <w:r w:rsidR="00214286">
        <w:t xml:space="preserve"> per cent</w:t>
      </w:r>
      <w:r w:rsidR="00490334">
        <w:t xml:space="preserve"> </w:t>
      </w:r>
      <w:r w:rsidRPr="00F35342">
        <w:t>of the workforce. The number of people employed in the construction, retail, education and training, and healthcare and social service sectors is expected to grow in the future.</w:t>
      </w:r>
    </w:p>
    <w:p w:rsidR="0025208F" w:rsidRDefault="0025208F" w:rsidP="0025208F">
      <w:pPr>
        <w:pStyle w:val="bt"/>
      </w:pPr>
      <w:r>
        <w:t>While the number</w:t>
      </w:r>
      <w:r w:rsidRPr="00F35342">
        <w:t xml:space="preserve"> of jobs in </w:t>
      </w:r>
      <w:r>
        <w:t xml:space="preserve">the region’s </w:t>
      </w:r>
      <w:r w:rsidRPr="00F35342">
        <w:t xml:space="preserve">agricultural and manufacturing sectors </w:t>
      </w:r>
      <w:r>
        <w:t xml:space="preserve">is </w:t>
      </w:r>
      <w:r w:rsidRPr="00F35342">
        <w:t xml:space="preserve">expected to decline in the future, these sectors will still employ significant numbers of people and be key economic forces in the region. </w:t>
      </w:r>
    </w:p>
    <w:p w:rsidR="0025208F" w:rsidRDefault="0025208F" w:rsidP="0025208F">
      <w:pPr>
        <w:pStyle w:val="bt"/>
      </w:pPr>
      <w:r w:rsidRPr="00F35342">
        <w:t xml:space="preserve">There is expected to be a growing need for skilled workers in the region, as the nature of its economic base changes in </w:t>
      </w:r>
      <w:r>
        <w:t xml:space="preserve">the </w:t>
      </w:r>
      <w:r w:rsidRPr="00F35342">
        <w:t xml:space="preserve">future. </w:t>
      </w:r>
    </w:p>
    <w:p w:rsidR="001E6B61" w:rsidRDefault="0025208F">
      <w:pPr>
        <w:pStyle w:val="bt"/>
      </w:pPr>
      <w:r w:rsidRPr="00F35342">
        <w:t xml:space="preserve">The </w:t>
      </w:r>
      <w:r>
        <w:t>National Broadband Network</w:t>
      </w:r>
      <w:r w:rsidRPr="00F35342">
        <w:t xml:space="preserve"> rollout is expected to provide faster and more reliable </w:t>
      </w:r>
      <w:r>
        <w:t>i</w:t>
      </w:r>
      <w:r w:rsidRPr="00F35342">
        <w:t>nternet connections to prioritised townships in the short to medium term.</w:t>
      </w:r>
    </w:p>
    <w:p w:rsidR="003A0C16" w:rsidRDefault="00FF6D6C" w:rsidP="00EE0F0D">
      <w:pPr>
        <w:pStyle w:val="Caption"/>
      </w:pPr>
      <w:bookmarkStart w:id="152" w:name="_Ref348349253"/>
      <w:bookmarkStart w:id="153" w:name="_Ref348349241"/>
      <w:r>
        <w:rPr>
          <w:noProof/>
        </w:rPr>
        <w:lastRenderedPageBreak/>
        <w:drawing>
          <wp:anchor distT="0" distB="0" distL="114300" distR="114300" simplePos="0" relativeHeight="251697152" behindDoc="0" locked="0" layoutInCell="1" allowOverlap="1">
            <wp:simplePos x="0" y="0"/>
            <wp:positionH relativeFrom="column">
              <wp:posOffset>-25400</wp:posOffset>
            </wp:positionH>
            <wp:positionV relativeFrom="paragraph">
              <wp:posOffset>214630</wp:posOffset>
            </wp:positionV>
            <wp:extent cx="5753100" cy="3390900"/>
            <wp:effectExtent l="0" t="0" r="0" b="0"/>
            <wp:wrapTopAndBottom/>
            <wp:docPr id="27" name="Chart 2" descr="Graph showing employment forecasts per sector in the Hume Reg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bookmarkStart w:id="154" w:name="_Toc374612533"/>
      <w:r w:rsidR="00C23328" w:rsidRPr="00DF6019">
        <w:t xml:space="preserve">Figure </w:t>
      </w:r>
      <w:r w:rsidR="00827E2D">
        <w:fldChar w:fldCharType="begin"/>
      </w:r>
      <w:r w:rsidR="00827E2D">
        <w:instrText xml:space="preserve"> SEQ Figure \* ARABIC </w:instrText>
      </w:r>
      <w:r w:rsidR="00827E2D">
        <w:fldChar w:fldCharType="separate"/>
      </w:r>
      <w:r w:rsidR="009034D4">
        <w:rPr>
          <w:noProof/>
        </w:rPr>
        <w:t>8</w:t>
      </w:r>
      <w:r w:rsidR="00827E2D">
        <w:rPr>
          <w:noProof/>
        </w:rPr>
        <w:fldChar w:fldCharType="end"/>
      </w:r>
      <w:bookmarkEnd w:id="152"/>
      <w:r w:rsidR="007536C0" w:rsidRPr="007536C0">
        <w:t>: Employment forecasts per sector – Hume Region</w:t>
      </w:r>
      <w:bookmarkEnd w:id="153"/>
      <w:bookmarkEnd w:id="154"/>
    </w:p>
    <w:p w:rsidR="0060658D" w:rsidRDefault="0060658D" w:rsidP="0061220F">
      <w:pPr>
        <w:pStyle w:val="source"/>
      </w:pPr>
      <w:r w:rsidRPr="002262EE">
        <w:t>Source: Access Economics, Victorian Regional Economic Outlook, February 2011</w:t>
      </w:r>
    </w:p>
    <w:p w:rsidR="007A143F" w:rsidRDefault="00F35342" w:rsidP="005177F2">
      <w:pPr>
        <w:pStyle w:val="Heading2"/>
        <w:tabs>
          <w:tab w:val="clear" w:pos="396"/>
        </w:tabs>
        <w:spacing w:before="240" w:after="120"/>
        <w:ind w:left="567"/>
      </w:pPr>
      <w:bookmarkStart w:id="155" w:name="_Ref351099275"/>
      <w:bookmarkStart w:id="156" w:name="_Toc355970768"/>
      <w:bookmarkStart w:id="157" w:name="_Toc359422949"/>
      <w:bookmarkStart w:id="158" w:name="_Toc374612450"/>
      <w:r w:rsidRPr="00204278">
        <w:t xml:space="preserve">Climate </w:t>
      </w:r>
      <w:r w:rsidR="00490334" w:rsidRPr="00204278">
        <w:t>c</w:t>
      </w:r>
      <w:r w:rsidR="00DA722B" w:rsidRPr="00DA722B">
        <w:t>hange</w:t>
      </w:r>
      <w:bookmarkEnd w:id="155"/>
      <w:bookmarkEnd w:id="156"/>
      <w:bookmarkEnd w:id="157"/>
      <w:bookmarkEnd w:id="158"/>
    </w:p>
    <w:p w:rsidR="007A143F" w:rsidRDefault="00F35342" w:rsidP="005177F2">
      <w:pPr>
        <w:pStyle w:val="bt"/>
        <w:spacing w:after="120"/>
      </w:pPr>
      <w:r w:rsidRPr="00F35342">
        <w:t xml:space="preserve">Climate change has the potential to affect many aspects of the </w:t>
      </w:r>
      <w:r w:rsidR="00490334">
        <w:t xml:space="preserve">Hume </w:t>
      </w:r>
      <w:r w:rsidR="00DF7499">
        <w:t>R</w:t>
      </w:r>
      <w:r w:rsidRPr="00F35342">
        <w:t>egion’s environment, economy and communities.</w:t>
      </w:r>
      <w:r w:rsidR="00AB09A2">
        <w:t xml:space="preserve"> These potential impacts are </w:t>
      </w:r>
      <w:r w:rsidR="00C00D74">
        <w:t>expected</w:t>
      </w:r>
      <w:r w:rsidR="00AB09A2">
        <w:t xml:space="preserve"> to start to emerge in the next 30 years, becoming more pronounced beyond this timeframe.</w:t>
      </w:r>
    </w:p>
    <w:p w:rsidR="007A143F" w:rsidRDefault="00F35342" w:rsidP="00BD3178">
      <w:pPr>
        <w:pStyle w:val="bt"/>
        <w:spacing w:after="0"/>
      </w:pPr>
      <w:r w:rsidRPr="00F35342">
        <w:t>Possible impacts on the environment include:</w:t>
      </w:r>
    </w:p>
    <w:p w:rsidR="007A143F" w:rsidRDefault="00F35342" w:rsidP="001A3FCF">
      <w:pPr>
        <w:pStyle w:val="ListBullet"/>
      </w:pPr>
      <w:r w:rsidRPr="00F35342">
        <w:t xml:space="preserve">increased severity and frequency of natural hazards </w:t>
      </w:r>
      <w:r w:rsidR="00C00D74">
        <w:t>and extreme events</w:t>
      </w:r>
      <w:r w:rsidR="00214286">
        <w:t>,</w:t>
      </w:r>
      <w:r w:rsidR="00C00D74">
        <w:t xml:space="preserve"> </w:t>
      </w:r>
      <w:r w:rsidRPr="00F35342">
        <w:t>such as bushfire, flood, drought and storms</w:t>
      </w:r>
    </w:p>
    <w:p w:rsidR="007A143F" w:rsidRDefault="00F35342" w:rsidP="001A3FCF">
      <w:pPr>
        <w:pStyle w:val="ListBullet"/>
      </w:pPr>
      <w:r w:rsidRPr="00F35342">
        <w:t>decreased snow cover</w:t>
      </w:r>
    </w:p>
    <w:p w:rsidR="007A143F" w:rsidRDefault="00F35342" w:rsidP="001A3FCF">
      <w:pPr>
        <w:pStyle w:val="ListBullet"/>
      </w:pPr>
      <w:r w:rsidRPr="00F35342">
        <w:t>reduced water for the environment</w:t>
      </w:r>
      <w:r w:rsidR="00C00D74">
        <w:t xml:space="preserve"> and consumptive uses</w:t>
      </w:r>
    </w:p>
    <w:p w:rsidR="007A143F" w:rsidRDefault="00F35342" w:rsidP="001A3FCF">
      <w:pPr>
        <w:pStyle w:val="ListBullet"/>
      </w:pPr>
      <w:r w:rsidRPr="00F35342">
        <w:t>negative effects on the distribution and viability of native vegetation and fauna populations</w:t>
      </w:r>
    </w:p>
    <w:p w:rsidR="007A143F" w:rsidRPr="000800DD" w:rsidRDefault="00F35342" w:rsidP="00EE0F0D">
      <w:pPr>
        <w:pStyle w:val="ListBullet"/>
      </w:pPr>
      <w:r w:rsidRPr="00F35342">
        <w:t xml:space="preserve">increases in the prevalence and diversity of weed species. </w:t>
      </w:r>
    </w:p>
    <w:p w:rsidR="007A143F" w:rsidRDefault="00C00D74" w:rsidP="00BD3178">
      <w:pPr>
        <w:pStyle w:val="bt"/>
        <w:spacing w:after="0"/>
      </w:pPr>
      <w:r>
        <w:t>Potential s</w:t>
      </w:r>
      <w:r w:rsidR="00F35342" w:rsidRPr="00F35342">
        <w:t>ocial issues linked to climate change include:</w:t>
      </w:r>
    </w:p>
    <w:p w:rsidR="007A143F" w:rsidRDefault="00F35342" w:rsidP="001A3FCF">
      <w:pPr>
        <w:pStyle w:val="ListBullet"/>
      </w:pPr>
      <w:r w:rsidRPr="00F35342">
        <w:t>impacts on health and wellbeing from heat stress, particularly affecting young and elderly people</w:t>
      </w:r>
    </w:p>
    <w:p w:rsidR="007A143F" w:rsidRDefault="00F35342" w:rsidP="001A3FCF">
      <w:pPr>
        <w:pStyle w:val="ListBullet"/>
      </w:pPr>
      <w:r w:rsidRPr="00F35342">
        <w:t>possible reductions in the liveability of urban environments as a result of reduced water availability</w:t>
      </w:r>
    </w:p>
    <w:p w:rsidR="007A143F" w:rsidRDefault="00F35342" w:rsidP="001A3FCF">
      <w:pPr>
        <w:pStyle w:val="ListBullet"/>
      </w:pPr>
      <w:r w:rsidRPr="00F35342">
        <w:t xml:space="preserve">increases in the number and severity of events requiring emergency responses and </w:t>
      </w:r>
      <w:r w:rsidR="00913C42">
        <w:t xml:space="preserve">the </w:t>
      </w:r>
      <w:r w:rsidRPr="00F35342">
        <w:t>resulting social impacts on communities</w:t>
      </w:r>
    </w:p>
    <w:p w:rsidR="007A143F" w:rsidRDefault="00F35342" w:rsidP="001A3FCF">
      <w:pPr>
        <w:pStyle w:val="ListBullet"/>
      </w:pPr>
      <w:r w:rsidRPr="00F35342">
        <w:t>increased prevalence of some diseases, including asthma and respiratory disease, vector-borne</w:t>
      </w:r>
      <w:r w:rsidR="00913C42">
        <w:t xml:space="preserve"> and </w:t>
      </w:r>
      <w:r w:rsidR="00913C42" w:rsidRPr="00F35342">
        <w:t>water-borne</w:t>
      </w:r>
      <w:r w:rsidRPr="00F35342">
        <w:t xml:space="preserve"> diseases and food-related illnesses</w:t>
      </w:r>
    </w:p>
    <w:p w:rsidR="007A143F" w:rsidRDefault="00F35342" w:rsidP="001A3FCF">
      <w:pPr>
        <w:pStyle w:val="ListBullet"/>
      </w:pPr>
      <w:r w:rsidRPr="00F35342">
        <w:t>increased mental health issues among particular population groups due to the impacts of severe weather events on homes and livelihoods</w:t>
      </w:r>
    </w:p>
    <w:p w:rsidR="007A143F" w:rsidRDefault="00F35342" w:rsidP="001A3FCF">
      <w:pPr>
        <w:pStyle w:val="ListBullet"/>
      </w:pPr>
      <w:r w:rsidRPr="00F35342">
        <w:lastRenderedPageBreak/>
        <w:t>potential increased demand on local health services</w:t>
      </w:r>
    </w:p>
    <w:p w:rsidR="007A143F" w:rsidRDefault="00F35342" w:rsidP="001A3FCF">
      <w:pPr>
        <w:pStyle w:val="ListBullet"/>
      </w:pPr>
      <w:r w:rsidRPr="00F35342">
        <w:t>reduced availability and higher cost of safe drinking water supply.</w:t>
      </w:r>
    </w:p>
    <w:p w:rsidR="001E6B61" w:rsidRDefault="00F35342" w:rsidP="00BD3178">
      <w:pPr>
        <w:pStyle w:val="bt"/>
        <w:spacing w:before="120" w:after="0"/>
      </w:pPr>
      <w:r w:rsidRPr="00F35342">
        <w:t xml:space="preserve">Potential impacts of climate change on the </w:t>
      </w:r>
      <w:r w:rsidR="004175EC">
        <w:t>r</w:t>
      </w:r>
      <w:r w:rsidRPr="00F35342">
        <w:t>egion’s economy include:</w:t>
      </w:r>
    </w:p>
    <w:p w:rsidR="007A143F" w:rsidRDefault="00F35342" w:rsidP="001A3FCF">
      <w:pPr>
        <w:pStyle w:val="ListBullet"/>
        <w:rPr>
          <w:rFonts w:cstheme="minorHAnsi"/>
        </w:rPr>
      </w:pPr>
      <w:r w:rsidRPr="00F35342">
        <w:t>effects on agriculture and other industries from increased severity and frequency of bushfire</w:t>
      </w:r>
      <w:r w:rsidR="00913C42">
        <w:t>s</w:t>
      </w:r>
      <w:r w:rsidRPr="00F35342">
        <w:t>, floods and storms, extended periods of drought and possible reductions in water availability</w:t>
      </w:r>
    </w:p>
    <w:p w:rsidR="007A143F" w:rsidRDefault="00E56740" w:rsidP="001A3FCF">
      <w:pPr>
        <w:pStyle w:val="ListBullet"/>
        <w:rPr>
          <w:rFonts w:cstheme="minorHAnsi"/>
        </w:rPr>
      </w:pPr>
      <w:r>
        <w:t>diversification in agricultural commodities as the industry adapts to changing climates</w:t>
      </w:r>
    </w:p>
    <w:p w:rsidR="007A143F" w:rsidRDefault="00F35342" w:rsidP="001A3FCF">
      <w:pPr>
        <w:pStyle w:val="ListBullet"/>
      </w:pPr>
      <w:r w:rsidRPr="00F35342">
        <w:t>declining revenue from tourism linked to water-based, snow and outdoor (summer) activities</w:t>
      </w:r>
    </w:p>
    <w:p w:rsidR="007A143F" w:rsidRDefault="00F35342" w:rsidP="001A3FCF">
      <w:pPr>
        <w:pStyle w:val="ListBullet"/>
        <w:rPr>
          <w:rFonts w:cstheme="minorHAnsi"/>
        </w:rPr>
      </w:pPr>
      <w:r w:rsidRPr="00F35342">
        <w:t>higher infrastructure costs due to the need to design for rising temperatures and more intense storms, as well as increased maintenance costs and costs of recovery from hazard</w:t>
      </w:r>
      <w:r w:rsidR="00C00D74">
        <w:t>ous</w:t>
      </w:r>
      <w:r w:rsidRPr="00F35342">
        <w:t xml:space="preserve"> events</w:t>
      </w:r>
    </w:p>
    <w:p w:rsidR="007A143F" w:rsidRDefault="00F35342" w:rsidP="001A3FCF">
      <w:pPr>
        <w:pStyle w:val="ListBullet"/>
        <w:rPr>
          <w:rFonts w:cstheme="minorHAnsi"/>
        </w:rPr>
      </w:pPr>
      <w:r w:rsidRPr="00F35342">
        <w:t>rising input costs for industry</w:t>
      </w:r>
    </w:p>
    <w:p w:rsidR="007A143F" w:rsidRDefault="00F35342" w:rsidP="001A3FCF">
      <w:pPr>
        <w:pStyle w:val="ListBullet"/>
        <w:rPr>
          <w:rFonts w:cstheme="minorHAnsi"/>
        </w:rPr>
      </w:pPr>
      <w:r w:rsidRPr="00F35342">
        <w:t>increas</w:t>
      </w:r>
      <w:r w:rsidR="00913C42">
        <w:t>ing</w:t>
      </w:r>
      <w:r w:rsidRPr="00F35342">
        <w:t xml:space="preserve"> energy costs</w:t>
      </w:r>
    </w:p>
    <w:p w:rsidR="007A143F" w:rsidRDefault="00F35342" w:rsidP="00EE0F0D">
      <w:pPr>
        <w:pStyle w:val="ListBullet"/>
      </w:pPr>
      <w:r w:rsidRPr="00F35342">
        <w:t>impacts on business investment in the region.</w:t>
      </w:r>
    </w:p>
    <w:p w:rsidR="00B67D6E" w:rsidRDefault="00B67D6E" w:rsidP="00B67D6E">
      <w:pPr>
        <w:pStyle w:val="ListBullet"/>
        <w:numPr>
          <w:ilvl w:val="0"/>
          <w:numId w:val="0"/>
        </w:numPr>
        <w:ind w:left="1630"/>
      </w:pPr>
    </w:p>
    <w:p w:rsidR="001E6B61" w:rsidRDefault="00DA722B">
      <w:pPr>
        <w:pStyle w:val="Heading11"/>
        <w:spacing w:after="0"/>
      </w:pPr>
      <w:bookmarkStart w:id="159" w:name="_Toc354415403"/>
      <w:bookmarkStart w:id="160" w:name="_Toc354415404"/>
      <w:bookmarkStart w:id="161" w:name="_Toc355970769"/>
      <w:bookmarkStart w:id="162" w:name="_Toc359422950"/>
      <w:bookmarkStart w:id="163" w:name="_Toc374612451"/>
      <w:bookmarkEnd w:id="159"/>
      <w:bookmarkEnd w:id="160"/>
      <w:r w:rsidRPr="00DA722B">
        <w:t>Challenges for growth</w:t>
      </w:r>
      <w:bookmarkEnd w:id="161"/>
      <w:bookmarkEnd w:id="162"/>
      <w:bookmarkEnd w:id="163"/>
    </w:p>
    <w:p w:rsidR="001E6B61" w:rsidRPr="009A663B" w:rsidRDefault="00DA722B" w:rsidP="009A663B">
      <w:pPr>
        <w:pStyle w:val="bt"/>
      </w:pPr>
      <w:r w:rsidRPr="009A663B">
        <w:t xml:space="preserve">There are a number of key challenges that are critical to the Hume Region’s future. Not all of these can be resolved by strategic land use planning, but they have been taken into account in the preparation of </w:t>
      </w:r>
      <w:r w:rsidR="005341F6" w:rsidRPr="009A663B">
        <w:t>the</w:t>
      </w:r>
      <w:r w:rsidRPr="009A663B">
        <w:t xml:space="preserve"> </w:t>
      </w:r>
      <w:r w:rsidR="002600BD" w:rsidRPr="009A663B">
        <w:t>plan</w:t>
      </w:r>
      <w:r w:rsidRPr="009A663B">
        <w:t>. Challenges are summarised below according to themes. Climate change, of all the challenges, is expected to cut across all themes.</w:t>
      </w:r>
    </w:p>
    <w:p w:rsidR="007A143F" w:rsidRPr="00F24E46" w:rsidRDefault="00DA722B" w:rsidP="008B7F2D">
      <w:pPr>
        <w:pStyle w:val="btbullet"/>
        <w:rPr>
          <w:rStyle w:val="Strong"/>
          <w:b w:val="0"/>
          <w:bCs w:val="0"/>
        </w:rPr>
      </w:pPr>
      <w:r w:rsidRPr="00F24E46">
        <w:rPr>
          <w:rStyle w:val="Strong"/>
          <w:b w:val="0"/>
          <w:bCs w:val="0"/>
        </w:rPr>
        <w:t>Supporting communities</w:t>
      </w:r>
    </w:p>
    <w:p w:rsidR="007A143F" w:rsidRDefault="00F35342" w:rsidP="00F24E46">
      <w:pPr>
        <w:pStyle w:val="btindent"/>
      </w:pPr>
      <w:r w:rsidRPr="00F35342">
        <w:t>The increasing average age of the population, combined with population growth, will increase pressures on health and other social services. Youth out-migration and low levels of educational attainment may hinder social and economic diversity and growth. Communities will need assistance to adapt to and be prepared for the potential impacts of climate change, such as possible increases in hazardous event</w:t>
      </w:r>
      <w:r w:rsidR="00913C42">
        <w:t xml:space="preserve">s. Implementation of the </w:t>
      </w:r>
      <w:r w:rsidR="00913C42" w:rsidRPr="00B44623">
        <w:rPr>
          <w:rStyle w:val="Emphasis"/>
          <w:i w:val="0"/>
        </w:rPr>
        <w:t>Murray-</w:t>
      </w:r>
      <w:r w:rsidRPr="00B44623">
        <w:rPr>
          <w:rStyle w:val="Emphasis"/>
          <w:i w:val="0"/>
        </w:rPr>
        <w:t>Darling Basin Plan</w:t>
      </w:r>
      <w:r w:rsidRPr="00F35342">
        <w:t xml:space="preserve"> and subsequent structural adjustments in agriculture and other industries are likely to have significant effects on some communities.</w:t>
      </w:r>
    </w:p>
    <w:p w:rsidR="00F24832" w:rsidRDefault="00F35342" w:rsidP="00F24E46">
      <w:pPr>
        <w:pStyle w:val="btindent"/>
      </w:pPr>
      <w:r w:rsidRPr="00F35342">
        <w:t>Providing appropriate support services to culturally diverse communities</w:t>
      </w:r>
      <w:r w:rsidR="00C0516A">
        <w:t xml:space="preserve"> and</w:t>
      </w:r>
      <w:r w:rsidRPr="00F35342">
        <w:t xml:space="preserve"> a si</w:t>
      </w:r>
      <w:r w:rsidR="00C0516A">
        <w:t>gnificant Aboriginal population</w:t>
      </w:r>
      <w:r w:rsidRPr="00F35342">
        <w:t xml:space="preserve"> in </w:t>
      </w:r>
      <w:r w:rsidR="00C0516A">
        <w:t xml:space="preserve">specific </w:t>
      </w:r>
      <w:r w:rsidRPr="00F35342">
        <w:t>areas</w:t>
      </w:r>
      <w:r w:rsidR="00C0516A">
        <w:t>,</w:t>
      </w:r>
      <w:r w:rsidRPr="00F35342">
        <w:t xml:space="preserve"> such as Shepparton</w:t>
      </w:r>
      <w:r w:rsidR="00C0516A">
        <w:t>,</w:t>
      </w:r>
      <w:r w:rsidRPr="00F35342">
        <w:t xml:space="preserve"> remains a challenge for the region. Other key issues include</w:t>
      </w:r>
      <w:r w:rsidR="00214286">
        <w:t>,</w:t>
      </w:r>
      <w:r w:rsidRPr="00F35342">
        <w:t xml:space="preserve"> reducing social disadvantage, particularly where people with fewer resources and opportunities are concentrated in particular geographical areas. Most settlements would benefit from an increase in the diversity of housing they provide</w:t>
      </w:r>
      <w:r w:rsidR="00F24832">
        <w:t>.</w:t>
      </w:r>
    </w:p>
    <w:p w:rsidR="009A663B" w:rsidRDefault="00F35342" w:rsidP="00F24E46">
      <w:pPr>
        <w:pStyle w:val="btindent"/>
      </w:pPr>
      <w:r w:rsidRPr="00F35342">
        <w:t>Improved public or community transport options need to be developed</w:t>
      </w:r>
      <w:r w:rsidR="000233E5">
        <w:t>.</w:t>
      </w:r>
      <w:r w:rsidRPr="00F35342">
        <w:t xml:space="preserve"> </w:t>
      </w:r>
      <w:r w:rsidR="000233E5">
        <w:t>They can</w:t>
      </w:r>
      <w:r w:rsidRPr="00F35342">
        <w:t xml:space="preserve"> provide alternatives to private vehicle travel and reduce cost burdens on individuals and households, particularly those on low</w:t>
      </w:r>
      <w:r w:rsidR="000E03FB">
        <w:t xml:space="preserve"> </w:t>
      </w:r>
      <w:r w:rsidRPr="00F35342">
        <w:t>incomes. Creative ways need to be found to provide appropriate services and support to rural communities where populations are likely to decline, such as those in areas reliant on agricultural employment.</w:t>
      </w:r>
    </w:p>
    <w:p w:rsidR="007A143F" w:rsidRPr="00F24E46" w:rsidRDefault="00DA722B" w:rsidP="008B7F2D">
      <w:pPr>
        <w:pStyle w:val="btbullet"/>
        <w:rPr>
          <w:rStyle w:val="Strong"/>
          <w:b w:val="0"/>
          <w:bCs w:val="0"/>
        </w:rPr>
      </w:pPr>
      <w:r w:rsidRPr="00F24E46">
        <w:rPr>
          <w:rStyle w:val="Strong"/>
          <w:b w:val="0"/>
          <w:bCs w:val="0"/>
        </w:rPr>
        <w:t>Settlement</w:t>
      </w:r>
    </w:p>
    <w:p w:rsidR="00F24832" w:rsidRDefault="00F35342" w:rsidP="00F24E46">
      <w:pPr>
        <w:pStyle w:val="btindent"/>
      </w:pPr>
      <w:r w:rsidRPr="00F35342">
        <w:t xml:space="preserve">There is a dispersed pattern of dwellings in rural areas and many are not related to agricultural or other rural uses of the land. Efficiencies in the use of infrastructure could be achieved by directing residential growth to existing settlements. Meeting future housing demands related to increased migration to parts of the </w:t>
      </w:r>
      <w:r w:rsidR="002600BD">
        <w:t>r</w:t>
      </w:r>
      <w:r w:rsidRPr="00F35342">
        <w:t xml:space="preserve">egion, such as the Goulburn Valley and Wodonga, will require innovative </w:t>
      </w:r>
      <w:r w:rsidRPr="00F35342">
        <w:lastRenderedPageBreak/>
        <w:t>solutions. The unique character of some settlements may be at risk due to unsympathetic development. There is a need for urban renewal to revitalise central business districts and other urban areas that are ageing and attracting public and private investment fo</w:t>
      </w:r>
      <w:r w:rsidR="00F24832">
        <w:t>r such purposes is challenging.</w:t>
      </w:r>
    </w:p>
    <w:p w:rsidR="0025358B" w:rsidRDefault="00F35342" w:rsidP="00F24E46">
      <w:pPr>
        <w:pStyle w:val="btindent"/>
      </w:pPr>
      <w:r w:rsidRPr="00F35342">
        <w:t xml:space="preserve">There are dwellings located in areas </w:t>
      </w:r>
      <w:r w:rsidR="00ED7213">
        <w:t>at</w:t>
      </w:r>
      <w:r w:rsidR="00ED7213" w:rsidRPr="00F35342">
        <w:t xml:space="preserve"> </w:t>
      </w:r>
      <w:r w:rsidRPr="00F35342">
        <w:t xml:space="preserve">high </w:t>
      </w:r>
      <w:r w:rsidR="00ED7213">
        <w:t xml:space="preserve">risk from </w:t>
      </w:r>
      <w:r w:rsidRPr="00F35342">
        <w:t>natural hazard</w:t>
      </w:r>
      <w:r w:rsidR="00ED7213">
        <w:t>s</w:t>
      </w:r>
      <w:r w:rsidRPr="00F35342">
        <w:t>, generally on steeper vegetated slopes and floodplains, and demand for development in</w:t>
      </w:r>
      <w:r w:rsidR="002600BD">
        <w:t xml:space="preserve"> </w:t>
      </w:r>
      <w:r w:rsidRPr="00F35342">
        <w:t>these areas is continuing. There is pressure for development in the southern parts of the region as a result of the extension of Melbourne’s urban growth boundary to encompass towns in the southern part of</w:t>
      </w:r>
      <w:r w:rsidR="000233E5">
        <w:t xml:space="preserve"> the</w:t>
      </w:r>
      <w:r w:rsidRPr="00F35342">
        <w:t xml:space="preserve"> Mitchell Shire. Peri-urban areas surrounding regional cities are experiencing demands for rural residential uses. The extent of declared water supply catchments in the region represents a constraint on development in some areas.</w:t>
      </w:r>
      <w:r w:rsidR="003224DC">
        <w:t xml:space="preserve"> Dec</w:t>
      </w:r>
      <w:r w:rsidR="003C1AE6">
        <w:t>reasing</w:t>
      </w:r>
      <w:r w:rsidR="003224DC">
        <w:t xml:space="preserve"> rural and urban populations </w:t>
      </w:r>
      <w:r w:rsidR="0021525D">
        <w:t xml:space="preserve">in some locations </w:t>
      </w:r>
      <w:r w:rsidR="003224DC" w:rsidRPr="003224DC">
        <w:t xml:space="preserve">presents </w:t>
      </w:r>
      <w:r w:rsidR="003224DC">
        <w:t xml:space="preserve">a </w:t>
      </w:r>
      <w:r w:rsidR="003224DC" w:rsidRPr="003224DC">
        <w:t>challenge for growth</w:t>
      </w:r>
      <w:r w:rsidR="0021525D">
        <w:t xml:space="preserve">. </w:t>
      </w:r>
    </w:p>
    <w:p w:rsidR="007A143F" w:rsidRPr="00F24E46" w:rsidRDefault="00DA722B" w:rsidP="008B7F2D">
      <w:pPr>
        <w:pStyle w:val="btbullet"/>
        <w:rPr>
          <w:rStyle w:val="Strong"/>
          <w:b w:val="0"/>
          <w:bCs w:val="0"/>
        </w:rPr>
      </w:pPr>
      <w:r w:rsidRPr="00F24E46">
        <w:rPr>
          <w:rStyle w:val="Strong"/>
          <w:b w:val="0"/>
          <w:bCs w:val="0"/>
        </w:rPr>
        <w:t>Rural land use</w:t>
      </w:r>
    </w:p>
    <w:p w:rsidR="00272C61" w:rsidRDefault="00F35342" w:rsidP="00F24E46">
      <w:pPr>
        <w:pStyle w:val="btindent"/>
      </w:pPr>
      <w:r w:rsidRPr="00F35342">
        <w:t xml:space="preserve">Changing global and national economic conditions, government policy such as the </w:t>
      </w:r>
      <w:r w:rsidRPr="00B44623">
        <w:rPr>
          <w:rStyle w:val="Emphasis"/>
          <w:i w:val="0"/>
        </w:rPr>
        <w:t>Murray</w:t>
      </w:r>
      <w:r w:rsidR="00913C42" w:rsidRPr="00B44623">
        <w:rPr>
          <w:rStyle w:val="Emphasis"/>
          <w:i w:val="0"/>
        </w:rPr>
        <w:t>-</w:t>
      </w:r>
      <w:r w:rsidRPr="00B44623">
        <w:rPr>
          <w:rStyle w:val="Emphasis"/>
          <w:i w:val="0"/>
        </w:rPr>
        <w:t>Darling Basin Plan</w:t>
      </w:r>
      <w:r w:rsidRPr="00F35342">
        <w:t xml:space="preserve"> and the need to adapt to irrigation modernisation are some of the factors leading to the restructuring of some rural industries. The </w:t>
      </w:r>
      <w:r w:rsidR="00C00D74">
        <w:t>potential impacts</w:t>
      </w:r>
      <w:r w:rsidR="00C00D74" w:rsidRPr="00F35342">
        <w:t xml:space="preserve"> </w:t>
      </w:r>
      <w:r w:rsidRPr="00F35342">
        <w:t xml:space="preserve">of climate change could alter the geographic footprint of some agricultural industries in the longer term, though this is likely to be more evident beyond the 30-year timeframe of the </w:t>
      </w:r>
      <w:r w:rsidR="002600BD">
        <w:t>p</w:t>
      </w:r>
      <w:r w:rsidR="002600BD" w:rsidRPr="00F35342">
        <w:t>lan</w:t>
      </w:r>
      <w:r w:rsidRPr="00F35342">
        <w:t xml:space="preserve">. </w:t>
      </w:r>
    </w:p>
    <w:p w:rsidR="007A143F" w:rsidRDefault="00F35342" w:rsidP="00F24E46">
      <w:pPr>
        <w:pStyle w:val="btindent"/>
      </w:pPr>
      <w:r w:rsidRPr="00F35342">
        <w:t>There is community concern about food security as a result of an irreversible loss of productive farmland. Fragmentation of rural land associated with non-agricultural uses is occurring across the region, but is particularly noticeable in high amenity landscapes. It could have an impact on farm viability, landscape amenity and biodiversity resilience. Providing sufficient flexibility in the planning system to accommodate a variety of rural land uses remains a challenge.</w:t>
      </w:r>
    </w:p>
    <w:p w:rsidR="007A143F" w:rsidRPr="00F24E46" w:rsidRDefault="00DA722B" w:rsidP="008B7F2D">
      <w:pPr>
        <w:pStyle w:val="btbullet"/>
        <w:rPr>
          <w:rStyle w:val="Strong"/>
          <w:b w:val="0"/>
          <w:bCs w:val="0"/>
        </w:rPr>
      </w:pPr>
      <w:r w:rsidRPr="00F24E46">
        <w:rPr>
          <w:rStyle w:val="Strong"/>
          <w:b w:val="0"/>
          <w:bCs w:val="0"/>
        </w:rPr>
        <w:t>Transport and infrastructure</w:t>
      </w:r>
    </w:p>
    <w:p w:rsidR="007A143F" w:rsidRDefault="00682A3F" w:rsidP="00F24E46">
      <w:pPr>
        <w:pStyle w:val="btindent"/>
      </w:pPr>
      <w:r>
        <w:t>The</w:t>
      </w:r>
      <w:r w:rsidR="00F35342" w:rsidRPr="00F35342">
        <w:t xml:space="preserve"> provi</w:t>
      </w:r>
      <w:r>
        <w:t xml:space="preserve">sion of </w:t>
      </w:r>
      <w:r w:rsidR="00F35342" w:rsidRPr="00F35342">
        <w:t>effective and affordable public transport</w:t>
      </w:r>
      <w:r>
        <w:t xml:space="preserve"> is a challenge</w:t>
      </w:r>
      <w:r w:rsidR="00F35342" w:rsidRPr="00F35342">
        <w:t xml:space="preserve"> in many parts of the </w:t>
      </w:r>
      <w:r w:rsidR="002600BD">
        <w:t>r</w:t>
      </w:r>
      <w:r w:rsidR="00F35342" w:rsidRPr="00F35342">
        <w:t>egion due to the dispersed settlement pattern. Passenger rail services are limited between Melbourne and key settlements</w:t>
      </w:r>
      <w:r w:rsidR="000233E5">
        <w:t>,</w:t>
      </w:r>
      <w:r w:rsidR="00F35342" w:rsidRPr="00F35342">
        <w:t xml:space="preserve"> such as Shepparton and Wodonga. As residents </w:t>
      </w:r>
      <w:r>
        <w:t>age</w:t>
      </w:r>
      <w:r w:rsidR="00F35342" w:rsidRPr="00F35342">
        <w:t xml:space="preserve">, they may no longer be able to drive </w:t>
      </w:r>
      <w:r>
        <w:t>and</w:t>
      </w:r>
      <w:r w:rsidR="00F35342" w:rsidRPr="00F35342">
        <w:t xml:space="preserve"> their personal mobility may decline unless suitable alternatives are available. </w:t>
      </w:r>
    </w:p>
    <w:p w:rsidR="007A143F" w:rsidRDefault="00F35342" w:rsidP="00F24E46">
      <w:pPr>
        <w:pStyle w:val="btindent"/>
      </w:pPr>
      <w:r w:rsidRPr="00F35342">
        <w:t>Identifying and safeguarding routes for future major transport links will be important to ensure efficient and cost-effective movement</w:t>
      </w:r>
      <w:r w:rsidR="00682A3F">
        <w:t xml:space="preserve"> of freight. East-</w:t>
      </w:r>
      <w:r w:rsidRPr="00F35342">
        <w:t>west transport routes linking settlements within and outside the region, such as the links to Gippsland, are indirect and inefficient. Planning for and managing the impacts of increasing</w:t>
      </w:r>
      <w:r w:rsidR="00ED7213">
        <w:t xml:space="preserve"> risks from</w:t>
      </w:r>
      <w:r w:rsidRPr="00F35342">
        <w:t xml:space="preserve"> natural hazards on transport and infrastructure is expected to be an ongoing challenge for the region.</w:t>
      </w:r>
    </w:p>
    <w:p w:rsidR="009A663B" w:rsidRDefault="00F35342" w:rsidP="00F24E46">
      <w:pPr>
        <w:pStyle w:val="btindent"/>
      </w:pPr>
      <w:r w:rsidRPr="00F35342">
        <w:t>The dispersed settlement pattern also presents challenges for the efficient provision of roads and other infrastructure</w:t>
      </w:r>
      <w:r w:rsidR="000233E5">
        <w:t>,</w:t>
      </w:r>
      <w:r w:rsidRPr="00F35342">
        <w:t xml:space="preserve"> such as reticulated water supplies, schools and hospitals. Where possible, developer contributions should be applied to help deliver infrastructure in new growth areas, but negotiating these agreements is a complex process. Maintenance and renewal of ageing infrastructure also needs attention. </w:t>
      </w:r>
    </w:p>
    <w:p w:rsidR="007A143F" w:rsidRDefault="00F35342" w:rsidP="00F24E46">
      <w:pPr>
        <w:pStyle w:val="btindent"/>
      </w:pPr>
      <w:r w:rsidRPr="00F35342">
        <w:t>Some roads in the region need more frequent maintenance or upgrades as a result of increased volumes of heavy vehicle traffic, for example those associated with transport of softwood timber. Management of water and sewerage treatment plants</w:t>
      </w:r>
      <w:r w:rsidR="009C77AC">
        <w:t xml:space="preserve"> and waste management facilities</w:t>
      </w:r>
      <w:r w:rsidRPr="00F35342">
        <w:t xml:space="preserve"> within the land use planning system is a further challenge, requiring separation distances between these </w:t>
      </w:r>
      <w:r w:rsidR="009C77AC">
        <w:t>facilities</w:t>
      </w:r>
      <w:r w:rsidR="009C77AC" w:rsidRPr="00F35342">
        <w:t xml:space="preserve"> </w:t>
      </w:r>
      <w:r w:rsidRPr="00F35342">
        <w:t>and residential growth areas or other sensitive</w:t>
      </w:r>
      <w:r w:rsidR="000233E5">
        <w:t xml:space="preserve"> land</w:t>
      </w:r>
      <w:r w:rsidRPr="00F35342">
        <w:t xml:space="preserve"> uses to be established and enforced.</w:t>
      </w:r>
    </w:p>
    <w:p w:rsidR="007A143F" w:rsidRDefault="00F35342" w:rsidP="00F24E46">
      <w:pPr>
        <w:pStyle w:val="btindent"/>
      </w:pPr>
      <w:r w:rsidRPr="00F35342">
        <w:t xml:space="preserve">Other challenges associated with regional infrastructure include: </w:t>
      </w:r>
    </w:p>
    <w:p w:rsidR="007A143F" w:rsidRPr="00F24E46" w:rsidRDefault="00F35342" w:rsidP="00F24E46">
      <w:pPr>
        <w:pStyle w:val="ListBullet2"/>
      </w:pPr>
      <w:r w:rsidRPr="00F24E46">
        <w:t xml:space="preserve">meeting </w:t>
      </w:r>
      <w:r w:rsidR="000E03FB" w:rsidRPr="00F24E46">
        <w:t xml:space="preserve">the </w:t>
      </w:r>
      <w:r w:rsidRPr="00F24E46">
        <w:t>future energy needs</w:t>
      </w:r>
      <w:r w:rsidR="000E03FB" w:rsidRPr="00F24E46">
        <w:t xml:space="preserve"> of residents and industry</w:t>
      </w:r>
      <w:r w:rsidRPr="00F24E46">
        <w:t xml:space="preserve">, in view of high levels of demand resulting from wide temperature variations, </w:t>
      </w:r>
      <w:r w:rsidR="000E03FB" w:rsidRPr="00F24E46">
        <w:t xml:space="preserve">and </w:t>
      </w:r>
      <w:r w:rsidRPr="00F24E46">
        <w:t>limited acc</w:t>
      </w:r>
      <w:r w:rsidR="00682A3F" w:rsidRPr="00F24E46">
        <w:t>ess to reticulated natural gas</w:t>
      </w:r>
    </w:p>
    <w:p w:rsidR="007A143F" w:rsidRPr="00F24E46" w:rsidRDefault="00F35342" w:rsidP="00F24E46">
      <w:pPr>
        <w:pStyle w:val="ListBullet2"/>
      </w:pPr>
      <w:r w:rsidRPr="00F24E46">
        <w:t>providing high quality information and communications technology to areas outside major centr</w:t>
      </w:r>
      <w:r w:rsidR="00682A3F" w:rsidRPr="00F24E46">
        <w:t>es</w:t>
      </w:r>
    </w:p>
    <w:p w:rsidR="007A143F" w:rsidRPr="00F24E46" w:rsidRDefault="00F35342" w:rsidP="00F24E46">
      <w:pPr>
        <w:pStyle w:val="ListBullet2"/>
      </w:pPr>
      <w:r w:rsidRPr="00F24E46">
        <w:lastRenderedPageBreak/>
        <w:t>developing cost-effective waste management services and facilities, particularly in t</w:t>
      </w:r>
      <w:r w:rsidR="00682A3F" w:rsidRPr="00F24E46">
        <w:t xml:space="preserve">he northern parts of the </w:t>
      </w:r>
      <w:r w:rsidR="002600BD" w:rsidRPr="00F24E46">
        <w:t>r</w:t>
      </w:r>
      <w:r w:rsidR="00682A3F" w:rsidRPr="00F24E46">
        <w:t>egion</w:t>
      </w:r>
      <w:r w:rsidR="000B0A02" w:rsidRPr="00F24E46">
        <w:t>.</w:t>
      </w:r>
    </w:p>
    <w:p w:rsidR="007A143F" w:rsidRPr="00F24E46" w:rsidRDefault="00DA722B" w:rsidP="008B7F2D">
      <w:pPr>
        <w:pStyle w:val="btbullet"/>
        <w:rPr>
          <w:rStyle w:val="Strong"/>
          <w:b w:val="0"/>
          <w:bCs w:val="0"/>
        </w:rPr>
      </w:pPr>
      <w:r w:rsidRPr="00F24E46">
        <w:rPr>
          <w:rStyle w:val="Strong"/>
          <w:b w:val="0"/>
          <w:bCs w:val="0"/>
        </w:rPr>
        <w:t>Environmental assets and natural hazards</w:t>
      </w:r>
    </w:p>
    <w:p w:rsidR="007A143F" w:rsidRDefault="00F35342" w:rsidP="00F24E46">
      <w:pPr>
        <w:pStyle w:val="btindent"/>
      </w:pPr>
      <w:r w:rsidRPr="00F35342">
        <w:t xml:space="preserve">There has been a significant loss of native vegetation on private land and the remaining terrestrial habitat in these areas is generally in poor condition. However, some small areas of high quality habitat remain on freehold </w:t>
      </w:r>
      <w:r w:rsidR="00682A3F">
        <w:t>land. Revegetation is occurring</w:t>
      </w:r>
      <w:r w:rsidRPr="00F35342">
        <w:t xml:space="preserve"> to achieve </w:t>
      </w:r>
      <w:r w:rsidR="00682A3F">
        <w:t>better</w:t>
      </w:r>
      <w:r w:rsidRPr="00F35342">
        <w:t xml:space="preserve"> connected landscapes, but there will continue to be challenges </w:t>
      </w:r>
      <w:r w:rsidR="000E03FB">
        <w:t xml:space="preserve">for </w:t>
      </w:r>
      <w:r w:rsidRPr="00F35342">
        <w:t xml:space="preserve">protecting terrestrial habitat on private land, increasing its extent and improving its quality and resilience. Additional opportunities are emerging in this field as the region responds to </w:t>
      </w:r>
      <w:r w:rsidR="00050045" w:rsidRPr="00050045">
        <w:t>initiatives that support national and global action to reduce greenhouse gas emissions</w:t>
      </w:r>
      <w:r w:rsidR="00272C61">
        <w:t>.</w:t>
      </w:r>
      <w:r w:rsidRPr="00F35342">
        <w:t xml:space="preserve"> </w:t>
      </w:r>
    </w:p>
    <w:p w:rsidR="007A143F" w:rsidRDefault="00F35342" w:rsidP="00F24E46">
      <w:pPr>
        <w:pStyle w:val="btindent"/>
      </w:pPr>
      <w:r w:rsidRPr="00F35342">
        <w:t>There have been significant impacts on natural waterways and wetlands from changes to land use and water infrastructure. Land use planning can help minimise the effects of future changes on rivers, streams and wetlands. There is a likelihood of increased demand on groundwater supplies, potentially depleting this resource, increasing the risk of salinisation and impacting on groundwater-dependent ecosystems.</w:t>
      </w:r>
    </w:p>
    <w:p w:rsidR="007A143F" w:rsidRDefault="00F35342" w:rsidP="00F24E46">
      <w:pPr>
        <w:pStyle w:val="btindent"/>
      </w:pPr>
      <w:r w:rsidRPr="00F35342">
        <w:t xml:space="preserve">Preparing for the potential impacts of climate change and supporting communities to adapt are key considerations in planning for growth. Some economic sectors will need to respond to and seek new opportunities in a drier, warmer climate </w:t>
      </w:r>
      <w:r w:rsidR="00682A3F">
        <w:t>with</w:t>
      </w:r>
      <w:r w:rsidRPr="00F35342">
        <w:t xml:space="preserve"> reduced water availability and snow cover. Minimising future risks to life and property from natural hazards</w:t>
      </w:r>
      <w:r w:rsidR="003C1AE6">
        <w:t xml:space="preserve"> </w:t>
      </w:r>
      <w:r w:rsidR="003C1AE6" w:rsidRPr="003C1AE6">
        <w:t>(in particular bushfire and flooding)</w:t>
      </w:r>
      <w:r w:rsidRPr="00F35342">
        <w:t xml:space="preserve"> could constrain development in some areas and impact on existing rural and urban settlements.</w:t>
      </w:r>
    </w:p>
    <w:p w:rsidR="007A143F" w:rsidRPr="00F24E46" w:rsidRDefault="00DA722B" w:rsidP="008B7F2D">
      <w:pPr>
        <w:pStyle w:val="btbullet"/>
        <w:rPr>
          <w:rStyle w:val="Strong"/>
          <w:b w:val="0"/>
          <w:bCs w:val="0"/>
        </w:rPr>
      </w:pPr>
      <w:r w:rsidRPr="00F24E46">
        <w:rPr>
          <w:rStyle w:val="Strong"/>
          <w:b w:val="0"/>
          <w:bCs w:val="0"/>
        </w:rPr>
        <w:t>Economy</w:t>
      </w:r>
    </w:p>
    <w:p w:rsidR="00272C61" w:rsidRDefault="00F35342" w:rsidP="00F24E46">
      <w:pPr>
        <w:pStyle w:val="btindent"/>
      </w:pPr>
      <w:r w:rsidRPr="00F35342">
        <w:t xml:space="preserve">The </w:t>
      </w:r>
      <w:r w:rsidR="0012687C">
        <w:t>r</w:t>
      </w:r>
      <w:r w:rsidRPr="00F35342">
        <w:t xml:space="preserve">egion’s economy is relatively diverse when compared to other </w:t>
      </w:r>
      <w:r w:rsidR="000E03FB">
        <w:t xml:space="preserve">Victorian </w:t>
      </w:r>
      <w:r w:rsidRPr="00F35342">
        <w:t>regions. Some areas such as Wodonga have parti</w:t>
      </w:r>
      <w:r w:rsidR="00682A3F">
        <w:t>cularly diverse local economies</w:t>
      </w:r>
      <w:r w:rsidR="000E03FB">
        <w:t>. H</w:t>
      </w:r>
      <w:r w:rsidRPr="00F35342">
        <w:t xml:space="preserve">owever, there is still a strong reliance in many parts of the region on specific economic sectors such as agriculture and manufacturing. When these </w:t>
      </w:r>
      <w:r w:rsidR="00682A3F">
        <w:t>sectors</w:t>
      </w:r>
      <w:r w:rsidRPr="00F35342">
        <w:t xml:space="preserve"> experience downturns, communities are at risk of income fluctuations and economic vulnerability. Further diversification of the economy is a key challenge for the future.</w:t>
      </w:r>
      <w:r w:rsidRPr="00F35342" w:rsidDel="006A21E4">
        <w:t xml:space="preserve"> </w:t>
      </w:r>
    </w:p>
    <w:p w:rsidR="009A663B" w:rsidRDefault="00F35342" w:rsidP="00F24E46">
      <w:pPr>
        <w:pStyle w:val="btindent"/>
      </w:pPr>
      <w:r w:rsidRPr="00F35342">
        <w:t>Additional appropriately zoned and serviced land for industrial use may need to be provided in some locations. Workforce sustainability is a concern to many employers, given the ageing of the existing workforce and the difficulty of finding appropriate replacements. This is exacerbated by the growing need for skilled workers. There are social and economic costs associated with long distance commuting.</w:t>
      </w:r>
    </w:p>
    <w:p w:rsidR="007A143F" w:rsidRDefault="00F35342" w:rsidP="00F24E46">
      <w:pPr>
        <w:pStyle w:val="btindent"/>
      </w:pPr>
      <w:r w:rsidRPr="00F35342">
        <w:t xml:space="preserve">Additional challenges for the regional economy include: </w:t>
      </w:r>
    </w:p>
    <w:p w:rsidR="007A143F" w:rsidRDefault="00F35342" w:rsidP="00F24E46">
      <w:pPr>
        <w:pStyle w:val="ListBullet"/>
      </w:pPr>
      <w:r w:rsidRPr="00682A3F">
        <w:t xml:space="preserve">the impact of the changing retail environment, with the growing preference for online shopping; </w:t>
      </w:r>
      <w:r w:rsidR="00C5789D">
        <w:t xml:space="preserve">and </w:t>
      </w:r>
      <w:r w:rsidRPr="00682A3F">
        <w:t>the effect of out-of-centre retail activity on central business districts and town centres</w:t>
      </w:r>
    </w:p>
    <w:p w:rsidR="007A143F" w:rsidRDefault="00F35342" w:rsidP="00F24E46">
      <w:pPr>
        <w:pStyle w:val="ListBullet"/>
      </w:pPr>
      <w:r w:rsidRPr="00682A3F">
        <w:t>water security</w:t>
      </w:r>
    </w:p>
    <w:p w:rsidR="007A143F" w:rsidRDefault="00F35342" w:rsidP="00F24E46">
      <w:pPr>
        <w:pStyle w:val="ListBullet"/>
      </w:pPr>
      <w:r w:rsidRPr="00682A3F">
        <w:t>the consequences for agricultural industries of the implementation of the</w:t>
      </w:r>
      <w:r w:rsidRPr="00B44623">
        <w:rPr>
          <w:rStyle w:val="Emphasis"/>
          <w:i w:val="0"/>
        </w:rPr>
        <w:t xml:space="preserve"> Murray</w:t>
      </w:r>
      <w:r w:rsidR="00682A3F" w:rsidRPr="00B44623">
        <w:rPr>
          <w:rStyle w:val="Emphasis"/>
          <w:i w:val="0"/>
        </w:rPr>
        <w:t>-</w:t>
      </w:r>
      <w:r w:rsidRPr="00B44623">
        <w:rPr>
          <w:rStyle w:val="Emphasis"/>
          <w:i w:val="0"/>
        </w:rPr>
        <w:t>Darling Basin Plan</w:t>
      </w:r>
      <w:r w:rsidRPr="00682A3F">
        <w:t xml:space="preserve"> and irr</w:t>
      </w:r>
      <w:r w:rsidR="00682A3F" w:rsidRPr="00682A3F">
        <w:t>igation modernisation projects</w:t>
      </w:r>
    </w:p>
    <w:p w:rsidR="007A143F" w:rsidRDefault="00F35342" w:rsidP="00F24E46">
      <w:pPr>
        <w:pStyle w:val="ListBullet"/>
      </w:pPr>
      <w:r w:rsidRPr="00682A3F">
        <w:t>renewing ageing infrastructure</w:t>
      </w:r>
    </w:p>
    <w:p w:rsidR="007A143F" w:rsidRDefault="00F35342" w:rsidP="00F24E46">
      <w:pPr>
        <w:pStyle w:val="ListBullet"/>
      </w:pPr>
      <w:r w:rsidRPr="00682A3F">
        <w:t>increasing access to high quality information and communications technology</w:t>
      </w:r>
    </w:p>
    <w:p w:rsidR="008B7F2D" w:rsidRDefault="00F35342" w:rsidP="00F24E46">
      <w:pPr>
        <w:pStyle w:val="ListBullet"/>
      </w:pPr>
      <w:r w:rsidRPr="00682A3F">
        <w:t>overcoming constraints to establish</w:t>
      </w:r>
      <w:r w:rsidR="00682A3F">
        <w:t xml:space="preserve"> </w:t>
      </w:r>
      <w:r w:rsidRPr="00682A3F">
        <w:t>renewable energy supplies.</w:t>
      </w:r>
    </w:p>
    <w:p w:rsidR="008B7F2D" w:rsidRDefault="008B7F2D">
      <w:pPr>
        <w:rPr>
          <w:rFonts w:ascii="Calibri" w:eastAsia="Times New Roman" w:hAnsi="Calibri" w:cs="Times New Roman"/>
          <w:szCs w:val="24"/>
        </w:rPr>
      </w:pPr>
      <w:r>
        <w:br w:type="page"/>
      </w:r>
    </w:p>
    <w:p w:rsidR="007A143F" w:rsidRPr="00BA1934" w:rsidRDefault="00BA1934" w:rsidP="00BA1934">
      <w:pPr>
        <w:pStyle w:val="Heading1"/>
      </w:pPr>
      <w:bookmarkStart w:id="164" w:name="_Toc355970770"/>
      <w:bookmarkStart w:id="165" w:name="_Toc359422951"/>
      <w:bookmarkStart w:id="166" w:name="_Toc374612452"/>
      <w:bookmarkStart w:id="167" w:name="_Toc336871220"/>
      <w:bookmarkEnd w:id="111"/>
      <w:r w:rsidRPr="00BA1934">
        <w:lastRenderedPageBreak/>
        <w:t>PART C:</w:t>
      </w:r>
      <w:r w:rsidRPr="00BA1934">
        <w:tab/>
      </w:r>
      <w:r w:rsidR="00B6161D" w:rsidRPr="00BA1934">
        <w:t>T</w:t>
      </w:r>
      <w:r w:rsidR="00DA722B" w:rsidRPr="00BA1934">
        <w:t>HEMATIC OVERVIEW AND FUTURE CONSIDERATIONS</w:t>
      </w:r>
      <w:bookmarkEnd w:id="164"/>
      <w:bookmarkEnd w:id="165"/>
      <w:bookmarkEnd w:id="166"/>
    </w:p>
    <w:p w:rsidR="00B6161D" w:rsidRPr="00204278" w:rsidRDefault="00DA722B" w:rsidP="00204278">
      <w:pPr>
        <w:pStyle w:val="Heading11"/>
      </w:pPr>
      <w:bookmarkStart w:id="168" w:name="_Toc355970771"/>
      <w:bookmarkStart w:id="169" w:name="_Toc359422952"/>
      <w:bookmarkStart w:id="170" w:name="_Toc374612453"/>
      <w:r w:rsidRPr="00DA722B">
        <w:t>Urban settlement</w:t>
      </w:r>
      <w:bookmarkEnd w:id="167"/>
      <w:bookmarkEnd w:id="168"/>
      <w:bookmarkEnd w:id="169"/>
      <w:bookmarkEnd w:id="170"/>
    </w:p>
    <w:p w:rsidR="001E6B61" w:rsidRDefault="00DA722B" w:rsidP="00A41B2E">
      <w:pPr>
        <w:pStyle w:val="Heading2"/>
        <w:numPr>
          <w:ilvl w:val="1"/>
          <w:numId w:val="25"/>
        </w:numPr>
        <w:tabs>
          <w:tab w:val="clear" w:pos="396"/>
        </w:tabs>
        <w:ind w:left="567"/>
      </w:pPr>
      <w:bookmarkStart w:id="171" w:name="_Toc336871221"/>
      <w:bookmarkStart w:id="172" w:name="_Toc355970772"/>
      <w:bookmarkStart w:id="173" w:name="_Toc359422953"/>
      <w:bookmarkStart w:id="174" w:name="_Toc374612454"/>
      <w:r w:rsidRPr="00DA722B">
        <w:t>Overview</w:t>
      </w:r>
      <w:bookmarkEnd w:id="171"/>
      <w:bookmarkEnd w:id="172"/>
      <w:bookmarkEnd w:id="173"/>
      <w:bookmarkEnd w:id="174"/>
    </w:p>
    <w:p w:rsidR="007A143F" w:rsidRDefault="00E96DE7">
      <w:pPr>
        <w:pStyle w:val="bt"/>
      </w:pPr>
      <w:r w:rsidRPr="00E96DE7">
        <w:t>In the Hume Region, the distribution of settlements is influenced by varying patterns of geography, history, water availability and climate. In the 1840s the location of population centres was determined by the expansion of agricultural activity, with settlements established at convenient points along transport routes to service extensive hinterlands. The discovery of gold in the mid</w:t>
      </w:r>
      <w:r w:rsidR="009D59C6">
        <w:t>-</w:t>
      </w:r>
      <w:r w:rsidRPr="00E96DE7">
        <w:t>19th century fuelled rapid growth in both the population and the economy. Much of today’s settlement pattern, including townships, roads and allotment boundaries was in place by 1900.</w:t>
      </w:r>
    </w:p>
    <w:p w:rsidR="007A143F" w:rsidRDefault="00E96DE7">
      <w:pPr>
        <w:pStyle w:val="bt"/>
      </w:pPr>
      <w:r w:rsidRPr="00E96DE7">
        <w:t xml:space="preserve">The urban settlement pattern in the </w:t>
      </w:r>
      <w:r w:rsidR="004149BA">
        <w:t>r</w:t>
      </w:r>
      <w:r w:rsidRPr="00E96DE7">
        <w:t>egion was an important consideration in developing the Hume Strategy. The characteristics of 115 settlements were assessed against a number of social, economic and environmental criteria in order to measure the relative ability of each settlement to accommodate future growth and development in a sustainable manner. The results are reflected in the Hume Strategy, in the following comments:</w:t>
      </w:r>
    </w:p>
    <w:p w:rsidR="007A143F" w:rsidRDefault="007A5C2A">
      <w:pPr>
        <w:pStyle w:val="btindent"/>
        <w:rPr>
          <w:rStyle w:val="Emphasis"/>
        </w:rPr>
      </w:pPr>
      <w:r>
        <w:rPr>
          <w:rStyle w:val="Emphasis"/>
        </w:rPr>
        <w:t>“</w:t>
      </w:r>
      <w:r w:rsidR="00DA722B" w:rsidRPr="00DA722B">
        <w:rPr>
          <w:rStyle w:val="Emphasis"/>
        </w:rPr>
        <w:t>The Hume Region is comprised of four distinct and inter-connected sub</w:t>
      </w:r>
      <w:r w:rsidR="000233E5">
        <w:rPr>
          <w:rStyle w:val="Emphasis"/>
        </w:rPr>
        <w:t>-</w:t>
      </w:r>
      <w:r w:rsidR="00DA722B" w:rsidRPr="00DA722B">
        <w:rPr>
          <w:rStyle w:val="Emphasis"/>
        </w:rPr>
        <w:t>regions. The region is characterised by a network of high functioning regional cities and centres located along major transport routes which support and are supported by a network of district towns, towns and villages. Unlike other regions in provincial Victoria there is no single dominant major regional city in the Hume Region.</w:t>
      </w:r>
      <w:r>
        <w:rPr>
          <w:rStyle w:val="Emphasis"/>
        </w:rPr>
        <w:t>”</w:t>
      </w:r>
    </w:p>
    <w:p w:rsidR="007A143F" w:rsidRDefault="00E96DE7">
      <w:pPr>
        <w:pStyle w:val="bt"/>
      </w:pPr>
      <w:r w:rsidRPr="00E96DE7">
        <w:t>The Hume Strategy aims for sustainable growth and development of the region and underlines the importance of making the best use of the region’s existing assets</w:t>
      </w:r>
      <w:r w:rsidR="000233E5">
        <w:t>,</w:t>
      </w:r>
      <w:r w:rsidRPr="00E96DE7">
        <w:t xml:space="preserve"> such as physical and social infrastructure and services. Shepparton, Wodonga, Wangaratta and Benalla, as the largest settlements, have the widest range of services and facilities and act as focal points for surrounding communities. The settlement pattern is a major strength of the region as are the four relatively self-contained </w:t>
      </w:r>
      <w:r w:rsidR="00EB6ABC">
        <w:t>sub-</w:t>
      </w:r>
      <w:r w:rsidR="00DA46DA">
        <w:t>region</w:t>
      </w:r>
      <w:r w:rsidRPr="00E96DE7">
        <w:t xml:space="preserve">s of Central Hume, Goulburn Valley, Lower Hume and </w:t>
      </w:r>
      <w:r w:rsidRPr="00226D34">
        <w:t>Upper Hume (</w:t>
      </w:r>
      <w:r w:rsidR="00827E2D">
        <w:fldChar w:fldCharType="begin"/>
      </w:r>
      <w:r w:rsidR="00827E2D">
        <w:instrText xml:space="preserve"> REF _Ref348349307 \h  \* MERGEFORMAT </w:instrText>
      </w:r>
      <w:r w:rsidR="00827E2D">
        <w:fldChar w:fldCharType="separate"/>
      </w:r>
      <w:r w:rsidR="009034D4" w:rsidRPr="00DF6019">
        <w:t xml:space="preserve">Figure </w:t>
      </w:r>
      <w:r w:rsidR="009034D4">
        <w:t>9</w:t>
      </w:r>
      <w:r w:rsidR="00827E2D">
        <w:fldChar w:fldCharType="end"/>
      </w:r>
      <w:r w:rsidRPr="00226D34">
        <w:t xml:space="preserve">). </w:t>
      </w:r>
    </w:p>
    <w:p w:rsidR="0012687C" w:rsidRPr="009A663B" w:rsidRDefault="007536C0" w:rsidP="009A663B">
      <w:pPr>
        <w:pStyle w:val="bt"/>
        <w:rPr>
          <w:rStyle w:val="Emphasis"/>
          <w:i w:val="0"/>
          <w:iCs w:val="0"/>
        </w:rPr>
      </w:pPr>
      <w:r w:rsidRPr="009A663B">
        <w:rPr>
          <w:rStyle w:val="Emphasis"/>
          <w:i w:val="0"/>
          <w:iCs w:val="0"/>
        </w:rPr>
        <w:t>The state government provides leadership in delivering place-based and integrated approaches to government investment, planning and policy, focusing on 10 regional cities across the state. These include Shepparton, Wodonga and Wangaratta. The Melbourne metropolitan area is expected to grow into the region to include towns such as Beveridge and Wallan. Planning for this growth is being undertaken as part of the ongoing metropolitan planning process. This extended metropolitan area will have an impact on the region, possibly leading to pressure for development in urban and rural locations in Mitchell Shire but outside Melbourne’s urban growth boundary.</w:t>
      </w:r>
    </w:p>
    <w:p w:rsidR="00EE68DF" w:rsidRDefault="0012687C" w:rsidP="0012687C">
      <w:pPr>
        <w:pStyle w:val="bt"/>
        <w:rPr>
          <w:szCs w:val="20"/>
        </w:rPr>
        <w:sectPr w:rsidR="00EE68DF" w:rsidSect="009075F4">
          <w:pgSz w:w="11906" w:h="16838"/>
          <w:pgMar w:top="1530" w:right="1440" w:bottom="993" w:left="1440" w:header="708" w:footer="708" w:gutter="0"/>
          <w:cols w:space="708"/>
          <w:docGrid w:linePitch="360"/>
        </w:sectPr>
      </w:pPr>
      <w:r w:rsidRPr="00204278">
        <w:rPr>
          <w:szCs w:val="20"/>
        </w:rPr>
        <w:t>A recent national study considered the likely impacts of climate change on Australia’s country towns to the year 2050. It identified c</w:t>
      </w:r>
      <w:r w:rsidRPr="00DA722B">
        <w:rPr>
          <w:szCs w:val="20"/>
        </w:rPr>
        <w:t xml:space="preserve">hallenges for a few specific settlements in the </w:t>
      </w:r>
      <w:r>
        <w:rPr>
          <w:szCs w:val="20"/>
        </w:rPr>
        <w:t>r</w:t>
      </w:r>
      <w:r w:rsidRPr="00DA722B">
        <w:rPr>
          <w:szCs w:val="20"/>
        </w:rPr>
        <w:t>egion but also contained some encouraging news for rural production.</w:t>
      </w:r>
    </w:p>
    <w:p w:rsidR="005D0A03" w:rsidRDefault="00C23328" w:rsidP="008B6BB2">
      <w:pPr>
        <w:pStyle w:val="Caption"/>
        <w:ind w:left="142"/>
      </w:pPr>
      <w:bookmarkStart w:id="175" w:name="_Ref348349307"/>
      <w:bookmarkStart w:id="176" w:name="_Toc374612534"/>
      <w:r w:rsidRPr="00DF6019">
        <w:lastRenderedPageBreak/>
        <w:t xml:space="preserve">Figure </w:t>
      </w:r>
      <w:r w:rsidR="00827E2D">
        <w:fldChar w:fldCharType="begin"/>
      </w:r>
      <w:r w:rsidR="00827E2D">
        <w:instrText xml:space="preserve"> SEQ Figure \* ARABIC </w:instrText>
      </w:r>
      <w:r w:rsidR="00827E2D">
        <w:fldChar w:fldCharType="separate"/>
      </w:r>
      <w:r w:rsidR="009034D4">
        <w:rPr>
          <w:noProof/>
        </w:rPr>
        <w:t>9</w:t>
      </w:r>
      <w:r w:rsidR="00827E2D">
        <w:rPr>
          <w:noProof/>
        </w:rPr>
        <w:fldChar w:fldCharType="end"/>
      </w:r>
      <w:bookmarkEnd w:id="175"/>
      <w:r w:rsidR="007536C0" w:rsidRPr="007536C0">
        <w:t xml:space="preserve">: Existing urban settlement network – Hume </w:t>
      </w:r>
      <w:r w:rsidR="00272C61">
        <w:t>r</w:t>
      </w:r>
      <w:r w:rsidR="007536C0" w:rsidRPr="007536C0">
        <w:t>egion</w:t>
      </w:r>
      <w:bookmarkEnd w:id="176"/>
    </w:p>
    <w:p w:rsidR="007D1E72" w:rsidRPr="007D1E72" w:rsidRDefault="007D1E72" w:rsidP="007D1E72">
      <w:pPr>
        <w:pStyle w:val="bt"/>
      </w:pPr>
      <w:r>
        <w:t>[</w:t>
      </w:r>
      <w:r w:rsidRPr="007D1E72">
        <w:t>Map showing existing urban settlement network in the Hume region</w:t>
      </w:r>
      <w:r>
        <w:t>]</w:t>
      </w:r>
    </w:p>
    <w:p w:rsidR="009026F6" w:rsidRDefault="008B6BB2" w:rsidP="0061220F">
      <w:pPr>
        <w:pStyle w:val="source"/>
        <w:sectPr w:rsidR="009026F6" w:rsidSect="009026F6">
          <w:pgSz w:w="16838" w:h="11906" w:orient="landscape"/>
          <w:pgMar w:top="1440" w:right="1702" w:bottom="993" w:left="993" w:header="708" w:footer="708" w:gutter="0"/>
          <w:cols w:space="708"/>
          <w:docGrid w:linePitch="360"/>
        </w:sectPr>
      </w:pPr>
      <w:r w:rsidRPr="00B477BF">
        <w:t xml:space="preserve">Source: </w:t>
      </w:r>
      <w:r w:rsidR="00503EB2" w:rsidRPr="00B477BF">
        <w:t xml:space="preserve">Department of </w:t>
      </w:r>
      <w:r w:rsidR="000327E7">
        <w:t xml:space="preserve">Transport, </w:t>
      </w:r>
      <w:r w:rsidR="00503EB2" w:rsidRPr="00B477BF">
        <w:t xml:space="preserve">Planning and </w:t>
      </w:r>
      <w:r w:rsidR="000327E7">
        <w:t>Local Infrastructure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242"/>
      </w:tblGrid>
      <w:tr w:rsidR="006376FC" w:rsidTr="00A41B2E">
        <w:trPr>
          <w:cantSplit/>
        </w:trPr>
        <w:tc>
          <w:tcPr>
            <w:tcW w:w="9242" w:type="dxa"/>
            <w:shd w:val="clear" w:color="auto" w:fill="BFBFBF" w:themeFill="background1" w:themeFillShade="BF"/>
          </w:tcPr>
          <w:p w:rsidR="006376FC" w:rsidRPr="00E734B0" w:rsidRDefault="006376FC" w:rsidP="00241D4B">
            <w:pPr>
              <w:pStyle w:val="bt"/>
              <w:spacing w:before="0" w:after="0"/>
              <w:rPr>
                <w:rStyle w:val="Strong"/>
              </w:rPr>
            </w:pPr>
            <w:r w:rsidRPr="00E734B0">
              <w:rPr>
                <w:rStyle w:val="Strong"/>
              </w:rPr>
              <w:lastRenderedPageBreak/>
              <w:t>Australia’s Country Towns 2050: what will a climate adapted settlement pattern look like? – Preliminary Report (2012)</w:t>
            </w:r>
          </w:p>
          <w:p w:rsidR="006376FC" w:rsidRDefault="006376FC" w:rsidP="006376FC">
            <w:pPr>
              <w:pStyle w:val="bt"/>
              <w:spacing w:before="120" w:after="120"/>
              <w:rPr>
                <w:szCs w:val="20"/>
              </w:rPr>
            </w:pPr>
            <w:r>
              <w:rPr>
                <w:szCs w:val="20"/>
              </w:rPr>
              <w:t>This report considered</w:t>
            </w:r>
            <w:r w:rsidRPr="001A48F7">
              <w:rPr>
                <w:szCs w:val="20"/>
              </w:rPr>
              <w:t xml:space="preserve"> the impact of climate change on Australia’s country towns out to the year 2050 and the capacity of this component of Australia’s settlement system to adapt. Its findings include</w:t>
            </w:r>
            <w:r>
              <w:rPr>
                <w:szCs w:val="20"/>
              </w:rPr>
              <w:t>d</w:t>
            </w:r>
            <w:r w:rsidRPr="001A48F7">
              <w:rPr>
                <w:szCs w:val="20"/>
              </w:rPr>
              <w:t>:</w:t>
            </w:r>
          </w:p>
          <w:p w:rsidR="006376FC" w:rsidRDefault="006376FC" w:rsidP="006376FC">
            <w:pPr>
              <w:pStyle w:val="ListBullet"/>
            </w:pPr>
            <w:r w:rsidRPr="001A48F7">
              <w:t>climate change will have mixed impacts on rural and regional industries and some industries that might be considered at risk are likely to thrive, at least in the short term. Adverse events, including major weather events, may have an impact on the viability of these industries but in many instances new technologies and management strategies will</w:t>
            </w:r>
            <w:r>
              <w:t xml:space="preserve"> assist the adjustment process</w:t>
            </w:r>
          </w:p>
          <w:p w:rsidR="006376FC" w:rsidRDefault="006376FC" w:rsidP="006376FC">
            <w:pPr>
              <w:pStyle w:val="ListBullet"/>
            </w:pPr>
            <w:r w:rsidRPr="001A48F7">
              <w:t xml:space="preserve">remote inland settlements, such as </w:t>
            </w:r>
            <w:r>
              <w:t>Aboriginal</w:t>
            </w:r>
            <w:r w:rsidRPr="001A48F7">
              <w:t xml:space="preserve"> communities, are most at risk in a cli</w:t>
            </w:r>
            <w:r>
              <w:t>mate-change affected Australia</w:t>
            </w:r>
          </w:p>
          <w:p w:rsidR="006376FC" w:rsidRDefault="006376FC" w:rsidP="006376FC">
            <w:pPr>
              <w:pStyle w:val="ListBullet"/>
            </w:pPr>
            <w:r w:rsidRPr="001A48F7">
              <w:t>many parts of the established cropping lands in the south</w:t>
            </w:r>
            <w:r>
              <w:t>-</w:t>
            </w:r>
            <w:r w:rsidRPr="001A48F7">
              <w:t>east of Australia appear to face a relatively muted risk</w:t>
            </w:r>
          </w:p>
          <w:p w:rsidR="006376FC" w:rsidRDefault="006376FC" w:rsidP="006376FC">
            <w:pPr>
              <w:pStyle w:val="ListBullet"/>
            </w:pPr>
            <w:r w:rsidRPr="001A48F7">
              <w:t>the least vulnerable inland centres tend to be located close to the capitals or larger settlements with diverse economies, such as Bendigo</w:t>
            </w:r>
          </w:p>
          <w:p w:rsidR="006376FC" w:rsidRPr="009026F6" w:rsidRDefault="006376FC" w:rsidP="006376FC">
            <w:pPr>
              <w:pStyle w:val="ListBullet"/>
              <w:rPr>
                <w:b/>
                <w:bCs/>
              </w:rPr>
            </w:pPr>
            <w:r>
              <w:t>Corryong, Dinner Plain and Tawonga were identified as being amongst the 20 most vulnerable settlements in Victoria, on the basis of projected increases in mean temperatures and reductions in annual average rainfall</w:t>
            </w:r>
            <w:r w:rsidRPr="001A48F7">
              <w:t>.</w:t>
            </w:r>
          </w:p>
          <w:p w:rsidR="009026F6" w:rsidRDefault="009026F6" w:rsidP="009026F6">
            <w:pPr>
              <w:pStyle w:val="ListBullet"/>
              <w:numPr>
                <w:ilvl w:val="0"/>
                <w:numId w:val="0"/>
              </w:numPr>
              <w:ind w:left="1630"/>
              <w:rPr>
                <w:rStyle w:val="Strong"/>
              </w:rPr>
            </w:pPr>
          </w:p>
        </w:tc>
      </w:tr>
    </w:tbl>
    <w:p w:rsidR="007A143F" w:rsidRDefault="00E1404C" w:rsidP="0099031F">
      <w:pPr>
        <w:pStyle w:val="Heading2"/>
        <w:tabs>
          <w:tab w:val="clear" w:pos="396"/>
        </w:tabs>
        <w:ind w:left="567"/>
      </w:pPr>
      <w:bookmarkStart w:id="177" w:name="_Toc355970773"/>
      <w:bookmarkStart w:id="178" w:name="_Toc359422954"/>
      <w:bookmarkStart w:id="179" w:name="_Toc374612455"/>
      <w:r w:rsidRPr="00204278">
        <w:t xml:space="preserve">Guiding </w:t>
      </w:r>
      <w:r w:rsidR="009D59C6" w:rsidRPr="00204278">
        <w:t>f</w:t>
      </w:r>
      <w:r w:rsidR="00DA722B" w:rsidRPr="00DA722B">
        <w:t>uture urban settlement in the region</w:t>
      </w:r>
      <w:bookmarkEnd w:id="177"/>
      <w:bookmarkEnd w:id="178"/>
      <w:bookmarkEnd w:id="179"/>
    </w:p>
    <w:p w:rsidR="007A143F" w:rsidRDefault="005D1133" w:rsidP="00E770E1">
      <w:pPr>
        <w:pStyle w:val="bt"/>
        <w:spacing w:after="0"/>
      </w:pPr>
      <w:r w:rsidRPr="005D1133">
        <w:t xml:space="preserve">Planning for future urban growth in the Hume Region will build on the strengths of existing settlement by supporting and developing the network of settlements. The </w:t>
      </w:r>
      <w:r w:rsidR="00A04CA9">
        <w:t>p</w:t>
      </w:r>
      <w:r w:rsidR="00A04CA9" w:rsidRPr="005D1133">
        <w:t xml:space="preserve">lan </w:t>
      </w:r>
      <w:r w:rsidRPr="005D1133">
        <w:t xml:space="preserve">adopts </w:t>
      </w:r>
      <w:r w:rsidR="00317007">
        <w:t xml:space="preserve">an </w:t>
      </w:r>
      <w:r w:rsidRPr="005D1133">
        <w:t>approach that:</w:t>
      </w:r>
    </w:p>
    <w:p w:rsidR="007A143F" w:rsidRDefault="006E5A2D" w:rsidP="001A3FCF">
      <w:pPr>
        <w:pStyle w:val="ListBullet"/>
      </w:pPr>
      <w:r w:rsidRPr="005D1133">
        <w:t>aligns with the strategic intent of the Hume Strategy</w:t>
      </w:r>
    </w:p>
    <w:p w:rsidR="007A143F" w:rsidRDefault="005D1133" w:rsidP="001A3FCF">
      <w:pPr>
        <w:pStyle w:val="ListBullet"/>
      </w:pPr>
      <w:r w:rsidRPr="005D1133">
        <w:t xml:space="preserve">helps ensure existing infrastructure and services </w:t>
      </w:r>
      <w:r w:rsidR="00317007">
        <w:t>are</w:t>
      </w:r>
      <w:r w:rsidRPr="005D1133">
        <w:t xml:space="preserve"> used efficiently</w:t>
      </w:r>
    </w:p>
    <w:p w:rsidR="007A143F" w:rsidRDefault="005D1133" w:rsidP="001A3FCF">
      <w:pPr>
        <w:pStyle w:val="ListBullet"/>
      </w:pPr>
      <w:r w:rsidRPr="005D1133">
        <w:t>recognises the capacity of particular urban locations to accommodate growth</w:t>
      </w:r>
    </w:p>
    <w:p w:rsidR="007A143F" w:rsidRDefault="005D1133" w:rsidP="001A3FCF">
      <w:pPr>
        <w:pStyle w:val="ListBullet"/>
      </w:pPr>
      <w:r w:rsidRPr="005D1133">
        <w:t>accommodate</w:t>
      </w:r>
      <w:r w:rsidR="00317007">
        <w:t>s</w:t>
      </w:r>
      <w:r w:rsidRPr="005D1133">
        <w:t xml:space="preserve"> expected future population growth in a sustainable and efficient manner</w:t>
      </w:r>
    </w:p>
    <w:p w:rsidR="007A143F" w:rsidRDefault="005D1133" w:rsidP="001A3FCF">
      <w:pPr>
        <w:pStyle w:val="ListBullet"/>
      </w:pPr>
      <w:r w:rsidRPr="005D1133">
        <w:t>enables consideration of potential natural hazards when expansion and growth is proposed.</w:t>
      </w:r>
    </w:p>
    <w:p w:rsidR="009026F6" w:rsidRDefault="005D1133">
      <w:pPr>
        <w:pStyle w:val="bt"/>
        <w:sectPr w:rsidR="009026F6" w:rsidSect="009075F4">
          <w:pgSz w:w="11906" w:h="16838"/>
          <w:pgMar w:top="1530" w:right="1440" w:bottom="993" w:left="1440" w:header="708" w:footer="708" w:gutter="0"/>
          <w:cols w:space="708"/>
          <w:docGrid w:linePitch="360"/>
        </w:sectPr>
      </w:pPr>
      <w:r w:rsidRPr="005D1133">
        <w:t xml:space="preserve">Projections of population growth between 2011 and 2031 have been prepared on the basis of Statistical Local Areas, which are geographical areas of a scale below local </w:t>
      </w:r>
      <w:r w:rsidRPr="00226D34">
        <w:t>government areas (</w:t>
      </w:r>
      <w:r w:rsidR="00827E2D">
        <w:fldChar w:fldCharType="begin"/>
      </w:r>
      <w:r w:rsidR="00827E2D">
        <w:instrText xml:space="preserve"> REF _Ref348349355 \h  \* MERGEFORMAT </w:instrText>
      </w:r>
      <w:r w:rsidR="00827E2D">
        <w:fldChar w:fldCharType="separate"/>
      </w:r>
      <w:r w:rsidR="009034D4" w:rsidRPr="00A271DF">
        <w:t xml:space="preserve">Figure </w:t>
      </w:r>
      <w:r w:rsidR="009034D4">
        <w:rPr>
          <w:noProof/>
        </w:rPr>
        <w:t>10</w:t>
      </w:r>
      <w:r w:rsidR="00827E2D">
        <w:fldChar w:fldCharType="end"/>
      </w:r>
      <w:r w:rsidRPr="00226D34">
        <w:t>). The</w:t>
      </w:r>
      <w:r w:rsidRPr="005D1133">
        <w:t xml:space="preserve"> projections indicate that most of the growth is expected to occur in </w:t>
      </w:r>
      <w:r w:rsidR="00272C61" w:rsidRPr="005D1133">
        <w:t>S</w:t>
      </w:r>
      <w:r w:rsidR="00272C61">
        <w:t>tatistical Local Area</w:t>
      </w:r>
      <w:r w:rsidR="00272C61" w:rsidRPr="005D1133">
        <w:t xml:space="preserve">s </w:t>
      </w:r>
      <w:r w:rsidRPr="005D1133">
        <w:t xml:space="preserve">that have large urban centres and in those where land </w:t>
      </w:r>
      <w:r w:rsidR="00317007">
        <w:t>has</w:t>
      </w:r>
      <w:r w:rsidRPr="005D1133">
        <w:t xml:space="preserve"> been included in Melbourne’s urban growth boundary.</w:t>
      </w:r>
    </w:p>
    <w:p w:rsidR="002445CA" w:rsidRDefault="00C23328" w:rsidP="00B06C89">
      <w:pPr>
        <w:pStyle w:val="Caption"/>
      </w:pPr>
      <w:bookmarkStart w:id="180" w:name="_Ref348349355"/>
      <w:bookmarkStart w:id="181" w:name="_Toc374612535"/>
      <w:r w:rsidRPr="00A271DF">
        <w:lastRenderedPageBreak/>
        <w:t xml:space="preserve">Figure </w:t>
      </w:r>
      <w:r w:rsidR="00827E2D">
        <w:fldChar w:fldCharType="begin"/>
      </w:r>
      <w:r w:rsidR="00827E2D">
        <w:instrText xml:space="preserve"> SEQ Figure \* ARABIC </w:instrText>
      </w:r>
      <w:r w:rsidR="00827E2D">
        <w:fldChar w:fldCharType="separate"/>
      </w:r>
      <w:r w:rsidR="009034D4">
        <w:rPr>
          <w:noProof/>
        </w:rPr>
        <w:t>10</w:t>
      </w:r>
      <w:r w:rsidR="00827E2D">
        <w:rPr>
          <w:noProof/>
        </w:rPr>
        <w:fldChar w:fldCharType="end"/>
      </w:r>
      <w:bookmarkEnd w:id="180"/>
      <w:r w:rsidR="007536C0" w:rsidRPr="00A271DF">
        <w:t>: Estimated resident population growth by Statistical Local Area, 2011 to 2031</w:t>
      </w:r>
      <w:bookmarkEnd w:id="181"/>
    </w:p>
    <w:p w:rsidR="007D1E72" w:rsidRPr="007D1E72" w:rsidRDefault="007D1E72" w:rsidP="007D1E72">
      <w:pPr>
        <w:pStyle w:val="bt"/>
      </w:pPr>
      <w:r>
        <w:t>[</w:t>
      </w:r>
      <w:r w:rsidRPr="007D1E72">
        <w:t>Map showing estimated resident population growth by Statistical Local Area, 2011 to 2031</w:t>
      </w:r>
      <w:r>
        <w:t>]</w:t>
      </w:r>
    </w:p>
    <w:p w:rsidR="009026F6" w:rsidRDefault="008967A8" w:rsidP="0061220F">
      <w:pPr>
        <w:pStyle w:val="source"/>
        <w:sectPr w:rsidR="009026F6" w:rsidSect="004D34B8">
          <w:pgSz w:w="16838" w:h="11906" w:orient="landscape"/>
          <w:pgMar w:top="1440" w:right="1702" w:bottom="993" w:left="993" w:header="708" w:footer="708" w:gutter="0"/>
          <w:cols w:space="708"/>
          <w:docGrid w:linePitch="360"/>
        </w:sectPr>
      </w:pPr>
      <w:r w:rsidRPr="00761AFC">
        <w:t>Source: V</w:t>
      </w:r>
      <w:r>
        <w:t>ictoria in Future</w:t>
      </w:r>
      <w:r w:rsidRPr="00761AFC">
        <w:t xml:space="preserve"> 2012</w:t>
      </w:r>
    </w:p>
    <w:p w:rsidR="007A143F" w:rsidRDefault="008967A8">
      <w:pPr>
        <w:pStyle w:val="bt"/>
        <w:rPr>
          <w:szCs w:val="20"/>
        </w:rPr>
      </w:pPr>
      <w:r w:rsidRPr="008967A8">
        <w:rPr>
          <w:szCs w:val="20"/>
        </w:rPr>
        <w:lastRenderedPageBreak/>
        <w:t xml:space="preserve">Future urban settlement in the </w:t>
      </w:r>
      <w:r w:rsidR="00A04CA9">
        <w:rPr>
          <w:szCs w:val="20"/>
        </w:rPr>
        <w:t>r</w:t>
      </w:r>
      <w:r w:rsidRPr="008967A8">
        <w:rPr>
          <w:szCs w:val="20"/>
        </w:rPr>
        <w:t>egion has been considered at two levels: firstly</w:t>
      </w:r>
      <w:r w:rsidR="00EB6ABC">
        <w:rPr>
          <w:szCs w:val="20"/>
        </w:rPr>
        <w:t>,</w:t>
      </w:r>
      <w:r w:rsidRPr="008967A8">
        <w:rPr>
          <w:szCs w:val="20"/>
        </w:rPr>
        <w:t xml:space="preserve"> as an overall approach to the entire region, identifying the key locations for growth and change; and secondly</w:t>
      </w:r>
      <w:r w:rsidR="00EB6ABC">
        <w:rPr>
          <w:szCs w:val="20"/>
        </w:rPr>
        <w:t>,</w:t>
      </w:r>
      <w:r w:rsidRPr="008967A8">
        <w:rPr>
          <w:szCs w:val="20"/>
        </w:rPr>
        <w:t xml:space="preserve"> by considering the network of settlements in each </w:t>
      </w:r>
      <w:r w:rsidR="00DA46DA">
        <w:rPr>
          <w:szCs w:val="20"/>
        </w:rPr>
        <w:t>sub</w:t>
      </w:r>
      <w:r w:rsidR="00EB6ABC">
        <w:rPr>
          <w:szCs w:val="20"/>
        </w:rPr>
        <w:t>-</w:t>
      </w:r>
      <w:r w:rsidR="00DA46DA">
        <w:rPr>
          <w:szCs w:val="20"/>
        </w:rPr>
        <w:t>region</w:t>
      </w:r>
      <w:r w:rsidRPr="008967A8">
        <w:rPr>
          <w:szCs w:val="20"/>
        </w:rPr>
        <w:t xml:space="preserve"> </w:t>
      </w:r>
      <w:r w:rsidR="00317007">
        <w:rPr>
          <w:szCs w:val="20"/>
        </w:rPr>
        <w:t xml:space="preserve">that are </w:t>
      </w:r>
      <w:r w:rsidRPr="008967A8">
        <w:rPr>
          <w:szCs w:val="20"/>
        </w:rPr>
        <w:t xml:space="preserve">needed to support communities throughout the region. The </w:t>
      </w:r>
      <w:r w:rsidR="00A04CA9">
        <w:rPr>
          <w:szCs w:val="20"/>
        </w:rPr>
        <w:t>p</w:t>
      </w:r>
      <w:r w:rsidR="00A04CA9" w:rsidRPr="008967A8">
        <w:rPr>
          <w:szCs w:val="20"/>
        </w:rPr>
        <w:t xml:space="preserve">lan </w:t>
      </w:r>
      <w:r w:rsidRPr="008967A8">
        <w:rPr>
          <w:szCs w:val="20"/>
        </w:rPr>
        <w:t>sets out the results of this assessment and provides key directions for development for the next 30 years.</w:t>
      </w:r>
    </w:p>
    <w:p w:rsidR="007A143F" w:rsidRDefault="008967A8">
      <w:pPr>
        <w:pStyle w:val="bt"/>
        <w:rPr>
          <w:szCs w:val="20"/>
        </w:rPr>
      </w:pPr>
      <w:r w:rsidRPr="008967A8">
        <w:rPr>
          <w:szCs w:val="20"/>
        </w:rPr>
        <w:t>Further detailed structure planning will be required in some instances to plan for growth and change in identified growth locations. For instance, some parts of the settlements identified for growth may be subject to natural hazards such as bushfire and flood. Such hazards should be considered in further detail when planning for growth at a local level.</w:t>
      </w:r>
    </w:p>
    <w:p w:rsidR="007A143F" w:rsidRDefault="008967A8">
      <w:pPr>
        <w:pStyle w:val="bt"/>
        <w:rPr>
          <w:szCs w:val="20"/>
        </w:rPr>
      </w:pPr>
      <w:r w:rsidRPr="008967A8">
        <w:rPr>
          <w:szCs w:val="20"/>
        </w:rPr>
        <w:t xml:space="preserve">The </w:t>
      </w:r>
      <w:r w:rsidR="00A04CA9">
        <w:rPr>
          <w:szCs w:val="20"/>
        </w:rPr>
        <w:t>p</w:t>
      </w:r>
      <w:r w:rsidR="00A04CA9" w:rsidRPr="008967A8">
        <w:rPr>
          <w:szCs w:val="20"/>
        </w:rPr>
        <w:t xml:space="preserve">lan </w:t>
      </w:r>
      <w:r w:rsidRPr="008967A8">
        <w:rPr>
          <w:szCs w:val="20"/>
        </w:rPr>
        <w:t xml:space="preserve">directs that planning for growth and development in settlements should provide a diversity of housing options, including a range of densities and affordability. In centres identified for major growth, medium to high growth or significant change, higher residential densities will be promoted in close proximity to central activity areas and in other suitable locations. Infill development and urban renewal will also be encouraged. The </w:t>
      </w:r>
      <w:r w:rsidR="00A04CA9">
        <w:rPr>
          <w:szCs w:val="20"/>
        </w:rPr>
        <w:t>p</w:t>
      </w:r>
      <w:r w:rsidR="00A04CA9" w:rsidRPr="008967A8">
        <w:rPr>
          <w:szCs w:val="20"/>
        </w:rPr>
        <w:t xml:space="preserve">lan </w:t>
      </w:r>
      <w:r w:rsidRPr="008967A8">
        <w:rPr>
          <w:szCs w:val="20"/>
        </w:rPr>
        <w:t>provides for rural residential growth in appropriate areas close to existing urban locations to maximise the use of existing infrastructure, minimise the need to travel to services and facilities</w:t>
      </w:r>
      <w:r w:rsidR="00317007">
        <w:rPr>
          <w:szCs w:val="20"/>
        </w:rPr>
        <w:t>,</w:t>
      </w:r>
      <w:r w:rsidRPr="008967A8">
        <w:rPr>
          <w:szCs w:val="20"/>
        </w:rPr>
        <w:t xml:space="preserve"> and reduce impacts on rural production and environmental assets or exposure to natural hazards. Criteria for identifying appropriate areas for future rural residential </w:t>
      </w:r>
      <w:r w:rsidR="00EB6ABC">
        <w:rPr>
          <w:szCs w:val="20"/>
        </w:rPr>
        <w:t>development</w:t>
      </w:r>
      <w:r w:rsidRPr="008967A8">
        <w:rPr>
          <w:szCs w:val="20"/>
        </w:rPr>
        <w:t xml:space="preserve"> are discussed below in section </w:t>
      </w:r>
      <w:r w:rsidR="00AA3D97">
        <w:rPr>
          <w:szCs w:val="20"/>
        </w:rPr>
        <w:fldChar w:fldCharType="begin"/>
      </w:r>
      <w:r w:rsidR="00204278">
        <w:rPr>
          <w:szCs w:val="20"/>
        </w:rPr>
        <w:instrText xml:space="preserve"> REF _Ref354408651 \r \h </w:instrText>
      </w:r>
      <w:r w:rsidR="00AA3D97">
        <w:rPr>
          <w:szCs w:val="20"/>
        </w:rPr>
      </w:r>
      <w:r w:rsidR="00AA3D97">
        <w:rPr>
          <w:szCs w:val="20"/>
        </w:rPr>
        <w:fldChar w:fldCharType="separate"/>
      </w:r>
      <w:r w:rsidR="009034D4">
        <w:rPr>
          <w:szCs w:val="20"/>
        </w:rPr>
        <w:t>9.2.2</w:t>
      </w:r>
      <w:r w:rsidR="00AA3D97">
        <w:rPr>
          <w:szCs w:val="20"/>
        </w:rPr>
        <w:fldChar w:fldCharType="end"/>
      </w:r>
      <w:r w:rsidRPr="008967A8">
        <w:rPr>
          <w:szCs w:val="20"/>
        </w:rPr>
        <w:t>.</w:t>
      </w:r>
    </w:p>
    <w:p w:rsidR="00003210" w:rsidRDefault="00003210" w:rsidP="00A41B2E">
      <w:pPr>
        <w:pStyle w:val="Heading3"/>
        <w:numPr>
          <w:ilvl w:val="2"/>
          <w:numId w:val="11"/>
        </w:numPr>
      </w:pPr>
      <w:bookmarkStart w:id="182" w:name="_Toc355970774"/>
      <w:bookmarkStart w:id="183" w:name="_Toc359422955"/>
      <w:bookmarkStart w:id="184" w:name="_Toc374612456"/>
      <w:r>
        <w:t xml:space="preserve">Regional </w:t>
      </w:r>
      <w:r w:rsidR="00317007">
        <w:t>p</w:t>
      </w:r>
      <w:r>
        <w:t>erspective</w:t>
      </w:r>
      <w:bookmarkEnd w:id="182"/>
      <w:bookmarkEnd w:id="183"/>
      <w:bookmarkEnd w:id="184"/>
    </w:p>
    <w:p w:rsidR="007A143F" w:rsidRDefault="00003210" w:rsidP="00E770E1">
      <w:pPr>
        <w:pStyle w:val="bt"/>
        <w:spacing w:after="0"/>
      </w:pPr>
      <w:bookmarkStart w:id="185" w:name="_Toc348094784"/>
      <w:bookmarkStart w:id="186" w:name="_Toc348104043"/>
      <w:bookmarkStart w:id="187" w:name="_Toc348342411"/>
      <w:r w:rsidRPr="00226D34">
        <w:t xml:space="preserve">The </w:t>
      </w:r>
      <w:r w:rsidR="00361615">
        <w:t>p</w:t>
      </w:r>
      <w:r w:rsidRPr="00226D34">
        <w:t xml:space="preserve">lan seeks to ensure that the future development of urban settlements in the </w:t>
      </w:r>
      <w:r w:rsidR="00317007">
        <w:t xml:space="preserve">Hume </w:t>
      </w:r>
      <w:r w:rsidR="00F6032F">
        <w:t>R</w:t>
      </w:r>
      <w:r w:rsidRPr="00226D34">
        <w:t>egion enhances their character and amenity</w:t>
      </w:r>
      <w:r w:rsidR="00DA46DA">
        <w:t>,</w:t>
      </w:r>
      <w:r w:rsidRPr="00226D34">
        <w:t xml:space="preserve"> minimises environmental impacts, makes efficient use of available infrastructure and services and supports the regional economy. </w:t>
      </w:r>
      <w:r w:rsidR="00317007">
        <w:t xml:space="preserve">The </w:t>
      </w:r>
      <w:r w:rsidR="00361615">
        <w:t xml:space="preserve">plan </w:t>
      </w:r>
      <w:r w:rsidRPr="00226D34">
        <w:t>ide</w:t>
      </w:r>
      <w:r w:rsidR="00DA46DA">
        <w:t>ntifies strategic urban growth and</w:t>
      </w:r>
      <w:r w:rsidRPr="00226D34">
        <w:t xml:space="preserve"> change opportunities from a regional perspective, including:</w:t>
      </w:r>
      <w:bookmarkStart w:id="188" w:name="_Toc348094785"/>
      <w:bookmarkStart w:id="189" w:name="_Toc348104044"/>
      <w:bookmarkStart w:id="190" w:name="_Toc348342412"/>
      <w:bookmarkEnd w:id="185"/>
      <w:bookmarkEnd w:id="186"/>
      <w:bookmarkEnd w:id="187"/>
      <w:bookmarkEnd w:id="188"/>
      <w:bookmarkEnd w:id="189"/>
      <w:bookmarkEnd w:id="190"/>
    </w:p>
    <w:p w:rsidR="007A143F" w:rsidRDefault="00F6032F" w:rsidP="001A3FCF">
      <w:pPr>
        <w:pStyle w:val="ListBullet"/>
      </w:pPr>
      <w:bookmarkStart w:id="191" w:name="_Toc348094786"/>
      <w:bookmarkStart w:id="192" w:name="_Toc348104045"/>
      <w:bookmarkStart w:id="193" w:name="_Toc348342413"/>
      <w:r>
        <w:t>Supporting t</w:t>
      </w:r>
      <w:r w:rsidR="00003210" w:rsidRPr="00226D34">
        <w:t>he ability to build on and strengthen the existing settlement network by focusing growth and change in strategic urban locations</w:t>
      </w:r>
      <w:r w:rsidR="00DA46DA">
        <w:t>,</w:t>
      </w:r>
      <w:r w:rsidR="00003210" w:rsidRPr="00226D34">
        <w:t xml:space="preserve"> whilst supporting lesser levels of growth in other settlements. Based on the settlement assessment completed for the Hume Strategy</w:t>
      </w:r>
      <w:r w:rsidR="00317007">
        <w:t>,</w:t>
      </w:r>
      <w:r w:rsidR="00003210" w:rsidRPr="00226D34">
        <w:t xml:space="preserve"> and considering stakeholder views, five key strategic urban centres have been identified. These are Shepparton</w:t>
      </w:r>
      <w:r w:rsidR="00003210" w:rsidRPr="00226D34">
        <w:rPr>
          <w:rStyle w:val="FootnoteReference"/>
          <w:szCs w:val="20"/>
        </w:rPr>
        <w:footnoteReference w:id="3"/>
      </w:r>
      <w:r w:rsidR="00003210" w:rsidRPr="00226D34">
        <w:t xml:space="preserve">, Wodonga, Wangaratta, Benalla and Seymour. Residential, industrial and commercial development will be consolidated in these settlements, which have the greatest capacity to accommodate growth. These key urban centres will continue as the foundations of the settlement network in each of the four </w:t>
      </w:r>
      <w:r w:rsidR="00EB6ABC">
        <w:t>sub-</w:t>
      </w:r>
      <w:r w:rsidR="00DA46DA">
        <w:t>region</w:t>
      </w:r>
      <w:r w:rsidR="00003210" w:rsidRPr="00226D34">
        <w:t>s</w:t>
      </w:r>
      <w:bookmarkEnd w:id="191"/>
      <w:bookmarkEnd w:id="192"/>
      <w:bookmarkEnd w:id="193"/>
      <w:r w:rsidR="00EB6ABC">
        <w:t>.</w:t>
      </w:r>
    </w:p>
    <w:p w:rsidR="007A143F" w:rsidRDefault="00003210" w:rsidP="001A3FCF">
      <w:pPr>
        <w:pStyle w:val="ListBullet"/>
      </w:pPr>
      <w:bookmarkStart w:id="194" w:name="_Toc348094787"/>
      <w:bookmarkStart w:id="195" w:name="_Toc348104046"/>
      <w:bookmarkStart w:id="196" w:name="_Toc348342414"/>
      <w:r w:rsidRPr="00226D34">
        <w:t>Focusing growth and change in key locations provides a level of certainty that enhances the region’s ability to plan for and facilitate strategic investment in new physical and social infrastructure.</w:t>
      </w:r>
      <w:bookmarkEnd w:id="194"/>
      <w:bookmarkEnd w:id="195"/>
      <w:bookmarkEnd w:id="196"/>
    </w:p>
    <w:p w:rsidR="007A143F" w:rsidRDefault="00003210" w:rsidP="001A3FCF">
      <w:pPr>
        <w:pStyle w:val="ListBullet"/>
      </w:pPr>
      <w:bookmarkStart w:id="197" w:name="_Toc348094788"/>
      <w:bookmarkStart w:id="198" w:name="_Toc348104047"/>
      <w:bookmarkStart w:id="199" w:name="_Toc348342415"/>
      <w:r w:rsidRPr="00226D34">
        <w:t xml:space="preserve">Fostering the sustainability of smaller towns or urban localities will build on existing assets such as </w:t>
      </w:r>
      <w:r w:rsidR="00B802B0">
        <w:t xml:space="preserve">cultural </w:t>
      </w:r>
      <w:r w:rsidRPr="00226D34">
        <w:t>heritage, liveability, amenity, environmental significance or provision of specialised services and products to enhance their distinctive characters. Small settlements can also support rural communities</w:t>
      </w:r>
      <w:r w:rsidR="00DA46DA">
        <w:t>,</w:t>
      </w:r>
      <w:r w:rsidRPr="00226D34">
        <w:t xml:space="preserve"> improving their access to services and responding to their changing needs.</w:t>
      </w:r>
      <w:bookmarkEnd w:id="197"/>
      <w:bookmarkEnd w:id="198"/>
      <w:bookmarkEnd w:id="199"/>
    </w:p>
    <w:p w:rsidR="009026F6" w:rsidRDefault="00003210" w:rsidP="001A3FCF">
      <w:pPr>
        <w:pStyle w:val="ListBullet"/>
      </w:pPr>
      <w:bookmarkStart w:id="200" w:name="_Toc348094789"/>
      <w:bookmarkStart w:id="201" w:name="_Toc348104048"/>
      <w:bookmarkStart w:id="202" w:name="_Toc348342416"/>
      <w:r w:rsidRPr="00226D34">
        <w:t>Reinforcing connectivity between settlements in the region and enhancing the role of Hume’s settlement network as part of a larger state</w:t>
      </w:r>
      <w:r w:rsidR="004555AA">
        <w:t>wide and national network</w:t>
      </w:r>
      <w:r w:rsidRPr="00226D34">
        <w:t>, by strength</w:t>
      </w:r>
      <w:r w:rsidR="00DA46DA">
        <w:t>ening links to settlements such as</w:t>
      </w:r>
      <w:r w:rsidRPr="00226D34">
        <w:t xml:space="preserve"> Albury in New South Wales, Bendigo, Echuca and Melbourne.</w:t>
      </w:r>
      <w:bookmarkEnd w:id="200"/>
      <w:bookmarkEnd w:id="201"/>
      <w:bookmarkEnd w:id="202"/>
      <w:r w:rsidRPr="00226D34">
        <w:t xml:space="preserve"> </w:t>
      </w:r>
    </w:p>
    <w:p w:rsidR="007A143F" w:rsidRDefault="00003210">
      <w:pPr>
        <w:pStyle w:val="bt"/>
      </w:pPr>
      <w:bookmarkStart w:id="203" w:name="_Toc348094790"/>
      <w:bookmarkStart w:id="204" w:name="_Toc348104049"/>
      <w:bookmarkStart w:id="205" w:name="_Toc348342417"/>
      <w:bookmarkStart w:id="206" w:name="_Toc348094791"/>
      <w:bookmarkStart w:id="207" w:name="_Toc348104050"/>
      <w:bookmarkStart w:id="208" w:name="_Toc348342418"/>
      <w:bookmarkEnd w:id="203"/>
      <w:bookmarkEnd w:id="204"/>
      <w:bookmarkEnd w:id="205"/>
      <w:r w:rsidRPr="00E47939">
        <w:t xml:space="preserve">A sufficient supply of residential, commercial and industrial land will be needed in urban centres to accommodate growth. Developing the </w:t>
      </w:r>
      <w:r w:rsidR="00361615">
        <w:t>p</w:t>
      </w:r>
      <w:r w:rsidR="00361615" w:rsidRPr="00E47939">
        <w:t xml:space="preserve">lan </w:t>
      </w:r>
      <w:r w:rsidRPr="00E47939">
        <w:t xml:space="preserve">included a broad assessment of residential land supply, both zoned </w:t>
      </w:r>
      <w:r w:rsidRPr="00E47939">
        <w:lastRenderedPageBreak/>
        <w:t xml:space="preserve">land and designated expansion areas, to identify current provision for population growth. This assessment was based on available residential land supply information provided by councils and gathered as part of </w:t>
      </w:r>
      <w:r w:rsidR="00317007">
        <w:t xml:space="preserve">the </w:t>
      </w:r>
      <w:r w:rsidR="000327E7">
        <w:t xml:space="preserve">former </w:t>
      </w:r>
      <w:r w:rsidRPr="00E47939">
        <w:t>D</w:t>
      </w:r>
      <w:r w:rsidR="00317007">
        <w:t xml:space="preserve">epartment of </w:t>
      </w:r>
      <w:r w:rsidR="007A5C2A">
        <w:t xml:space="preserve">Transport, </w:t>
      </w:r>
      <w:r w:rsidR="00317007">
        <w:t xml:space="preserve">Planning and </w:t>
      </w:r>
      <w:r w:rsidR="007A5C2A">
        <w:t>Local Infrastructure</w:t>
      </w:r>
      <w:r w:rsidRPr="00E47939">
        <w:t>’s Urban Development Program. Overall, councils have zoned or identified sufficient land to accommodate well in access of the projected population growth for the region of 80,000 additional people by 2041.</w:t>
      </w:r>
      <w:bookmarkEnd w:id="206"/>
      <w:bookmarkEnd w:id="207"/>
      <w:bookmarkEnd w:id="208"/>
    </w:p>
    <w:p w:rsidR="007A143F" w:rsidRDefault="00003210">
      <w:pPr>
        <w:pStyle w:val="bt"/>
      </w:pPr>
      <w:r w:rsidRPr="00003210">
        <w:t xml:space="preserve">The </w:t>
      </w:r>
      <w:r w:rsidR="00361615">
        <w:t>plan</w:t>
      </w:r>
      <w:r w:rsidR="00361615" w:rsidRPr="00003210">
        <w:t xml:space="preserve"> </w:t>
      </w:r>
      <w:r w:rsidRPr="00003210">
        <w:t xml:space="preserve">strongly encourages an integrated approach to planning and developing growth areas, including coordinated provision of physical and social infrastructure. It also recognises that land use planning for future growth areas should consider environmental assets and natural hazards as well as provision of emergency services, including in unique situations such as </w:t>
      </w:r>
      <w:r w:rsidR="00C01F16">
        <w:t>a</w:t>
      </w:r>
      <w:r w:rsidRPr="00003210">
        <w:t xml:space="preserve">lpine </w:t>
      </w:r>
      <w:r w:rsidR="00C01F16">
        <w:t>r</w:t>
      </w:r>
      <w:r w:rsidRPr="00003210">
        <w:t>esorts.</w:t>
      </w:r>
    </w:p>
    <w:p w:rsidR="007A143F" w:rsidRDefault="00003210">
      <w:pPr>
        <w:pStyle w:val="bt"/>
      </w:pPr>
      <w:r w:rsidRPr="00003210">
        <w:t xml:space="preserve">There would be benefits to the </w:t>
      </w:r>
      <w:r w:rsidR="00361615">
        <w:t>r</w:t>
      </w:r>
      <w:r w:rsidRPr="00003210">
        <w:t>egion in the development and implementation of a regional program to monitor residential, commercial and industrial land supply and demand to support local government decision-making related to land rezoning and to assist with planning by infrastructure and service agencies.</w:t>
      </w:r>
    </w:p>
    <w:p w:rsidR="00003210" w:rsidRDefault="00DA46DA" w:rsidP="00A41B2E">
      <w:pPr>
        <w:pStyle w:val="Heading3"/>
        <w:numPr>
          <w:ilvl w:val="2"/>
          <w:numId w:val="11"/>
        </w:numPr>
      </w:pPr>
      <w:bookmarkStart w:id="209" w:name="_Toc355970775"/>
      <w:bookmarkStart w:id="210" w:name="_Toc359422956"/>
      <w:bookmarkStart w:id="211" w:name="_Toc374612457"/>
      <w:r>
        <w:t>Sub</w:t>
      </w:r>
      <w:r w:rsidR="00EB6ABC">
        <w:t>-</w:t>
      </w:r>
      <w:r>
        <w:t>region</w:t>
      </w:r>
      <w:r w:rsidR="00003210">
        <w:t xml:space="preserve">al </w:t>
      </w:r>
      <w:r w:rsidR="00C01F16">
        <w:t>p</w:t>
      </w:r>
      <w:r w:rsidR="00003210">
        <w:t>erspective</w:t>
      </w:r>
      <w:r w:rsidR="00CB64E5">
        <w:t>s</w:t>
      </w:r>
      <w:bookmarkEnd w:id="209"/>
      <w:bookmarkEnd w:id="210"/>
      <w:bookmarkEnd w:id="211"/>
    </w:p>
    <w:p w:rsidR="007A143F" w:rsidRDefault="00003210">
      <w:pPr>
        <w:pStyle w:val="bt"/>
      </w:pPr>
      <w:r w:rsidRPr="00003210">
        <w:t xml:space="preserve">The settlement network in each of the four Hume </w:t>
      </w:r>
      <w:r w:rsidR="00DA46DA">
        <w:t>sub</w:t>
      </w:r>
      <w:r w:rsidR="00C01F16">
        <w:t>-</w:t>
      </w:r>
      <w:r w:rsidR="00DA46DA">
        <w:t>region</w:t>
      </w:r>
      <w:r w:rsidRPr="00003210">
        <w:t>s</w:t>
      </w:r>
      <w:r w:rsidR="00460CD9">
        <w:t>,</w:t>
      </w:r>
      <w:r w:rsidR="00C01F16">
        <w:t xml:space="preserve"> </w:t>
      </w:r>
      <w:r w:rsidRPr="00003210">
        <w:t>Central Hume, Goulburn Valley, Lower Hume and Upper Hume</w:t>
      </w:r>
      <w:r w:rsidR="00460CD9">
        <w:t>,</w:t>
      </w:r>
      <w:r w:rsidRPr="00003210">
        <w:t xml:space="preserve"> was considered using the settlement assessment </w:t>
      </w:r>
      <w:r w:rsidR="00C01F16">
        <w:t xml:space="preserve">process </w:t>
      </w:r>
      <w:r w:rsidRPr="00003210">
        <w:t xml:space="preserve">discussed above. This served as a starting point for discussions with stakeholders to identify key settlements that </w:t>
      </w:r>
      <w:r w:rsidR="00C01F16">
        <w:t xml:space="preserve">could </w:t>
      </w:r>
      <w:r w:rsidRPr="00003210">
        <w:t xml:space="preserve">support the five strategic urban centres in providing services to regional communities. Urban growth locations identified for each </w:t>
      </w:r>
      <w:r w:rsidR="00EB6ABC">
        <w:t>sub-</w:t>
      </w:r>
      <w:r w:rsidR="00DA46DA">
        <w:t>region</w:t>
      </w:r>
      <w:r w:rsidRPr="00003210">
        <w:t xml:space="preserve"> were selected on the basis of physical and social infrastructure, access to economic opportunities and employment, the need to protect environmental assets</w:t>
      </w:r>
      <w:r w:rsidR="00C01F16">
        <w:t>,</w:t>
      </w:r>
      <w:r w:rsidRPr="00003210">
        <w:t xml:space="preserve"> and their vulnerability to natural hazards. </w:t>
      </w:r>
    </w:p>
    <w:p w:rsidR="001E6B61" w:rsidRDefault="007536C0">
      <w:pPr>
        <w:pStyle w:val="bt"/>
        <w:spacing w:after="120"/>
        <w:rPr>
          <w:rStyle w:val="Strong"/>
        </w:rPr>
      </w:pPr>
      <w:r w:rsidRPr="007536C0">
        <w:rPr>
          <w:rStyle w:val="Strong"/>
        </w:rPr>
        <w:t>a)</w:t>
      </w:r>
      <w:r w:rsidRPr="007536C0">
        <w:rPr>
          <w:rStyle w:val="Strong"/>
        </w:rPr>
        <w:tab/>
        <w:t>Central Hume</w:t>
      </w:r>
    </w:p>
    <w:p w:rsidR="001E6B61" w:rsidRDefault="00003210" w:rsidP="00E770E1">
      <w:pPr>
        <w:pStyle w:val="bt"/>
        <w:spacing w:before="120"/>
      </w:pPr>
      <w:r w:rsidRPr="00003210">
        <w:t xml:space="preserve">The </w:t>
      </w:r>
      <w:r w:rsidR="00D752DC">
        <w:t>plan</w:t>
      </w:r>
      <w:r w:rsidR="00D752DC" w:rsidRPr="00003210">
        <w:t xml:space="preserve"> </w:t>
      </w:r>
      <w:r w:rsidRPr="00003210">
        <w:t xml:space="preserve">provides that future urban growth and development in the Central Hume </w:t>
      </w:r>
      <w:r w:rsidR="00EB6ABC">
        <w:t>sub-</w:t>
      </w:r>
      <w:r w:rsidR="00DA46DA">
        <w:t>region</w:t>
      </w:r>
      <w:r w:rsidRPr="00003210">
        <w:t xml:space="preserve"> will be focused in Wangaratta</w:t>
      </w:r>
      <w:r w:rsidR="00474A07">
        <w:t xml:space="preserve"> and</w:t>
      </w:r>
      <w:r w:rsidRPr="00003210">
        <w:t xml:space="preserve"> Benalla, to make the most efficient use of infrastructure and services already available at these locations. These centres are already strongly linked to surrounding communities, particularly in the Ovens, King and Broken </w:t>
      </w:r>
      <w:r w:rsidR="00C01F16">
        <w:t>r</w:t>
      </w:r>
      <w:r w:rsidRPr="00003210">
        <w:t>iver</w:t>
      </w:r>
      <w:r w:rsidR="00C01F16">
        <w:t xml:space="preserve"> valleys</w:t>
      </w:r>
      <w:r w:rsidRPr="00003210">
        <w:t xml:space="preserve"> and provide access to employment and higher order services for a large population. This is expected to continue into the future. </w:t>
      </w:r>
    </w:p>
    <w:p w:rsidR="007A143F" w:rsidRDefault="00003210">
      <w:pPr>
        <w:pStyle w:val="bt"/>
      </w:pPr>
      <w:r w:rsidRPr="00003210">
        <w:t xml:space="preserve">Locations for population growth in Benalla and Wangaratta have already been identified through local planning processes. Supporting these growth areas with investment in physical and social infrastructure and expanding employment opportunities will make these places and their hinterlands attractive for further development. </w:t>
      </w:r>
    </w:p>
    <w:p w:rsidR="007A143F" w:rsidRDefault="00003210">
      <w:pPr>
        <w:pStyle w:val="bt"/>
      </w:pPr>
      <w:r w:rsidRPr="00003210">
        <w:t xml:space="preserve">Both Benalla and Wangaratta have potential for some urban infill, which </w:t>
      </w:r>
      <w:r w:rsidR="009F6E38">
        <w:t xml:space="preserve">could </w:t>
      </w:r>
      <w:r w:rsidRPr="00003210">
        <w:t xml:space="preserve">contribute to enhanced urban efficiencies. </w:t>
      </w:r>
      <w:r w:rsidR="009F6E38">
        <w:t xml:space="preserve">Other </w:t>
      </w:r>
      <w:r w:rsidRPr="00003210">
        <w:t xml:space="preserve">urban renewal opportunities for residential, commercial and industrial uses also exist in each centre, </w:t>
      </w:r>
      <w:r w:rsidR="009F6E38">
        <w:t xml:space="preserve">which could </w:t>
      </w:r>
      <w:r w:rsidRPr="00003210">
        <w:t>provide new economic opportunities and enhance liveability.</w:t>
      </w:r>
    </w:p>
    <w:p w:rsidR="009026F6" w:rsidRDefault="00003210">
      <w:pPr>
        <w:pStyle w:val="bt"/>
      </w:pPr>
      <w:r w:rsidRPr="00003210">
        <w:t xml:space="preserve">In 2011, the Urban Development Program for </w:t>
      </w:r>
      <w:r w:rsidR="009F6E38">
        <w:t>r</w:t>
      </w:r>
      <w:r w:rsidRPr="00003210">
        <w:t>egional Victoria was extended to include the Rural City of Wangaratta. This program provides an analysis of supply and demand for residential and industrial land</w:t>
      </w:r>
      <w:r w:rsidR="00DB5026">
        <w:t xml:space="preserve">. </w:t>
      </w:r>
      <w:r w:rsidR="00460CD9">
        <w:t>R</w:t>
      </w:r>
      <w:r w:rsidRPr="00003210">
        <w:t>esults for the Rural City of Wangaratta area are summarised below:</w:t>
      </w:r>
    </w:p>
    <w:p w:rsidR="009026F6" w:rsidRDefault="009026F6">
      <w:pPr>
        <w:rPr>
          <w:rFonts w:ascii="Calibri" w:eastAsia="Times New Roman" w:hAnsi="Calibri" w:cs="Times New Roman"/>
          <w:szCs w:val="24"/>
        </w:rPr>
      </w:pPr>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003210" w:rsidRPr="00003210" w:rsidTr="00A41B2E">
        <w:trPr>
          <w:cantSplit/>
        </w:trPr>
        <w:tc>
          <w:tcPr>
            <w:tcW w:w="9072" w:type="dxa"/>
            <w:shd w:val="clear" w:color="auto" w:fill="C5C3C2"/>
          </w:tcPr>
          <w:p w:rsidR="001E6B61" w:rsidRDefault="00DA722B">
            <w:pPr>
              <w:pStyle w:val="bt"/>
              <w:spacing w:after="120"/>
              <w:rPr>
                <w:rStyle w:val="Strong"/>
              </w:rPr>
            </w:pPr>
            <w:r w:rsidRPr="00DA722B">
              <w:rPr>
                <w:rStyle w:val="Strong"/>
              </w:rPr>
              <w:lastRenderedPageBreak/>
              <w:t>Rural City of Wangaratta</w:t>
            </w:r>
          </w:p>
          <w:p w:rsidR="001E6B61" w:rsidRDefault="00DA722B">
            <w:pPr>
              <w:pStyle w:val="bt"/>
              <w:spacing w:before="120" w:after="0"/>
              <w:rPr>
                <w:rStyle w:val="Emphasis"/>
              </w:rPr>
            </w:pPr>
            <w:r w:rsidRPr="00DA722B">
              <w:rPr>
                <w:rStyle w:val="Emphasis"/>
              </w:rPr>
              <w:t>Residential land:</w:t>
            </w:r>
          </w:p>
          <w:p w:rsidR="007A143F" w:rsidRDefault="00003210" w:rsidP="001A3FCF">
            <w:pPr>
              <w:pStyle w:val="ListBullet"/>
            </w:pPr>
            <w:r w:rsidRPr="00003210">
              <w:t xml:space="preserve">There is sufficient zoned residential land available within the municipality to produce approximately 871 lots and satisfy 6 </w:t>
            </w:r>
            <w:r w:rsidR="009F6E38">
              <w:t>to</w:t>
            </w:r>
            <w:r w:rsidRPr="00003210">
              <w:t xml:space="preserve"> 9 years of future residential demands. </w:t>
            </w:r>
          </w:p>
          <w:p w:rsidR="007A143F" w:rsidRDefault="00003210" w:rsidP="001A3FCF">
            <w:pPr>
              <w:pStyle w:val="ListBullet"/>
            </w:pPr>
            <w:r w:rsidRPr="00003210">
              <w:t xml:space="preserve">A further 7170 lots </w:t>
            </w:r>
            <w:r w:rsidR="00DB5026">
              <w:t xml:space="preserve">could </w:t>
            </w:r>
            <w:r w:rsidRPr="00003210">
              <w:t xml:space="preserve">be created on land designated for future residential use, providing sufficient land to satisfy more than 15 additional years of projected demand. </w:t>
            </w:r>
          </w:p>
          <w:p w:rsidR="007A143F" w:rsidRDefault="00003210" w:rsidP="001A3FCF">
            <w:pPr>
              <w:pStyle w:val="ListBullet"/>
            </w:pPr>
            <w:r w:rsidRPr="00003210">
              <w:t>Approximately 50 infill lots were also available.</w:t>
            </w:r>
          </w:p>
          <w:p w:rsidR="001E6B61" w:rsidRDefault="00DA722B">
            <w:pPr>
              <w:pStyle w:val="bt"/>
              <w:spacing w:before="120" w:after="0"/>
              <w:rPr>
                <w:rStyle w:val="Emphasis"/>
              </w:rPr>
            </w:pPr>
            <w:r w:rsidRPr="00DA722B">
              <w:rPr>
                <w:rStyle w:val="Emphasis"/>
              </w:rPr>
              <w:t>Industrial land:</w:t>
            </w:r>
          </w:p>
          <w:p w:rsidR="007A143F" w:rsidRDefault="00003210" w:rsidP="001A3FCF">
            <w:pPr>
              <w:pStyle w:val="ListBullet"/>
            </w:pPr>
            <w:r w:rsidRPr="00003210">
              <w:t xml:space="preserve">Around 147 hectares of zoned industrial land is available for development. </w:t>
            </w:r>
          </w:p>
          <w:p w:rsidR="007A143F" w:rsidRDefault="00003210" w:rsidP="001A3FCF">
            <w:pPr>
              <w:pStyle w:val="ListBullet"/>
            </w:pPr>
            <w:r w:rsidRPr="00003210">
              <w:t xml:space="preserve">Based on recent take-up rates of land for industrial purposes in Wangaratta, which has averaged 2.7 hectares per year, there is in excess of 15 years of industrial zoned land, distributed across the </w:t>
            </w:r>
            <w:r w:rsidR="009F6E38">
              <w:t xml:space="preserve">Rural City of </w:t>
            </w:r>
            <w:r w:rsidRPr="00003210">
              <w:t>Wangaratta.</w:t>
            </w:r>
          </w:p>
          <w:p w:rsidR="009026F6" w:rsidRDefault="009026F6" w:rsidP="009026F6">
            <w:pPr>
              <w:pStyle w:val="ListBullet"/>
              <w:numPr>
                <w:ilvl w:val="0"/>
                <w:numId w:val="0"/>
              </w:numPr>
              <w:ind w:left="1630"/>
            </w:pPr>
          </w:p>
        </w:tc>
      </w:tr>
    </w:tbl>
    <w:p w:rsidR="007A143F" w:rsidRDefault="00003210">
      <w:pPr>
        <w:pStyle w:val="bt"/>
      </w:pPr>
      <w:r w:rsidRPr="00003210">
        <w:t xml:space="preserve">A number of other urban locations in the Central Hume </w:t>
      </w:r>
      <w:r w:rsidR="00EB6ABC">
        <w:t>sub-</w:t>
      </w:r>
      <w:r w:rsidR="00DA46DA">
        <w:t>region</w:t>
      </w:r>
      <w:r w:rsidR="00460CD9">
        <w:t xml:space="preserve">, </w:t>
      </w:r>
      <w:r w:rsidRPr="00003210">
        <w:t>including Bright, Mansfield and Myrtleford</w:t>
      </w:r>
      <w:r w:rsidR="00460CD9">
        <w:t>,</w:t>
      </w:r>
      <w:r w:rsidRPr="00003210">
        <w:t xml:space="preserve"> have some capability to accommodate future urban growth. Growth will be supported, particularly in towns that have good access to either Benalla or Wangaratta, to maximise the use of existing infrastructure and services in these settlements and support smaller communities in the </w:t>
      </w:r>
      <w:r w:rsidR="00EB6ABC">
        <w:t>sub-</w:t>
      </w:r>
      <w:r w:rsidR="00DA46DA">
        <w:t>region</w:t>
      </w:r>
      <w:r w:rsidRPr="00003210">
        <w:t>.</w:t>
      </w:r>
    </w:p>
    <w:p w:rsidR="007A143F" w:rsidRDefault="00003210">
      <w:pPr>
        <w:pStyle w:val="bt"/>
      </w:pPr>
      <w:r w:rsidRPr="00003210">
        <w:t xml:space="preserve">Opportunities exist </w:t>
      </w:r>
      <w:r w:rsidR="009F6E38" w:rsidRPr="00003210">
        <w:t xml:space="preserve">to enhance </w:t>
      </w:r>
      <w:r w:rsidR="009F6E38">
        <w:t xml:space="preserve">the </w:t>
      </w:r>
      <w:r w:rsidR="009F6E38" w:rsidRPr="00003210">
        <w:t>existing character</w:t>
      </w:r>
      <w:r w:rsidR="009F6E38">
        <w:t xml:space="preserve"> of</w:t>
      </w:r>
      <w:r w:rsidRPr="00003210">
        <w:t xml:space="preserve"> these towns and attract further tourism development. Growth in these localities should be managed to avoid encroaching on environmental assets</w:t>
      </w:r>
      <w:r w:rsidR="009C77AC">
        <w:t xml:space="preserve"> and exposure to natural hazards</w:t>
      </w:r>
      <w:r w:rsidR="00FC57F9" w:rsidRPr="00FC57F9">
        <w:t>, especially bushfire and flood</w:t>
      </w:r>
      <w:r w:rsidRPr="00003210">
        <w:t>.</w:t>
      </w:r>
    </w:p>
    <w:p w:rsidR="005D0A03" w:rsidRPr="005D0A03" w:rsidRDefault="007536C0" w:rsidP="00E770E1">
      <w:pPr>
        <w:pStyle w:val="bt"/>
        <w:spacing w:after="120"/>
        <w:rPr>
          <w:rStyle w:val="Strong"/>
        </w:rPr>
      </w:pPr>
      <w:r w:rsidRPr="007536C0">
        <w:rPr>
          <w:rStyle w:val="Strong"/>
        </w:rPr>
        <w:t>b)</w:t>
      </w:r>
      <w:r w:rsidRPr="007536C0">
        <w:rPr>
          <w:rStyle w:val="Strong"/>
        </w:rPr>
        <w:tab/>
        <w:t>Goulburn Valley</w:t>
      </w:r>
    </w:p>
    <w:p w:rsidR="007A143F" w:rsidRDefault="00003210" w:rsidP="00E770E1">
      <w:pPr>
        <w:pStyle w:val="bt"/>
        <w:spacing w:before="120"/>
      </w:pPr>
      <w:r w:rsidRPr="00003210">
        <w:t xml:space="preserve">The </w:t>
      </w:r>
      <w:r w:rsidR="00D752DC">
        <w:t>plan</w:t>
      </w:r>
      <w:r w:rsidR="00D752DC" w:rsidRPr="00003210">
        <w:t xml:space="preserve"> </w:t>
      </w:r>
      <w:r w:rsidRPr="00003210">
        <w:t xml:space="preserve">confirms that urban growth and development in the Goulburn Valley </w:t>
      </w:r>
      <w:r w:rsidR="00EB6ABC">
        <w:t>sub-</w:t>
      </w:r>
      <w:r w:rsidR="00DA46DA">
        <w:t>region</w:t>
      </w:r>
      <w:r w:rsidRPr="00003210">
        <w:t xml:space="preserve"> will be focused in Shepparton to make the most efficient use of existing infrastructure and services. It recognises that future growth fronts have already been identified through local planning processes to accommodate expected population growth.</w:t>
      </w:r>
    </w:p>
    <w:p w:rsidR="007A143F" w:rsidRDefault="00003210">
      <w:pPr>
        <w:pStyle w:val="bt"/>
      </w:pPr>
      <w:r w:rsidRPr="00003210">
        <w:t>Shepparton is the fourth largest urban centre in regional Victoria and provides employment and services to a large catchment extending beyond its immediate hinterland. This role will be enhanced to further support communities within Hume and in the adjoining Campaspe Shire. Investment will be required in new and upgraded social infrastructure, including health and education facilities, to support future population growth in Shepparton and surrounding areas. Some infill and urban renewal opportunities exist in Shepparton, which could help to enhance urban efficiency and liveability.</w:t>
      </w:r>
    </w:p>
    <w:p w:rsidR="007A143F" w:rsidRDefault="00003210">
      <w:pPr>
        <w:pStyle w:val="bt"/>
      </w:pPr>
      <w:r w:rsidRPr="00003210">
        <w:t xml:space="preserve">Shepparton is strategically located on the main transport corridor linking Melbourne and Brisbane via the Goulburn Valley corridor. Opportunities exist to continue to capitalise on this strategic location and strengthen </w:t>
      </w:r>
      <w:r w:rsidR="00DB5026">
        <w:t xml:space="preserve">Shepparton’s </w:t>
      </w:r>
      <w:r w:rsidRPr="00003210">
        <w:t>position as an important regional logistical node. Development of transport</w:t>
      </w:r>
      <w:r w:rsidR="00EB6ABC">
        <w:t xml:space="preserve"> </w:t>
      </w:r>
      <w:r w:rsidRPr="00003210">
        <w:t xml:space="preserve">related opportunities will be an important part of the economic development of this </w:t>
      </w:r>
      <w:r w:rsidR="00EB6ABC">
        <w:t>sub-</w:t>
      </w:r>
      <w:r w:rsidR="00DA46DA">
        <w:t>region</w:t>
      </w:r>
      <w:r w:rsidRPr="00003210">
        <w:t xml:space="preserve">. </w:t>
      </w:r>
    </w:p>
    <w:p w:rsidR="009026F6" w:rsidRDefault="00003210">
      <w:pPr>
        <w:pStyle w:val="bt"/>
      </w:pPr>
      <w:r w:rsidRPr="00003210">
        <w:t xml:space="preserve">In 2011, the Urban Development Program for </w:t>
      </w:r>
      <w:r w:rsidR="00DB5026">
        <w:t>r</w:t>
      </w:r>
      <w:r w:rsidRPr="00003210">
        <w:t>egional Victoria was extended to include the City of Greater Shepparton. This program provides an analysis of supply and demand for residential and industrial land</w:t>
      </w:r>
      <w:r w:rsidR="00DB5026">
        <w:t xml:space="preserve">. </w:t>
      </w:r>
      <w:r w:rsidR="00460CD9">
        <w:t>R</w:t>
      </w:r>
      <w:r w:rsidRPr="00003210">
        <w:t xml:space="preserve">esults for the </w:t>
      </w:r>
      <w:r w:rsidR="00DB5026">
        <w:t xml:space="preserve">City of Greater </w:t>
      </w:r>
      <w:r w:rsidRPr="00003210">
        <w:t xml:space="preserve">Shepparton are summarised as follows: </w:t>
      </w:r>
    </w:p>
    <w:p w:rsidR="009026F6" w:rsidRDefault="009026F6">
      <w:pPr>
        <w:rPr>
          <w:rFonts w:ascii="Calibri" w:eastAsia="Times New Roman" w:hAnsi="Calibri" w:cs="Times New Roman"/>
          <w:szCs w:val="24"/>
        </w:rPr>
      </w:pPr>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003210" w:rsidRPr="00003210" w:rsidTr="00A41B2E">
        <w:trPr>
          <w:cantSplit/>
        </w:trPr>
        <w:tc>
          <w:tcPr>
            <w:tcW w:w="9072" w:type="dxa"/>
            <w:shd w:val="clear" w:color="auto" w:fill="C5C3C2"/>
          </w:tcPr>
          <w:p w:rsidR="001E6B61" w:rsidRDefault="00DA722B">
            <w:pPr>
              <w:pStyle w:val="bt"/>
              <w:spacing w:after="120"/>
              <w:rPr>
                <w:rStyle w:val="Strong"/>
              </w:rPr>
            </w:pPr>
            <w:r w:rsidRPr="00DA722B">
              <w:rPr>
                <w:rStyle w:val="Strong"/>
              </w:rPr>
              <w:lastRenderedPageBreak/>
              <w:t>City of Greater Shepparton</w:t>
            </w:r>
          </w:p>
          <w:p w:rsidR="001E6B61" w:rsidRDefault="00DA722B">
            <w:pPr>
              <w:pStyle w:val="bt"/>
              <w:spacing w:before="120" w:after="0"/>
              <w:rPr>
                <w:rStyle w:val="Emphasis"/>
              </w:rPr>
            </w:pPr>
            <w:r w:rsidRPr="00DA722B">
              <w:rPr>
                <w:rStyle w:val="Emphasis"/>
              </w:rPr>
              <w:t>Residential land:</w:t>
            </w:r>
          </w:p>
          <w:p w:rsidR="007A143F" w:rsidRDefault="00003210" w:rsidP="001A3FCF">
            <w:pPr>
              <w:pStyle w:val="ListBullet"/>
            </w:pPr>
            <w:r w:rsidRPr="00003210">
              <w:t>There is sufficient zoned land residential land within the municipa</w:t>
            </w:r>
            <w:r w:rsidR="001A5D16">
              <w:t>lity to provide approximately 3</w:t>
            </w:r>
            <w:r w:rsidRPr="00003210">
              <w:t xml:space="preserve">966 lots and to satisfy 10 years of future residential demand. </w:t>
            </w:r>
          </w:p>
          <w:p w:rsidR="007A143F" w:rsidRDefault="001A5D16" w:rsidP="001A3FCF">
            <w:pPr>
              <w:pStyle w:val="ListBullet"/>
            </w:pPr>
            <w:r>
              <w:t>A further 7</w:t>
            </w:r>
            <w:r w:rsidR="00003210" w:rsidRPr="00003210">
              <w:t xml:space="preserve">434 lots could be created on land designated for future residential use, providing sufficient land to satisfy over 15 years of projected demand. </w:t>
            </w:r>
          </w:p>
          <w:p w:rsidR="007A143F" w:rsidRDefault="00003210" w:rsidP="001A3FCF">
            <w:pPr>
              <w:pStyle w:val="ListBullet"/>
            </w:pPr>
            <w:r w:rsidRPr="00003210">
              <w:t xml:space="preserve">Approximately 100 infill lots </w:t>
            </w:r>
            <w:r w:rsidR="00DB5026">
              <w:t>are</w:t>
            </w:r>
            <w:r w:rsidRPr="00003210">
              <w:t xml:space="preserve"> also available.</w:t>
            </w:r>
          </w:p>
          <w:p w:rsidR="001E6B61" w:rsidRDefault="00DA722B">
            <w:pPr>
              <w:pStyle w:val="bt"/>
              <w:spacing w:before="120" w:after="0"/>
              <w:rPr>
                <w:rStyle w:val="Emphasis"/>
              </w:rPr>
            </w:pPr>
            <w:r w:rsidRPr="00DA722B">
              <w:rPr>
                <w:rStyle w:val="Emphasis"/>
              </w:rPr>
              <w:t>Industrial land:</w:t>
            </w:r>
          </w:p>
          <w:p w:rsidR="007A143F" w:rsidRDefault="00003210" w:rsidP="001A3FCF">
            <w:pPr>
              <w:pStyle w:val="ListBullet"/>
            </w:pPr>
            <w:r w:rsidRPr="00003210">
              <w:t xml:space="preserve">Around 188 hectares of zoned industrial land is available for development. </w:t>
            </w:r>
          </w:p>
          <w:p w:rsidR="007A143F" w:rsidRDefault="00003210" w:rsidP="001A3FCF">
            <w:pPr>
              <w:pStyle w:val="ListBullet"/>
            </w:pPr>
            <w:r w:rsidRPr="00003210">
              <w:t xml:space="preserve">Based on recent take-up rates of land for industrial purposes, which have averaged 4.6 hectares per year, there is in excess of 15 years of industrial zoned land within the </w:t>
            </w:r>
            <w:r w:rsidR="00DB5026">
              <w:t xml:space="preserve">City </w:t>
            </w:r>
            <w:r w:rsidRPr="00003210">
              <w:t>of Greater Shepparton.</w:t>
            </w:r>
          </w:p>
          <w:p w:rsidR="009026F6" w:rsidRDefault="009026F6" w:rsidP="009026F6">
            <w:pPr>
              <w:pStyle w:val="ListBullet"/>
              <w:numPr>
                <w:ilvl w:val="0"/>
                <w:numId w:val="0"/>
              </w:numPr>
              <w:ind w:left="1630"/>
            </w:pPr>
          </w:p>
        </w:tc>
      </w:tr>
    </w:tbl>
    <w:p w:rsidR="007A5C2A" w:rsidRDefault="00003210" w:rsidP="00E770E1">
      <w:pPr>
        <w:pStyle w:val="bt"/>
        <w:spacing w:after="120"/>
        <w:rPr>
          <w:szCs w:val="20"/>
        </w:rPr>
      </w:pPr>
      <w:r w:rsidRPr="00003210">
        <w:rPr>
          <w:szCs w:val="20"/>
        </w:rPr>
        <w:t xml:space="preserve">The </w:t>
      </w:r>
      <w:r w:rsidR="00D752DC">
        <w:rPr>
          <w:szCs w:val="20"/>
        </w:rPr>
        <w:t>plan</w:t>
      </w:r>
      <w:r w:rsidR="00D752DC" w:rsidRPr="00003210">
        <w:rPr>
          <w:szCs w:val="20"/>
        </w:rPr>
        <w:t xml:space="preserve"> </w:t>
      </w:r>
      <w:r w:rsidRPr="00003210">
        <w:rPr>
          <w:szCs w:val="20"/>
        </w:rPr>
        <w:t xml:space="preserve">recognises that a number of other towns </w:t>
      </w:r>
      <w:r w:rsidR="00DA46DA">
        <w:rPr>
          <w:szCs w:val="20"/>
        </w:rPr>
        <w:t xml:space="preserve">in </w:t>
      </w:r>
      <w:r w:rsidRPr="00003210">
        <w:rPr>
          <w:szCs w:val="20"/>
        </w:rPr>
        <w:t xml:space="preserve">the Goulburn Valley </w:t>
      </w:r>
      <w:r w:rsidR="00EB6ABC">
        <w:rPr>
          <w:szCs w:val="20"/>
        </w:rPr>
        <w:t>sub-</w:t>
      </w:r>
      <w:r w:rsidR="00DA46DA">
        <w:rPr>
          <w:szCs w:val="20"/>
        </w:rPr>
        <w:t>region</w:t>
      </w:r>
      <w:r w:rsidR="00DB5026">
        <w:rPr>
          <w:szCs w:val="20"/>
        </w:rPr>
        <w:t xml:space="preserve"> </w:t>
      </w:r>
      <w:r w:rsidRPr="00003210">
        <w:rPr>
          <w:szCs w:val="20"/>
        </w:rPr>
        <w:t>including Cobram, Euroa, Nagambie, Numurkah, Tatura and Yarrawonga are likely to attract some growth. Growth will be supported, particularly in towns that have good access to Shepparton, to maximise the use of existing infrastructure and services in these settlements. Surrounding rural communities depend on these urban locations for services and for transport links to access services in larger centres. Cobram and Yarrawonga, on the Murray River (the Victoria</w:t>
      </w:r>
      <w:r w:rsidR="001F1154">
        <w:rPr>
          <w:szCs w:val="20"/>
        </w:rPr>
        <w:t>-</w:t>
      </w:r>
      <w:r w:rsidRPr="00003210">
        <w:rPr>
          <w:szCs w:val="20"/>
        </w:rPr>
        <w:t>New South Wales border)</w:t>
      </w:r>
      <w:r w:rsidR="001F1154">
        <w:rPr>
          <w:szCs w:val="20"/>
        </w:rPr>
        <w:t>,</w:t>
      </w:r>
      <w:r w:rsidRPr="00003210">
        <w:rPr>
          <w:szCs w:val="20"/>
        </w:rPr>
        <w:t xml:space="preserve"> provide services to communities in both states.</w:t>
      </w:r>
      <w:r w:rsidR="003161CD">
        <w:rPr>
          <w:szCs w:val="20"/>
        </w:rPr>
        <w:t xml:space="preserve"> </w:t>
      </w:r>
      <w:r w:rsidR="003161CD" w:rsidRPr="003161CD">
        <w:rPr>
          <w:szCs w:val="20"/>
        </w:rPr>
        <w:t xml:space="preserve">Cobram is </w:t>
      </w:r>
      <w:r w:rsidR="00FE63A4">
        <w:rPr>
          <w:szCs w:val="20"/>
        </w:rPr>
        <w:t>strategically</w:t>
      </w:r>
      <w:r w:rsidR="003161CD" w:rsidRPr="003161CD">
        <w:rPr>
          <w:szCs w:val="20"/>
        </w:rPr>
        <w:t xml:space="preserve"> located </w:t>
      </w:r>
      <w:r w:rsidR="00FE63A4">
        <w:rPr>
          <w:szCs w:val="20"/>
        </w:rPr>
        <w:t>near</w:t>
      </w:r>
      <w:r w:rsidR="003161CD" w:rsidRPr="003161CD">
        <w:rPr>
          <w:szCs w:val="20"/>
        </w:rPr>
        <w:t xml:space="preserve"> the intersection of key transport routes linking Melbourne and Brisbane a</w:t>
      </w:r>
      <w:r w:rsidR="007A5C2A">
        <w:rPr>
          <w:szCs w:val="20"/>
        </w:rPr>
        <w:t>nd Albury-Wodonga and Adelaide.</w:t>
      </w:r>
    </w:p>
    <w:p w:rsidR="00E962BD" w:rsidRDefault="00003210" w:rsidP="00E770E1">
      <w:pPr>
        <w:pStyle w:val="bt"/>
        <w:spacing w:after="120"/>
        <w:rPr>
          <w:szCs w:val="20"/>
        </w:rPr>
      </w:pPr>
      <w:r w:rsidRPr="00003210">
        <w:rPr>
          <w:szCs w:val="20"/>
        </w:rPr>
        <w:t>Opportunities may exist in some locations to take advantage of natural attractions and lifestyle opportunities such as rural settings and access to significant water bodies</w:t>
      </w:r>
      <w:r w:rsidR="00EB6ABC">
        <w:rPr>
          <w:szCs w:val="20"/>
        </w:rPr>
        <w:t>. However,</w:t>
      </w:r>
      <w:r w:rsidRPr="00003210">
        <w:rPr>
          <w:szCs w:val="20"/>
        </w:rPr>
        <w:t xml:space="preserve"> growth should be managed to avoid negative impacts on environmental assets</w:t>
      </w:r>
      <w:r w:rsidR="009C77AC">
        <w:rPr>
          <w:szCs w:val="20"/>
        </w:rPr>
        <w:t xml:space="preserve"> and exposure to natural hazards</w:t>
      </w:r>
      <w:r w:rsidR="00C47190" w:rsidRPr="00C47190">
        <w:rPr>
          <w:szCs w:val="20"/>
        </w:rPr>
        <w:t>, especially bushfire and flood</w:t>
      </w:r>
      <w:r w:rsidRPr="00003210">
        <w:rPr>
          <w:szCs w:val="20"/>
        </w:rPr>
        <w:t>.</w:t>
      </w:r>
    </w:p>
    <w:p w:rsidR="005D0A03" w:rsidRPr="005D0A03" w:rsidRDefault="007536C0" w:rsidP="00E770E1">
      <w:pPr>
        <w:pStyle w:val="bt"/>
        <w:spacing w:after="120"/>
        <w:rPr>
          <w:rStyle w:val="Strong"/>
        </w:rPr>
      </w:pPr>
      <w:r w:rsidRPr="007536C0">
        <w:rPr>
          <w:rStyle w:val="Strong"/>
        </w:rPr>
        <w:t>c)</w:t>
      </w:r>
      <w:r w:rsidRPr="007536C0">
        <w:rPr>
          <w:rStyle w:val="Strong"/>
        </w:rPr>
        <w:tab/>
        <w:t>Lower Hume</w:t>
      </w:r>
    </w:p>
    <w:p w:rsidR="007A143F" w:rsidRDefault="00003210" w:rsidP="00E770E1">
      <w:pPr>
        <w:pStyle w:val="bt"/>
        <w:spacing w:before="120"/>
      </w:pPr>
      <w:r w:rsidRPr="00003210">
        <w:t xml:space="preserve">A key characteristic of the Lower Hume </w:t>
      </w:r>
      <w:r w:rsidR="00DA46DA">
        <w:t>sub</w:t>
      </w:r>
      <w:r w:rsidR="00EB6ABC">
        <w:t>-</w:t>
      </w:r>
      <w:r w:rsidR="00DA46DA">
        <w:t>region</w:t>
      </w:r>
      <w:r w:rsidRPr="00003210">
        <w:t xml:space="preserve"> is its close proximity to the Melbourne metropolitan area. </w:t>
      </w:r>
      <w:r w:rsidR="00DB5026">
        <w:t xml:space="preserve">Northern </w:t>
      </w:r>
      <w:r w:rsidRPr="00003210">
        <w:t xml:space="preserve">metropolitan growth has been strengthened </w:t>
      </w:r>
      <w:r w:rsidR="00DB5026">
        <w:t xml:space="preserve">recently </w:t>
      </w:r>
      <w:r w:rsidRPr="00003210">
        <w:t xml:space="preserve">by the extension of Melbourne’s urban growth boundary to encompass Beveridge and Wallan in </w:t>
      </w:r>
      <w:r w:rsidR="001F1154">
        <w:t xml:space="preserve">the </w:t>
      </w:r>
      <w:r w:rsidRPr="00003210">
        <w:t>Mitchell Shire. Strong transport link</w:t>
      </w:r>
      <w:r w:rsidR="00DB5026">
        <w:t>s</w:t>
      </w:r>
      <w:r w:rsidRPr="00003210">
        <w:t xml:space="preserve"> </w:t>
      </w:r>
      <w:r w:rsidR="00DB5026">
        <w:t xml:space="preserve">to </w:t>
      </w:r>
      <w:r w:rsidRPr="00003210">
        <w:t xml:space="preserve">Melbourne, relatively affordable land and attractive living environments have translated into significant growth pressures in this </w:t>
      </w:r>
      <w:r w:rsidR="00DA46DA">
        <w:t>sub</w:t>
      </w:r>
      <w:r w:rsidR="00EB6ABC">
        <w:t>-</w:t>
      </w:r>
      <w:r w:rsidR="00DA46DA">
        <w:t>region</w:t>
      </w:r>
      <w:r w:rsidRPr="00003210">
        <w:t xml:space="preserve">, particularly in those places closer to Melbourne on the Hume corridor. </w:t>
      </w:r>
    </w:p>
    <w:p w:rsidR="007A143F" w:rsidRDefault="00003210">
      <w:pPr>
        <w:pStyle w:val="bt"/>
      </w:pPr>
      <w:r w:rsidRPr="00003210">
        <w:t xml:space="preserve">Planning for significant growth and development in areas now included within the urban growth boundary is being undertaken as part of metropolitan planning processes, including growth area planning and </w:t>
      </w:r>
      <w:r w:rsidR="007A5C2A" w:rsidRPr="007A5C2A">
        <w:rPr>
          <w:i/>
        </w:rPr>
        <w:t>Plan Melbourne</w:t>
      </w:r>
      <w:r w:rsidRPr="00003210">
        <w:t xml:space="preserve">. Significant growth </w:t>
      </w:r>
      <w:r w:rsidR="00DB5026">
        <w:t xml:space="preserve">in </w:t>
      </w:r>
      <w:r w:rsidRPr="00003210">
        <w:t xml:space="preserve">Beveridge and Wallan may present future employment opportunities to communities in the Lower Hume </w:t>
      </w:r>
      <w:r w:rsidR="00EB6ABC">
        <w:t>sub-</w:t>
      </w:r>
      <w:r w:rsidR="00DA46DA">
        <w:t>region</w:t>
      </w:r>
      <w:r w:rsidRPr="00003210">
        <w:t xml:space="preserve"> outside the metropolitan area.</w:t>
      </w:r>
    </w:p>
    <w:p w:rsidR="009026F6" w:rsidRDefault="00003210" w:rsidP="00E770E1">
      <w:pPr>
        <w:pStyle w:val="bt"/>
        <w:spacing w:after="120"/>
      </w:pPr>
      <w:r w:rsidRPr="00003210">
        <w:t xml:space="preserve">In 2011, the Urban Development Program for </w:t>
      </w:r>
      <w:r w:rsidR="00DB5026">
        <w:t>r</w:t>
      </w:r>
      <w:r w:rsidRPr="00003210">
        <w:t>egional Victoria was extended to include the Mitchell Shire. This program provides an analysis of supply and demand for residential and industrial land</w:t>
      </w:r>
      <w:r w:rsidR="00DB5026">
        <w:t xml:space="preserve">. </w:t>
      </w:r>
      <w:r w:rsidR="00460CD9">
        <w:t>R</w:t>
      </w:r>
      <w:r w:rsidRPr="00003210">
        <w:t>esults for the Mitchell Shire Council area are summarised below:</w:t>
      </w:r>
    </w:p>
    <w:p w:rsidR="009026F6" w:rsidRDefault="009026F6">
      <w:pPr>
        <w:rPr>
          <w:rFonts w:ascii="Calibri" w:eastAsia="Times New Roman" w:hAnsi="Calibri" w:cs="Times New Roman"/>
          <w:szCs w:val="24"/>
        </w:rPr>
      </w:pPr>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003210" w:rsidRPr="00003210" w:rsidTr="00A41B2E">
        <w:trPr>
          <w:cantSplit/>
        </w:trPr>
        <w:tc>
          <w:tcPr>
            <w:tcW w:w="9072" w:type="dxa"/>
            <w:shd w:val="clear" w:color="auto" w:fill="C5C3C2"/>
          </w:tcPr>
          <w:p w:rsidR="001E6B61" w:rsidRDefault="00DA722B">
            <w:pPr>
              <w:pStyle w:val="bt"/>
              <w:spacing w:after="120"/>
              <w:rPr>
                <w:rStyle w:val="Strong"/>
              </w:rPr>
            </w:pPr>
            <w:r w:rsidRPr="00DA722B">
              <w:rPr>
                <w:rStyle w:val="Strong"/>
              </w:rPr>
              <w:lastRenderedPageBreak/>
              <w:t>Mitchell Shire Council</w:t>
            </w:r>
          </w:p>
          <w:p w:rsidR="001E6B61" w:rsidRDefault="00DA722B">
            <w:pPr>
              <w:pStyle w:val="bt"/>
              <w:spacing w:before="120" w:after="0"/>
              <w:rPr>
                <w:rStyle w:val="Emphasis"/>
              </w:rPr>
            </w:pPr>
            <w:r w:rsidRPr="00DA722B">
              <w:rPr>
                <w:rStyle w:val="Emphasis"/>
              </w:rPr>
              <w:t>Residential land:</w:t>
            </w:r>
          </w:p>
          <w:p w:rsidR="007A143F" w:rsidRDefault="00003210" w:rsidP="001A3FCF">
            <w:pPr>
              <w:pStyle w:val="ListBullet"/>
            </w:pPr>
            <w:r w:rsidRPr="00003210">
              <w:t>Based on a potential supply of 9190 lots on zoned broad area residential land or on major infill sites, there is sufficient land stock available within the municipality to satisfy more than 15 years</w:t>
            </w:r>
            <w:r w:rsidR="00DB5026">
              <w:t xml:space="preserve"> of</w:t>
            </w:r>
            <w:r w:rsidRPr="00003210">
              <w:t xml:space="preserve"> projected residential demand in the Mitchell Shire</w:t>
            </w:r>
            <w:r w:rsidR="00DB5026">
              <w:t xml:space="preserve"> –</w:t>
            </w:r>
            <w:r w:rsidRPr="00003210">
              <w:t xml:space="preserve"> North Statistical Local Area (SLA) and </w:t>
            </w:r>
            <w:r w:rsidR="00DB5026">
              <w:t>nine</w:t>
            </w:r>
            <w:r w:rsidRPr="00003210">
              <w:t xml:space="preserve"> years in the Mitchell </w:t>
            </w:r>
            <w:r w:rsidR="0051117D" w:rsidRPr="00003210">
              <w:t xml:space="preserve">Shire </w:t>
            </w:r>
            <w:r w:rsidR="0051117D">
              <w:t>–</w:t>
            </w:r>
            <w:r w:rsidRPr="00003210">
              <w:t xml:space="preserve"> South SLA. </w:t>
            </w:r>
            <w:r w:rsidR="00DB5026">
              <w:t xml:space="preserve"> Around </w:t>
            </w:r>
            <w:r w:rsidRPr="00003210">
              <w:t>85</w:t>
            </w:r>
            <w:r w:rsidR="005177F2">
              <w:t xml:space="preserve"> per cent</w:t>
            </w:r>
            <w:r w:rsidRPr="00003210">
              <w:t xml:space="preserve"> of these lots are located in Wallan, Beveridge and Kilmore.</w:t>
            </w:r>
          </w:p>
          <w:p w:rsidR="007A143F" w:rsidRDefault="00003210" w:rsidP="001A3FCF">
            <w:pPr>
              <w:pStyle w:val="ListBullet"/>
              <w:rPr>
                <w:szCs w:val="10"/>
              </w:rPr>
            </w:pPr>
            <w:r w:rsidRPr="00003210">
              <w:t xml:space="preserve">A further 36,899 lots could be created on land designated for future residential use, providing sufficient land to satisfy at least a further 15 years of projected demand across the Mitchell Shire </w:t>
            </w:r>
            <w:r w:rsidR="00DB5026">
              <w:t>–</w:t>
            </w:r>
            <w:r w:rsidRPr="00003210">
              <w:t xml:space="preserve"> South SLA. There is no future residential land stock designat</w:t>
            </w:r>
            <w:r w:rsidRPr="004C4677">
              <w:t xml:space="preserve">ed within the Mitchell Shire </w:t>
            </w:r>
            <w:r w:rsidR="00DB5026" w:rsidRPr="004C4677">
              <w:t>–</w:t>
            </w:r>
            <w:r w:rsidRPr="004C4677">
              <w:t xml:space="preserve"> North SLA.</w:t>
            </w:r>
          </w:p>
          <w:p w:rsidR="001E6B61" w:rsidRDefault="00DA722B">
            <w:pPr>
              <w:pStyle w:val="bt"/>
              <w:spacing w:before="120" w:after="0"/>
              <w:rPr>
                <w:rStyle w:val="Emphasis"/>
              </w:rPr>
            </w:pPr>
            <w:r w:rsidRPr="00DA722B">
              <w:rPr>
                <w:rStyle w:val="Emphasis"/>
              </w:rPr>
              <w:t>Industrial land:</w:t>
            </w:r>
          </w:p>
          <w:p w:rsidR="007A143F" w:rsidRDefault="00A24CF3" w:rsidP="001A3FCF">
            <w:pPr>
              <w:pStyle w:val="ListBullet"/>
            </w:pPr>
            <w:r w:rsidRPr="00003210">
              <w:t>Around 1</w:t>
            </w:r>
            <w:r>
              <w:t>11</w:t>
            </w:r>
            <w:r w:rsidRPr="00003210">
              <w:t xml:space="preserve"> hectares</w:t>
            </w:r>
            <w:r>
              <w:rPr>
                <w:rStyle w:val="FootnoteReference"/>
                <w:szCs w:val="20"/>
              </w:rPr>
              <w:footnoteReference w:id="4"/>
            </w:r>
            <w:r w:rsidRPr="00003210">
              <w:t xml:space="preserve"> of zoned industrial la</w:t>
            </w:r>
            <w:r>
              <w:t>nd is available for development in Mitchell Shire (72 hectares in</w:t>
            </w:r>
            <w:r w:rsidRPr="00003210">
              <w:t xml:space="preserve"> the Mitchell Shire </w:t>
            </w:r>
            <w:r w:rsidR="00DB5026">
              <w:t xml:space="preserve">– </w:t>
            </w:r>
            <w:r w:rsidRPr="00003210">
              <w:t>South SLA</w:t>
            </w:r>
            <w:r>
              <w:t xml:space="preserve"> and 39 hectares</w:t>
            </w:r>
            <w:r w:rsidRPr="00003210">
              <w:t xml:space="preserve"> the Mitchell Shire </w:t>
            </w:r>
            <w:r w:rsidR="00DB5026">
              <w:t xml:space="preserve">– </w:t>
            </w:r>
            <w:r w:rsidRPr="00003210">
              <w:t>North SLA</w:t>
            </w:r>
            <w:r>
              <w:t>).</w:t>
            </w:r>
            <w:r w:rsidRPr="00003210">
              <w:t xml:space="preserve"> </w:t>
            </w:r>
          </w:p>
          <w:p w:rsidR="007A143F" w:rsidRDefault="00A24CF3" w:rsidP="001A3FCF">
            <w:pPr>
              <w:pStyle w:val="ListBullet"/>
            </w:pPr>
            <w:r w:rsidRPr="00A24CF3">
              <w:t>Based on recent take-up rates of land for industrial</w:t>
            </w:r>
            <w:r>
              <w:t xml:space="preserve"> purposes, which have averaged 1.8</w:t>
            </w:r>
            <w:r w:rsidRPr="00A24CF3">
              <w:t xml:space="preserve"> hectares per year, there is in excess of 15 years of industrial zoned land across </w:t>
            </w:r>
            <w:r>
              <w:t>the whole of the Mitchell Shire</w:t>
            </w:r>
            <w:r w:rsidRPr="00A24CF3">
              <w:t>.</w:t>
            </w:r>
          </w:p>
          <w:p w:rsidR="009026F6" w:rsidRDefault="009026F6" w:rsidP="009026F6">
            <w:pPr>
              <w:pStyle w:val="ListBullet"/>
              <w:numPr>
                <w:ilvl w:val="0"/>
                <w:numId w:val="0"/>
              </w:numPr>
              <w:ind w:left="1630"/>
            </w:pPr>
          </w:p>
        </w:tc>
      </w:tr>
    </w:tbl>
    <w:p w:rsidR="007A143F" w:rsidRDefault="00003210" w:rsidP="00E770E1">
      <w:pPr>
        <w:pStyle w:val="bt"/>
        <w:spacing w:before="120"/>
      </w:pPr>
      <w:r w:rsidRPr="00B83F32">
        <w:t xml:space="preserve">The </w:t>
      </w:r>
      <w:r w:rsidR="00DB5026">
        <w:t>U</w:t>
      </w:r>
      <w:r w:rsidRPr="00B83F32">
        <w:t xml:space="preserve">rban </w:t>
      </w:r>
      <w:r w:rsidR="00DB5026">
        <w:t>D</w:t>
      </w:r>
      <w:r w:rsidRPr="00B83F32">
        <w:t xml:space="preserve">evelopment </w:t>
      </w:r>
      <w:r w:rsidR="00DB5026">
        <w:t>P</w:t>
      </w:r>
      <w:r w:rsidRPr="00B83F32">
        <w:t xml:space="preserve">rogram’s findings about the absence of designated residential expansion areas in the northern part of Lower Hume </w:t>
      </w:r>
      <w:r w:rsidR="005D7C10">
        <w:t>sub</w:t>
      </w:r>
      <w:r w:rsidR="00EB6ABC">
        <w:t>-</w:t>
      </w:r>
      <w:r w:rsidR="005D7C10">
        <w:t xml:space="preserve">region </w:t>
      </w:r>
      <w:r w:rsidRPr="00B83F32">
        <w:t xml:space="preserve">around Seymour are surprising in light of the opportunities that exist in this area. Seymour is located at the junction of the Hume and the Goulburn Valley transport corridors and has regular passenger train services to and from Melbourne and interstate. It is located close to Mangalore </w:t>
      </w:r>
      <w:r w:rsidR="005D7C10">
        <w:t>A</w:t>
      </w:r>
      <w:r w:rsidRPr="00B83F32">
        <w:t xml:space="preserve">irport, which is a potential key regional transport asset for the future. The town has significant community and physical infrastructure available to accommodate growth. As a result, the </w:t>
      </w:r>
      <w:r w:rsidR="00D752DC">
        <w:t>plan</w:t>
      </w:r>
      <w:r w:rsidR="00D752DC" w:rsidRPr="00B83F32">
        <w:t xml:space="preserve"> </w:t>
      </w:r>
      <w:r w:rsidRPr="00B83F32">
        <w:t xml:space="preserve">identifies Seymour as a town that has the potential to grow into a key employment and population centre over the next 30 years. Further development opportunities may arise after 2020, with </w:t>
      </w:r>
      <w:r w:rsidR="005D7C10">
        <w:t xml:space="preserve">the </w:t>
      </w:r>
      <w:r w:rsidRPr="00B83F32">
        <w:t xml:space="preserve">completion of a levee system designed to make </w:t>
      </w:r>
      <w:r w:rsidR="005D7C10">
        <w:t xml:space="preserve">central </w:t>
      </w:r>
      <w:r w:rsidRPr="00B83F32">
        <w:t>Seymour ‘flood risk free’.</w:t>
      </w:r>
    </w:p>
    <w:p w:rsidR="007A143F" w:rsidRDefault="00B83F32">
      <w:pPr>
        <w:pStyle w:val="bt"/>
      </w:pPr>
      <w:r w:rsidRPr="00B83F32">
        <w:t xml:space="preserve">The </w:t>
      </w:r>
      <w:r w:rsidR="00D752DC">
        <w:t>plan</w:t>
      </w:r>
      <w:r w:rsidR="00D752DC" w:rsidRPr="00B83F32">
        <w:t xml:space="preserve"> </w:t>
      </w:r>
      <w:r w:rsidRPr="00B83F32">
        <w:t xml:space="preserve">confirms that Seymour’s role as a transit gateway between Melbourne and the Hume Region will be reinforced and significant growth will be encouraged to provide an economic and employment hub in the southern part of the region. A detailed framework plan </w:t>
      </w:r>
      <w:r w:rsidR="005D7C10">
        <w:t xml:space="preserve">is </w:t>
      </w:r>
      <w:r w:rsidRPr="00B83F32">
        <w:t>need</w:t>
      </w:r>
      <w:r w:rsidR="005D7C10">
        <w:t>ed</w:t>
      </w:r>
      <w:r w:rsidRPr="00B83F32">
        <w:t xml:space="preserve"> for Seymour and its surrounds to determine the appropriate locations for different land uses and the optimum timing of development. Seymour will continue to provide higher order services to nearby communities. Investment in some new or upgraded physical and social infrastructure and services will be needed to support increased demand. Some infill and urban renewal opportunities also exist in Seymour.</w:t>
      </w:r>
    </w:p>
    <w:p w:rsidR="007A143F" w:rsidRDefault="00B83F32">
      <w:pPr>
        <w:pStyle w:val="bt"/>
      </w:pPr>
      <w:r w:rsidRPr="00B83F32">
        <w:t xml:space="preserve">Other non-metropolitan urban locations identified in the </w:t>
      </w:r>
      <w:r w:rsidR="00295F7D">
        <w:t>plan</w:t>
      </w:r>
      <w:r w:rsidR="00295F7D" w:rsidRPr="00B83F32">
        <w:t xml:space="preserve"> </w:t>
      </w:r>
      <w:r w:rsidRPr="00B83F32">
        <w:t xml:space="preserve">as suitable to accommodate growth in the Lower Hume </w:t>
      </w:r>
      <w:r w:rsidR="00EB6ABC">
        <w:t>sub-</w:t>
      </w:r>
      <w:r w:rsidR="00DA46DA">
        <w:t>region</w:t>
      </w:r>
      <w:r w:rsidRPr="00B83F32">
        <w:t xml:space="preserve"> include Alexandra, Broadford, Kilmore and Yea. These places are attractive for growth due to their proximity and accessibility to Melbourne and Seymour and </w:t>
      </w:r>
      <w:r w:rsidR="005D7C10">
        <w:t xml:space="preserve">their </w:t>
      </w:r>
      <w:r w:rsidRPr="00B83F32">
        <w:t xml:space="preserve">capacity to expand, including </w:t>
      </w:r>
      <w:r w:rsidR="005D7C10">
        <w:t xml:space="preserve">the </w:t>
      </w:r>
      <w:r w:rsidRPr="00B83F32">
        <w:t xml:space="preserve">availability of developable land and existing infrastructure. </w:t>
      </w:r>
    </w:p>
    <w:p w:rsidR="007A143F" w:rsidRDefault="00B83F32">
      <w:pPr>
        <w:pStyle w:val="bt"/>
      </w:pPr>
      <w:r w:rsidRPr="00B83F32">
        <w:t xml:space="preserve">The surrounding communities in the Lower Hume </w:t>
      </w:r>
      <w:r w:rsidR="00DA46DA">
        <w:t>sub</w:t>
      </w:r>
      <w:r w:rsidR="00EB6ABC">
        <w:t>-</w:t>
      </w:r>
      <w:r w:rsidR="00DA46DA">
        <w:t>region</w:t>
      </w:r>
      <w:r w:rsidRPr="00B83F32">
        <w:t xml:space="preserve"> depend on Seymour for access to services and employment and the </w:t>
      </w:r>
      <w:r w:rsidR="00295F7D">
        <w:t>plan</w:t>
      </w:r>
      <w:r w:rsidR="00295F7D" w:rsidRPr="00B83F32">
        <w:t xml:space="preserve"> </w:t>
      </w:r>
      <w:r w:rsidRPr="00B83F32">
        <w:t xml:space="preserve">recognises this relationship is likely to become more important in </w:t>
      </w:r>
      <w:r w:rsidR="005D7C10">
        <w:t xml:space="preserve">the </w:t>
      </w:r>
      <w:r w:rsidRPr="00B83F32">
        <w:t xml:space="preserve">future. This is particularly relevant for Yea and Alexandra as Seymour will be a public transport access point to Melbourne for these communities. </w:t>
      </w:r>
    </w:p>
    <w:p w:rsidR="007A143F" w:rsidRDefault="00B83F32">
      <w:pPr>
        <w:pStyle w:val="bt"/>
      </w:pPr>
      <w:r w:rsidRPr="00B83F32">
        <w:lastRenderedPageBreak/>
        <w:t xml:space="preserve">The recent extension of Melbourne’s urban growth boundary is likely to create further pressures on urban and rural locations outside this boundary, such as in and around Broadford and Kilmore. These communities will have access to higher order services in Melbourne and Seymour and have the potential to support surrounding rural communities by providing services and transport links to larger urban centres. </w:t>
      </w:r>
    </w:p>
    <w:p w:rsidR="007A143F" w:rsidRDefault="00B83F32">
      <w:pPr>
        <w:pStyle w:val="bt"/>
      </w:pPr>
      <w:r w:rsidRPr="00B83F32">
        <w:t xml:space="preserve">The </w:t>
      </w:r>
      <w:r w:rsidR="00295F7D">
        <w:t>plan</w:t>
      </w:r>
      <w:r w:rsidR="00295F7D" w:rsidRPr="00B83F32">
        <w:t xml:space="preserve"> </w:t>
      </w:r>
      <w:r w:rsidRPr="00B83F32">
        <w:t xml:space="preserve">seeks to take advantage of the strategic opportunity that Seymour’s growth would provide for the region and to support this by encouraging growth in Alexandra, Broadford, Kilmore and Yea. Some of these localities offer unique growth opportunities related to environmental assets, but development must be managed to </w:t>
      </w:r>
      <w:r w:rsidR="005D7C10">
        <w:t xml:space="preserve">protect </w:t>
      </w:r>
      <w:r w:rsidRPr="00B83F32">
        <w:t>these values</w:t>
      </w:r>
      <w:r w:rsidR="009C77AC">
        <w:t xml:space="preserve"> and </w:t>
      </w:r>
      <w:r w:rsidR="005D7C10">
        <w:t xml:space="preserve">avoid </w:t>
      </w:r>
      <w:r w:rsidR="009C77AC">
        <w:t>exposure to natural hazards</w:t>
      </w:r>
      <w:r w:rsidR="00FC57F9" w:rsidRPr="00FC57F9">
        <w:t>, especially bushfire and flood</w:t>
      </w:r>
      <w:r w:rsidRPr="00B83F32">
        <w:t xml:space="preserve">. </w:t>
      </w:r>
    </w:p>
    <w:p w:rsidR="005D0A03" w:rsidRPr="005D0A03" w:rsidRDefault="007536C0" w:rsidP="00E770E1">
      <w:pPr>
        <w:pStyle w:val="bt"/>
        <w:spacing w:after="120"/>
        <w:rPr>
          <w:rStyle w:val="Strong"/>
        </w:rPr>
      </w:pPr>
      <w:r w:rsidRPr="007536C0">
        <w:rPr>
          <w:rStyle w:val="Strong"/>
        </w:rPr>
        <w:t>d)</w:t>
      </w:r>
      <w:r w:rsidRPr="007536C0">
        <w:rPr>
          <w:rStyle w:val="Strong"/>
        </w:rPr>
        <w:tab/>
        <w:t>Upper Hume</w:t>
      </w:r>
    </w:p>
    <w:p w:rsidR="007A143F" w:rsidRDefault="00B83F32" w:rsidP="00E770E1">
      <w:pPr>
        <w:pStyle w:val="bt"/>
        <w:spacing w:before="120"/>
      </w:pPr>
      <w:r w:rsidRPr="00B83F32">
        <w:t xml:space="preserve">Wodonga has significant capacity to accommodate future growth and extensive local strategic planning has already been undertaken to identify specific future growth fronts. Such planning aims to ensure that </w:t>
      </w:r>
      <w:r w:rsidR="005D7C10">
        <w:t xml:space="preserve">Wodonga has the capacity to accommodate </w:t>
      </w:r>
      <w:r w:rsidRPr="00B83F32">
        <w:t xml:space="preserve">significant growth trends, </w:t>
      </w:r>
      <w:r w:rsidR="005D7C10">
        <w:t xml:space="preserve">with </w:t>
      </w:r>
      <w:r w:rsidRPr="00B83F32">
        <w:t>large areas of serviced land ready for residential, commercial and ind</w:t>
      </w:r>
      <w:r w:rsidR="001F1154">
        <w:t xml:space="preserve">ustrial development. The </w:t>
      </w:r>
      <w:r w:rsidR="00295F7D">
        <w:t>p</w:t>
      </w:r>
      <w:r w:rsidR="005341F6">
        <w:t>lan</w:t>
      </w:r>
      <w:r w:rsidRPr="00B83F32">
        <w:t xml:space="preserve"> recognises that urban growth and development in the Upper Hume </w:t>
      </w:r>
      <w:r w:rsidR="00EB6ABC">
        <w:t>sub-</w:t>
      </w:r>
      <w:r w:rsidR="00DA46DA">
        <w:t>region</w:t>
      </w:r>
      <w:r w:rsidRPr="00B83F32">
        <w:t xml:space="preserve"> will be focused in Wodonga.</w:t>
      </w:r>
    </w:p>
    <w:p w:rsidR="007A143F" w:rsidRDefault="00B83F32">
      <w:pPr>
        <w:pStyle w:val="bt"/>
      </w:pPr>
      <w:r w:rsidRPr="00B83F32">
        <w:t xml:space="preserve">Infill and urban renewal opportunities exist in Wodonga, particularly in the central business district and on vacant former railway land in and around it. The </w:t>
      </w:r>
      <w:r w:rsidR="00295F7D">
        <w:t>plan</w:t>
      </w:r>
      <w:r w:rsidR="00295F7D" w:rsidRPr="00B83F32">
        <w:t xml:space="preserve"> </w:t>
      </w:r>
      <w:r w:rsidRPr="00B83F32">
        <w:t>encourages infill and redevelopment that will enhance liveability and improve urban efficiency by maximising the use of existing infrastructure.</w:t>
      </w:r>
    </w:p>
    <w:p w:rsidR="007A143F" w:rsidRDefault="00B83F32">
      <w:pPr>
        <w:pStyle w:val="bt"/>
      </w:pPr>
      <w:r w:rsidRPr="00B83F32">
        <w:t xml:space="preserve">Wodonga is an economic leader in the region and is strategically located at the junction of two major transport routes, the Hume corridor linking Melbourne and Sydney and the Murray Valley Highway to Adelaide. Opportunities exist to capitalise further on this strategic advantage, including at the LOGIC freight activity centre. Wodonga is the major employment centre for the Upper Hume </w:t>
      </w:r>
      <w:r w:rsidR="00EB6ABC">
        <w:t>sub-</w:t>
      </w:r>
      <w:r w:rsidR="00DA46DA">
        <w:t>region</w:t>
      </w:r>
      <w:r w:rsidRPr="00B83F32">
        <w:t xml:space="preserve"> and this role will be enhanced in the future as the city grows.</w:t>
      </w:r>
    </w:p>
    <w:p w:rsidR="00EE0F0D" w:rsidRDefault="00B83F32" w:rsidP="00EB39D0">
      <w:pPr>
        <w:pStyle w:val="bt"/>
      </w:pPr>
      <w:r w:rsidRPr="00B83F32">
        <w:t xml:space="preserve">The </w:t>
      </w:r>
      <w:r w:rsidR="00295F7D">
        <w:t>plan</w:t>
      </w:r>
      <w:r w:rsidR="00295F7D" w:rsidRPr="00B83F32">
        <w:t xml:space="preserve"> </w:t>
      </w:r>
      <w:r w:rsidRPr="00B83F32">
        <w:t xml:space="preserve">recognises Wodonga has major industrial and commercial development opportunities that can further enhance its role in the Upper Hume </w:t>
      </w:r>
      <w:r w:rsidR="00DA46DA">
        <w:t>sub</w:t>
      </w:r>
      <w:r w:rsidR="00EB6ABC">
        <w:t>-</w:t>
      </w:r>
      <w:r w:rsidR="00DA46DA">
        <w:t>region</w:t>
      </w:r>
      <w:r w:rsidRPr="00B83F32">
        <w:t>. Investment in physical and social infrastructure will be needed to maintain and enhance the effectiveness of Wodonga as a hub for education, health, professional services and retailing. The city also has the potential to be a significant locati</w:t>
      </w:r>
      <w:r w:rsidR="00EE0F0D">
        <w:t>on for sporting events.</w:t>
      </w:r>
    </w:p>
    <w:p w:rsidR="007A143F" w:rsidRDefault="00B83F32">
      <w:pPr>
        <w:pStyle w:val="bt"/>
      </w:pPr>
      <w:r w:rsidRPr="00B83F32">
        <w:t xml:space="preserve">The Urban Development Program for </w:t>
      </w:r>
      <w:r w:rsidR="005D7C10">
        <w:t>r</w:t>
      </w:r>
      <w:r w:rsidRPr="00B83F32">
        <w:t xml:space="preserve">egional Victoria provides an analysis of supply and demand for residential and industrial land across parts of regional Victoria and includes the City of Wodonga. Results from 2009 (the most recent information available for Wodonga) are summarised below: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B83F32" w:rsidRPr="00B83F32" w:rsidTr="00A41B2E">
        <w:trPr>
          <w:cantSplit/>
        </w:trPr>
        <w:tc>
          <w:tcPr>
            <w:tcW w:w="9072" w:type="dxa"/>
            <w:shd w:val="clear" w:color="auto" w:fill="C5C3C2"/>
          </w:tcPr>
          <w:p w:rsidR="001E6B61" w:rsidRDefault="00DA722B">
            <w:pPr>
              <w:pStyle w:val="bt"/>
              <w:spacing w:after="120"/>
              <w:rPr>
                <w:rStyle w:val="Strong"/>
              </w:rPr>
            </w:pPr>
            <w:r w:rsidRPr="00DA722B">
              <w:rPr>
                <w:rStyle w:val="Strong"/>
              </w:rPr>
              <w:t>City of Wodonga</w:t>
            </w:r>
          </w:p>
          <w:p w:rsidR="001E6B61" w:rsidRDefault="00DA722B">
            <w:pPr>
              <w:pStyle w:val="bt"/>
              <w:spacing w:before="120" w:after="0"/>
              <w:rPr>
                <w:rStyle w:val="Emphasis"/>
              </w:rPr>
            </w:pPr>
            <w:r w:rsidRPr="00DA722B">
              <w:rPr>
                <w:rStyle w:val="Emphasis"/>
              </w:rPr>
              <w:t>Residential land:</w:t>
            </w:r>
          </w:p>
          <w:p w:rsidR="007A143F" w:rsidRDefault="00B83F32" w:rsidP="001A3FCF">
            <w:pPr>
              <w:pStyle w:val="ListBullet"/>
            </w:pPr>
            <w:r w:rsidRPr="00B83F32">
              <w:t>B</w:t>
            </w:r>
            <w:r w:rsidR="001A5D16">
              <w:t>ased on a potential supply of 7</w:t>
            </w:r>
            <w:r w:rsidRPr="00B83F32">
              <w:t xml:space="preserve">419 lots on zoned residential land in the municipality, there was sufficient land to satisfy well over 15 years of future residential demand. </w:t>
            </w:r>
          </w:p>
          <w:p w:rsidR="007A143F" w:rsidRDefault="00B83F32" w:rsidP="001A3FCF">
            <w:pPr>
              <w:pStyle w:val="ListBullet"/>
            </w:pPr>
            <w:r w:rsidRPr="00B83F32">
              <w:t xml:space="preserve">A further 23,608 lots could be created on land designated for future residential use. </w:t>
            </w:r>
          </w:p>
          <w:p w:rsidR="007A143F" w:rsidRDefault="00B83F32" w:rsidP="001A3FCF">
            <w:pPr>
              <w:pStyle w:val="ListBullet"/>
            </w:pPr>
            <w:r w:rsidRPr="00B83F32">
              <w:t>Approximately 1200 infill lots were also available.</w:t>
            </w:r>
          </w:p>
          <w:p w:rsidR="001E6B61" w:rsidRDefault="00DA722B">
            <w:pPr>
              <w:pStyle w:val="bt"/>
              <w:spacing w:before="120" w:after="0"/>
              <w:rPr>
                <w:rStyle w:val="Emphasis"/>
              </w:rPr>
            </w:pPr>
            <w:r w:rsidRPr="00DA722B">
              <w:rPr>
                <w:rStyle w:val="Emphasis"/>
              </w:rPr>
              <w:t>Industrial land:</w:t>
            </w:r>
          </w:p>
          <w:p w:rsidR="007A143F" w:rsidRDefault="00B83F32" w:rsidP="001A3FCF">
            <w:pPr>
              <w:pStyle w:val="ListBullet"/>
            </w:pPr>
            <w:r w:rsidRPr="00B83F32">
              <w:t>Around 498 hectares of zone</w:t>
            </w:r>
            <w:r w:rsidRPr="00DF6019">
              <w:t>d indus</w:t>
            </w:r>
            <w:r w:rsidR="007536C0" w:rsidRPr="007536C0">
              <w:t>t</w:t>
            </w:r>
            <w:r w:rsidRPr="00B83F32">
              <w:t xml:space="preserve">rial land </w:t>
            </w:r>
            <w:r w:rsidR="005D7C10">
              <w:t>was</w:t>
            </w:r>
            <w:r w:rsidRPr="00B83F32">
              <w:t xml:space="preserve"> available for development. </w:t>
            </w:r>
          </w:p>
          <w:p w:rsidR="007A143F" w:rsidRDefault="00B83F32" w:rsidP="001A3FCF">
            <w:pPr>
              <w:pStyle w:val="ListBullet"/>
            </w:pPr>
            <w:r w:rsidRPr="00B83F32">
              <w:t>Based on recent take-up rates for land for industrial purposes, which have averaged 4.9 hectares per year</w:t>
            </w:r>
            <w:r w:rsidR="005D7C10">
              <w:t>,</w:t>
            </w:r>
            <w:r w:rsidR="004C4677">
              <w:t xml:space="preserve"> </w:t>
            </w:r>
            <w:r w:rsidRPr="00B83F32">
              <w:t xml:space="preserve">there </w:t>
            </w:r>
            <w:r w:rsidR="005D7C10">
              <w:t xml:space="preserve">was </w:t>
            </w:r>
            <w:r w:rsidRPr="00B83F32">
              <w:t>in excess of 15 years of supply of industrial zoned land within the municipality</w:t>
            </w:r>
            <w:r w:rsidR="005D7C10">
              <w:t xml:space="preserve"> in 2009</w:t>
            </w:r>
            <w:r w:rsidRPr="00B83F32">
              <w:t>.</w:t>
            </w:r>
          </w:p>
          <w:p w:rsidR="009026F6" w:rsidRDefault="009026F6" w:rsidP="009026F6">
            <w:pPr>
              <w:pStyle w:val="ListBullet"/>
              <w:numPr>
                <w:ilvl w:val="0"/>
                <w:numId w:val="0"/>
              </w:numPr>
              <w:ind w:left="1630"/>
            </w:pPr>
          </w:p>
        </w:tc>
      </w:tr>
    </w:tbl>
    <w:p w:rsidR="007A143F" w:rsidRDefault="00B83F32">
      <w:pPr>
        <w:pStyle w:val="bt"/>
      </w:pPr>
      <w:r w:rsidRPr="00B83F32">
        <w:lastRenderedPageBreak/>
        <w:t xml:space="preserve">The Australian Government recognises the </w:t>
      </w:r>
      <w:r w:rsidR="005D7C10">
        <w:t xml:space="preserve">combined urban area </w:t>
      </w:r>
      <w:r w:rsidRPr="00B83F32">
        <w:t>of Albury</w:t>
      </w:r>
      <w:r w:rsidR="001F1154">
        <w:t>-</w:t>
      </w:r>
      <w:r w:rsidRPr="00B83F32">
        <w:t xml:space="preserve">Wodonga as one of the nation’s 18 major cities. The </w:t>
      </w:r>
      <w:r w:rsidR="00295F7D">
        <w:t>plan</w:t>
      </w:r>
      <w:r w:rsidR="00295F7D" w:rsidRPr="00B83F32">
        <w:t xml:space="preserve"> </w:t>
      </w:r>
      <w:r w:rsidRPr="00B83F32">
        <w:t>recognises the influence of Albury</w:t>
      </w:r>
      <w:r w:rsidR="001F1154">
        <w:t>-</w:t>
      </w:r>
      <w:r w:rsidRPr="00B83F32">
        <w:t xml:space="preserve">Wodonga in the Upper Hume </w:t>
      </w:r>
      <w:r w:rsidR="00EB6ABC">
        <w:t>sub-</w:t>
      </w:r>
      <w:r w:rsidR="00DA46DA">
        <w:t>region</w:t>
      </w:r>
      <w:r w:rsidRPr="00B83F32">
        <w:t xml:space="preserve"> and the Hume Region more broadly and embraces the advantages that flow from it. Both Albury and Wodonga are expected to grow significantly in the future and both councils are planning for large residential expansion, including growth fronts such as the </w:t>
      </w:r>
      <w:r w:rsidR="00226D34" w:rsidRPr="00B83F32">
        <w:t>Leneva</w:t>
      </w:r>
      <w:r w:rsidR="001F1154">
        <w:t>-</w:t>
      </w:r>
      <w:r w:rsidRPr="00B83F32">
        <w:t>Baranduda Growth Area. Albury</w:t>
      </w:r>
      <w:r w:rsidR="001F1154">
        <w:t>-</w:t>
      </w:r>
      <w:r w:rsidRPr="00B83F32">
        <w:t>Wodonga offers a range of higher order services to communities within its catchment</w:t>
      </w:r>
      <w:r w:rsidR="00EB6ABC">
        <w:t>,</w:t>
      </w:r>
      <w:r w:rsidRPr="00B83F32">
        <w:t xml:space="preserve"> such as universiti</w:t>
      </w:r>
      <w:r w:rsidR="00EB6ABC">
        <w:t xml:space="preserve">es, hospitals, </w:t>
      </w:r>
      <w:r w:rsidRPr="00B83F32">
        <w:t>transport facilities and an airport with commercial flights to Melbourne and Sydney.</w:t>
      </w:r>
    </w:p>
    <w:p w:rsidR="007A5C2A" w:rsidRDefault="00B83F32">
      <w:pPr>
        <w:pStyle w:val="bt"/>
      </w:pPr>
      <w:r w:rsidRPr="00B83F32">
        <w:t xml:space="preserve">The </w:t>
      </w:r>
      <w:r w:rsidR="00295F7D">
        <w:t>plan</w:t>
      </w:r>
      <w:r w:rsidR="00295F7D" w:rsidRPr="00B83F32">
        <w:t xml:space="preserve"> </w:t>
      </w:r>
      <w:r w:rsidRPr="00B83F32">
        <w:t xml:space="preserve">recognises that a number of settlements in the Upper Hume </w:t>
      </w:r>
      <w:r w:rsidR="00DA46DA">
        <w:t>sub</w:t>
      </w:r>
      <w:r w:rsidR="00EB6ABC">
        <w:t>-</w:t>
      </w:r>
      <w:r w:rsidR="00DA46DA">
        <w:t>region</w:t>
      </w:r>
      <w:r w:rsidRPr="00B83F32">
        <w:t xml:space="preserve"> including Barnawartha, Beechworth, Bellbridge, Chiltern, Rutherglen, Tallangatta, Tangambalanga, Wahgunyah and Yackandandah can potentially support future urban growth. These places provide lifestyle opportunities that supplement those available in Wodonga’s urban and suburban neighbourhoods. </w:t>
      </w:r>
    </w:p>
    <w:p w:rsidR="007A143F" w:rsidRDefault="00B83F32">
      <w:pPr>
        <w:pStyle w:val="bt"/>
      </w:pPr>
      <w:r w:rsidRPr="00B83F32">
        <w:t>In localities surrounding Wodonga, opportunities are linked to pleasant settings in rural areas, near water bodies, in attractive landscapes or in heritage towns. The relatively low cost of properties in these areas, compared with Wodonga, is also a consideration. Albury–Wodonga provides employment and higher order services to these communities.</w:t>
      </w:r>
      <w:r w:rsidR="009C77AC">
        <w:t xml:space="preserve"> </w:t>
      </w:r>
      <w:r w:rsidR="00363F37" w:rsidRPr="00363F37">
        <w:t xml:space="preserve">Corryong offers some growth opportunities as it provides a range of infrastructure and services to a relatively large catchment extending into New South Wales. </w:t>
      </w:r>
      <w:r w:rsidR="009C77AC">
        <w:t>D</w:t>
      </w:r>
      <w:r w:rsidR="009C77AC" w:rsidRPr="00B83F32">
        <w:t xml:space="preserve">evelopment </w:t>
      </w:r>
      <w:r w:rsidR="009C77AC">
        <w:t xml:space="preserve">in these locations </w:t>
      </w:r>
      <w:r w:rsidR="009C77AC" w:rsidRPr="00B83F32">
        <w:t>must be man</w:t>
      </w:r>
      <w:r w:rsidR="009C77AC">
        <w:t>aged to avoid detriment to environmental</w:t>
      </w:r>
      <w:r w:rsidR="009C77AC" w:rsidRPr="00B83F32">
        <w:t xml:space="preserve"> values</w:t>
      </w:r>
      <w:r w:rsidR="009C77AC">
        <w:t xml:space="preserve"> and exposure to natural hazards</w:t>
      </w:r>
      <w:r w:rsidR="00FC57F9" w:rsidRPr="00FC57F9">
        <w:t>, especially bushfire and flood</w:t>
      </w:r>
      <w:r w:rsidR="009C77AC" w:rsidRPr="00B83F32">
        <w:t>.</w:t>
      </w:r>
    </w:p>
    <w:p w:rsidR="007A143F" w:rsidRDefault="00725F7B" w:rsidP="00E770E1">
      <w:pPr>
        <w:pStyle w:val="Heading2"/>
        <w:tabs>
          <w:tab w:val="clear" w:pos="396"/>
        </w:tabs>
        <w:spacing w:before="240"/>
        <w:ind w:left="567"/>
      </w:pPr>
      <w:bookmarkStart w:id="212" w:name="_Toc355970776"/>
      <w:bookmarkStart w:id="213" w:name="_Toc359422957"/>
      <w:bookmarkStart w:id="214" w:name="_Toc374612458"/>
      <w:r w:rsidRPr="004C4677">
        <w:t xml:space="preserve">Small </w:t>
      </w:r>
      <w:r w:rsidR="00A379E4" w:rsidRPr="004C4677">
        <w:t>s</w:t>
      </w:r>
      <w:r w:rsidRPr="004C4677">
        <w:t>ettlements</w:t>
      </w:r>
      <w:bookmarkEnd w:id="212"/>
      <w:bookmarkEnd w:id="213"/>
      <w:bookmarkEnd w:id="214"/>
    </w:p>
    <w:p w:rsidR="007A143F" w:rsidRDefault="00725F7B">
      <w:pPr>
        <w:pStyle w:val="bt"/>
      </w:pPr>
      <w:r w:rsidRPr="00725F7B">
        <w:t xml:space="preserve">The </w:t>
      </w:r>
      <w:r w:rsidR="00ED18A5">
        <w:t xml:space="preserve">Hume </w:t>
      </w:r>
      <w:r w:rsidR="00E2225F">
        <w:t>R</w:t>
      </w:r>
      <w:r w:rsidRPr="00725F7B">
        <w:t xml:space="preserve">egion contains many smaller settlements not specifically nominated in the </w:t>
      </w:r>
      <w:r w:rsidR="00295F7D">
        <w:t>plan</w:t>
      </w:r>
      <w:r w:rsidR="00295F7D" w:rsidRPr="00725F7B">
        <w:t xml:space="preserve"> </w:t>
      </w:r>
      <w:r w:rsidRPr="00725F7B">
        <w:t xml:space="preserve">as targeted growth locations. These settlements form part of the regional settlement network and their role and function within this network is recognised and supported. </w:t>
      </w:r>
    </w:p>
    <w:p w:rsidR="007A143F" w:rsidRDefault="00725F7B">
      <w:pPr>
        <w:pStyle w:val="bt"/>
      </w:pPr>
      <w:r w:rsidRPr="00725F7B">
        <w:t xml:space="preserve">The majority of these locations are expected to experience some population growth especially in areas of high rural amenity or natural beauty and within the peri-urban areas of Melbourne and regional cities. Small townships and settlements provide diversity and choice </w:t>
      </w:r>
      <w:r w:rsidR="00ED18A5">
        <w:t xml:space="preserve">of </w:t>
      </w:r>
      <w:r w:rsidRPr="00725F7B">
        <w:t>lifestyles and residential environments.</w:t>
      </w:r>
    </w:p>
    <w:p w:rsidR="007A143F" w:rsidRDefault="00725F7B">
      <w:pPr>
        <w:pStyle w:val="bt"/>
      </w:pPr>
      <w:r w:rsidRPr="00725F7B">
        <w:t xml:space="preserve">Settlements in areas dependent on agriculture are more likely to experience population decline and the </w:t>
      </w:r>
      <w:r w:rsidR="00295F7D">
        <w:t>plan</w:t>
      </w:r>
      <w:r w:rsidR="00295F7D" w:rsidRPr="00725F7B">
        <w:t xml:space="preserve"> </w:t>
      </w:r>
      <w:r w:rsidRPr="00725F7B">
        <w:t>recognises that economic growth in these areas will not necessarily translate to population growth for smaller settlements. Measures to increase agricultural productivity, such as mechanisation, have resulted in declines in employment on farms and the population of farmers as a whole has reduced as farms have become larger. A recent trend for agricultural service industries to concentrate in major regional centres has also led to a decline in employment opportunities in small towns. Younger people are tending to migrate to regional centres and metropolitan areas, resulting in declining population and increasing average age levels in small towns in rural Victoria.</w:t>
      </w:r>
    </w:p>
    <w:p w:rsidR="009026F6" w:rsidRDefault="00725F7B">
      <w:pPr>
        <w:pStyle w:val="bt"/>
      </w:pPr>
      <w:r w:rsidRPr="00725F7B">
        <w:t xml:space="preserve">The </w:t>
      </w:r>
      <w:r w:rsidR="00295F7D">
        <w:t>plan</w:t>
      </w:r>
      <w:r w:rsidR="00295F7D" w:rsidRPr="00725F7B">
        <w:t xml:space="preserve"> </w:t>
      </w:r>
      <w:r w:rsidRPr="00725F7B">
        <w:t>points out that in some instances, townships will need further support</w:t>
      </w:r>
      <w:r w:rsidR="00ED18A5">
        <w:t>,</w:t>
      </w:r>
      <w:r w:rsidRPr="00725F7B">
        <w:t xml:space="preserve"> by mechanisms other than the planning system</w:t>
      </w:r>
      <w:r w:rsidR="00ED18A5">
        <w:t>,</w:t>
      </w:r>
      <w:r w:rsidRPr="00725F7B">
        <w:t xml:space="preserve"> to remain economically viable and increase their sustainability, especially where populations have declined. Communities will need to be resilient to ensure they </w:t>
      </w:r>
      <w:r w:rsidR="00ED18A5">
        <w:t xml:space="preserve">can </w:t>
      </w:r>
      <w:r w:rsidRPr="00725F7B">
        <w:t>adapt to economic trends, the impacts of climate change, population movements and a changing demographic profile.</w:t>
      </w:r>
    </w:p>
    <w:p w:rsidR="00EB39DF" w:rsidRDefault="00EB39DF">
      <w:pPr>
        <w:pStyle w:val="bt"/>
        <w:spacing w:after="120"/>
        <w:rPr>
          <w:rStyle w:val="Strong"/>
        </w:rPr>
      </w:pPr>
      <w:r w:rsidRPr="00DA722B">
        <w:rPr>
          <w:rStyle w:val="Strong"/>
        </w:rPr>
        <w:t>Understanding Small Settlements in Victoria (</w:t>
      </w:r>
      <w:r w:rsidRPr="005427FA">
        <w:rPr>
          <w:rStyle w:val="Strong"/>
        </w:rPr>
        <w:t xml:space="preserve">Planisphere, </w:t>
      </w:r>
      <w:r w:rsidRPr="00DA722B">
        <w:rPr>
          <w:rStyle w:val="Strong"/>
        </w:rPr>
        <w:t>2012)</w:t>
      </w:r>
    </w:p>
    <w:p w:rsidR="00EB39DF" w:rsidRDefault="00EB39DF" w:rsidP="00E770E1">
      <w:pPr>
        <w:pStyle w:val="bt"/>
        <w:spacing w:after="0"/>
      </w:pPr>
      <w:r w:rsidRPr="00725F7B">
        <w:t>The report</w:t>
      </w:r>
      <w:r>
        <w:t>,</w:t>
      </w:r>
      <w:r w:rsidRPr="00725F7B">
        <w:t xml:space="preserve"> </w:t>
      </w:r>
      <w:r w:rsidRPr="00B44623">
        <w:rPr>
          <w:rStyle w:val="Emphasis"/>
          <w:i w:val="0"/>
        </w:rPr>
        <w:t>Understanding Small Settlements in Victoria</w:t>
      </w:r>
      <w:r>
        <w:t>,</w:t>
      </w:r>
      <w:r w:rsidRPr="00B44623">
        <w:t xml:space="preserve"> </w:t>
      </w:r>
      <w:r w:rsidRPr="00725F7B">
        <w:t xml:space="preserve">recognises that the </w:t>
      </w:r>
      <w:r>
        <w:t>drivers for change a</w:t>
      </w:r>
      <w:r w:rsidRPr="00725F7B">
        <w:t xml:space="preserve">ffecting smaller settlements are diverse. This report identifies some of the </w:t>
      </w:r>
      <w:r w:rsidRPr="00725F7B">
        <w:rPr>
          <w:u w:val="single"/>
        </w:rPr>
        <w:t xml:space="preserve">key factors that will influence the capacity of these settlements to adapt to change </w:t>
      </w:r>
      <w:r w:rsidRPr="00725F7B">
        <w:t>and recover from negative events as follows:</w:t>
      </w:r>
    </w:p>
    <w:p w:rsidR="00EB39DF" w:rsidRDefault="00EB39DF" w:rsidP="001A3FCF">
      <w:pPr>
        <w:pStyle w:val="ListBullet"/>
      </w:pPr>
      <w:r w:rsidRPr="00725F7B">
        <w:rPr>
          <w:i/>
        </w:rPr>
        <w:t>Social capital</w:t>
      </w:r>
      <w:r>
        <w:t xml:space="preserve"> – </w:t>
      </w:r>
      <w:r w:rsidRPr="00725F7B">
        <w:t>high community participation is a contributing factor to the self-reliance of some settlements</w:t>
      </w:r>
      <w:r>
        <w:t>,</w:t>
      </w:r>
      <w:r w:rsidRPr="00725F7B">
        <w:t xml:space="preserve"> particularly those at greater distances from larger urban centres.</w:t>
      </w:r>
    </w:p>
    <w:p w:rsidR="00EB39DF" w:rsidRDefault="00EB39DF" w:rsidP="001A3FCF">
      <w:pPr>
        <w:pStyle w:val="ListBullet"/>
      </w:pPr>
      <w:r w:rsidRPr="00725F7B">
        <w:rPr>
          <w:i/>
        </w:rPr>
        <w:lastRenderedPageBreak/>
        <w:t>Community services</w:t>
      </w:r>
      <w:r>
        <w:t xml:space="preserve"> – </w:t>
      </w:r>
      <w:r w:rsidRPr="00725F7B">
        <w:t>access to community services heavily influences the self-sufficiency of settlements and clusters of settlements and can influence the location choices of residents (particularly retirees). In settlements where populations are stable or decreasing</w:t>
      </w:r>
      <w:r>
        <w:t>,</w:t>
      </w:r>
      <w:r w:rsidRPr="00725F7B">
        <w:t xml:space="preserve"> the ongoing viability of established services is a key issue. Economies of scale may be lacking in these areas and, absent of major population growth, communities will mostly rely on innovative service delivery models to address needs. Access to higher level services is important to sustain and support smaller settlements.</w:t>
      </w:r>
    </w:p>
    <w:p w:rsidR="00EB39DF" w:rsidRDefault="00EB39DF" w:rsidP="001A3FCF">
      <w:pPr>
        <w:pStyle w:val="ListBullet"/>
      </w:pPr>
      <w:r w:rsidRPr="00725F7B">
        <w:rPr>
          <w:i/>
        </w:rPr>
        <w:t>Physical infrastructure</w:t>
      </w:r>
      <w:r>
        <w:t xml:space="preserve"> – </w:t>
      </w:r>
      <w:r w:rsidRPr="00725F7B">
        <w:t>the presence or absence of physical infrastructure significantly influences the quality of life and economic opportunities in smaller settlements. Infrastructure investment promotes greater economic activity and greater employment diversity is a strong indicator of town resilience.</w:t>
      </w:r>
    </w:p>
    <w:p w:rsidR="00EB39DF" w:rsidRDefault="00EB39DF" w:rsidP="001A3FCF">
      <w:pPr>
        <w:pStyle w:val="ListBullet"/>
      </w:pPr>
      <w:r w:rsidRPr="00725F7B">
        <w:rPr>
          <w:i/>
        </w:rPr>
        <w:t>Economic diversification</w:t>
      </w:r>
      <w:r>
        <w:t xml:space="preserve"> – </w:t>
      </w:r>
      <w:r w:rsidRPr="00725F7B">
        <w:t xml:space="preserve">the diversification of local economies is a key objective to support the adaptation of small towns. Diversification provides a wider range of employment opportunities and reduces risks associated with over reliance on individual sectors. Access to diverse economic opportunities should not detract from amenity, environmental values and agricultural productivity. While many smaller settlements offer inexpensive land and key infrastructure, these do not overcome the barriers to investment </w:t>
      </w:r>
      <w:r>
        <w:t xml:space="preserve">such as </w:t>
      </w:r>
      <w:r w:rsidRPr="00725F7B">
        <w:t xml:space="preserve">distance from markets, high operating costs and lack of suitably skilled workers. Economic diversity will help communities to adapt to the implications of climate change. Diversified farming (responding to carbon trading) may result in a need for new supporting and processing industries. </w:t>
      </w:r>
    </w:p>
    <w:p w:rsidR="00EB39DF" w:rsidRDefault="00EB39DF" w:rsidP="00E770E1">
      <w:pPr>
        <w:pStyle w:val="bt"/>
        <w:spacing w:after="0"/>
      </w:pPr>
      <w:r w:rsidRPr="00725F7B">
        <w:t>The report focuses on land use planning responses that support the adaptation and resilience of smaller settlements. Strategies recommended in the report include:</w:t>
      </w:r>
    </w:p>
    <w:p w:rsidR="00EB39DF" w:rsidRDefault="00EB39DF" w:rsidP="001A3FCF">
      <w:pPr>
        <w:pStyle w:val="ListBullet"/>
      </w:pPr>
      <w:r w:rsidRPr="00725F7B">
        <w:t>managing growth and change through:</w:t>
      </w:r>
    </w:p>
    <w:p w:rsidR="00EB39DF" w:rsidRDefault="00EB39DF" w:rsidP="007A5C2A">
      <w:pPr>
        <w:pStyle w:val="ListBullet"/>
        <w:numPr>
          <w:ilvl w:val="1"/>
          <w:numId w:val="5"/>
        </w:numPr>
      </w:pPr>
      <w:r w:rsidRPr="00725F7B">
        <w:t>land use planning processes at a network scale, rather than by individual settlement</w:t>
      </w:r>
    </w:p>
    <w:p w:rsidR="00EB39DF" w:rsidRDefault="00EB39DF" w:rsidP="007A5C2A">
      <w:pPr>
        <w:pStyle w:val="ListBullet"/>
        <w:numPr>
          <w:ilvl w:val="1"/>
          <w:numId w:val="5"/>
        </w:numPr>
      </w:pPr>
      <w:r w:rsidRPr="00725F7B">
        <w:t>structure planning including community infrastructure assessments and initiati</w:t>
      </w:r>
      <w:r>
        <w:t>ves to develop a sense of place</w:t>
      </w:r>
    </w:p>
    <w:p w:rsidR="00EB39DF" w:rsidRDefault="00EB39DF" w:rsidP="001A3FCF">
      <w:pPr>
        <w:pStyle w:val="ListBullet"/>
      </w:pPr>
      <w:r w:rsidRPr="00725F7B">
        <w:t>providing infrastructure including:</w:t>
      </w:r>
    </w:p>
    <w:p w:rsidR="00EB39DF" w:rsidRDefault="00EB39DF" w:rsidP="008145AC">
      <w:pPr>
        <w:pStyle w:val="ListBullet"/>
        <w:numPr>
          <w:ilvl w:val="1"/>
          <w:numId w:val="5"/>
        </w:numPr>
      </w:pPr>
      <w:r w:rsidRPr="00725F7B">
        <w:t>assessing infrastructure needs at a network scale</w:t>
      </w:r>
    </w:p>
    <w:p w:rsidR="00EB39DF" w:rsidRDefault="00EB39DF" w:rsidP="008145AC">
      <w:pPr>
        <w:pStyle w:val="ListBullet"/>
        <w:numPr>
          <w:ilvl w:val="1"/>
          <w:numId w:val="5"/>
        </w:numPr>
      </w:pPr>
      <w:r w:rsidRPr="00725F7B">
        <w:t>developing new models for the use of existing and proposed community facilities and services such as multi</w:t>
      </w:r>
      <w:r>
        <w:t>-</w:t>
      </w:r>
      <w:r w:rsidRPr="00725F7B">
        <w:t>functional and multi</w:t>
      </w:r>
      <w:r>
        <w:t>-purpose hubs</w:t>
      </w:r>
    </w:p>
    <w:p w:rsidR="00EB39DF" w:rsidRDefault="00EB39DF" w:rsidP="001A3FCF">
      <w:pPr>
        <w:pStyle w:val="ListBullet"/>
      </w:pPr>
      <w:r w:rsidRPr="00725F7B">
        <w:t>accessing services, jobs and social opportunities, including:</w:t>
      </w:r>
    </w:p>
    <w:p w:rsidR="00EB39DF" w:rsidRDefault="00EB39DF" w:rsidP="008145AC">
      <w:pPr>
        <w:pStyle w:val="ListBullet"/>
        <w:numPr>
          <w:ilvl w:val="1"/>
          <w:numId w:val="5"/>
        </w:numPr>
      </w:pPr>
      <w:r w:rsidRPr="00725F7B">
        <w:t>identifying opportunities to strengthen links between smaller settlements and larger urban centres</w:t>
      </w:r>
    </w:p>
    <w:p w:rsidR="00EB39DF" w:rsidRDefault="00EB39DF" w:rsidP="008145AC">
      <w:pPr>
        <w:pStyle w:val="ListBullet"/>
        <w:numPr>
          <w:ilvl w:val="1"/>
          <w:numId w:val="5"/>
        </w:numPr>
      </w:pPr>
      <w:r w:rsidRPr="00725F7B">
        <w:t>analysing the connectivity to services and facilities</w:t>
      </w:r>
    </w:p>
    <w:p w:rsidR="00EB39DF" w:rsidRDefault="00EB39DF" w:rsidP="008145AC">
      <w:pPr>
        <w:pStyle w:val="ListBullet"/>
        <w:numPr>
          <w:ilvl w:val="1"/>
          <w:numId w:val="5"/>
        </w:numPr>
      </w:pPr>
      <w:r w:rsidRPr="00725F7B">
        <w:t>undertaking a transport vulnerability assessment</w:t>
      </w:r>
    </w:p>
    <w:p w:rsidR="00EB39DF" w:rsidRDefault="00EB39DF" w:rsidP="008145AC">
      <w:pPr>
        <w:pStyle w:val="ListBullet"/>
        <w:numPr>
          <w:ilvl w:val="1"/>
          <w:numId w:val="5"/>
        </w:numPr>
      </w:pPr>
      <w:r w:rsidRPr="00725F7B">
        <w:t>investigating opportunities to provide community transport services.</w:t>
      </w:r>
    </w:p>
    <w:p w:rsidR="00EB39DF" w:rsidRDefault="00EB39DF" w:rsidP="008145AC">
      <w:pPr>
        <w:pStyle w:val="ListBullet"/>
        <w:numPr>
          <w:ilvl w:val="1"/>
          <w:numId w:val="5"/>
        </w:numPr>
      </w:pPr>
    </w:p>
    <w:p w:rsidR="00EB39DF" w:rsidRDefault="00EB39DF" w:rsidP="001A3FCF">
      <w:pPr>
        <w:pStyle w:val="ListBullet"/>
      </w:pPr>
      <w:r w:rsidRPr="00725F7B">
        <w:t>supporting agricultural and rural production reform, including:</w:t>
      </w:r>
    </w:p>
    <w:p w:rsidR="00EB39DF" w:rsidRDefault="00EB39DF" w:rsidP="00EF5CB3">
      <w:pPr>
        <w:pStyle w:val="ListBullet"/>
        <w:numPr>
          <w:ilvl w:val="1"/>
          <w:numId w:val="5"/>
        </w:numPr>
      </w:pPr>
      <w:r w:rsidRPr="00725F7B">
        <w:t>identifying priority production and agricultural landscapes at a regional scale</w:t>
      </w:r>
    </w:p>
    <w:p w:rsidR="00EB39DF" w:rsidRDefault="00EB39DF" w:rsidP="00EF5CB3">
      <w:pPr>
        <w:pStyle w:val="ListBullet"/>
        <w:numPr>
          <w:ilvl w:val="1"/>
          <w:numId w:val="5"/>
        </w:numPr>
      </w:pPr>
      <w:r w:rsidRPr="00725F7B">
        <w:t>investigating opportunities for farm land aggregation to facilitate production</w:t>
      </w:r>
    </w:p>
    <w:p w:rsidR="00EB39DF" w:rsidRDefault="00EB39DF" w:rsidP="00EF5CB3">
      <w:pPr>
        <w:pStyle w:val="ListBullet"/>
        <w:numPr>
          <w:ilvl w:val="1"/>
          <w:numId w:val="5"/>
        </w:numPr>
      </w:pPr>
      <w:r w:rsidRPr="00725F7B">
        <w:t>further reflecting on the importance of existing irrigation infrastructure in planning policy</w:t>
      </w:r>
    </w:p>
    <w:p w:rsidR="00EB39DF" w:rsidRDefault="00EB39DF" w:rsidP="00EF5CB3">
      <w:pPr>
        <w:pStyle w:val="ListBullet"/>
        <w:numPr>
          <w:ilvl w:val="1"/>
          <w:numId w:val="5"/>
        </w:numPr>
      </w:pPr>
      <w:r w:rsidRPr="00725F7B">
        <w:lastRenderedPageBreak/>
        <w:t xml:space="preserve">identifying, maintaining and protecting strategic sites and areas </w:t>
      </w:r>
      <w:r>
        <w:t>for future infrastructure needs</w:t>
      </w:r>
    </w:p>
    <w:p w:rsidR="00EB39DF" w:rsidRDefault="00EB39DF" w:rsidP="001A3FCF">
      <w:pPr>
        <w:pStyle w:val="ListBullet"/>
      </w:pPr>
      <w:r w:rsidRPr="00725F7B">
        <w:t>facilitating localised responses, including:</w:t>
      </w:r>
    </w:p>
    <w:p w:rsidR="00EB39DF" w:rsidRDefault="00EB39DF" w:rsidP="00EF5CB3">
      <w:pPr>
        <w:pStyle w:val="ListBullet"/>
        <w:numPr>
          <w:ilvl w:val="1"/>
          <w:numId w:val="5"/>
        </w:numPr>
      </w:pPr>
      <w:r w:rsidRPr="00725F7B">
        <w:t>planning services on a network basis</w:t>
      </w:r>
    </w:p>
    <w:p w:rsidR="00EB39DF" w:rsidRDefault="00EB39DF" w:rsidP="00EF5CB3">
      <w:pPr>
        <w:pStyle w:val="ListBullet"/>
        <w:numPr>
          <w:ilvl w:val="1"/>
          <w:numId w:val="5"/>
        </w:numPr>
      </w:pPr>
      <w:r w:rsidRPr="00725F7B">
        <w:t>supporting more environmentally sustainable development standards in regional locations</w:t>
      </w:r>
    </w:p>
    <w:p w:rsidR="00EB39DF" w:rsidRDefault="00EB39DF" w:rsidP="00EF5CB3">
      <w:pPr>
        <w:pStyle w:val="ListBullet"/>
        <w:numPr>
          <w:ilvl w:val="1"/>
          <w:numId w:val="5"/>
        </w:numPr>
      </w:pPr>
      <w:r w:rsidRPr="00725F7B">
        <w:t xml:space="preserve">identifying opportunities to support smaller, less resourced councils to undertake </w:t>
      </w:r>
      <w:r>
        <w:t>key strategic planning projects</w:t>
      </w:r>
    </w:p>
    <w:p w:rsidR="00EB39DF" w:rsidRDefault="00EB39DF" w:rsidP="00EF5CB3">
      <w:pPr>
        <w:pStyle w:val="ListBullet"/>
        <w:numPr>
          <w:ilvl w:val="1"/>
          <w:numId w:val="5"/>
        </w:numPr>
      </w:pPr>
      <w:r w:rsidRPr="00725F7B">
        <w:t>diversifying economies</w:t>
      </w:r>
    </w:p>
    <w:p w:rsidR="00EB39DF" w:rsidRDefault="00EB39DF" w:rsidP="00EF5CB3">
      <w:pPr>
        <w:pStyle w:val="ListBullet"/>
        <w:numPr>
          <w:ilvl w:val="1"/>
          <w:numId w:val="5"/>
        </w:numPr>
      </w:pPr>
      <w:r w:rsidRPr="00725F7B">
        <w:t>addressing natural hazards (such as bushfire and flood)</w:t>
      </w:r>
    </w:p>
    <w:p w:rsidR="00EB39DF" w:rsidRDefault="00EB39DF" w:rsidP="00EF5CB3">
      <w:pPr>
        <w:pStyle w:val="ListBullet"/>
        <w:numPr>
          <w:ilvl w:val="1"/>
          <w:numId w:val="5"/>
        </w:numPr>
      </w:pPr>
      <w:r w:rsidRPr="00725F7B">
        <w:t>benefiting from new technology and global changes</w:t>
      </w:r>
    </w:p>
    <w:p w:rsidR="00EB39DF" w:rsidRDefault="00EB39DF" w:rsidP="001A3FCF">
      <w:pPr>
        <w:pStyle w:val="ListBullet"/>
      </w:pPr>
      <w:r w:rsidRPr="00725F7B">
        <w:t>strengthening communities, including:</w:t>
      </w:r>
    </w:p>
    <w:p w:rsidR="00EB39DF" w:rsidRDefault="00EB39DF" w:rsidP="00EF5CB3">
      <w:pPr>
        <w:pStyle w:val="ListBullet"/>
        <w:numPr>
          <w:ilvl w:val="1"/>
          <w:numId w:val="5"/>
        </w:numPr>
      </w:pPr>
      <w:r w:rsidRPr="00725F7B">
        <w:t>exploring opportunities for community planning at a network scale</w:t>
      </w:r>
    </w:p>
    <w:p w:rsidR="00EB39DF" w:rsidRDefault="00EB39DF" w:rsidP="00EF5CB3">
      <w:pPr>
        <w:pStyle w:val="ListBullet"/>
        <w:numPr>
          <w:ilvl w:val="1"/>
          <w:numId w:val="5"/>
        </w:numPr>
      </w:pPr>
      <w:r w:rsidRPr="00725F7B">
        <w:t>developing initiatives to identify and preserve community assets.</w:t>
      </w:r>
    </w:p>
    <w:p w:rsidR="007A143F" w:rsidRDefault="00725F7B" w:rsidP="00E50F41">
      <w:pPr>
        <w:pStyle w:val="bt"/>
        <w:spacing w:after="120"/>
      </w:pPr>
      <w:r w:rsidRPr="00725F7B">
        <w:t xml:space="preserve">Smaller urban localities will continue to play an important agricultural, tourism and lifestyle role and incremental growth in these locations will support the sustainability of their communities. The </w:t>
      </w:r>
      <w:r w:rsidR="00361615">
        <w:t>plan</w:t>
      </w:r>
      <w:r w:rsidR="00361615" w:rsidRPr="00725F7B">
        <w:t xml:space="preserve"> </w:t>
      </w:r>
      <w:r w:rsidRPr="00725F7B">
        <w:t>suggests that councils should plan for growth and change in and around these smaller settlements by considering opportunities at a network scale, rather</w:t>
      </w:r>
      <w:r w:rsidR="00B66416">
        <w:t xml:space="preserve"> than</w:t>
      </w:r>
      <w:r w:rsidRPr="00725F7B">
        <w:t xml:space="preserve"> by individual settlement.</w:t>
      </w:r>
    </w:p>
    <w:p w:rsidR="007A143F" w:rsidRDefault="00725F7B" w:rsidP="00E50F41">
      <w:pPr>
        <w:pStyle w:val="Heading2"/>
        <w:spacing w:before="240" w:after="120"/>
      </w:pPr>
      <w:bookmarkStart w:id="215" w:name="_Toc355970777"/>
      <w:bookmarkStart w:id="216" w:name="_Toc359422958"/>
      <w:bookmarkStart w:id="217" w:name="_Toc374612459"/>
      <w:r w:rsidRPr="00B948A1">
        <w:t xml:space="preserve">Cross-border </w:t>
      </w:r>
      <w:r w:rsidR="00ED18A5" w:rsidRPr="00B948A1">
        <w:t>s</w:t>
      </w:r>
      <w:r w:rsidRPr="00B948A1">
        <w:t>ettlements</w:t>
      </w:r>
      <w:bookmarkEnd w:id="215"/>
      <w:bookmarkEnd w:id="216"/>
      <w:bookmarkEnd w:id="217"/>
    </w:p>
    <w:p w:rsidR="00662D3A" w:rsidRDefault="00725F7B" w:rsidP="00E50F41">
      <w:pPr>
        <w:pStyle w:val="bt"/>
        <w:spacing w:before="120" w:after="120"/>
      </w:pPr>
      <w:r w:rsidRPr="006B7716">
        <w:t xml:space="preserve">A number of </w:t>
      </w:r>
      <w:r w:rsidR="00ED18A5">
        <w:t>‘</w:t>
      </w:r>
      <w:r w:rsidRPr="006B7716">
        <w:t>cross-border</w:t>
      </w:r>
      <w:r w:rsidR="00ED18A5">
        <w:t>’</w:t>
      </w:r>
      <w:r w:rsidRPr="006B7716">
        <w:t xml:space="preserve"> settlements are located along the Murray River in the north of the</w:t>
      </w:r>
      <w:r w:rsidR="00ED18A5">
        <w:t xml:space="preserve"> Hume</w:t>
      </w:r>
      <w:r w:rsidRPr="006B7716">
        <w:t xml:space="preserve"> </w:t>
      </w:r>
      <w:r w:rsidR="00AC3966">
        <w:t>R</w:t>
      </w:r>
      <w:r w:rsidRPr="006B7716">
        <w:t>egion including Albury</w:t>
      </w:r>
      <w:r w:rsidR="00DA46DA">
        <w:t>-</w:t>
      </w:r>
      <w:r w:rsidRPr="006B7716">
        <w:t>Wodonga, Cobram</w:t>
      </w:r>
      <w:r w:rsidR="00DA46DA">
        <w:t>-</w:t>
      </w:r>
      <w:r w:rsidRPr="006B7716">
        <w:t>Barooga, Corowa</w:t>
      </w:r>
      <w:r w:rsidR="00DA46DA">
        <w:t>-</w:t>
      </w:r>
      <w:r w:rsidRPr="006B7716">
        <w:t>Wahgunyah and Yarrawonga</w:t>
      </w:r>
      <w:r w:rsidR="00DA46DA">
        <w:t>-</w:t>
      </w:r>
      <w:r w:rsidRPr="006B7716">
        <w:t xml:space="preserve">Mulwala. These combined settlements have significant populations and play an important role in providing services and facilities to communities on both sides of the border. </w:t>
      </w:r>
    </w:p>
    <w:p w:rsidR="00B77E8C" w:rsidRDefault="00725F7B" w:rsidP="00E50F41">
      <w:pPr>
        <w:pStyle w:val="bt"/>
        <w:spacing w:before="120" w:after="120"/>
      </w:pPr>
      <w:r w:rsidRPr="006B7716">
        <w:t>These settlements do not function in isolation from each other and</w:t>
      </w:r>
      <w:r w:rsidR="00642B24">
        <w:t xml:space="preserve"> they </w:t>
      </w:r>
      <w:r w:rsidR="00662D3A">
        <w:t>have larger, relatively diverse economies</w:t>
      </w:r>
      <w:r w:rsidR="003C6A02">
        <w:t xml:space="preserve">, </w:t>
      </w:r>
      <w:r w:rsidR="00662D3A" w:rsidRPr="00662D3A">
        <w:t>when consider</w:t>
      </w:r>
      <w:r w:rsidR="00231D53">
        <w:t>ed</w:t>
      </w:r>
      <w:r w:rsidR="00662D3A">
        <w:t xml:space="preserve"> as combined settlements</w:t>
      </w:r>
      <w:r w:rsidR="00642B24">
        <w:t>.</w:t>
      </w:r>
      <w:r w:rsidRPr="006B7716">
        <w:t xml:space="preserve"> </w:t>
      </w:r>
      <w:r w:rsidR="00642B24">
        <w:t>D</w:t>
      </w:r>
      <w:r w:rsidRPr="006B7716">
        <w:t xml:space="preserve">uplication of services may be an issue in some areas. </w:t>
      </w:r>
    </w:p>
    <w:p w:rsidR="007A143F" w:rsidRDefault="00725F7B" w:rsidP="00E50F41">
      <w:pPr>
        <w:pStyle w:val="bt"/>
        <w:spacing w:after="180"/>
      </w:pPr>
      <w:r w:rsidRPr="006B7716">
        <w:t xml:space="preserve">The </w:t>
      </w:r>
      <w:r w:rsidRPr="00B44623">
        <w:rPr>
          <w:rStyle w:val="Emphasis"/>
          <w:i w:val="0"/>
        </w:rPr>
        <w:t>Murray River Settlement Strategy</w:t>
      </w:r>
      <w:r w:rsidR="00361615">
        <w:t xml:space="preserve"> is being</w:t>
      </w:r>
      <w:r w:rsidRPr="006B7716">
        <w:t xml:space="preserve"> prepared to address challenges and opportunities for settlements along the Murray River corridor in Victoria. It</w:t>
      </w:r>
      <w:r w:rsidR="00361615">
        <w:t xml:space="preserve"> will</w:t>
      </w:r>
      <w:r w:rsidRPr="006B7716">
        <w:t xml:space="preserve"> provide a 30-year view within which governments, councils, industry, business and the community can plan and take action to achieve a preferred future for these settlements. The strategy examines the issues that impact on settlement planning and provides directions to manage growth and change.</w:t>
      </w:r>
    </w:p>
    <w:p w:rsidR="007A143F" w:rsidRDefault="00725F7B" w:rsidP="00E50F41">
      <w:pPr>
        <w:pStyle w:val="bt"/>
        <w:spacing w:before="120" w:after="0"/>
      </w:pPr>
      <w:r w:rsidRPr="006B7716">
        <w:t xml:space="preserve">The </w:t>
      </w:r>
      <w:r w:rsidR="00B66416">
        <w:t xml:space="preserve">draft </w:t>
      </w:r>
      <w:r w:rsidR="00B66416" w:rsidRPr="00B44623">
        <w:rPr>
          <w:rStyle w:val="Emphasis"/>
          <w:i w:val="0"/>
        </w:rPr>
        <w:t>Murray River Settlement S</w:t>
      </w:r>
      <w:r w:rsidRPr="00B44623">
        <w:rPr>
          <w:rStyle w:val="Emphasis"/>
          <w:i w:val="0"/>
        </w:rPr>
        <w:t>trategy</w:t>
      </w:r>
      <w:r w:rsidR="00361615">
        <w:t xml:space="preserve"> will</w:t>
      </w:r>
      <w:r w:rsidRPr="006B7716">
        <w:t xml:space="preserve"> provide input to:</w:t>
      </w:r>
    </w:p>
    <w:p w:rsidR="007A143F" w:rsidRDefault="00725F7B" w:rsidP="001A3FCF">
      <w:pPr>
        <w:pStyle w:val="ListBullet"/>
      </w:pPr>
      <w:r w:rsidRPr="006B7716">
        <w:t>strategic planning by government agencies and the private sector</w:t>
      </w:r>
    </w:p>
    <w:p w:rsidR="007A143F" w:rsidRDefault="003C6A02" w:rsidP="001A3FCF">
      <w:pPr>
        <w:pStyle w:val="ListBullet"/>
      </w:pPr>
      <w:r>
        <w:t>r</w:t>
      </w:r>
      <w:r w:rsidR="00725F7B" w:rsidRPr="006B7716">
        <w:t>egional</w:t>
      </w:r>
      <w:r w:rsidR="00D84217">
        <w:t xml:space="preserve"> g</w:t>
      </w:r>
      <w:r w:rsidR="00725F7B" w:rsidRPr="006B7716">
        <w:t xml:space="preserve">rowth </w:t>
      </w:r>
      <w:r w:rsidR="00D84217">
        <w:t>p</w:t>
      </w:r>
      <w:r w:rsidR="00725F7B" w:rsidRPr="006B7716">
        <w:t>lans</w:t>
      </w:r>
    </w:p>
    <w:p w:rsidR="007A143F" w:rsidRDefault="003C6A02" w:rsidP="001A3FCF">
      <w:pPr>
        <w:pStyle w:val="ListBullet"/>
      </w:pPr>
      <w:r>
        <w:t>s</w:t>
      </w:r>
      <w:r w:rsidR="00725F7B" w:rsidRPr="006B7716">
        <w:t>tate and local sections of planning schemes</w:t>
      </w:r>
    </w:p>
    <w:p w:rsidR="007A143F" w:rsidRDefault="00EF5CB3" w:rsidP="001A3FCF">
      <w:pPr>
        <w:pStyle w:val="ListBullet"/>
      </w:pPr>
      <w:r>
        <w:t xml:space="preserve">statutory planning processes, </w:t>
      </w:r>
      <w:r w:rsidR="00725F7B" w:rsidRPr="006B7716">
        <w:t>suc</w:t>
      </w:r>
      <w:r>
        <w:t>h as planning scheme amendments</w:t>
      </w:r>
    </w:p>
    <w:p w:rsidR="007A143F" w:rsidRDefault="00725F7B" w:rsidP="001A3FCF">
      <w:pPr>
        <w:pStyle w:val="ListBullet"/>
      </w:pPr>
      <w:r w:rsidRPr="006B7716">
        <w:t xml:space="preserve">complementary strategic planning with </w:t>
      </w:r>
      <w:r w:rsidR="00B66416" w:rsidRPr="002368FB">
        <w:rPr>
          <w:rFonts w:cstheme="minorHAnsi"/>
          <w:color w:val="000000"/>
        </w:rPr>
        <w:t>New South Wales</w:t>
      </w:r>
      <w:r w:rsidRPr="006B7716">
        <w:t xml:space="preserve">. </w:t>
      </w:r>
    </w:p>
    <w:p w:rsidR="001E6B61" w:rsidRDefault="002428B8">
      <w:pPr>
        <w:pStyle w:val="bt"/>
        <w:spacing w:after="120"/>
      </w:pPr>
      <w:r>
        <w:t xml:space="preserve">The </w:t>
      </w:r>
      <w:r w:rsidRPr="00B44623">
        <w:t>Murray River Settlement S</w:t>
      </w:r>
      <w:r w:rsidR="00725F7B" w:rsidRPr="00B44623">
        <w:t>trategy</w:t>
      </w:r>
      <w:r w:rsidR="00725F7B" w:rsidRPr="006B7716">
        <w:t xml:space="preserve"> </w:t>
      </w:r>
      <w:r w:rsidR="00D84217">
        <w:t xml:space="preserve">will </w:t>
      </w:r>
      <w:r w:rsidR="00725F7B" w:rsidRPr="006B7716">
        <w:t xml:space="preserve">articulate </w:t>
      </w:r>
      <w:r w:rsidR="00D541A5">
        <w:t>a preferred future and identify</w:t>
      </w:r>
      <w:r w:rsidR="00725F7B" w:rsidRPr="006B7716">
        <w:t xml:space="preserve"> areas where action could be taken to influence growth and change to achieve this outcome. The strategy</w:t>
      </w:r>
      <w:r w:rsidR="00361615">
        <w:t xml:space="preserve"> will</w:t>
      </w:r>
      <w:r w:rsidR="00E50F41">
        <w:t xml:space="preserve"> set out </w:t>
      </w:r>
      <w:r w:rsidR="00725F7B" w:rsidRPr="006B7716">
        <w:t>strategic directions relating to settlement planning and development</w:t>
      </w:r>
      <w:r w:rsidR="00361615">
        <w:t>.</w:t>
      </w:r>
      <w:r w:rsidR="00725F7B" w:rsidRPr="006B7716">
        <w:t xml:space="preserve"> </w:t>
      </w:r>
      <w:r w:rsidR="00361615">
        <w:t>The directions will be</w:t>
      </w:r>
      <w:r w:rsidR="00725F7B" w:rsidRPr="006B7716">
        <w:t xml:space="preserve"> designed to </w:t>
      </w:r>
      <w:r w:rsidR="00D84217">
        <w:t>support</w:t>
      </w:r>
      <w:r w:rsidR="00725F7B" w:rsidRPr="006B7716">
        <w:t xml:space="preserve"> a coordinated approach to common issues and opportunities</w:t>
      </w:r>
      <w:r w:rsidR="00361615">
        <w:t xml:space="preserve"> relating to settlement, natural and cultural heritage, economy</w:t>
      </w:r>
      <w:r w:rsidR="00CB0F1C">
        <w:t xml:space="preserve"> and cross-border coordination</w:t>
      </w:r>
      <w:r w:rsidR="00361615">
        <w:t>.</w:t>
      </w:r>
      <w:r w:rsidR="00725F7B" w:rsidRPr="006B7716">
        <w:t xml:space="preserve"> </w:t>
      </w:r>
    </w:p>
    <w:p w:rsidR="005D0A03" w:rsidRDefault="007536C0" w:rsidP="00E50F41">
      <w:pPr>
        <w:pStyle w:val="Heading2"/>
        <w:tabs>
          <w:tab w:val="clear" w:pos="396"/>
        </w:tabs>
        <w:ind w:left="567"/>
      </w:pPr>
      <w:bookmarkStart w:id="218" w:name="_Toc355970808"/>
      <w:bookmarkStart w:id="219" w:name="_Toc359422959"/>
      <w:bookmarkStart w:id="220" w:name="_Toc374612460"/>
      <w:r w:rsidRPr="007536C0">
        <w:lastRenderedPageBreak/>
        <w:t>Peri-urban areas</w:t>
      </w:r>
      <w:bookmarkEnd w:id="218"/>
      <w:bookmarkEnd w:id="219"/>
      <w:bookmarkEnd w:id="220"/>
    </w:p>
    <w:p w:rsidR="007A143F" w:rsidRDefault="006B7716">
      <w:pPr>
        <w:pStyle w:val="bt"/>
      </w:pPr>
      <w:r w:rsidRPr="006B7716">
        <w:t xml:space="preserve">Melbourne’s peri-urban region can be defined as the area within 100 kilometres from the centre of metropolitan Melbourne, excluding land within the urban growth boundary. Most of the Lower Hume </w:t>
      </w:r>
      <w:r w:rsidR="00DA46DA">
        <w:t>sub</w:t>
      </w:r>
      <w:r w:rsidR="001646C6">
        <w:t>-</w:t>
      </w:r>
      <w:r w:rsidR="00DA46DA">
        <w:t xml:space="preserve"> region</w:t>
      </w:r>
      <w:r w:rsidRPr="006B7716">
        <w:t xml:space="preserve"> lies within the peri-urban influence of Melbourne. </w:t>
      </w:r>
    </w:p>
    <w:p w:rsidR="007A143F" w:rsidRDefault="006B7716">
      <w:pPr>
        <w:pStyle w:val="bt"/>
      </w:pPr>
      <w:r w:rsidRPr="006B7716">
        <w:t xml:space="preserve">Understanding the role of settlements and rural communities in these areas, and their relationship to Melbourne, is an important part of planning for metropolitan Melbourne and the region. In preparing the </w:t>
      </w:r>
      <w:r w:rsidR="005377D1">
        <w:t>plan</w:t>
      </w:r>
      <w:r w:rsidR="002428B8">
        <w:t>,</w:t>
      </w:r>
      <w:r w:rsidRPr="006B7716">
        <w:t xml:space="preserve"> the broader opportunities, challenges and trends occurring across the peri-urban region were considered. These issues </w:t>
      </w:r>
      <w:r w:rsidR="00EF5CB3">
        <w:t>are</w:t>
      </w:r>
      <w:r w:rsidRPr="006B7716">
        <w:t xml:space="preserve"> relevant to the </w:t>
      </w:r>
      <w:r w:rsidR="00EF5CB3">
        <w:t>new metropolitan p</w:t>
      </w:r>
      <w:r w:rsidRPr="006B7716">
        <w:t xml:space="preserve">lanning </w:t>
      </w:r>
      <w:r w:rsidR="00EF5CB3">
        <w:t>s</w:t>
      </w:r>
      <w:r w:rsidRPr="006B7716">
        <w:t xml:space="preserve">trategy, </w:t>
      </w:r>
      <w:r w:rsidR="00EF5CB3" w:rsidRPr="00EF5CB3">
        <w:rPr>
          <w:i/>
        </w:rPr>
        <w:t>Plan Melbourne</w:t>
      </w:r>
      <w:r w:rsidR="00EF5CB3">
        <w:t>.</w:t>
      </w:r>
    </w:p>
    <w:p w:rsidR="007A143F" w:rsidRDefault="006B7716">
      <w:pPr>
        <w:pStyle w:val="bt"/>
      </w:pPr>
      <w:r w:rsidRPr="006B7716">
        <w:t xml:space="preserve">Peri-urban areas are valuable to the short and long-term economic success, liveability and sustainability of modern cities. Melbourne’s peri-urban areas are diverse and productive and provide important water, food and other natural resources. They contain significant environmental, cultural and recreational assets </w:t>
      </w:r>
      <w:r w:rsidR="000614F4">
        <w:t xml:space="preserve">as well as </w:t>
      </w:r>
      <w:r w:rsidRPr="006B7716">
        <w:t xml:space="preserve">strategically important infrastructure corridors. </w:t>
      </w:r>
      <w:r w:rsidR="00D06000">
        <w:t>Some of these areas are exposed to significant natural hazards</w:t>
      </w:r>
      <w:r w:rsidR="005427FA">
        <w:t xml:space="preserve">, </w:t>
      </w:r>
      <w:r w:rsidR="005427FA" w:rsidRPr="005427FA">
        <w:t>including bushfire and flood</w:t>
      </w:r>
      <w:r w:rsidR="00D06000">
        <w:t>.</w:t>
      </w:r>
    </w:p>
    <w:p w:rsidR="007A143F" w:rsidRDefault="006B7716">
      <w:pPr>
        <w:pStyle w:val="bt"/>
      </w:pPr>
      <w:r w:rsidRPr="006B7716">
        <w:t xml:space="preserve">The networks of settlements across Melbourne’s peri-urban hinterland have strong community and economic relationships with the metropolitan area and other parts of their own regions. They provide a mix of living and working environments as well as providing goods and services. </w:t>
      </w:r>
      <w:r w:rsidR="000614F4">
        <w:t>M</w:t>
      </w:r>
      <w:r w:rsidRPr="006B7716">
        <w:t>etropolitan peri-urban area</w:t>
      </w:r>
      <w:r w:rsidR="000614F4">
        <w:t>s</w:t>
      </w:r>
      <w:r w:rsidRPr="006B7716">
        <w:t xml:space="preserve"> contain important transport infrastructure</w:t>
      </w:r>
      <w:r w:rsidR="000614F4">
        <w:t xml:space="preserve"> that </w:t>
      </w:r>
      <w:r w:rsidRPr="006B7716">
        <w:t>provid</w:t>
      </w:r>
      <w:r w:rsidR="000614F4">
        <w:t>es</w:t>
      </w:r>
      <w:r w:rsidRPr="006B7716">
        <w:t xml:space="preserve"> good access to and from Melbourne.</w:t>
      </w:r>
    </w:p>
    <w:p w:rsidR="007A143F" w:rsidRDefault="006B7716">
      <w:pPr>
        <w:pStyle w:val="bt"/>
      </w:pPr>
      <w:r w:rsidRPr="006B7716">
        <w:t xml:space="preserve">The peri-urban areas in </w:t>
      </w:r>
      <w:r w:rsidR="00295F7D">
        <w:t>the r</w:t>
      </w:r>
      <w:r w:rsidRPr="006B7716">
        <w:t xml:space="preserve">egion, including townships and rural areas, are under significant pressure for development due to their relatively close proximity to Melbourne and good transport links to the city. The extension of Melbourne’s urban growth boundary to include Beveridge and Wallan is likely to further intensify this pressure. The </w:t>
      </w:r>
      <w:r w:rsidR="005377D1">
        <w:t>plan</w:t>
      </w:r>
      <w:r w:rsidR="005377D1" w:rsidRPr="006B7716">
        <w:t xml:space="preserve"> </w:t>
      </w:r>
      <w:r w:rsidRPr="006B7716">
        <w:t>calls attention to the need to manage such development pressures by ensuring growth is focused in strategic urban locations. It also recognises there could be benefits in working cooperatively with other regions to develop a clear and consistent approach to planning for growth and change in Melbourne’s peri-urban areas.</w:t>
      </w:r>
    </w:p>
    <w:p w:rsidR="009026F6" w:rsidRDefault="006B7716">
      <w:pPr>
        <w:pStyle w:val="bt"/>
      </w:pPr>
      <w:r w:rsidRPr="006B7716">
        <w:t>Some of the larger urban settlements in the region</w:t>
      </w:r>
      <w:r w:rsidR="00F50A4C">
        <w:t>,</w:t>
      </w:r>
      <w:r w:rsidR="000614F4">
        <w:t xml:space="preserve"> </w:t>
      </w:r>
      <w:r w:rsidRPr="006B7716">
        <w:t>including Shepparton, Wodonga and Wangaratta</w:t>
      </w:r>
      <w:r w:rsidR="00F50A4C">
        <w:t xml:space="preserve">, </w:t>
      </w:r>
      <w:r w:rsidRPr="006B7716">
        <w:t xml:space="preserve">also have a peri-urban influence on their own hinterlands and the </w:t>
      </w:r>
      <w:r w:rsidR="005377D1">
        <w:t>plan</w:t>
      </w:r>
      <w:r w:rsidR="005377D1" w:rsidRPr="006B7716">
        <w:t xml:space="preserve"> </w:t>
      </w:r>
      <w:r w:rsidRPr="006B7716">
        <w:t>recognises the need to protect environmental assets, landscape values and significant land uses in these areas. The principles derived from the proposed coordinated approach to planning for Melbourne’s peri-urban areas could be applicable to the hinterlands of major regional centres.</w:t>
      </w:r>
    </w:p>
    <w:p w:rsidR="009026F6" w:rsidRDefault="009026F6">
      <w:pPr>
        <w:rPr>
          <w:rFonts w:ascii="Calibri" w:eastAsia="Times New Roman" w:hAnsi="Calibri" w:cs="Times New Roman"/>
          <w:szCs w:val="24"/>
        </w:rPr>
      </w:pPr>
      <w:r>
        <w:br w:type="page"/>
      </w:r>
    </w:p>
    <w:p w:rsidR="005D0A03" w:rsidRPr="00DF6019" w:rsidRDefault="007536C0" w:rsidP="00DF6019">
      <w:pPr>
        <w:pStyle w:val="Heading11"/>
      </w:pPr>
      <w:bookmarkStart w:id="221" w:name="_Toc355970809"/>
      <w:bookmarkStart w:id="222" w:name="_Toc359422960"/>
      <w:bookmarkStart w:id="223" w:name="_Toc374612461"/>
      <w:r w:rsidRPr="007536C0">
        <w:lastRenderedPageBreak/>
        <w:t>Rural land use</w:t>
      </w:r>
      <w:bookmarkEnd w:id="221"/>
      <w:bookmarkEnd w:id="222"/>
      <w:bookmarkEnd w:id="223"/>
    </w:p>
    <w:p w:rsidR="001E6B61" w:rsidRDefault="00DA722B" w:rsidP="00A41B2E">
      <w:pPr>
        <w:pStyle w:val="Heading2"/>
        <w:numPr>
          <w:ilvl w:val="1"/>
          <w:numId w:val="20"/>
        </w:numPr>
        <w:tabs>
          <w:tab w:val="clear" w:pos="396"/>
        </w:tabs>
        <w:spacing w:before="120"/>
        <w:ind w:left="567"/>
      </w:pPr>
      <w:bookmarkStart w:id="224" w:name="_Toc355970810"/>
      <w:bookmarkStart w:id="225" w:name="_Toc359422961"/>
      <w:bookmarkStart w:id="226" w:name="_Toc374612462"/>
      <w:r w:rsidRPr="00DA722B">
        <w:t>Overview</w:t>
      </w:r>
      <w:bookmarkEnd w:id="224"/>
      <w:bookmarkEnd w:id="225"/>
      <w:bookmarkEnd w:id="226"/>
    </w:p>
    <w:p w:rsidR="007A143F" w:rsidRDefault="00476977">
      <w:pPr>
        <w:pStyle w:val="bt"/>
      </w:pPr>
      <w:r w:rsidRPr="00476977">
        <w:t xml:space="preserve">Significant changes are occurring in the </w:t>
      </w:r>
      <w:r w:rsidR="00B95F9A">
        <w:t xml:space="preserve">Hume </w:t>
      </w:r>
      <w:r w:rsidR="00AC3966">
        <w:t>R</w:t>
      </w:r>
      <w:r w:rsidR="00B95F9A">
        <w:t xml:space="preserve">egion’s </w:t>
      </w:r>
      <w:r w:rsidRPr="00476977">
        <w:t xml:space="preserve">rural landscape, including pressure from other uses on traditional agricultural land. In order to better understand these pressures, and identify areas of strategic agricultural land that may warrant protection, the Project Steering Committee for the </w:t>
      </w:r>
      <w:r w:rsidR="00DC5F3E">
        <w:t>p</w:t>
      </w:r>
      <w:r w:rsidR="00DC5F3E" w:rsidRPr="00476977">
        <w:t xml:space="preserve">lan </w:t>
      </w:r>
      <w:r w:rsidRPr="00476977">
        <w:t xml:space="preserve">prioritised preparation of the </w:t>
      </w:r>
      <w:r w:rsidRPr="00B44623">
        <w:rPr>
          <w:rStyle w:val="Emphasis"/>
          <w:i w:val="0"/>
        </w:rPr>
        <w:t>Hume Region Rural Land Use Study</w:t>
      </w:r>
      <w:r w:rsidRPr="00476977">
        <w:t xml:space="preserve"> (2012). This section draws on the research and findings from that study.</w:t>
      </w:r>
    </w:p>
    <w:p w:rsidR="009026F6" w:rsidRDefault="00476977" w:rsidP="00847DC4">
      <w:pPr>
        <w:pStyle w:val="bt"/>
        <w:spacing w:after="120"/>
        <w:sectPr w:rsidR="009026F6" w:rsidSect="009075F4">
          <w:pgSz w:w="11906" w:h="16838"/>
          <w:pgMar w:top="1530" w:right="1440" w:bottom="993" w:left="1440" w:header="708" w:footer="708" w:gutter="0"/>
          <w:cols w:space="708"/>
          <w:docGrid w:linePitch="360"/>
        </w:sectPr>
      </w:pPr>
      <w:r w:rsidRPr="00476977">
        <w:t xml:space="preserve">A range of land uses are accommodated in non-urban areas in the </w:t>
      </w:r>
      <w:r w:rsidR="005377D1">
        <w:t>r</w:t>
      </w:r>
      <w:r w:rsidRPr="00476977">
        <w:t>egion</w:t>
      </w:r>
      <w:r w:rsidR="005C75B5">
        <w:t>,</w:t>
      </w:r>
      <w:r w:rsidRPr="00476977">
        <w:t xml:space="preserve"> including agriculture, forestry, rural residential living, tourism activities</w:t>
      </w:r>
      <w:r w:rsidR="000C7527">
        <w:t xml:space="preserve">, minerals </w:t>
      </w:r>
      <w:r w:rsidRPr="00476977">
        <w:t xml:space="preserve">and extractive industries. Large parts of the </w:t>
      </w:r>
      <w:r w:rsidR="005377D1">
        <w:t>r</w:t>
      </w:r>
      <w:r w:rsidRPr="00476977">
        <w:t>egion are highly productive</w:t>
      </w:r>
      <w:r w:rsidR="002428B8">
        <w:t>,</w:t>
      </w:r>
      <w:r w:rsidRPr="00476977">
        <w:t xml:space="preserve"> which make</w:t>
      </w:r>
      <w:r w:rsidR="002428B8">
        <w:t>s</w:t>
      </w:r>
      <w:r w:rsidRPr="00476977">
        <w:t xml:space="preserve"> it an important agricultural region </w:t>
      </w:r>
      <w:r w:rsidR="00AE129C">
        <w:t xml:space="preserve">for </w:t>
      </w:r>
      <w:r w:rsidRPr="00476977">
        <w:t xml:space="preserve">Victoria and Australia. The region supports broad hectare beef and sheep grazing, dairying, cropping, horticulture, viticulture, equine industries, poultry production and commercial </w:t>
      </w:r>
      <w:r w:rsidRPr="00226D34">
        <w:t>timber production (</w:t>
      </w:r>
      <w:r w:rsidR="00827E2D">
        <w:fldChar w:fldCharType="begin"/>
      </w:r>
      <w:r w:rsidR="00827E2D">
        <w:instrText xml:space="preserve"> REF _Ref348349412 \h</w:instrText>
      </w:r>
      <w:r w:rsidR="00827E2D">
        <w:instrText xml:space="preserve">  \* MERGEFORMAT </w:instrText>
      </w:r>
      <w:r w:rsidR="00827E2D">
        <w:fldChar w:fldCharType="separate"/>
      </w:r>
      <w:r w:rsidR="009034D4" w:rsidRPr="00DF6019">
        <w:t xml:space="preserve">Figure </w:t>
      </w:r>
      <w:r w:rsidR="009034D4">
        <w:rPr>
          <w:noProof/>
        </w:rPr>
        <w:t>11</w:t>
      </w:r>
      <w:r w:rsidR="00827E2D">
        <w:fldChar w:fldCharType="end"/>
      </w:r>
      <w:r w:rsidRPr="00226D34">
        <w:t>). The Goulburn Valley is of particular importance, contributing 50</w:t>
      </w:r>
      <w:r w:rsidR="005177F2">
        <w:t xml:space="preserve"> per cent</w:t>
      </w:r>
      <w:r w:rsidRPr="00226D34">
        <w:t xml:space="preserve"> of Victoria’s total fruit production and contributing</w:t>
      </w:r>
      <w:r w:rsidRPr="00476977">
        <w:t xml:space="preserve"> substantially to Victoria’s dairy industry. </w:t>
      </w:r>
    </w:p>
    <w:p w:rsidR="002445CA" w:rsidRDefault="00C23328" w:rsidP="00A41B2E">
      <w:pPr>
        <w:pStyle w:val="Caption"/>
        <w:ind w:left="0"/>
      </w:pPr>
      <w:bookmarkStart w:id="227" w:name="_Ref348349412"/>
      <w:bookmarkStart w:id="228" w:name="_Toc374612536"/>
      <w:r w:rsidRPr="00DF6019">
        <w:lastRenderedPageBreak/>
        <w:t xml:space="preserve">Figure </w:t>
      </w:r>
      <w:r w:rsidR="00827E2D">
        <w:fldChar w:fldCharType="begin"/>
      </w:r>
      <w:r w:rsidR="00827E2D">
        <w:instrText xml:space="preserve"> SEQ Figure \* ARABIC </w:instrText>
      </w:r>
      <w:r w:rsidR="00827E2D">
        <w:fldChar w:fldCharType="separate"/>
      </w:r>
      <w:r w:rsidR="009034D4">
        <w:rPr>
          <w:noProof/>
        </w:rPr>
        <w:t>11</w:t>
      </w:r>
      <w:r w:rsidR="00827E2D">
        <w:rPr>
          <w:noProof/>
        </w:rPr>
        <w:fldChar w:fldCharType="end"/>
      </w:r>
      <w:bookmarkEnd w:id="227"/>
      <w:r w:rsidR="007536C0" w:rsidRPr="007536C0">
        <w:t>: Agricultural land use – Hume Region</w:t>
      </w:r>
      <w:bookmarkEnd w:id="228"/>
    </w:p>
    <w:p w:rsidR="007D1E72" w:rsidRPr="007D1E72" w:rsidRDefault="007D1E72" w:rsidP="007D1E72">
      <w:pPr>
        <w:pStyle w:val="bt"/>
      </w:pPr>
      <w:r>
        <w:t>[</w:t>
      </w:r>
      <w:r w:rsidRPr="007D1E72">
        <w:t>Map showing agricultural land use in the Hume Region</w:t>
      </w:r>
      <w:r>
        <w:t>]</w:t>
      </w:r>
    </w:p>
    <w:p w:rsidR="009026F6" w:rsidRDefault="00407B96" w:rsidP="0061220F">
      <w:pPr>
        <w:pStyle w:val="source"/>
        <w:sectPr w:rsidR="009026F6" w:rsidSect="009026F6">
          <w:pgSz w:w="16838" w:h="11906" w:orient="landscape"/>
          <w:pgMar w:top="1440" w:right="1702" w:bottom="993" w:left="993" w:header="708" w:footer="708" w:gutter="0"/>
          <w:cols w:space="708"/>
          <w:docGrid w:linePitch="360"/>
        </w:sectPr>
      </w:pPr>
      <w:r>
        <w:t>Source: Victorian Land Use Information System 2009, D</w:t>
      </w:r>
      <w:r w:rsidR="00EF5CB3">
        <w:t>epartment of Primary Industries</w:t>
      </w:r>
    </w:p>
    <w:p w:rsidR="007A143F" w:rsidRDefault="00476977" w:rsidP="00847DC4">
      <w:pPr>
        <w:pStyle w:val="bt"/>
        <w:spacing w:after="120"/>
      </w:pPr>
      <w:r w:rsidRPr="00476977">
        <w:lastRenderedPageBreak/>
        <w:t xml:space="preserve">The </w:t>
      </w:r>
      <w:r w:rsidR="005377D1">
        <w:t>r</w:t>
      </w:r>
      <w:r w:rsidRPr="00476977">
        <w:t xml:space="preserve">egion also has significant industries carrying out further processing of agricultural and forestry products. The towns of </w:t>
      </w:r>
      <w:r w:rsidR="002428B8" w:rsidRPr="00476977">
        <w:t>Cobram</w:t>
      </w:r>
      <w:r w:rsidR="002428B8">
        <w:t>,</w:t>
      </w:r>
      <w:r w:rsidR="002428B8" w:rsidRPr="00476977">
        <w:t xml:space="preserve"> </w:t>
      </w:r>
      <w:r w:rsidR="002428B8">
        <w:t xml:space="preserve">Shepparton and Tatura </w:t>
      </w:r>
      <w:r w:rsidRPr="00476977">
        <w:t xml:space="preserve">are important locations for fruit and milk processing. Processing of meat, timber and grapes occurs throughout the region, particularly in the east, drawing on key commodities in the alpine valleys and high country. Overall, agriculture and processing of agricultural outputs together form the most significant industry in the </w:t>
      </w:r>
      <w:r w:rsidR="005377D1">
        <w:t>r</w:t>
      </w:r>
      <w:r w:rsidRPr="00476977">
        <w:t>egion, accounting for 20</w:t>
      </w:r>
      <w:r w:rsidR="00584C52">
        <w:t xml:space="preserve"> per cent</w:t>
      </w:r>
      <w:r w:rsidRPr="00476977">
        <w:t xml:space="preserve"> of all jobs.</w:t>
      </w:r>
    </w:p>
    <w:p w:rsidR="007A143F" w:rsidRDefault="00476977">
      <w:pPr>
        <w:pStyle w:val="bt"/>
      </w:pPr>
      <w:r w:rsidRPr="00476977">
        <w:t xml:space="preserve">The </w:t>
      </w:r>
      <w:r w:rsidR="005377D1">
        <w:t>r</w:t>
      </w:r>
      <w:r w:rsidRPr="00476977">
        <w:t>egion has a number of large wine processing facilities. Overall, the region contributes 27</w:t>
      </w:r>
      <w:r w:rsidR="005177F2">
        <w:t xml:space="preserve"> per cent</w:t>
      </w:r>
      <w:r w:rsidRPr="00476977">
        <w:t xml:space="preserve"> of Victoria’s wine production revenue, estimated to be worth around $400 million per year. There are a number of wine </w:t>
      </w:r>
      <w:r w:rsidR="00EB6ABC">
        <w:t>sub-</w:t>
      </w:r>
      <w:r w:rsidR="00DA46DA">
        <w:t>region</w:t>
      </w:r>
      <w:r w:rsidRPr="00476977">
        <w:t>s</w:t>
      </w:r>
      <w:r w:rsidR="002428B8">
        <w:t>,</w:t>
      </w:r>
      <w:r w:rsidRPr="00476977">
        <w:t xml:space="preserve"> which have unique soils and climatic conditions including Beechworth, King Valley, Milawa, Rutherglen and the tableland of the Strathbogie Ranges.</w:t>
      </w:r>
    </w:p>
    <w:p w:rsidR="007A143F" w:rsidRDefault="00476977">
      <w:pPr>
        <w:pStyle w:val="bt"/>
      </w:pPr>
      <w:r w:rsidRPr="00476977">
        <w:t>The equine industry is experiencing strong growth in the region, with major thoroughbred horse studs and training facilities moving into the area. The potential exists for the region to become a nationally significant horse breeding area.</w:t>
      </w:r>
    </w:p>
    <w:p w:rsidR="007A143F" w:rsidRDefault="00476977">
      <w:pPr>
        <w:pStyle w:val="bt"/>
      </w:pPr>
      <w:r w:rsidRPr="00476977">
        <w:t xml:space="preserve">Parts of the </w:t>
      </w:r>
      <w:r w:rsidR="005377D1">
        <w:t>r</w:t>
      </w:r>
      <w:r w:rsidRPr="00476977">
        <w:t xml:space="preserve">egion are attractive for rural residential (or ‘rural lifestyle settlement’) </w:t>
      </w:r>
      <w:r w:rsidR="005C75B5">
        <w:t>development</w:t>
      </w:r>
      <w:r w:rsidRPr="00476977">
        <w:t>. Areas of higher amenity, such</w:t>
      </w:r>
      <w:r w:rsidR="005C75B5">
        <w:t xml:space="preserve"> as</w:t>
      </w:r>
      <w:r w:rsidRPr="00476977">
        <w:t xml:space="preserve"> those close to lakes and waterways, in undulating countryside, or with views and vistas, have been particularly popular. The tourism products of Hume, including ski fields, lakes, rivers, food and wine, outdoor recreation</w:t>
      </w:r>
      <w:r w:rsidR="0028065D">
        <w:t xml:space="preserve">, national touring routes </w:t>
      </w:r>
      <w:r w:rsidRPr="00476977">
        <w:t xml:space="preserve">and </w:t>
      </w:r>
      <w:r w:rsidR="00B802B0">
        <w:t xml:space="preserve">cultural </w:t>
      </w:r>
      <w:r w:rsidRPr="00476977">
        <w:t>heritage</w:t>
      </w:r>
      <w:r w:rsidR="00F61DB2">
        <w:t>,</w:t>
      </w:r>
      <w:r w:rsidRPr="00476977">
        <w:t xml:space="preserve"> provide a strong motivation to relocate or establish a holiday home in the region.</w:t>
      </w:r>
    </w:p>
    <w:p w:rsidR="007A143F" w:rsidRDefault="00476977">
      <w:pPr>
        <w:pStyle w:val="bt"/>
      </w:pPr>
      <w:r w:rsidRPr="00476977">
        <w:t xml:space="preserve">Tourism is a key industry sector for the </w:t>
      </w:r>
      <w:r w:rsidR="005377D1">
        <w:t>r</w:t>
      </w:r>
      <w:r w:rsidRPr="00476977">
        <w:t>egion and is an important land use for providing service sector employment in rural areas to supplement employment related to agriculture. Tourism strengths in rural areas include nature</w:t>
      </w:r>
      <w:r w:rsidR="00F61DB2">
        <w:t>-</w:t>
      </w:r>
      <w:r w:rsidRPr="00476977">
        <w:t xml:space="preserve">based tourism, </w:t>
      </w:r>
      <w:r w:rsidR="00D06000">
        <w:t xml:space="preserve">Aboriginal </w:t>
      </w:r>
      <w:r w:rsidR="00EF5CB3">
        <w:t xml:space="preserve">cultural heritage </w:t>
      </w:r>
      <w:r w:rsidR="00D06000">
        <w:t xml:space="preserve">and </w:t>
      </w:r>
      <w:r w:rsidR="00A9077D">
        <w:t>historic</w:t>
      </w:r>
      <w:r w:rsidRPr="00476977">
        <w:t xml:space="preserve"> heritage attractions, outdoor activities and food and wine tourism.</w:t>
      </w:r>
    </w:p>
    <w:p w:rsidR="007A143F" w:rsidRDefault="00C61756">
      <w:pPr>
        <w:pStyle w:val="bt"/>
      </w:pPr>
      <w:r>
        <w:t>Minerals and e</w:t>
      </w:r>
      <w:r w:rsidR="00476977" w:rsidRPr="00476977">
        <w:t xml:space="preserve">xtractive industries located in the region’s rural areas include mining activities and </w:t>
      </w:r>
      <w:r w:rsidR="00AE0F74">
        <w:t xml:space="preserve">sand and </w:t>
      </w:r>
      <w:r w:rsidR="00476977" w:rsidRPr="00476977">
        <w:t>stone extraction.</w:t>
      </w:r>
      <w:r w:rsidR="00F61DB2">
        <w:t xml:space="preserve"> </w:t>
      </w:r>
      <w:r w:rsidR="00476977" w:rsidRPr="00476977">
        <w:t>Management of rural land use will become increasingly important as the regional economy diversifies and development pressures on rural areas increase.</w:t>
      </w:r>
      <w:r w:rsidR="00F61DB2">
        <w:t xml:space="preserve"> </w:t>
      </w:r>
    </w:p>
    <w:p w:rsidR="007A143F" w:rsidRDefault="00476977">
      <w:pPr>
        <w:pStyle w:val="bt"/>
      </w:pPr>
      <w:r w:rsidRPr="00476977">
        <w:t xml:space="preserve">Climate change may have a significant impact on rural land uses in the </w:t>
      </w:r>
      <w:r w:rsidR="005377D1">
        <w:t>r</w:t>
      </w:r>
      <w:r w:rsidRPr="00476977">
        <w:t xml:space="preserve">egion. Apart from an increase in the severity of extreme weather events, the combination of </w:t>
      </w:r>
      <w:r w:rsidR="00F61DB2">
        <w:t xml:space="preserve">increased average temperatures </w:t>
      </w:r>
      <w:r w:rsidRPr="00476977">
        <w:t>and a reduction in rainfall will affect both the agricultural sector and the tourism industry. Climate change may also provide opportunities for the diversification of rural land uses, such as other agricultural products and rural industries.</w:t>
      </w:r>
    </w:p>
    <w:p w:rsidR="007A143F" w:rsidRDefault="00476977" w:rsidP="00BD6B03">
      <w:pPr>
        <w:pStyle w:val="Heading2"/>
        <w:tabs>
          <w:tab w:val="clear" w:pos="396"/>
        </w:tabs>
        <w:spacing w:after="120"/>
        <w:ind w:left="567"/>
      </w:pPr>
      <w:bookmarkStart w:id="229" w:name="_Toc355970811"/>
      <w:bookmarkStart w:id="230" w:name="_Toc359422962"/>
      <w:bookmarkStart w:id="231" w:name="_Toc374612463"/>
      <w:r w:rsidRPr="00B948A1">
        <w:t xml:space="preserve">Guiding future </w:t>
      </w:r>
      <w:r w:rsidR="00AE129C" w:rsidRPr="00B948A1">
        <w:t>r</w:t>
      </w:r>
      <w:r w:rsidR="00DA722B" w:rsidRPr="00DA722B">
        <w:t>ural land use</w:t>
      </w:r>
      <w:bookmarkEnd w:id="229"/>
      <w:bookmarkEnd w:id="230"/>
      <w:bookmarkEnd w:id="231"/>
    </w:p>
    <w:p w:rsidR="006A41D8" w:rsidRPr="006A41D8" w:rsidRDefault="006A41D8" w:rsidP="00A41B2E">
      <w:pPr>
        <w:pStyle w:val="Heading3"/>
        <w:numPr>
          <w:ilvl w:val="2"/>
          <w:numId w:val="12"/>
        </w:numPr>
        <w:tabs>
          <w:tab w:val="clear" w:pos="720"/>
          <w:tab w:val="clear" w:pos="900"/>
        </w:tabs>
        <w:spacing w:before="120"/>
        <w:ind w:left="851" w:hanging="851"/>
      </w:pPr>
      <w:bookmarkStart w:id="232" w:name="_Toc355970812"/>
      <w:bookmarkStart w:id="233" w:name="_Toc359422963"/>
      <w:bookmarkStart w:id="234" w:name="_Toc374612464"/>
      <w:r>
        <w:t>Agriculture</w:t>
      </w:r>
      <w:bookmarkEnd w:id="232"/>
      <w:bookmarkEnd w:id="233"/>
      <w:bookmarkEnd w:id="234"/>
    </w:p>
    <w:p w:rsidR="007A143F" w:rsidRDefault="006A41D8" w:rsidP="00847DC4">
      <w:pPr>
        <w:pStyle w:val="bt"/>
        <w:spacing w:after="120"/>
      </w:pPr>
      <w:r w:rsidRPr="006A41D8">
        <w:t xml:space="preserve">The </w:t>
      </w:r>
      <w:r w:rsidR="005377D1">
        <w:t>plan</w:t>
      </w:r>
      <w:r w:rsidR="005377D1" w:rsidRPr="006A41D8">
        <w:t xml:space="preserve"> </w:t>
      </w:r>
      <w:r w:rsidRPr="006A41D8">
        <w:t xml:space="preserve">acknowledges that agricultural production will continue to be an important contributor to the region’s economy and seeks to secure the future of the industry, as well as </w:t>
      </w:r>
      <w:r w:rsidR="00AC3966">
        <w:t xml:space="preserve">to </w:t>
      </w:r>
      <w:r w:rsidRPr="006A41D8">
        <w:t>accommodat</w:t>
      </w:r>
      <w:r w:rsidR="00F61DB2">
        <w:t>e</w:t>
      </w:r>
      <w:r w:rsidRPr="006A41D8">
        <w:t xml:space="preserve"> new opportunities for ‘downstream’ processing and intensive agriculture. It provides direction </w:t>
      </w:r>
      <w:r w:rsidR="00F61DB2">
        <w:t>to</w:t>
      </w:r>
      <w:r w:rsidRPr="006A41D8">
        <w:t xml:space="preserve"> </w:t>
      </w:r>
      <w:r w:rsidR="00F61DB2">
        <w:t xml:space="preserve">help </w:t>
      </w:r>
      <w:r w:rsidRPr="006A41D8">
        <w:t xml:space="preserve">plan for future farming uses, based on the factors discussed below. </w:t>
      </w:r>
    </w:p>
    <w:p w:rsidR="005D0A03" w:rsidRPr="005D0A03" w:rsidRDefault="007536C0" w:rsidP="00BD6B03">
      <w:pPr>
        <w:pStyle w:val="bt"/>
        <w:spacing w:after="120"/>
        <w:rPr>
          <w:rStyle w:val="Strong"/>
        </w:rPr>
      </w:pPr>
      <w:r w:rsidRPr="007536C0">
        <w:rPr>
          <w:rStyle w:val="Strong"/>
        </w:rPr>
        <w:t>a)</w:t>
      </w:r>
      <w:r w:rsidRPr="007536C0">
        <w:rPr>
          <w:rStyle w:val="Strong"/>
        </w:rPr>
        <w:tab/>
        <w:t>Productive, versatile and strategic farm land</w:t>
      </w:r>
    </w:p>
    <w:p w:rsidR="00F45386" w:rsidRDefault="006A41D8">
      <w:pPr>
        <w:pStyle w:val="bt"/>
      </w:pPr>
      <w:r w:rsidRPr="006A41D8">
        <w:t xml:space="preserve">High quality agricultural land is a finite resource and an essential basis for many forms of agriculture. There are wide-ranging pressures on productive and strategic agricultural land in the </w:t>
      </w:r>
      <w:r w:rsidR="005377D1">
        <w:t>r</w:t>
      </w:r>
      <w:r w:rsidRPr="006A41D8">
        <w:t xml:space="preserve">egion, such as climate change, land degradation, economic viability, urban encroachment and fragmentation of farmland. A possible response is to ensure that productive and strategic farmland is protected to preserve options for the future. </w:t>
      </w:r>
    </w:p>
    <w:p w:rsidR="007A143F" w:rsidRDefault="006A41D8">
      <w:pPr>
        <w:pStyle w:val="bt"/>
      </w:pPr>
      <w:r w:rsidRPr="006A41D8">
        <w:t xml:space="preserve">The reference in the </w:t>
      </w:r>
      <w:r w:rsidRPr="00B44623">
        <w:rPr>
          <w:rStyle w:val="Emphasis"/>
          <w:i w:val="0"/>
        </w:rPr>
        <w:t>Victoria Planning Provisions</w:t>
      </w:r>
      <w:r w:rsidRPr="006A41D8">
        <w:t xml:space="preserve"> (Clause 14.01-1) to protecting ‘productive farm land that is of strategic significance in the local or regional context’ is an important precept in rural land use planning. It </w:t>
      </w:r>
      <w:r w:rsidRPr="006A41D8">
        <w:lastRenderedPageBreak/>
        <w:t xml:space="preserve">implies a selective approach, the identification of land of better productivity and versatility that has a long-term and strategic role in the production of food and fibre. </w:t>
      </w:r>
    </w:p>
    <w:p w:rsidR="007A143F" w:rsidRDefault="006A41D8" w:rsidP="00847DC4">
      <w:pPr>
        <w:pStyle w:val="bt"/>
        <w:spacing w:after="120"/>
      </w:pPr>
      <w:r w:rsidRPr="006A41D8">
        <w:t>Combining the concepts of productivity and versatility enables each discrete area of agricultural land to be identified and mapped in terms of its agricultural land quality. Some areas of productive and versatile land may be considered of strategic importance where they are associated with other resources such as irrigation infrastructure or value</w:t>
      </w:r>
      <w:r w:rsidR="00F61DB2">
        <w:t>-</w:t>
      </w:r>
      <w:r w:rsidRPr="006A41D8">
        <w:t>adding industries that provide significant economic benefit to local or regional communities.</w:t>
      </w:r>
    </w:p>
    <w:p w:rsidR="001E6B61" w:rsidRDefault="006A41D8">
      <w:pPr>
        <w:pStyle w:val="bt"/>
        <w:spacing w:after="120"/>
      </w:pPr>
      <w:r w:rsidRPr="006A41D8">
        <w:t xml:space="preserve">In the </w:t>
      </w:r>
      <w:r w:rsidR="00295F7D">
        <w:t>r</w:t>
      </w:r>
      <w:r w:rsidRPr="006A41D8">
        <w:t xml:space="preserve">egion, high quality agricultural land is generally limited to river valleys </w:t>
      </w:r>
      <w:r w:rsidR="00F61DB2">
        <w:t xml:space="preserve">in </w:t>
      </w:r>
      <w:r w:rsidRPr="006A41D8">
        <w:t>the north</w:t>
      </w:r>
      <w:r w:rsidR="00F61DB2">
        <w:t>-</w:t>
      </w:r>
      <w:r w:rsidRPr="006A41D8">
        <w:t xml:space="preserve">east and parts of the Kinglake Ranges. Irrigation infrastructure in the Goulburn Valley area in the City of Greater Shepparton and Moira Shire has created a highly productive node, </w:t>
      </w:r>
      <w:r w:rsidR="00F61DB2">
        <w:t xml:space="preserve">which is </w:t>
      </w:r>
      <w:r w:rsidRPr="006A41D8">
        <w:t>versatile and suitable for a range of agricultural purposes, including fruit production, dairying and intensive horticulture.</w:t>
      </w:r>
    </w:p>
    <w:p w:rsidR="009026F6" w:rsidRDefault="006A41D8">
      <w:pPr>
        <w:pStyle w:val="bt"/>
        <w:spacing w:after="120"/>
        <w:sectPr w:rsidR="009026F6" w:rsidSect="009075F4">
          <w:pgSz w:w="11906" w:h="16838"/>
          <w:pgMar w:top="1530" w:right="1440" w:bottom="993" w:left="1440" w:header="708" w:footer="708" w:gutter="0"/>
          <w:cols w:space="708"/>
          <w:docGrid w:linePitch="360"/>
        </w:sectPr>
      </w:pPr>
      <w:r w:rsidRPr="00B948A1">
        <w:t xml:space="preserve">Strategic agricultural areas in the </w:t>
      </w:r>
      <w:r w:rsidR="005377D1">
        <w:t>r</w:t>
      </w:r>
      <w:r w:rsidRPr="00B948A1">
        <w:t>egion have been defined ac</w:t>
      </w:r>
      <w:r w:rsidR="00DA722B" w:rsidRPr="00DA722B">
        <w:t>cording to the following criteria: versatility in production; significant scale; proximity to ‘downstream’ value-adding processing facilities; and access to secure water supply (</w:t>
      </w:r>
      <w:r w:rsidR="00827E2D">
        <w:fldChar w:fldCharType="begin"/>
      </w:r>
      <w:r w:rsidR="00827E2D">
        <w:instrText xml:space="preserve"> REF _Ref348349452 \h  \* MERGEFORMAT </w:instrText>
      </w:r>
      <w:r w:rsidR="00827E2D">
        <w:fldChar w:fldCharType="separate"/>
      </w:r>
      <w:r w:rsidR="009034D4" w:rsidRPr="00C371F3">
        <w:t xml:space="preserve">Figure </w:t>
      </w:r>
      <w:r w:rsidR="009034D4">
        <w:t>12</w:t>
      </w:r>
      <w:r w:rsidR="00827E2D">
        <w:fldChar w:fldCharType="end"/>
      </w:r>
      <w:r w:rsidR="00DA722B" w:rsidRPr="00DA722B">
        <w:t>).</w:t>
      </w:r>
    </w:p>
    <w:p w:rsidR="001E6B61" w:rsidRDefault="00DA722B" w:rsidP="00EE0F0D">
      <w:pPr>
        <w:pStyle w:val="Caption"/>
      </w:pPr>
      <w:bookmarkStart w:id="235" w:name="_Ref348349452"/>
      <w:bookmarkStart w:id="236" w:name="_Toc374612537"/>
      <w:r w:rsidRPr="00C371F3">
        <w:lastRenderedPageBreak/>
        <w:t xml:space="preserve">Figure </w:t>
      </w:r>
      <w:r w:rsidR="00827E2D">
        <w:fldChar w:fldCharType="begin"/>
      </w:r>
      <w:r w:rsidR="00827E2D">
        <w:instrText xml:space="preserve"> SEQ Figure \* ARABIC </w:instrText>
      </w:r>
      <w:r w:rsidR="00827E2D">
        <w:fldChar w:fldCharType="separate"/>
      </w:r>
      <w:r w:rsidR="009034D4">
        <w:rPr>
          <w:noProof/>
        </w:rPr>
        <w:t>12</w:t>
      </w:r>
      <w:r w:rsidR="00827E2D">
        <w:rPr>
          <w:noProof/>
        </w:rPr>
        <w:fldChar w:fldCharType="end"/>
      </w:r>
      <w:bookmarkEnd w:id="235"/>
      <w:r w:rsidR="007536C0" w:rsidRPr="00C371F3">
        <w:t>: Strategic agricultural land</w:t>
      </w:r>
      <w:bookmarkEnd w:id="236"/>
    </w:p>
    <w:p w:rsidR="007D1E72" w:rsidRPr="007D1E72" w:rsidRDefault="007D1E72" w:rsidP="007D1E72">
      <w:pPr>
        <w:pStyle w:val="bt"/>
      </w:pPr>
      <w:r>
        <w:t>[</w:t>
      </w:r>
      <w:r w:rsidRPr="007D1E72">
        <w:t>Map showing strategic agricultural land in the Hume region</w:t>
      </w:r>
      <w:r>
        <w:t>]</w:t>
      </w:r>
    </w:p>
    <w:p w:rsidR="009026F6" w:rsidRDefault="0062610D" w:rsidP="0061220F">
      <w:pPr>
        <w:pStyle w:val="source"/>
        <w:sectPr w:rsidR="009026F6" w:rsidSect="009026F6">
          <w:pgSz w:w="16838" w:h="11906" w:orient="landscape"/>
          <w:pgMar w:top="1440" w:right="1702" w:bottom="993" w:left="993" w:header="708" w:footer="708" w:gutter="0"/>
          <w:cols w:space="708"/>
          <w:docGrid w:linePitch="360"/>
        </w:sectPr>
      </w:pPr>
      <w:r w:rsidRPr="0062610D">
        <w:t xml:space="preserve">Source: </w:t>
      </w:r>
      <w:r w:rsidR="00503EB2">
        <w:t xml:space="preserve">Department of </w:t>
      </w:r>
      <w:r w:rsidR="002E7F1A">
        <w:t xml:space="preserve">Transport, </w:t>
      </w:r>
      <w:r w:rsidR="00503EB2">
        <w:t xml:space="preserve">Planning and </w:t>
      </w:r>
      <w:r w:rsidR="002E7F1A">
        <w:t>Local Infrastructure</w:t>
      </w:r>
    </w:p>
    <w:p w:rsidR="001E6B61" w:rsidRDefault="006A41D8">
      <w:pPr>
        <w:pStyle w:val="bt"/>
        <w:spacing w:before="120"/>
      </w:pPr>
      <w:r w:rsidRPr="006A41D8">
        <w:lastRenderedPageBreak/>
        <w:t xml:space="preserve">The Goulburn Valley irrigation district is considered to be of strategic state and national significance. The Goulburn Valley is critically important for the supply of fruit and dairy products in Victoria and Australia and is also the home of major downstream processing enterprises. </w:t>
      </w:r>
    </w:p>
    <w:p w:rsidR="005377D1" w:rsidRDefault="006A41D8">
      <w:pPr>
        <w:pStyle w:val="bt"/>
      </w:pPr>
      <w:r w:rsidRPr="006A41D8">
        <w:t xml:space="preserve">The King and Ovens </w:t>
      </w:r>
      <w:r w:rsidR="00F61DB2">
        <w:t>v</w:t>
      </w:r>
      <w:r w:rsidRPr="006A41D8">
        <w:t>alleys are defined as areas of regional strategic significance for their production of wine, dairy products and the long</w:t>
      </w:r>
      <w:r w:rsidR="00F61DB2">
        <w:t>-</w:t>
      </w:r>
      <w:r w:rsidRPr="006A41D8">
        <w:t>term opportunity for further intensive horticulture.</w:t>
      </w:r>
    </w:p>
    <w:p w:rsidR="00546058" w:rsidRDefault="006A41D8">
      <w:pPr>
        <w:pStyle w:val="bt"/>
      </w:pPr>
      <w:r w:rsidRPr="006A41D8">
        <w:t xml:space="preserve">The Kiewa, Mitta Mitta and Tallangatta </w:t>
      </w:r>
      <w:r w:rsidR="00F61DB2">
        <w:t>v</w:t>
      </w:r>
      <w:r w:rsidRPr="006A41D8">
        <w:t>alleys, Corryong district and Rutherglen</w:t>
      </w:r>
      <w:r w:rsidR="00546058">
        <w:t>, due to their smaller scale,</w:t>
      </w:r>
      <w:r w:rsidRPr="006A41D8">
        <w:t xml:space="preserve"> are all considered to be of </w:t>
      </w:r>
      <w:r w:rsidR="00EB6ABC">
        <w:t>sub-</w:t>
      </w:r>
      <w:r w:rsidR="00DA46DA">
        <w:t>region</w:t>
      </w:r>
      <w:r w:rsidRPr="006A41D8">
        <w:t>al strategic significance for their current and potential production value</w:t>
      </w:r>
      <w:r w:rsidR="00546058">
        <w:t>.</w:t>
      </w:r>
      <w:r w:rsidR="00546058" w:rsidRPr="006A41D8">
        <w:t xml:space="preserve"> </w:t>
      </w:r>
      <w:r w:rsidR="00546058">
        <w:t>T</w:t>
      </w:r>
      <w:r w:rsidRPr="006A41D8">
        <w:t xml:space="preserve">heir agricultural quality and access to water make them important in the </w:t>
      </w:r>
      <w:r w:rsidR="00EB6ABC">
        <w:t>sub-</w:t>
      </w:r>
      <w:r w:rsidR="00DA46DA">
        <w:t>region</w:t>
      </w:r>
      <w:r w:rsidRPr="006A41D8">
        <w:t>al context.</w:t>
      </w:r>
    </w:p>
    <w:p w:rsidR="007A143F" w:rsidRDefault="00F61DB2">
      <w:pPr>
        <w:pStyle w:val="bt"/>
      </w:pPr>
      <w:r>
        <w:t>S</w:t>
      </w:r>
      <w:r w:rsidR="006A41D8" w:rsidRPr="006A41D8">
        <w:t>maller wine-producing areas may not meet the definitions of high quality soils or strategic agricultural land, but are significant for their unique and complex growing conditions, often leading to lower yield grapes but higher quality wine. They are also important for their contribution to tourism in the region.</w:t>
      </w:r>
    </w:p>
    <w:p w:rsidR="0094144F" w:rsidRDefault="006A41D8" w:rsidP="0062610D">
      <w:pPr>
        <w:pStyle w:val="bt"/>
      </w:pPr>
      <w:r w:rsidRPr="006A41D8">
        <w:t xml:space="preserve">The </w:t>
      </w:r>
      <w:r w:rsidR="00546058">
        <w:t>plan</w:t>
      </w:r>
      <w:r w:rsidR="00546058" w:rsidRPr="006A41D8">
        <w:t xml:space="preserve"> </w:t>
      </w:r>
      <w:r w:rsidRPr="006A41D8">
        <w:t>directs that areas identified as being of strategic significance should have the highest policy protection, to ensure agriculture remains a viable industry for the future</w:t>
      </w:r>
      <w:r w:rsidR="00DC54F3">
        <w:t>, including providing certainty for investors</w:t>
      </w:r>
      <w:r w:rsidR="003C6A02">
        <w:t xml:space="preserve">, </w:t>
      </w:r>
      <w:r w:rsidR="00DC54F3">
        <w:t>as versatile land could be subject to structural change</w:t>
      </w:r>
      <w:r w:rsidRPr="006A41D8">
        <w:t>. It also recognises that councils should continue to plan for rural land use through local planning processes, which may identify other important agricultural areas from a local perspective.</w:t>
      </w:r>
    </w:p>
    <w:p w:rsidR="001E6B61" w:rsidRDefault="007536C0">
      <w:pPr>
        <w:pStyle w:val="bt"/>
        <w:spacing w:before="0" w:after="120"/>
        <w:rPr>
          <w:rStyle w:val="Strong"/>
        </w:rPr>
      </w:pPr>
      <w:r w:rsidRPr="007536C0">
        <w:rPr>
          <w:rStyle w:val="Strong"/>
        </w:rPr>
        <w:t>b)</w:t>
      </w:r>
      <w:r w:rsidRPr="007536C0">
        <w:rPr>
          <w:rStyle w:val="Strong"/>
        </w:rPr>
        <w:tab/>
        <w:t>Intensive agricultural production</w:t>
      </w:r>
    </w:p>
    <w:p w:rsidR="001E6B61" w:rsidRDefault="006A41D8">
      <w:pPr>
        <w:pStyle w:val="bt"/>
        <w:spacing w:after="120"/>
      </w:pPr>
      <w:r w:rsidRPr="006A41D8">
        <w:t>Intensive animal industries such as broiler farms, piggeries and cattle feedlots can contribute to food production and potential food security</w:t>
      </w:r>
      <w:r w:rsidR="007A0340">
        <w:t>. These industries</w:t>
      </w:r>
      <w:r w:rsidRPr="006A41D8">
        <w:t xml:space="preserve"> generate large outputs on small areas of land and are usually not dependent on high quality soils as the driver for location. Other criteria</w:t>
      </w:r>
      <w:r w:rsidR="007A0340">
        <w:t xml:space="preserve"> that</w:t>
      </w:r>
      <w:r w:rsidR="007A0340" w:rsidRPr="007A0340">
        <w:t xml:space="preserve"> </w:t>
      </w:r>
      <w:r w:rsidR="007A0340" w:rsidRPr="006A41D8">
        <w:t>can be important indicators or drivers for identifying the productive potential of farmland</w:t>
      </w:r>
      <w:r w:rsidR="007A0340">
        <w:t xml:space="preserve"> include,</w:t>
      </w:r>
      <w:r w:rsidRPr="006A41D8">
        <w:t xml:space="preserve"> access to roads, power, water, processing and feed supply</w:t>
      </w:r>
      <w:r w:rsidR="007A0340">
        <w:t>.</w:t>
      </w:r>
      <w:r w:rsidRPr="006A41D8">
        <w:t xml:space="preserve"> The small footprint of these intensive animal industries, coupled with the buffers required from sensitive</w:t>
      </w:r>
      <w:r w:rsidR="007A0340">
        <w:t xml:space="preserve"> land</w:t>
      </w:r>
      <w:r w:rsidRPr="006A41D8">
        <w:t xml:space="preserve"> uses, provide an opportunity for other forms of agriculture to coexist and operate concurrently within or around the buffer areas.</w:t>
      </w:r>
    </w:p>
    <w:p w:rsidR="001E6B61" w:rsidRDefault="006A41D8">
      <w:pPr>
        <w:pStyle w:val="bt"/>
        <w:spacing w:after="120"/>
      </w:pPr>
      <w:r w:rsidRPr="006A41D8">
        <w:t xml:space="preserve">Community acceptance of some of these more intensive forms of agriculture, incompatible land use and protection of the environment can present challenges. These factors could make it more difficult to establish and expand intensive agriculture in some parts of the </w:t>
      </w:r>
      <w:r w:rsidR="00295F7D">
        <w:t>r</w:t>
      </w:r>
      <w:r w:rsidRPr="006A41D8">
        <w:t xml:space="preserve">egion. Compliance with the relevant Codes of Practice and appropriate buffers will help to reduce the potential for conflict. Parts of the region could accommodate these types of agricultural activities in areas that can minimise adverse impacts on other land uses and that have access to key infrastructure, such as transport. As a result, the </w:t>
      </w:r>
      <w:r w:rsidR="00586D6E">
        <w:t>plan</w:t>
      </w:r>
      <w:r w:rsidR="00586D6E" w:rsidRPr="006A41D8">
        <w:t xml:space="preserve"> </w:t>
      </w:r>
      <w:r w:rsidRPr="006A41D8">
        <w:t>suggests that future planning should identify suitable areas and promote clustering of intensive agricultural production in these locations. However, it recognises that other locations throughout the region may also be appropriate for intensive agriculture.</w:t>
      </w:r>
    </w:p>
    <w:p w:rsidR="001E6B61" w:rsidRDefault="007536C0">
      <w:pPr>
        <w:pStyle w:val="bt"/>
        <w:spacing w:after="0"/>
        <w:rPr>
          <w:rStyle w:val="Strong"/>
        </w:rPr>
      </w:pPr>
      <w:r w:rsidRPr="007536C0">
        <w:rPr>
          <w:rStyle w:val="Strong"/>
        </w:rPr>
        <w:t>c)</w:t>
      </w:r>
      <w:r w:rsidRPr="007536C0">
        <w:rPr>
          <w:rStyle w:val="Strong"/>
        </w:rPr>
        <w:tab/>
        <w:t>Changing farm sizes, methods and strategies</w:t>
      </w:r>
    </w:p>
    <w:p w:rsidR="001E6B61" w:rsidRDefault="006A41D8">
      <w:pPr>
        <w:pStyle w:val="bt"/>
        <w:spacing w:before="120" w:after="120"/>
      </w:pPr>
      <w:r w:rsidRPr="006A41D8">
        <w:t xml:space="preserve">Increases in productivity of agricultural land have led to a general decline in the sale price of farm produce, or terms of trade, over the last </w:t>
      </w:r>
      <w:r w:rsidR="007E05DF">
        <w:t>10</w:t>
      </w:r>
      <w:r w:rsidRPr="006A41D8">
        <w:t xml:space="preserve"> years. Therefore, farmers seeking to maintain a consistent level of real income must increase the size of farms and levels of production. The consolidation of farmed land, particularly for broad acre cropping, has led to larger farm sizes and fewer establishments within rural Victoria. This trend is expected to continue in the future. </w:t>
      </w:r>
    </w:p>
    <w:p w:rsidR="007A143F" w:rsidRDefault="006A41D8">
      <w:pPr>
        <w:pStyle w:val="bt"/>
      </w:pPr>
      <w:r w:rsidRPr="006A41D8">
        <w:t>Despite competition from amenity purchasers, farm businesses are able to expand production, albeit with limitations. Farmers have undertaken expansion in one of two ways: by purchasing high priced land and diversifying income streams, such as by adding tourism products and mixed agricultural uses; or by retaining their existing farm size and intensifying production methods, for example</w:t>
      </w:r>
      <w:r w:rsidR="007A0340">
        <w:t>,</w:t>
      </w:r>
      <w:r w:rsidRPr="006A41D8">
        <w:t xml:space="preserve"> by improving grazing management or introducing or expanding irrigation. </w:t>
      </w:r>
      <w:r w:rsidR="00A5181C">
        <w:t>Attractive rural landscapes may also offer opportunities for niche farming and associated tourism.</w:t>
      </w:r>
    </w:p>
    <w:p w:rsidR="007A143F" w:rsidRDefault="006A41D8">
      <w:pPr>
        <w:pStyle w:val="bt"/>
      </w:pPr>
      <w:r w:rsidRPr="006A41D8">
        <w:lastRenderedPageBreak/>
        <w:t xml:space="preserve">The </w:t>
      </w:r>
      <w:r w:rsidR="00586D6E">
        <w:t>plan</w:t>
      </w:r>
      <w:r w:rsidR="00586D6E" w:rsidRPr="006A41D8">
        <w:t xml:space="preserve"> </w:t>
      </w:r>
      <w:r w:rsidRPr="006A41D8">
        <w:t>suggests ways in which the planning system can continue to support the need to increase farm sizes and provide sufficient flexibility to allow farmers to change agricultural methods and strategies.</w:t>
      </w:r>
    </w:p>
    <w:p w:rsidR="001E6B61" w:rsidRDefault="007536C0">
      <w:pPr>
        <w:pStyle w:val="bt"/>
        <w:spacing w:after="0"/>
        <w:rPr>
          <w:rStyle w:val="Strong"/>
        </w:rPr>
      </w:pPr>
      <w:r w:rsidRPr="007536C0">
        <w:rPr>
          <w:rStyle w:val="Strong"/>
        </w:rPr>
        <w:t>d)</w:t>
      </w:r>
      <w:r w:rsidRPr="007536C0">
        <w:rPr>
          <w:rStyle w:val="Strong"/>
        </w:rPr>
        <w:tab/>
        <w:t>Changing agricultural land use</w:t>
      </w:r>
    </w:p>
    <w:p w:rsidR="00FF2A71" w:rsidRDefault="00AE035F">
      <w:pPr>
        <w:pStyle w:val="bt"/>
        <w:spacing w:after="0"/>
        <w:rPr>
          <w:rStyle w:val="Strong"/>
        </w:rPr>
      </w:pPr>
      <w:r w:rsidRPr="00AE035F">
        <w:t xml:space="preserve">Examples of agricultural industries that have declined over the past two decades are wool and tobacco farming. </w:t>
      </w:r>
      <w:r w:rsidR="002E7F1A" w:rsidRPr="002E7F1A">
        <w:t xml:space="preserve">While tobacco production declined as a result of legislative change, wool production and other industries have declined </w:t>
      </w:r>
      <w:r w:rsidRPr="00AE035F">
        <w:t>due to a range of factors including drought conditions, changing markets, policy changes and difficulties in increasing productivity in labour-intensive industries. Some areas used by these industries could transition towards other uses such as different agricultural ac</w:t>
      </w:r>
      <w:r w:rsidR="0021525D">
        <w:t>tivities</w:t>
      </w:r>
      <w:r w:rsidRPr="00AE035F">
        <w:t xml:space="preserve">, forestry, renewable energy generation, carbon farming and conservation activities. </w:t>
      </w:r>
    </w:p>
    <w:p w:rsidR="001E6B61" w:rsidRDefault="007536C0">
      <w:pPr>
        <w:pStyle w:val="bt"/>
        <w:spacing w:after="0"/>
        <w:rPr>
          <w:rStyle w:val="Strong"/>
        </w:rPr>
      </w:pPr>
      <w:r w:rsidRPr="007536C0">
        <w:rPr>
          <w:rStyle w:val="Strong"/>
        </w:rPr>
        <w:t>e)</w:t>
      </w:r>
      <w:r w:rsidRPr="007536C0">
        <w:rPr>
          <w:rStyle w:val="Strong"/>
        </w:rPr>
        <w:tab/>
        <w:t xml:space="preserve">Future of irrigation </w:t>
      </w:r>
    </w:p>
    <w:p w:rsidR="001E6B61" w:rsidRDefault="006A41D8">
      <w:pPr>
        <w:pStyle w:val="bt"/>
        <w:spacing w:after="120"/>
      </w:pPr>
      <w:r w:rsidRPr="006A41D8">
        <w:t xml:space="preserve">State and </w:t>
      </w:r>
      <w:r w:rsidR="00586D6E">
        <w:t>federal</w:t>
      </w:r>
      <w:r w:rsidR="00586D6E" w:rsidRPr="006A41D8">
        <w:t xml:space="preserve"> </w:t>
      </w:r>
      <w:r w:rsidRPr="006A41D8">
        <w:t>government water policy reform is attempting to address the balance of water supply and likely future impacts of climate change</w:t>
      </w:r>
      <w:r w:rsidR="001643AA">
        <w:t>,</w:t>
      </w:r>
      <w:r w:rsidRPr="006A41D8">
        <w:t xml:space="preserve"> while achieving an increase in water security and ensuring there is an adequate water supply available for the environment. Measures already being undertaken include water buy-backs, irrigation infrastructure upgrades and a reduction of the total area under</w:t>
      </w:r>
      <w:r w:rsidR="00674A19">
        <w:t xml:space="preserve"> permanent</w:t>
      </w:r>
      <w:r w:rsidRPr="006A41D8">
        <w:t xml:space="preserve"> irrigation. </w:t>
      </w:r>
    </w:p>
    <w:p w:rsidR="001E6B61" w:rsidRDefault="006A41D8">
      <w:pPr>
        <w:pStyle w:val="bt"/>
      </w:pPr>
      <w:r w:rsidRPr="006A41D8">
        <w:t xml:space="preserve">The likely decrease in available water for farming is set to increase competition within water-intensive agricultural activities. In particular, this is expected to accelerate the decline in the mixed farming sector, which will continue to transition towards </w:t>
      </w:r>
      <w:r w:rsidR="0051117D" w:rsidRPr="006A41D8">
        <w:t>dry</w:t>
      </w:r>
      <w:r w:rsidR="00EF5CB3">
        <w:t xml:space="preserve"> </w:t>
      </w:r>
      <w:r w:rsidR="0051117D" w:rsidRPr="006A41D8">
        <w:t>land</w:t>
      </w:r>
      <w:r w:rsidRPr="006A41D8">
        <w:t xml:space="preserve"> farming activities, with existing water allocations likely to be sold to support the dairy and horticultural industries.</w:t>
      </w:r>
    </w:p>
    <w:p w:rsidR="007A143F" w:rsidRDefault="006A41D8">
      <w:pPr>
        <w:pStyle w:val="bt"/>
      </w:pPr>
      <w:r w:rsidRPr="006A41D8">
        <w:t xml:space="preserve">Opportunities that may assist in </w:t>
      </w:r>
      <w:r w:rsidR="009A6D62">
        <w:t>adapting to</w:t>
      </w:r>
      <w:r w:rsidR="009A6D62" w:rsidRPr="006A41D8">
        <w:t xml:space="preserve"> </w:t>
      </w:r>
      <w:r w:rsidRPr="006A41D8">
        <w:t>the effects of climate change are to strengthen the role of the alpine valleys of the north</w:t>
      </w:r>
      <w:r w:rsidR="007E05DF">
        <w:t>-</w:t>
      </w:r>
      <w:r w:rsidRPr="006A41D8">
        <w:t>east for intensive horticulture, and linking this product to the processing areas of the Goulburn Valley.</w:t>
      </w:r>
    </w:p>
    <w:p w:rsidR="001E6B61" w:rsidRDefault="007536C0">
      <w:pPr>
        <w:pStyle w:val="bt"/>
        <w:spacing w:after="120"/>
        <w:rPr>
          <w:rStyle w:val="Strong"/>
        </w:rPr>
      </w:pPr>
      <w:r w:rsidRPr="007536C0">
        <w:rPr>
          <w:rStyle w:val="Strong"/>
        </w:rPr>
        <w:t>f)</w:t>
      </w:r>
      <w:r w:rsidRPr="007536C0">
        <w:rPr>
          <w:rStyle w:val="Strong"/>
        </w:rPr>
        <w:tab/>
        <w:t>Climate change and agriculture</w:t>
      </w:r>
    </w:p>
    <w:p w:rsidR="007A143F" w:rsidRDefault="006A41D8">
      <w:pPr>
        <w:pStyle w:val="bt"/>
      </w:pPr>
      <w:r w:rsidRPr="006A41D8">
        <w:t xml:space="preserve">As well as reduced availability of water for production, climate change may have other specific impacts on agriculture </w:t>
      </w:r>
      <w:r w:rsidR="007E05DF">
        <w:t xml:space="preserve">across </w:t>
      </w:r>
      <w:r w:rsidRPr="006A41D8">
        <w:t xml:space="preserve">the </w:t>
      </w:r>
      <w:r w:rsidR="00295F7D">
        <w:t>r</w:t>
      </w:r>
      <w:r w:rsidRPr="006A41D8">
        <w:t>egion.</w:t>
      </w:r>
    </w:p>
    <w:p w:rsidR="007A143F" w:rsidRDefault="006A41D8">
      <w:pPr>
        <w:pStyle w:val="bt"/>
      </w:pPr>
      <w:r w:rsidRPr="006A41D8">
        <w:t xml:space="preserve">Extreme weather events and natural hazards are expected to increase in frequency and intensity over the next century. This includes </w:t>
      </w:r>
      <w:r w:rsidR="00B93AA2">
        <w:t>more frequent</w:t>
      </w:r>
      <w:r w:rsidRPr="006A41D8">
        <w:t xml:space="preserve"> drought</w:t>
      </w:r>
      <w:r w:rsidR="00B93AA2">
        <w:t>s</w:t>
      </w:r>
      <w:r w:rsidRPr="006A41D8">
        <w:t>, less frequent frosts, increased incidence of hail and damaging storms and increased intensity and severity of bushfires and floods</w:t>
      </w:r>
      <w:r w:rsidR="009A6D62">
        <w:t xml:space="preserve"> </w:t>
      </w:r>
      <w:r w:rsidR="00987CE4">
        <w:t>al</w:t>
      </w:r>
      <w:r w:rsidR="009A6D62">
        <w:t>though floods may be less frequent</w:t>
      </w:r>
      <w:r w:rsidRPr="006A41D8">
        <w:t xml:space="preserve">. These events and expected changes to seasonal rainfall patterns </w:t>
      </w:r>
      <w:r w:rsidR="00987CE4">
        <w:t xml:space="preserve">could </w:t>
      </w:r>
      <w:r w:rsidRPr="006A41D8">
        <w:t>impact on agricultural production.</w:t>
      </w:r>
    </w:p>
    <w:p w:rsidR="00830659" w:rsidRDefault="0009545B" w:rsidP="00E770E1">
      <w:pPr>
        <w:pStyle w:val="bt"/>
        <w:spacing w:after="0"/>
      </w:pPr>
      <w:r>
        <w:t xml:space="preserve">The </w:t>
      </w:r>
      <w:r w:rsidRPr="0009545B">
        <w:t xml:space="preserve">Victorian Climate Change Adaptation Plan </w:t>
      </w:r>
      <w:r>
        <w:t xml:space="preserve">recognises that </w:t>
      </w:r>
      <w:r w:rsidR="00EF5CB3">
        <w:t xml:space="preserve">the areas of cropping and intensive agriculture (for example orchards) may shift </w:t>
      </w:r>
      <w:r>
        <w:t>a</w:t>
      </w:r>
      <w:r w:rsidR="00830659" w:rsidRPr="00830659">
        <w:t>s the climate changes, leading to changes in average temperatures and rainfall, seasonal patter</w:t>
      </w:r>
      <w:r w:rsidR="007C583C">
        <w:t>n</w:t>
      </w:r>
      <w:r w:rsidR="00830659" w:rsidRPr="00830659">
        <w:t>s, increased extreme weather events and potential reductions in the reliability of irrigation water</w:t>
      </w:r>
      <w:r w:rsidR="00EF5CB3">
        <w:t>.</w:t>
      </w:r>
      <w:r w:rsidR="00830659" w:rsidRPr="00830659">
        <w:t xml:space="preserve"> This could influence production costs and access to key overseas markets due to reduced reliability of supply.</w:t>
      </w:r>
    </w:p>
    <w:p w:rsidR="007A143F" w:rsidRDefault="006A41D8" w:rsidP="00E770E1">
      <w:pPr>
        <w:pStyle w:val="bt"/>
        <w:spacing w:after="0"/>
      </w:pPr>
      <w:r w:rsidRPr="006A41D8">
        <w:t>The</w:t>
      </w:r>
      <w:r w:rsidRPr="00B44623">
        <w:rPr>
          <w:rStyle w:val="Emphasis"/>
          <w:i w:val="0"/>
        </w:rPr>
        <w:t xml:space="preserve"> Hume </w:t>
      </w:r>
      <w:r w:rsidR="00987CE4" w:rsidRPr="00B44623">
        <w:rPr>
          <w:rStyle w:val="Emphasis"/>
          <w:i w:val="0"/>
        </w:rPr>
        <w:t>R</w:t>
      </w:r>
      <w:r w:rsidRPr="00B44623">
        <w:rPr>
          <w:rStyle w:val="Emphasis"/>
          <w:i w:val="0"/>
        </w:rPr>
        <w:t xml:space="preserve">egion </w:t>
      </w:r>
      <w:r w:rsidR="00987CE4" w:rsidRPr="00B44623">
        <w:rPr>
          <w:rStyle w:val="Emphasis"/>
          <w:i w:val="0"/>
        </w:rPr>
        <w:t>R</w:t>
      </w:r>
      <w:r w:rsidRPr="00B44623">
        <w:rPr>
          <w:rStyle w:val="Emphasis"/>
          <w:i w:val="0"/>
        </w:rPr>
        <w:t xml:space="preserve">ural </w:t>
      </w:r>
      <w:r w:rsidR="00987CE4" w:rsidRPr="00B44623">
        <w:rPr>
          <w:rStyle w:val="Emphasis"/>
          <w:i w:val="0"/>
        </w:rPr>
        <w:t>L</w:t>
      </w:r>
      <w:r w:rsidRPr="00B44623">
        <w:rPr>
          <w:rStyle w:val="Emphasis"/>
          <w:i w:val="0"/>
        </w:rPr>
        <w:t xml:space="preserve">and </w:t>
      </w:r>
      <w:r w:rsidR="00987CE4" w:rsidRPr="00B44623">
        <w:rPr>
          <w:rStyle w:val="Emphasis"/>
          <w:i w:val="0"/>
        </w:rPr>
        <w:t>U</w:t>
      </w:r>
      <w:r w:rsidRPr="00B44623">
        <w:rPr>
          <w:rStyle w:val="Emphasis"/>
          <w:i w:val="0"/>
        </w:rPr>
        <w:t xml:space="preserve">se </w:t>
      </w:r>
      <w:r w:rsidR="00987CE4" w:rsidRPr="00B44623">
        <w:rPr>
          <w:rStyle w:val="Emphasis"/>
          <w:i w:val="0"/>
        </w:rPr>
        <w:t>S</w:t>
      </w:r>
      <w:r w:rsidRPr="00B44623">
        <w:rPr>
          <w:rStyle w:val="Emphasis"/>
          <w:i w:val="0"/>
        </w:rPr>
        <w:t>tudy 2012</w:t>
      </w:r>
      <w:r w:rsidRPr="006A41D8">
        <w:t xml:space="preserve"> found that temperature increases as a result of climate change may have the following effects on agriculture:</w:t>
      </w:r>
    </w:p>
    <w:p w:rsidR="007A143F" w:rsidRDefault="006A41D8" w:rsidP="001A3FCF">
      <w:pPr>
        <w:pStyle w:val="ListBullet"/>
      </w:pPr>
      <w:r w:rsidRPr="006A41D8">
        <w:t>crop yields benefiting from warmer conditions and higher carbon dioxide levels, but vulnerable to reduced rainfall</w:t>
      </w:r>
    </w:p>
    <w:p w:rsidR="007A143F" w:rsidRDefault="006A41D8" w:rsidP="001A3FCF">
      <w:pPr>
        <w:pStyle w:val="ListBullet"/>
      </w:pPr>
      <w:r w:rsidRPr="006A41D8">
        <w:t>greater exposure of stock and crops to heat-related stress and disease</w:t>
      </w:r>
    </w:p>
    <w:p w:rsidR="007A143F" w:rsidRDefault="006A41D8" w:rsidP="001A3FCF">
      <w:pPr>
        <w:pStyle w:val="ListBullet"/>
      </w:pPr>
      <w:r w:rsidRPr="006A41D8">
        <w:t>earlier ripening and reduced grape quality</w:t>
      </w:r>
    </w:p>
    <w:p w:rsidR="007A143F" w:rsidRDefault="006A41D8" w:rsidP="001A3FCF">
      <w:pPr>
        <w:pStyle w:val="ListBullet"/>
      </w:pPr>
      <w:r w:rsidRPr="006A41D8">
        <w:t>less winter chilling for fruit and nuts</w:t>
      </w:r>
    </w:p>
    <w:p w:rsidR="007A143F" w:rsidRDefault="006A41D8" w:rsidP="001A3FCF">
      <w:pPr>
        <w:pStyle w:val="ListBullet"/>
      </w:pPr>
      <w:r w:rsidRPr="006A41D8">
        <w:t>potential increase in the distribution and abundance of some exotic weeds.</w:t>
      </w:r>
    </w:p>
    <w:p w:rsidR="001E6B61" w:rsidRDefault="00E1404C" w:rsidP="00A41B2E">
      <w:pPr>
        <w:pStyle w:val="Heading3"/>
        <w:numPr>
          <w:ilvl w:val="2"/>
          <w:numId w:val="12"/>
        </w:numPr>
        <w:tabs>
          <w:tab w:val="clear" w:pos="720"/>
          <w:tab w:val="clear" w:pos="900"/>
        </w:tabs>
        <w:spacing w:before="240"/>
        <w:ind w:left="851" w:hanging="851"/>
      </w:pPr>
      <w:bookmarkStart w:id="237" w:name="_Ref354408651"/>
      <w:bookmarkStart w:id="238" w:name="_Toc355970813"/>
      <w:bookmarkStart w:id="239" w:name="_Toc359422964"/>
      <w:bookmarkStart w:id="240" w:name="_Toc374612465"/>
      <w:r>
        <w:lastRenderedPageBreak/>
        <w:t>Accommodating o</w:t>
      </w:r>
      <w:r w:rsidR="00F76F55">
        <w:t xml:space="preserve">ther </w:t>
      </w:r>
      <w:r w:rsidR="007E05DF">
        <w:t>r</w:t>
      </w:r>
      <w:r w:rsidR="00F76F55">
        <w:t xml:space="preserve">ural </w:t>
      </w:r>
      <w:r w:rsidR="007E05DF">
        <w:t>l</w:t>
      </w:r>
      <w:r w:rsidR="00F76F55">
        <w:t xml:space="preserve">and </w:t>
      </w:r>
      <w:r w:rsidR="007E05DF">
        <w:t>u</w:t>
      </w:r>
      <w:r w:rsidR="00F76F55">
        <w:t>ses</w:t>
      </w:r>
      <w:bookmarkEnd w:id="237"/>
      <w:bookmarkEnd w:id="238"/>
      <w:bookmarkEnd w:id="239"/>
      <w:bookmarkEnd w:id="240"/>
    </w:p>
    <w:p w:rsidR="001E6B61" w:rsidRDefault="007536C0">
      <w:pPr>
        <w:pStyle w:val="bt"/>
        <w:spacing w:after="120"/>
        <w:rPr>
          <w:rStyle w:val="Strong"/>
        </w:rPr>
      </w:pPr>
      <w:r w:rsidRPr="007536C0">
        <w:rPr>
          <w:rStyle w:val="Strong"/>
        </w:rPr>
        <w:t>a)</w:t>
      </w:r>
      <w:r w:rsidRPr="007536C0">
        <w:rPr>
          <w:rStyle w:val="Strong"/>
        </w:rPr>
        <w:tab/>
        <w:t>Fragmentation of agricultural land</w:t>
      </w:r>
    </w:p>
    <w:p w:rsidR="00EE0F0D" w:rsidRDefault="00F76F55" w:rsidP="009F1FBC">
      <w:pPr>
        <w:pStyle w:val="bt"/>
      </w:pPr>
      <w:r w:rsidRPr="00226D34">
        <w:t>Fragmentation of farmland can occur when traditional farming areas are broken up by the introduction of alternative, incompatible uses such as small-lot subdivision, tourism ventures, boutique industries and dwellings unrelated to farming. These changes may limit agricultural intensification, diversification or expansion. They can restrict current farming practices or even make the</w:t>
      </w:r>
      <w:r w:rsidR="00F9401B">
        <w:t>m</w:t>
      </w:r>
      <w:r w:rsidRPr="00226D34">
        <w:t xml:space="preserve"> untenable and therefore, may result in irreversible land use change. Fragmentation is particularly prevalent where land has high landscape amenity value, is relatively inexpensive, is near sealed roads and has a historical pattern of small</w:t>
      </w:r>
      <w:r w:rsidR="00987CE4">
        <w:t>-</w:t>
      </w:r>
      <w:r w:rsidRPr="00226D34">
        <w:t xml:space="preserve">sized </w:t>
      </w:r>
      <w:r w:rsidR="007A0340">
        <w:t>lots</w:t>
      </w:r>
      <w:r w:rsidRPr="00226D34">
        <w:t xml:space="preserve"> </w:t>
      </w:r>
      <w:r w:rsidR="009F1FBC">
        <w:t>(Figure 13</w:t>
      </w:r>
      <w:r w:rsidRPr="00226D34">
        <w:t>).</w:t>
      </w:r>
    </w:p>
    <w:p w:rsidR="00926684" w:rsidRDefault="00926684" w:rsidP="00926684">
      <w:pPr>
        <w:pStyle w:val="Caption"/>
        <w:sectPr w:rsidR="00926684" w:rsidSect="009075F4">
          <w:pgSz w:w="11906" w:h="16838"/>
          <w:pgMar w:top="1530" w:right="1440" w:bottom="993" w:left="1440" w:header="708" w:footer="708" w:gutter="0"/>
          <w:cols w:space="708"/>
          <w:docGrid w:linePitch="360"/>
        </w:sectPr>
      </w:pPr>
    </w:p>
    <w:p w:rsidR="00926684" w:rsidRDefault="00926684" w:rsidP="00926684">
      <w:pPr>
        <w:pStyle w:val="Caption"/>
      </w:pPr>
      <w:bookmarkStart w:id="241" w:name="_Toc374612538"/>
      <w:r w:rsidRPr="00912CE4">
        <w:lastRenderedPageBreak/>
        <w:t xml:space="preserve">Figure </w:t>
      </w:r>
      <w:r w:rsidR="00AA3D97" w:rsidRPr="00912CE4">
        <w:fldChar w:fldCharType="begin"/>
      </w:r>
      <w:r w:rsidRPr="00912CE4">
        <w:instrText xml:space="preserve"> SEQ Figure \* ARABIC </w:instrText>
      </w:r>
      <w:r w:rsidR="00AA3D97" w:rsidRPr="00912CE4">
        <w:fldChar w:fldCharType="separate"/>
      </w:r>
      <w:r w:rsidR="009034D4">
        <w:rPr>
          <w:noProof/>
        </w:rPr>
        <w:t>13</w:t>
      </w:r>
      <w:r w:rsidR="00AA3D97" w:rsidRPr="00912CE4">
        <w:fldChar w:fldCharType="end"/>
      </w:r>
      <w:r w:rsidRPr="00912CE4">
        <w:t>: Lot parcels 0.4 to 8.0 hectares – Hume Region</w:t>
      </w:r>
      <w:bookmarkEnd w:id="241"/>
    </w:p>
    <w:p w:rsidR="007D1E72" w:rsidRPr="007D1E72" w:rsidRDefault="007D1E72" w:rsidP="007D1E72">
      <w:pPr>
        <w:pStyle w:val="bt"/>
      </w:pPr>
      <w:r>
        <w:t>[</w:t>
      </w:r>
      <w:r w:rsidRPr="007D1E72">
        <w:t>Map showing lot parcels 0.4 to 8.0 hectares in the Hume Region</w:t>
      </w:r>
      <w:r>
        <w:t>]</w:t>
      </w:r>
    </w:p>
    <w:p w:rsidR="00926684" w:rsidRDefault="00926684" w:rsidP="00295EB8">
      <w:pPr>
        <w:pStyle w:val="source"/>
        <w:sectPr w:rsidR="00926684" w:rsidSect="00BA3E62">
          <w:pgSz w:w="16838" w:h="11906" w:orient="landscape"/>
          <w:pgMar w:top="1440" w:right="1702" w:bottom="993" w:left="1135" w:header="708" w:footer="708" w:gutter="0"/>
          <w:cols w:space="708"/>
          <w:docGrid w:linePitch="360"/>
        </w:sectPr>
      </w:pPr>
      <w:r w:rsidRPr="0062610D">
        <w:t xml:space="preserve">Source: </w:t>
      </w:r>
      <w:r w:rsidR="003467C9">
        <w:t>Department</w:t>
      </w:r>
      <w:r w:rsidR="00CB6C5F">
        <w:t xml:space="preserve"> </w:t>
      </w:r>
      <w:r w:rsidR="003467C9">
        <w:t>of</w:t>
      </w:r>
      <w:r w:rsidR="00CB6C5F">
        <w:t xml:space="preserve"> Transport, Planning and Local Infrastructure</w:t>
      </w:r>
    </w:p>
    <w:p w:rsidR="0021525D" w:rsidRDefault="009500E9" w:rsidP="00EB39D0">
      <w:pPr>
        <w:pStyle w:val="bt"/>
        <w:spacing w:after="80"/>
      </w:pPr>
      <w:r w:rsidRPr="00F76F55">
        <w:lastRenderedPageBreak/>
        <w:t>In the Hume Region, this form of development appears to be occurring:</w:t>
      </w:r>
    </w:p>
    <w:p w:rsidR="007A143F" w:rsidRDefault="009500E9" w:rsidP="00EB39D0">
      <w:pPr>
        <w:pStyle w:val="ListBullet"/>
        <w:spacing w:after="80"/>
      </w:pPr>
      <w:r w:rsidRPr="00F76F55">
        <w:t>in a linear for</w:t>
      </w:r>
      <w:r w:rsidR="00F9401B">
        <w:t>mation along roads and valleys,</w:t>
      </w:r>
      <w:r w:rsidRPr="00F76F55">
        <w:t xml:space="preserve"> such as along the O</w:t>
      </w:r>
      <w:r w:rsidR="00913C42">
        <w:t>vens and King rivers corridors</w:t>
      </w:r>
      <w:r w:rsidR="00F9401B">
        <w:t xml:space="preserve">, </w:t>
      </w:r>
      <w:r w:rsidRPr="00F76F55">
        <w:t>where there is high quality soil and associated (historical) existing small lots</w:t>
      </w:r>
    </w:p>
    <w:p w:rsidR="007A143F" w:rsidRDefault="009500E9" w:rsidP="00EB39D0">
      <w:pPr>
        <w:pStyle w:val="ListBullet"/>
        <w:spacing w:after="80"/>
      </w:pPr>
      <w:r w:rsidRPr="00F76F55">
        <w:t>where land has an uncertain agricultural future, such as in the former irrigation areas around Shepparton and the previous gold tenements, where there are high proportions of small and sub-commercial farms</w:t>
      </w:r>
    </w:p>
    <w:p w:rsidR="007A143F" w:rsidRDefault="009500E9" w:rsidP="00EB39D0">
      <w:pPr>
        <w:pStyle w:val="ListBullet"/>
        <w:spacing w:after="80"/>
      </w:pPr>
      <w:r w:rsidRPr="00F76F55">
        <w:t>in peri-urban areas where reduced travel times have created greater accessibility beyond the limits of metropolitan and other urban centres</w:t>
      </w:r>
    </w:p>
    <w:p w:rsidR="005D0A03" w:rsidRDefault="009500E9" w:rsidP="001A3FCF">
      <w:pPr>
        <w:pStyle w:val="ListBullet"/>
      </w:pPr>
      <w:r w:rsidRPr="00F76F55">
        <w:t>in high amenity areas, particularly in undulating and hilly country, east of the Hume Freeway.</w:t>
      </w:r>
    </w:p>
    <w:p w:rsidR="00295F7D" w:rsidRDefault="00295F7D" w:rsidP="00EB39D0">
      <w:pPr>
        <w:pStyle w:val="bt"/>
        <w:spacing w:after="200"/>
      </w:pPr>
      <w:r w:rsidRPr="00F76F55">
        <w:t xml:space="preserve">The </w:t>
      </w:r>
      <w:r>
        <w:t>plan</w:t>
      </w:r>
      <w:r w:rsidRPr="00F76F55">
        <w:t xml:space="preserve"> recognises that pressure on areas with rural amenity is likely to increase due to overall population growth and incoming ‘tree changers’, as well as a growing proportion of people </w:t>
      </w:r>
      <w:r>
        <w:t xml:space="preserve">of </w:t>
      </w:r>
      <w:r w:rsidRPr="00F76F55">
        <w:t xml:space="preserve">retirement age, many of whom may choose to retire in the </w:t>
      </w:r>
      <w:r>
        <w:t>r</w:t>
      </w:r>
      <w:r w:rsidRPr="00F76F55">
        <w:t>egion but outside established settlements. It provides for strategic planning for these non-farming uses to consider their potential impact on farming activities.</w:t>
      </w:r>
    </w:p>
    <w:p w:rsidR="00295F7D" w:rsidRDefault="00295F7D" w:rsidP="00EB39D0">
      <w:pPr>
        <w:pStyle w:val="bt"/>
        <w:spacing w:after="80"/>
      </w:pPr>
      <w:r w:rsidRPr="00987CE4">
        <w:t xml:space="preserve">The </w:t>
      </w:r>
      <w:r w:rsidRPr="00B44623">
        <w:rPr>
          <w:rStyle w:val="Emphasis"/>
          <w:i w:val="0"/>
        </w:rPr>
        <w:t>Hume Region Rural Land Use Study 2012</w:t>
      </w:r>
      <w:r>
        <w:t xml:space="preserve"> </w:t>
      </w:r>
      <w:r w:rsidRPr="00F76F55">
        <w:t>developed criteria for identifying appropriate locations for future rural residential development. Local planning should seek to ensure that these areas:</w:t>
      </w:r>
    </w:p>
    <w:p w:rsidR="00295F7D" w:rsidRDefault="00295F7D" w:rsidP="00EB39D0">
      <w:pPr>
        <w:pStyle w:val="ListBullet"/>
        <w:spacing w:after="80"/>
      </w:pPr>
      <w:r w:rsidRPr="009500E9">
        <w:t>are located within regular commuting distance to a major regional centre</w:t>
      </w:r>
    </w:p>
    <w:p w:rsidR="00295F7D" w:rsidRDefault="00295F7D" w:rsidP="00EB39D0">
      <w:pPr>
        <w:pStyle w:val="ListBullet"/>
        <w:spacing w:after="80"/>
      </w:pPr>
      <w:r w:rsidRPr="009500E9">
        <w:t>are capable of safe and easy access</w:t>
      </w:r>
    </w:p>
    <w:p w:rsidR="00295F7D" w:rsidRDefault="00295F7D" w:rsidP="00EB39D0">
      <w:pPr>
        <w:pStyle w:val="ListBullet"/>
        <w:spacing w:after="80"/>
      </w:pPr>
      <w:r w:rsidRPr="009500E9">
        <w:t>consolidate existing rural settlement patterns</w:t>
      </w:r>
    </w:p>
    <w:p w:rsidR="00295F7D" w:rsidRDefault="00295F7D" w:rsidP="00EB39D0">
      <w:pPr>
        <w:pStyle w:val="ListBullet"/>
        <w:spacing w:after="80"/>
      </w:pPr>
      <w:r w:rsidRPr="009500E9">
        <w:t>protect and provide visual and physical links to areas with high amenity, such as lakes, rivers, national and state parks</w:t>
      </w:r>
    </w:p>
    <w:p w:rsidR="00295F7D" w:rsidRDefault="00295F7D" w:rsidP="00EB39D0">
      <w:pPr>
        <w:pStyle w:val="ListBullet"/>
        <w:spacing w:after="80"/>
      </w:pPr>
      <w:r w:rsidRPr="009500E9">
        <w:t>avoid areas of strategic agricultural importance</w:t>
      </w:r>
    </w:p>
    <w:p w:rsidR="00295F7D" w:rsidRDefault="00295F7D" w:rsidP="00EB39D0">
      <w:pPr>
        <w:pStyle w:val="ListBullet"/>
        <w:spacing w:after="80"/>
      </w:pPr>
      <w:r w:rsidRPr="009500E9">
        <w:t>avoid areas of high landscape significance, such as important views and vistas, or environmental significance</w:t>
      </w:r>
    </w:p>
    <w:p w:rsidR="00295F7D" w:rsidRDefault="00295F7D" w:rsidP="00EB39D0">
      <w:pPr>
        <w:pStyle w:val="ListBullet"/>
        <w:spacing w:after="80"/>
      </w:pPr>
      <w:r w:rsidRPr="009500E9">
        <w:t>are in close proximity to infrastructure</w:t>
      </w:r>
      <w:r w:rsidR="007A0340">
        <w:t>,</w:t>
      </w:r>
      <w:r w:rsidRPr="009500E9">
        <w:t xml:space="preserve"> such as power and water</w:t>
      </w:r>
    </w:p>
    <w:p w:rsidR="00295F7D" w:rsidRDefault="00295F7D" w:rsidP="001A3FCF">
      <w:pPr>
        <w:pStyle w:val="ListBullet"/>
      </w:pPr>
      <w:r w:rsidRPr="009500E9">
        <w:t>avoid areas subject to natural hazard, such as bushfire and flood.</w:t>
      </w:r>
    </w:p>
    <w:p w:rsidR="005D0A03" w:rsidRPr="005D0A03" w:rsidRDefault="007536C0">
      <w:pPr>
        <w:pStyle w:val="bt"/>
        <w:rPr>
          <w:rStyle w:val="Strong"/>
        </w:rPr>
      </w:pPr>
      <w:r w:rsidRPr="007536C0">
        <w:rPr>
          <w:rStyle w:val="Strong"/>
        </w:rPr>
        <w:t>b)</w:t>
      </w:r>
      <w:r w:rsidRPr="007536C0">
        <w:rPr>
          <w:rStyle w:val="Strong"/>
        </w:rPr>
        <w:tab/>
        <w:t>Conflicting land uses and activities</w:t>
      </w:r>
    </w:p>
    <w:p w:rsidR="00295F7D" w:rsidRDefault="00295F7D" w:rsidP="00EB39D0">
      <w:pPr>
        <w:pStyle w:val="bt"/>
        <w:spacing w:after="200"/>
      </w:pPr>
      <w:r w:rsidRPr="00F76F55">
        <w:t>Introduction of sensitive</w:t>
      </w:r>
      <w:r w:rsidR="007A0340">
        <w:t xml:space="preserve"> land</w:t>
      </w:r>
      <w:r w:rsidRPr="00F76F55">
        <w:t xml:space="preserve"> uses, such as housing, can compromise opportunities for growth and investment in highly productive rural areas. Conflicts can arise as a result of noise, dust, spray drift and odours from farming activities. The </w:t>
      </w:r>
      <w:r>
        <w:t>plan</w:t>
      </w:r>
      <w:r w:rsidRPr="00F76F55">
        <w:t xml:space="preserve"> provides direction on the location of future rural residential settlement, to minimise conflict between sensitive land uses and agriculture in rural areas.</w:t>
      </w:r>
    </w:p>
    <w:p w:rsidR="00295F7D" w:rsidRDefault="00295F7D" w:rsidP="00EB39D0">
      <w:pPr>
        <w:pStyle w:val="bt"/>
        <w:spacing w:after="200"/>
      </w:pPr>
      <w:r w:rsidRPr="00F76F55">
        <w:t xml:space="preserve">Processing activities associated with agricultural and forestry products can also result in land use conflicts in urban areas, </w:t>
      </w:r>
      <w:r>
        <w:t xml:space="preserve">such as </w:t>
      </w:r>
      <w:r w:rsidRPr="00F76F55">
        <w:t xml:space="preserve">intrusive noise, odours or light. This is a broader issue relating to industrial uses and the </w:t>
      </w:r>
      <w:r>
        <w:t>plan</w:t>
      </w:r>
      <w:r w:rsidRPr="00F76F55">
        <w:t xml:space="preserve"> stresses the need to identify industrial land in areas where appropriate separation distances from housing and other sensitive urban uses can be maintained. The </w:t>
      </w:r>
      <w:r>
        <w:t>plan</w:t>
      </w:r>
      <w:r w:rsidRPr="00F76F55">
        <w:t xml:space="preserve"> also recognises that</w:t>
      </w:r>
      <w:r w:rsidR="007A0340">
        <w:t xml:space="preserve"> the</w:t>
      </w:r>
      <w:r w:rsidRPr="00F76F55">
        <w:t xml:space="preserve"> transport of goods to and from farms and forestry plantations to processing and manufacturing plants, warehouses and markets can create amenity and safety issues in both rural and urban areas</w:t>
      </w:r>
      <w:r w:rsidR="007A0340">
        <w:t>,</w:t>
      </w:r>
      <w:r w:rsidRPr="00F76F55">
        <w:t xml:space="preserve"> </w:t>
      </w:r>
      <w:r>
        <w:t xml:space="preserve">as well as </w:t>
      </w:r>
      <w:r w:rsidRPr="00F76F55">
        <w:t>negative</w:t>
      </w:r>
      <w:r>
        <w:t xml:space="preserve"> impacts on road infrastructure.</w:t>
      </w:r>
    </w:p>
    <w:p w:rsidR="009026F6" w:rsidRDefault="007B0525" w:rsidP="000429C2">
      <w:pPr>
        <w:pStyle w:val="bt"/>
      </w:pPr>
      <w:r>
        <w:t xml:space="preserve">Maintaining biosecurity in productive rural areas is important to support ongoing agricultural production. </w:t>
      </w:r>
      <w:r w:rsidRPr="007B0525">
        <w:t>Non-agricultural uses in</w:t>
      </w:r>
      <w:r w:rsidR="00A21CD6">
        <w:t xml:space="preserve"> productive rural areas need</w:t>
      </w:r>
      <w:r w:rsidRPr="007B0525">
        <w:t xml:space="preserve"> to be managed to minimise biosecurity risks.</w:t>
      </w:r>
    </w:p>
    <w:p w:rsidR="009026F6" w:rsidRDefault="009026F6">
      <w:pPr>
        <w:rPr>
          <w:rFonts w:ascii="Calibri" w:eastAsia="Times New Roman" w:hAnsi="Calibri" w:cs="Times New Roman"/>
          <w:szCs w:val="24"/>
        </w:rPr>
      </w:pPr>
      <w:r>
        <w:br w:type="page"/>
      </w:r>
    </w:p>
    <w:p w:rsidR="000429C2" w:rsidRPr="006C539E" w:rsidRDefault="000429C2" w:rsidP="000429C2">
      <w:pPr>
        <w:pStyle w:val="bt"/>
        <w:rPr>
          <w:rStyle w:val="Strong"/>
        </w:rPr>
      </w:pPr>
      <w:r w:rsidRPr="006C539E">
        <w:rPr>
          <w:rStyle w:val="Strong"/>
        </w:rPr>
        <w:lastRenderedPageBreak/>
        <w:t>c)</w:t>
      </w:r>
      <w:r w:rsidRPr="006C539E">
        <w:rPr>
          <w:rStyle w:val="Strong"/>
        </w:rPr>
        <w:tab/>
        <w:t>Natural resources</w:t>
      </w:r>
    </w:p>
    <w:p w:rsidR="002E46CA" w:rsidRDefault="000429C2" w:rsidP="000429C2">
      <w:pPr>
        <w:pStyle w:val="bt"/>
      </w:pPr>
      <w:r w:rsidRPr="00F76F55">
        <w:t>Earth resources in the form of minerals and quarry products make a valuable economic and social contribution to the region. Quarry products such as sand, gravel and stone are necessary inputs for construction of houses, commercial buildings, roads, railways and pipelines while mineral resources generate valuable income.</w:t>
      </w:r>
      <w:r w:rsidR="002E46CA" w:rsidRPr="002E46CA">
        <w:t xml:space="preserve"> </w:t>
      </w:r>
      <w:r w:rsidR="00B235C7" w:rsidRPr="002E46CA">
        <w:t>Having quarry</w:t>
      </w:r>
      <w:r w:rsidR="002E46CA" w:rsidRPr="002E46CA">
        <w:t xml:space="preserve"> products available locally within the region has benefits for the growth of the region, as it keeps construction costs manageable.  </w:t>
      </w:r>
      <w:r w:rsidRPr="00F76F55">
        <w:t xml:space="preserve"> </w:t>
      </w:r>
    </w:p>
    <w:p w:rsidR="000429C2" w:rsidRDefault="008B1CBE" w:rsidP="000429C2">
      <w:pPr>
        <w:pStyle w:val="bt"/>
      </w:pPr>
      <w:r>
        <w:t>Mineral resources in the region could include</w:t>
      </w:r>
      <w:r w:rsidR="002E46CA" w:rsidRPr="002E46CA">
        <w:t xml:space="preserve"> gold, base metals, brown coal and molybdenum, which provide </w:t>
      </w:r>
      <w:r>
        <w:t xml:space="preserve">potential </w:t>
      </w:r>
      <w:r w:rsidR="002E46CA" w:rsidRPr="002E46CA">
        <w:t xml:space="preserve">opportunities for the region’s economy. </w:t>
      </w:r>
      <w:r w:rsidR="000429C2" w:rsidRPr="00F76F55">
        <w:t xml:space="preserve">The vast majority of current </w:t>
      </w:r>
      <w:r w:rsidR="002E46CA">
        <w:t xml:space="preserve">minerals </w:t>
      </w:r>
      <w:r w:rsidR="000429C2" w:rsidRPr="00F76F55">
        <w:t xml:space="preserve">mining operations in the </w:t>
      </w:r>
      <w:r w:rsidR="000429C2">
        <w:t>r</w:t>
      </w:r>
      <w:r w:rsidR="000429C2" w:rsidRPr="00F76F55">
        <w:t>egion are on Crown land.</w:t>
      </w:r>
    </w:p>
    <w:p w:rsidR="002E46CA" w:rsidRDefault="002E46CA" w:rsidP="002E46CA">
      <w:pPr>
        <w:pStyle w:val="bt"/>
        <w:spacing w:before="120" w:after="60"/>
      </w:pPr>
      <w:r>
        <w:t>In May 2012, the Economic Development and Infrastructure Committee of the Parliament of Victoria tabled the results of its inquiry into the benefits and drivers of, and possible barriers to, greenfields</w:t>
      </w:r>
      <w:r w:rsidR="008A1FF0">
        <w:rPr>
          <w:rStyle w:val="FootnoteReference"/>
        </w:rPr>
        <w:footnoteReference w:id="5"/>
      </w:r>
      <w:r>
        <w:t xml:space="preserve"> mineral exploration and project developments in Victoria. The Victorian Government’s response to the Inquiry was released in May 2013, supporting all recommendations. Key aspects of the response include:</w:t>
      </w:r>
    </w:p>
    <w:p w:rsidR="002E46CA" w:rsidRDefault="002E46CA" w:rsidP="00A41B2E">
      <w:pPr>
        <w:pStyle w:val="bt"/>
        <w:numPr>
          <w:ilvl w:val="0"/>
          <w:numId w:val="26"/>
        </w:numPr>
        <w:spacing w:before="120" w:after="60"/>
      </w:pPr>
      <w:r>
        <w:t xml:space="preserve">establish Minerals Development Victoria as a single point of entry for investors </w:t>
      </w:r>
      <w:r w:rsidR="005D6FE1">
        <w:t xml:space="preserve">and to be the link between investors and the </w:t>
      </w:r>
      <w:r w:rsidR="003C6A02">
        <w:t>s</w:t>
      </w:r>
      <w:r w:rsidR="005D6FE1">
        <w:t xml:space="preserve">tate </w:t>
      </w:r>
      <w:r w:rsidR="003C6A02">
        <w:t>g</w:t>
      </w:r>
      <w:r w:rsidR="005D6FE1">
        <w:t>overnment</w:t>
      </w:r>
    </w:p>
    <w:p w:rsidR="002E46CA" w:rsidRDefault="002E46CA" w:rsidP="00A41B2E">
      <w:pPr>
        <w:pStyle w:val="bt"/>
        <w:numPr>
          <w:ilvl w:val="0"/>
          <w:numId w:val="26"/>
        </w:numPr>
        <w:spacing w:before="120" w:after="60"/>
      </w:pPr>
      <w:r>
        <w:t xml:space="preserve">actions to reduce regulatory burden imposed </w:t>
      </w:r>
      <w:r w:rsidR="005D6FE1">
        <w:t>by</w:t>
      </w:r>
      <w:r>
        <w:t xml:space="preserve"> legislation</w:t>
      </w:r>
    </w:p>
    <w:p w:rsidR="002E46CA" w:rsidRDefault="002E46CA" w:rsidP="00A41B2E">
      <w:pPr>
        <w:pStyle w:val="bt"/>
        <w:numPr>
          <w:ilvl w:val="0"/>
          <w:numId w:val="26"/>
        </w:numPr>
        <w:spacing w:before="120" w:after="60"/>
      </w:pPr>
      <w:r>
        <w:t>actions to build community confidence through greater engagement and clearer communication of information</w:t>
      </w:r>
    </w:p>
    <w:p w:rsidR="002E46CA" w:rsidRDefault="002E46CA" w:rsidP="00A41B2E">
      <w:pPr>
        <w:pStyle w:val="bt"/>
        <w:numPr>
          <w:ilvl w:val="0"/>
          <w:numId w:val="26"/>
        </w:numPr>
        <w:spacing w:before="120" w:after="60"/>
      </w:pPr>
      <w:r>
        <w:t>additional funding for geosciences research and greater investment attraction</w:t>
      </w:r>
    </w:p>
    <w:p w:rsidR="002E46CA" w:rsidRDefault="002E46CA" w:rsidP="00A41B2E">
      <w:pPr>
        <w:pStyle w:val="bt"/>
        <w:numPr>
          <w:ilvl w:val="0"/>
          <w:numId w:val="26"/>
        </w:numPr>
        <w:spacing w:before="120"/>
        <w:ind w:left="714" w:hanging="357"/>
      </w:pPr>
      <w:r>
        <w:t>steps to improve mechanisms to maintain appropriate access to extractive resources while supporting ongoing development and optimum land use.</w:t>
      </w:r>
    </w:p>
    <w:p w:rsidR="00907A9B" w:rsidRDefault="002E46CA" w:rsidP="00A22208">
      <w:pPr>
        <w:pStyle w:val="bt"/>
      </w:pPr>
      <w:r>
        <w:t>While it is important to acknowledge these and other aspects of the response, it is beyond the scope of the regional growth plans to deal with the majority of the commitments and they will need to be addressed through other suitable government initiatives. The response did include a commitment to incorporate existing extractive industry interest areas into regional growth plans. The plan recognises these areas accordingly.</w:t>
      </w:r>
      <w:r w:rsidR="00A22208">
        <w:t xml:space="preserve"> </w:t>
      </w:r>
      <w:r w:rsidR="00A44235" w:rsidRPr="00A44235">
        <w:t xml:space="preserve">Current minerals and extractive industry </w:t>
      </w:r>
      <w:r w:rsidR="006B766E" w:rsidRPr="006B766E">
        <w:t>tenements and licences</w:t>
      </w:r>
      <w:r w:rsidR="006B766E">
        <w:t xml:space="preserve"> within</w:t>
      </w:r>
      <w:r w:rsidR="00A44235" w:rsidRPr="00A44235">
        <w:t xml:space="preserve"> the region are shown in</w:t>
      </w:r>
      <w:r w:rsidR="009F1FBC">
        <w:t xml:space="preserve"> </w:t>
      </w:r>
      <w:r w:rsidR="00AA3D97">
        <w:fldChar w:fldCharType="begin"/>
      </w:r>
      <w:r w:rsidR="00A22208">
        <w:instrText xml:space="preserve"> REF _Ref365968637 \h </w:instrText>
      </w:r>
      <w:r w:rsidR="00AA3D97">
        <w:fldChar w:fldCharType="separate"/>
      </w:r>
      <w:r w:rsidR="009034D4" w:rsidRPr="006B766E">
        <w:t xml:space="preserve">Figure </w:t>
      </w:r>
      <w:r w:rsidR="009034D4">
        <w:rPr>
          <w:noProof/>
        </w:rPr>
        <w:t>14</w:t>
      </w:r>
      <w:r w:rsidR="00AA3D97">
        <w:fldChar w:fldCharType="end"/>
      </w:r>
      <w:r w:rsidR="00A44235" w:rsidRPr="00A44235">
        <w:t>.</w:t>
      </w:r>
    </w:p>
    <w:p w:rsidR="000429C2" w:rsidRDefault="000429C2" w:rsidP="000429C2">
      <w:pPr>
        <w:pStyle w:val="bt"/>
      </w:pPr>
      <w:r w:rsidRPr="00F76F55">
        <w:t xml:space="preserve">Although the locations of quarries and mines are determined by geology, the </w:t>
      </w:r>
      <w:r>
        <w:t>plan</w:t>
      </w:r>
      <w:r w:rsidRPr="00F76F55">
        <w:t xml:space="preserve"> acknowledges that potential conflicts with other land uses such as agriculture need to be considered, as well as environmental assets, community values and access to markets. It is important that earth resources are not sterilised by inappropriate planning decisions that may reduce the ability to exploit them for the benefit of the community.</w:t>
      </w:r>
    </w:p>
    <w:p w:rsidR="00855A5F" w:rsidRDefault="00855A5F" w:rsidP="00E770E1">
      <w:pPr>
        <w:pStyle w:val="bt"/>
        <w:spacing w:after="0"/>
      </w:pPr>
      <w:r w:rsidRPr="00F76F55">
        <w:t xml:space="preserve">The </w:t>
      </w:r>
      <w:r>
        <w:t>plan</w:t>
      </w:r>
      <w:r w:rsidRPr="00F76F55">
        <w:t xml:space="preserve"> identifies renewable energy generation as an important future rural land use taking into account the existence of significant energy resources in the </w:t>
      </w:r>
      <w:r>
        <w:t>r</w:t>
      </w:r>
      <w:r w:rsidRPr="00F76F55">
        <w:t>egion including:</w:t>
      </w:r>
    </w:p>
    <w:p w:rsidR="00855A5F" w:rsidRDefault="00855A5F" w:rsidP="001A3FCF">
      <w:pPr>
        <w:pStyle w:val="ListBullet"/>
      </w:pPr>
      <w:r w:rsidRPr="00F76F55">
        <w:t>wind energy opportunities in the Strathbogie Ranges</w:t>
      </w:r>
    </w:p>
    <w:p w:rsidR="00855A5F" w:rsidRDefault="00855A5F" w:rsidP="001A3FCF">
      <w:pPr>
        <w:pStyle w:val="ListBullet"/>
      </w:pPr>
      <w:r w:rsidRPr="00F76F55">
        <w:t>solar energy potential in the west of Moira Shire</w:t>
      </w:r>
    </w:p>
    <w:p w:rsidR="00855A5F" w:rsidRDefault="00855A5F" w:rsidP="001A3FCF">
      <w:pPr>
        <w:pStyle w:val="ListBullet"/>
      </w:pPr>
      <w:r w:rsidRPr="00F76F55">
        <w:t>other opportunities for local power generation and distribution.</w:t>
      </w:r>
    </w:p>
    <w:p w:rsidR="002445CA" w:rsidRDefault="00855A5F" w:rsidP="000800DD">
      <w:pPr>
        <w:pStyle w:val="bt"/>
      </w:pPr>
      <w:r w:rsidRPr="00F76F55">
        <w:t xml:space="preserve">The </w:t>
      </w:r>
      <w:r>
        <w:t>plan</w:t>
      </w:r>
      <w:r w:rsidRPr="00F76F55">
        <w:t xml:space="preserve"> encourages further exploration of the opportunities for sustainable development of natural resources in the region.</w:t>
      </w:r>
      <w:r>
        <w:t xml:space="preserve"> Forestry for firewood production is an opportunity for further consideration.</w:t>
      </w:r>
      <w:r w:rsidR="008A1FF0" w:rsidRPr="008A1FF0">
        <w:t xml:space="preserve"> Any increase in tree cover in the region, including for forestry developments, will need to consider any potential increase in natural hazards as a result of such activities. This is particularly relevant to any changes in landscape fire and flood risks that may result from the increasing treed vegetation cover, especially where occurring in close proximity to settlements.</w:t>
      </w:r>
      <w:bookmarkStart w:id="242" w:name="_Ref348349509"/>
    </w:p>
    <w:p w:rsidR="00926684" w:rsidRDefault="00926684" w:rsidP="00926684">
      <w:pPr>
        <w:pStyle w:val="Caption"/>
        <w:sectPr w:rsidR="00926684" w:rsidSect="009075F4">
          <w:pgSz w:w="11906" w:h="16838"/>
          <w:pgMar w:top="1531" w:right="1440" w:bottom="993" w:left="1440" w:header="708" w:footer="708" w:gutter="0"/>
          <w:cols w:space="708"/>
          <w:docGrid w:linePitch="360"/>
        </w:sectPr>
      </w:pPr>
      <w:bookmarkStart w:id="243" w:name="_Ref363466842"/>
    </w:p>
    <w:p w:rsidR="008A1FF0" w:rsidRDefault="00926684" w:rsidP="00926684">
      <w:pPr>
        <w:pStyle w:val="Caption"/>
      </w:pPr>
      <w:bookmarkStart w:id="244" w:name="_Ref365968637"/>
      <w:bookmarkStart w:id="245" w:name="_Toc374612539"/>
      <w:r w:rsidRPr="006B766E">
        <w:lastRenderedPageBreak/>
        <w:t xml:space="preserve">Figure </w:t>
      </w:r>
      <w:r w:rsidR="00AA3D97" w:rsidRPr="006B766E">
        <w:fldChar w:fldCharType="begin"/>
      </w:r>
      <w:r w:rsidRPr="006B766E">
        <w:instrText xml:space="preserve"> SEQ Figure \* ARABIC </w:instrText>
      </w:r>
      <w:r w:rsidR="00AA3D97" w:rsidRPr="006B766E">
        <w:fldChar w:fldCharType="separate"/>
      </w:r>
      <w:r w:rsidR="009034D4">
        <w:rPr>
          <w:noProof/>
        </w:rPr>
        <w:t>14</w:t>
      </w:r>
      <w:r w:rsidR="00AA3D97" w:rsidRPr="006B766E">
        <w:fldChar w:fldCharType="end"/>
      </w:r>
      <w:bookmarkEnd w:id="243"/>
      <w:bookmarkEnd w:id="244"/>
      <w:r w:rsidRPr="006B766E">
        <w:t>:</w:t>
      </w:r>
      <w:r w:rsidR="008A1FF0" w:rsidRPr="006B766E">
        <w:t xml:space="preserve"> Min</w:t>
      </w:r>
      <w:r w:rsidR="00A22208">
        <w:t>ing</w:t>
      </w:r>
      <w:r w:rsidR="008A1FF0" w:rsidRPr="006B766E">
        <w:t xml:space="preserve"> and extractive </w:t>
      </w:r>
      <w:r w:rsidR="006B766E">
        <w:t>industr</w:t>
      </w:r>
      <w:r w:rsidR="00A22208">
        <w:t>ies,</w:t>
      </w:r>
      <w:r w:rsidR="006B766E">
        <w:t xml:space="preserve"> tenements and licences</w:t>
      </w:r>
      <w:bookmarkEnd w:id="245"/>
    </w:p>
    <w:p w:rsidR="007D1E72" w:rsidRPr="007D1E72" w:rsidRDefault="007D1E72" w:rsidP="007D1E72">
      <w:pPr>
        <w:pStyle w:val="bt"/>
      </w:pPr>
      <w:r>
        <w:t>[</w:t>
      </w:r>
      <w:r w:rsidRPr="007D1E72">
        <w:t>Map showing mining and extractive industries, tenements and licences in the Hume region</w:t>
      </w:r>
      <w:r>
        <w:t>]</w:t>
      </w:r>
    </w:p>
    <w:p w:rsidR="00926684" w:rsidRDefault="006B766E" w:rsidP="0061220F">
      <w:pPr>
        <w:pStyle w:val="source"/>
      </w:pPr>
      <w:r w:rsidRPr="006B766E">
        <w:t xml:space="preserve">Source: Department of </w:t>
      </w:r>
      <w:r>
        <w:t xml:space="preserve">Environment and </w:t>
      </w:r>
      <w:r w:rsidR="00C84800">
        <w:t>P</w:t>
      </w:r>
      <w:r>
        <w:t>rimary Industries</w:t>
      </w:r>
    </w:p>
    <w:p w:rsidR="00926684" w:rsidRDefault="00926684" w:rsidP="0061220F">
      <w:pPr>
        <w:pStyle w:val="source"/>
        <w:sectPr w:rsidR="00926684" w:rsidSect="00BA3E62">
          <w:pgSz w:w="16838" w:h="11906" w:orient="landscape"/>
          <w:pgMar w:top="1440" w:right="1702" w:bottom="993" w:left="1135" w:header="708" w:footer="708" w:gutter="0"/>
          <w:cols w:space="708"/>
          <w:docGrid w:linePitch="360"/>
        </w:sectPr>
      </w:pPr>
    </w:p>
    <w:p w:rsidR="001E6B61" w:rsidRDefault="007536C0">
      <w:pPr>
        <w:pStyle w:val="bt"/>
        <w:spacing w:before="0" w:after="120"/>
        <w:rPr>
          <w:rStyle w:val="Strong"/>
        </w:rPr>
      </w:pPr>
      <w:bookmarkStart w:id="246" w:name="0.1__Toc333396203"/>
      <w:bookmarkEnd w:id="242"/>
      <w:bookmarkEnd w:id="246"/>
      <w:r w:rsidRPr="007536C0">
        <w:rPr>
          <w:rStyle w:val="Strong"/>
        </w:rPr>
        <w:lastRenderedPageBreak/>
        <w:t>d)</w:t>
      </w:r>
      <w:r w:rsidRPr="007536C0">
        <w:rPr>
          <w:rStyle w:val="Strong"/>
        </w:rPr>
        <w:tab/>
      </w:r>
      <w:bookmarkStart w:id="247" w:name="0.1__Toc333396204"/>
      <w:bookmarkEnd w:id="247"/>
      <w:r w:rsidRPr="007536C0">
        <w:rPr>
          <w:rStyle w:val="Strong"/>
        </w:rPr>
        <w:t>Lifestyle properties/rural residential</w:t>
      </w:r>
    </w:p>
    <w:p w:rsidR="007A143F" w:rsidRDefault="00F76F55" w:rsidP="00E770E1">
      <w:pPr>
        <w:pStyle w:val="bt"/>
        <w:spacing w:after="0"/>
      </w:pPr>
      <w:r w:rsidRPr="00F76F55">
        <w:t>Two precincts within</w:t>
      </w:r>
      <w:r w:rsidR="007A0340">
        <w:t xml:space="preserve"> the</w:t>
      </w:r>
      <w:r w:rsidRPr="00F76F55">
        <w:t xml:space="preserve"> </w:t>
      </w:r>
      <w:r w:rsidR="00295F7D">
        <w:t>r</w:t>
      </w:r>
      <w:r w:rsidRPr="00F76F55">
        <w:t>egion have attracted a large proportion of rural settlement, due to their amenity and proximity to tourism product:</w:t>
      </w:r>
    </w:p>
    <w:p w:rsidR="007A143F" w:rsidRDefault="00F76F55" w:rsidP="001A3FCF">
      <w:pPr>
        <w:pStyle w:val="ListBullet"/>
      </w:pPr>
      <w:r w:rsidRPr="00F76F55">
        <w:t>Goulburn River High Country precinct, including Mansfield</w:t>
      </w:r>
      <w:r w:rsidR="00F9401B">
        <w:t xml:space="preserve">, </w:t>
      </w:r>
      <w:r w:rsidR="00F9401B" w:rsidRPr="00F76F55">
        <w:t>Murrindindi</w:t>
      </w:r>
      <w:r w:rsidRPr="00F76F55">
        <w:t xml:space="preserve"> and Strathbogie </w:t>
      </w:r>
      <w:r w:rsidR="0077352D">
        <w:t>s</w:t>
      </w:r>
      <w:r w:rsidRPr="00F76F55">
        <w:t>hires</w:t>
      </w:r>
    </w:p>
    <w:p w:rsidR="007A143F" w:rsidRDefault="00F76F55" w:rsidP="001A3FCF">
      <w:pPr>
        <w:pStyle w:val="ListBullet"/>
      </w:pPr>
      <w:r w:rsidRPr="00F76F55">
        <w:t xml:space="preserve">North East precinct, including Alpine and Indigo </w:t>
      </w:r>
      <w:r w:rsidR="0077352D">
        <w:t>s</w:t>
      </w:r>
      <w:r w:rsidRPr="00F76F55">
        <w:t>hires.</w:t>
      </w:r>
    </w:p>
    <w:p w:rsidR="007A143F" w:rsidRDefault="00F76F55">
      <w:pPr>
        <w:pStyle w:val="bt"/>
      </w:pPr>
      <w:r w:rsidRPr="00F76F55">
        <w:t xml:space="preserve">Most of </w:t>
      </w:r>
      <w:r w:rsidR="0077352D">
        <w:t xml:space="preserve">this </w:t>
      </w:r>
      <w:r w:rsidRPr="00F76F55">
        <w:t xml:space="preserve">rural residential activity has occurred on relatively low quality agricultural land. However, there are key areas of conflict between strategic agriculture and rural residential activity and demand, including the Ovens and King </w:t>
      </w:r>
      <w:r w:rsidR="0077352D">
        <w:t>v</w:t>
      </w:r>
      <w:r w:rsidRPr="00F76F55">
        <w:t>alleys and Nagambie.</w:t>
      </w:r>
    </w:p>
    <w:p w:rsidR="007A143F" w:rsidRDefault="00F76F55">
      <w:pPr>
        <w:pStyle w:val="bt"/>
      </w:pPr>
      <w:r w:rsidRPr="00F76F55">
        <w:t xml:space="preserve">While demand has been consistently strong for rural lifestyle property in these areas, there is an inconsistent approach to planning for rural lifestyle settlement across the </w:t>
      </w:r>
      <w:r w:rsidR="00586D6E">
        <w:t>r</w:t>
      </w:r>
      <w:r w:rsidRPr="00F76F55">
        <w:t>egion. Some municipalities have set aside significant areas of land for rural settlement and others have provided very little.</w:t>
      </w:r>
    </w:p>
    <w:p w:rsidR="007A143F" w:rsidRDefault="003E5C44" w:rsidP="00E770E1">
      <w:pPr>
        <w:pStyle w:val="bt"/>
        <w:spacing w:after="0"/>
      </w:pPr>
      <w:r w:rsidRPr="003E5C44">
        <w:t xml:space="preserve">Practice </w:t>
      </w:r>
      <w:r w:rsidR="0077352D">
        <w:t>N</w:t>
      </w:r>
      <w:r w:rsidRPr="003E5C44">
        <w:t xml:space="preserve">ote 37: Rural </w:t>
      </w:r>
      <w:r w:rsidR="0077352D">
        <w:t>R</w:t>
      </w:r>
      <w:r w:rsidRPr="003E5C44">
        <w:t xml:space="preserve">esidential </w:t>
      </w:r>
      <w:r w:rsidR="0077352D">
        <w:t>D</w:t>
      </w:r>
      <w:r w:rsidRPr="003E5C44">
        <w:t>evelopment</w:t>
      </w:r>
      <w:r w:rsidR="0043644F">
        <w:t xml:space="preserve"> provides broad statewide guidance when planning for or assessing proposals for rural residential use and development. </w:t>
      </w:r>
      <w:r w:rsidR="00F76F55" w:rsidRPr="00F76F55">
        <w:t xml:space="preserve">The </w:t>
      </w:r>
      <w:r w:rsidR="00586D6E">
        <w:t>plan</w:t>
      </w:r>
      <w:r w:rsidR="00586D6E" w:rsidRPr="00F76F55">
        <w:t xml:space="preserve"> </w:t>
      </w:r>
      <w:r w:rsidR="00F76F55" w:rsidRPr="00F76F55">
        <w:t xml:space="preserve">encourages a consistent </w:t>
      </w:r>
      <w:r w:rsidR="0043644F">
        <w:t xml:space="preserve">regional </w:t>
      </w:r>
      <w:r w:rsidR="00F76F55" w:rsidRPr="00F76F55">
        <w:t>approach to planning for rural residential uses to ensure their location is chosen with due consideration of:</w:t>
      </w:r>
    </w:p>
    <w:p w:rsidR="007A143F" w:rsidRDefault="00F76F55" w:rsidP="001A3FCF">
      <w:pPr>
        <w:pStyle w:val="ListBullet"/>
      </w:pPr>
      <w:r w:rsidRPr="00F76F55">
        <w:t>regional assets such as agricultural land, natural resources and environmental assets</w:t>
      </w:r>
    </w:p>
    <w:p w:rsidR="007A143F" w:rsidRDefault="00F76F55" w:rsidP="001A3FCF">
      <w:pPr>
        <w:pStyle w:val="ListBullet"/>
      </w:pPr>
      <w:r w:rsidRPr="00F76F55">
        <w:t>sustainable settlement patterns</w:t>
      </w:r>
      <w:r w:rsidR="007A0340">
        <w:t>,</w:t>
      </w:r>
      <w:r w:rsidRPr="00F76F55">
        <w:t xml:space="preserve"> including the cost of providing and maintaining services and infrastructure</w:t>
      </w:r>
    </w:p>
    <w:p w:rsidR="007A143F" w:rsidRDefault="00F76F55" w:rsidP="001A3FCF">
      <w:pPr>
        <w:pStyle w:val="ListBullet"/>
      </w:pPr>
      <w:r w:rsidRPr="00F76F55">
        <w:t xml:space="preserve">exposure to natural hazards such as bushfire and flood. </w:t>
      </w:r>
    </w:p>
    <w:p w:rsidR="007A143F" w:rsidRDefault="00F76F55">
      <w:pPr>
        <w:pStyle w:val="bt"/>
      </w:pPr>
      <w:r w:rsidRPr="00F76F55">
        <w:t xml:space="preserve">The </w:t>
      </w:r>
      <w:r w:rsidR="00586D6E">
        <w:t>plan</w:t>
      </w:r>
      <w:r w:rsidR="00586D6E" w:rsidRPr="00F76F55">
        <w:t xml:space="preserve"> </w:t>
      </w:r>
      <w:r w:rsidRPr="00F76F55">
        <w:t>directs that sufficient areas of appropriately zoned land should be available in strategic locations to help reduce development pressure on agriculture and provide a range of lot sizes to suit the different needs of purchasers.</w:t>
      </w:r>
    </w:p>
    <w:p w:rsidR="000429C2" w:rsidRDefault="00F76F55">
      <w:pPr>
        <w:pStyle w:val="bt"/>
      </w:pPr>
      <w:r w:rsidRPr="00F76F55">
        <w:t xml:space="preserve">A number of municipalities in the region </w:t>
      </w:r>
      <w:r w:rsidR="0077352D">
        <w:t xml:space="preserve">have </w:t>
      </w:r>
      <w:r w:rsidRPr="00F76F55">
        <w:t xml:space="preserve">areas of land declared as catchments </w:t>
      </w:r>
      <w:r w:rsidR="0077352D">
        <w:t xml:space="preserve">that </w:t>
      </w:r>
      <w:r w:rsidRPr="00F76F55">
        <w:t>provid</w:t>
      </w:r>
      <w:r w:rsidR="0077352D">
        <w:t>e</w:t>
      </w:r>
      <w:r w:rsidRPr="00F76F55">
        <w:t xml:space="preserve"> water supplies for human consumption. Government guidelines for open, potable water supply catchment areas apply limits to some forms of agricultural use and specif</w:t>
      </w:r>
      <w:r w:rsidR="0077352D">
        <w:t xml:space="preserve">y </w:t>
      </w:r>
      <w:r w:rsidRPr="00F76F55">
        <w:t>a maximum density of dwellings in areas not connected to sewerage. Recent changes to the guidelines provide that local governments can vary these standards through their Domestic Wastewater Management Plans.</w:t>
      </w:r>
    </w:p>
    <w:p w:rsidR="001E6B61" w:rsidRDefault="007536C0">
      <w:pPr>
        <w:pStyle w:val="bt"/>
        <w:spacing w:after="120"/>
        <w:rPr>
          <w:rStyle w:val="Strong"/>
        </w:rPr>
      </w:pPr>
      <w:r w:rsidRPr="007536C0">
        <w:rPr>
          <w:rStyle w:val="Strong"/>
        </w:rPr>
        <w:t>e)</w:t>
      </w:r>
      <w:r w:rsidRPr="007536C0">
        <w:rPr>
          <w:rStyle w:val="Strong"/>
        </w:rPr>
        <w:tab/>
        <w:t>Tourism</w:t>
      </w:r>
    </w:p>
    <w:p w:rsidR="007A143F" w:rsidRDefault="00F76F55">
      <w:pPr>
        <w:pStyle w:val="bt"/>
      </w:pPr>
      <w:r w:rsidRPr="00F76F55">
        <w:t>In many instances tourism has become a critical component of agricultural enterprises, providing additional income though cellar door or farm gate sales or accommodation.</w:t>
      </w:r>
    </w:p>
    <w:p w:rsidR="007A143F" w:rsidRDefault="00F76F55">
      <w:pPr>
        <w:pStyle w:val="bt"/>
      </w:pPr>
      <w:r w:rsidRPr="00F76F55">
        <w:t>Rural tourism activities occur in some areas of strategic agriculture</w:t>
      </w:r>
      <w:r w:rsidR="007A0340">
        <w:t>,</w:t>
      </w:r>
      <w:r w:rsidRPr="00F76F55">
        <w:t xml:space="preserve"> such as the Ovens, King and Kiewa </w:t>
      </w:r>
      <w:r w:rsidR="0077352D">
        <w:t>v</w:t>
      </w:r>
      <w:r w:rsidRPr="00F76F55">
        <w:t xml:space="preserve">alleys and Nagambie. The </w:t>
      </w:r>
      <w:r w:rsidR="00586D6E">
        <w:t>plan</w:t>
      </w:r>
      <w:r w:rsidR="00586D6E" w:rsidRPr="00F76F55">
        <w:t xml:space="preserve"> </w:t>
      </w:r>
      <w:r w:rsidRPr="00F76F55">
        <w:t xml:space="preserve">suggests that large commercial tourism uses in these areas should be directed to urban settlements to avoid land use conflicts. However, it recognises that some areas of lower quality agricultural land may be needed to support tourism uses </w:t>
      </w:r>
      <w:r w:rsidR="00F9401B">
        <w:t>that</w:t>
      </w:r>
      <w:r w:rsidRPr="00F76F55">
        <w:t xml:space="preserve"> require significant tracts of land and cannot be accommodated in urban environments. Such uses may include nature</w:t>
      </w:r>
      <w:r w:rsidR="0077352D">
        <w:t>-</w:t>
      </w:r>
      <w:r w:rsidRPr="00F76F55">
        <w:t xml:space="preserve">based accommodation, large conference centres, caravan parks and outdoor education. </w:t>
      </w:r>
    </w:p>
    <w:p w:rsidR="007A143F" w:rsidRDefault="00B802B0">
      <w:pPr>
        <w:pStyle w:val="bt"/>
      </w:pPr>
      <w:r>
        <w:t>Adapting to</w:t>
      </w:r>
      <w:r w:rsidRPr="00F76F55">
        <w:t xml:space="preserve"> </w:t>
      </w:r>
      <w:r w:rsidR="00F76F55" w:rsidRPr="00F76F55">
        <w:t xml:space="preserve">the </w:t>
      </w:r>
      <w:r w:rsidR="001F720D">
        <w:t>potential impacts</w:t>
      </w:r>
      <w:r w:rsidR="001F720D" w:rsidRPr="00F76F55">
        <w:t xml:space="preserve"> </w:t>
      </w:r>
      <w:r w:rsidR="00F76F55" w:rsidRPr="00F76F55">
        <w:t xml:space="preserve">of climate change </w:t>
      </w:r>
      <w:r w:rsidR="0077352D">
        <w:t>on</w:t>
      </w:r>
      <w:r w:rsidR="00F76F55" w:rsidRPr="00F76F55">
        <w:t xml:space="preserve"> the tourism industry will mean diversification of the tourism products offered away from snow-related activities to other nature-based activities and outdoor recreation. This could include private sector investment in sensitive tourism infrastructure within national parks. The food and wine sectors also offer potential for further development. Climate change may lead, at least periodically, to decreased availability of water in lakes and rivers, which may have an impact on tourism that depends on water-based activities. An increase in hazardous events may also </w:t>
      </w:r>
      <w:r w:rsidR="0051117D">
        <w:t>affect</w:t>
      </w:r>
      <w:r w:rsidR="00F76F55" w:rsidRPr="00F76F55">
        <w:t xml:space="preserve"> tourism. </w:t>
      </w:r>
    </w:p>
    <w:p w:rsidR="005D0A03" w:rsidRPr="005D0A03" w:rsidRDefault="007536C0" w:rsidP="00E770E1">
      <w:pPr>
        <w:pStyle w:val="bt"/>
        <w:spacing w:before="120"/>
        <w:rPr>
          <w:rStyle w:val="Strong"/>
        </w:rPr>
      </w:pPr>
      <w:r w:rsidRPr="007536C0">
        <w:rPr>
          <w:rStyle w:val="Strong"/>
        </w:rPr>
        <w:lastRenderedPageBreak/>
        <w:t>f)</w:t>
      </w:r>
      <w:r w:rsidRPr="007536C0">
        <w:rPr>
          <w:rStyle w:val="Strong"/>
        </w:rPr>
        <w:tab/>
        <w:t>Infrastructure</w:t>
      </w:r>
    </w:p>
    <w:p w:rsidR="007A143F" w:rsidRDefault="00F76F55" w:rsidP="00E770E1">
      <w:pPr>
        <w:pStyle w:val="bt"/>
        <w:spacing w:after="0"/>
      </w:pPr>
      <w:r w:rsidRPr="00F76F55">
        <w:t xml:space="preserve">The </w:t>
      </w:r>
      <w:r w:rsidR="00295F7D">
        <w:t>r</w:t>
      </w:r>
      <w:r w:rsidRPr="00F76F55">
        <w:t xml:space="preserve">egion has significant infrastructure </w:t>
      </w:r>
      <w:r w:rsidR="0077352D">
        <w:t xml:space="preserve">that </w:t>
      </w:r>
      <w:r w:rsidRPr="00F76F55">
        <w:t>supports rural industry and is essential for creating sustainable and productive agricultural enterprises. Highlights include:</w:t>
      </w:r>
    </w:p>
    <w:p w:rsidR="007A143F" w:rsidRDefault="00F76F55" w:rsidP="001A3FCF">
      <w:pPr>
        <w:pStyle w:val="ListBullet"/>
      </w:pPr>
      <w:r w:rsidRPr="00F76F55">
        <w:t>the network of irrigation infrastructure in the Goulburn–Broken Valley including Lake Eildon, Nagambie Weir, Lake Nillacootie and the channel systems</w:t>
      </w:r>
    </w:p>
    <w:p w:rsidR="007A143F" w:rsidRDefault="00F76F55" w:rsidP="001A3FCF">
      <w:pPr>
        <w:pStyle w:val="ListBullet"/>
      </w:pPr>
      <w:r w:rsidRPr="00F76F55">
        <w:t>the Hume Freeway and the Goulburn Valley Highway, which provide uninterrupted dual carriage roadways linking the major regional centres of the Hume Region with Melbourne, Sydney, Brisbane and the ports</w:t>
      </w:r>
    </w:p>
    <w:p w:rsidR="007A143F" w:rsidRDefault="00F76F55" w:rsidP="001A3FCF">
      <w:pPr>
        <w:pStyle w:val="ListBullet"/>
      </w:pPr>
      <w:r w:rsidRPr="00F76F55">
        <w:t>hydroelectric generators</w:t>
      </w:r>
      <w:r w:rsidR="000F2A91">
        <w:t>,</w:t>
      </w:r>
      <w:r w:rsidRPr="00F76F55">
        <w:t xml:space="preserve"> such as the Eildon power station, the Kiewa Hydroelectric Scheme (including the Bogong power station) and the Dartmouth power station, which are linked to the electricity transmission system of the </w:t>
      </w:r>
      <w:r w:rsidR="00295F7D">
        <w:t>r</w:t>
      </w:r>
      <w:r w:rsidRPr="00F76F55">
        <w:t>egion</w:t>
      </w:r>
    </w:p>
    <w:p w:rsidR="007A143F" w:rsidRDefault="00F76F55" w:rsidP="001A3FCF">
      <w:pPr>
        <w:pStyle w:val="ListBullet"/>
      </w:pPr>
      <w:r w:rsidRPr="00F76F55">
        <w:t xml:space="preserve">major water storages including Lake Hume, the key operating storage of the Murray </w:t>
      </w:r>
      <w:r w:rsidR="00307A24" w:rsidRPr="00F76F55">
        <w:t xml:space="preserve">River </w:t>
      </w:r>
      <w:r w:rsidRPr="00F76F55">
        <w:t>system, which provides irrigation, domestic and stock and urban water supplies to Victoria and New South Wales; and Dartmouth Dam, the largest water storage in the state, which also forms part of the River Murray supply system</w:t>
      </w:r>
    </w:p>
    <w:p w:rsidR="007A143F" w:rsidRDefault="00F76F55" w:rsidP="001A3FCF">
      <w:pPr>
        <w:pStyle w:val="ListBullet"/>
        <w:rPr>
          <w:szCs w:val="20"/>
        </w:rPr>
      </w:pPr>
      <w:r w:rsidRPr="00F76F55">
        <w:t>the natural gas network, which may present opportunities for industry growth.</w:t>
      </w:r>
    </w:p>
    <w:p w:rsidR="007A143F" w:rsidRDefault="00F76F55">
      <w:pPr>
        <w:pStyle w:val="bt"/>
        <w:rPr>
          <w:b/>
          <w:bCs/>
          <w:sz w:val="34"/>
          <w:szCs w:val="28"/>
        </w:rPr>
      </w:pPr>
      <w:r w:rsidRPr="00F76F55">
        <w:t xml:space="preserve">The </w:t>
      </w:r>
      <w:r w:rsidR="00586D6E">
        <w:t>plan</w:t>
      </w:r>
      <w:r w:rsidR="00586D6E" w:rsidRPr="00F76F55">
        <w:t xml:space="preserve"> </w:t>
      </w:r>
      <w:r w:rsidRPr="00F76F55">
        <w:t>stresses the importance of continued maintenance and enhancement of this infrastructure, which also includes key logistics precincts, to contribute to securing the future of agricultural production and economic diversification in the region.</w:t>
      </w:r>
    </w:p>
    <w:p w:rsidR="001E6B61" w:rsidRDefault="003A4873">
      <w:pPr>
        <w:pStyle w:val="Heading11"/>
        <w:spacing w:after="120"/>
      </w:pPr>
      <w:bookmarkStart w:id="248" w:name="_Toc355970814"/>
      <w:bookmarkStart w:id="249" w:name="_Toc359422965"/>
      <w:bookmarkStart w:id="250" w:name="_Toc374612466"/>
      <w:r w:rsidRPr="00B948A1">
        <w:t xml:space="preserve">Economic </w:t>
      </w:r>
      <w:r w:rsidR="0090756D" w:rsidRPr="00B948A1">
        <w:t>d</w:t>
      </w:r>
      <w:r w:rsidRPr="00B948A1">
        <w:t>evelopment</w:t>
      </w:r>
      <w:bookmarkEnd w:id="248"/>
      <w:bookmarkEnd w:id="249"/>
      <w:bookmarkEnd w:id="250"/>
    </w:p>
    <w:p w:rsidR="001E6B61" w:rsidRDefault="003A4873">
      <w:pPr>
        <w:pStyle w:val="bt"/>
        <w:spacing w:before="120" w:after="120"/>
      </w:pPr>
      <w:r w:rsidRPr="003A4873">
        <w:t xml:space="preserve">Economic development and employment growth must accompany increased population if the </w:t>
      </w:r>
      <w:r w:rsidR="007F3F21">
        <w:t xml:space="preserve">Hume </w:t>
      </w:r>
      <w:r w:rsidR="00FA6DE5">
        <w:t>R</w:t>
      </w:r>
      <w:r w:rsidRPr="003A4873">
        <w:t>egion is to</w:t>
      </w:r>
      <w:r w:rsidR="00586D6E">
        <w:t xml:space="preserve"> have a </w:t>
      </w:r>
      <w:r w:rsidRPr="003A4873">
        <w:t>sustainable</w:t>
      </w:r>
      <w:r w:rsidR="00586D6E">
        <w:t xml:space="preserve"> future</w:t>
      </w:r>
      <w:r w:rsidRPr="003A4873">
        <w:t>. The Hume Strategy recognised that future growth of the region will depend on a thriving, diversified and dynamic economy.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C3C2"/>
        <w:tblLook w:val="04A0" w:firstRow="1" w:lastRow="0" w:firstColumn="1" w:lastColumn="0" w:noHBand="0" w:noVBand="1"/>
      </w:tblPr>
      <w:tblGrid>
        <w:gridCol w:w="9072"/>
      </w:tblGrid>
      <w:tr w:rsidR="003A4873" w:rsidRPr="003A4873" w:rsidTr="00504C07">
        <w:trPr>
          <w:cantSplit/>
        </w:trPr>
        <w:tc>
          <w:tcPr>
            <w:tcW w:w="9072" w:type="dxa"/>
            <w:shd w:val="clear" w:color="auto" w:fill="C5C3C2"/>
          </w:tcPr>
          <w:p w:rsidR="007A143F" w:rsidRDefault="00DA722B" w:rsidP="00EB39D0">
            <w:pPr>
              <w:pStyle w:val="bt"/>
              <w:spacing w:after="120"/>
              <w:rPr>
                <w:b/>
              </w:rPr>
            </w:pPr>
            <w:r w:rsidRPr="00DA722B">
              <w:rPr>
                <w:b/>
              </w:rPr>
              <w:t xml:space="preserve">Hume Strategy for Sustainable Communities 2010–2020 </w:t>
            </w:r>
          </w:p>
          <w:p w:rsidR="007A143F" w:rsidRDefault="003A4873" w:rsidP="00EB39D0">
            <w:pPr>
              <w:pStyle w:val="bt"/>
              <w:spacing w:before="60" w:after="60"/>
            </w:pPr>
            <w:r w:rsidRPr="007F3F21">
              <w:t xml:space="preserve">The </w:t>
            </w:r>
            <w:r w:rsidR="003E5C44" w:rsidRPr="003E5C44">
              <w:t>Hume Strategy</w:t>
            </w:r>
            <w:r w:rsidRPr="00B44623">
              <w:t xml:space="preserve"> </w:t>
            </w:r>
            <w:r w:rsidRPr="003A4873">
              <w:t>aims for the Hume Region to have a thriving and dynamic economy into the future by capitalising on the region’s competitive advantages, opportunities and strengths to continue to provide prosperity and vitality. These competitive advantages are identified as:</w:t>
            </w:r>
          </w:p>
          <w:p w:rsidR="007A143F" w:rsidRDefault="007F3F21" w:rsidP="00EB39D0">
            <w:pPr>
              <w:pStyle w:val="ListBullet"/>
              <w:spacing w:after="60"/>
            </w:pPr>
            <w:r>
              <w:t>f</w:t>
            </w:r>
            <w:r w:rsidR="003E5C44" w:rsidRPr="003E5C44">
              <w:t>our sub</w:t>
            </w:r>
            <w:r w:rsidR="00EB6ABC">
              <w:t>-</w:t>
            </w:r>
            <w:r w:rsidR="003E5C44" w:rsidRPr="00FA6DE5">
              <w:t>regions</w:t>
            </w:r>
            <w:r w:rsidR="003E5C44" w:rsidRPr="00B44623">
              <w:t xml:space="preserve"> </w:t>
            </w:r>
            <w:r w:rsidR="003E5C44" w:rsidRPr="003E5C44">
              <w:t>with distinct and varied identities serviced by regional cities and centres and supported by other settlements forming the building blocks for the future prosperity of the region</w:t>
            </w:r>
          </w:p>
          <w:p w:rsidR="007A143F" w:rsidRDefault="007F3F21" w:rsidP="00EB39D0">
            <w:pPr>
              <w:pStyle w:val="ListBullet"/>
              <w:spacing w:after="60"/>
            </w:pPr>
            <w:r>
              <w:t>h</w:t>
            </w:r>
            <w:r w:rsidR="003E5C44" w:rsidRPr="003E5C44">
              <w:t>igh performance, nationally significant, interstate road and rail transport routes that support regional connectivity</w:t>
            </w:r>
          </w:p>
          <w:p w:rsidR="007A143F" w:rsidRDefault="007F3F21" w:rsidP="00EB39D0">
            <w:pPr>
              <w:pStyle w:val="ListBullet"/>
              <w:spacing w:after="60"/>
            </w:pPr>
            <w:r>
              <w:t>h</w:t>
            </w:r>
            <w:r w:rsidR="003E5C44" w:rsidRPr="003E5C44">
              <w:t>igh quality water resources that are nationally significant</w:t>
            </w:r>
          </w:p>
          <w:p w:rsidR="007A143F" w:rsidRDefault="007F3F21" w:rsidP="00EB39D0">
            <w:pPr>
              <w:pStyle w:val="ListBullet"/>
              <w:spacing w:after="60"/>
            </w:pPr>
            <w:r>
              <w:t>p</w:t>
            </w:r>
            <w:r w:rsidR="003E5C44" w:rsidRPr="003E5C44">
              <w:t>ristine environments and landscapes</w:t>
            </w:r>
          </w:p>
          <w:p w:rsidR="007A143F" w:rsidRDefault="007F3F21" w:rsidP="00EB39D0">
            <w:pPr>
              <w:pStyle w:val="ListBullet"/>
              <w:spacing w:after="60"/>
            </w:pPr>
            <w:r>
              <w:t>t</w:t>
            </w:r>
            <w:r w:rsidR="003E5C44" w:rsidRPr="003E5C44">
              <w:t>he availability of education at all levels of the learning spectrum and at key locations across the Hume Region</w:t>
            </w:r>
          </w:p>
          <w:p w:rsidR="007A143F" w:rsidRDefault="007F3F21" w:rsidP="00EB39D0">
            <w:pPr>
              <w:pStyle w:val="ListBullet"/>
              <w:spacing w:after="60"/>
            </w:pPr>
            <w:r>
              <w:t>a</w:t>
            </w:r>
            <w:r w:rsidR="003E5C44" w:rsidRPr="003E5C44">
              <w:t xml:space="preserve"> diverse economic base built on manufacturing, agriculture and food processing, human and health services networks and facilities, tourism, haulage and logistics industries</w:t>
            </w:r>
          </w:p>
          <w:p w:rsidR="007A143F" w:rsidRDefault="007F3F21" w:rsidP="001A3FCF">
            <w:pPr>
              <w:pStyle w:val="ListBullet"/>
            </w:pPr>
            <w:r>
              <w:t>t</w:t>
            </w:r>
            <w:r w:rsidR="003E5C44" w:rsidRPr="003E5C44">
              <w:t>ourism products based largely around the quality of the natural environment and the region’s heritage assets</w:t>
            </w:r>
          </w:p>
          <w:p w:rsidR="007A143F" w:rsidRDefault="007F3F21" w:rsidP="001A3FCF">
            <w:pPr>
              <w:pStyle w:val="ListBullet"/>
            </w:pPr>
            <w:r>
              <w:t>a</w:t>
            </w:r>
            <w:r w:rsidR="003E5C44" w:rsidRPr="003E5C44">
              <w:t xml:space="preserve"> genuine commitment to leadership and participation in civic life at many levels.</w:t>
            </w:r>
          </w:p>
          <w:p w:rsidR="0087602D" w:rsidRDefault="0087602D" w:rsidP="0087602D">
            <w:pPr>
              <w:pStyle w:val="ListBullet"/>
              <w:numPr>
                <w:ilvl w:val="0"/>
                <w:numId w:val="0"/>
              </w:numPr>
              <w:ind w:left="1630"/>
            </w:pPr>
          </w:p>
        </w:tc>
      </w:tr>
    </w:tbl>
    <w:p w:rsidR="001E6B61" w:rsidRDefault="003A4873" w:rsidP="00A41B2E">
      <w:pPr>
        <w:pStyle w:val="Heading2"/>
        <w:numPr>
          <w:ilvl w:val="1"/>
          <w:numId w:val="21"/>
        </w:numPr>
        <w:tabs>
          <w:tab w:val="clear" w:pos="396"/>
        </w:tabs>
        <w:spacing w:before="240" w:after="120"/>
        <w:ind w:left="567"/>
      </w:pPr>
      <w:bookmarkStart w:id="251" w:name="_Toc355970815"/>
      <w:bookmarkStart w:id="252" w:name="_Toc359422966"/>
      <w:bookmarkStart w:id="253" w:name="_Toc374612467"/>
      <w:r w:rsidRPr="00B948A1">
        <w:lastRenderedPageBreak/>
        <w:t xml:space="preserve">Overview – Regional </w:t>
      </w:r>
      <w:r w:rsidR="007F3F21" w:rsidRPr="00B948A1">
        <w:t>e</w:t>
      </w:r>
      <w:r w:rsidRPr="00B948A1">
        <w:t>conomy</w:t>
      </w:r>
      <w:bookmarkEnd w:id="251"/>
      <w:bookmarkEnd w:id="252"/>
      <w:bookmarkEnd w:id="253"/>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930"/>
      </w:tblGrid>
      <w:tr w:rsidR="00CC3143" w:rsidRPr="0003761A" w:rsidTr="00504C07">
        <w:tc>
          <w:tcPr>
            <w:tcW w:w="8930" w:type="dxa"/>
            <w:shd w:val="clear" w:color="auto" w:fill="C5C3C2"/>
          </w:tcPr>
          <w:p w:rsidR="007A143F" w:rsidRDefault="00DA722B">
            <w:pPr>
              <w:pStyle w:val="bt"/>
              <w:rPr>
                <w:b/>
              </w:rPr>
            </w:pPr>
            <w:r w:rsidRPr="00DA722B">
              <w:rPr>
                <w:b/>
              </w:rPr>
              <w:t>Draft (unpublished) Regional Economic Profile – Hume (2013)</w:t>
            </w:r>
          </w:p>
          <w:p w:rsidR="007A143F" w:rsidRDefault="00CC3143">
            <w:pPr>
              <w:pStyle w:val="bt"/>
            </w:pPr>
            <w:r w:rsidRPr="0003761A">
              <w:t xml:space="preserve">A recent economic profile (unpublished) prepared by Regional Development Victoria </w:t>
            </w:r>
            <w:r w:rsidR="007F3F21">
              <w:t>states</w:t>
            </w:r>
            <w:r w:rsidRPr="0003761A">
              <w:t xml:space="preserve"> that:</w:t>
            </w:r>
          </w:p>
          <w:p w:rsidR="001E6B61" w:rsidRDefault="003E5C44" w:rsidP="00E770E1">
            <w:pPr>
              <w:pStyle w:val="bt"/>
              <w:spacing w:after="0"/>
            </w:pPr>
            <w:r w:rsidRPr="003E5C44">
              <w:t>Hume</w:t>
            </w:r>
            <w:r w:rsidRPr="00B44623">
              <w:t xml:space="preserve"> </w:t>
            </w:r>
            <w:r w:rsidRPr="003E5C44">
              <w:t>is one of the most diverse of Victoria’s regions because of:</w:t>
            </w:r>
          </w:p>
          <w:p w:rsidR="007A143F" w:rsidRDefault="003E5C44" w:rsidP="001A3FCF">
            <w:pPr>
              <w:pStyle w:val="ListBullet"/>
            </w:pPr>
            <w:r w:rsidRPr="003E5C44">
              <w:t>its strong connection to the growth of Melbourne in the southern part of the region</w:t>
            </w:r>
          </w:p>
          <w:p w:rsidR="007A143F" w:rsidRDefault="003E5C44" w:rsidP="001A3FCF">
            <w:pPr>
              <w:pStyle w:val="ListBullet"/>
            </w:pPr>
            <w:r w:rsidRPr="003E5C44">
              <w:t>the strength of its transport and logistics infrastructure and services</w:t>
            </w:r>
            <w:r w:rsidR="00586D6E">
              <w:t>,</w:t>
            </w:r>
            <w:r w:rsidRPr="003E5C44">
              <w:t xml:space="preserve"> linking supply chains and national and international markets</w:t>
            </w:r>
          </w:p>
          <w:p w:rsidR="007A143F" w:rsidRDefault="003E5C44" w:rsidP="001A3FCF">
            <w:pPr>
              <w:pStyle w:val="ListBullet"/>
            </w:pPr>
            <w:r w:rsidRPr="003E5C44">
              <w:t xml:space="preserve">the role of the Goulburn Valley </w:t>
            </w:r>
            <w:r w:rsidR="007F3F21">
              <w:t>–</w:t>
            </w:r>
            <w:r w:rsidRPr="003E5C44">
              <w:t xml:space="preserve"> the food bowl</w:t>
            </w:r>
            <w:r w:rsidR="00CC3143" w:rsidRPr="00B44623">
              <w:t xml:space="preserve"> </w:t>
            </w:r>
            <w:r w:rsidRPr="003E5C44">
              <w:t>of the Murray</w:t>
            </w:r>
            <w:r w:rsidR="007F3F21">
              <w:t>-</w:t>
            </w:r>
            <w:r w:rsidRPr="003E5C44">
              <w:t>Darling Basin</w:t>
            </w:r>
          </w:p>
          <w:p w:rsidR="007A143F" w:rsidRDefault="003E5C44" w:rsidP="001A3FCF">
            <w:pPr>
              <w:pStyle w:val="ListBullet"/>
            </w:pPr>
            <w:r w:rsidRPr="003E5C44">
              <w:t>its unique tourism infrastructure and experiences</w:t>
            </w:r>
            <w:r w:rsidR="00480CE2">
              <w:t>,</w:t>
            </w:r>
            <w:r w:rsidRPr="003E5C44">
              <w:t xml:space="preserve"> </w:t>
            </w:r>
            <w:r w:rsidR="00480CE2">
              <w:t>for example,</w:t>
            </w:r>
            <w:r w:rsidRPr="003E5C44">
              <w:t xml:space="preserve"> ski fields, wineries, the Murray River</w:t>
            </w:r>
          </w:p>
          <w:p w:rsidR="007A143F" w:rsidRDefault="003E5C44" w:rsidP="001A3FCF">
            <w:pPr>
              <w:pStyle w:val="ListBullet"/>
            </w:pPr>
            <w:r w:rsidRPr="003E5C44">
              <w:t>its relationship to New South Wales,</w:t>
            </w:r>
            <w:r w:rsidR="006C04AE" w:rsidRPr="007F3F21">
              <w:t xml:space="preserve"> </w:t>
            </w:r>
            <w:r w:rsidRPr="003E5C44">
              <w:t>led primarily through the twin cities relationship.</w:t>
            </w:r>
          </w:p>
          <w:p w:rsidR="007A143F" w:rsidRDefault="003E5C44" w:rsidP="00E770E1">
            <w:pPr>
              <w:pStyle w:val="bt"/>
              <w:spacing w:before="120" w:after="120"/>
            </w:pPr>
            <w:r w:rsidRPr="003E5C44">
              <w:t>The Hume and Goulburn Valley transport corridors carry a volume of freight unequalled in any other part of Australia. This has encouraged the development of significant population centres with manufacturing, agriculture, tourism, haulage and logistics industries in proximity to these</w:t>
            </w:r>
            <w:r w:rsidR="00E770E1">
              <w:t xml:space="preserve"> </w:t>
            </w:r>
            <w:r w:rsidRPr="003E5C44">
              <w:t>highways and railways.</w:t>
            </w:r>
          </w:p>
          <w:p w:rsidR="007A143F" w:rsidRDefault="007F3F21" w:rsidP="00E770E1">
            <w:pPr>
              <w:pStyle w:val="bt"/>
              <w:spacing w:after="0"/>
            </w:pPr>
            <w:r>
              <w:t>S</w:t>
            </w:r>
            <w:r w:rsidR="003E5C44" w:rsidRPr="003E5C44">
              <w:t xml:space="preserve">tructural drivers of growth in the </w:t>
            </w:r>
            <w:r>
              <w:t xml:space="preserve">Hume </w:t>
            </w:r>
            <w:r w:rsidR="003E5C44" w:rsidRPr="003E5C44">
              <w:t>economy</w:t>
            </w:r>
            <w:r>
              <w:t xml:space="preserve"> are listed below.</w:t>
            </w:r>
          </w:p>
          <w:p w:rsidR="007A143F" w:rsidRDefault="003E5C44" w:rsidP="001A3FCF">
            <w:pPr>
              <w:pStyle w:val="ListBullet"/>
            </w:pPr>
            <w:r w:rsidRPr="003E5C44">
              <w:t>Hume’s population growth rate over the last decade (0.6</w:t>
            </w:r>
            <w:r w:rsidR="00543C73">
              <w:t xml:space="preserve"> per cent</w:t>
            </w:r>
            <w:r w:rsidRPr="003E5C44">
              <w:t>) was less th</w:t>
            </w:r>
            <w:r w:rsidR="007F3F21">
              <w:t>a</w:t>
            </w:r>
            <w:r w:rsidRPr="003E5C44">
              <w:t>n the state average (1.6</w:t>
            </w:r>
            <w:r w:rsidR="00543C73">
              <w:t xml:space="preserve"> per cent</w:t>
            </w:r>
            <w:r w:rsidRPr="003E5C44">
              <w:t>)</w:t>
            </w:r>
            <w:r w:rsidR="007F3F21">
              <w:t>.</w:t>
            </w:r>
          </w:p>
          <w:p w:rsidR="007A143F" w:rsidRDefault="007F3F21" w:rsidP="001A3FCF">
            <w:pPr>
              <w:pStyle w:val="ListBullet"/>
            </w:pPr>
            <w:bookmarkStart w:id="254" w:name="_Toc354134747"/>
            <w:r>
              <w:t>L</w:t>
            </w:r>
            <w:r w:rsidR="003E5C44" w:rsidRPr="003E5C44">
              <w:t>abour force participation has risen in line with the state trend (60.6</w:t>
            </w:r>
            <w:r w:rsidR="00543C73">
              <w:t xml:space="preserve"> per cent</w:t>
            </w:r>
            <w:r w:rsidR="003E5C44" w:rsidRPr="003E5C44">
              <w:t xml:space="preserve"> compared to 60.4</w:t>
            </w:r>
            <w:r w:rsidR="00543C73">
              <w:t xml:space="preserve"> per cent</w:t>
            </w:r>
            <w:r w:rsidR="003E5C44" w:rsidRPr="003E5C44">
              <w:t xml:space="preserve"> for Victoria)</w:t>
            </w:r>
            <w:r>
              <w:t>.</w:t>
            </w:r>
            <w:bookmarkEnd w:id="254"/>
          </w:p>
          <w:p w:rsidR="007A143F" w:rsidRDefault="007F3F21" w:rsidP="001A3FCF">
            <w:pPr>
              <w:pStyle w:val="ListBullet"/>
            </w:pPr>
            <w:bookmarkStart w:id="255" w:name="_Toc354134748"/>
            <w:r>
              <w:t>P</w:t>
            </w:r>
            <w:r w:rsidR="003E5C44" w:rsidRPr="003E5C44">
              <w:t>roductivity grew at an average annual rate of 1.1</w:t>
            </w:r>
            <w:r w:rsidR="00543C73">
              <w:t xml:space="preserve"> per cent</w:t>
            </w:r>
            <w:r w:rsidR="003E5C44" w:rsidRPr="003E5C44">
              <w:t xml:space="preserve"> which was below the state average of 1.5</w:t>
            </w:r>
            <w:r w:rsidR="00543C73">
              <w:t xml:space="preserve"> per cent</w:t>
            </w:r>
            <w:r w:rsidR="003E5C44" w:rsidRPr="003E5C44">
              <w:t xml:space="preserve"> but significantly above the average rate for regional Victoria (0.6</w:t>
            </w:r>
            <w:r w:rsidR="00543C73">
              <w:t xml:space="preserve"> per cent</w:t>
            </w:r>
            <w:r w:rsidR="003E5C44" w:rsidRPr="003E5C44">
              <w:t>).</w:t>
            </w:r>
            <w:bookmarkEnd w:id="255"/>
          </w:p>
          <w:p w:rsidR="007A143F" w:rsidRDefault="003E5C44" w:rsidP="001A3FCF">
            <w:pPr>
              <w:pStyle w:val="ListBullet"/>
            </w:pPr>
            <w:r w:rsidRPr="003E5C44">
              <w:t>The region’s Gross Regional Product growth rate of 2.2</w:t>
            </w:r>
            <w:r w:rsidR="00543C73">
              <w:t xml:space="preserve"> per cent</w:t>
            </w:r>
            <w:r w:rsidRPr="003E5C44">
              <w:t xml:space="preserve"> was equal to the rate for regional Victoria but below the state average of 3.5</w:t>
            </w:r>
            <w:r w:rsidR="00543C73">
              <w:t xml:space="preserve"> per cent</w:t>
            </w:r>
            <w:r w:rsidRPr="003E5C44">
              <w:t>.</w:t>
            </w:r>
          </w:p>
          <w:p w:rsidR="007A143F" w:rsidRDefault="00CC3143" w:rsidP="00E770E1">
            <w:pPr>
              <w:pStyle w:val="bt"/>
              <w:spacing w:after="0"/>
            </w:pPr>
            <w:r w:rsidRPr="0003761A">
              <w:t xml:space="preserve">The report also includes the following </w:t>
            </w:r>
            <w:r w:rsidR="003967D3" w:rsidRPr="0003761A">
              <w:t>key facts</w:t>
            </w:r>
            <w:r w:rsidRPr="0003761A">
              <w:t xml:space="preserve"> about the regional economy</w:t>
            </w:r>
            <w:r w:rsidR="007F3F21">
              <w:t>.</w:t>
            </w:r>
          </w:p>
          <w:p w:rsidR="007A143F" w:rsidRDefault="003E5C44" w:rsidP="001A3FCF">
            <w:pPr>
              <w:pStyle w:val="ListBullet"/>
            </w:pPr>
            <w:r w:rsidRPr="003E5C44">
              <w:t xml:space="preserve">Hume’s share </w:t>
            </w:r>
            <w:r w:rsidR="007F3F21">
              <w:t xml:space="preserve">of </w:t>
            </w:r>
            <w:r w:rsidRPr="003E5C44">
              <w:t xml:space="preserve">Regional Victoria’s </w:t>
            </w:r>
            <w:r w:rsidR="00543C73" w:rsidRPr="003E5C44">
              <w:t>G</w:t>
            </w:r>
            <w:r w:rsidR="00543C73">
              <w:t>ross Regional Product</w:t>
            </w:r>
            <w:r w:rsidR="00543C73" w:rsidRPr="003E5C44">
              <w:t xml:space="preserve"> </w:t>
            </w:r>
            <w:r w:rsidRPr="003E5C44">
              <w:t>declined marginally but still remained above 18</w:t>
            </w:r>
            <w:r w:rsidR="00543C73">
              <w:t xml:space="preserve"> per cent</w:t>
            </w:r>
            <w:r w:rsidRPr="003E5C44">
              <w:t xml:space="preserve"> for the period 2001</w:t>
            </w:r>
            <w:r w:rsidR="007F3F21">
              <w:t xml:space="preserve"> to </w:t>
            </w:r>
            <w:r w:rsidRPr="003E5C44">
              <w:t>2011. As a proportion of state output, Hume’s share dropped from 4</w:t>
            </w:r>
            <w:r w:rsidR="00543C73">
              <w:t xml:space="preserve"> per cent</w:t>
            </w:r>
            <w:r w:rsidRPr="003E5C44">
              <w:t xml:space="preserve"> to 3.5</w:t>
            </w:r>
            <w:r w:rsidR="00543C73">
              <w:t xml:space="preserve"> per cent</w:t>
            </w:r>
            <w:r w:rsidRPr="003E5C44">
              <w:t>.</w:t>
            </w:r>
          </w:p>
          <w:p w:rsidR="007A143F" w:rsidRDefault="003E5C44" w:rsidP="001A3FCF">
            <w:pPr>
              <w:pStyle w:val="ListBullet"/>
            </w:pPr>
            <w:r w:rsidRPr="003E5C44">
              <w:t>Over the past decade, the regional economy grew at an annual average rate of 2.2</w:t>
            </w:r>
            <w:r w:rsidR="00543C73">
              <w:t xml:space="preserve"> per cent</w:t>
            </w:r>
            <w:r w:rsidRPr="003E5C44">
              <w:t>.</w:t>
            </w:r>
          </w:p>
          <w:p w:rsidR="007A143F" w:rsidRDefault="003E5C44" w:rsidP="001A3FCF">
            <w:pPr>
              <w:pStyle w:val="ListBullet"/>
            </w:pPr>
            <w:r w:rsidRPr="003E5C44">
              <w:t>Employment growth in Hume between 2001 and 2011 was 13.5</w:t>
            </w:r>
            <w:r w:rsidR="00543C73">
              <w:t xml:space="preserve"> per cent</w:t>
            </w:r>
            <w:r w:rsidRPr="003E5C44">
              <w:t xml:space="preserve"> compared to 20</w:t>
            </w:r>
            <w:r w:rsidR="00543C73">
              <w:t xml:space="preserve"> per cent</w:t>
            </w:r>
            <w:r w:rsidRPr="003E5C44">
              <w:t xml:space="preserve"> for regional Victoria and 26</w:t>
            </w:r>
            <w:r w:rsidR="00543C73">
              <w:t xml:space="preserve"> per cent</w:t>
            </w:r>
            <w:r w:rsidRPr="003E5C44">
              <w:t xml:space="preserve"> for the </w:t>
            </w:r>
            <w:r w:rsidR="007F3F21">
              <w:t>s</w:t>
            </w:r>
            <w:r w:rsidRPr="003E5C44">
              <w:t>tate.</w:t>
            </w:r>
          </w:p>
          <w:p w:rsidR="007A143F" w:rsidRDefault="003E5C44" w:rsidP="001A3FCF">
            <w:pPr>
              <w:pStyle w:val="ListBullet"/>
            </w:pPr>
            <w:r w:rsidRPr="003E5C44">
              <w:t xml:space="preserve">Manufacturing and </w:t>
            </w:r>
            <w:r w:rsidR="007F3F21">
              <w:t>a</w:t>
            </w:r>
            <w:r w:rsidRPr="003E5C44">
              <w:t xml:space="preserve">griculture, </w:t>
            </w:r>
            <w:r w:rsidR="007F3F21">
              <w:t>f</w:t>
            </w:r>
            <w:r w:rsidRPr="003E5C44">
              <w:t xml:space="preserve">orestry and </w:t>
            </w:r>
            <w:r w:rsidR="007F3F21">
              <w:t>f</w:t>
            </w:r>
            <w:r w:rsidRPr="003E5C44">
              <w:t>ishing are the two most significant economic sectors in the region, making up 18</w:t>
            </w:r>
            <w:r w:rsidR="00543C73">
              <w:t xml:space="preserve"> per cent</w:t>
            </w:r>
            <w:r w:rsidRPr="003E5C44">
              <w:t xml:space="preserve"> and 16.5</w:t>
            </w:r>
            <w:r w:rsidR="00543C73">
              <w:t xml:space="preserve"> per cent</w:t>
            </w:r>
            <w:r w:rsidRPr="003E5C44">
              <w:t xml:space="preserve"> of the region’s Gross Value Added. In 2011, this was equivalent to $3.1 billion of the region</w:t>
            </w:r>
            <w:r w:rsidR="007F3F21">
              <w:t>’</w:t>
            </w:r>
            <w:r w:rsidRPr="003E5C44">
              <w:t xml:space="preserve">s $9 billion </w:t>
            </w:r>
            <w:r w:rsidR="00543C73" w:rsidRPr="003E5C44">
              <w:t>G</w:t>
            </w:r>
            <w:r w:rsidR="00543C73">
              <w:t>ross Value Added</w:t>
            </w:r>
            <w:r w:rsidRPr="003E5C44">
              <w:t xml:space="preserve">. In contrast, at the </w:t>
            </w:r>
            <w:r w:rsidR="007F3F21">
              <w:t>s</w:t>
            </w:r>
            <w:r w:rsidRPr="003E5C44">
              <w:t>tate level</w:t>
            </w:r>
            <w:r w:rsidR="007F3F21">
              <w:t>,</w:t>
            </w:r>
            <w:r w:rsidRPr="003E5C44">
              <w:t xml:space="preserve"> </w:t>
            </w:r>
            <w:r w:rsidR="007F3F21">
              <w:t>m</w:t>
            </w:r>
            <w:r w:rsidRPr="003E5C44">
              <w:t>anufacturing contributes 12</w:t>
            </w:r>
            <w:r w:rsidR="00543C73">
              <w:t xml:space="preserve"> per cent</w:t>
            </w:r>
            <w:r w:rsidR="00543C73" w:rsidRPr="003E5C44">
              <w:t xml:space="preserve"> </w:t>
            </w:r>
            <w:r w:rsidRPr="003E5C44">
              <w:t xml:space="preserve">of </w:t>
            </w:r>
            <w:r w:rsidR="007F3F21">
              <w:t>v</w:t>
            </w:r>
            <w:r w:rsidRPr="003E5C44">
              <w:t xml:space="preserve">alue </w:t>
            </w:r>
            <w:r w:rsidR="007F3F21">
              <w:t>a</w:t>
            </w:r>
            <w:r w:rsidRPr="003E5C44">
              <w:t xml:space="preserve">dded and </w:t>
            </w:r>
            <w:r w:rsidR="004F7B98">
              <w:t>a</w:t>
            </w:r>
            <w:r w:rsidRPr="003E5C44">
              <w:t xml:space="preserve">griculture, </w:t>
            </w:r>
            <w:r w:rsidR="004F7B98">
              <w:t>f</w:t>
            </w:r>
            <w:r w:rsidRPr="003E5C44">
              <w:t xml:space="preserve">orestry and </w:t>
            </w:r>
            <w:r w:rsidR="004F7B98">
              <w:t>f</w:t>
            </w:r>
            <w:r w:rsidRPr="003E5C44">
              <w:t>ishing only 3</w:t>
            </w:r>
            <w:r w:rsidR="00543C73">
              <w:t xml:space="preserve"> per cent</w:t>
            </w:r>
            <w:r w:rsidRPr="003E5C44">
              <w:t>.</w:t>
            </w:r>
          </w:p>
          <w:p w:rsidR="0087602D" w:rsidRDefault="003E5C44" w:rsidP="00504C07">
            <w:pPr>
              <w:pStyle w:val="ListBullet"/>
            </w:pPr>
            <w:r w:rsidRPr="003E5C44">
              <w:t xml:space="preserve">Agriculture, </w:t>
            </w:r>
            <w:r w:rsidR="004F7B98">
              <w:t>f</w:t>
            </w:r>
            <w:r w:rsidRPr="003E5C44">
              <w:t xml:space="preserve">orestry and </w:t>
            </w:r>
            <w:r w:rsidR="004F7B98">
              <w:t>f</w:t>
            </w:r>
            <w:r w:rsidRPr="003E5C44">
              <w:t>ishing employs only 2.6</w:t>
            </w:r>
            <w:r w:rsidR="00543C73">
              <w:t xml:space="preserve"> per cent</w:t>
            </w:r>
            <w:r w:rsidRPr="003E5C44">
              <w:t xml:space="preserve"> of the state’s workforce but 13</w:t>
            </w:r>
            <w:r w:rsidR="00543C73">
              <w:t xml:space="preserve"> per cent</w:t>
            </w:r>
            <w:r w:rsidRPr="003E5C44">
              <w:t xml:space="preserve"> of Hume’s</w:t>
            </w:r>
            <w:r w:rsidR="004F7B98">
              <w:t xml:space="preserve"> workforce</w:t>
            </w:r>
            <w:r w:rsidRPr="003E5C44">
              <w:t xml:space="preserve">, and </w:t>
            </w:r>
            <w:r w:rsidR="004F7B98">
              <w:t>p</w:t>
            </w:r>
            <w:r w:rsidRPr="003E5C44">
              <w:t xml:space="preserve">rofessional, </w:t>
            </w:r>
            <w:r w:rsidR="004F7B98">
              <w:t>s</w:t>
            </w:r>
            <w:r w:rsidRPr="003E5C44">
              <w:t xml:space="preserve">cientific and </w:t>
            </w:r>
            <w:r w:rsidR="004F7B98">
              <w:t>t</w:t>
            </w:r>
            <w:r w:rsidRPr="003E5C44">
              <w:t xml:space="preserve">echnical </w:t>
            </w:r>
            <w:r w:rsidR="004F7B98">
              <w:t>s</w:t>
            </w:r>
            <w:r w:rsidRPr="003E5C44">
              <w:t>ervices employs 8</w:t>
            </w:r>
            <w:r w:rsidR="00543C73">
              <w:t xml:space="preserve"> per cent</w:t>
            </w:r>
            <w:r w:rsidRPr="003E5C44">
              <w:t xml:space="preserve"> at a state level but only 2.5</w:t>
            </w:r>
            <w:r w:rsidR="00543C73">
              <w:t xml:space="preserve"> per cent</w:t>
            </w:r>
            <w:r w:rsidRPr="003E5C44">
              <w:t xml:space="preserve"> in the </w:t>
            </w:r>
            <w:r w:rsidR="00586D6E">
              <w:t>r</w:t>
            </w:r>
            <w:r w:rsidRPr="003E5C44">
              <w:t>egion.</w:t>
            </w:r>
          </w:p>
          <w:p w:rsidR="007A143F" w:rsidRDefault="003E5C44" w:rsidP="001A3FCF">
            <w:pPr>
              <w:pStyle w:val="ListBullet"/>
            </w:pPr>
            <w:r w:rsidRPr="003E5C44">
              <w:t xml:space="preserve">The </w:t>
            </w:r>
            <w:r w:rsidR="00586D6E">
              <w:t>r</w:t>
            </w:r>
            <w:r w:rsidRPr="003E5C44">
              <w:t xml:space="preserve">egion’s exports are dominated by two sectors – </w:t>
            </w:r>
            <w:r w:rsidR="004F7B98">
              <w:t>m</w:t>
            </w:r>
            <w:r w:rsidRPr="003E5C44">
              <w:t xml:space="preserve">anufacturing and </w:t>
            </w:r>
            <w:r w:rsidR="004F7B98">
              <w:t>a</w:t>
            </w:r>
            <w:r w:rsidRPr="003E5C44">
              <w:t xml:space="preserve">griculture, </w:t>
            </w:r>
            <w:r w:rsidR="004F7B98">
              <w:lastRenderedPageBreak/>
              <w:t>f</w:t>
            </w:r>
            <w:r w:rsidRPr="003E5C44">
              <w:t xml:space="preserve">orestry and </w:t>
            </w:r>
            <w:r w:rsidR="004F7B98">
              <w:t>f</w:t>
            </w:r>
            <w:r w:rsidRPr="003E5C44">
              <w:t>ishing. Together</w:t>
            </w:r>
            <w:r w:rsidR="000F2A91">
              <w:t>,</w:t>
            </w:r>
            <w:r w:rsidRPr="003E5C44">
              <w:t xml:space="preserve"> they provide three quarters of the region’s exports</w:t>
            </w:r>
            <w:r w:rsidR="004F7B98">
              <w:t xml:space="preserve">. </w:t>
            </w:r>
            <w:r w:rsidRPr="003E5C44">
              <w:t xml:space="preserve">Manufacturing exports alone were approximately $4.5 billion in 2011. Significantly, Hume’s </w:t>
            </w:r>
            <w:r w:rsidR="004F7B98">
              <w:t>a</w:t>
            </w:r>
            <w:r w:rsidRPr="003E5C44">
              <w:t xml:space="preserve">gricultural, </w:t>
            </w:r>
            <w:r w:rsidR="004F7B98">
              <w:t>f</w:t>
            </w:r>
            <w:r w:rsidRPr="003E5C44">
              <w:t xml:space="preserve">orestry and </w:t>
            </w:r>
            <w:r w:rsidR="004F7B98">
              <w:t>f</w:t>
            </w:r>
            <w:r w:rsidRPr="003E5C44">
              <w:t>ishing exports make up almost 20</w:t>
            </w:r>
            <w:r w:rsidR="00543C73">
              <w:t xml:space="preserve"> per cent</w:t>
            </w:r>
            <w:r w:rsidRPr="003E5C44">
              <w:t xml:space="preserve"> of the state’s exports in this sector.</w:t>
            </w:r>
          </w:p>
          <w:p w:rsidR="007A143F" w:rsidRDefault="003E5C44" w:rsidP="001A3FCF">
            <w:pPr>
              <w:pStyle w:val="ListBullet"/>
              <w:rPr>
                <w:i/>
              </w:rPr>
            </w:pPr>
            <w:r w:rsidRPr="003E5C44">
              <w:t>In 2011, the region’s key inter-regional imports were from manufacturing and agriculture, forestry and fishing. Manufacturing comprised 57</w:t>
            </w:r>
            <w:r w:rsidR="00543C73">
              <w:t xml:space="preserve"> per cent</w:t>
            </w:r>
            <w:r w:rsidRPr="003E5C44">
              <w:t xml:space="preserve"> of the total inter-regional imports while 20</w:t>
            </w:r>
            <w:r w:rsidR="00543C73">
              <w:t xml:space="preserve"> per cent</w:t>
            </w:r>
            <w:r w:rsidRPr="003E5C44">
              <w:t xml:space="preserve"> of inter-regional imports were from the agriculture sector. Almost half (47</w:t>
            </w:r>
            <w:r w:rsidR="00543C73">
              <w:t xml:space="preserve"> per cent</w:t>
            </w:r>
            <w:r w:rsidRPr="003E5C44">
              <w:t>) of the manufacturing imports were from the food product manufacturing subsector.</w:t>
            </w:r>
          </w:p>
        </w:tc>
      </w:tr>
    </w:tbl>
    <w:p w:rsidR="007A143F" w:rsidRDefault="003A4873">
      <w:pPr>
        <w:pStyle w:val="bt"/>
      </w:pPr>
      <w:r w:rsidRPr="003A4873">
        <w:lastRenderedPageBreak/>
        <w:t xml:space="preserve">The </w:t>
      </w:r>
      <w:r w:rsidR="00586D6E">
        <w:t>r</w:t>
      </w:r>
      <w:r w:rsidRPr="003A4873">
        <w:t>egion’s economy is varied in the make</w:t>
      </w:r>
      <w:r w:rsidR="000F2A91">
        <w:t xml:space="preserve"> </w:t>
      </w:r>
      <w:r w:rsidRPr="003A4873">
        <w:t>up of its industry and employment. The regional economy is driven by the needs of a changing population, access to natural resources including water and productive agricultural land, iconic tourism assets such as alpine areas and the Murray River, and the region’s strategic location in the Melbourne</w:t>
      </w:r>
      <w:r w:rsidR="002C3122">
        <w:t>-</w:t>
      </w:r>
      <w:r w:rsidRPr="003A4873">
        <w:t>Canberra</w:t>
      </w:r>
      <w:r w:rsidR="002C3122">
        <w:t>-</w:t>
      </w:r>
      <w:r w:rsidRPr="003A4873">
        <w:t>Sydney</w:t>
      </w:r>
      <w:r w:rsidR="002C3122">
        <w:t>-</w:t>
      </w:r>
      <w:r w:rsidRPr="003A4873">
        <w:t>Brisbane national freight corridor. In recent times there has been significant government investment in irrigation modernisation, rail standardisation, bushfire and flood recovery and infrastructure in country towns.</w:t>
      </w:r>
    </w:p>
    <w:p w:rsidR="007A143F" w:rsidRDefault="003A4873">
      <w:pPr>
        <w:pStyle w:val="bt"/>
        <w:rPr>
          <w:rFonts w:cstheme="minorHAnsi"/>
        </w:rPr>
      </w:pPr>
      <w:r w:rsidRPr="003A4873">
        <w:rPr>
          <w:rFonts w:cstheme="minorHAnsi"/>
        </w:rPr>
        <w:t>In its 2013 economic statement</w:t>
      </w:r>
      <w:r w:rsidR="00A82FD7">
        <w:rPr>
          <w:rFonts w:cstheme="minorHAnsi"/>
        </w:rPr>
        <w:t>,</w:t>
      </w:r>
      <w:r w:rsidRPr="003A4873">
        <w:rPr>
          <w:rFonts w:cstheme="minorHAnsi"/>
        </w:rPr>
        <w:t xml:space="preserve"> </w:t>
      </w:r>
      <w:r w:rsidR="003E5C44" w:rsidRPr="00B44623">
        <w:rPr>
          <w:rStyle w:val="Emphasis"/>
          <w:i w:val="0"/>
        </w:rPr>
        <w:t xml:space="preserve">Securing Victoria’s Economy </w:t>
      </w:r>
      <w:r w:rsidR="00A82FD7" w:rsidRPr="00B44623">
        <w:rPr>
          <w:rStyle w:val="Emphasis"/>
          <w:i w:val="0"/>
        </w:rPr>
        <w:t xml:space="preserve">– </w:t>
      </w:r>
      <w:r w:rsidR="003E5C44" w:rsidRPr="00B44623">
        <w:rPr>
          <w:rStyle w:val="Emphasis"/>
          <w:i w:val="0"/>
        </w:rPr>
        <w:t>Planning, Building, Delivering</w:t>
      </w:r>
      <w:r w:rsidR="00480CE2">
        <w:rPr>
          <w:rFonts w:cstheme="minorHAnsi"/>
        </w:rPr>
        <w:t xml:space="preserve">, </w:t>
      </w:r>
      <w:r w:rsidRPr="003A4873">
        <w:rPr>
          <w:rFonts w:cstheme="minorHAnsi"/>
        </w:rPr>
        <w:t xml:space="preserve">the </w:t>
      </w:r>
      <w:r w:rsidR="00A82FD7">
        <w:rPr>
          <w:rFonts w:cstheme="minorHAnsi"/>
        </w:rPr>
        <w:t xml:space="preserve">State </w:t>
      </w:r>
      <w:r w:rsidR="006E5A2D">
        <w:rPr>
          <w:rFonts w:cstheme="minorHAnsi"/>
        </w:rPr>
        <w:t>Government</w:t>
      </w:r>
      <w:r w:rsidRPr="003A4873">
        <w:rPr>
          <w:rFonts w:cstheme="minorHAnsi"/>
        </w:rPr>
        <w:t xml:space="preserve"> adopts a goal of doubling agricultural food and fibre production in Victoria by 2030. It aims to make the state the </w:t>
      </w:r>
      <w:r w:rsidR="00A82FD7">
        <w:rPr>
          <w:rFonts w:cstheme="minorHAnsi"/>
        </w:rPr>
        <w:t>f</w:t>
      </w:r>
      <w:r w:rsidRPr="003A4873">
        <w:rPr>
          <w:rFonts w:cstheme="minorHAnsi"/>
        </w:rPr>
        <w:t xml:space="preserve">ood </w:t>
      </w:r>
      <w:r w:rsidR="00A82FD7">
        <w:rPr>
          <w:rFonts w:cstheme="minorHAnsi"/>
        </w:rPr>
        <w:t>b</w:t>
      </w:r>
      <w:r w:rsidRPr="003A4873">
        <w:rPr>
          <w:rFonts w:cstheme="minorHAnsi"/>
        </w:rPr>
        <w:t xml:space="preserve">owl to Asia. The </w:t>
      </w:r>
      <w:r w:rsidR="00295F7D">
        <w:rPr>
          <w:rFonts w:cstheme="minorHAnsi"/>
        </w:rPr>
        <w:t>r</w:t>
      </w:r>
      <w:r w:rsidRPr="003A4873">
        <w:rPr>
          <w:rFonts w:cstheme="minorHAnsi"/>
        </w:rPr>
        <w:t>egion will be expected to play a major role in achieving this objective.</w:t>
      </w:r>
    </w:p>
    <w:p w:rsidR="007A143F" w:rsidRDefault="003A4873">
      <w:pPr>
        <w:pStyle w:val="bt"/>
      </w:pPr>
      <w:r w:rsidRPr="003A4873">
        <w:t>The region is acknowledge</w:t>
      </w:r>
      <w:r w:rsidR="0047066B">
        <w:t xml:space="preserve">d as a major Australian centre </w:t>
      </w:r>
      <w:r w:rsidRPr="003A4873">
        <w:t>f</w:t>
      </w:r>
      <w:r w:rsidR="0047066B">
        <w:t>or</w:t>
      </w:r>
      <w:r w:rsidRPr="003A4873">
        <w:t xml:space="preserve"> food production. The Goulburn Valley </w:t>
      </w:r>
      <w:r w:rsidR="00A82FD7">
        <w:t>f</w:t>
      </w:r>
      <w:r w:rsidRPr="003A4873">
        <w:t xml:space="preserve">ood </w:t>
      </w:r>
      <w:r w:rsidR="00A82FD7">
        <w:t>b</w:t>
      </w:r>
      <w:r w:rsidRPr="003A4873">
        <w:t>owl is one of Victoria’s largest areas of primary production, earning $1.6 billion from agricultural products and processing of foods and beverages. Manufacturing is a significant economic contributor in the region, especially around Shepparton,</w:t>
      </w:r>
      <w:r w:rsidR="002C3122" w:rsidRPr="002C3122">
        <w:t xml:space="preserve"> </w:t>
      </w:r>
      <w:r w:rsidR="002C3122" w:rsidRPr="003A4873">
        <w:t>Wodonga</w:t>
      </w:r>
      <w:r w:rsidR="002C3122">
        <w:t>,</w:t>
      </w:r>
      <w:r w:rsidRPr="003A4873">
        <w:t xml:space="preserve"> Wangaratta and </w:t>
      </w:r>
      <w:r w:rsidR="002C3122">
        <w:t>Benalla</w:t>
      </w:r>
      <w:r w:rsidRPr="003A4873">
        <w:t xml:space="preserve">. </w:t>
      </w:r>
      <w:r w:rsidR="006E5A2D">
        <w:t xml:space="preserve">The </w:t>
      </w:r>
      <w:r w:rsidR="00295A23">
        <w:t>r</w:t>
      </w:r>
      <w:r w:rsidRPr="003A4873">
        <w:t xml:space="preserve">egion has a larger proportion of people employed in manufacturing than Melbourne. In some areas, the influence of the regional economy extends beyond the </w:t>
      </w:r>
      <w:r w:rsidR="00295A23">
        <w:t>r</w:t>
      </w:r>
      <w:r w:rsidRPr="003A4873">
        <w:t xml:space="preserve">egion into areas such as </w:t>
      </w:r>
      <w:r w:rsidR="006E5A2D" w:rsidRPr="003A4873">
        <w:t xml:space="preserve">southern New South Wales </w:t>
      </w:r>
      <w:r w:rsidR="006E5A2D">
        <w:t xml:space="preserve">and </w:t>
      </w:r>
      <w:r w:rsidR="00486869">
        <w:t>Campaspe Shire to the west</w:t>
      </w:r>
      <w:r w:rsidRPr="003A4873">
        <w:t>.</w:t>
      </w:r>
    </w:p>
    <w:p w:rsidR="007A143F" w:rsidRDefault="003A4873">
      <w:pPr>
        <w:pStyle w:val="bt"/>
      </w:pPr>
      <w:r w:rsidRPr="003A4873">
        <w:t xml:space="preserve">The two major interstate transport corridors are significant assets for the </w:t>
      </w:r>
      <w:r w:rsidR="00295A23">
        <w:t>r</w:t>
      </w:r>
      <w:r w:rsidRPr="003A4873">
        <w:t xml:space="preserve">egion. They accommodate national transport movements, link major population centres and act as conduits for tourism in the region. Access to south-east Australia’s population, industry, services and tourist destinations is a broad locational advantage of the </w:t>
      </w:r>
      <w:r w:rsidR="00295A23">
        <w:t>r</w:t>
      </w:r>
      <w:r w:rsidRPr="003A4873">
        <w:t>egion, which continues to attract investment. These corridors offer opportunities to develop key logistics precincts and warehousing, as well as freight movement through and within the region.</w:t>
      </w:r>
    </w:p>
    <w:p w:rsidR="007A143F" w:rsidRDefault="003A4873">
      <w:pPr>
        <w:pStyle w:val="bt"/>
      </w:pPr>
      <w:r w:rsidRPr="003A4873">
        <w:t xml:space="preserve">The </w:t>
      </w:r>
      <w:r w:rsidR="00295A23">
        <w:t>r</w:t>
      </w:r>
      <w:r w:rsidRPr="003A4873">
        <w:t>egion includes more regional cities and centres than any other Victorian region. Shepparton, Wodonga, Wangaratta and Benalla all have associated infrastructure and economic spheres of influence. The growth prospects of towns in locations relatively close to these cities and centres are enhanced by their proximity.</w:t>
      </w:r>
    </w:p>
    <w:p w:rsidR="007A143F" w:rsidRDefault="003A4873">
      <w:pPr>
        <w:pStyle w:val="bt"/>
      </w:pPr>
      <w:r w:rsidRPr="003A4873">
        <w:t xml:space="preserve">The region’s environmental and </w:t>
      </w:r>
      <w:r w:rsidR="0028065D">
        <w:t xml:space="preserve">cultural </w:t>
      </w:r>
      <w:r w:rsidRPr="003A4873">
        <w:t xml:space="preserve">heritage assets support a significant tourism industry, which will continue to be important </w:t>
      </w:r>
      <w:r w:rsidR="00581FD4">
        <w:t xml:space="preserve">to </w:t>
      </w:r>
      <w:r w:rsidRPr="003A4873">
        <w:t>creat</w:t>
      </w:r>
      <w:r w:rsidR="00581FD4">
        <w:t>e</w:t>
      </w:r>
      <w:r w:rsidRPr="003A4873">
        <w:t xml:space="preserve"> regional wealth and interest from investors. The region contains many popular tourist destinations.</w:t>
      </w:r>
    </w:p>
    <w:p w:rsidR="00F45386" w:rsidRDefault="003A4873">
      <w:pPr>
        <w:pStyle w:val="bt"/>
      </w:pPr>
      <w:r w:rsidRPr="003A4873">
        <w:t xml:space="preserve">The economy of the </w:t>
      </w:r>
      <w:r w:rsidR="00295A23">
        <w:t>r</w:t>
      </w:r>
      <w:r w:rsidRPr="003A4873">
        <w:t xml:space="preserve">egion is becoming more sophisticated and diverse but there remains a high reliance on manufacturing and agriculture. This is likely to provide economic challenges, particularly due to changing climatic conditions and the high Australian dollar. How businesses respond to these challenges, while at the same time endeavouring to improve productivity, will be of paramount importance to the regional economy. </w:t>
      </w:r>
    </w:p>
    <w:p w:rsidR="007A143F" w:rsidRDefault="003A4873">
      <w:pPr>
        <w:pStyle w:val="bt"/>
      </w:pPr>
      <w:r w:rsidRPr="003A4873">
        <w:t xml:space="preserve">The </w:t>
      </w:r>
      <w:r w:rsidRPr="00B44623">
        <w:rPr>
          <w:rStyle w:val="Emphasis"/>
          <w:i w:val="0"/>
        </w:rPr>
        <w:t xml:space="preserve">Murray-Darling Basin Plan </w:t>
      </w:r>
      <w:r w:rsidRPr="003A4873">
        <w:t xml:space="preserve">is likely to have a major impact on the region’s economic output and employment prospects for agriculture and food processing, particularly in the Goulburn Valley. The </w:t>
      </w:r>
      <w:r w:rsidR="00295A23">
        <w:t>plan</w:t>
      </w:r>
      <w:r w:rsidR="00295A23" w:rsidRPr="003A4873">
        <w:t xml:space="preserve"> </w:t>
      </w:r>
      <w:r w:rsidRPr="003A4873">
        <w:t>recognises that these impacts will emerge over time and land use planning needs to be adaptable to support the region’s economy through restructuring and other changes.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BD314A" w:rsidTr="00E770E1">
        <w:tc>
          <w:tcPr>
            <w:tcW w:w="9072" w:type="dxa"/>
            <w:shd w:val="clear" w:color="auto" w:fill="C5C3C2"/>
          </w:tcPr>
          <w:p w:rsidR="007A143F" w:rsidRDefault="00DA722B" w:rsidP="00E770E1">
            <w:pPr>
              <w:pStyle w:val="bt"/>
              <w:spacing w:after="120"/>
              <w:rPr>
                <w:rStyle w:val="Strong"/>
              </w:rPr>
            </w:pPr>
            <w:r w:rsidRPr="00DA722B">
              <w:rPr>
                <w:rStyle w:val="Strong"/>
              </w:rPr>
              <w:lastRenderedPageBreak/>
              <w:t>Murray-Darling Basin Explanatory Statement – Basin Plan 2012</w:t>
            </w:r>
          </w:p>
          <w:p w:rsidR="007A143F" w:rsidRDefault="00BD314A">
            <w:pPr>
              <w:pStyle w:val="bt"/>
            </w:pPr>
            <w:r w:rsidRPr="003A4873">
              <w:t>The Basin Plan provides a high level framework that sets standards for the Australian Government</w:t>
            </w:r>
            <w:r w:rsidR="00421327">
              <w:t>. The</w:t>
            </w:r>
            <w:r w:rsidRPr="003A4873">
              <w:t xml:space="preserve"> Basin states and the Murray-Darling Basin Authority</w:t>
            </w:r>
            <w:r w:rsidR="00421327">
              <w:t xml:space="preserve"> are required</w:t>
            </w:r>
            <w:r w:rsidRPr="003A4873">
              <w:t xml:space="preserve"> to manage the Murray-Darling Basin’s water resources in a coordinated and sustainable way in collaboration with the community. It is based on managing Basin water resources in the national interest rather than on jurisdictional or sectoral views. </w:t>
            </w:r>
          </w:p>
          <w:p w:rsidR="007A143F" w:rsidRDefault="00BD314A" w:rsidP="00E770E1">
            <w:pPr>
              <w:pStyle w:val="bt"/>
              <w:spacing w:after="0"/>
              <w:rPr>
                <w:rFonts w:cs="Calibri"/>
              </w:rPr>
            </w:pPr>
            <w:r w:rsidRPr="003A4873">
              <w:t>The purpose of the Basin Plan is to provide for the integrated management of Basin water resources in a way that promotes the object</w:t>
            </w:r>
            <w:r w:rsidR="00896E1F">
              <w:t>ive</w:t>
            </w:r>
            <w:r w:rsidRPr="003A4873">
              <w:t xml:space="preserve">s of the </w:t>
            </w:r>
            <w:r w:rsidRPr="003A4873">
              <w:rPr>
                <w:i/>
                <w:iCs/>
              </w:rPr>
              <w:t>Water Act 2007</w:t>
            </w:r>
            <w:r w:rsidRPr="003A4873">
              <w:t>, in particular by</w:t>
            </w:r>
            <w:r w:rsidRPr="003A4873">
              <w:rPr>
                <w:rFonts w:cs="Calibri"/>
              </w:rPr>
              <w:t xml:space="preserve">: </w:t>
            </w:r>
          </w:p>
          <w:p w:rsidR="007A143F" w:rsidRDefault="00BD314A" w:rsidP="001A3FCF">
            <w:pPr>
              <w:pStyle w:val="ListBullet"/>
            </w:pPr>
            <w:r w:rsidRPr="003A4873">
              <w:t xml:space="preserve">giving effect to relevant international agreements, including the Biodiversity Convention and the Ramsar Convention, to the extent they relate to the use and management of Basin water resources </w:t>
            </w:r>
          </w:p>
          <w:p w:rsidR="007A143F" w:rsidRDefault="00BD314A" w:rsidP="001A3FCF">
            <w:pPr>
              <w:pStyle w:val="ListBullet"/>
            </w:pPr>
            <w:r w:rsidRPr="003A4873">
              <w:t xml:space="preserve">establishment and enforcement of environmentally sustainable limits on the quantities of surface water and groundwater that may be taken from Basin water resources </w:t>
            </w:r>
          </w:p>
          <w:p w:rsidR="007A143F" w:rsidRDefault="00BD314A" w:rsidP="001A3FCF">
            <w:pPr>
              <w:pStyle w:val="ListBullet"/>
            </w:pPr>
            <w:r w:rsidRPr="003A4873">
              <w:t>Basin-wide environmental objectives for water</w:t>
            </w:r>
            <w:r w:rsidR="0047066B">
              <w:t xml:space="preserve"> </w:t>
            </w:r>
            <w:r w:rsidRPr="003A4873">
              <w:t xml:space="preserve">dependent ecosystems, and water quality and salinity objectives </w:t>
            </w:r>
          </w:p>
          <w:p w:rsidR="007A143F" w:rsidRDefault="00BD314A" w:rsidP="00E770E1">
            <w:pPr>
              <w:pStyle w:val="ListBullet"/>
              <w:spacing w:after="240"/>
            </w:pPr>
            <w:r w:rsidRPr="003A4873">
              <w:t xml:space="preserve">use and management of Basin water resources in a way that optimises social, economic and environmental outcomes </w:t>
            </w:r>
          </w:p>
          <w:p w:rsidR="007A143F" w:rsidRDefault="00BD314A" w:rsidP="001A3FCF">
            <w:pPr>
              <w:pStyle w:val="ListBullet"/>
            </w:pPr>
            <w:r w:rsidRPr="003A4873">
              <w:t xml:space="preserve">water to meet its most productive use through the development of an efficient water trading regime across the Murray-Darling Basin </w:t>
            </w:r>
          </w:p>
          <w:p w:rsidR="007A143F" w:rsidRDefault="00BD314A" w:rsidP="001A3FCF">
            <w:pPr>
              <w:pStyle w:val="ListBullet"/>
            </w:pPr>
            <w:r w:rsidRPr="003A4873">
              <w:t>requirements that must be met by water resource plans</w:t>
            </w:r>
          </w:p>
          <w:p w:rsidR="007A143F" w:rsidRDefault="00BD314A" w:rsidP="001A3FCF">
            <w:pPr>
              <w:pStyle w:val="ListBullet"/>
            </w:pPr>
            <w:r w:rsidRPr="003A4873">
              <w:t>improved water security for all uses of Basin water resources.</w:t>
            </w:r>
          </w:p>
          <w:p w:rsidR="007A143F" w:rsidRDefault="00BD314A" w:rsidP="00E770E1">
            <w:pPr>
              <w:pStyle w:val="bt"/>
              <w:spacing w:after="0"/>
            </w:pPr>
            <w:r w:rsidRPr="003A4873">
              <w:t>The management outcome for the Basin Plan as a whole is a heal</w:t>
            </w:r>
            <w:r w:rsidR="007E5A77">
              <w:t>t</w:t>
            </w:r>
            <w:r w:rsidRPr="003A4873">
              <w:t>hy and working Murr</w:t>
            </w:r>
            <w:r w:rsidR="00E770E1">
              <w:t>ay-Darling Basin that includes:</w:t>
            </w:r>
          </w:p>
          <w:p w:rsidR="007A143F" w:rsidRDefault="00BD314A" w:rsidP="001A3FCF">
            <w:pPr>
              <w:pStyle w:val="ListBullet"/>
            </w:pPr>
            <w:r w:rsidRPr="003A4873">
              <w:t xml:space="preserve">communities with sufficient and reliable water supplies that are fit for a range of intended purposes, including domestic, recreational and cultural use </w:t>
            </w:r>
          </w:p>
          <w:p w:rsidR="007A143F" w:rsidRDefault="00BD314A" w:rsidP="001A3FCF">
            <w:pPr>
              <w:pStyle w:val="ListBullet"/>
            </w:pPr>
            <w:r w:rsidRPr="003A4873">
              <w:t>productive and resilient water</w:t>
            </w:r>
            <w:r w:rsidR="0047066B">
              <w:t xml:space="preserve"> </w:t>
            </w:r>
            <w:r w:rsidRPr="003A4873">
              <w:t>dependent industries, and communities with confidence in their long-term future</w:t>
            </w:r>
          </w:p>
          <w:p w:rsidR="007A143F" w:rsidRDefault="00BD314A" w:rsidP="001A3FCF">
            <w:pPr>
              <w:pStyle w:val="ListBullet"/>
            </w:pPr>
            <w:r w:rsidRPr="003A4873">
              <w:t>healthy and resilient ecosystems with rivers and creeks regularly connected to their floodplains and, ultimately, the ocean (section 5.02</w:t>
            </w:r>
            <w:r w:rsidR="00295A23">
              <w:t xml:space="preserve"> of the Basin Plan</w:t>
            </w:r>
            <w:r w:rsidRPr="003A4873">
              <w:t>).</w:t>
            </w:r>
          </w:p>
          <w:p w:rsidR="0087602D" w:rsidRDefault="0087602D" w:rsidP="0087602D">
            <w:pPr>
              <w:pStyle w:val="ListBullet"/>
              <w:numPr>
                <w:ilvl w:val="0"/>
                <w:numId w:val="0"/>
              </w:numPr>
              <w:ind w:left="1630"/>
            </w:pPr>
          </w:p>
        </w:tc>
      </w:tr>
    </w:tbl>
    <w:p w:rsidR="007A143F" w:rsidRDefault="003A4873">
      <w:pPr>
        <w:pStyle w:val="bt"/>
      </w:pPr>
      <w:r w:rsidRPr="003A4873">
        <w:t xml:space="preserve">The </w:t>
      </w:r>
      <w:r w:rsidR="00295F7D">
        <w:t>r</w:t>
      </w:r>
      <w:r w:rsidRPr="003A4873">
        <w:t xml:space="preserve">egion has been challenged by a decade of drought followed by flooding in recent years. Severe bushfires have also affected different parts of the region. The 2009 bushfires had a devastating impact in the </w:t>
      </w:r>
      <w:r w:rsidR="002C3122" w:rsidRPr="003A4873">
        <w:t xml:space="preserve">Mitchell and </w:t>
      </w:r>
      <w:r w:rsidRPr="003A4873">
        <w:t xml:space="preserve">Murrindindi </w:t>
      </w:r>
      <w:r w:rsidR="0047066B">
        <w:t>s</w:t>
      </w:r>
      <w:r w:rsidRPr="003A4873">
        <w:t>hire</w:t>
      </w:r>
      <w:r w:rsidR="007E5A77">
        <w:t>s</w:t>
      </w:r>
      <w:r w:rsidRPr="003A4873">
        <w:t xml:space="preserve">. </w:t>
      </w:r>
    </w:p>
    <w:p w:rsidR="00D541A5" w:rsidRDefault="003A4873" w:rsidP="00F45386">
      <w:pPr>
        <w:pStyle w:val="bt"/>
      </w:pPr>
      <w:r w:rsidRPr="003A4873">
        <w:t xml:space="preserve">Research commissioned by </w:t>
      </w:r>
      <w:r w:rsidR="00896E1F">
        <w:t xml:space="preserve">the </w:t>
      </w:r>
      <w:r w:rsidR="000327E7">
        <w:t xml:space="preserve">former </w:t>
      </w:r>
      <w:r w:rsidR="00896E1F">
        <w:t xml:space="preserve">Department of Planning and Community Development </w:t>
      </w:r>
      <w:r w:rsidRPr="003A4873">
        <w:t>(Street Ryan, 2012) suggests that employment creation in the region will depend substantially on local enterprise and initiatives.</w:t>
      </w:r>
    </w:p>
    <w:p w:rsidR="00D541A5" w:rsidRDefault="00D541A5">
      <w:pPr>
        <w:rPr>
          <w:rFonts w:ascii="Calibri" w:eastAsia="Times New Roman" w:hAnsi="Calibri" w:cs="Times New Roman"/>
          <w:szCs w:val="24"/>
        </w:rPr>
      </w:pPr>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72"/>
      </w:tblGrid>
      <w:tr w:rsidR="003A4873" w:rsidRPr="003A4873" w:rsidTr="00AD0712">
        <w:tc>
          <w:tcPr>
            <w:tcW w:w="9072" w:type="dxa"/>
            <w:shd w:val="clear" w:color="auto" w:fill="C5C3C2"/>
          </w:tcPr>
          <w:p w:rsidR="007A143F" w:rsidRPr="00B44623" w:rsidRDefault="00DA722B" w:rsidP="00AD0712">
            <w:pPr>
              <w:pStyle w:val="bt"/>
              <w:spacing w:after="120"/>
              <w:rPr>
                <w:b/>
              </w:rPr>
            </w:pPr>
            <w:r w:rsidRPr="00DA722B">
              <w:rPr>
                <w:b/>
              </w:rPr>
              <w:lastRenderedPageBreak/>
              <w:t>Hume Region Economic Profile and Outlook – Street Ryan (2012)</w:t>
            </w:r>
          </w:p>
          <w:p w:rsidR="007A143F" w:rsidRDefault="003A4873" w:rsidP="001A3FCF">
            <w:pPr>
              <w:pStyle w:val="ListBullet"/>
            </w:pPr>
            <w:r w:rsidRPr="003A4873">
              <w:t>The economic climate of the 2010s, and during the aftermath of the Global Financial Crisis, suggests that growth will continue in small to medium enterprises, and in micro-enterprises.</w:t>
            </w:r>
          </w:p>
          <w:p w:rsidR="007A143F" w:rsidRDefault="003A4873" w:rsidP="001A3FCF">
            <w:pPr>
              <w:pStyle w:val="ListBullet"/>
            </w:pPr>
            <w:r w:rsidRPr="00BD314A">
              <w:t>Economic development strategies and the techniques employed to analyse and implement them, must reflect the requirement of local communities to develop business initiatives and local employment to meet the needs of existing and expected population, rather than to assume that the attraction of development from outside will create the necessary flow-on effects.</w:t>
            </w:r>
          </w:p>
          <w:p w:rsidR="007A143F" w:rsidRDefault="003A4873" w:rsidP="001A3FCF">
            <w:pPr>
              <w:pStyle w:val="ListBullet"/>
            </w:pPr>
            <w:r w:rsidRPr="00BD314A">
              <w:t>Economic development in the 21st century will be about ‘creating a climate for innovation’ rather than the traditional objective of the past ‘to create a climate for investment’.</w:t>
            </w:r>
            <w:r w:rsidRPr="00B44623">
              <w:t xml:space="preserve"> </w:t>
            </w:r>
          </w:p>
          <w:p w:rsidR="0087602D" w:rsidRDefault="0087602D" w:rsidP="0087602D">
            <w:pPr>
              <w:pStyle w:val="ListBullet"/>
              <w:numPr>
                <w:ilvl w:val="0"/>
                <w:numId w:val="0"/>
              </w:numPr>
              <w:ind w:left="1630"/>
            </w:pPr>
          </w:p>
        </w:tc>
      </w:tr>
    </w:tbl>
    <w:p w:rsidR="007A143F" w:rsidRDefault="003A4873">
      <w:pPr>
        <w:pStyle w:val="bt"/>
      </w:pPr>
      <w:r w:rsidRPr="003A4873">
        <w:t>The research also found that new issues such as climate change, increases in the average age of the population</w:t>
      </w:r>
      <w:r w:rsidR="00896E1F">
        <w:t>,</w:t>
      </w:r>
      <w:r w:rsidRPr="003A4873">
        <w:t xml:space="preserve"> and globalisation of production and knowledge industries </w:t>
      </w:r>
      <w:r w:rsidR="003967D3">
        <w:t>were</w:t>
      </w:r>
      <w:r w:rsidR="00896E1F">
        <w:t xml:space="preserve"> </w:t>
      </w:r>
      <w:r w:rsidRPr="003A4873">
        <w:t xml:space="preserve">changing the economic landscape. It predicted the 21st century </w:t>
      </w:r>
      <w:r w:rsidR="00896E1F">
        <w:t xml:space="preserve">would </w:t>
      </w:r>
      <w:r w:rsidRPr="003A4873">
        <w:t>bring about the integration of economic, environmental and community development policy and practice.</w:t>
      </w:r>
    </w:p>
    <w:p w:rsidR="007A143F" w:rsidRDefault="003A4873" w:rsidP="00AD0712">
      <w:pPr>
        <w:pStyle w:val="Heading2"/>
        <w:tabs>
          <w:tab w:val="clear" w:pos="396"/>
        </w:tabs>
        <w:ind w:left="567"/>
      </w:pPr>
      <w:bookmarkStart w:id="256" w:name="_Toc355970816"/>
      <w:bookmarkStart w:id="257" w:name="_Toc359422967"/>
      <w:bookmarkStart w:id="258" w:name="_Toc374612468"/>
      <w:r w:rsidRPr="00B948A1">
        <w:t>Employment</w:t>
      </w:r>
      <w:bookmarkEnd w:id="256"/>
      <w:bookmarkEnd w:id="257"/>
      <w:bookmarkEnd w:id="258"/>
    </w:p>
    <w:p w:rsidR="007A143F" w:rsidRDefault="003A4873">
      <w:pPr>
        <w:pStyle w:val="bt"/>
      </w:pPr>
      <w:r w:rsidRPr="003A4873">
        <w:t xml:space="preserve">The role of regional urban centres in providing employment and services is essential to the economy of the </w:t>
      </w:r>
      <w:r w:rsidR="0076350E">
        <w:t xml:space="preserve">Hume </w:t>
      </w:r>
      <w:r w:rsidR="003967D3">
        <w:t>R</w:t>
      </w:r>
      <w:r w:rsidRPr="003A4873">
        <w:t>egion. The major centres of Shepparton, Wodonga, Wangaratta and Benalla will continue to provide employment and services to a wider regional catchment. Employment growth will need to match population growth in and around these centres. Seymour, due to its location and accessibility, has the potential to develop into an employment centre for th</w:t>
      </w:r>
      <w:r w:rsidR="007E5A77">
        <w:t>e</w:t>
      </w:r>
      <w:r w:rsidRPr="003A4873">
        <w:t xml:space="preserve"> part of the Lower Hume </w:t>
      </w:r>
      <w:r w:rsidR="00EB6ABC">
        <w:t>sub-</w:t>
      </w:r>
      <w:r w:rsidR="00DA46DA">
        <w:t>region</w:t>
      </w:r>
      <w:r w:rsidRPr="003A4873">
        <w:t xml:space="preserve"> that is outside Melbourne’s urban growth boundary.</w:t>
      </w:r>
    </w:p>
    <w:p w:rsidR="007A143F" w:rsidRDefault="003A4873">
      <w:pPr>
        <w:pStyle w:val="bt"/>
      </w:pPr>
      <w:r w:rsidRPr="003A4873">
        <w:t>A key challenge for the region is providing sufficient employment opportunities to support the projected regional population growth of around 80,000 people by 2041</w:t>
      </w:r>
      <w:r w:rsidR="00295A23">
        <w:t>,</w:t>
      </w:r>
      <w:r w:rsidRPr="003A4873">
        <w:t xml:space="preserve"> not including expected growth in the southern part of the region around Beveridge and Wallan. Some of these jobs will be located in metropolitan Melbourne as it expands into the region, but the majority will need to be located elsewhere in the region. The </w:t>
      </w:r>
      <w:r w:rsidR="00295A23">
        <w:t>plan</w:t>
      </w:r>
      <w:r w:rsidR="00295A23" w:rsidRPr="003A4873">
        <w:t xml:space="preserve"> </w:t>
      </w:r>
      <w:r w:rsidRPr="003A4873">
        <w:t>recognises there are already challenges in attracting skilled workers and retaining the current workforce, so expanding the job market will require integrated and innovative approaches.</w:t>
      </w:r>
    </w:p>
    <w:p w:rsidR="007A143F" w:rsidRDefault="003A4873">
      <w:pPr>
        <w:pStyle w:val="bt"/>
      </w:pPr>
      <w:r w:rsidRPr="003A4873">
        <w:t>The economic output from agriculture is likely to grow, especially as the size of farms increases or consolidation achieves economies of scale. Significant agricultural and manufacturing sectors will continue to have positive benefits for support industries</w:t>
      </w:r>
      <w:r w:rsidR="0047066B">
        <w:t>,</w:t>
      </w:r>
      <w:r w:rsidRPr="003A4873">
        <w:t xml:space="preserve"> such as packaging, warehousing and transport.</w:t>
      </w:r>
    </w:p>
    <w:p w:rsidR="007A143F" w:rsidRDefault="003A4873">
      <w:pPr>
        <w:pStyle w:val="bt"/>
      </w:pPr>
      <w:r w:rsidRPr="003A4873">
        <w:t xml:space="preserve">Agricultural activities and associated processing for dairy products, wine and other foods will continue to be an important contributor to the region’s economy. How these industries adjust to the challenges of climate change, a high exchange rate, </w:t>
      </w:r>
      <w:r w:rsidR="0076350E">
        <w:t xml:space="preserve">the </w:t>
      </w:r>
      <w:r w:rsidRPr="003A4873">
        <w:t xml:space="preserve">cost of production pressures and the threat of cheaper imports will have a major impact on the future of the regional economy. Forestry and timber processing, both softwood and hardwood, are significant industries, particularly in the Alpine, Murrindindi and Towong </w:t>
      </w:r>
      <w:r w:rsidR="0076350E">
        <w:t>s</w:t>
      </w:r>
      <w:r w:rsidRPr="003A4873">
        <w:t xml:space="preserve">hires. </w:t>
      </w:r>
    </w:p>
    <w:p w:rsidR="007A143F" w:rsidRDefault="003A4873">
      <w:pPr>
        <w:pStyle w:val="bt"/>
      </w:pPr>
      <w:r w:rsidRPr="003A4873">
        <w:t xml:space="preserve">Providing sufficient amounts of serviced industrial land in key urban locations will be critical to the </w:t>
      </w:r>
      <w:r w:rsidR="00295A23">
        <w:t xml:space="preserve">region’s </w:t>
      </w:r>
      <w:r w:rsidRPr="003A4873">
        <w:t>economy. Investment in renewal or development of physical infrastructure and services will further support economic growth and employment in existing and emerging manufacturing enterprises.</w:t>
      </w:r>
    </w:p>
    <w:p w:rsidR="007E5A77" w:rsidRDefault="003A4873">
      <w:pPr>
        <w:pStyle w:val="bt"/>
      </w:pPr>
      <w:r w:rsidRPr="003A4873">
        <w:lastRenderedPageBreak/>
        <w:t xml:space="preserve">Tourism has grown to become an important industry and employer for the </w:t>
      </w:r>
      <w:r w:rsidR="00295A23">
        <w:t>r</w:t>
      </w:r>
      <w:r w:rsidRPr="003A4873">
        <w:t xml:space="preserve">egion, driven by its proximity to Melbourne and its natural attractions. Tourism </w:t>
      </w:r>
      <w:r w:rsidR="002C3122">
        <w:t xml:space="preserve">activities </w:t>
      </w:r>
      <w:r w:rsidRPr="003A4873">
        <w:t xml:space="preserve">related to the </w:t>
      </w:r>
      <w:r w:rsidR="0076350E">
        <w:t>a</w:t>
      </w:r>
      <w:r w:rsidRPr="003A4873">
        <w:t xml:space="preserve">lpine </w:t>
      </w:r>
      <w:r w:rsidR="0076350E">
        <w:t>r</w:t>
      </w:r>
      <w:r w:rsidRPr="003A4873">
        <w:t xml:space="preserve">esorts, the Murray River corridor, cycling and food and wine will continue to be </w:t>
      </w:r>
      <w:r w:rsidR="002C3122">
        <w:t>significant</w:t>
      </w:r>
      <w:r w:rsidRPr="003A4873">
        <w:t xml:space="preserve"> contributors to the regional economy. As a result of tourism, the accommodation and food services sector will continue to be a </w:t>
      </w:r>
      <w:r w:rsidR="007E5A77">
        <w:t>growing employer in the region.</w:t>
      </w:r>
    </w:p>
    <w:p w:rsidR="007A143F" w:rsidRDefault="003A4873">
      <w:pPr>
        <w:pStyle w:val="bt"/>
      </w:pPr>
      <w:r w:rsidRPr="003A4873">
        <w:t xml:space="preserve">Climate change is predicted to reduce </w:t>
      </w:r>
      <w:r w:rsidR="004157D8">
        <w:t xml:space="preserve">the extent of </w:t>
      </w:r>
      <w:r w:rsidRPr="003A4873">
        <w:t>significant snow cover</w:t>
      </w:r>
      <w:r w:rsidR="004157D8">
        <w:t xml:space="preserve"> in the </w:t>
      </w:r>
      <w:r w:rsidR="00295A23">
        <w:t>r</w:t>
      </w:r>
      <w:r w:rsidR="004157D8">
        <w:t>egion</w:t>
      </w:r>
      <w:r w:rsidRPr="003A4873">
        <w:t>, which could affect snow-</w:t>
      </w:r>
      <w:r w:rsidR="004157D8">
        <w:t>based</w:t>
      </w:r>
      <w:r w:rsidRPr="003A4873">
        <w:t xml:space="preserve"> tourism in alpine areas. Alternative and ‘off season’ attractions may provide other sources of revenue for this sector of the tourism industry.</w:t>
      </w:r>
    </w:p>
    <w:p w:rsidR="007A143F" w:rsidRDefault="003A4873" w:rsidP="00CF1704">
      <w:pPr>
        <w:pStyle w:val="bt"/>
      </w:pPr>
      <w:r w:rsidRPr="003A4873">
        <w:t>New industries will need support to facilitate diversification of employment opportunities in the region.</w:t>
      </w:r>
      <w:r w:rsidR="00295F7D">
        <w:t xml:space="preserve"> </w:t>
      </w:r>
      <w:r w:rsidRPr="003A4873">
        <w:t xml:space="preserve">Key enterprises in </w:t>
      </w:r>
      <w:r w:rsidRPr="00226D34">
        <w:t xml:space="preserve">the </w:t>
      </w:r>
      <w:r w:rsidR="004157D8">
        <w:t xml:space="preserve">Hume </w:t>
      </w:r>
      <w:r w:rsidR="003967D3">
        <w:t>R</w:t>
      </w:r>
      <w:r w:rsidRPr="006F74E3">
        <w:t xml:space="preserve">egion are shown </w:t>
      </w:r>
      <w:r w:rsidR="00CF1704">
        <w:t xml:space="preserve">in </w:t>
      </w:r>
      <w:r w:rsidR="00AA3D97">
        <w:fldChar w:fldCharType="begin"/>
      </w:r>
      <w:r w:rsidR="00CF1704">
        <w:instrText xml:space="preserve"> REF _Ref364068680 \h </w:instrText>
      </w:r>
      <w:r w:rsidR="00AA3D97">
        <w:fldChar w:fldCharType="separate"/>
      </w:r>
      <w:r w:rsidR="009034D4" w:rsidRPr="000F5146">
        <w:t xml:space="preserve">Figure </w:t>
      </w:r>
      <w:r w:rsidR="009034D4">
        <w:rPr>
          <w:noProof/>
        </w:rPr>
        <w:t>15</w:t>
      </w:r>
      <w:r w:rsidR="00AA3D97">
        <w:fldChar w:fldCharType="end"/>
      </w:r>
      <w:r w:rsidR="006F74E3" w:rsidRPr="003C7B14">
        <w:t>.</w:t>
      </w:r>
    </w:p>
    <w:p w:rsidR="00295F7D" w:rsidRDefault="00295F7D" w:rsidP="00AD0712">
      <w:pPr>
        <w:pStyle w:val="Heading2"/>
        <w:tabs>
          <w:tab w:val="clear" w:pos="396"/>
        </w:tabs>
        <w:ind w:left="567"/>
      </w:pPr>
      <w:bookmarkStart w:id="259" w:name="_Toc355970817"/>
      <w:bookmarkStart w:id="260" w:name="_Toc359422968"/>
      <w:bookmarkStart w:id="261" w:name="_Toc374612469"/>
      <w:bookmarkStart w:id="262" w:name="_Ref348349557"/>
      <w:r w:rsidRPr="00B948A1">
        <w:t>Guiding f</w:t>
      </w:r>
      <w:r w:rsidRPr="00DA722B">
        <w:t>uture economic growth</w:t>
      </w:r>
      <w:bookmarkEnd w:id="259"/>
      <w:bookmarkEnd w:id="260"/>
      <w:bookmarkEnd w:id="261"/>
    </w:p>
    <w:p w:rsidR="001E6B61" w:rsidRDefault="00295F7D">
      <w:pPr>
        <w:pStyle w:val="bt"/>
        <w:spacing w:after="120"/>
      </w:pPr>
      <w:r w:rsidRPr="003A4873">
        <w:t xml:space="preserve">A diverse economy will support future regional population growth and employment. The </w:t>
      </w:r>
      <w:r>
        <w:t>plan</w:t>
      </w:r>
      <w:r w:rsidRPr="003A4873">
        <w:t xml:space="preserve"> seeks to promote diversification by supporting existing economic activity and encouraging appropriate new and developing forms of industry, agriculture, tourism and alternative energy production. It recognises that an expanded, diverse regional economic base will provide greater resilience to global changes and provides directions to build on the strengths and opportunities of the regional economy. </w:t>
      </w:r>
    </w:p>
    <w:p w:rsidR="001E6B61" w:rsidRDefault="00295F7D" w:rsidP="00A41B2E">
      <w:pPr>
        <w:pStyle w:val="Heading3"/>
        <w:numPr>
          <w:ilvl w:val="2"/>
          <w:numId w:val="13"/>
        </w:numPr>
        <w:tabs>
          <w:tab w:val="clear" w:pos="720"/>
          <w:tab w:val="clear" w:pos="900"/>
        </w:tabs>
        <w:spacing w:before="240"/>
        <w:ind w:left="851" w:hanging="851"/>
      </w:pPr>
      <w:bookmarkStart w:id="263" w:name="_Toc355970818"/>
      <w:bookmarkStart w:id="264" w:name="_Toc359422969"/>
      <w:bookmarkStart w:id="265" w:name="_Toc374612470"/>
      <w:r>
        <w:t>Urban growth</w:t>
      </w:r>
      <w:bookmarkEnd w:id="263"/>
      <w:bookmarkEnd w:id="264"/>
      <w:bookmarkEnd w:id="265"/>
    </w:p>
    <w:p w:rsidR="00EB39D0" w:rsidRPr="00EB39D0" w:rsidRDefault="00295F7D" w:rsidP="00295F7D">
      <w:pPr>
        <w:pStyle w:val="bt"/>
        <w:rPr>
          <w:rFonts w:cs="Calibri"/>
        </w:rPr>
      </w:pPr>
      <w:r w:rsidRPr="00EB39D0">
        <w:rPr>
          <w:rFonts w:cs="Calibri"/>
        </w:rPr>
        <w:t>The plan encourages urban growth, development and change where it is supported by and supports employment, transport services and commerce. The availability of industrial and commercial development opportunities within key locations identified for urban growth and change will play an important role in creating or expanding employment. Physical infrastructure needs to be provided to ensure industrial areas are ‘market ready’. Recreation facilities, health and education services,</w:t>
      </w:r>
      <w:r w:rsidR="001015AA" w:rsidRPr="001015AA">
        <w:rPr>
          <w:rFonts w:cs="Calibri"/>
        </w:rPr>
        <w:t xml:space="preserve"> and housing supply also contribute to attracting and retaining a workforce.</w:t>
      </w:r>
    </w:p>
    <w:p w:rsidR="002E053A" w:rsidRDefault="00295F7D" w:rsidP="00EB39D0">
      <w:pPr>
        <w:pStyle w:val="bt"/>
        <w:sectPr w:rsidR="002E053A" w:rsidSect="009075F4">
          <w:pgSz w:w="11906" w:h="16838"/>
          <w:pgMar w:top="1530" w:right="1440" w:bottom="993" w:left="1440" w:header="708" w:footer="708" w:gutter="0"/>
          <w:cols w:space="708"/>
          <w:docGrid w:linePitch="360"/>
        </w:sectPr>
      </w:pPr>
      <w:r w:rsidRPr="00EB39D0">
        <w:rPr>
          <w:rFonts w:cs="Calibri"/>
        </w:rPr>
        <w:t xml:space="preserve">The growth of online shopping is expected to affect the region’s retail sector, particularly the demand for future retail floor space in urban locations. The plan recommends these trends should be monitored and their impact on land use assessed. </w:t>
      </w:r>
      <w:r w:rsidR="00783E89">
        <w:rPr>
          <w:rFonts w:cs="Calibri"/>
        </w:rPr>
        <w:t xml:space="preserve">Recent </w:t>
      </w:r>
      <w:r w:rsidRPr="00EB39D0">
        <w:rPr>
          <w:rFonts w:cs="Calibri"/>
        </w:rPr>
        <w:t xml:space="preserve">changes to </w:t>
      </w:r>
      <w:r w:rsidR="00783E89">
        <w:rPr>
          <w:rFonts w:cs="Calibri"/>
        </w:rPr>
        <w:t>the commercial (</w:t>
      </w:r>
      <w:r w:rsidRPr="00EB39D0">
        <w:rPr>
          <w:rFonts w:cs="Calibri"/>
        </w:rPr>
        <w:t>business</w:t>
      </w:r>
      <w:r w:rsidR="00783E89">
        <w:rPr>
          <w:rFonts w:cs="Calibri"/>
        </w:rPr>
        <w:t>)</w:t>
      </w:r>
      <w:r w:rsidRPr="00EB39D0">
        <w:rPr>
          <w:rFonts w:cs="Calibri"/>
        </w:rPr>
        <w:t xml:space="preserve"> and industrial zones that allow a wider locational choice for large floor area retailers, small supermarkets and offices may also affect the distribution of land uses and could impact on the viability of central business districts in some urban centres.</w:t>
      </w:r>
      <w:bookmarkStart w:id="266" w:name="_Ref349717333"/>
    </w:p>
    <w:p w:rsidR="00907A9B" w:rsidRDefault="00EC286D" w:rsidP="009F1FBC">
      <w:pPr>
        <w:pStyle w:val="Caption"/>
      </w:pPr>
      <w:bookmarkStart w:id="267" w:name="_Ref364068680"/>
      <w:bookmarkStart w:id="268" w:name="_Toc374612540"/>
      <w:r w:rsidRPr="000F5146">
        <w:lastRenderedPageBreak/>
        <w:t xml:space="preserve">Figure </w:t>
      </w:r>
      <w:r w:rsidR="00827E2D">
        <w:fldChar w:fldCharType="begin"/>
      </w:r>
      <w:r w:rsidR="00827E2D">
        <w:instrText xml:space="preserve"> SEQ Figure \* ARABIC </w:instrText>
      </w:r>
      <w:r w:rsidR="00827E2D">
        <w:fldChar w:fldCharType="separate"/>
      </w:r>
      <w:r w:rsidR="009034D4">
        <w:rPr>
          <w:noProof/>
        </w:rPr>
        <w:t>15</w:t>
      </w:r>
      <w:r w:rsidR="00827E2D">
        <w:rPr>
          <w:noProof/>
        </w:rPr>
        <w:fldChar w:fldCharType="end"/>
      </w:r>
      <w:bookmarkEnd w:id="262"/>
      <w:bookmarkEnd w:id="266"/>
      <w:bookmarkEnd w:id="267"/>
      <w:r w:rsidR="007536C0" w:rsidRPr="000F5146">
        <w:t>: Key enterprises – Hume Regio</w:t>
      </w:r>
      <w:r w:rsidR="00193036" w:rsidRPr="000F5146">
        <w:t>n</w:t>
      </w:r>
      <w:bookmarkEnd w:id="268"/>
    </w:p>
    <w:p w:rsidR="007D1E72" w:rsidRPr="007D1E72" w:rsidRDefault="007D1E72" w:rsidP="007D1E72">
      <w:pPr>
        <w:pStyle w:val="bt"/>
      </w:pPr>
      <w:r>
        <w:t>[</w:t>
      </w:r>
      <w:r w:rsidRPr="007D1E72">
        <w:t>Map showing key enterprises in the Hume Region</w:t>
      </w:r>
      <w:r>
        <w:t>]</w:t>
      </w:r>
    </w:p>
    <w:p w:rsidR="001E6B61" w:rsidRDefault="001E6B61">
      <w:pPr>
        <w:pStyle w:val="Caption"/>
        <w:rPr>
          <w:b/>
          <w:sz w:val="2"/>
          <w:szCs w:val="2"/>
        </w:rPr>
      </w:pPr>
    </w:p>
    <w:p w:rsidR="002E053A" w:rsidRDefault="00EE0F0D" w:rsidP="0061220F">
      <w:pPr>
        <w:pStyle w:val="source"/>
        <w:sectPr w:rsidR="002E053A" w:rsidSect="00BA3E62">
          <w:pgSz w:w="16838" w:h="11906" w:orient="landscape"/>
          <w:pgMar w:top="1440" w:right="1702" w:bottom="993" w:left="993" w:header="708" w:footer="708" w:gutter="0"/>
          <w:cols w:space="708"/>
          <w:docGrid w:linePitch="360"/>
        </w:sectPr>
      </w:pPr>
      <w:r w:rsidRPr="0062610D">
        <w:t xml:space="preserve">Source: </w:t>
      </w:r>
      <w:r w:rsidR="00503EB2">
        <w:t xml:space="preserve">Department of </w:t>
      </w:r>
      <w:r w:rsidR="00D16F50">
        <w:t xml:space="preserve">Transport, </w:t>
      </w:r>
      <w:r w:rsidR="00503EB2">
        <w:t xml:space="preserve">Planning and </w:t>
      </w:r>
      <w:r w:rsidR="00D16F50">
        <w:t>Local Infrastructure</w:t>
      </w:r>
    </w:p>
    <w:p w:rsidR="003A4873" w:rsidRDefault="003A4873" w:rsidP="00A41B2E">
      <w:pPr>
        <w:pStyle w:val="Heading3"/>
        <w:numPr>
          <w:ilvl w:val="2"/>
          <w:numId w:val="13"/>
        </w:numPr>
        <w:tabs>
          <w:tab w:val="clear" w:pos="720"/>
          <w:tab w:val="clear" w:pos="900"/>
        </w:tabs>
        <w:ind w:left="851" w:hanging="851"/>
      </w:pPr>
      <w:bookmarkStart w:id="269" w:name="_Toc355969872"/>
      <w:bookmarkStart w:id="270" w:name="_Toc355970039"/>
      <w:bookmarkStart w:id="271" w:name="_Toc355970288"/>
      <w:bookmarkStart w:id="272" w:name="_Toc355970419"/>
      <w:bookmarkStart w:id="273" w:name="_Toc355970551"/>
      <w:bookmarkStart w:id="274" w:name="_Toc355970688"/>
      <w:bookmarkStart w:id="275" w:name="_Toc355970819"/>
      <w:bookmarkStart w:id="276" w:name="_Toc355970950"/>
      <w:bookmarkStart w:id="277" w:name="_Toc355969873"/>
      <w:bookmarkStart w:id="278" w:name="_Toc355970040"/>
      <w:bookmarkStart w:id="279" w:name="_Toc355970289"/>
      <w:bookmarkStart w:id="280" w:name="_Toc355970420"/>
      <w:bookmarkStart w:id="281" w:name="_Toc355970552"/>
      <w:bookmarkStart w:id="282" w:name="_Toc355970689"/>
      <w:bookmarkStart w:id="283" w:name="_Toc355970820"/>
      <w:bookmarkStart w:id="284" w:name="_Toc355970951"/>
      <w:bookmarkStart w:id="285" w:name="_Toc355969875"/>
      <w:bookmarkStart w:id="286" w:name="_Toc355970042"/>
      <w:bookmarkStart w:id="287" w:name="_Toc355970291"/>
      <w:bookmarkStart w:id="288" w:name="_Toc355970422"/>
      <w:bookmarkStart w:id="289" w:name="_Toc355970554"/>
      <w:bookmarkStart w:id="290" w:name="_Toc355970691"/>
      <w:bookmarkStart w:id="291" w:name="_Toc355970822"/>
      <w:bookmarkStart w:id="292" w:name="_Toc355970953"/>
      <w:bookmarkStart w:id="293" w:name="_Toc355969876"/>
      <w:bookmarkStart w:id="294" w:name="_Toc355970043"/>
      <w:bookmarkStart w:id="295" w:name="_Toc355970292"/>
      <w:bookmarkStart w:id="296" w:name="_Toc355970423"/>
      <w:bookmarkStart w:id="297" w:name="_Toc355970555"/>
      <w:bookmarkStart w:id="298" w:name="_Toc355970692"/>
      <w:bookmarkStart w:id="299" w:name="_Toc355970823"/>
      <w:bookmarkStart w:id="300" w:name="_Toc355970954"/>
      <w:bookmarkStart w:id="301" w:name="_Toc355970824"/>
      <w:bookmarkStart w:id="302" w:name="_Toc359422970"/>
      <w:bookmarkStart w:id="303" w:name="_Toc374612471"/>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lastRenderedPageBreak/>
        <w:t>Employment</w:t>
      </w:r>
      <w:bookmarkEnd w:id="301"/>
      <w:bookmarkEnd w:id="302"/>
      <w:bookmarkEnd w:id="303"/>
    </w:p>
    <w:p w:rsidR="007A143F" w:rsidRDefault="003A4873" w:rsidP="00EB39D0">
      <w:pPr>
        <w:pStyle w:val="bt"/>
        <w:spacing w:after="120"/>
      </w:pPr>
      <w:r w:rsidRPr="003A4873">
        <w:t xml:space="preserve">The </w:t>
      </w:r>
      <w:r w:rsidR="00295A23">
        <w:t>plan</w:t>
      </w:r>
      <w:r w:rsidR="00295A23" w:rsidRPr="003A4873">
        <w:t xml:space="preserve"> </w:t>
      </w:r>
      <w:r w:rsidRPr="003A4873">
        <w:t xml:space="preserve">seeks to ensure there are appropriately located and serviced employment locations sited to take advantage of water, infrastructure, transport and energy connections. It identifies </w:t>
      </w:r>
      <w:r w:rsidR="002343FC">
        <w:t xml:space="preserve">that </w:t>
      </w:r>
      <w:r w:rsidRPr="003A4873">
        <w:t xml:space="preserve">key urban employment locations for the future </w:t>
      </w:r>
      <w:r w:rsidR="002343FC">
        <w:t xml:space="preserve">are </w:t>
      </w:r>
      <w:r w:rsidRPr="003A4873">
        <w:t xml:space="preserve">Shepparton, Wodonga, Wangaratta, Benalla and Seymour. The </w:t>
      </w:r>
      <w:r w:rsidR="00295A23">
        <w:t>plan</w:t>
      </w:r>
      <w:r w:rsidR="00295A23" w:rsidRPr="003A4873">
        <w:t xml:space="preserve"> </w:t>
      </w:r>
      <w:r w:rsidRPr="003A4873">
        <w:t>recognises the location of government functions in regional areas can support employment and economic diversity and that some residents will continue to access jobs outside the region in places such as Albury</w:t>
      </w:r>
      <w:r w:rsidR="0055340F">
        <w:t xml:space="preserve"> (in New South Wales)</w:t>
      </w:r>
      <w:r w:rsidRPr="003A4873">
        <w:t xml:space="preserve"> and Melbourne.</w:t>
      </w:r>
    </w:p>
    <w:p w:rsidR="007A143F" w:rsidRDefault="003A4873">
      <w:pPr>
        <w:pStyle w:val="bt"/>
      </w:pPr>
      <w:r w:rsidRPr="003A4873">
        <w:t xml:space="preserve">The </w:t>
      </w:r>
      <w:r w:rsidR="00295A23">
        <w:t>plan</w:t>
      </w:r>
      <w:r w:rsidR="00295A23" w:rsidRPr="003A4873">
        <w:t xml:space="preserve"> </w:t>
      </w:r>
      <w:r w:rsidR="002343FC">
        <w:t xml:space="preserve">also </w:t>
      </w:r>
      <w:r w:rsidRPr="003A4873">
        <w:t>acknowledges that a capable and available workforce is critical</w:t>
      </w:r>
      <w:r w:rsidR="0055340F">
        <w:t xml:space="preserve"> to the </w:t>
      </w:r>
      <w:r w:rsidR="002343FC">
        <w:t xml:space="preserve">regional </w:t>
      </w:r>
      <w:r w:rsidR="0055340F">
        <w:t>economy. Such a workforce will help</w:t>
      </w:r>
      <w:r w:rsidRPr="003A4873">
        <w:t xml:space="preserve"> to retain and expand the existing economic base</w:t>
      </w:r>
      <w:r w:rsidR="0055340F">
        <w:t xml:space="preserve"> and </w:t>
      </w:r>
      <w:r w:rsidRPr="003A4873">
        <w:t xml:space="preserve">improve the capacity of the region to adjust to changing economic circumstances and embrace new opportunities. The </w:t>
      </w:r>
      <w:r w:rsidR="00295A23">
        <w:t>plan</w:t>
      </w:r>
      <w:r w:rsidR="00295A23" w:rsidRPr="003A4873">
        <w:t xml:space="preserve"> </w:t>
      </w:r>
      <w:r w:rsidRPr="003A4873">
        <w:t>notes that implementation of the Hume Strategy will include preparing a Workforce Development Strategy for the region.</w:t>
      </w:r>
    </w:p>
    <w:p w:rsidR="003A4873" w:rsidRDefault="003A4873" w:rsidP="00A41B2E">
      <w:pPr>
        <w:pStyle w:val="Heading3"/>
        <w:numPr>
          <w:ilvl w:val="2"/>
          <w:numId w:val="13"/>
        </w:numPr>
        <w:tabs>
          <w:tab w:val="clear" w:pos="720"/>
          <w:tab w:val="clear" w:pos="900"/>
        </w:tabs>
        <w:ind w:left="851" w:hanging="851"/>
      </w:pPr>
      <w:bookmarkStart w:id="304" w:name="_Toc355970825"/>
      <w:bookmarkStart w:id="305" w:name="_Toc359422971"/>
      <w:bookmarkStart w:id="306" w:name="_Toc374612472"/>
      <w:r>
        <w:t>Investment</w:t>
      </w:r>
      <w:bookmarkEnd w:id="304"/>
      <w:bookmarkEnd w:id="305"/>
      <w:bookmarkEnd w:id="306"/>
    </w:p>
    <w:p w:rsidR="007A143F" w:rsidRDefault="003A4873" w:rsidP="00EB39D0">
      <w:pPr>
        <w:pStyle w:val="bt"/>
        <w:spacing w:after="120"/>
      </w:pPr>
      <w:r w:rsidRPr="003A4873">
        <w:t xml:space="preserve">The </w:t>
      </w:r>
      <w:r w:rsidR="00295A23">
        <w:t>p</w:t>
      </w:r>
      <w:r w:rsidR="00295A23" w:rsidRPr="003A4873">
        <w:t xml:space="preserve">lan </w:t>
      </w:r>
      <w:r w:rsidRPr="003A4873">
        <w:t xml:space="preserve">lists factors that will </w:t>
      </w:r>
      <w:r w:rsidR="002343FC">
        <w:t xml:space="preserve">help </w:t>
      </w:r>
      <w:r w:rsidRPr="003A4873">
        <w:t xml:space="preserve">attract new investment and increased economic development to the </w:t>
      </w:r>
      <w:r w:rsidR="00295F7D">
        <w:t>r</w:t>
      </w:r>
      <w:r w:rsidRPr="003A4873">
        <w:t>egion as: an adequate supply of land and water; physical and social infrastructure; technology; transport; a skilled workforce; quality education; and affordable housing. This will help build public and private investor</w:t>
      </w:r>
      <w:r w:rsidR="002343FC">
        <w:t xml:space="preserve"> confidence</w:t>
      </w:r>
      <w:r w:rsidRPr="003A4873">
        <w:t>. It considers the region will be an attractive option for a wider workforce due to its liveability and planned investments in educational facilities, information and communications technology</w:t>
      </w:r>
      <w:r w:rsidR="002343FC">
        <w:t>,</w:t>
      </w:r>
      <w:r w:rsidRPr="003A4873">
        <w:t xml:space="preserve"> and improved transport links. </w:t>
      </w:r>
    </w:p>
    <w:p w:rsidR="007A143F" w:rsidRDefault="003A4873">
      <w:pPr>
        <w:pStyle w:val="bt"/>
      </w:pPr>
      <w:r w:rsidRPr="003A4873">
        <w:t xml:space="preserve">The </w:t>
      </w:r>
      <w:r w:rsidR="00295A23">
        <w:t>p</w:t>
      </w:r>
      <w:r w:rsidR="00295A23" w:rsidRPr="003A4873">
        <w:t xml:space="preserve">lan </w:t>
      </w:r>
      <w:r w:rsidRPr="003A4873">
        <w:t>recognises improved communications will attract new enterprises and facilitate alternative working arrangements</w:t>
      </w:r>
      <w:r w:rsidR="0047066B">
        <w:t>,</w:t>
      </w:r>
      <w:r w:rsidRPr="003A4873">
        <w:t xml:space="preserve"> such as ‘telecommuting’ or home-based businesses. Additional infrastructure may be needed to support new opportunities such as generating renewable energy from waste, including green waste from agricultural and timber production. Opportunities may exist in the region to co-locate industries to maximise resource use efficiency and minimise waste generation and treatment costs.</w:t>
      </w:r>
    </w:p>
    <w:p w:rsidR="007A143F" w:rsidRDefault="002343FC">
      <w:pPr>
        <w:pStyle w:val="bt"/>
      </w:pPr>
      <w:r>
        <w:t>P</w:t>
      </w:r>
      <w:r w:rsidRPr="003A4873">
        <w:t>art of the implementation of the Hume Strategy</w:t>
      </w:r>
      <w:r>
        <w:t>,</w:t>
      </w:r>
      <w:r w:rsidRPr="003A4873" w:rsidDel="002343FC">
        <w:t xml:space="preserve"> </w:t>
      </w:r>
      <w:r w:rsidR="003E5C44" w:rsidRPr="00B44623">
        <w:rPr>
          <w:rStyle w:val="Emphasis"/>
          <w:i w:val="0"/>
        </w:rPr>
        <w:t>Digital Hume</w:t>
      </w:r>
      <w:r w:rsidRPr="00B44623">
        <w:rPr>
          <w:rStyle w:val="Emphasis"/>
          <w:i w:val="0"/>
        </w:rPr>
        <w:t xml:space="preserve"> –</w:t>
      </w:r>
      <w:r w:rsidR="003E5C44" w:rsidRPr="00B44623">
        <w:rPr>
          <w:rStyle w:val="Emphasis"/>
          <w:i w:val="0"/>
        </w:rPr>
        <w:t xml:space="preserve"> a strategy for a smart region</w:t>
      </w:r>
      <w:r w:rsidR="003A4873" w:rsidRPr="003A4873">
        <w:t xml:space="preserve"> is identifying supply gaps and potential ways to fill them.</w:t>
      </w:r>
    </w:p>
    <w:p w:rsidR="00B32E62" w:rsidRDefault="00B32E62" w:rsidP="00A41B2E">
      <w:pPr>
        <w:pStyle w:val="Heading3"/>
        <w:numPr>
          <w:ilvl w:val="2"/>
          <w:numId w:val="13"/>
        </w:numPr>
        <w:tabs>
          <w:tab w:val="clear" w:pos="720"/>
          <w:tab w:val="clear" w:pos="900"/>
        </w:tabs>
        <w:ind w:left="851" w:hanging="851"/>
      </w:pPr>
      <w:bookmarkStart w:id="307" w:name="_Toc355970826"/>
      <w:bookmarkStart w:id="308" w:name="_Toc359422972"/>
      <w:bookmarkStart w:id="309" w:name="_Toc374612473"/>
      <w:r>
        <w:t xml:space="preserve">Tourism and </w:t>
      </w:r>
      <w:r w:rsidR="002343FC">
        <w:t>e</w:t>
      </w:r>
      <w:r>
        <w:t xml:space="preserve">nvironmental </w:t>
      </w:r>
      <w:r w:rsidR="002343FC">
        <w:t>a</w:t>
      </w:r>
      <w:r>
        <w:t>ssets</w:t>
      </w:r>
      <w:bookmarkEnd w:id="307"/>
      <w:bookmarkEnd w:id="308"/>
      <w:bookmarkEnd w:id="309"/>
    </w:p>
    <w:p w:rsidR="00183DCB" w:rsidRDefault="00B32E62" w:rsidP="00EB39D0">
      <w:pPr>
        <w:pStyle w:val="bt"/>
        <w:spacing w:after="120"/>
      </w:pPr>
      <w:r w:rsidRPr="00B32E62">
        <w:t xml:space="preserve">The </w:t>
      </w:r>
      <w:r w:rsidR="00295A23">
        <w:t>p</w:t>
      </w:r>
      <w:r w:rsidR="00295A23" w:rsidRPr="00B32E62">
        <w:t xml:space="preserve">lan </w:t>
      </w:r>
      <w:r w:rsidRPr="00B32E62">
        <w:t xml:space="preserve">recognises that tourism has significant </w:t>
      </w:r>
      <w:r w:rsidR="002343FC">
        <w:t xml:space="preserve">growth </w:t>
      </w:r>
      <w:r w:rsidRPr="00B32E62">
        <w:t>potential in the Hume Region. The region will continue to offer tourist attractions such as food and wine, snow and other nature-based experiences, long distance cycling</w:t>
      </w:r>
      <w:r w:rsidR="0028065D">
        <w:t>,</w:t>
      </w:r>
      <w:r w:rsidRPr="00B32E62">
        <w:t xml:space="preserve"> unique cultural heritage</w:t>
      </w:r>
      <w:r w:rsidR="0028065D">
        <w:t xml:space="preserve"> and national touring routes</w:t>
      </w:r>
      <w:r w:rsidR="00E00235">
        <w:t xml:space="preserve">; </w:t>
      </w:r>
      <w:r w:rsidR="0028065D">
        <w:t>including the Sydney Melbourne Heritage Drive and Touring the Murray route</w:t>
      </w:r>
      <w:r w:rsidRPr="00B32E62">
        <w:t>.</w:t>
      </w:r>
      <w:r w:rsidR="00FF2569" w:rsidRPr="00FF2569">
        <w:t xml:space="preserve"> Other major tourist routes in the region include the Great Alpine Road and Yarra Valley to High Country Touring Route.</w:t>
      </w:r>
    </w:p>
    <w:p w:rsidR="007A143F" w:rsidRDefault="00B32E62" w:rsidP="00EB39D0">
      <w:pPr>
        <w:pStyle w:val="bt"/>
        <w:spacing w:after="120"/>
      </w:pPr>
      <w:r w:rsidRPr="00B32E62">
        <w:t xml:space="preserve">Environmental assets such as alpine areas, public land, water bodies and landscapes contribute to the economy of the region by attracting visitors and new residents. The </w:t>
      </w:r>
      <w:r w:rsidR="00295A23">
        <w:t>p</w:t>
      </w:r>
      <w:r w:rsidR="00295A23" w:rsidRPr="00B32E62">
        <w:t xml:space="preserve">lan </w:t>
      </w:r>
      <w:r w:rsidRPr="00B32E62">
        <w:t xml:space="preserve">states </w:t>
      </w:r>
      <w:r w:rsidR="002343FC">
        <w:t xml:space="preserve">these </w:t>
      </w:r>
      <w:r w:rsidRPr="00B32E62">
        <w:t xml:space="preserve">will continue to be recognised as important economic contributors, as well as for their intrinsic values. Protecting, maintaining and enhancing these assets will help build a more diverse economy. </w:t>
      </w:r>
    </w:p>
    <w:p w:rsidR="007A143F" w:rsidRDefault="00B32E62" w:rsidP="00EB39D0">
      <w:pPr>
        <w:pStyle w:val="bt"/>
        <w:spacing w:after="120"/>
      </w:pPr>
      <w:r w:rsidRPr="00B32E62">
        <w:t xml:space="preserve">The </w:t>
      </w:r>
      <w:r w:rsidR="00295A23">
        <w:t>p</w:t>
      </w:r>
      <w:r w:rsidR="00295A23" w:rsidRPr="00B32E62">
        <w:t xml:space="preserve">lan </w:t>
      </w:r>
      <w:r w:rsidRPr="00B32E62">
        <w:t xml:space="preserve">supports nature-based </w:t>
      </w:r>
      <w:r w:rsidR="0028065D">
        <w:t xml:space="preserve">and cultural heritage </w:t>
      </w:r>
      <w:r w:rsidRPr="00B32E62">
        <w:t xml:space="preserve">tourism that takes advantage of environmental </w:t>
      </w:r>
      <w:r w:rsidR="0028065D">
        <w:t xml:space="preserve">and heritage </w:t>
      </w:r>
      <w:r w:rsidRPr="00B32E62">
        <w:t>assets without compromising their values. This includes appropriate private sector investment on public land</w:t>
      </w:r>
      <w:r w:rsidR="00CF1704">
        <w:t xml:space="preserve">, </w:t>
      </w:r>
      <w:r w:rsidR="009207A2">
        <w:t>considering the new Victorian Government guidelines relating to tourism development in National Parks</w:t>
      </w:r>
      <w:r w:rsidRPr="00B32E62">
        <w:t xml:space="preserve">, which could contribute to diversifying the tourism products offered in alpine areas where snow-related tourism may be affected by climate change. </w:t>
      </w:r>
      <w:r w:rsidR="006D0739">
        <w:t>The</w:t>
      </w:r>
      <w:r w:rsidR="00435B7A">
        <w:t xml:space="preserve"> five </w:t>
      </w:r>
      <w:r w:rsidR="002343FC">
        <w:t>a</w:t>
      </w:r>
      <w:r w:rsidR="00435B7A" w:rsidRPr="00B32E62">
        <w:t xml:space="preserve">lpine </w:t>
      </w:r>
      <w:r w:rsidR="002343FC">
        <w:t>r</w:t>
      </w:r>
      <w:r w:rsidR="00435B7A" w:rsidRPr="00B32E62">
        <w:t xml:space="preserve">esorts located in the </w:t>
      </w:r>
      <w:r w:rsidR="00295A23">
        <w:t>r</w:t>
      </w:r>
      <w:r w:rsidR="00435B7A" w:rsidRPr="00B32E62">
        <w:t xml:space="preserve">egion </w:t>
      </w:r>
      <w:r w:rsidRPr="00B32E62">
        <w:t>are focusing on ‘all season’ strategies to strengthen economic growth. Falls Creek is working towards developing world</w:t>
      </w:r>
      <w:r w:rsidR="00743A2B">
        <w:t xml:space="preserve"> </w:t>
      </w:r>
      <w:r w:rsidRPr="00B32E62">
        <w:t xml:space="preserve">class altitude training facilities, which will provide international, national, state and regional benefits. Cycling has </w:t>
      </w:r>
      <w:r w:rsidRPr="00B32E62">
        <w:lastRenderedPageBreak/>
        <w:t>been identified as a core platform for growth in the region and will contribute to the range of summer activities offered.</w:t>
      </w:r>
      <w:r w:rsidR="008D5226">
        <w:t xml:space="preserve"> </w:t>
      </w:r>
      <w:r w:rsidR="008D5226" w:rsidRPr="008D5226">
        <w:t>Locations in close proximity to alpine resorts,</w:t>
      </w:r>
      <w:r w:rsidR="008D5226">
        <w:t xml:space="preserve"> such as t</w:t>
      </w:r>
      <w:r w:rsidR="00BE6A8F">
        <w:t xml:space="preserve">hose at the base of snowfields, </w:t>
      </w:r>
      <w:r w:rsidR="008D5226">
        <w:t xml:space="preserve">in areas such as </w:t>
      </w:r>
      <w:r w:rsidR="00AE035F">
        <w:t>Alpine,</w:t>
      </w:r>
      <w:r w:rsidR="008D5226">
        <w:t xml:space="preserve"> M</w:t>
      </w:r>
      <w:r w:rsidR="00BE6A8F">
        <w:t>ansfield and Murrindindi shires,</w:t>
      </w:r>
      <w:r w:rsidR="008D5226">
        <w:t xml:space="preserve"> </w:t>
      </w:r>
      <w:r w:rsidR="008D5226" w:rsidRPr="008D5226">
        <w:t>support tourism activities at resorts by offering accommodation and alternative activities.</w:t>
      </w:r>
    </w:p>
    <w:p w:rsidR="007A143F" w:rsidRDefault="00B32E62" w:rsidP="00EB39D0">
      <w:pPr>
        <w:pStyle w:val="bt"/>
        <w:spacing w:after="120"/>
      </w:pPr>
      <w:r w:rsidRPr="00B32E62">
        <w:t>Lakes such as Hume, Eildon and Dartmouth have potential for further development as visitor destinations, particularly for water-based activities including recreational fishing. Opportunities also exist to enhance nature-based tourism associated with rivers and wetlands, including the Barmah Forest, the lower Ovens River and the restoration of the Winton Wetlands.</w:t>
      </w:r>
    </w:p>
    <w:p w:rsidR="007A143F" w:rsidRDefault="00B32E62" w:rsidP="00EB39D0">
      <w:pPr>
        <w:pStyle w:val="bt"/>
        <w:spacing w:after="120"/>
      </w:pPr>
      <w:r w:rsidRPr="00B32E62">
        <w:t>There could be benefits in undertaking an accommodation study, building on previous work in the region. This project could identify gaps in the regional accommodation market, recommend how these gaps might be filled and identify locations that are potentially suitable for development of new accommodation options.</w:t>
      </w:r>
    </w:p>
    <w:p w:rsidR="007A143F" w:rsidRDefault="00B32E62" w:rsidP="00EB39D0">
      <w:pPr>
        <w:pStyle w:val="bt"/>
        <w:spacing w:after="120"/>
      </w:pPr>
      <w:r w:rsidRPr="00B32E62">
        <w:t xml:space="preserve">Tracks and trails, including rail trails, will continue to offer recreation and tourism experiences in the region that encourage visitors to extend their stay, thereby delivering social and economic benefits to the region. The proposed </w:t>
      </w:r>
      <w:r w:rsidR="003E5C44" w:rsidRPr="003E5C44">
        <w:t>Hume Region Significant Tracks and Trails Strategy</w:t>
      </w:r>
      <w:r w:rsidRPr="000C2159">
        <w:t xml:space="preserve"> a</w:t>
      </w:r>
      <w:r w:rsidRPr="00B32E62">
        <w:t>ims to establish a detailed strategic plan for the further development of existing and proposed regionally significant tracks and trails. It will consider development of land uses supporting these tracks an</w:t>
      </w:r>
      <w:r w:rsidR="00743A2B">
        <w:t xml:space="preserve">d trails, such as accommodation, </w:t>
      </w:r>
      <w:r w:rsidRPr="00B32E62">
        <w:t xml:space="preserve">complementary infrastructure </w:t>
      </w:r>
      <w:r w:rsidR="0055340F">
        <w:t>and</w:t>
      </w:r>
      <w:r w:rsidRPr="00B32E62">
        <w:t xml:space="preserve"> services</w:t>
      </w:r>
      <w:r w:rsidR="00743A2B">
        <w:t>,</w:t>
      </w:r>
      <w:r w:rsidRPr="00B32E62">
        <w:t xml:space="preserve"> such as tourism precincts, facilities and transport.</w:t>
      </w:r>
    </w:p>
    <w:p w:rsidR="007A143F" w:rsidRDefault="00B32E62" w:rsidP="00EB39D0">
      <w:pPr>
        <w:pStyle w:val="bt"/>
        <w:spacing w:after="120"/>
      </w:pPr>
      <w:r w:rsidRPr="00B32E62">
        <w:t xml:space="preserve">The </w:t>
      </w:r>
      <w:r w:rsidR="00295A23">
        <w:t>plan</w:t>
      </w:r>
      <w:r w:rsidR="00295A23" w:rsidRPr="00B32E62">
        <w:t xml:space="preserve"> </w:t>
      </w:r>
      <w:r w:rsidRPr="00B32E62">
        <w:t>acknowledges it is desirable to increase the range of high quality and diverse accommodation</w:t>
      </w:r>
      <w:r w:rsidR="00743A2B">
        <w:t>,</w:t>
      </w:r>
      <w:r w:rsidRPr="00B32E62">
        <w:t xml:space="preserve"> both at destinations and at gateways or stop-over locations such as in Mansfield and Murrindindi </w:t>
      </w:r>
      <w:r w:rsidR="000C2159">
        <w:t>s</w:t>
      </w:r>
      <w:r w:rsidRPr="00B32E62">
        <w:t xml:space="preserve">hires. Different types of accommodation may be needed in urban and rural localities. </w:t>
      </w:r>
    </w:p>
    <w:p w:rsidR="007A143F" w:rsidRDefault="00B32E62">
      <w:pPr>
        <w:pStyle w:val="bt"/>
      </w:pPr>
      <w:r w:rsidRPr="00B32E62">
        <w:t xml:space="preserve">Directions included in the </w:t>
      </w:r>
      <w:r w:rsidR="00295A23">
        <w:t>p</w:t>
      </w:r>
      <w:r w:rsidR="00295A23" w:rsidRPr="00B32E62">
        <w:t xml:space="preserve">lan </w:t>
      </w:r>
      <w:r w:rsidR="000C2159">
        <w:t xml:space="preserve">state </w:t>
      </w:r>
      <w:r w:rsidRPr="00B32E62">
        <w:t xml:space="preserve">that decisions on regional economic growth and diversification </w:t>
      </w:r>
      <w:r w:rsidR="000C2159">
        <w:t xml:space="preserve">should </w:t>
      </w:r>
      <w:r w:rsidRPr="00B32E62">
        <w:t>consider the natural environment and liveability of the region.</w:t>
      </w:r>
    </w:p>
    <w:p w:rsidR="00B32E62" w:rsidRDefault="00B32E62" w:rsidP="00A41B2E">
      <w:pPr>
        <w:pStyle w:val="Heading3"/>
        <w:numPr>
          <w:ilvl w:val="2"/>
          <w:numId w:val="13"/>
        </w:numPr>
        <w:tabs>
          <w:tab w:val="clear" w:pos="720"/>
          <w:tab w:val="clear" w:pos="900"/>
        </w:tabs>
        <w:ind w:left="851" w:hanging="851"/>
      </w:pPr>
      <w:bookmarkStart w:id="310" w:name="_Toc355970827"/>
      <w:bookmarkStart w:id="311" w:name="_Toc359422973"/>
      <w:bookmarkStart w:id="312" w:name="_Toc374612474"/>
      <w:r>
        <w:t>Agriculture</w:t>
      </w:r>
      <w:bookmarkEnd w:id="310"/>
      <w:bookmarkEnd w:id="311"/>
      <w:bookmarkEnd w:id="312"/>
    </w:p>
    <w:p w:rsidR="00BE6A8F" w:rsidRDefault="00B32E62">
      <w:pPr>
        <w:pStyle w:val="bt"/>
      </w:pPr>
      <w:r w:rsidRPr="00B32E62">
        <w:t xml:space="preserve">The </w:t>
      </w:r>
      <w:r w:rsidR="00295A23">
        <w:t>p</w:t>
      </w:r>
      <w:r w:rsidR="00295A23" w:rsidRPr="00B32E62">
        <w:t xml:space="preserve">lan </w:t>
      </w:r>
      <w:r w:rsidR="006D0739">
        <w:t xml:space="preserve">aims to </w:t>
      </w:r>
      <w:r w:rsidR="00B32528">
        <w:t xml:space="preserve">position </w:t>
      </w:r>
      <w:r w:rsidRPr="00B32E62">
        <w:t xml:space="preserve">the </w:t>
      </w:r>
      <w:r w:rsidR="00B32528">
        <w:t xml:space="preserve">Hume </w:t>
      </w:r>
      <w:r w:rsidR="006D0739">
        <w:t>R</w:t>
      </w:r>
      <w:r w:rsidRPr="00B32E62">
        <w:t>egion to continue to be one of Australi</w:t>
      </w:r>
      <w:r w:rsidR="00743A2B">
        <w:t xml:space="preserve">a’s major food production areas </w:t>
      </w:r>
      <w:r w:rsidRPr="00B32E62">
        <w:t>by protecting and enhancing key agricultural assets</w:t>
      </w:r>
      <w:r w:rsidR="00743A2B">
        <w:t>,</w:t>
      </w:r>
      <w:r w:rsidRPr="00B32E62">
        <w:t xml:space="preserve"> such as land and water resources. These strategic resources underpin production of </w:t>
      </w:r>
      <w:r w:rsidR="00225E0F">
        <w:t>a</w:t>
      </w:r>
      <w:r w:rsidRPr="00B32E62">
        <w:t xml:space="preserve"> diverse range of agricultural commodities that will contribute substantially to the region’s economic future. They will support a resilient agricultural sector and enhance its capacity to adapt to future economic and climatic changes. </w:t>
      </w:r>
    </w:p>
    <w:p w:rsidR="007A143F" w:rsidRDefault="00B32E62">
      <w:pPr>
        <w:pStyle w:val="bt"/>
      </w:pPr>
      <w:r w:rsidRPr="00B32E62">
        <w:t xml:space="preserve">Strategic farmland has been identified (see section </w:t>
      </w:r>
      <w:r w:rsidR="002C7FEF">
        <w:t>9</w:t>
      </w:r>
      <w:r w:rsidR="00295A23">
        <w:t xml:space="preserve"> of th</w:t>
      </w:r>
      <w:r w:rsidR="005C0406">
        <w:t>is</w:t>
      </w:r>
      <w:r w:rsidR="00295A23">
        <w:t xml:space="preserve"> Paper</w:t>
      </w:r>
      <w:r w:rsidRPr="00B32E62">
        <w:t xml:space="preserve">) and the </w:t>
      </w:r>
      <w:r w:rsidR="00295A23">
        <w:t>p</w:t>
      </w:r>
      <w:r w:rsidR="00295A23" w:rsidRPr="00B32E62">
        <w:t xml:space="preserve">lan </w:t>
      </w:r>
      <w:r w:rsidRPr="00B32E62">
        <w:t xml:space="preserve">contains measures to protect it. Irrigation modernisation and increased on-farm efficiency will help make the best use of valuable water resources. Agricultural production is expected to become more intensive in the future. The </w:t>
      </w:r>
      <w:r w:rsidR="00295A23">
        <w:t>p</w:t>
      </w:r>
      <w:r w:rsidRPr="00B32E62">
        <w:t xml:space="preserve">lan encourages </w:t>
      </w:r>
      <w:r w:rsidR="00225E0F">
        <w:t xml:space="preserve">investigation </w:t>
      </w:r>
      <w:r w:rsidRPr="00B32E62">
        <w:t xml:space="preserve">of </w:t>
      </w:r>
      <w:r w:rsidR="00225E0F">
        <w:t xml:space="preserve">new </w:t>
      </w:r>
      <w:r w:rsidRPr="00B32E62">
        <w:t xml:space="preserve">opportunities </w:t>
      </w:r>
      <w:r w:rsidR="00225E0F">
        <w:t xml:space="preserve">to </w:t>
      </w:r>
      <w:r w:rsidRPr="00B32E62">
        <w:t>establish intensive agricultural clusters in strategic locations, supported by ancillary infrastructure. It also recognises that new agricultural opportunities may emerge in the region over time including new commodities, technological changes and emerging industries, such as carbon markets.</w:t>
      </w:r>
    </w:p>
    <w:p w:rsidR="00B32E62" w:rsidRDefault="00B32E62" w:rsidP="00A41B2E">
      <w:pPr>
        <w:pStyle w:val="Heading3"/>
        <w:numPr>
          <w:ilvl w:val="2"/>
          <w:numId w:val="13"/>
        </w:numPr>
        <w:tabs>
          <w:tab w:val="clear" w:pos="720"/>
          <w:tab w:val="clear" w:pos="900"/>
        </w:tabs>
        <w:ind w:left="851" w:hanging="851"/>
      </w:pPr>
      <w:bookmarkStart w:id="313" w:name="_Toc355970828"/>
      <w:bookmarkStart w:id="314" w:name="_Toc359422974"/>
      <w:bookmarkStart w:id="315" w:name="_Toc374612475"/>
      <w:r>
        <w:t>Transport</w:t>
      </w:r>
      <w:bookmarkEnd w:id="313"/>
      <w:bookmarkEnd w:id="314"/>
      <w:bookmarkEnd w:id="315"/>
    </w:p>
    <w:p w:rsidR="007A143F" w:rsidRDefault="00B32E62">
      <w:pPr>
        <w:pStyle w:val="bt"/>
      </w:pPr>
      <w:r w:rsidRPr="00B32E62">
        <w:t xml:space="preserve">The </w:t>
      </w:r>
      <w:r w:rsidR="00295A23">
        <w:t>p</w:t>
      </w:r>
      <w:r w:rsidR="00295A23" w:rsidRPr="00B32E62">
        <w:t xml:space="preserve">lan </w:t>
      </w:r>
      <w:r w:rsidRPr="00B32E62">
        <w:t xml:space="preserve">seeks to assist the </w:t>
      </w:r>
      <w:r w:rsidR="00295A23">
        <w:t>r</w:t>
      </w:r>
      <w:r w:rsidRPr="00B32E62">
        <w:t xml:space="preserve">egion to capitalise on its national transport links and optimise passenger and freight transport to support the regional economy. A key part of ensuring the best use is made of strategic transport assets is to continue to develop the existing LOGIC freight activity centre in Wodonga, establish a consolidated freight and logistics precinct south of Mooroopna (GV Link) and explore opportunities to develop the Mangalore </w:t>
      </w:r>
      <w:r w:rsidR="00225E0F">
        <w:t>A</w:t>
      </w:r>
      <w:r w:rsidRPr="00B32E62">
        <w:t>irport as a future freight logistics precinct linking road, rail and air transport and providing pilot training facilities.</w:t>
      </w:r>
    </w:p>
    <w:p w:rsidR="00B32E62" w:rsidRDefault="00B32E62" w:rsidP="00A41B2E">
      <w:pPr>
        <w:pStyle w:val="Heading3"/>
        <w:numPr>
          <w:ilvl w:val="2"/>
          <w:numId w:val="13"/>
        </w:numPr>
        <w:tabs>
          <w:tab w:val="clear" w:pos="720"/>
          <w:tab w:val="clear" w:pos="900"/>
        </w:tabs>
        <w:ind w:left="851" w:hanging="851"/>
      </w:pPr>
      <w:bookmarkStart w:id="316" w:name="_Toc355970829"/>
      <w:bookmarkStart w:id="317" w:name="_Toc359422975"/>
      <w:bookmarkStart w:id="318" w:name="_Toc374612476"/>
      <w:r>
        <w:lastRenderedPageBreak/>
        <w:t xml:space="preserve">New </w:t>
      </w:r>
      <w:r w:rsidR="000C2159">
        <w:t>i</w:t>
      </w:r>
      <w:r>
        <w:t xml:space="preserve">ndustry and </w:t>
      </w:r>
      <w:r w:rsidR="000C2159">
        <w:t>m</w:t>
      </w:r>
      <w:r>
        <w:t>ining</w:t>
      </w:r>
      <w:bookmarkEnd w:id="316"/>
      <w:bookmarkEnd w:id="317"/>
      <w:bookmarkEnd w:id="318"/>
    </w:p>
    <w:p w:rsidR="00BE6A8F" w:rsidRDefault="00B32E62" w:rsidP="00EB39D0">
      <w:pPr>
        <w:pStyle w:val="bt"/>
        <w:spacing w:after="120"/>
      </w:pPr>
      <w:r w:rsidRPr="00B32E62">
        <w:t xml:space="preserve">The </w:t>
      </w:r>
      <w:r w:rsidR="00295A23">
        <w:t>p</w:t>
      </w:r>
      <w:r w:rsidR="00295A23" w:rsidRPr="00B32E62">
        <w:t xml:space="preserve">lan </w:t>
      </w:r>
      <w:r w:rsidRPr="00B32E62">
        <w:t xml:space="preserve">encourages exploration and take-up of opportunities to develop new industries, including renewable energy generation and carbon sequestration that respond to </w:t>
      </w:r>
      <w:r w:rsidR="00050045" w:rsidRPr="00050045">
        <w:t>initiatives that support action to reduce greenhouse gas emissions</w:t>
      </w:r>
      <w:r w:rsidR="00CF1704">
        <w:t xml:space="preserve">, </w:t>
      </w:r>
      <w:r w:rsidR="00050045" w:rsidRPr="00050045">
        <w:t>such as a price or a tax on carbon</w:t>
      </w:r>
      <w:r w:rsidRPr="00B32E62">
        <w:t xml:space="preserve">. Such developments will assist in meeting the </w:t>
      </w:r>
      <w:r w:rsidR="00225E0F">
        <w:t xml:space="preserve">Hume </w:t>
      </w:r>
      <w:r w:rsidR="006D0739">
        <w:t>R</w:t>
      </w:r>
      <w:r w:rsidRPr="00B32E62">
        <w:t xml:space="preserve">egion’s future energy demands, which are driven by hot summers and cold winters, long distance commuting and the energy needs of large industries. Rising electricity costs, the high price of bottled liquefied petroleum gas and the limited extent of reticulated gas supplies are all factors expected to influence future energy consumption. </w:t>
      </w:r>
    </w:p>
    <w:p w:rsidR="007A143F" w:rsidRDefault="00B32E62" w:rsidP="00EB39D0">
      <w:pPr>
        <w:pStyle w:val="bt"/>
        <w:spacing w:after="120"/>
      </w:pPr>
      <w:r w:rsidRPr="00B32E62">
        <w:t>Developing alternative energy sources</w:t>
      </w:r>
      <w:r w:rsidR="00095662">
        <w:t>,</w:t>
      </w:r>
      <w:r w:rsidRPr="00B32E62">
        <w:t xml:space="preserve"> such as solar, wind, geothermal, bioenergy and biofuels will contribute to securing a sustainable energy future for the region. The </w:t>
      </w:r>
      <w:r w:rsidR="001F77F4">
        <w:t>p</w:t>
      </w:r>
      <w:r w:rsidRPr="00B32E62">
        <w:t>lan recognises that opportunities have been identified for sustainable electricity generation in close proximity to existing electricity distribution infrastructure, but that the economic viability of these proposals is still to be tested.</w:t>
      </w:r>
    </w:p>
    <w:p w:rsidR="007A143F" w:rsidRDefault="00B32E62" w:rsidP="00EB39D0">
      <w:pPr>
        <w:pStyle w:val="bt"/>
        <w:spacing w:after="120"/>
      </w:pPr>
      <w:r w:rsidRPr="00B32E62">
        <w:t xml:space="preserve">In the waste management </w:t>
      </w:r>
      <w:r w:rsidR="00D16F50" w:rsidRPr="00D16F50">
        <w:t xml:space="preserve">and resource recovery </w:t>
      </w:r>
      <w:r w:rsidRPr="00B32E62">
        <w:t xml:space="preserve">sector, the </w:t>
      </w:r>
      <w:r w:rsidR="001F77F4">
        <w:t>p</w:t>
      </w:r>
      <w:r w:rsidRPr="00B32E62">
        <w:t>lan supports development of alternative technologies for treatment of solid waste, including composting, recycling and reuse. These can provide opportunities for new businesses as well as local solutions for waste disposal. This is particularly relevant in areas where solid waste is generated, specifically around towns with significant industries and near clusters of intensive animal industries.</w:t>
      </w:r>
    </w:p>
    <w:p w:rsidR="00BE6A8F" w:rsidRDefault="0055340F">
      <w:pPr>
        <w:pStyle w:val="bt"/>
      </w:pPr>
      <w:r>
        <w:t xml:space="preserve">The </w:t>
      </w:r>
      <w:r w:rsidR="001F77F4">
        <w:t>p</w:t>
      </w:r>
      <w:r w:rsidR="00B32E62" w:rsidRPr="00B32E62">
        <w:t xml:space="preserve">lan recognises that mining and extractive industries contribute to a more diverse regional economy and that there are opportunities to develop new mines and quarries. In the </w:t>
      </w:r>
      <w:r w:rsidR="001F77F4">
        <w:t>r</w:t>
      </w:r>
      <w:r w:rsidR="00B32E62" w:rsidRPr="00B32E62">
        <w:t xml:space="preserve">egion these include the proposed molybdenum mine near Corryong. Exploration activities in parts of the region, for example, for iron ore in the Goulburn Valley, may lead to future mining opportunities. However, the </w:t>
      </w:r>
      <w:r w:rsidR="001F77F4">
        <w:t>p</w:t>
      </w:r>
      <w:r w:rsidR="00B32E62" w:rsidRPr="00B32E62">
        <w:t>lan also acknowledges that past mining activities in the region have degraded substantial areas of alluvial soils. It stresses that evaluation of proposals for future mining activities will need to consider their impacts on agricultural productivity and the region’s environmental assets</w:t>
      </w:r>
      <w:r w:rsidR="00920C5B">
        <w:t xml:space="preserve"> </w:t>
      </w:r>
      <w:r w:rsidR="00920C5B" w:rsidRPr="00920C5B">
        <w:t>in line with planning policy and legislation</w:t>
      </w:r>
      <w:r w:rsidR="00B32E62" w:rsidRPr="00B32E62">
        <w:t>.</w:t>
      </w:r>
      <w:r w:rsidR="009116ED">
        <w:t xml:space="preserve"> </w:t>
      </w:r>
    </w:p>
    <w:p w:rsidR="007A143F" w:rsidRPr="00EE0F0D" w:rsidRDefault="009116ED">
      <w:pPr>
        <w:pStyle w:val="bt"/>
      </w:pPr>
      <w:r>
        <w:t>A</w:t>
      </w:r>
      <w:r w:rsidR="009C30D9">
        <w:t xml:space="preserve"> </w:t>
      </w:r>
      <w:r w:rsidR="00AB7777">
        <w:t>locally available</w:t>
      </w:r>
      <w:r w:rsidRPr="009116ED">
        <w:t xml:space="preserve"> supply of earth resources, including heavy construction materials, will support settlement growth, economic development and the provision of cost effective infrastructure. </w:t>
      </w:r>
      <w:r>
        <w:t>The plan recognises that f</w:t>
      </w:r>
      <w:r w:rsidRPr="009116ED">
        <w:t>urther support may be needed to consider measures to facilitate and manage their extraction</w:t>
      </w:r>
      <w:r>
        <w:t>.</w:t>
      </w:r>
    </w:p>
    <w:p w:rsidR="007A143F" w:rsidRDefault="00D04161">
      <w:pPr>
        <w:pStyle w:val="Heading11"/>
      </w:pPr>
      <w:bookmarkStart w:id="319" w:name="_Toc355970830"/>
      <w:bookmarkStart w:id="320" w:name="_Toc359422976"/>
      <w:bookmarkStart w:id="321" w:name="_Toc374612477"/>
      <w:r w:rsidRPr="00B948A1">
        <w:t xml:space="preserve">Environment and </w:t>
      </w:r>
      <w:r w:rsidR="002343FC" w:rsidRPr="00B948A1">
        <w:t>h</w:t>
      </w:r>
      <w:r w:rsidR="00DA722B" w:rsidRPr="00DA722B">
        <w:t>eritage</w:t>
      </w:r>
      <w:bookmarkEnd w:id="319"/>
      <w:bookmarkEnd w:id="320"/>
      <w:bookmarkEnd w:id="321"/>
    </w:p>
    <w:p w:rsidR="007A143F" w:rsidRDefault="00DA722B" w:rsidP="00A41B2E">
      <w:pPr>
        <w:pStyle w:val="Heading2"/>
        <w:numPr>
          <w:ilvl w:val="1"/>
          <w:numId w:val="22"/>
        </w:numPr>
        <w:tabs>
          <w:tab w:val="clear" w:pos="396"/>
        </w:tabs>
        <w:ind w:left="567"/>
      </w:pPr>
      <w:bookmarkStart w:id="322" w:name="_Toc355970831"/>
      <w:bookmarkStart w:id="323" w:name="_Toc359422977"/>
      <w:bookmarkStart w:id="324" w:name="_Toc374612478"/>
      <w:r w:rsidRPr="00DA722B">
        <w:t>Overview</w:t>
      </w:r>
      <w:bookmarkEnd w:id="322"/>
      <w:bookmarkEnd w:id="323"/>
      <w:bookmarkEnd w:id="324"/>
    </w:p>
    <w:p w:rsidR="007A143F" w:rsidRDefault="0079399B" w:rsidP="00EB39D0">
      <w:pPr>
        <w:pStyle w:val="bt"/>
        <w:spacing w:after="120"/>
      </w:pPr>
      <w:r w:rsidRPr="0079399B">
        <w:t xml:space="preserve">The Hume Region’s high value environmental assets include snow covered alpine areas, lush river valleys, forests and woodlands, granite outcrops, and </w:t>
      </w:r>
      <w:r w:rsidR="00C916D6">
        <w:t>r</w:t>
      </w:r>
      <w:r w:rsidRPr="0079399B">
        <w:t xml:space="preserve">iver red gum floodplains. The region has significant landscapes such as the Australian Alps, Great Dividing Range and Murray River corridor. </w:t>
      </w:r>
      <w:r w:rsidR="00BD4D89">
        <w:t>Cultural l</w:t>
      </w:r>
      <w:r w:rsidRPr="0079399B">
        <w:t xml:space="preserve">andscapes are important for their </w:t>
      </w:r>
      <w:r w:rsidR="00BD4D89">
        <w:t>aesthetic (including scenic)</w:t>
      </w:r>
      <w:r w:rsidRPr="0079399B">
        <w:t>, historic,</w:t>
      </w:r>
      <w:r w:rsidR="00CF74F6">
        <w:t xml:space="preserve"> scientific, social, archaeological and</w:t>
      </w:r>
      <w:r w:rsidRPr="0079399B">
        <w:t xml:space="preserve"> environmental values</w:t>
      </w:r>
      <w:r w:rsidR="00CF74F6">
        <w:t>.</w:t>
      </w:r>
      <w:r w:rsidRPr="0079399B">
        <w:t xml:space="preserve"> They contribute to the</w:t>
      </w:r>
      <w:r w:rsidR="00CF74F6">
        <w:t xml:space="preserve"> character of places and to the</w:t>
      </w:r>
      <w:r w:rsidRPr="0079399B">
        <w:t xml:space="preserve"> economic success of the region, improving liveability for its residents and attracting visitors and tourists. </w:t>
      </w:r>
    </w:p>
    <w:p w:rsidR="00BE6A8F" w:rsidRDefault="0079399B" w:rsidP="00EB39D0">
      <w:pPr>
        <w:pStyle w:val="bt"/>
        <w:spacing w:after="120"/>
      </w:pPr>
      <w:r w:rsidRPr="0079399B">
        <w:t xml:space="preserve">The headwaters and catchments of many of Victoria’s major rivers are located in the </w:t>
      </w:r>
      <w:r w:rsidR="001F77F4">
        <w:t>r</w:t>
      </w:r>
      <w:r w:rsidRPr="0079399B">
        <w:t xml:space="preserve">egion and are environmental assets of state and national importance. These include the </w:t>
      </w:r>
      <w:r w:rsidR="00C916D6" w:rsidRPr="0079399B">
        <w:t>Broken</w:t>
      </w:r>
      <w:r w:rsidR="00C916D6">
        <w:t>,</w:t>
      </w:r>
      <w:r w:rsidR="00C916D6" w:rsidRPr="00C916D6">
        <w:t xml:space="preserve"> </w:t>
      </w:r>
      <w:r w:rsidR="00C916D6" w:rsidRPr="0079399B">
        <w:t>Goulburn</w:t>
      </w:r>
      <w:r w:rsidR="00C916D6">
        <w:t>,</w:t>
      </w:r>
      <w:r w:rsidR="00C916D6" w:rsidRPr="0079399B">
        <w:t xml:space="preserve"> Kiewa</w:t>
      </w:r>
      <w:r w:rsidR="00C916D6">
        <w:t>,</w:t>
      </w:r>
      <w:r w:rsidR="00C916D6" w:rsidRPr="00C916D6">
        <w:t xml:space="preserve"> </w:t>
      </w:r>
      <w:r w:rsidR="00C916D6" w:rsidRPr="0079399B">
        <w:t>King</w:t>
      </w:r>
      <w:r w:rsidR="00C916D6">
        <w:t>,</w:t>
      </w:r>
      <w:r w:rsidR="00C916D6" w:rsidRPr="0079399B">
        <w:t xml:space="preserve"> Mitta Mitta</w:t>
      </w:r>
      <w:r w:rsidR="00C916D6">
        <w:t>,</w:t>
      </w:r>
      <w:r w:rsidR="00C916D6" w:rsidRPr="0079399B">
        <w:t xml:space="preserve"> </w:t>
      </w:r>
      <w:r w:rsidR="00C916D6">
        <w:t>Murray and</w:t>
      </w:r>
      <w:r w:rsidRPr="0079399B">
        <w:t xml:space="preserve"> Ovens </w:t>
      </w:r>
      <w:r w:rsidR="00225E0F">
        <w:t>r</w:t>
      </w:r>
      <w:r w:rsidRPr="0079399B">
        <w:t>ivers.  Together</w:t>
      </w:r>
      <w:r w:rsidR="00D60565">
        <w:t>,</w:t>
      </w:r>
      <w:r w:rsidRPr="0079399B">
        <w:t xml:space="preserve"> they contribute nearly 50</w:t>
      </w:r>
      <w:r w:rsidR="00295F7D">
        <w:t xml:space="preserve"> per cent</w:t>
      </w:r>
      <w:r w:rsidR="00295F7D" w:rsidRPr="0079399B">
        <w:t xml:space="preserve"> </w:t>
      </w:r>
      <w:r w:rsidRPr="0079399B">
        <w:t xml:space="preserve">of the total inflows to the Murray- Darling Basin. The Ovens and King </w:t>
      </w:r>
      <w:r w:rsidR="00225E0F">
        <w:t>r</w:t>
      </w:r>
      <w:r w:rsidRPr="0079399B">
        <w:t>iver systems remain the only essentially un-regulated Victorian tributaries to the Murray River, providing important natural floods to the Murray system a</w:t>
      </w:r>
      <w:r w:rsidR="00BE6A8F">
        <w:t>s well as to the Barmah Forest.</w:t>
      </w:r>
    </w:p>
    <w:p w:rsidR="007A143F" w:rsidRDefault="0079399B" w:rsidP="00EB39D0">
      <w:pPr>
        <w:pStyle w:val="bt"/>
        <w:spacing w:after="120"/>
      </w:pPr>
      <w:r w:rsidRPr="0079399B">
        <w:t xml:space="preserve">It is estimated there are over 3000 wetlands in the region and many of these are on the floodplains of the </w:t>
      </w:r>
      <w:r w:rsidR="00C916D6" w:rsidRPr="0079399B">
        <w:t>Broken</w:t>
      </w:r>
      <w:r w:rsidR="00C916D6">
        <w:t>,</w:t>
      </w:r>
      <w:r w:rsidR="00C916D6" w:rsidRPr="0079399B">
        <w:t xml:space="preserve"> </w:t>
      </w:r>
      <w:r w:rsidR="00C916D6">
        <w:t>Goulburn</w:t>
      </w:r>
      <w:r w:rsidRPr="0079399B">
        <w:t xml:space="preserve"> and lower Ovens </w:t>
      </w:r>
      <w:r w:rsidR="00225E0F">
        <w:t>r</w:t>
      </w:r>
      <w:r w:rsidRPr="0079399B">
        <w:t xml:space="preserve">ivers. Many are of national significance, while the Barmah Forest is listed </w:t>
      </w:r>
      <w:r w:rsidRPr="0079399B">
        <w:lastRenderedPageBreak/>
        <w:t>under the Ramsar convention as a wetland of international significance. The Barmah-Millewa Forest and the Murray River channel are among the six priority ‘icon’ sites identified by the Murray-Darling Basin Ministerial Council that will benefit from improved water management regimes delivered by the Living Murray program.</w:t>
      </w:r>
    </w:p>
    <w:p w:rsidR="007A143F" w:rsidRDefault="0079399B" w:rsidP="00EB39D0">
      <w:pPr>
        <w:pStyle w:val="bt"/>
        <w:spacing w:after="120"/>
      </w:pPr>
      <w:r w:rsidRPr="0079399B">
        <w:t xml:space="preserve">The </w:t>
      </w:r>
      <w:r w:rsidR="001F77F4">
        <w:t>r</w:t>
      </w:r>
      <w:r w:rsidRPr="0079399B">
        <w:t>egion has high biodiversity values and contains large numbers of endemic species. Unfortunately</w:t>
      </w:r>
      <w:r w:rsidR="00C916D6">
        <w:t>,</w:t>
      </w:r>
      <w:r w:rsidRPr="0079399B">
        <w:t xml:space="preserve"> it also has the greatest number of threatened flora and fauna species of any region in the state. Much of the northern part of </w:t>
      </w:r>
      <w:r w:rsidR="00C916D6">
        <w:t xml:space="preserve">the </w:t>
      </w:r>
      <w:r w:rsidRPr="0079399B">
        <w:t xml:space="preserve">region has been cleared for agriculture and settlement, but significant areas of remnant vegetation can still be found along waterways, roadsides, unused road reserves and on private land.  </w:t>
      </w:r>
    </w:p>
    <w:p w:rsidR="007A143F" w:rsidRDefault="0079399B" w:rsidP="00EB39D0">
      <w:pPr>
        <w:pStyle w:val="bt"/>
        <w:spacing w:after="120"/>
      </w:pPr>
      <w:r w:rsidRPr="0079399B">
        <w:t>Nearly 43</w:t>
      </w:r>
      <w:r w:rsidR="001F77F4">
        <w:t xml:space="preserve"> per cent</w:t>
      </w:r>
      <w:r w:rsidRPr="0079399B">
        <w:t xml:space="preserve"> of the </w:t>
      </w:r>
      <w:r w:rsidR="001F77F4">
        <w:t>r</w:t>
      </w:r>
      <w:r w:rsidRPr="0079399B">
        <w:t xml:space="preserve">egion is public land, with most located in the eastern and south-eastern parts of the region. This includes a large part of the Alpine National Park, which is included on the National Heritage List and is also recognised as </w:t>
      </w:r>
      <w:r w:rsidR="000A6832">
        <w:t xml:space="preserve">a </w:t>
      </w:r>
      <w:r w:rsidRPr="0079399B">
        <w:t xml:space="preserve">National Landscape by Tourism Australia and Parks Australia. There are eight other national parks, including </w:t>
      </w:r>
      <w:r w:rsidR="00D601A1" w:rsidRPr="0079399B">
        <w:t>Barmah Forest</w:t>
      </w:r>
      <w:r w:rsidR="00D601A1">
        <w:t>,</w:t>
      </w:r>
      <w:r w:rsidR="00D568C7" w:rsidRPr="00D568C7">
        <w:t xml:space="preserve"> </w:t>
      </w:r>
      <w:r w:rsidR="00D568C7" w:rsidRPr="0079399B">
        <w:t>Burrowa</w:t>
      </w:r>
      <w:r w:rsidR="00D568C7">
        <w:t>-</w:t>
      </w:r>
      <w:r w:rsidR="00D568C7" w:rsidRPr="0079399B">
        <w:t>Pine Mountain</w:t>
      </w:r>
      <w:r w:rsidR="00D568C7">
        <w:t>,</w:t>
      </w:r>
      <w:r w:rsidR="00D568C7" w:rsidRPr="00D568C7">
        <w:t xml:space="preserve"> </w:t>
      </w:r>
      <w:r w:rsidR="00D568C7" w:rsidRPr="0079399B">
        <w:t>Chiltern</w:t>
      </w:r>
      <w:r w:rsidR="00D568C7">
        <w:t>-</w:t>
      </w:r>
      <w:r w:rsidR="00D568C7" w:rsidRPr="0079399B">
        <w:t>Mt Pilot</w:t>
      </w:r>
      <w:r w:rsidR="00D568C7">
        <w:t>,</w:t>
      </w:r>
      <w:r w:rsidR="00D601A1" w:rsidRPr="0079399B">
        <w:t xml:space="preserve"> Kinglake</w:t>
      </w:r>
      <w:r w:rsidR="00D601A1">
        <w:t>,</w:t>
      </w:r>
      <w:r w:rsidR="00D601A1" w:rsidRPr="0079399B">
        <w:t xml:space="preserve"> </w:t>
      </w:r>
      <w:r w:rsidR="00D568C7" w:rsidRPr="0079399B">
        <w:t>Lower Goulburn River</w:t>
      </w:r>
      <w:r w:rsidR="00D568C7">
        <w:t>,</w:t>
      </w:r>
      <w:r w:rsidR="00D568C7" w:rsidRPr="0079399B">
        <w:t xml:space="preserve"> </w:t>
      </w:r>
      <w:r w:rsidR="00D568C7">
        <w:t xml:space="preserve">Mount Buffalo and the Warby-Ovens </w:t>
      </w:r>
      <w:r w:rsidRPr="0079399B">
        <w:t>national parks. Public land also includes state forests managed for multiple activities including timber production and nature</w:t>
      </w:r>
      <w:r w:rsidR="00225E0F">
        <w:t>-</w:t>
      </w:r>
      <w:r w:rsidRPr="0079399B">
        <w:t>based recreation.</w:t>
      </w:r>
    </w:p>
    <w:p w:rsidR="007A143F" w:rsidRDefault="0079399B" w:rsidP="00EB39D0">
      <w:pPr>
        <w:pStyle w:val="bt"/>
        <w:spacing w:after="120"/>
      </w:pPr>
      <w:r w:rsidRPr="0079399B">
        <w:t xml:space="preserve">The </w:t>
      </w:r>
      <w:r w:rsidR="001F77F4">
        <w:t>r</w:t>
      </w:r>
      <w:r w:rsidRPr="0079399B">
        <w:t>egion’s unique cultural heritage encompasses Aboriginal</w:t>
      </w:r>
      <w:r w:rsidR="001F77F4">
        <w:t xml:space="preserve"> cultural heritage</w:t>
      </w:r>
      <w:r w:rsidRPr="0079399B">
        <w:t xml:space="preserve"> and </w:t>
      </w:r>
      <w:r w:rsidR="00A9077D">
        <w:t>historic</w:t>
      </w:r>
      <w:r w:rsidR="00435B7A">
        <w:t xml:space="preserve"> </w:t>
      </w:r>
      <w:r w:rsidRPr="0079399B">
        <w:t>heritage places and objects. Its values encompass more than 40,000 years of occupation, land use and management by many generations of Aboriginal people</w:t>
      </w:r>
      <w:r w:rsidR="00B802B0">
        <w:t>s</w:t>
      </w:r>
      <w:r w:rsidRPr="0079399B">
        <w:t xml:space="preserve">. </w:t>
      </w:r>
    </w:p>
    <w:p w:rsidR="007A143F" w:rsidRDefault="0079399B" w:rsidP="00AD0712">
      <w:pPr>
        <w:pStyle w:val="bt"/>
        <w:spacing w:after="0"/>
      </w:pPr>
      <w:r w:rsidRPr="0079399B">
        <w:t xml:space="preserve">The region is subject to natural hazards </w:t>
      </w:r>
      <w:r w:rsidR="00435B7A">
        <w:t xml:space="preserve">and extreme climatic events </w:t>
      </w:r>
      <w:r w:rsidRPr="0079399B">
        <w:t>such as bushfire, flood and drought. Recent significant events have included:</w:t>
      </w:r>
    </w:p>
    <w:p w:rsidR="007A143F" w:rsidRDefault="0079399B" w:rsidP="001A3FCF">
      <w:pPr>
        <w:pStyle w:val="ListBullet"/>
      </w:pPr>
      <w:r w:rsidRPr="0079399B">
        <w:t>extensive bushfires in 2003, 2006</w:t>
      </w:r>
      <w:r w:rsidR="00225E0F">
        <w:t>–</w:t>
      </w:r>
      <w:r w:rsidRPr="0079399B">
        <w:t>07 and 2009, impacting on parts of the region including settlements</w:t>
      </w:r>
    </w:p>
    <w:p w:rsidR="007A143F" w:rsidRDefault="0079399B" w:rsidP="001A3FCF">
      <w:pPr>
        <w:pStyle w:val="ListBullet"/>
      </w:pPr>
      <w:r w:rsidRPr="0079399B">
        <w:t>widespread floods during 2010, 2011 and 2012</w:t>
      </w:r>
      <w:r w:rsidR="00D568C7">
        <w:t>,</w:t>
      </w:r>
      <w:r w:rsidRPr="0079399B">
        <w:t xml:space="preserve"> impacting on parts of the region including settlements</w:t>
      </w:r>
    </w:p>
    <w:p w:rsidR="007A143F" w:rsidRDefault="0079399B" w:rsidP="001A3FCF">
      <w:pPr>
        <w:pStyle w:val="ListBullet"/>
      </w:pPr>
      <w:r w:rsidRPr="0079399B">
        <w:t>drought between 2001 and 2010, impacting on the entire region.</w:t>
      </w:r>
    </w:p>
    <w:p w:rsidR="007A143F" w:rsidRDefault="0079399B">
      <w:pPr>
        <w:pStyle w:val="bt"/>
      </w:pPr>
      <w:r w:rsidRPr="0079399B">
        <w:t>These natural hazards are predicted to increase in terms of severity and frequency as a result of climate change.</w:t>
      </w:r>
    </w:p>
    <w:p w:rsidR="007A143F" w:rsidRDefault="0079399B" w:rsidP="005C0406">
      <w:pPr>
        <w:pStyle w:val="Heading2"/>
        <w:tabs>
          <w:tab w:val="clear" w:pos="396"/>
        </w:tabs>
        <w:ind w:left="567"/>
      </w:pPr>
      <w:bookmarkStart w:id="325" w:name="_Toc355970832"/>
      <w:bookmarkStart w:id="326" w:name="_Toc359422978"/>
      <w:bookmarkStart w:id="327" w:name="_Toc374612479"/>
      <w:r w:rsidRPr="00B948A1">
        <w:t xml:space="preserve">Guiding the </w:t>
      </w:r>
      <w:r w:rsidR="00225E0F" w:rsidRPr="00B948A1">
        <w:t>future p</w:t>
      </w:r>
      <w:r w:rsidR="00DA722B" w:rsidRPr="00DA722B">
        <w:t>rotection of environmental and heritage assets</w:t>
      </w:r>
      <w:bookmarkEnd w:id="325"/>
      <w:bookmarkEnd w:id="326"/>
      <w:bookmarkEnd w:id="327"/>
      <w:r w:rsidR="00DA722B" w:rsidRPr="00DA722B">
        <w:t xml:space="preserve"> </w:t>
      </w:r>
    </w:p>
    <w:p w:rsidR="007A143F" w:rsidRDefault="0079399B" w:rsidP="00EB39D0">
      <w:pPr>
        <w:pStyle w:val="bt"/>
        <w:spacing w:after="120"/>
      </w:pPr>
      <w:r w:rsidRPr="0079399B">
        <w:t xml:space="preserve">The </w:t>
      </w:r>
      <w:r w:rsidR="00D568C7">
        <w:t>Goulburn Broken and North East Catchment Management A</w:t>
      </w:r>
      <w:r w:rsidRPr="0079399B">
        <w:t xml:space="preserve">uthorities play a pivotal role in natural resource management in the </w:t>
      </w:r>
      <w:r w:rsidR="00225E0F">
        <w:t xml:space="preserve">Hume </w:t>
      </w:r>
      <w:r w:rsidR="006E56A8">
        <w:t>R</w:t>
      </w:r>
      <w:r w:rsidRPr="0079399B">
        <w:t>egion, with strategic directio</w:t>
      </w:r>
      <w:r w:rsidR="005C0406">
        <w:t>n provided by their integrated regional catchment strategies. The c</w:t>
      </w:r>
      <w:r w:rsidR="001F77F4">
        <w:t xml:space="preserve">atchment </w:t>
      </w:r>
      <w:r w:rsidR="005C0406">
        <w:t>m</w:t>
      </w:r>
      <w:r w:rsidR="001F77F4">
        <w:t xml:space="preserve">anagement </w:t>
      </w:r>
      <w:r w:rsidR="005C0406">
        <w:t>a</w:t>
      </w:r>
      <w:r w:rsidR="001F77F4">
        <w:t>uthorities</w:t>
      </w:r>
      <w:r w:rsidRPr="0079399B">
        <w:t xml:space="preserve"> </w:t>
      </w:r>
      <w:r w:rsidR="005835C7" w:rsidRPr="000800DD">
        <w:t xml:space="preserve">have recently released </w:t>
      </w:r>
      <w:r w:rsidR="00585D3C">
        <w:t xml:space="preserve">regional </w:t>
      </w:r>
      <w:r w:rsidR="005835C7" w:rsidRPr="000800DD">
        <w:t xml:space="preserve">catchment strategies for 2013-2018 </w:t>
      </w:r>
      <w:r w:rsidRPr="000800DD">
        <w:t>and</w:t>
      </w:r>
      <w:r w:rsidRPr="0079399B">
        <w:t xml:space="preserve"> aim to prioritise protection of environmental assets while enhancing the resilience of catchments to withstand future pressures, such as the potential impacts of climate change.</w:t>
      </w:r>
    </w:p>
    <w:p w:rsidR="00AE32EA" w:rsidRDefault="00AE32EA" w:rsidP="00EB39D0">
      <w:pPr>
        <w:pStyle w:val="bt"/>
        <w:spacing w:after="120"/>
      </w:pPr>
      <w:r w:rsidRPr="00AE32EA">
        <w:t>Regional catchment strategies and their sub-strategies</w:t>
      </w:r>
      <w:r w:rsidR="00CF1704">
        <w:t xml:space="preserve">, </w:t>
      </w:r>
      <w:r w:rsidRPr="00AE32EA">
        <w:t>such as regional waterway strategies identify priorities for investment in protecting and enhancing high value environmental assets. Each catchment management authority uses different methods to identify their high value environmental assets. The regional growth plans across the state use a consistent approach to mapping environmental assets. These assets align with those identified by catchment managem</w:t>
      </w:r>
      <w:r w:rsidR="009C30D9">
        <w:t>ent authorities, though they may</w:t>
      </w:r>
      <w:r w:rsidRPr="00AE32EA">
        <w:t xml:space="preserve"> be mapped to a different scale.</w:t>
      </w:r>
    </w:p>
    <w:p w:rsidR="007A143F" w:rsidRDefault="0079399B" w:rsidP="00EB39D0">
      <w:pPr>
        <w:pStyle w:val="bt"/>
        <w:spacing w:after="120"/>
      </w:pPr>
      <w:r w:rsidRPr="0079399B">
        <w:t>The data col</w:t>
      </w:r>
      <w:r w:rsidR="005C0406">
        <w:t>lected and analysed for the new r</w:t>
      </w:r>
      <w:r w:rsidR="00126F19">
        <w:t xml:space="preserve">egional </w:t>
      </w:r>
      <w:r w:rsidR="005C0406">
        <w:t>c</w:t>
      </w:r>
      <w:r w:rsidR="00126F19">
        <w:t xml:space="preserve">atchment </w:t>
      </w:r>
      <w:r w:rsidR="005C0406">
        <w:t>s</w:t>
      </w:r>
      <w:r w:rsidR="00126F19">
        <w:t xml:space="preserve">trategies </w:t>
      </w:r>
      <w:r w:rsidRPr="0079399B">
        <w:t xml:space="preserve">includes information on environmental assets and natural hazards that will form a valuable resource for local government in updating its planning strategies and planning schemes. </w:t>
      </w:r>
    </w:p>
    <w:p w:rsidR="007A143F" w:rsidRDefault="0079399B" w:rsidP="00AD0712">
      <w:pPr>
        <w:pStyle w:val="bt"/>
        <w:spacing w:after="0"/>
      </w:pPr>
      <w:r w:rsidRPr="0079399B">
        <w:t xml:space="preserve">Key environmental issues that are addressed in the </w:t>
      </w:r>
      <w:r w:rsidR="001F77F4">
        <w:t>p</w:t>
      </w:r>
      <w:r w:rsidR="00480CE2">
        <w:t>lan</w:t>
      </w:r>
      <w:r w:rsidRPr="0079399B">
        <w:t xml:space="preserve"> include:</w:t>
      </w:r>
    </w:p>
    <w:p w:rsidR="007A143F" w:rsidRDefault="0079399B" w:rsidP="001A3FCF">
      <w:pPr>
        <w:pStyle w:val="ListBullet"/>
      </w:pPr>
      <w:r w:rsidRPr="0079399B">
        <w:t>adapting to the potential impacts of climate change</w:t>
      </w:r>
    </w:p>
    <w:p w:rsidR="007A143F" w:rsidRDefault="0079399B" w:rsidP="001A3FCF">
      <w:pPr>
        <w:pStyle w:val="ListBullet"/>
      </w:pPr>
      <w:r w:rsidRPr="0079399B">
        <w:t xml:space="preserve">protecting significant </w:t>
      </w:r>
      <w:r w:rsidR="00CF74F6">
        <w:t xml:space="preserve">cultural </w:t>
      </w:r>
      <w:r w:rsidRPr="0079399B">
        <w:t xml:space="preserve">landscapes </w:t>
      </w:r>
    </w:p>
    <w:p w:rsidR="007A143F" w:rsidRDefault="0079399B" w:rsidP="001A3FCF">
      <w:pPr>
        <w:pStyle w:val="ListBullet"/>
      </w:pPr>
      <w:r w:rsidRPr="0079399B">
        <w:lastRenderedPageBreak/>
        <w:t xml:space="preserve">protecting, expanding and connecting </w:t>
      </w:r>
      <w:r w:rsidR="00435B7A">
        <w:t>terrestrial habitat, and the biodiversity it supports</w:t>
      </w:r>
    </w:p>
    <w:p w:rsidR="007A143F" w:rsidRDefault="0079399B" w:rsidP="001A3FCF">
      <w:pPr>
        <w:pStyle w:val="ListBullet"/>
      </w:pPr>
      <w:r w:rsidRPr="0079399B">
        <w:t>protecting waterways and wetlands.</w:t>
      </w:r>
    </w:p>
    <w:p w:rsidR="007A143F" w:rsidRPr="005C0406" w:rsidRDefault="00B93AA2">
      <w:pPr>
        <w:pStyle w:val="bt"/>
      </w:pPr>
      <w:r w:rsidRPr="003255C7">
        <w:t xml:space="preserve">Registered Aboriginal Parties have an important role in </w:t>
      </w:r>
      <w:r>
        <w:t xml:space="preserve">planning </w:t>
      </w:r>
      <w:r w:rsidRPr="003255C7">
        <w:t>place-based activity</w:t>
      </w:r>
      <w:r>
        <w:t xml:space="preserve"> and development</w:t>
      </w:r>
      <w:r w:rsidRPr="003255C7">
        <w:t xml:space="preserve">. </w:t>
      </w:r>
      <w:r>
        <w:t>Currently t</w:t>
      </w:r>
      <w:r w:rsidRPr="003255C7">
        <w:t xml:space="preserve">he </w:t>
      </w:r>
      <w:r>
        <w:t>Yorta Yorta Nation Aboriginal Corporation, Taungurung Clans Aboriginal Corporation, Wurundjeri Tribe Land and Compensation Cultural Heritage Council and Gunaikurnai Land and Waters Aboriginal Corporation have legislated</w:t>
      </w:r>
      <w:r w:rsidRPr="003255C7">
        <w:rPr>
          <w:szCs w:val="20"/>
        </w:rPr>
        <w:t xml:space="preserve"> responsibilities relating to the management of Aboriginal cultur</w:t>
      </w:r>
      <w:r>
        <w:rPr>
          <w:szCs w:val="20"/>
        </w:rPr>
        <w:t xml:space="preserve">al heritage places </w:t>
      </w:r>
      <w:r w:rsidRPr="003255C7">
        <w:rPr>
          <w:szCs w:val="20"/>
        </w:rPr>
        <w:t>in th</w:t>
      </w:r>
      <w:r w:rsidRPr="005C0406">
        <w:t xml:space="preserve">e </w:t>
      </w:r>
      <w:r w:rsidR="00295F7D" w:rsidRPr="005C0406">
        <w:t>r</w:t>
      </w:r>
      <w:r w:rsidRPr="005C0406">
        <w:t xml:space="preserve">egion. </w:t>
      </w:r>
    </w:p>
    <w:p w:rsidR="0079399B" w:rsidRDefault="0079399B" w:rsidP="00A41B2E">
      <w:pPr>
        <w:pStyle w:val="Heading3"/>
        <w:numPr>
          <w:ilvl w:val="2"/>
          <w:numId w:val="14"/>
        </w:numPr>
        <w:tabs>
          <w:tab w:val="clear" w:pos="720"/>
          <w:tab w:val="clear" w:pos="900"/>
        </w:tabs>
        <w:ind w:left="851" w:hanging="851"/>
      </w:pPr>
      <w:bookmarkStart w:id="328" w:name="_Toc355970833"/>
      <w:bookmarkStart w:id="329" w:name="_Toc359422979"/>
      <w:bookmarkStart w:id="330" w:name="_Toc374612480"/>
      <w:r>
        <w:t xml:space="preserve">Regional </w:t>
      </w:r>
      <w:r w:rsidR="00225E0F">
        <w:t>l</w:t>
      </w:r>
      <w:r>
        <w:t>andscape</w:t>
      </w:r>
      <w:bookmarkEnd w:id="328"/>
      <w:bookmarkEnd w:id="329"/>
      <w:bookmarkEnd w:id="330"/>
    </w:p>
    <w:p w:rsidR="007A143F" w:rsidRDefault="00D568C7" w:rsidP="00EB39D0">
      <w:pPr>
        <w:pStyle w:val="bt"/>
        <w:spacing w:after="120"/>
      </w:pPr>
      <w:r>
        <w:t>The Hume Region’s</w:t>
      </w:r>
      <w:r w:rsidR="00CF74F6">
        <w:t xml:space="preserve"> cultural</w:t>
      </w:r>
      <w:r>
        <w:t xml:space="preserve"> </w:t>
      </w:r>
      <w:r w:rsidR="0079399B" w:rsidRPr="0079399B">
        <w:t xml:space="preserve">landscapes are highly valued by the community, tourists and visitors for their scenic amenity and heritage values. </w:t>
      </w:r>
      <w:r w:rsidR="00B65BAD">
        <w:t>The Department of Environment</w:t>
      </w:r>
      <w:r w:rsidR="00AE32EA">
        <w:t xml:space="preserve"> </w:t>
      </w:r>
      <w:r w:rsidR="00AE32EA" w:rsidRPr="00AE32EA">
        <w:t>and Primary Industries</w:t>
      </w:r>
      <w:r w:rsidR="00B65BAD">
        <w:t xml:space="preserve"> </w:t>
      </w:r>
      <w:r w:rsidR="0079399B" w:rsidRPr="0079399B">
        <w:t xml:space="preserve">has some mechanisms in place to manage visual amenity and heritage values </w:t>
      </w:r>
      <w:r w:rsidR="00D60565">
        <w:t>on</w:t>
      </w:r>
      <w:r w:rsidR="0079399B" w:rsidRPr="0079399B">
        <w:t xml:space="preserve"> public land, but a consistent, whole-of-region view of landscapes</w:t>
      </w:r>
      <w:r w:rsidR="006456A8">
        <w:t>,</w:t>
      </w:r>
      <w:r w:rsidR="00435B7A">
        <w:t xml:space="preserve"> across public and private land</w:t>
      </w:r>
      <w:r w:rsidR="006456A8">
        <w:t>,</w:t>
      </w:r>
      <w:r w:rsidR="006456A8" w:rsidRPr="0079399B">
        <w:t xml:space="preserve"> </w:t>
      </w:r>
      <w:r w:rsidR="0079399B" w:rsidRPr="0079399B">
        <w:t xml:space="preserve">has not been developed. Landscapes need </w:t>
      </w:r>
      <w:r w:rsidR="00B65BAD">
        <w:t xml:space="preserve">to </w:t>
      </w:r>
      <w:r w:rsidR="0079399B" w:rsidRPr="0079399B">
        <w:t>be identified, described and classified in a consistent way so that those with significant values</w:t>
      </w:r>
      <w:r w:rsidR="00CF74F6" w:rsidRPr="00CF74F6">
        <w:t xml:space="preserve"> </w:t>
      </w:r>
      <w:r w:rsidR="00CF74F6">
        <w:t xml:space="preserve">(including </w:t>
      </w:r>
      <w:r w:rsidR="00CF74F6" w:rsidRPr="0079399B">
        <w:t>aesthetic or heritage</w:t>
      </w:r>
      <w:r w:rsidR="00CF74F6">
        <w:t xml:space="preserve"> values)</w:t>
      </w:r>
      <w:r w:rsidR="0079399B" w:rsidRPr="0079399B">
        <w:t xml:space="preserve"> can be protected and maintained. </w:t>
      </w:r>
    </w:p>
    <w:p w:rsidR="00B948A1" w:rsidRDefault="0079399B" w:rsidP="00EB39D0">
      <w:pPr>
        <w:pStyle w:val="bt"/>
        <w:spacing w:after="120"/>
      </w:pPr>
      <w:r w:rsidRPr="0079399B">
        <w:t xml:space="preserve">Scenic amenity values play an important role in the beauty and liveability of an area. Although no scenic amenity studies have been conducted in the </w:t>
      </w:r>
      <w:r w:rsidR="006456A8">
        <w:t>r</w:t>
      </w:r>
      <w:r w:rsidRPr="0079399B">
        <w:t xml:space="preserve">egion, it is highly likely the region contains areas of national, state and regional significance for these values. A preliminary assessment has identified areas that may have significant scenic values, including elevated areas above 4000 metres and areas visible from strategic vantage points to foothills and mountains or down to the valleys, rivers and water </w:t>
      </w:r>
      <w:r w:rsidRPr="00EC286D">
        <w:t>bodies</w:t>
      </w:r>
      <w:r w:rsidR="003C7B14">
        <w:t xml:space="preserve"> (</w:t>
      </w:r>
      <w:r w:rsidR="00827E2D">
        <w:fldChar w:fldCharType="begin"/>
      </w:r>
      <w:r w:rsidR="00827E2D">
        <w:instrText xml:space="preserve"> REF _Ref349717397 \h  \* MERGEFORMAT </w:instrText>
      </w:r>
      <w:r w:rsidR="00827E2D">
        <w:fldChar w:fldCharType="separate"/>
      </w:r>
      <w:r w:rsidR="009034D4" w:rsidRPr="008D198C">
        <w:t xml:space="preserve">Figure </w:t>
      </w:r>
      <w:r w:rsidR="009034D4">
        <w:rPr>
          <w:noProof/>
        </w:rPr>
        <w:t>16</w:t>
      </w:r>
      <w:r w:rsidR="00827E2D">
        <w:fldChar w:fldCharType="end"/>
      </w:r>
      <w:r w:rsidR="003C7B14">
        <w:t>)</w:t>
      </w:r>
      <w:r w:rsidR="006F74E3">
        <w:t xml:space="preserve">. </w:t>
      </w:r>
      <w:r w:rsidRPr="00EC286D">
        <w:t>Key</w:t>
      </w:r>
      <w:r w:rsidRPr="0079399B">
        <w:t xml:space="preserve"> locations include the Australian Alps, Great Dividing Range, Murray River, other river corridors and ribbons of roadside vegetation. Threats to amenity could include loss of native vegetation and incremental and </w:t>
      </w:r>
      <w:r w:rsidRPr="005F0301">
        <w:t>inappropriate land use change and development.</w:t>
      </w:r>
      <w:bookmarkStart w:id="331" w:name="_Ref348349630"/>
    </w:p>
    <w:p w:rsidR="00295F7D" w:rsidRDefault="00295F7D" w:rsidP="00EB39D0">
      <w:pPr>
        <w:pStyle w:val="bt"/>
        <w:spacing w:after="120"/>
      </w:pPr>
      <w:r w:rsidRPr="0079399B">
        <w:t xml:space="preserve">Scenic amenity is a strong drawcard for visitors and new residents. Increased </w:t>
      </w:r>
      <w:r>
        <w:t>awareness</w:t>
      </w:r>
      <w:r w:rsidRPr="0079399B">
        <w:t xml:space="preserve"> and appreciation of landscapes can also increase awareness of and respect for the natural environment. Scenic amenity can be a strong contributor to the character of a place and needs to be managed and maintained into the future.</w:t>
      </w:r>
    </w:p>
    <w:p w:rsidR="0087602D" w:rsidRDefault="00295F7D">
      <w:pPr>
        <w:pStyle w:val="bt"/>
        <w:sectPr w:rsidR="0087602D" w:rsidSect="009075F4">
          <w:pgSz w:w="11906" w:h="16838"/>
          <w:pgMar w:top="1530" w:right="1440" w:bottom="993" w:left="1440" w:header="708" w:footer="708" w:gutter="0"/>
          <w:cols w:space="708"/>
          <w:docGrid w:linePitch="360"/>
        </w:sectPr>
      </w:pPr>
      <w:r w:rsidRPr="0079399B">
        <w:t xml:space="preserve">In the </w:t>
      </w:r>
      <w:r>
        <w:t>r</w:t>
      </w:r>
      <w:r w:rsidRPr="0079399B">
        <w:t xml:space="preserve">egion, a comprehensive </w:t>
      </w:r>
      <w:r>
        <w:t>regional cultural landscape</w:t>
      </w:r>
      <w:r w:rsidRPr="0079399B">
        <w:t xml:space="preserve"> study is necessary to identify </w:t>
      </w:r>
      <w:r>
        <w:t xml:space="preserve">significant </w:t>
      </w:r>
      <w:r w:rsidRPr="0079399B">
        <w:t>landscapes</w:t>
      </w:r>
      <w:r>
        <w:t xml:space="preserve"> and consider their value</w:t>
      </w:r>
      <w:r w:rsidRPr="0079399B">
        <w:t xml:space="preserve"> </w:t>
      </w:r>
      <w:r>
        <w:t xml:space="preserve">to </w:t>
      </w:r>
      <w:r w:rsidRPr="0079399B">
        <w:t>the local community, tourists and visitors.</w:t>
      </w:r>
    </w:p>
    <w:p w:rsidR="0079399B" w:rsidRDefault="00EC286D" w:rsidP="00EE0F0D">
      <w:pPr>
        <w:pStyle w:val="Caption"/>
        <w:ind w:left="0"/>
      </w:pPr>
      <w:bookmarkStart w:id="332" w:name="_Ref349717397"/>
      <w:bookmarkStart w:id="333" w:name="_Toc374612541"/>
      <w:r w:rsidRPr="008D198C">
        <w:lastRenderedPageBreak/>
        <w:t xml:space="preserve">Figure </w:t>
      </w:r>
      <w:r w:rsidR="00AA3D97" w:rsidRPr="008D198C">
        <w:fldChar w:fldCharType="begin"/>
      </w:r>
      <w:r w:rsidR="004243AA" w:rsidRPr="008D198C">
        <w:instrText xml:space="preserve"> SEQ Figure \* ARABIC </w:instrText>
      </w:r>
      <w:r w:rsidR="00AA3D97" w:rsidRPr="008D198C">
        <w:fldChar w:fldCharType="separate"/>
      </w:r>
      <w:r w:rsidR="009034D4">
        <w:rPr>
          <w:noProof/>
        </w:rPr>
        <w:t>16</w:t>
      </w:r>
      <w:r w:rsidR="00AA3D97" w:rsidRPr="008D198C">
        <w:fldChar w:fldCharType="end"/>
      </w:r>
      <w:bookmarkEnd w:id="331"/>
      <w:bookmarkEnd w:id="332"/>
      <w:r w:rsidRPr="008D198C">
        <w:t>: Landscapes with potential scenic amenity value</w:t>
      </w:r>
      <w:bookmarkEnd w:id="333"/>
    </w:p>
    <w:p w:rsidR="007D1E72" w:rsidRPr="007D1E72" w:rsidRDefault="007D1E72" w:rsidP="007D1E72">
      <w:pPr>
        <w:pStyle w:val="bt"/>
      </w:pPr>
      <w:r>
        <w:t>[</w:t>
      </w:r>
      <w:r w:rsidRPr="007D1E72">
        <w:t>Map showing landscapes with potential scenic amenity value in the Hume region</w:t>
      </w:r>
      <w:r>
        <w:t>]</w:t>
      </w:r>
    </w:p>
    <w:p w:rsidR="0087602D" w:rsidRDefault="00502C89" w:rsidP="0061220F">
      <w:pPr>
        <w:pStyle w:val="source"/>
        <w:sectPr w:rsidR="0087602D" w:rsidSect="004D34B8">
          <w:pgSz w:w="16838" w:h="11906" w:orient="landscape"/>
          <w:pgMar w:top="1440" w:right="1702" w:bottom="993" w:left="993" w:header="708" w:footer="708" w:gutter="0"/>
          <w:cols w:space="708"/>
          <w:docGrid w:linePitch="360"/>
        </w:sectPr>
      </w:pPr>
      <w:r>
        <w:t xml:space="preserve">Source: </w:t>
      </w:r>
      <w:r w:rsidR="00503EB2">
        <w:t xml:space="preserve">Department of </w:t>
      </w:r>
      <w:r w:rsidR="00F02956">
        <w:t xml:space="preserve">Transport, </w:t>
      </w:r>
      <w:r w:rsidR="00503EB2">
        <w:t xml:space="preserve">Planning and </w:t>
      </w:r>
      <w:r w:rsidR="00F02956">
        <w:t>Local Infrastructure</w:t>
      </w:r>
    </w:p>
    <w:p w:rsidR="001E6B61" w:rsidRDefault="0079399B" w:rsidP="00906ABF">
      <w:pPr>
        <w:pStyle w:val="bt"/>
        <w:spacing w:before="360" w:after="0"/>
      </w:pPr>
      <w:r w:rsidRPr="0079399B">
        <w:lastRenderedPageBreak/>
        <w:t xml:space="preserve">Landscapes may also have heritage significance due to their aesthetic, </w:t>
      </w:r>
      <w:r w:rsidR="00950A80">
        <w:t>cultural heritage</w:t>
      </w:r>
      <w:r w:rsidRPr="0079399B">
        <w:t xml:space="preserve">, scientific, environmental or social values to </w:t>
      </w:r>
      <w:r w:rsidR="00B87507">
        <w:t xml:space="preserve">past, </w:t>
      </w:r>
      <w:r w:rsidRPr="0079399B">
        <w:t xml:space="preserve">present or future generations. In the </w:t>
      </w:r>
      <w:r w:rsidR="00A16C3D">
        <w:t>r</w:t>
      </w:r>
      <w:r w:rsidRPr="0079399B">
        <w:t>egion</w:t>
      </w:r>
      <w:r w:rsidR="00703868">
        <w:t>,</w:t>
      </w:r>
      <w:r w:rsidRPr="0079399B">
        <w:t xml:space="preserve"> such areas are likely to include:</w:t>
      </w:r>
    </w:p>
    <w:p w:rsidR="007A143F" w:rsidRDefault="0079399B" w:rsidP="001A3FCF">
      <w:pPr>
        <w:pStyle w:val="ListBullet"/>
        <w:rPr>
          <w:szCs w:val="20"/>
        </w:rPr>
      </w:pPr>
      <w:r w:rsidRPr="0079399B">
        <w:rPr>
          <w:szCs w:val="20"/>
        </w:rPr>
        <w:t>recognised National Heritage areas</w:t>
      </w:r>
      <w:r w:rsidR="00D60565">
        <w:rPr>
          <w:szCs w:val="20"/>
        </w:rPr>
        <w:t>,</w:t>
      </w:r>
      <w:r w:rsidRPr="0079399B">
        <w:rPr>
          <w:szCs w:val="20"/>
        </w:rPr>
        <w:t xml:space="preserve"> including the </w:t>
      </w:r>
      <w:hyperlink r:id="rId20" w:history="1">
        <w:r w:rsidRPr="0079399B">
          <w:rPr>
            <w:szCs w:val="20"/>
          </w:rPr>
          <w:t>Australian Alps National Parks and Reserves</w:t>
        </w:r>
      </w:hyperlink>
      <w:r w:rsidRPr="0079399B">
        <w:rPr>
          <w:szCs w:val="20"/>
        </w:rPr>
        <w:t xml:space="preserve">, the </w:t>
      </w:r>
      <w:hyperlink r:id="rId21" w:history="1">
        <w:r w:rsidRPr="0079399B">
          <w:rPr>
            <w:szCs w:val="20"/>
          </w:rPr>
          <w:t>Glenrowan Heritage Precinct</w:t>
        </w:r>
      </w:hyperlink>
      <w:r w:rsidRPr="0079399B">
        <w:rPr>
          <w:szCs w:val="20"/>
        </w:rPr>
        <w:t xml:space="preserve">, the </w:t>
      </w:r>
      <w:hyperlink r:id="rId22" w:history="1">
        <w:r w:rsidRPr="0079399B">
          <w:rPr>
            <w:szCs w:val="20"/>
          </w:rPr>
          <w:t>Flora Fossil site at Yea</w:t>
        </w:r>
      </w:hyperlink>
      <w:r w:rsidR="00703868">
        <w:t xml:space="preserve"> </w:t>
      </w:r>
      <w:r w:rsidRPr="0079399B">
        <w:rPr>
          <w:szCs w:val="20"/>
        </w:rPr>
        <w:t xml:space="preserve">and </w:t>
      </w:r>
      <w:hyperlink r:id="rId23" w:history="1">
        <w:r w:rsidRPr="0079399B">
          <w:rPr>
            <w:szCs w:val="20"/>
          </w:rPr>
          <w:t>Bonegilla Migrant Camp</w:t>
        </w:r>
      </w:hyperlink>
      <w:r w:rsidRPr="0079399B">
        <w:rPr>
          <w:szCs w:val="20"/>
        </w:rPr>
        <w:t xml:space="preserve"> </w:t>
      </w:r>
    </w:p>
    <w:p w:rsidR="007A143F" w:rsidRDefault="0079399B" w:rsidP="001A3FCF">
      <w:pPr>
        <w:pStyle w:val="ListBullet"/>
        <w:rPr>
          <w:szCs w:val="20"/>
        </w:rPr>
      </w:pPr>
      <w:r w:rsidRPr="0079399B">
        <w:rPr>
          <w:szCs w:val="20"/>
        </w:rPr>
        <w:t xml:space="preserve">sites on the Commonwealth Heritage List, including the </w:t>
      </w:r>
      <w:hyperlink r:id="rId24" w:history="1">
        <w:r w:rsidRPr="0079399B">
          <w:rPr>
            <w:szCs w:val="20"/>
          </w:rPr>
          <w:t>Puckapunyal Military Area</w:t>
        </w:r>
      </w:hyperlink>
      <w:r w:rsidRPr="0079399B">
        <w:rPr>
          <w:szCs w:val="20"/>
        </w:rPr>
        <w:t xml:space="preserve"> </w:t>
      </w:r>
    </w:p>
    <w:p w:rsidR="007A143F" w:rsidRDefault="0079399B" w:rsidP="001A3FCF">
      <w:pPr>
        <w:pStyle w:val="ListBullet"/>
      </w:pPr>
      <w:r w:rsidRPr="0079399B">
        <w:t xml:space="preserve">the lower Goulburn, Big and Howqua </w:t>
      </w:r>
      <w:r w:rsidR="008A755B">
        <w:t>r</w:t>
      </w:r>
      <w:r w:rsidRPr="0079399B">
        <w:t xml:space="preserve">ivers as well as parts of the Ovens and Upper Murray </w:t>
      </w:r>
      <w:r w:rsidR="008A755B">
        <w:t>b</w:t>
      </w:r>
      <w:r w:rsidRPr="0079399B">
        <w:t>asins</w:t>
      </w:r>
      <w:r w:rsidR="00703868">
        <w:t>,</w:t>
      </w:r>
      <w:r w:rsidRPr="0079399B">
        <w:t xml:space="preserve"> which are identified as Heritage Rivers</w:t>
      </w:r>
    </w:p>
    <w:p w:rsidR="007A143F" w:rsidRDefault="0079399B" w:rsidP="001A3FCF">
      <w:pPr>
        <w:pStyle w:val="ListBullet"/>
      </w:pPr>
      <w:r w:rsidRPr="0079399B">
        <w:t>landscapes on the National Trust of Victoria Heritage Register including the Cathedral Range, Trawool Valley, Howqua River and the Buckland and Mitta Mitta valleys.</w:t>
      </w:r>
    </w:p>
    <w:p w:rsidR="007A143F" w:rsidRDefault="0079399B">
      <w:pPr>
        <w:pStyle w:val="bt"/>
      </w:pPr>
      <w:r w:rsidRPr="0079399B">
        <w:t>To date, broad</w:t>
      </w:r>
      <w:r w:rsidR="008A755B">
        <w:t>-</w:t>
      </w:r>
      <w:r w:rsidRPr="0079399B">
        <w:t xml:space="preserve">scale heritage identification has generally focused </w:t>
      </w:r>
      <w:r w:rsidR="00E3110E">
        <w:t>on individual cultural heritage places</w:t>
      </w:r>
      <w:r w:rsidRPr="0079399B">
        <w:t>.</w:t>
      </w:r>
      <w:r w:rsidR="00E3110E">
        <w:t xml:space="preserve"> Little work has been done on assessing the broader cultural landscape.</w:t>
      </w:r>
      <w:r w:rsidRPr="0079399B">
        <w:t xml:space="preserve"> There has not been a systematic identification, classification and recording of broader heritage landscapes across the region. Neither has there been a comprehensive response by local government to identifying and protecting cultural landscape heritage. Preserving landscape heritage helps to protect the unique character of an area</w:t>
      </w:r>
      <w:r w:rsidR="008A755B">
        <w:t>,</w:t>
      </w:r>
      <w:r w:rsidRPr="0079399B">
        <w:t xml:space="preserve"> and can help to secure irreplaceable sites for future generations. Protection and promotion of landscape heritage can also expand tourism and associated economic activity.</w:t>
      </w:r>
    </w:p>
    <w:p w:rsidR="007A143F" w:rsidRDefault="0079399B">
      <w:pPr>
        <w:pStyle w:val="bt"/>
      </w:pPr>
      <w:r w:rsidRPr="0079399B">
        <w:t xml:space="preserve">The </w:t>
      </w:r>
      <w:r w:rsidR="00A16C3D">
        <w:t>plan</w:t>
      </w:r>
      <w:r w:rsidR="00A16C3D" w:rsidRPr="0079399B">
        <w:t xml:space="preserve"> </w:t>
      </w:r>
      <w:r w:rsidRPr="0079399B">
        <w:t xml:space="preserve">recognises the need for an integrated regional </w:t>
      </w:r>
      <w:r w:rsidR="00CF74F6">
        <w:t xml:space="preserve">cultural </w:t>
      </w:r>
      <w:r w:rsidRPr="0079399B">
        <w:t xml:space="preserve">landscape study to contribute to identifying and preserving </w:t>
      </w:r>
      <w:r w:rsidR="00CF74F6">
        <w:t xml:space="preserve">significant cultural </w:t>
      </w:r>
      <w:r w:rsidRPr="0079399B">
        <w:t>landscapes</w:t>
      </w:r>
      <w:r w:rsidR="00D60565">
        <w:t>. This includes</w:t>
      </w:r>
      <w:r w:rsidR="00CF74F6">
        <w:t xml:space="preserve"> consideration of</w:t>
      </w:r>
      <w:r w:rsidR="00CF74F6" w:rsidRPr="0079399B">
        <w:t xml:space="preserve"> </w:t>
      </w:r>
      <w:r w:rsidRPr="0079399B">
        <w:t>both scenic amenity and heritage values</w:t>
      </w:r>
      <w:r w:rsidR="00F02956">
        <w:t xml:space="preserve"> and identifying s</w:t>
      </w:r>
      <w:r w:rsidR="00F02956" w:rsidRPr="00F02956">
        <w:t>uitable planning mechanisms for their protection</w:t>
      </w:r>
      <w:r w:rsidRPr="0079399B">
        <w:t>.</w:t>
      </w:r>
    </w:p>
    <w:p w:rsidR="007F600C" w:rsidRDefault="007F600C" w:rsidP="00A41B2E">
      <w:pPr>
        <w:pStyle w:val="Heading3"/>
        <w:numPr>
          <w:ilvl w:val="2"/>
          <w:numId w:val="14"/>
        </w:numPr>
        <w:tabs>
          <w:tab w:val="clear" w:pos="720"/>
          <w:tab w:val="clear" w:pos="900"/>
        </w:tabs>
        <w:ind w:left="851" w:hanging="851"/>
      </w:pPr>
      <w:r>
        <w:t xml:space="preserve"> </w:t>
      </w:r>
      <w:bookmarkStart w:id="334" w:name="_Toc355970834"/>
      <w:bookmarkStart w:id="335" w:name="_Toc359422980"/>
      <w:bookmarkStart w:id="336" w:name="_Toc374612481"/>
      <w:r>
        <w:t xml:space="preserve">Cultural </w:t>
      </w:r>
      <w:r w:rsidR="00A5005D">
        <w:t>h</w:t>
      </w:r>
      <w:r>
        <w:t>eritage</w:t>
      </w:r>
      <w:bookmarkEnd w:id="334"/>
      <w:bookmarkEnd w:id="335"/>
      <w:bookmarkEnd w:id="336"/>
    </w:p>
    <w:p w:rsidR="007A143F" w:rsidRDefault="007F600C">
      <w:pPr>
        <w:pStyle w:val="bt"/>
      </w:pPr>
      <w:r w:rsidRPr="007F600C">
        <w:t>The Hume Region’s unique cultural heritage, both Aboriginal</w:t>
      </w:r>
      <w:r w:rsidR="00D60565">
        <w:t xml:space="preserve"> cultural heritage</w:t>
      </w:r>
      <w:r w:rsidRPr="007F600C">
        <w:t xml:space="preserve"> and </w:t>
      </w:r>
      <w:r w:rsidR="00A9077D">
        <w:t>historic</w:t>
      </w:r>
      <w:r w:rsidR="00D60565">
        <w:t xml:space="preserve"> heritage</w:t>
      </w:r>
      <w:r w:rsidRPr="007F600C">
        <w:t>, is important to contemporary communities. This include</w:t>
      </w:r>
      <w:r w:rsidR="00703868">
        <w:t>s the region’s heritage estate</w:t>
      </w:r>
      <w:r w:rsidR="00A16C3D">
        <w:t>,</w:t>
      </w:r>
      <w:r w:rsidR="00703868">
        <w:t xml:space="preserve"> </w:t>
      </w:r>
      <w:r w:rsidRPr="007F600C">
        <w:t>the places that demonstrate key phases or events in the history of the region</w:t>
      </w:r>
      <w:r w:rsidR="00703868">
        <w:t xml:space="preserve">, </w:t>
      </w:r>
      <w:r w:rsidRPr="007F600C">
        <w:t xml:space="preserve">as well as the stories and ongoing cultural practices that are associated with them. Heritage places are integral elements </w:t>
      </w:r>
      <w:r w:rsidR="008A755B">
        <w:t xml:space="preserve">of </w:t>
      </w:r>
      <w:r w:rsidRPr="007F600C">
        <w:t>creating a sense of place for communities.</w:t>
      </w:r>
    </w:p>
    <w:p w:rsidR="007A143F" w:rsidRDefault="007F600C">
      <w:pPr>
        <w:pStyle w:val="bt"/>
      </w:pPr>
      <w:r w:rsidRPr="007F600C">
        <w:t xml:space="preserve">In the </w:t>
      </w:r>
      <w:r w:rsidR="00A16C3D">
        <w:t>r</w:t>
      </w:r>
      <w:r w:rsidRPr="007F600C">
        <w:t>egion, Aboriginal people</w:t>
      </w:r>
      <w:r w:rsidR="00950A80">
        <w:t>s</w:t>
      </w:r>
      <w:r w:rsidRPr="007F600C">
        <w:t xml:space="preserve"> continue to have strong relationships with, custodianship of, and decision-making roles about cultural heritage places and objects. The cultural obligation of Aboriginal people</w:t>
      </w:r>
      <w:r w:rsidR="00950A80">
        <w:t>s</w:t>
      </w:r>
      <w:r w:rsidR="0028065D">
        <w:t xml:space="preserve"> (and all Victorians)</w:t>
      </w:r>
      <w:r w:rsidRPr="007F600C">
        <w:t xml:space="preserve"> to manage and sustain heritage places is an important aspect of expressing</w:t>
      </w:r>
      <w:r w:rsidR="0028065D">
        <w:t>,</w:t>
      </w:r>
      <w:r w:rsidRPr="007F600C">
        <w:t xml:space="preserve"> strengthening</w:t>
      </w:r>
      <w:r w:rsidR="0028065D">
        <w:t xml:space="preserve"> </w:t>
      </w:r>
      <w:r w:rsidRPr="007F600C">
        <w:t>and maintaining relationships with these places.</w:t>
      </w:r>
    </w:p>
    <w:p w:rsidR="007A143F" w:rsidRDefault="007F600C">
      <w:pPr>
        <w:pStyle w:val="bt"/>
      </w:pPr>
      <w:r w:rsidRPr="007F600C">
        <w:t xml:space="preserve">The region’s </w:t>
      </w:r>
      <w:r w:rsidR="00A9077D">
        <w:t>historic</w:t>
      </w:r>
      <w:r w:rsidR="00EC0A41">
        <w:t xml:space="preserve"> </w:t>
      </w:r>
      <w:r w:rsidR="00EC0A41" w:rsidRPr="007F600C">
        <w:t>cultural</w:t>
      </w:r>
      <w:r w:rsidRPr="007F600C">
        <w:t xml:space="preserve"> heritage includes a wealth of sites and areas, ranging from those representing early European exploration and settlement, sites linked to bushrangers, </w:t>
      </w:r>
      <w:r w:rsidR="008A755B">
        <w:t xml:space="preserve">through </w:t>
      </w:r>
      <w:r w:rsidRPr="007F600C">
        <w:t xml:space="preserve">to important towns, buildings, structures, parks, gardens, landscapes and other places associated with the historic and cultural development of the state. In the </w:t>
      </w:r>
      <w:r w:rsidR="00A16C3D">
        <w:t>r</w:t>
      </w:r>
      <w:r w:rsidRPr="007F600C">
        <w:t>egion, important historical themes are pastoral expansion, gold mining, industrial development and economic expansion and growth.</w:t>
      </w:r>
      <w:r w:rsidR="000E5CD8" w:rsidRPr="000E5CD8">
        <w:t xml:space="preserve"> </w:t>
      </w:r>
      <w:r w:rsidR="000E5CD8">
        <w:t>Heritage assets include significant Aboriginal heritage sites, historic towns and nationally significant sites related to the Ned Kelly story.</w:t>
      </w:r>
    </w:p>
    <w:p w:rsidR="007A143F" w:rsidRDefault="00B538E6">
      <w:pPr>
        <w:pStyle w:val="bt"/>
      </w:pPr>
      <w:r>
        <w:t>C</w:t>
      </w:r>
      <w:r w:rsidR="00703868">
        <w:t>ultural heritage is an asset,</w:t>
      </w:r>
      <w:r w:rsidR="007F600C" w:rsidRPr="007F600C">
        <w:t xml:space="preserve"> in community, economic and social terms</w:t>
      </w:r>
      <w:r>
        <w:t xml:space="preserve"> and needs to be considered when </w:t>
      </w:r>
      <w:r w:rsidRPr="007F600C">
        <w:t>planning for growth and future land use change</w:t>
      </w:r>
      <w:r w:rsidR="007F600C" w:rsidRPr="007F600C">
        <w:t xml:space="preserve">. Many tourists seek heritage tourism experiences, </w:t>
      </w:r>
      <w:r w:rsidR="008A755B">
        <w:t xml:space="preserve">such as </w:t>
      </w:r>
      <w:r w:rsidR="007F600C" w:rsidRPr="007F600C">
        <w:t>in</w:t>
      </w:r>
      <w:r w:rsidR="0028065D">
        <w:t xml:space="preserve"> historic towns including</w:t>
      </w:r>
      <w:r w:rsidR="007F600C" w:rsidRPr="007F600C">
        <w:t xml:space="preserve"> Beechworth,</w:t>
      </w:r>
      <w:r w:rsidR="0028065D">
        <w:t xml:space="preserve"> Chiltern, Yackandandah and</w:t>
      </w:r>
      <w:r w:rsidR="007F600C" w:rsidRPr="007F600C">
        <w:t xml:space="preserve"> Glenrowan or the Barmah National Park. </w:t>
      </w:r>
      <w:r w:rsidR="00950A80">
        <w:t>Aboriginal and histori</w:t>
      </w:r>
      <w:r w:rsidR="00B802B0">
        <w:t>c</w:t>
      </w:r>
      <w:r w:rsidR="00950A80">
        <w:t xml:space="preserve"> h</w:t>
      </w:r>
      <w:r>
        <w:t>eritage</w:t>
      </w:r>
      <w:r w:rsidR="00950A80">
        <w:t xml:space="preserve"> attractions and services </w:t>
      </w:r>
      <w:r w:rsidR="007F600C" w:rsidRPr="007F600C">
        <w:t xml:space="preserve">contribute to regional economies and employment. Building a comprehensive sense of place around heritage places and cultural values is important </w:t>
      </w:r>
      <w:r w:rsidR="008A755B">
        <w:t xml:space="preserve">for </w:t>
      </w:r>
      <w:r w:rsidR="007F600C" w:rsidRPr="007F600C">
        <w:t>developing resilient and sustainable communities.</w:t>
      </w:r>
    </w:p>
    <w:p w:rsidR="007F600C" w:rsidRDefault="007F600C" w:rsidP="00A41B2E">
      <w:pPr>
        <w:pStyle w:val="Heading3"/>
        <w:numPr>
          <w:ilvl w:val="2"/>
          <w:numId w:val="14"/>
        </w:numPr>
        <w:tabs>
          <w:tab w:val="clear" w:pos="720"/>
          <w:tab w:val="clear" w:pos="900"/>
        </w:tabs>
        <w:ind w:left="851" w:hanging="851"/>
      </w:pPr>
      <w:bookmarkStart w:id="337" w:name="_Toc355970835"/>
      <w:bookmarkStart w:id="338" w:name="_Toc359422981"/>
      <w:bookmarkStart w:id="339" w:name="_Toc374612482"/>
      <w:r>
        <w:lastRenderedPageBreak/>
        <w:t xml:space="preserve">Terrestrial </w:t>
      </w:r>
      <w:r w:rsidR="00A5005D">
        <w:t>h</w:t>
      </w:r>
      <w:r>
        <w:t>abitat</w:t>
      </w:r>
      <w:bookmarkEnd w:id="337"/>
      <w:bookmarkEnd w:id="338"/>
      <w:bookmarkEnd w:id="339"/>
    </w:p>
    <w:p w:rsidR="001E6B61" w:rsidRDefault="007F600C">
      <w:pPr>
        <w:pStyle w:val="bt"/>
        <w:spacing w:after="120"/>
      </w:pPr>
      <w:r w:rsidRPr="007F600C">
        <w:t>Terrestrial habitat incorporates native vegetation as well as other elements of the landscape, such as rocks, fallen timber and soil. Terrestrial habitat supports biodiversity within the region. Biodiversity encompasses a range of living things and ecosystems, which evolve and adapt to environmental chang</w:t>
      </w:r>
      <w:r w:rsidR="00703868">
        <w:t>e over time. Highly significant</w:t>
      </w:r>
      <w:r w:rsidRPr="007F600C">
        <w:t xml:space="preserve"> biodiversity values are found across the Hume Region including many species of plants and animals. The focus of many environmental management programs is to increase the coverage of native vegetation and connections across the landscape, which in turn provides benefits for other biodiversity values.</w:t>
      </w:r>
    </w:p>
    <w:p w:rsidR="0087602D" w:rsidRDefault="00F02956">
      <w:pPr>
        <w:pStyle w:val="bt"/>
        <w:sectPr w:rsidR="0087602D" w:rsidSect="009075F4">
          <w:pgSz w:w="11906" w:h="16838"/>
          <w:pgMar w:top="1530" w:right="1440" w:bottom="993" w:left="1440" w:header="708" w:footer="708" w:gutter="0"/>
          <w:cols w:space="708"/>
          <w:docGrid w:linePitch="360"/>
        </w:sectPr>
      </w:pPr>
      <w:r w:rsidRPr="00F02956">
        <w:t>The regional growth plans across the state use the highest three levels of the Department of Environment and Primary Industries’ NaturePrint</w:t>
      </w:r>
      <w:r>
        <w:rPr>
          <w:rStyle w:val="FootnoteReference"/>
        </w:rPr>
        <w:footnoteReference w:id="6"/>
      </w:r>
      <w:r w:rsidRPr="00F02956">
        <w:t xml:space="preserve"> Strategic Natural Values mapping tool to identify significant clusters of terrestrial ha</w:t>
      </w:r>
      <w:r>
        <w:t>bitat across the state (</w:t>
      </w:r>
      <w:r w:rsidR="00AA3D97">
        <w:fldChar w:fldCharType="begin"/>
      </w:r>
      <w:r w:rsidR="00AE1F3B">
        <w:instrText xml:space="preserve"> REF _Ref363467195 \h </w:instrText>
      </w:r>
      <w:r w:rsidR="00AA3D97">
        <w:fldChar w:fldCharType="separate"/>
      </w:r>
      <w:r w:rsidR="009034D4">
        <w:t xml:space="preserve">Figure </w:t>
      </w:r>
      <w:r w:rsidR="009034D4">
        <w:rPr>
          <w:noProof/>
        </w:rPr>
        <w:t>17</w:t>
      </w:r>
      <w:r w:rsidR="00AA3D97">
        <w:fldChar w:fldCharType="end"/>
      </w:r>
      <w:r w:rsidRPr="00F02956">
        <w:t>).</w:t>
      </w:r>
    </w:p>
    <w:p w:rsidR="000800DD" w:rsidRDefault="00F02956">
      <w:pPr>
        <w:pStyle w:val="Caption"/>
      </w:pPr>
      <w:bookmarkStart w:id="340" w:name="_Ref363467195"/>
      <w:bookmarkStart w:id="341" w:name="_Toc374612542"/>
      <w:r>
        <w:lastRenderedPageBreak/>
        <w:t xml:space="preserve">Figure </w:t>
      </w:r>
      <w:r w:rsidR="00AA3D97">
        <w:fldChar w:fldCharType="begin"/>
      </w:r>
      <w:r>
        <w:instrText xml:space="preserve"> SEQ Figure \* ARABIC </w:instrText>
      </w:r>
      <w:r w:rsidR="00AA3D97">
        <w:fldChar w:fldCharType="separate"/>
      </w:r>
      <w:r w:rsidR="009034D4">
        <w:rPr>
          <w:noProof/>
        </w:rPr>
        <w:t>17</w:t>
      </w:r>
      <w:r w:rsidR="00AA3D97">
        <w:fldChar w:fldCharType="end"/>
      </w:r>
      <w:bookmarkEnd w:id="340"/>
      <w:r>
        <w:t>: Areas of high value</w:t>
      </w:r>
      <w:r w:rsidR="00F26A7C">
        <w:t xml:space="preserve"> terrestrial habitat</w:t>
      </w:r>
      <w:bookmarkEnd w:id="341"/>
    </w:p>
    <w:p w:rsidR="007D1E72" w:rsidRPr="007D1E72" w:rsidRDefault="007D1E72" w:rsidP="007D1E72">
      <w:pPr>
        <w:pStyle w:val="bt"/>
      </w:pPr>
      <w:r>
        <w:t>[</w:t>
      </w:r>
      <w:r w:rsidRPr="007D1E72">
        <w:t>Map showing areas of high value terrestrial habitat in the Hume region</w:t>
      </w:r>
      <w:r>
        <w:t>]</w:t>
      </w:r>
    </w:p>
    <w:p w:rsidR="0087602D" w:rsidRDefault="00BA3E62" w:rsidP="0061220F">
      <w:pPr>
        <w:pStyle w:val="source"/>
        <w:sectPr w:rsidR="0087602D" w:rsidSect="0087602D">
          <w:pgSz w:w="16838" w:h="11906" w:orient="landscape"/>
          <w:pgMar w:top="1440" w:right="1702" w:bottom="993" w:left="993" w:header="708" w:footer="708" w:gutter="0"/>
          <w:cols w:space="708"/>
          <w:docGrid w:linePitch="360"/>
        </w:sectPr>
      </w:pPr>
      <w:r>
        <w:t>Source: Department of Transport, Planning and Local Infrastructure</w:t>
      </w:r>
    </w:p>
    <w:p w:rsidR="007A143F" w:rsidRDefault="007F600C">
      <w:pPr>
        <w:pStyle w:val="bt"/>
      </w:pPr>
      <w:r w:rsidRPr="007F600C">
        <w:lastRenderedPageBreak/>
        <w:t xml:space="preserve">Originally the </w:t>
      </w:r>
      <w:r w:rsidR="00A16C3D">
        <w:t>r</w:t>
      </w:r>
      <w:r w:rsidRPr="007F600C">
        <w:t>egion was covered with grasslands, woodland and forests. The region has undergone extensive modification over time and is now a diverse landscape with a mosaic of intensive areas of agricultural production in the Goulburn and Ovens valleys, extensive grazing in the upland regions, cropping on the riverine plains and forested areas on the higher slopes, particularly on public land.</w:t>
      </w:r>
    </w:p>
    <w:p w:rsidR="001E6B61" w:rsidRDefault="007F600C">
      <w:pPr>
        <w:pStyle w:val="bt"/>
        <w:spacing w:after="120"/>
      </w:pPr>
      <w:r w:rsidRPr="007F600C">
        <w:t>In the irrigated agricultural areas of the north</w:t>
      </w:r>
      <w:r w:rsidR="00E94208">
        <w:t>-</w:t>
      </w:r>
      <w:r w:rsidRPr="007F600C">
        <w:t>west of the region, up to 97</w:t>
      </w:r>
      <w:r w:rsidR="00295F7D">
        <w:t xml:space="preserve"> per cent</w:t>
      </w:r>
      <w:r w:rsidR="00295F7D" w:rsidRPr="007F600C">
        <w:t xml:space="preserve"> </w:t>
      </w:r>
      <w:r w:rsidRPr="007F600C">
        <w:t xml:space="preserve">of the vegetation has been cleared. Most of the remaining native vegetation is now found on roadsides and private land and is of poor quality due to limited diversity and lack of an understorey, as a result of grazing pressures. In this part of the region, many species of plants and animals are threatened and some species may not survive without action to improve the size and condition of available habitat. </w:t>
      </w:r>
    </w:p>
    <w:p w:rsidR="001E6B61" w:rsidRDefault="007F600C">
      <w:pPr>
        <w:pStyle w:val="bt"/>
        <w:spacing w:after="120"/>
      </w:pPr>
      <w:r w:rsidRPr="007F600C">
        <w:t>Outside the irrigation districts and the large national parks to the south, there are various smaller public parks and stands of native vegetation on private land or on public roadsides. However</w:t>
      </w:r>
      <w:r w:rsidR="00703868">
        <w:t>,</w:t>
      </w:r>
      <w:r w:rsidRPr="007F600C">
        <w:t xml:space="preserve"> there is generally a lack of connectivity between vegetated areas. Connectivity is important to sustain the productivity of landscapes and to enhance environmental assets across the landscape.</w:t>
      </w:r>
    </w:p>
    <w:p w:rsidR="001E6B61" w:rsidRDefault="007F600C">
      <w:pPr>
        <w:pStyle w:val="bt"/>
        <w:spacing w:before="0"/>
      </w:pPr>
      <w:r w:rsidRPr="007F600C">
        <w:t xml:space="preserve">The </w:t>
      </w:r>
      <w:r w:rsidR="00A16C3D">
        <w:t>plan</w:t>
      </w:r>
      <w:r w:rsidR="00A16C3D" w:rsidRPr="007F600C">
        <w:t xml:space="preserve"> </w:t>
      </w:r>
      <w:r w:rsidRPr="007F600C">
        <w:t xml:space="preserve">suggests that environmental initiatives in the region should aim to enhance the resilience of remnant vegetation </w:t>
      </w:r>
      <w:r w:rsidR="00E94208">
        <w:t xml:space="preserve">by </w:t>
      </w:r>
      <w:r w:rsidRPr="007F600C">
        <w:t>increasing patch sizes and re-establishing connectivity between areas of vegetation and along waterways.</w:t>
      </w:r>
    </w:p>
    <w:p w:rsidR="007A143F" w:rsidRDefault="007F600C">
      <w:pPr>
        <w:pStyle w:val="bt"/>
      </w:pPr>
      <w:r w:rsidRPr="007F600C">
        <w:t xml:space="preserve">The </w:t>
      </w:r>
      <w:r w:rsidR="00A16C3D">
        <w:t>plan</w:t>
      </w:r>
      <w:r w:rsidR="00A16C3D" w:rsidRPr="007F600C">
        <w:t xml:space="preserve"> </w:t>
      </w:r>
      <w:r w:rsidRPr="007F600C">
        <w:t>recognises that actions aimed at increasing landscape connectivity will require careful planning to ensure due regard is given to ecological considerations, bushfire management and implications for nearby settlements. Opportunities exist to locate offset planting associated with clearing of vegetation to enhance vegetation corridors within the landscape. Economic opportunities such as payments for providing ecosystem services</w:t>
      </w:r>
      <w:r w:rsidR="007753E9">
        <w:t xml:space="preserve">, </w:t>
      </w:r>
      <w:r w:rsidR="003467C9">
        <w:t>including</w:t>
      </w:r>
      <w:r w:rsidR="003467C9" w:rsidRPr="007F600C">
        <w:t xml:space="preserve"> clean</w:t>
      </w:r>
      <w:r w:rsidRPr="007F600C">
        <w:t xml:space="preserve"> water, clean air</w:t>
      </w:r>
      <w:r w:rsidR="00295F7D">
        <w:t xml:space="preserve"> and</w:t>
      </w:r>
      <w:r w:rsidR="00295F7D" w:rsidRPr="007F600C">
        <w:t xml:space="preserve"> </w:t>
      </w:r>
      <w:r w:rsidRPr="007F600C">
        <w:t>biodiversity</w:t>
      </w:r>
      <w:r w:rsidR="00D02FED">
        <w:t>,</w:t>
      </w:r>
      <w:r w:rsidRPr="007F600C">
        <w:t xml:space="preserve"> firewood plantations and carbon farming </w:t>
      </w:r>
      <w:r w:rsidR="00765C0B">
        <w:t xml:space="preserve">could </w:t>
      </w:r>
      <w:r w:rsidRPr="007F600C">
        <w:t xml:space="preserve">help to protect and enhance terrestrial habitat in the region. Establishing private conservation reserves through Trust for Nature covenants and similar mechanisms could also make a useful contribution. </w:t>
      </w:r>
    </w:p>
    <w:p w:rsidR="007A143F" w:rsidRDefault="007F600C">
      <w:pPr>
        <w:pStyle w:val="bt"/>
      </w:pPr>
      <w:r w:rsidRPr="007F600C">
        <w:t xml:space="preserve">The </w:t>
      </w:r>
      <w:r w:rsidR="00A16C3D">
        <w:t>plan</w:t>
      </w:r>
      <w:r w:rsidR="00A16C3D" w:rsidRPr="007F600C">
        <w:t xml:space="preserve"> </w:t>
      </w:r>
      <w:r w:rsidRPr="007F600C">
        <w:t>seeks to use strategic planning processes to facilitate the establishment of vegetation networks at a local and regional level, in order to help maintain and enhance the region’s terrestrial habitat and links to waterways and wetlands. It encourages approaches such as that used by the Wodonga Retained Environmental Network, which has created new public reserves to provide permanent protection to native vegetation, as well as giving strategic direction for conservation of significant areas and acceptable clearing for new development.</w:t>
      </w:r>
    </w:p>
    <w:p w:rsidR="007A143F" w:rsidRDefault="007F600C">
      <w:pPr>
        <w:pStyle w:val="bt"/>
      </w:pPr>
      <w:r w:rsidRPr="007F600C">
        <w:t>Pressures for urban and rural residential development in areas of high amenity or natural values, such as in the peri-urban hills, present a threat to environmental assets</w:t>
      </w:r>
      <w:r w:rsidR="00B538E6">
        <w:t>. However</w:t>
      </w:r>
      <w:r w:rsidR="00D529C2">
        <w:t>,</w:t>
      </w:r>
      <w:r w:rsidR="00B538E6">
        <w:t xml:space="preserve"> they</w:t>
      </w:r>
      <w:r w:rsidRPr="007F600C">
        <w:t xml:space="preserve"> also provide opportunities for tourism and other economic diversification in the region.</w:t>
      </w:r>
      <w:r w:rsidR="00B538E6" w:rsidRPr="00B538E6">
        <w:t xml:space="preserve"> </w:t>
      </w:r>
      <w:r w:rsidR="00B538E6">
        <w:t>A</w:t>
      </w:r>
      <w:r w:rsidR="00B538E6" w:rsidRPr="007F600C">
        <w:t xml:space="preserve"> key challenge for regional and local planning</w:t>
      </w:r>
      <w:r w:rsidR="00B538E6">
        <w:t xml:space="preserve"> is</w:t>
      </w:r>
      <w:r w:rsidRPr="007F600C">
        <w:t xml:space="preserve"> </w:t>
      </w:r>
      <w:r w:rsidR="00B538E6">
        <w:t>balancing these pressures</w:t>
      </w:r>
      <w:r w:rsidRPr="007F600C">
        <w:t xml:space="preserve"> along with natural hazards and other risks</w:t>
      </w:r>
      <w:r w:rsidR="00A16C3D">
        <w:t>,</w:t>
      </w:r>
      <w:r w:rsidRPr="007F600C">
        <w:t xml:space="preserve"> such as increases in pe</w:t>
      </w:r>
      <w:r w:rsidR="00B538E6">
        <w:t>st plants and animals</w:t>
      </w:r>
      <w:r w:rsidRPr="007F600C">
        <w:t>. The costs of infrastructure provision in these areas may also be a constraint on development.</w:t>
      </w:r>
    </w:p>
    <w:p w:rsidR="007A143F" w:rsidRDefault="007F600C" w:rsidP="00906ABF">
      <w:pPr>
        <w:pStyle w:val="bt"/>
        <w:spacing w:after="0"/>
      </w:pPr>
      <w:r w:rsidRPr="007F600C">
        <w:t xml:space="preserve">Removal of vegetation, combined with the expected effects of climate change, may have significant impacts on </w:t>
      </w:r>
      <w:r w:rsidR="00D02FED">
        <w:t xml:space="preserve">native </w:t>
      </w:r>
      <w:r w:rsidRPr="007F600C">
        <w:t>species. Land use planning decisions will need to consider indirect consequences</w:t>
      </w:r>
      <w:r w:rsidR="00D529C2">
        <w:t>,</w:t>
      </w:r>
      <w:r w:rsidRPr="007F600C">
        <w:t xml:space="preserve"> such as the effect of loss of terrestrial habitat on the viability of species in particular areas. The </w:t>
      </w:r>
      <w:r w:rsidR="00A16C3D">
        <w:t>plan</w:t>
      </w:r>
      <w:r w:rsidR="00A16C3D" w:rsidRPr="007F600C">
        <w:t xml:space="preserve"> </w:t>
      </w:r>
      <w:r w:rsidRPr="007F600C">
        <w:t xml:space="preserve">recognises </w:t>
      </w:r>
      <w:r w:rsidR="00765C0B" w:rsidRPr="007F600C">
        <w:t xml:space="preserve">the impacts of land use change and development </w:t>
      </w:r>
      <w:r w:rsidR="00141087">
        <w:t xml:space="preserve">could </w:t>
      </w:r>
      <w:r w:rsidR="00765C0B" w:rsidRPr="007F600C">
        <w:t xml:space="preserve">be minimised </w:t>
      </w:r>
      <w:r w:rsidR="00E16976">
        <w:t xml:space="preserve">to </w:t>
      </w:r>
      <w:r w:rsidRPr="007F600C">
        <w:t>protect and enhance environmental assets and their economic contribution</w:t>
      </w:r>
      <w:r w:rsidR="00141087">
        <w:t xml:space="preserve">. This could be achieved </w:t>
      </w:r>
      <w:r w:rsidRPr="007F600C">
        <w:t>by:</w:t>
      </w:r>
    </w:p>
    <w:p w:rsidR="007A143F" w:rsidRDefault="007F600C" w:rsidP="001A3FCF">
      <w:pPr>
        <w:pStyle w:val="ListBullet"/>
      </w:pPr>
      <w:r w:rsidRPr="007F600C">
        <w:t>directing growth towards areas identified as having lower environmental values</w:t>
      </w:r>
    </w:p>
    <w:p w:rsidR="007A143F" w:rsidRDefault="007F600C" w:rsidP="001A3FCF">
      <w:pPr>
        <w:pStyle w:val="ListBullet"/>
      </w:pPr>
      <w:r w:rsidRPr="007F600C">
        <w:t>avoiding development in areas with regionally significant terrestrial habitat</w:t>
      </w:r>
    </w:p>
    <w:p w:rsidR="007A143F" w:rsidRDefault="007F600C" w:rsidP="001A3FCF">
      <w:pPr>
        <w:pStyle w:val="ListBullet"/>
      </w:pPr>
      <w:r w:rsidRPr="007F600C">
        <w:t>protecting significant vegetation assets through appropriate land use controls</w:t>
      </w:r>
    </w:p>
    <w:p w:rsidR="007A143F" w:rsidRDefault="007F600C" w:rsidP="001A3FCF">
      <w:pPr>
        <w:pStyle w:val="ListBullet"/>
        <w:rPr>
          <w:szCs w:val="20"/>
        </w:rPr>
      </w:pPr>
      <w:r w:rsidRPr="007F600C">
        <w:t>improving regional vegetation connectivity by enhancing corridors between existing areas of native vegetation.</w:t>
      </w:r>
    </w:p>
    <w:p w:rsidR="007A143F" w:rsidRDefault="007F600C">
      <w:pPr>
        <w:pStyle w:val="bt"/>
      </w:pPr>
      <w:r w:rsidRPr="007F600C">
        <w:lastRenderedPageBreak/>
        <w:t xml:space="preserve">The </w:t>
      </w:r>
      <w:r w:rsidR="00A16C3D">
        <w:t>plan</w:t>
      </w:r>
      <w:r w:rsidR="00A16C3D" w:rsidRPr="007F600C">
        <w:t xml:space="preserve"> </w:t>
      </w:r>
      <w:r w:rsidRPr="007F600C">
        <w:t>notes, however, that the potential impacts of land use planning decisions on specific threatened flora and fauna species needs to be considered through local planning mechanisms, rather than at the regional scale.</w:t>
      </w:r>
    </w:p>
    <w:p w:rsidR="007A143F" w:rsidRDefault="007F600C">
      <w:pPr>
        <w:pStyle w:val="bt"/>
      </w:pPr>
      <w:r w:rsidRPr="007F600C">
        <w:t xml:space="preserve">Future decisions need to consider the strategic directions of the </w:t>
      </w:r>
      <w:r w:rsidR="00B538E6">
        <w:t>r</w:t>
      </w:r>
      <w:r w:rsidRPr="007F600C">
        <w:t xml:space="preserve">egional </w:t>
      </w:r>
      <w:r w:rsidR="00B538E6">
        <w:t>c</w:t>
      </w:r>
      <w:r w:rsidRPr="007F600C">
        <w:t xml:space="preserve">atchment </w:t>
      </w:r>
      <w:r w:rsidR="00B538E6">
        <w:t>s</w:t>
      </w:r>
      <w:r w:rsidRPr="007F600C">
        <w:t>trategies and sub-strategies as well as other relevant documents</w:t>
      </w:r>
      <w:r w:rsidR="00D529C2">
        <w:t>,</w:t>
      </w:r>
      <w:r w:rsidRPr="007F600C">
        <w:t xml:space="preserve"> such as state and local government strategies and policies, including planning schemes. Equally, revisions to natural resource management strategies should consider the directions of the </w:t>
      </w:r>
      <w:r w:rsidR="00887C34">
        <w:t>p</w:t>
      </w:r>
      <w:r w:rsidR="00887C34" w:rsidRPr="007F600C">
        <w:t>lan</w:t>
      </w:r>
      <w:r w:rsidRPr="007F600C">
        <w:t>. Alignment of processes and strategies will contribute to the protection and enhancement of regional biodiversity assets.</w:t>
      </w:r>
    </w:p>
    <w:p w:rsidR="008335F4" w:rsidRDefault="008335F4" w:rsidP="00A41B2E">
      <w:pPr>
        <w:pStyle w:val="Heading3"/>
        <w:numPr>
          <w:ilvl w:val="2"/>
          <w:numId w:val="14"/>
        </w:numPr>
        <w:tabs>
          <w:tab w:val="clear" w:pos="720"/>
          <w:tab w:val="clear" w:pos="900"/>
        </w:tabs>
        <w:ind w:left="851" w:hanging="851"/>
      </w:pPr>
      <w:bookmarkStart w:id="342" w:name="_Toc355970836"/>
      <w:bookmarkStart w:id="343" w:name="_Toc359422982"/>
      <w:bookmarkStart w:id="344" w:name="_Toc374612483"/>
      <w:r>
        <w:t xml:space="preserve">Water and </w:t>
      </w:r>
      <w:r w:rsidR="00A5005D">
        <w:t>l</w:t>
      </w:r>
      <w:r>
        <w:t xml:space="preserve">and </w:t>
      </w:r>
      <w:r w:rsidR="00A5005D">
        <w:t>u</w:t>
      </w:r>
      <w:r>
        <w:t>se</w:t>
      </w:r>
      <w:bookmarkEnd w:id="342"/>
      <w:bookmarkEnd w:id="343"/>
      <w:bookmarkEnd w:id="344"/>
    </w:p>
    <w:p w:rsidR="00C55CA2" w:rsidRDefault="008335F4" w:rsidP="00C55CA2">
      <w:pPr>
        <w:pStyle w:val="bt"/>
      </w:pPr>
      <w:r w:rsidRPr="008335F4">
        <w:t xml:space="preserve">The waterways (rivers and wetlands) of the Hume Region are highly significant environmental and economic assets. </w:t>
      </w:r>
      <w:r w:rsidR="00C55CA2">
        <w:t>Significant rivers and creeks in the region include those linked to the Upper Murray, Kiewa, Ovens, Broken and Goulburn River catchments, all which flow to the Murray River. The south of the region also includes the upper catchments of some rivers which flow to the south of the Great Dividing Range, including the Mitchell and Thomson River catchments. Catchment management authorities are reviewing their current regional river health strategies to develop regional waterway strategies. These strategies identify priority river reaches for protection and enhancement works. The region contains four Victorian Her</w:t>
      </w:r>
      <w:r w:rsidR="00770B0A">
        <w:t>itage Rivers</w:t>
      </w:r>
      <w:r w:rsidR="00770B0A">
        <w:rPr>
          <w:rStyle w:val="FootnoteReference"/>
        </w:rPr>
        <w:footnoteReference w:id="7"/>
      </w:r>
      <w:r w:rsidR="00770B0A">
        <w:t xml:space="preserve"> (refer to </w:t>
      </w:r>
      <w:r w:rsidR="00AA3D97">
        <w:fldChar w:fldCharType="begin"/>
      </w:r>
      <w:r w:rsidR="00AE1F3B">
        <w:instrText xml:space="preserve"> REF _Ref363467281 \h </w:instrText>
      </w:r>
      <w:r w:rsidR="00AA3D97">
        <w:fldChar w:fldCharType="separate"/>
      </w:r>
      <w:r w:rsidR="009034D4">
        <w:t xml:space="preserve">Figure </w:t>
      </w:r>
      <w:r w:rsidR="009034D4">
        <w:rPr>
          <w:noProof/>
        </w:rPr>
        <w:t>18</w:t>
      </w:r>
      <w:r w:rsidR="00AA3D97">
        <w:fldChar w:fldCharType="end"/>
      </w:r>
      <w:r w:rsidR="00C55CA2">
        <w:t>).</w:t>
      </w:r>
    </w:p>
    <w:p w:rsidR="00C55CA2" w:rsidRDefault="00C55CA2" w:rsidP="00C55CA2">
      <w:pPr>
        <w:pStyle w:val="bt"/>
      </w:pPr>
      <w:r>
        <w:t xml:space="preserve">There are thousands of wetlands within the region that range from small shallow depressions in paddocks to deep water storages, as well as peatbog wetlands in alpine areas. Some wetlands in the region are recognised for their significance at international and national levels, through listing on the Ramsar </w:t>
      </w:r>
      <w:r w:rsidR="007753E9">
        <w:t>C</w:t>
      </w:r>
      <w:r>
        <w:t>onvention and in the Directory of Important Wetlands in Australia</w:t>
      </w:r>
      <w:r w:rsidR="007753E9">
        <w:t>.</w:t>
      </w:r>
      <w:r>
        <w:t xml:space="preserve"> </w:t>
      </w:r>
      <w:r w:rsidR="007753E9">
        <w:t>N</w:t>
      </w:r>
      <w:r>
        <w:t xml:space="preserve">ote, listings on the Directory include Ramsar listed wetlands and Victorian Heritage Rivers, as well as other nationally significant wetlands (refer to </w:t>
      </w:r>
      <w:r w:rsidR="00AA3D97">
        <w:fldChar w:fldCharType="begin"/>
      </w:r>
      <w:r w:rsidR="00AE1F3B">
        <w:instrText xml:space="preserve"> REF _Ref363467281 \h </w:instrText>
      </w:r>
      <w:r w:rsidR="00AA3D97">
        <w:fldChar w:fldCharType="separate"/>
      </w:r>
      <w:r w:rsidR="009034D4">
        <w:t xml:space="preserve">Figure </w:t>
      </w:r>
      <w:r w:rsidR="009034D4">
        <w:rPr>
          <w:noProof/>
        </w:rPr>
        <w:t>18</w:t>
      </w:r>
      <w:r w:rsidR="00AA3D97">
        <w:fldChar w:fldCharType="end"/>
      </w:r>
      <w:r>
        <w:t>).</w:t>
      </w:r>
    </w:p>
    <w:p w:rsidR="00AE1F3B" w:rsidRDefault="00AE1F3B">
      <w:pPr>
        <w:rPr>
          <w:rFonts w:eastAsia="Times New Roman" w:cstheme="minorHAnsi"/>
          <w:bCs/>
          <w:i/>
          <w:color w:val="000000" w:themeColor="text1"/>
          <w:szCs w:val="20"/>
        </w:rPr>
      </w:pPr>
    </w:p>
    <w:p w:rsidR="00AE1F3B" w:rsidRDefault="00AE1F3B" w:rsidP="00C55CA2">
      <w:pPr>
        <w:pStyle w:val="Caption"/>
        <w:sectPr w:rsidR="00AE1F3B" w:rsidSect="009075F4">
          <w:pgSz w:w="11906" w:h="16838"/>
          <w:pgMar w:top="1530" w:right="1440" w:bottom="993" w:left="1440" w:header="708" w:footer="708" w:gutter="0"/>
          <w:cols w:space="708"/>
          <w:docGrid w:linePitch="360"/>
        </w:sectPr>
      </w:pPr>
    </w:p>
    <w:p w:rsidR="00BA3E62" w:rsidRDefault="00C55CA2" w:rsidP="00F26A7C">
      <w:pPr>
        <w:pStyle w:val="Caption"/>
      </w:pPr>
      <w:bookmarkStart w:id="345" w:name="_Ref363467281"/>
      <w:bookmarkStart w:id="346" w:name="_Toc374612543"/>
      <w:r>
        <w:lastRenderedPageBreak/>
        <w:t xml:space="preserve">Figure </w:t>
      </w:r>
      <w:r w:rsidR="00AA3D97">
        <w:fldChar w:fldCharType="begin"/>
      </w:r>
      <w:r>
        <w:instrText xml:space="preserve"> SEQ Figure \* ARABIC </w:instrText>
      </w:r>
      <w:r w:rsidR="00AA3D97">
        <w:fldChar w:fldCharType="separate"/>
      </w:r>
      <w:r w:rsidR="009034D4">
        <w:rPr>
          <w:noProof/>
        </w:rPr>
        <w:t>18</w:t>
      </w:r>
      <w:r w:rsidR="00AA3D97">
        <w:fldChar w:fldCharType="end"/>
      </w:r>
      <w:bookmarkEnd w:id="345"/>
      <w:r>
        <w:t>:</w:t>
      </w:r>
      <w:r w:rsidRPr="00C55CA2">
        <w:t xml:space="preserve"> Regionally significant waterways of the Hume Region</w:t>
      </w:r>
      <w:bookmarkEnd w:id="346"/>
    </w:p>
    <w:p w:rsidR="007D1E72" w:rsidRPr="007D1E72" w:rsidRDefault="007D1E72" w:rsidP="007D1E72">
      <w:pPr>
        <w:pStyle w:val="bt"/>
      </w:pPr>
      <w:r>
        <w:t>[</w:t>
      </w:r>
      <w:r w:rsidRPr="007D1E72">
        <w:t>Map showing regionally significant waterways of the Hume Region</w:t>
      </w:r>
      <w:r>
        <w:t>]</w:t>
      </w:r>
    </w:p>
    <w:p w:rsidR="00BA3E62" w:rsidRPr="00BA3E62" w:rsidRDefault="00BA3E62" w:rsidP="0061220F">
      <w:pPr>
        <w:pStyle w:val="source"/>
      </w:pPr>
      <w:r>
        <w:t>Source: Department of Transport, Planning and Local Infrastructure</w:t>
      </w:r>
    </w:p>
    <w:p w:rsidR="00AE1F3B" w:rsidRPr="00BA3E62" w:rsidRDefault="00AE1F3B" w:rsidP="0061220F">
      <w:pPr>
        <w:pStyle w:val="source"/>
        <w:sectPr w:rsidR="00AE1F3B" w:rsidRPr="00BA3E62" w:rsidSect="0087602D">
          <w:pgSz w:w="16838" w:h="11906" w:orient="landscape"/>
          <w:pgMar w:top="1440" w:right="1702" w:bottom="993" w:left="993" w:header="708" w:footer="708" w:gutter="0"/>
          <w:cols w:space="708"/>
          <w:docGrid w:linePitch="360"/>
        </w:sectPr>
      </w:pPr>
    </w:p>
    <w:p w:rsidR="007A143F" w:rsidRDefault="00C55CA2">
      <w:pPr>
        <w:pStyle w:val="bt"/>
      </w:pPr>
      <w:r w:rsidRPr="00C55CA2">
        <w:lastRenderedPageBreak/>
        <w:t>The waterways of the region</w:t>
      </w:r>
      <w:r w:rsidR="008335F4" w:rsidRPr="008335F4">
        <w:t xml:space="preserve"> provide water for the environment and feed major water storages including Lake Hume, Lake Eildon and Dartmouth Dam. The region’s significant irrigation infrastructure supplies water for one of Australia’s major food-producing areas, including the </w:t>
      </w:r>
      <w:r w:rsidR="00A82FD7">
        <w:t xml:space="preserve">food bowl </w:t>
      </w:r>
      <w:r w:rsidR="008335F4" w:rsidRPr="008335F4">
        <w:t>area, settlements and farms</w:t>
      </w:r>
      <w:r w:rsidR="00A16C3D">
        <w:t xml:space="preserve">. </w:t>
      </w:r>
      <w:r w:rsidR="00A24883" w:rsidRPr="00A24883">
        <w:t>In other parts of the region</w:t>
      </w:r>
      <w:r w:rsidR="007753E9">
        <w:t>,</w:t>
      </w:r>
      <w:r w:rsidR="00A24883" w:rsidRPr="00A24883">
        <w:t xml:space="preserve"> such as the Kiewa Valley, irrigation water is extracted direct from the source to support agricultural production.</w:t>
      </w:r>
      <w:r w:rsidR="00A24883">
        <w:t xml:space="preserve"> </w:t>
      </w:r>
      <w:r w:rsidR="008335F4" w:rsidRPr="008335F4">
        <w:t xml:space="preserve">Water supply infrastructure is discussed in </w:t>
      </w:r>
      <w:r w:rsidR="009E2C3B">
        <w:t xml:space="preserve">more detail in </w:t>
      </w:r>
      <w:r w:rsidR="00B538E6">
        <w:t>s</w:t>
      </w:r>
      <w:r w:rsidR="009E2C3B">
        <w:t>ection 12</w:t>
      </w:r>
      <w:r w:rsidR="008335F4" w:rsidRPr="008335F4">
        <w:t>.</w:t>
      </w:r>
    </w:p>
    <w:p w:rsidR="007A143F" w:rsidRDefault="008335F4">
      <w:pPr>
        <w:pStyle w:val="bt"/>
      </w:pPr>
      <w:r w:rsidRPr="008335F4">
        <w:t>Approximately 60</w:t>
      </w:r>
      <w:r w:rsidR="00B538E6">
        <w:t xml:space="preserve"> per cent</w:t>
      </w:r>
      <w:r w:rsidRPr="008335F4">
        <w:t xml:space="preserve"> of the rivers and wetlands in the </w:t>
      </w:r>
      <w:r w:rsidR="00A16C3D">
        <w:t>r</w:t>
      </w:r>
      <w:r w:rsidRPr="008335F4">
        <w:t>egion are in moderate to poor condition. There have been significant impacts on rivers, streams and wetlands from river regulation and flow diversion, urban and agricultural development, catchment clearing and run-off of untreated stormwater and wastewater. Wetlands on private land are particularly at risk and work is needed to identify appropriate tools, including planning provisions, to protect and enhance them.</w:t>
      </w:r>
    </w:p>
    <w:p w:rsidR="007A143F" w:rsidRDefault="008335F4">
      <w:pPr>
        <w:pStyle w:val="bt"/>
      </w:pPr>
      <w:r w:rsidRPr="008335F4">
        <w:t>In addition to their environmental function, waterways and significant wetland complexes provide a variety of opportunities for nature-based</w:t>
      </w:r>
      <w:r w:rsidR="0028065D">
        <w:t xml:space="preserve"> and cultural heritage</w:t>
      </w:r>
      <w:r w:rsidRPr="008335F4">
        <w:t xml:space="preserve"> tourism throughout the region, </w:t>
      </w:r>
      <w:r w:rsidR="0028441B">
        <w:t xml:space="preserve">and </w:t>
      </w:r>
      <w:r w:rsidRPr="008335F4">
        <w:t>add to the amenity values of the landscape. Many urban settlements in the region are located adjacent to rivers that can be used as a centrepiece or design focus within the urban landscape, to enhance liveability and connections with environmental assets.</w:t>
      </w:r>
    </w:p>
    <w:p w:rsidR="007A143F" w:rsidRDefault="00A15242">
      <w:pPr>
        <w:pStyle w:val="bt"/>
      </w:pPr>
      <w:r>
        <w:t>C</w:t>
      </w:r>
      <w:r w:rsidR="00A16C3D">
        <w:t xml:space="preserve">atchment </w:t>
      </w:r>
      <w:r w:rsidR="00B538E6">
        <w:t>m</w:t>
      </w:r>
      <w:r w:rsidR="00A16C3D">
        <w:t xml:space="preserve">anagement </w:t>
      </w:r>
      <w:r w:rsidR="00B538E6">
        <w:t>a</w:t>
      </w:r>
      <w:r w:rsidR="00A16C3D">
        <w:t>uthorities</w:t>
      </w:r>
      <w:r w:rsidR="008335F4" w:rsidRPr="008335F4">
        <w:t xml:space="preserve"> are responsible for planning and implementing strategic actions to improve the health of waterways and wetlands in the region. The </w:t>
      </w:r>
      <w:r w:rsidR="007919AA">
        <w:t>plan</w:t>
      </w:r>
      <w:r w:rsidR="007919AA" w:rsidRPr="008335F4">
        <w:t xml:space="preserve"> </w:t>
      </w:r>
      <w:r w:rsidR="008335F4" w:rsidRPr="008335F4">
        <w:t xml:space="preserve">recognises that supporting measures need to be integrated into local and regional land use planning. The highly dynamic nature of some </w:t>
      </w:r>
      <w:r w:rsidR="0028441B">
        <w:t xml:space="preserve">regional </w:t>
      </w:r>
      <w:r w:rsidR="008335F4" w:rsidRPr="008335F4">
        <w:t>waterways needs to be considered as part of land use planning processes. Decisions regarding the use and development of land along major waterways, on floodplains and around key water bodies should be consistent across the region to manage potential impacts.</w:t>
      </w:r>
    </w:p>
    <w:p w:rsidR="00BE6A8F" w:rsidRDefault="008335F4">
      <w:pPr>
        <w:pStyle w:val="bt"/>
      </w:pPr>
      <w:r w:rsidRPr="008335F4">
        <w:t xml:space="preserve">Groundwater is a significant but variable resource within the </w:t>
      </w:r>
      <w:r w:rsidR="00887C34">
        <w:t>r</w:t>
      </w:r>
      <w:r w:rsidRPr="008335F4">
        <w:t xml:space="preserve">egion. Groundwater supplies in some areas may not be suitable for potable use and this could become an issue if groundwater is </w:t>
      </w:r>
      <w:r w:rsidR="0028441B">
        <w:t xml:space="preserve">required </w:t>
      </w:r>
      <w:r w:rsidRPr="008335F4">
        <w:t xml:space="preserve">to meet future water supply needs for settlements. This water is often still a viable resource for agriculture and industry and some opportunities may exist to increase its use for these purposes. However, due to the links between rainfall, groundwater levels and salinity, groundwater resources will continue to be managed carefully. </w:t>
      </w:r>
    </w:p>
    <w:p w:rsidR="007A143F" w:rsidRDefault="008335F4">
      <w:pPr>
        <w:pStyle w:val="bt"/>
      </w:pPr>
      <w:r w:rsidRPr="008335F4">
        <w:t xml:space="preserve">The </w:t>
      </w:r>
      <w:r w:rsidRPr="00B44623">
        <w:rPr>
          <w:rStyle w:val="Emphasis"/>
          <w:i w:val="0"/>
        </w:rPr>
        <w:t>Murray-Darling Basin Plan</w:t>
      </w:r>
      <w:r w:rsidRPr="008335F4">
        <w:t xml:space="preserve"> is likely to have an impact on both surface and groundwater allocations. Groundwater is also being considered as a contribution to municipal water supplies. Possibilities include managed aquifer recharge, as a storage option, and use of groundwater as a drought response. The </w:t>
      </w:r>
      <w:r w:rsidR="007919AA">
        <w:t>plan</w:t>
      </w:r>
      <w:r w:rsidR="007919AA" w:rsidRPr="008335F4">
        <w:t xml:space="preserve"> </w:t>
      </w:r>
      <w:r w:rsidRPr="008335F4">
        <w:t>seeks to complement these actions and support economic activity associated with these values through appropriate land use planning mechanisms.</w:t>
      </w:r>
    </w:p>
    <w:p w:rsidR="00BE6A8F" w:rsidRDefault="00A44235" w:rsidP="00BE6A8F">
      <w:pPr>
        <w:pStyle w:val="bt"/>
      </w:pPr>
      <w:r w:rsidRPr="00BE6A8F">
        <w:t>Land use challenges arise due to the extent of declared water supply catchments, used to collect water for human consumption, within the region (refer to</w:t>
      </w:r>
      <w:r w:rsidR="00317E41" w:rsidRPr="00BE6A8F">
        <w:t xml:space="preserve"> Figure 19</w:t>
      </w:r>
      <w:r w:rsidR="00770B0A" w:rsidRPr="00BE6A8F">
        <w:t>)</w:t>
      </w:r>
      <w:r w:rsidR="008335F4" w:rsidRPr="00BE6A8F">
        <w:t>. These areas are under varying pressure for development. If not managed appropriately, unsewered residential development and some types of agriculture have the potential to impact adversely on water quality. Land use planning decisions in these areas need to consider the management of risks relating to wastewater disposal and the cumulative impacts of development on groundwater and surface water resources</w:t>
      </w:r>
      <w:r w:rsidR="00770B0A" w:rsidRPr="00BE6A8F">
        <w:t>, assisted by tools such as the guidelines for planning permit applications in open, potable water supply catchment areas</w:t>
      </w:r>
      <w:r w:rsidR="008335F4" w:rsidRPr="00BE6A8F">
        <w:t xml:space="preserve">. </w:t>
      </w:r>
    </w:p>
    <w:p w:rsidR="007A143F" w:rsidRPr="00BE6A8F" w:rsidRDefault="008335F4" w:rsidP="00BE6A8F">
      <w:pPr>
        <w:pStyle w:val="bt"/>
      </w:pPr>
      <w:r w:rsidRPr="00BE6A8F">
        <w:t xml:space="preserve">Councils may need to review their </w:t>
      </w:r>
      <w:r w:rsidR="00B538E6" w:rsidRPr="00BE6A8F">
        <w:t>d</w:t>
      </w:r>
      <w:r w:rsidRPr="00BE6A8F">
        <w:t xml:space="preserve">omestic </w:t>
      </w:r>
      <w:r w:rsidR="00B538E6" w:rsidRPr="00BE6A8F">
        <w:t>w</w:t>
      </w:r>
      <w:r w:rsidRPr="00BE6A8F">
        <w:t xml:space="preserve">astewater </w:t>
      </w:r>
      <w:r w:rsidR="00B538E6" w:rsidRPr="00BE6A8F">
        <w:t>m</w:t>
      </w:r>
      <w:r w:rsidRPr="00BE6A8F">
        <w:t xml:space="preserve">anagement </w:t>
      </w:r>
      <w:r w:rsidR="00B538E6" w:rsidRPr="00BE6A8F">
        <w:t>p</w:t>
      </w:r>
      <w:r w:rsidRPr="00BE6A8F">
        <w:t xml:space="preserve">lans to enable effective management of settlement growth </w:t>
      </w:r>
      <w:r w:rsidR="009E2C3B" w:rsidRPr="00BE6A8F">
        <w:t xml:space="preserve">and economic development </w:t>
      </w:r>
      <w:r w:rsidRPr="00BE6A8F">
        <w:t xml:space="preserve">in these areas while protecting catchment health. </w:t>
      </w:r>
      <w:r w:rsidR="007919AA" w:rsidRPr="00BE6A8F">
        <w:t xml:space="preserve">Catchment </w:t>
      </w:r>
      <w:r w:rsidR="00B538E6" w:rsidRPr="00BE6A8F">
        <w:t>m</w:t>
      </w:r>
      <w:r w:rsidR="007919AA" w:rsidRPr="00BE6A8F">
        <w:t xml:space="preserve">anagement </w:t>
      </w:r>
      <w:r w:rsidR="00B538E6" w:rsidRPr="00BE6A8F">
        <w:t>a</w:t>
      </w:r>
      <w:r w:rsidR="007919AA" w:rsidRPr="00BE6A8F">
        <w:t>uthorities</w:t>
      </w:r>
      <w:r w:rsidRPr="00BE6A8F">
        <w:t xml:space="preserve">, water authorities and councils could work together to develop and implement Special Area Plans to provide appropriate direction on land uses </w:t>
      </w:r>
      <w:r w:rsidR="00D529C2" w:rsidRPr="00BE6A8F">
        <w:t xml:space="preserve">and development </w:t>
      </w:r>
      <w:r w:rsidRPr="00BE6A8F">
        <w:t>in catchments.</w:t>
      </w:r>
    </w:p>
    <w:p w:rsidR="006B5883" w:rsidRPr="00BE6A8F" w:rsidRDefault="006B5883" w:rsidP="00BE6A8F">
      <w:pPr>
        <w:pStyle w:val="bt"/>
      </w:pPr>
      <w:bookmarkStart w:id="347" w:name="_Ref363467360"/>
    </w:p>
    <w:p w:rsidR="006B5883" w:rsidRPr="00BE6A8F" w:rsidRDefault="006B5883" w:rsidP="00BE6A8F">
      <w:pPr>
        <w:pStyle w:val="bt"/>
        <w:sectPr w:rsidR="006B5883" w:rsidRPr="00BE6A8F" w:rsidSect="009075F4">
          <w:pgSz w:w="11906" w:h="16838"/>
          <w:pgMar w:top="1530" w:right="1440" w:bottom="993" w:left="1440" w:header="708" w:footer="708" w:gutter="0"/>
          <w:cols w:space="708"/>
          <w:docGrid w:linePitch="360"/>
        </w:sectPr>
      </w:pPr>
    </w:p>
    <w:p w:rsidR="0021525D" w:rsidRDefault="00770B0A">
      <w:pPr>
        <w:pStyle w:val="Caption"/>
        <w:ind w:left="0" w:firstLine="0"/>
      </w:pPr>
      <w:bookmarkStart w:id="348" w:name="_Toc374612544"/>
      <w:r>
        <w:lastRenderedPageBreak/>
        <w:t xml:space="preserve">Figure </w:t>
      </w:r>
      <w:r w:rsidR="00AA3D97">
        <w:fldChar w:fldCharType="begin"/>
      </w:r>
      <w:r>
        <w:instrText xml:space="preserve"> SEQ Figure \* ARABIC </w:instrText>
      </w:r>
      <w:r w:rsidR="00AA3D97">
        <w:fldChar w:fldCharType="separate"/>
      </w:r>
      <w:r w:rsidR="009034D4">
        <w:rPr>
          <w:noProof/>
        </w:rPr>
        <w:t>19</w:t>
      </w:r>
      <w:r w:rsidR="00AA3D97">
        <w:fldChar w:fldCharType="end"/>
      </w:r>
      <w:bookmarkEnd w:id="347"/>
      <w:r>
        <w:t>: D</w:t>
      </w:r>
      <w:r w:rsidRPr="00770B0A">
        <w:t>eclared water supply catchments</w:t>
      </w:r>
      <w:r>
        <w:t xml:space="preserve"> of the Hume Region</w:t>
      </w:r>
      <w:bookmarkEnd w:id="348"/>
    </w:p>
    <w:p w:rsidR="007D1E72" w:rsidRPr="007D1E72" w:rsidRDefault="007D1E72" w:rsidP="007D1E72">
      <w:pPr>
        <w:pStyle w:val="bt"/>
      </w:pPr>
      <w:r>
        <w:t>[</w:t>
      </w:r>
      <w:r w:rsidRPr="007D1E72">
        <w:t>Map showing declared water supply catchments of the Hume Region</w:t>
      </w:r>
      <w:r>
        <w:t>]</w:t>
      </w:r>
    </w:p>
    <w:p w:rsidR="0087602D" w:rsidRPr="00BA3E62" w:rsidRDefault="0087602D" w:rsidP="0061220F">
      <w:pPr>
        <w:pStyle w:val="source"/>
      </w:pPr>
      <w:r>
        <w:t>Source: Department of Transport, Planning and Local Infrastructure</w:t>
      </w:r>
    </w:p>
    <w:p w:rsidR="0087602D" w:rsidRPr="00BA3E62" w:rsidRDefault="0087602D" w:rsidP="0061220F">
      <w:pPr>
        <w:pStyle w:val="source"/>
        <w:sectPr w:rsidR="0087602D" w:rsidRPr="00BA3E62" w:rsidSect="0087602D">
          <w:pgSz w:w="16838" w:h="11906" w:orient="landscape"/>
          <w:pgMar w:top="1440" w:right="1702" w:bottom="993" w:left="993" w:header="708" w:footer="708" w:gutter="0"/>
          <w:cols w:space="708"/>
          <w:docGrid w:linePitch="360"/>
        </w:sectPr>
      </w:pPr>
    </w:p>
    <w:p w:rsidR="008335F4" w:rsidRDefault="008335F4" w:rsidP="00A41B2E">
      <w:pPr>
        <w:pStyle w:val="Heading3"/>
        <w:numPr>
          <w:ilvl w:val="2"/>
          <w:numId w:val="14"/>
        </w:numPr>
        <w:tabs>
          <w:tab w:val="clear" w:pos="720"/>
          <w:tab w:val="clear" w:pos="900"/>
        </w:tabs>
        <w:ind w:left="851" w:hanging="851"/>
      </w:pPr>
      <w:bookmarkStart w:id="349" w:name="_Toc355970837"/>
      <w:bookmarkStart w:id="350" w:name="_Toc359422983"/>
      <w:bookmarkStart w:id="351" w:name="_Toc374612484"/>
      <w:r>
        <w:t xml:space="preserve">Air </w:t>
      </w:r>
      <w:r w:rsidR="00A5005D">
        <w:t>q</w:t>
      </w:r>
      <w:r>
        <w:t>uality</w:t>
      </w:r>
      <w:bookmarkEnd w:id="349"/>
      <w:bookmarkEnd w:id="350"/>
      <w:bookmarkEnd w:id="351"/>
    </w:p>
    <w:p w:rsidR="00F411CD" w:rsidRDefault="008335F4" w:rsidP="00EE0F0D">
      <w:pPr>
        <w:pStyle w:val="bt"/>
      </w:pPr>
      <w:r w:rsidRPr="008335F4">
        <w:t xml:space="preserve">In the </w:t>
      </w:r>
      <w:r w:rsidR="00887C34">
        <w:t>r</w:t>
      </w:r>
      <w:r w:rsidRPr="008335F4">
        <w:t xml:space="preserve">egion, impacts on air quality arise from factors such as bushfire smoke, traffic and industrial emissions. The State Planning Policy Framework contained in the </w:t>
      </w:r>
      <w:r w:rsidRPr="00B44623">
        <w:rPr>
          <w:rStyle w:val="Emphasis"/>
          <w:i w:val="0"/>
        </w:rPr>
        <w:t>Victoria Planning Provisions</w:t>
      </w:r>
      <w:r w:rsidRPr="008335F4">
        <w:t xml:space="preserve"> provides objectives and strategies to guide the protection and improvement of air quality, such as the improved integration of transport and land use planning.</w:t>
      </w:r>
    </w:p>
    <w:p w:rsidR="008335F4" w:rsidRDefault="008335F4" w:rsidP="00A41B2E">
      <w:pPr>
        <w:pStyle w:val="Heading3"/>
        <w:numPr>
          <w:ilvl w:val="2"/>
          <w:numId w:val="14"/>
        </w:numPr>
        <w:tabs>
          <w:tab w:val="clear" w:pos="720"/>
          <w:tab w:val="clear" w:pos="900"/>
        </w:tabs>
        <w:ind w:left="851" w:hanging="851"/>
      </w:pPr>
      <w:bookmarkStart w:id="352" w:name="_Toc355970838"/>
      <w:bookmarkStart w:id="353" w:name="_Toc359422984"/>
      <w:bookmarkStart w:id="354" w:name="_Toc374612485"/>
      <w:r>
        <w:t>Soils</w:t>
      </w:r>
      <w:bookmarkEnd w:id="352"/>
      <w:bookmarkEnd w:id="353"/>
      <w:bookmarkEnd w:id="354"/>
    </w:p>
    <w:p w:rsidR="007A143F" w:rsidRDefault="008335F4">
      <w:pPr>
        <w:pStyle w:val="bt"/>
      </w:pPr>
      <w:r w:rsidRPr="008335F4">
        <w:t>In the Hume Region, the diversity of soil types reflects differences in parent material, topography, climate, organic activity and the extent of weathering. In general</w:t>
      </w:r>
      <w:r w:rsidR="00A15242">
        <w:t>,</w:t>
      </w:r>
      <w:r w:rsidRPr="008335F4">
        <w:t xml:space="preserve"> the </w:t>
      </w:r>
      <w:r w:rsidR="0028441B">
        <w:t xml:space="preserve">regional </w:t>
      </w:r>
      <w:r w:rsidRPr="008335F4">
        <w:t xml:space="preserve">soils are highly weathered and often very shallow, with the exception of alluvial soils in river valleys and on floodplains. Appropriate use and management of these soils is necessary to conserve them and to avoid adverse effects </w:t>
      </w:r>
      <w:r w:rsidR="00021480">
        <w:t xml:space="preserve">on </w:t>
      </w:r>
      <w:r w:rsidRPr="008335F4">
        <w:t>other assets from soil degradation. Infrastructure</w:t>
      </w:r>
      <w:r w:rsidR="007919AA">
        <w:t>,</w:t>
      </w:r>
      <w:r w:rsidRPr="008335F4">
        <w:t xml:space="preserve"> including roads, buildings and bridges, productive agricultural land and waterways can all be affected by soil acidity, erosion or salinity. Human activity has increased the rate of soil loss several hundred fold above the rates prior to European settlement.</w:t>
      </w:r>
    </w:p>
    <w:p w:rsidR="007A143F" w:rsidRDefault="008335F4">
      <w:pPr>
        <w:pStyle w:val="bt"/>
      </w:pPr>
      <w:r w:rsidRPr="008335F4">
        <w:t xml:space="preserve">The </w:t>
      </w:r>
      <w:r w:rsidR="007919AA">
        <w:t>plan</w:t>
      </w:r>
      <w:r w:rsidR="007919AA" w:rsidRPr="008335F4">
        <w:t xml:space="preserve"> </w:t>
      </w:r>
      <w:r w:rsidRPr="008335F4">
        <w:t xml:space="preserve">recognises that </w:t>
      </w:r>
      <w:r w:rsidR="00D02FED">
        <w:t xml:space="preserve">environmental values </w:t>
      </w:r>
      <w:r w:rsidR="00021480" w:rsidRPr="008335F4">
        <w:t>provided by land and soil</w:t>
      </w:r>
      <w:r w:rsidR="00D529C2">
        <w:t>,</w:t>
      </w:r>
      <w:r w:rsidR="00021480" w:rsidRPr="008335F4">
        <w:t xml:space="preserve"> </w:t>
      </w:r>
      <w:r w:rsidR="00D02FED">
        <w:t>including</w:t>
      </w:r>
      <w:r w:rsidRPr="008335F4">
        <w:t xml:space="preserve"> ecosystem services</w:t>
      </w:r>
      <w:r w:rsidR="00D02FED">
        <w:t xml:space="preserve"> such as carbon sequestration</w:t>
      </w:r>
      <w:r w:rsidR="00D529C2">
        <w:t>,</w:t>
      </w:r>
      <w:r w:rsidRPr="008335F4">
        <w:t xml:space="preserve"> are fundamental to sustainable land use and ecological processes. Soils house 90</w:t>
      </w:r>
      <w:r w:rsidR="00B538E6">
        <w:t xml:space="preserve"> per cent</w:t>
      </w:r>
      <w:r w:rsidRPr="008335F4">
        <w:t xml:space="preserve"> of the biodiversity of the catchment and need to be managed to retain that diversity, to underpin the resilience of ecological and economic systems of the region. Healthy soil is critical to the growth and diversification of the region’s economy, particularly in agriculture.</w:t>
      </w:r>
    </w:p>
    <w:p w:rsidR="001E6B61" w:rsidRDefault="00021480">
      <w:pPr>
        <w:pStyle w:val="bt"/>
        <w:spacing w:after="120"/>
      </w:pPr>
      <w:r>
        <w:t xml:space="preserve">The </w:t>
      </w:r>
      <w:r w:rsidR="00175EFE">
        <w:t xml:space="preserve">former </w:t>
      </w:r>
      <w:r>
        <w:t xml:space="preserve">Department of Sustainability and Environment’s </w:t>
      </w:r>
      <w:r w:rsidR="008335F4" w:rsidRPr="00B44623">
        <w:rPr>
          <w:rStyle w:val="Emphasis"/>
          <w:i w:val="0"/>
        </w:rPr>
        <w:t>Soil Health Strategy 2012</w:t>
      </w:r>
      <w:r w:rsidR="008335F4" w:rsidRPr="008335F4">
        <w:t xml:space="preserve"> outlines a vision for the health of Victoria’s soil</w:t>
      </w:r>
      <w:r w:rsidR="00D529C2">
        <w:t>s</w:t>
      </w:r>
      <w:r w:rsidR="008335F4" w:rsidRPr="008335F4">
        <w:t xml:space="preserve">. The </w:t>
      </w:r>
      <w:r w:rsidR="007919AA">
        <w:t>plan</w:t>
      </w:r>
      <w:r w:rsidR="007919AA" w:rsidRPr="008335F4">
        <w:t xml:space="preserve"> </w:t>
      </w:r>
      <w:r w:rsidR="008335F4" w:rsidRPr="008335F4">
        <w:t>stresses that land use planning can assist in protecting the region’s soil resource by considering potential risks associated with disturbing soils. These include deterioration of the soil assets in the region and pollution of waterways. A range of planning tools</w:t>
      </w:r>
      <w:r w:rsidR="00480CE2">
        <w:t>,</w:t>
      </w:r>
      <w:r w:rsidR="008335F4" w:rsidRPr="008335F4">
        <w:t xml:space="preserve"> such as overlays and policies</w:t>
      </w:r>
      <w:r w:rsidR="00480CE2">
        <w:t>,</w:t>
      </w:r>
      <w:r w:rsidR="008335F4" w:rsidRPr="008335F4">
        <w:t xml:space="preserve"> can be used to enhance the protection of soils.</w:t>
      </w:r>
    </w:p>
    <w:p w:rsidR="001E6B61" w:rsidRDefault="008335F4" w:rsidP="00A41B2E">
      <w:pPr>
        <w:pStyle w:val="Heading3"/>
        <w:numPr>
          <w:ilvl w:val="2"/>
          <w:numId w:val="14"/>
        </w:numPr>
        <w:tabs>
          <w:tab w:val="clear" w:pos="720"/>
          <w:tab w:val="clear" w:pos="900"/>
        </w:tabs>
        <w:spacing w:before="240"/>
        <w:ind w:left="851" w:hanging="851"/>
      </w:pPr>
      <w:r>
        <w:t xml:space="preserve"> </w:t>
      </w:r>
      <w:bookmarkStart w:id="355" w:name="_Toc355970839"/>
      <w:bookmarkStart w:id="356" w:name="_Toc359422985"/>
      <w:bookmarkStart w:id="357" w:name="_Toc374612486"/>
      <w:r>
        <w:t xml:space="preserve">Public </w:t>
      </w:r>
      <w:r w:rsidR="00021480">
        <w:t>l</w:t>
      </w:r>
      <w:r>
        <w:t>and</w:t>
      </w:r>
      <w:bookmarkEnd w:id="355"/>
      <w:bookmarkEnd w:id="356"/>
      <w:bookmarkEnd w:id="357"/>
    </w:p>
    <w:p w:rsidR="001E6B61" w:rsidRDefault="008335F4">
      <w:pPr>
        <w:pStyle w:val="bt"/>
        <w:spacing w:before="120"/>
      </w:pPr>
      <w:r w:rsidRPr="00D76407">
        <w:t xml:space="preserve">Public land, particularly in the mountains and foothills, plays a major role in the economy of the </w:t>
      </w:r>
      <w:r w:rsidR="00D91C21">
        <w:t xml:space="preserve">Hume </w:t>
      </w:r>
      <w:r w:rsidR="00AC35B4">
        <w:t>R</w:t>
      </w:r>
      <w:r w:rsidR="00D529C2">
        <w:t>egion by</w:t>
      </w:r>
      <w:r w:rsidRPr="00D76407">
        <w:t xml:space="preserve"> providing water and timber</w:t>
      </w:r>
      <w:r w:rsidR="00D529C2">
        <w:t>,</w:t>
      </w:r>
      <w:r w:rsidRPr="00D76407">
        <w:t xml:space="preserve"> as well as a wide range of tourism and recreational opportunities. The </w:t>
      </w:r>
      <w:r w:rsidR="007919AA">
        <w:t>plan</w:t>
      </w:r>
      <w:r w:rsidR="007919AA" w:rsidRPr="00D76407">
        <w:t xml:space="preserve"> </w:t>
      </w:r>
      <w:r w:rsidRPr="00D76407">
        <w:t>acknowledges that the substantial public land estate is a significant asset of the region. It will continue to be recognised and managed to protect environmental assets and ecosystem services</w:t>
      </w:r>
      <w:r w:rsidR="00480CE2">
        <w:t xml:space="preserve">, </w:t>
      </w:r>
      <w:r w:rsidRPr="00D76407">
        <w:t>such as pollination, water and air generation and purification</w:t>
      </w:r>
      <w:r w:rsidR="00480CE2">
        <w:t>,</w:t>
      </w:r>
      <w:r w:rsidRPr="00D76407">
        <w:t xml:space="preserve"> as well as to produce timber and firewood and provide recreation and nature-based tourism experiences. Public land will continue</w:t>
      </w:r>
      <w:r w:rsidR="00D529C2">
        <w:t xml:space="preserve"> to</w:t>
      </w:r>
      <w:r w:rsidRPr="00D76407">
        <w:t xml:space="preserve"> be valued for its role in carbon storage.</w:t>
      </w:r>
    </w:p>
    <w:p w:rsidR="007A143F" w:rsidRDefault="008335F4">
      <w:pPr>
        <w:pStyle w:val="bt"/>
      </w:pPr>
      <w:r w:rsidRPr="00D76407">
        <w:t xml:space="preserve">Most public land in the region occurs in large blocks and is protected in parks, reserves or state forests. In largely cleared agricultural landscapes, narrow strips of public land adjoining roads or streams and small bushland reserves are frequently critical in preserving remnant native vegetation, protecting water quality and providing recreational opportunities. In </w:t>
      </w:r>
      <w:r w:rsidR="00D91C21">
        <w:t xml:space="preserve">the </w:t>
      </w:r>
      <w:r w:rsidRPr="00D76407">
        <w:t xml:space="preserve">future, these areas of public land may be vulnerable </w:t>
      </w:r>
      <w:r w:rsidR="00A15242">
        <w:t xml:space="preserve">to </w:t>
      </w:r>
      <w:r w:rsidRPr="00D76407">
        <w:t>increased pressure due to land use change or development in surrounding areas.</w:t>
      </w:r>
    </w:p>
    <w:p w:rsidR="00401923" w:rsidRDefault="008335F4" w:rsidP="00EE0F0D">
      <w:pPr>
        <w:pStyle w:val="bt"/>
      </w:pPr>
      <w:r w:rsidRPr="00D76407">
        <w:t>With the prospect of a drier climate</w:t>
      </w:r>
      <w:r w:rsidR="00D91C21" w:rsidRPr="00D91C21">
        <w:t xml:space="preserve"> </w:t>
      </w:r>
      <w:r w:rsidR="00D91C21" w:rsidRPr="00D76407">
        <w:t>over the next 30 years</w:t>
      </w:r>
      <w:r w:rsidRPr="00D76407">
        <w:t xml:space="preserve">, buffering public land and environmental values from built development, especially residential development, will be a key consideration. The </w:t>
      </w:r>
      <w:r w:rsidR="007919AA">
        <w:t>plan</w:t>
      </w:r>
      <w:r w:rsidR="007919AA" w:rsidRPr="00D76407">
        <w:t xml:space="preserve"> </w:t>
      </w:r>
      <w:r w:rsidRPr="00D76407">
        <w:t xml:space="preserve">provides that in planning for land uses and development on and adjacent to public land, particularly where it consists of linear corridors or small pockets of land, consideration needs to be given to managing </w:t>
      </w:r>
      <w:r w:rsidR="00D91C21">
        <w:t xml:space="preserve">the </w:t>
      </w:r>
      <w:r w:rsidRPr="00D76407">
        <w:t xml:space="preserve">risks to these assets and </w:t>
      </w:r>
      <w:r w:rsidR="00D91C21">
        <w:t xml:space="preserve">finding </w:t>
      </w:r>
      <w:r w:rsidRPr="00D76407">
        <w:t>opportunities to enhance their viability and resilience.</w:t>
      </w:r>
    </w:p>
    <w:p w:rsidR="001E6B61" w:rsidRDefault="00D76407">
      <w:pPr>
        <w:pStyle w:val="Heading2"/>
        <w:tabs>
          <w:tab w:val="clear" w:pos="396"/>
          <w:tab w:val="clear" w:pos="851"/>
        </w:tabs>
        <w:spacing w:before="240" w:after="120"/>
        <w:ind w:left="851" w:hanging="851"/>
      </w:pPr>
      <w:bookmarkStart w:id="358" w:name="_Toc355970840"/>
      <w:bookmarkStart w:id="359" w:name="_Toc359422986"/>
      <w:bookmarkStart w:id="360" w:name="_Toc374612487"/>
      <w:r>
        <w:t xml:space="preserve">Planning for </w:t>
      </w:r>
      <w:r w:rsidR="006114EE">
        <w:t>n</w:t>
      </w:r>
      <w:r>
        <w:t xml:space="preserve">atural </w:t>
      </w:r>
      <w:r w:rsidR="006114EE">
        <w:t>h</w:t>
      </w:r>
      <w:r>
        <w:t>azards</w:t>
      </w:r>
      <w:bookmarkEnd w:id="358"/>
      <w:bookmarkEnd w:id="359"/>
      <w:bookmarkEnd w:id="360"/>
    </w:p>
    <w:p w:rsidR="001E6B61" w:rsidRDefault="00D76407">
      <w:pPr>
        <w:pStyle w:val="bt"/>
        <w:spacing w:before="120"/>
      </w:pPr>
      <w:r w:rsidRPr="00D76407">
        <w:t xml:space="preserve">The </w:t>
      </w:r>
      <w:r w:rsidR="007919AA">
        <w:t>plan</w:t>
      </w:r>
      <w:r w:rsidR="007919AA" w:rsidRPr="00D76407">
        <w:t xml:space="preserve"> </w:t>
      </w:r>
      <w:r w:rsidRPr="00D76407">
        <w:t>considers risks to life and property from natural hazards and identifies appropriate strategic responses.</w:t>
      </w:r>
    </w:p>
    <w:p w:rsidR="00D76407" w:rsidRDefault="00D76407" w:rsidP="00A41B2E">
      <w:pPr>
        <w:pStyle w:val="Heading3"/>
        <w:numPr>
          <w:ilvl w:val="2"/>
          <w:numId w:val="14"/>
        </w:numPr>
        <w:tabs>
          <w:tab w:val="clear" w:pos="720"/>
          <w:tab w:val="clear" w:pos="900"/>
        </w:tabs>
        <w:spacing w:before="280"/>
        <w:ind w:left="851" w:hanging="851"/>
      </w:pPr>
      <w:bookmarkStart w:id="361" w:name="_Toc355970841"/>
      <w:bookmarkStart w:id="362" w:name="_Toc359422987"/>
      <w:bookmarkStart w:id="363" w:name="_Toc374612488"/>
      <w:r>
        <w:t>Climate</w:t>
      </w:r>
      <w:bookmarkEnd w:id="361"/>
      <w:bookmarkEnd w:id="362"/>
      <w:bookmarkEnd w:id="363"/>
    </w:p>
    <w:p w:rsidR="001E6B61" w:rsidRDefault="00D02FED">
      <w:pPr>
        <w:pStyle w:val="bt"/>
        <w:spacing w:before="120"/>
        <w:rPr>
          <w:szCs w:val="20"/>
        </w:rPr>
      </w:pPr>
      <w:r>
        <w:rPr>
          <w:szCs w:val="20"/>
        </w:rPr>
        <w:t xml:space="preserve">As described in section </w:t>
      </w:r>
      <w:r w:rsidR="00827E2D">
        <w:fldChar w:fldCharType="begin"/>
      </w:r>
      <w:r w:rsidR="00827E2D">
        <w:instrText xml:space="preserve"> REF _Ref351099275 \r \h  \* MERGEFORMAT </w:instrText>
      </w:r>
      <w:r w:rsidR="00827E2D">
        <w:fldChar w:fldCharType="separate"/>
      </w:r>
      <w:r w:rsidR="009034D4" w:rsidRPr="009034D4">
        <w:rPr>
          <w:szCs w:val="20"/>
        </w:rPr>
        <w:t>6.4</w:t>
      </w:r>
      <w:r w:rsidR="00827E2D">
        <w:fldChar w:fldCharType="end"/>
      </w:r>
      <w:r w:rsidR="007919AA">
        <w:t xml:space="preserve"> of this </w:t>
      </w:r>
      <w:r w:rsidR="007753E9">
        <w:t>background paper</w:t>
      </w:r>
      <w:r>
        <w:rPr>
          <w:szCs w:val="20"/>
        </w:rPr>
        <w:t>, climate change could potentially have wide</w:t>
      </w:r>
      <w:r w:rsidR="00D97189">
        <w:rPr>
          <w:szCs w:val="20"/>
        </w:rPr>
        <w:t xml:space="preserve"> </w:t>
      </w:r>
      <w:r>
        <w:rPr>
          <w:szCs w:val="20"/>
        </w:rPr>
        <w:t xml:space="preserve">ranging impacts on the </w:t>
      </w:r>
      <w:r w:rsidR="00887C34">
        <w:rPr>
          <w:szCs w:val="20"/>
        </w:rPr>
        <w:t>r</w:t>
      </w:r>
      <w:r>
        <w:rPr>
          <w:szCs w:val="20"/>
        </w:rPr>
        <w:t xml:space="preserve">egion. </w:t>
      </w:r>
      <w:r w:rsidR="00D76407" w:rsidRPr="00D76407">
        <w:rPr>
          <w:szCs w:val="20"/>
        </w:rPr>
        <w:t xml:space="preserve">The </w:t>
      </w:r>
      <w:r w:rsidR="007919AA">
        <w:rPr>
          <w:szCs w:val="20"/>
        </w:rPr>
        <w:t>plan</w:t>
      </w:r>
      <w:r w:rsidR="007919AA" w:rsidRPr="00D76407">
        <w:rPr>
          <w:szCs w:val="20"/>
        </w:rPr>
        <w:t xml:space="preserve"> </w:t>
      </w:r>
      <w:r w:rsidR="00D76407" w:rsidRPr="00D76407">
        <w:rPr>
          <w:szCs w:val="20"/>
        </w:rPr>
        <w:t>directs that future land use planning decisions be based on the best available information relating to the potential impacts of climate change and should implement measures to adapt to unavoidable changes.</w:t>
      </w:r>
    </w:p>
    <w:p w:rsidR="00D76407" w:rsidRDefault="00D76407" w:rsidP="00A41B2E">
      <w:pPr>
        <w:pStyle w:val="Heading3"/>
        <w:numPr>
          <w:ilvl w:val="2"/>
          <w:numId w:val="14"/>
        </w:numPr>
        <w:tabs>
          <w:tab w:val="clear" w:pos="720"/>
          <w:tab w:val="clear" w:pos="900"/>
        </w:tabs>
        <w:spacing w:before="280"/>
        <w:ind w:left="851" w:hanging="851"/>
      </w:pPr>
      <w:r>
        <w:t xml:space="preserve"> </w:t>
      </w:r>
      <w:bookmarkStart w:id="364" w:name="_Toc355970842"/>
      <w:bookmarkStart w:id="365" w:name="_Toc359422988"/>
      <w:bookmarkStart w:id="366" w:name="_Toc374612489"/>
      <w:r>
        <w:t>Flooding</w:t>
      </w:r>
      <w:bookmarkEnd w:id="364"/>
      <w:bookmarkEnd w:id="365"/>
      <w:bookmarkEnd w:id="366"/>
    </w:p>
    <w:p w:rsidR="007A143F" w:rsidRDefault="00D76407">
      <w:pPr>
        <w:pStyle w:val="bt"/>
      </w:pPr>
      <w:r w:rsidRPr="00D76407">
        <w:t>Flooding and floodplains are important ecological functions and features of the environment, but flooding can be highly disruptive to the community and the economy. Many of the</w:t>
      </w:r>
      <w:r w:rsidR="007919AA">
        <w:t xml:space="preserve"> Hume</w:t>
      </w:r>
      <w:r w:rsidRPr="00D76407">
        <w:t xml:space="preserve"> </w:t>
      </w:r>
      <w:r w:rsidR="001100A8">
        <w:t>R</w:t>
      </w:r>
      <w:r w:rsidRPr="00D76407">
        <w:t xml:space="preserve">egion’s urban centres are located on and around floodplains, including Benalla on the Broken River, Seymour and Shepparton on the Goulburn River and Wangaratta on the Ovens and King </w:t>
      </w:r>
      <w:r w:rsidR="0033447F">
        <w:t>r</w:t>
      </w:r>
      <w:r w:rsidRPr="00D76407">
        <w:t>ivers. In times of major floods, parts of these urban centres may be inundated and regional transport links cut.</w:t>
      </w:r>
    </w:p>
    <w:p w:rsidR="00BE6A8F" w:rsidRDefault="00D76407">
      <w:pPr>
        <w:pStyle w:val="bt"/>
      </w:pPr>
      <w:r w:rsidRPr="00D76407">
        <w:t xml:space="preserve">The </w:t>
      </w:r>
      <w:r w:rsidR="00422876">
        <w:t>potential impacts</w:t>
      </w:r>
      <w:r w:rsidRPr="00D76407">
        <w:t xml:space="preserve"> of climate change on the severity and frequency of flood events is not yet </w:t>
      </w:r>
      <w:r w:rsidR="00D97189">
        <w:t>fully</w:t>
      </w:r>
      <w:r w:rsidRPr="00D76407">
        <w:t xml:space="preserve"> understood. Future climate projections indicate that more extreme flood events may occur</w:t>
      </w:r>
      <w:r w:rsidR="00422876">
        <w:t xml:space="preserve">, </w:t>
      </w:r>
      <w:r w:rsidR="0033447F">
        <w:t>al</w:t>
      </w:r>
      <w:r w:rsidR="00422876">
        <w:t>though they may be less frequent</w:t>
      </w:r>
      <w:r w:rsidRPr="00D76407">
        <w:t xml:space="preserve">. The </w:t>
      </w:r>
      <w:r w:rsidR="00B538E6">
        <w:t>c</w:t>
      </w:r>
      <w:r w:rsidR="007919AA">
        <w:t xml:space="preserve">atchment </w:t>
      </w:r>
      <w:r w:rsidR="00B538E6">
        <w:t>m</w:t>
      </w:r>
      <w:r w:rsidR="007919AA">
        <w:t xml:space="preserve">anagement </w:t>
      </w:r>
      <w:r w:rsidR="00B538E6">
        <w:t>a</w:t>
      </w:r>
      <w:r w:rsidR="007919AA">
        <w:t>uthorities</w:t>
      </w:r>
      <w:r w:rsidRPr="00D76407">
        <w:t xml:space="preserve">, as floodplain managers, have commissioned new flood studies to better understand floodplain behaviour. </w:t>
      </w:r>
    </w:p>
    <w:p w:rsidR="00681189" w:rsidRDefault="00D76407">
      <w:pPr>
        <w:pStyle w:val="bt"/>
        <w:sectPr w:rsidR="00681189" w:rsidSect="009075F4">
          <w:pgSz w:w="11906" w:h="16838"/>
          <w:pgMar w:top="1530" w:right="1440" w:bottom="993" w:left="1440" w:header="708" w:footer="708" w:gutter="0"/>
          <w:cols w:space="708"/>
          <w:docGrid w:linePitch="360"/>
        </w:sectPr>
      </w:pPr>
      <w:r w:rsidRPr="00D76407">
        <w:t xml:space="preserve">Land at risk of flooding is recognised in local government planning schemes through the use of zones and overlays that apply different levels of planning control, corresponding with the degree of flood risk. </w:t>
      </w:r>
      <w:r w:rsidR="003A60B4" w:rsidRPr="003A60B4">
        <w:t>The current flood related overlays</w:t>
      </w:r>
      <w:r w:rsidR="00B50C64">
        <w:t xml:space="preserve"> and zones</w:t>
      </w:r>
      <w:r w:rsidR="003A60B4" w:rsidRPr="003A60B4">
        <w:t xml:space="preserve"> in the </w:t>
      </w:r>
      <w:r w:rsidR="003A60B4">
        <w:t xml:space="preserve">region are shown in </w:t>
      </w:r>
      <w:r w:rsidR="00AA3D97">
        <w:fldChar w:fldCharType="begin"/>
      </w:r>
      <w:r w:rsidR="00AE1F3B">
        <w:instrText xml:space="preserve"> REF _Ref363467396 \h </w:instrText>
      </w:r>
      <w:r w:rsidR="00AA3D97">
        <w:fldChar w:fldCharType="separate"/>
      </w:r>
      <w:r w:rsidR="009034D4">
        <w:t xml:space="preserve">Figure </w:t>
      </w:r>
      <w:r w:rsidR="009034D4">
        <w:rPr>
          <w:noProof/>
        </w:rPr>
        <w:t>20</w:t>
      </w:r>
      <w:r w:rsidR="00AA3D97">
        <w:fldChar w:fldCharType="end"/>
      </w:r>
      <w:r w:rsidR="003A60B4" w:rsidRPr="003A60B4">
        <w:t>.</w:t>
      </w:r>
      <w:r w:rsidR="003A60B4">
        <w:t xml:space="preserve"> </w:t>
      </w:r>
      <w:r w:rsidRPr="00D76407">
        <w:t>These planning tools have been applied in the region to varying extents, but do not necessarily cover all areas at risk of flooding. There are often time delays in updating planning schemes to reflect new flood modelling. Most flood mapping undertaken for the region to date does not make allowances for the impacts of climate change.</w:t>
      </w:r>
    </w:p>
    <w:p w:rsidR="003A60B4" w:rsidRDefault="003D11A8" w:rsidP="003D11A8">
      <w:pPr>
        <w:pStyle w:val="Caption"/>
      </w:pPr>
      <w:bookmarkStart w:id="367" w:name="_Ref363467396"/>
      <w:bookmarkStart w:id="368" w:name="_Toc374612545"/>
      <w:r>
        <w:t xml:space="preserve">Figure </w:t>
      </w:r>
      <w:r w:rsidR="00AA3D97">
        <w:fldChar w:fldCharType="begin"/>
      </w:r>
      <w:r>
        <w:instrText xml:space="preserve"> SEQ Figure \* ARABIC </w:instrText>
      </w:r>
      <w:r w:rsidR="00AA3D97">
        <w:fldChar w:fldCharType="separate"/>
      </w:r>
      <w:r w:rsidR="009034D4">
        <w:rPr>
          <w:noProof/>
        </w:rPr>
        <w:t>20</w:t>
      </w:r>
      <w:r w:rsidR="00AA3D97">
        <w:fldChar w:fldCharType="end"/>
      </w:r>
      <w:bookmarkEnd w:id="367"/>
      <w:r>
        <w:t xml:space="preserve">: </w:t>
      </w:r>
      <w:r w:rsidRPr="003D11A8">
        <w:t>Current flood related overlays</w:t>
      </w:r>
      <w:r w:rsidR="00B50C64">
        <w:t xml:space="preserve"> and zones</w:t>
      </w:r>
      <w:r w:rsidRPr="003D11A8">
        <w:t xml:space="preserve"> in the Hume Region</w:t>
      </w:r>
      <w:bookmarkEnd w:id="368"/>
    </w:p>
    <w:p w:rsidR="007D1E72" w:rsidRPr="007D1E72" w:rsidRDefault="007D1E72" w:rsidP="007D1E72">
      <w:pPr>
        <w:pStyle w:val="bt"/>
      </w:pPr>
      <w:r>
        <w:t>[</w:t>
      </w:r>
      <w:r w:rsidRPr="007D1E72">
        <w:t>Map showing current flood related overlays and zones in the Hume Region</w:t>
      </w:r>
      <w:r>
        <w:t>]</w:t>
      </w:r>
    </w:p>
    <w:p w:rsidR="00681189" w:rsidRPr="00BA3E62" w:rsidRDefault="00681189" w:rsidP="0061220F">
      <w:pPr>
        <w:pStyle w:val="source"/>
      </w:pPr>
      <w:r>
        <w:t>Source: Department of Transport, Planning and Local Infrastructure</w:t>
      </w:r>
    </w:p>
    <w:p w:rsidR="00681189" w:rsidRPr="00BA3E62" w:rsidRDefault="00681189" w:rsidP="0061220F">
      <w:pPr>
        <w:pStyle w:val="source"/>
        <w:sectPr w:rsidR="00681189" w:rsidRPr="00BA3E62" w:rsidSect="0087602D">
          <w:pgSz w:w="16838" w:h="11906" w:orient="landscape"/>
          <w:pgMar w:top="1440" w:right="1702" w:bottom="993" w:left="993" w:header="708" w:footer="708" w:gutter="0"/>
          <w:cols w:space="708"/>
          <w:docGrid w:linePitch="360"/>
        </w:sectPr>
      </w:pPr>
    </w:p>
    <w:p w:rsidR="007A143F" w:rsidRDefault="00D76407">
      <w:pPr>
        <w:pStyle w:val="bt"/>
      </w:pPr>
      <w:r w:rsidRPr="00B538E6">
        <w:t>The</w:t>
      </w:r>
      <w:r w:rsidRPr="00B44623">
        <w:rPr>
          <w:rStyle w:val="Emphasis"/>
          <w:i w:val="0"/>
        </w:rPr>
        <w:t xml:space="preserve"> Review of the 2010</w:t>
      </w:r>
      <w:r w:rsidR="00F5314A" w:rsidRPr="00B44623">
        <w:rPr>
          <w:rStyle w:val="Emphasis"/>
          <w:i w:val="0"/>
        </w:rPr>
        <w:t>–</w:t>
      </w:r>
      <w:r w:rsidRPr="00B44623">
        <w:rPr>
          <w:rStyle w:val="Emphasis"/>
          <w:i w:val="0"/>
        </w:rPr>
        <w:t>11 Flood Warnings and Response – Final Report</w:t>
      </w:r>
      <w:r w:rsidRPr="00D76407">
        <w:t xml:space="preserve"> identified the importance of flood mapping and modelling to manag</w:t>
      </w:r>
      <w:r w:rsidR="00D97189">
        <w:t>e the</w:t>
      </w:r>
      <w:r w:rsidRPr="00D76407">
        <w:t xml:space="preserve"> risk to life and property. This report found that managing flood risk proactively through the application of land use planning controls is less costly than reducing flood risk using mitigation measures such as levees to protect established areas. In response to this report, the </w:t>
      </w:r>
      <w:r w:rsidR="007753E9">
        <w:t>s</w:t>
      </w:r>
      <w:r w:rsidR="00F5314A">
        <w:t xml:space="preserve">tate </w:t>
      </w:r>
      <w:r w:rsidR="007753E9">
        <w:t>g</w:t>
      </w:r>
      <w:r w:rsidRPr="00D76407">
        <w:t>overnment developed the</w:t>
      </w:r>
      <w:r w:rsidRPr="00B44623">
        <w:rPr>
          <w:rStyle w:val="Emphasis"/>
          <w:i w:val="0"/>
        </w:rPr>
        <w:t xml:space="preserve"> Improving Flood Warning Systems Implementation Plan 2012</w:t>
      </w:r>
      <w:r w:rsidRPr="00D76407">
        <w:t>, which includes actions to improve flood mapping and ensure that all relevant planning schemes include up-to-date flood information and maps.</w:t>
      </w:r>
    </w:p>
    <w:p w:rsidR="007A143F" w:rsidRDefault="00D76407">
      <w:pPr>
        <w:pStyle w:val="bt"/>
      </w:pPr>
      <w:r w:rsidRPr="00D76407">
        <w:t xml:space="preserve">In the </w:t>
      </w:r>
      <w:r w:rsidR="007919AA">
        <w:t>r</w:t>
      </w:r>
      <w:r w:rsidRPr="00D76407">
        <w:t xml:space="preserve">egion, there are still areas where flood behaviour is not well understood and additional flood modelling is required to support future planning. Action is also required to implement the recommendations of some previous studies, such as the </w:t>
      </w:r>
      <w:r w:rsidRPr="00B44623">
        <w:rPr>
          <w:rStyle w:val="Emphasis"/>
          <w:i w:val="0"/>
        </w:rPr>
        <w:t>Lower Goulburn Floodplain Management Strategy.</w:t>
      </w:r>
    </w:p>
    <w:p w:rsidR="007A143F" w:rsidRDefault="00D76407">
      <w:pPr>
        <w:pStyle w:val="bt"/>
      </w:pPr>
      <w:r w:rsidRPr="00D76407">
        <w:t xml:space="preserve">The </w:t>
      </w:r>
      <w:r w:rsidR="007919AA">
        <w:t>plan</w:t>
      </w:r>
      <w:r w:rsidR="007919AA" w:rsidRPr="00D76407">
        <w:t xml:space="preserve"> </w:t>
      </w:r>
      <w:r w:rsidRPr="00D76407">
        <w:t xml:space="preserve">stresses that the risks presented to land use from flooding must be considered in planning decisions, particularly where the threat to life and property may be increased as a result of such decisions. New development should be located away from active floodplains and should not be supported if it requires protection measures that are likely to increase the flood risk for other sensitive areas or existing development. </w:t>
      </w:r>
    </w:p>
    <w:p w:rsidR="00906ABF" w:rsidRDefault="00D76407" w:rsidP="00EE0F0D">
      <w:pPr>
        <w:pStyle w:val="bt"/>
      </w:pPr>
      <w:r w:rsidRPr="00D76407">
        <w:t xml:space="preserve">Urban and rural drainage systems in the </w:t>
      </w:r>
      <w:r w:rsidR="007919AA">
        <w:t>r</w:t>
      </w:r>
      <w:r w:rsidRPr="00D76407">
        <w:t>egion are also important for the future. Rural drainage helps protect irrigated agricultural areas from the threats of water logging and salinity. Urban drainage can assist with the prevention of flooding in extreme rainfall events. However, design standard</w:t>
      </w:r>
      <w:r w:rsidR="00F5314A">
        <w:t>s</w:t>
      </w:r>
      <w:r w:rsidRPr="00D76407">
        <w:t xml:space="preserve"> </w:t>
      </w:r>
      <w:r w:rsidR="00F5314A" w:rsidRPr="00D76407">
        <w:t>may need to be reviewed and capacity increased to cope with more intense storms</w:t>
      </w:r>
      <w:r w:rsidR="00F5314A">
        <w:t>,</w:t>
      </w:r>
      <w:r w:rsidR="00F5314A" w:rsidRPr="00D76407">
        <w:t xml:space="preserve"> </w:t>
      </w:r>
      <w:r w:rsidRPr="00D76407">
        <w:t>particularly for urban stormwater drainage.</w:t>
      </w:r>
    </w:p>
    <w:p w:rsidR="00D76407" w:rsidRDefault="00D76407" w:rsidP="00A41B2E">
      <w:pPr>
        <w:pStyle w:val="Heading3"/>
        <w:numPr>
          <w:ilvl w:val="2"/>
          <w:numId w:val="14"/>
        </w:numPr>
        <w:tabs>
          <w:tab w:val="clear" w:pos="720"/>
          <w:tab w:val="clear" w:pos="900"/>
        </w:tabs>
        <w:ind w:left="851" w:hanging="851"/>
      </w:pPr>
      <w:r>
        <w:t xml:space="preserve"> </w:t>
      </w:r>
      <w:bookmarkStart w:id="369" w:name="_Toc355970843"/>
      <w:bookmarkStart w:id="370" w:name="_Toc359422989"/>
      <w:bookmarkStart w:id="371" w:name="_Toc374612490"/>
      <w:r>
        <w:t>Bushfire</w:t>
      </w:r>
      <w:bookmarkEnd w:id="369"/>
      <w:bookmarkEnd w:id="370"/>
      <w:bookmarkEnd w:id="371"/>
    </w:p>
    <w:p w:rsidR="007A143F" w:rsidRDefault="007C5397">
      <w:pPr>
        <w:pStyle w:val="bt"/>
      </w:pPr>
      <w:r w:rsidRPr="007C5397">
        <w:t>Many of the landscapes most attractive to residents and visitors are in areas of high bushfire hazard. These include the extensive network of national and state parks, state forests, vegetated river corridors and privately owned land on steep vegetated slopes. Pressure for development within or adjacent to these areas presents a significant challenge to land use planning authorities</w:t>
      </w:r>
      <w:r w:rsidR="00D97189">
        <w:t xml:space="preserve"> and responsible </w:t>
      </w:r>
      <w:r w:rsidR="00D97189" w:rsidRPr="007C5397">
        <w:t>authorities</w:t>
      </w:r>
      <w:r w:rsidR="00D97189">
        <w:t>,</w:t>
      </w:r>
      <w:r w:rsidRPr="007C5397">
        <w:t xml:space="preserve"> and careful management is required to minimise risk to life and property.</w:t>
      </w:r>
    </w:p>
    <w:p w:rsidR="007A143F" w:rsidRDefault="007C5397">
      <w:pPr>
        <w:pStyle w:val="bt"/>
      </w:pPr>
      <w:r w:rsidRPr="007C5397">
        <w:t xml:space="preserve">Future climate projections indicate that bushfire frequency is likely to increase, with a greater number of very high fire index days occurring each year. The </w:t>
      </w:r>
      <w:r w:rsidR="007919AA">
        <w:t>plan</w:t>
      </w:r>
      <w:r w:rsidR="007919AA" w:rsidRPr="007C5397">
        <w:t xml:space="preserve"> </w:t>
      </w:r>
      <w:r w:rsidRPr="007C5397">
        <w:t>recognises this increase in potential bushfire hazard needs to be</w:t>
      </w:r>
      <w:r w:rsidR="00A15242">
        <w:t xml:space="preserve"> considered in future planning</w:t>
      </w:r>
      <w:r w:rsidRPr="007C5397">
        <w:t>.</w:t>
      </w:r>
    </w:p>
    <w:p w:rsidR="007A143F" w:rsidRDefault="007C5397">
      <w:pPr>
        <w:pStyle w:val="bt"/>
      </w:pPr>
      <w:r w:rsidRPr="007C5397">
        <w:t xml:space="preserve">In response to recommendations from the Victorian Bushfires Royal Commission into the 2009 fires, regional settlement policy discourages fragmented development on rural lots. It also includes a process for responding to bushfire risk at the planning stage for new urban developments in regional cities, similar to that used to assess new developments in Melbourne’s Urban Growth Zone. The </w:t>
      </w:r>
      <w:r w:rsidRPr="00B44623">
        <w:rPr>
          <w:rStyle w:val="Emphasis"/>
          <w:i w:val="0"/>
        </w:rPr>
        <w:t>Victoria Planning Provisions</w:t>
      </w:r>
      <w:r w:rsidRPr="007C5397">
        <w:t xml:space="preserve"> </w:t>
      </w:r>
      <w:r w:rsidR="00D97189">
        <w:t xml:space="preserve">and planning schemes </w:t>
      </w:r>
      <w:r w:rsidRPr="007C5397">
        <w:t>have been amended to ensure bushfire provisions give priority to the protection of human life.</w:t>
      </w:r>
    </w:p>
    <w:p w:rsidR="007A143F" w:rsidRDefault="007C5397">
      <w:pPr>
        <w:pStyle w:val="bt"/>
      </w:pPr>
      <w:r w:rsidRPr="007C5397">
        <w:t>Implementation of the Royal Commission’s recommendations also includes development of regional bushfire planning assessments, which will indicate where a significant bushfire hazard may affect land use planning. They are intended to be a resource to assist councils to support community resilience to bushfire and to contribute to strategic planning, such as planning scheme amendments. Although not exhaustive, the areas identified provide a starting point for investigation of bushfire hazard should further development be considered in such locations.</w:t>
      </w:r>
    </w:p>
    <w:p w:rsidR="007A143F" w:rsidRDefault="007C5397">
      <w:pPr>
        <w:pStyle w:val="bt"/>
      </w:pPr>
      <w:r w:rsidRPr="007C5397">
        <w:t xml:space="preserve">The Bushfire Management Overlay has been applied </w:t>
      </w:r>
      <w:r w:rsidR="00D97189">
        <w:t>to</w:t>
      </w:r>
      <w:r w:rsidRPr="007C5397">
        <w:t xml:space="preserve"> local government planning schemes to recognise areas where bushfire hazard is an important land use planning consideration. </w:t>
      </w:r>
      <w:r w:rsidR="003D11A8" w:rsidRPr="003D11A8">
        <w:t>The current Bushfire Management Overlay for</w:t>
      </w:r>
      <w:r w:rsidR="003D11A8">
        <w:t xml:space="preserve"> the region is shown in </w:t>
      </w:r>
      <w:r w:rsidR="00AA3D97">
        <w:fldChar w:fldCharType="begin"/>
      </w:r>
      <w:r w:rsidR="0080262A">
        <w:instrText xml:space="preserve"> REF _Ref363467568 \h </w:instrText>
      </w:r>
      <w:r w:rsidR="00AA3D97">
        <w:fldChar w:fldCharType="separate"/>
      </w:r>
      <w:r w:rsidR="009034D4">
        <w:t xml:space="preserve">Figure </w:t>
      </w:r>
      <w:r w:rsidR="009034D4">
        <w:rPr>
          <w:noProof/>
        </w:rPr>
        <w:t>21</w:t>
      </w:r>
      <w:r w:rsidR="00AA3D97">
        <w:fldChar w:fldCharType="end"/>
      </w:r>
      <w:r w:rsidR="003D11A8" w:rsidRPr="003D11A8">
        <w:t xml:space="preserve">. </w:t>
      </w:r>
      <w:r w:rsidRPr="007C5397">
        <w:t xml:space="preserve">New </w:t>
      </w:r>
      <w:r w:rsidR="007919AA" w:rsidRPr="007C5397">
        <w:t>Bushfire Management Overlay</w:t>
      </w:r>
      <w:r w:rsidR="007919AA" w:rsidRPr="007C5397" w:rsidDel="007919AA">
        <w:t xml:space="preserve"> </w:t>
      </w:r>
      <w:r w:rsidRPr="007C5397">
        <w:t>mapping is being prepared and will more accurately reflect areas where bushfire hazard requires specified protection measures and where planning decisions should explicitly consider risk to life and property from bushfire hazard.</w:t>
      </w:r>
    </w:p>
    <w:p w:rsidR="003D11A8" w:rsidRDefault="003D11A8" w:rsidP="00EE0F0D">
      <w:pPr>
        <w:pStyle w:val="bt"/>
      </w:pPr>
      <w:r w:rsidRPr="003D11A8">
        <w:t>Other tools and information that can assist in responsible planning decisions in relation to bushfire hazards include Regional Bushfire Planning Assessments, mapping of bushfire prone areas, information in Integrated Fire Management Plans, and advice from agencies such as the C</w:t>
      </w:r>
      <w:r w:rsidR="007753E9">
        <w:t>ountry Fire Authority</w:t>
      </w:r>
      <w:r w:rsidRPr="003D11A8">
        <w:t>. This information can provide valuable additional understanding of bushfire hazards and planning considerations. For example, the Regional Bushfire Planning Assessments include information on limited access and egress to specific towns.</w:t>
      </w:r>
    </w:p>
    <w:p w:rsidR="00906ABF" w:rsidRDefault="007C5397" w:rsidP="00EE0F0D">
      <w:pPr>
        <w:pStyle w:val="bt"/>
      </w:pPr>
      <w:r w:rsidRPr="007C5397">
        <w:t xml:space="preserve">The </w:t>
      </w:r>
      <w:r w:rsidR="007919AA">
        <w:t>plan</w:t>
      </w:r>
      <w:r w:rsidR="007919AA" w:rsidRPr="007C5397">
        <w:t xml:space="preserve"> </w:t>
      </w:r>
      <w:r w:rsidRPr="007C5397">
        <w:t>directs that identification of future growth areas and other strategic land use planning decisions must prioritise the protection of human life above all other policy considerations. Planning also needs to consider the potential environmental impacts of measures that may be required to minimise bushfire hazard. Development should not be supported if it could increase the risk to life, property or community infrastructure or assets from bushfires.</w:t>
      </w:r>
    </w:p>
    <w:p w:rsidR="0080262A" w:rsidRDefault="0080262A" w:rsidP="003D11A8">
      <w:pPr>
        <w:pStyle w:val="Caption"/>
        <w:sectPr w:rsidR="0080262A" w:rsidSect="009075F4">
          <w:pgSz w:w="11906" w:h="16838"/>
          <w:pgMar w:top="1530" w:right="1440" w:bottom="993" w:left="1440" w:header="708" w:footer="708" w:gutter="0"/>
          <w:cols w:space="708"/>
          <w:docGrid w:linePitch="360"/>
        </w:sectPr>
      </w:pPr>
    </w:p>
    <w:p w:rsidR="003D11A8" w:rsidRDefault="003D11A8" w:rsidP="003D11A8">
      <w:pPr>
        <w:pStyle w:val="Caption"/>
      </w:pPr>
      <w:bookmarkStart w:id="372" w:name="_Ref363467568"/>
      <w:bookmarkStart w:id="373" w:name="_Toc374612546"/>
      <w:r>
        <w:t xml:space="preserve">Figure </w:t>
      </w:r>
      <w:r w:rsidR="00AA3D97">
        <w:fldChar w:fldCharType="begin"/>
      </w:r>
      <w:r>
        <w:instrText xml:space="preserve"> SEQ Figure \* ARABIC </w:instrText>
      </w:r>
      <w:r w:rsidR="00AA3D97">
        <w:fldChar w:fldCharType="separate"/>
      </w:r>
      <w:r w:rsidR="009034D4">
        <w:rPr>
          <w:noProof/>
        </w:rPr>
        <w:t>21</w:t>
      </w:r>
      <w:r w:rsidR="00AA3D97">
        <w:fldChar w:fldCharType="end"/>
      </w:r>
      <w:bookmarkEnd w:id="372"/>
      <w:r>
        <w:t xml:space="preserve">: </w:t>
      </w:r>
      <w:r w:rsidRPr="003D11A8">
        <w:t>Current bushfire management overlays in the Hume Region</w:t>
      </w:r>
      <w:bookmarkEnd w:id="373"/>
    </w:p>
    <w:p w:rsidR="007D1E72" w:rsidRPr="007D1E72" w:rsidRDefault="007D1E72" w:rsidP="007D1E72">
      <w:pPr>
        <w:pStyle w:val="bt"/>
      </w:pPr>
      <w:r>
        <w:t>[</w:t>
      </w:r>
      <w:r w:rsidRPr="007D1E72">
        <w:t>Map showing current bushfire management overlays in the Hume Region</w:t>
      </w:r>
      <w:r>
        <w:t>]</w:t>
      </w:r>
    </w:p>
    <w:p w:rsidR="00681189" w:rsidRPr="00BA3E62" w:rsidRDefault="00681189" w:rsidP="00E31B7A">
      <w:pPr>
        <w:pStyle w:val="source"/>
      </w:pPr>
      <w:r>
        <w:t>Source: Department of Transport, Planning and Local Infrastructure</w:t>
      </w:r>
    </w:p>
    <w:p w:rsidR="00681189" w:rsidRPr="00BA3E62" w:rsidRDefault="00681189" w:rsidP="00E31B7A">
      <w:pPr>
        <w:pStyle w:val="source"/>
        <w:sectPr w:rsidR="00681189" w:rsidRPr="00BA3E62" w:rsidSect="0087602D">
          <w:pgSz w:w="16838" w:h="11906" w:orient="landscape"/>
          <w:pgMar w:top="1440" w:right="1702" w:bottom="993" w:left="993" w:header="708" w:footer="708" w:gutter="0"/>
          <w:cols w:space="708"/>
          <w:docGrid w:linePitch="360"/>
        </w:sectPr>
      </w:pPr>
    </w:p>
    <w:p w:rsidR="007C5397" w:rsidRDefault="007C5397" w:rsidP="00A41B2E">
      <w:pPr>
        <w:pStyle w:val="Heading3"/>
        <w:numPr>
          <w:ilvl w:val="2"/>
          <w:numId w:val="14"/>
        </w:numPr>
        <w:tabs>
          <w:tab w:val="clear" w:pos="720"/>
          <w:tab w:val="clear" w:pos="900"/>
        </w:tabs>
        <w:ind w:left="851" w:hanging="851"/>
      </w:pPr>
      <w:bookmarkStart w:id="374" w:name="_Toc355970844"/>
      <w:bookmarkStart w:id="375" w:name="_Toc359422990"/>
      <w:bookmarkStart w:id="376" w:name="_Toc374612491"/>
      <w:r>
        <w:t>Salinity</w:t>
      </w:r>
      <w:bookmarkEnd w:id="374"/>
      <w:bookmarkEnd w:id="375"/>
      <w:bookmarkEnd w:id="376"/>
    </w:p>
    <w:p w:rsidR="007A143F" w:rsidRDefault="007C5397">
      <w:pPr>
        <w:pStyle w:val="bt"/>
      </w:pPr>
      <w:r w:rsidRPr="007C5397">
        <w:t>Settlement of the Hume Region for agricultural and pastoral uses has replaced native vegetation with crops</w:t>
      </w:r>
      <w:r w:rsidR="00F5314A">
        <w:t>,</w:t>
      </w:r>
      <w:r w:rsidRPr="007C5397">
        <w:t xml:space="preserve"> introduced </w:t>
      </w:r>
      <w:r w:rsidR="00F5314A">
        <w:t xml:space="preserve">exotic </w:t>
      </w:r>
      <w:r w:rsidRPr="007C5397">
        <w:t xml:space="preserve">grasses and brought large areas of land under irrigation. These developments have resulted in significant changes to the water balance, with localised effects including increasingly saline groundwater, raised </w:t>
      </w:r>
      <w:r w:rsidR="003467C9" w:rsidRPr="007C5397">
        <w:t>water tables</w:t>
      </w:r>
      <w:r w:rsidRPr="007C5397">
        <w:t xml:space="preserve"> or groundwater discharge. Discharge areas may become saline, are often waterlogged, support only salt</w:t>
      </w:r>
      <w:r w:rsidR="00F5314A">
        <w:t>-</w:t>
      </w:r>
      <w:r w:rsidRPr="007C5397">
        <w:t>tolerant vegetation, and suffer from soil erosion. Rising groundwater is as much an environmental problem as an issue for agriculture and urban areas.</w:t>
      </w:r>
    </w:p>
    <w:p w:rsidR="007A143F" w:rsidRDefault="007C5397">
      <w:pPr>
        <w:pStyle w:val="bt"/>
      </w:pPr>
      <w:r w:rsidRPr="007C5397">
        <w:t>Salinity issues in rural areas</w:t>
      </w:r>
      <w:r w:rsidR="009936AA">
        <w:t xml:space="preserve"> and for waterways</w:t>
      </w:r>
      <w:r w:rsidRPr="007C5397">
        <w:t xml:space="preserve"> are addressed through the land and water management activities of the </w:t>
      </w:r>
      <w:r w:rsidR="00D62407">
        <w:t>c</w:t>
      </w:r>
      <w:r w:rsidR="007919AA">
        <w:t xml:space="preserve">atchment </w:t>
      </w:r>
      <w:r w:rsidR="00D62407">
        <w:t>m</w:t>
      </w:r>
      <w:r w:rsidR="007919AA">
        <w:t xml:space="preserve">anagement </w:t>
      </w:r>
      <w:r w:rsidR="00D62407">
        <w:t>a</w:t>
      </w:r>
      <w:r w:rsidR="007919AA">
        <w:t>uthorities</w:t>
      </w:r>
      <w:r w:rsidRPr="007C5397">
        <w:t>. Dry</w:t>
      </w:r>
      <w:r w:rsidR="00BE6A8F">
        <w:t xml:space="preserve"> </w:t>
      </w:r>
      <w:r w:rsidRPr="007C5397">
        <w:t xml:space="preserve">land salinity in the Goulburn Broken and North East </w:t>
      </w:r>
      <w:r w:rsidR="007919AA">
        <w:t xml:space="preserve">Catchment Management Authority </w:t>
      </w:r>
      <w:r w:rsidRPr="007C5397">
        <w:t>regions affects over 7000 hectares of land</w:t>
      </w:r>
      <w:r w:rsidRPr="007C5397">
        <w:rPr>
          <w:rStyle w:val="FootnoteReference"/>
          <w:szCs w:val="20"/>
        </w:rPr>
        <w:footnoteReference w:id="8"/>
      </w:r>
      <w:r w:rsidRPr="007C5397">
        <w:t xml:space="preserve">. This figure does not include </w:t>
      </w:r>
      <w:r w:rsidR="0051117D" w:rsidRPr="007C5397">
        <w:t>dry</w:t>
      </w:r>
      <w:r w:rsidR="00BE6A8F">
        <w:t xml:space="preserve"> </w:t>
      </w:r>
      <w:r w:rsidR="0051117D" w:rsidRPr="007C5397">
        <w:t>land</w:t>
      </w:r>
      <w:r w:rsidRPr="007C5397">
        <w:t xml:space="preserve"> areas that are at risk of becoming saline in </w:t>
      </w:r>
      <w:r w:rsidR="00F5314A">
        <w:t xml:space="preserve">the </w:t>
      </w:r>
      <w:r w:rsidRPr="007C5397">
        <w:t>future, or areas that are saline as a result of irrigation activities.</w:t>
      </w:r>
    </w:p>
    <w:p w:rsidR="007A143F" w:rsidRDefault="007C5397">
      <w:pPr>
        <w:pStyle w:val="bt"/>
      </w:pPr>
      <w:r w:rsidRPr="007C5397">
        <w:t>Urban salinity is an emerging problem across Victoria and can cause significant damage to structures</w:t>
      </w:r>
      <w:r w:rsidR="00D97189">
        <w:t>,</w:t>
      </w:r>
      <w:r w:rsidRPr="007C5397">
        <w:t xml:space="preserve"> such as pavements, road base, bricks and mortar</w:t>
      </w:r>
      <w:r w:rsidR="00897989">
        <w:t>,</w:t>
      </w:r>
      <w:r w:rsidRPr="007C5397">
        <w:t xml:space="preserve"> and can corrode and damage underground pipes and wires. It can also result in dying gardens, bare soil or soils that can only grow salt-tolerant species. Assets at risk include roads, buildings, bridges, cemeteries, parks and gardens, lakes and waterways. The </w:t>
      </w:r>
      <w:r w:rsidR="007919AA">
        <w:t>plan</w:t>
      </w:r>
      <w:r w:rsidR="007919AA" w:rsidRPr="007C5397">
        <w:t xml:space="preserve"> </w:t>
      </w:r>
      <w:r w:rsidRPr="007C5397">
        <w:t xml:space="preserve">recognises that salinity issues need to be considered for some settlements within the </w:t>
      </w:r>
      <w:r w:rsidR="00887C34">
        <w:t>r</w:t>
      </w:r>
      <w:r w:rsidRPr="007C5397">
        <w:t>egion.</w:t>
      </w:r>
    </w:p>
    <w:p w:rsidR="007A143F" w:rsidRDefault="007C5397">
      <w:pPr>
        <w:pStyle w:val="bt"/>
      </w:pPr>
      <w:r w:rsidRPr="007C5397">
        <w:t>The severity of salinity in both urban and rural areas decreased during the recent extended drought, but the problem appears to have been halted only temporarily. Recent wet years have seen a re-emergence of many salinity</w:t>
      </w:r>
      <w:r w:rsidR="00D97189">
        <w:t xml:space="preserve"> </w:t>
      </w:r>
      <w:r w:rsidRPr="007C5397">
        <w:t xml:space="preserve">related problems. There is extensive monitoring and mapping of salinity and watertable levels in the irrigation areas </w:t>
      </w:r>
      <w:r w:rsidR="00A15242">
        <w:t>of</w:t>
      </w:r>
      <w:r w:rsidRPr="007C5397">
        <w:t xml:space="preserve"> the </w:t>
      </w:r>
      <w:r w:rsidR="007919AA">
        <w:t>r</w:t>
      </w:r>
      <w:r w:rsidRPr="007C5397">
        <w:t>egion.</w:t>
      </w:r>
      <w:r w:rsidR="00801D0A">
        <w:t xml:space="preserve"> Such monitoring and mapping may need to be extended to other areas.</w:t>
      </w:r>
    </w:p>
    <w:p w:rsidR="007A143F" w:rsidRDefault="007C5397">
      <w:pPr>
        <w:pStyle w:val="bt"/>
      </w:pPr>
      <w:r w:rsidRPr="007C5397">
        <w:t xml:space="preserve">The Salinity Management Overlay has been applied in some planning schemes in the </w:t>
      </w:r>
      <w:r w:rsidR="007919AA">
        <w:t>r</w:t>
      </w:r>
      <w:r w:rsidRPr="007C5397">
        <w:t xml:space="preserve">egion to highlight salinity issues. The overlay generally identifies areas subject to saline groundwater discharge or high groundwater recharge. The </w:t>
      </w:r>
      <w:r w:rsidR="007919AA">
        <w:t>plan</w:t>
      </w:r>
      <w:r w:rsidR="007919AA" w:rsidRPr="007C5397">
        <w:t xml:space="preserve"> </w:t>
      </w:r>
      <w:r w:rsidRPr="007C5397">
        <w:t xml:space="preserve">suggests the </w:t>
      </w:r>
      <w:r w:rsidR="007919AA" w:rsidRPr="007C5397">
        <w:t>Salinity Management Overlay</w:t>
      </w:r>
      <w:r w:rsidR="007919AA" w:rsidRPr="007C5397" w:rsidDel="007919AA">
        <w:t xml:space="preserve"> </w:t>
      </w:r>
      <w:r w:rsidRPr="007C5397">
        <w:t>should be applied consistently across the region and more use should be made of the overlay to inform planning decisions in urban areas and areas of potential rural residential development. It could also be used to manage land use</w:t>
      </w:r>
      <w:r w:rsidR="00D97189">
        <w:t xml:space="preserve">, </w:t>
      </w:r>
      <w:r w:rsidRPr="007C5397">
        <w:t>particularly vegetation removal</w:t>
      </w:r>
      <w:r w:rsidR="00D97189">
        <w:t xml:space="preserve"> </w:t>
      </w:r>
      <w:r w:rsidRPr="007C5397">
        <w:t xml:space="preserve">in aquifer recharge areas on higher land, where this is potentially contributing to </w:t>
      </w:r>
      <w:r w:rsidR="0051117D" w:rsidRPr="007C5397">
        <w:t>dry</w:t>
      </w:r>
      <w:r w:rsidR="00BE6A8F">
        <w:t xml:space="preserve"> </w:t>
      </w:r>
      <w:r w:rsidR="0051117D" w:rsidRPr="007C5397">
        <w:t>land</w:t>
      </w:r>
      <w:r w:rsidRPr="007C5397">
        <w:t xml:space="preserve"> salinity in other parts of the landscape.</w:t>
      </w:r>
    </w:p>
    <w:p w:rsidR="007A143F" w:rsidRDefault="007C5397" w:rsidP="00906ABF">
      <w:pPr>
        <w:pStyle w:val="Heading2"/>
        <w:tabs>
          <w:tab w:val="clear" w:pos="396"/>
        </w:tabs>
        <w:ind w:left="567"/>
      </w:pPr>
      <w:bookmarkStart w:id="377" w:name="_Toc355970845"/>
      <w:bookmarkStart w:id="378" w:name="_Toc359422991"/>
      <w:bookmarkStart w:id="379" w:name="_Toc374612492"/>
      <w:r w:rsidRPr="00B948A1">
        <w:t xml:space="preserve">Considerations for </w:t>
      </w:r>
      <w:r w:rsidR="00F5314A" w:rsidRPr="00B948A1">
        <w:t>p</w:t>
      </w:r>
      <w:r w:rsidR="00DA722B" w:rsidRPr="00DA722B">
        <w:t>lanning</w:t>
      </w:r>
      <w:bookmarkEnd w:id="377"/>
      <w:bookmarkEnd w:id="378"/>
      <w:bookmarkEnd w:id="379"/>
    </w:p>
    <w:p w:rsidR="00F45386" w:rsidRDefault="007C5397" w:rsidP="00F45386">
      <w:pPr>
        <w:pStyle w:val="bt"/>
      </w:pPr>
      <w:r w:rsidRPr="007C5397">
        <w:t xml:space="preserve">Collectively, the array of environmental assets and natural hazards in the </w:t>
      </w:r>
      <w:r w:rsidR="00634EC3">
        <w:t>r</w:t>
      </w:r>
      <w:r w:rsidRPr="007C5397">
        <w:t xml:space="preserve">egion, combined with areas of economic value for earth resources extraction, mean that most areas have some significant values or potential constraints that need to be considered in </w:t>
      </w:r>
      <w:r w:rsidRPr="003C7B14">
        <w:t>planning</w:t>
      </w:r>
      <w:bookmarkStart w:id="380" w:name="_Ref348349677"/>
      <w:bookmarkStart w:id="381" w:name="_Ref349717441"/>
      <w:r w:rsidR="00F45386">
        <w:t xml:space="preserve"> (</w:t>
      </w:r>
      <w:r w:rsidR="00AA3D97">
        <w:fldChar w:fldCharType="begin"/>
      </w:r>
      <w:r w:rsidR="00D541A5">
        <w:instrText xml:space="preserve"> REF _Ref363467615 \h </w:instrText>
      </w:r>
      <w:r w:rsidR="00AA3D97">
        <w:fldChar w:fldCharType="separate"/>
      </w:r>
      <w:r w:rsidR="009034D4" w:rsidRPr="00206CD7">
        <w:t xml:space="preserve">Figure </w:t>
      </w:r>
      <w:r w:rsidR="009034D4">
        <w:rPr>
          <w:noProof/>
        </w:rPr>
        <w:t>22</w:t>
      </w:r>
      <w:r w:rsidR="00AA3D97">
        <w:fldChar w:fldCharType="end"/>
      </w:r>
      <w:r w:rsidR="00F45386" w:rsidRPr="003C7B14">
        <w:t>). These</w:t>
      </w:r>
      <w:r w:rsidR="00F45386" w:rsidRPr="007C5397">
        <w:t xml:space="preserve"> have been taken into account in preparation of the </w:t>
      </w:r>
      <w:r w:rsidR="00F45386">
        <w:t>plan</w:t>
      </w:r>
      <w:r w:rsidR="00F45386" w:rsidRPr="007C5397">
        <w:t>.</w:t>
      </w:r>
    </w:p>
    <w:p w:rsidR="00F45386" w:rsidRDefault="00F45386" w:rsidP="00F45386">
      <w:pPr>
        <w:pStyle w:val="Caption"/>
        <w:ind w:left="0" w:firstLine="0"/>
        <w:sectPr w:rsidR="00F45386" w:rsidSect="009075F4">
          <w:pgSz w:w="11906" w:h="16838"/>
          <w:pgMar w:top="1530" w:right="1440" w:bottom="993" w:left="1440" w:header="708" w:footer="708" w:gutter="0"/>
          <w:cols w:space="708"/>
          <w:docGrid w:linePitch="360"/>
        </w:sectPr>
      </w:pPr>
    </w:p>
    <w:p w:rsidR="001E6B61" w:rsidRDefault="007536C0" w:rsidP="00EE0F0D">
      <w:pPr>
        <w:pStyle w:val="Caption"/>
        <w:ind w:left="0" w:firstLine="0"/>
      </w:pPr>
      <w:bookmarkStart w:id="382" w:name="_Ref363467615"/>
      <w:bookmarkStart w:id="383" w:name="_Toc374612547"/>
      <w:r w:rsidRPr="00206CD7">
        <w:t xml:space="preserve">Figure </w:t>
      </w:r>
      <w:r w:rsidR="00827E2D">
        <w:fldChar w:fldCharType="begin"/>
      </w:r>
      <w:r w:rsidR="00827E2D">
        <w:instrText xml:space="preserve"> SEQ Figure \* ARABIC </w:instrText>
      </w:r>
      <w:r w:rsidR="00827E2D">
        <w:fldChar w:fldCharType="separate"/>
      </w:r>
      <w:r w:rsidR="009034D4">
        <w:rPr>
          <w:noProof/>
        </w:rPr>
        <w:t>22</w:t>
      </w:r>
      <w:r w:rsidR="00827E2D">
        <w:rPr>
          <w:noProof/>
        </w:rPr>
        <w:fldChar w:fldCharType="end"/>
      </w:r>
      <w:bookmarkEnd w:id="380"/>
      <w:bookmarkEnd w:id="381"/>
      <w:bookmarkEnd w:id="382"/>
      <w:r w:rsidRPr="00206CD7">
        <w:t>: Planning considerations</w:t>
      </w:r>
      <w:bookmarkEnd w:id="383"/>
    </w:p>
    <w:p w:rsidR="007D1E72" w:rsidRPr="007D1E72" w:rsidRDefault="007D1E72" w:rsidP="007D1E72">
      <w:pPr>
        <w:pStyle w:val="bt"/>
      </w:pPr>
      <w:r>
        <w:t>[</w:t>
      </w:r>
      <w:r w:rsidRPr="007D1E72">
        <w:t>Map showing planning considerations in the Hume region</w:t>
      </w:r>
      <w:r>
        <w:t>]</w:t>
      </w:r>
    </w:p>
    <w:p w:rsidR="000800DD" w:rsidRDefault="00827E2D" w:rsidP="0061220F">
      <w:pPr>
        <w:pStyle w:val="source"/>
        <w:sectPr w:rsidR="000800DD" w:rsidSect="00681189">
          <w:pgSz w:w="16838" w:h="11906" w:orient="landscape"/>
          <w:pgMar w:top="1440" w:right="1702" w:bottom="993" w:left="993" w:header="708" w:footer="708" w:gutter="0"/>
          <w:cols w:space="708"/>
          <w:docGrid w:linePitch="360"/>
        </w:sectPr>
      </w:pPr>
      <w:r>
        <w:rPr>
          <w:b/>
          <w:noProof/>
          <w:sz w:val="24"/>
        </w:rPr>
        <mc:AlternateContent>
          <mc:Choice Requires="wps">
            <w:drawing>
              <wp:anchor distT="0" distB="0" distL="114300" distR="114300" simplePos="0" relativeHeight="251678720" behindDoc="0" locked="0" layoutInCell="1" allowOverlap="1">
                <wp:simplePos x="0" y="0"/>
                <wp:positionH relativeFrom="column">
                  <wp:posOffset>5620385</wp:posOffset>
                </wp:positionH>
                <wp:positionV relativeFrom="paragraph">
                  <wp:posOffset>177165</wp:posOffset>
                </wp:positionV>
                <wp:extent cx="377190" cy="896620"/>
                <wp:effectExtent l="635" t="0" r="3175"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896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874" w:rsidRDefault="008778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42.55pt;margin-top:13.95pt;width:29.7pt;height:7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" stroked="f">
                <v:textbox>
                  <w:txbxContent>
                    <w:p w:rsidR="00877874" w:rsidRDefault="00877874"/>
                  </w:txbxContent>
                </v:textbox>
              </v:shape>
            </w:pict>
          </mc:Fallback>
        </mc:AlternateContent>
      </w:r>
      <w:r w:rsidR="00EE0F0D" w:rsidRPr="0062610D">
        <w:t xml:space="preserve">Source: </w:t>
      </w:r>
      <w:r w:rsidR="00503EB2">
        <w:t xml:space="preserve">Department of </w:t>
      </w:r>
      <w:r w:rsidR="000327E7">
        <w:t xml:space="preserve">Transport, </w:t>
      </w:r>
      <w:r w:rsidR="00503EB2">
        <w:t xml:space="preserve">Planning and </w:t>
      </w:r>
      <w:r w:rsidR="000327E7">
        <w:t>Local Infrastructure</w:t>
      </w:r>
    </w:p>
    <w:p w:rsidR="007A143F" w:rsidRDefault="003C1BCE">
      <w:pPr>
        <w:pStyle w:val="Heading11"/>
      </w:pPr>
      <w:bookmarkStart w:id="384" w:name="_Toc355970846"/>
      <w:bookmarkStart w:id="385" w:name="_Toc359422992"/>
      <w:bookmarkStart w:id="386" w:name="_Toc374612493"/>
      <w:r w:rsidRPr="00162345">
        <w:t xml:space="preserve">Transport and </w:t>
      </w:r>
      <w:r w:rsidR="003D5720" w:rsidRPr="00162345">
        <w:t>i</w:t>
      </w:r>
      <w:r w:rsidR="00DA722B" w:rsidRPr="00DA722B">
        <w:t>nfrastructure</w:t>
      </w:r>
      <w:bookmarkEnd w:id="384"/>
      <w:bookmarkEnd w:id="385"/>
      <w:bookmarkEnd w:id="386"/>
    </w:p>
    <w:p w:rsidR="007A143F" w:rsidRDefault="002A2538" w:rsidP="00763029">
      <w:pPr>
        <w:pStyle w:val="bt"/>
        <w:spacing w:after="0"/>
      </w:pPr>
      <w:r w:rsidRPr="00B15908">
        <w:t xml:space="preserve">This part of the </w:t>
      </w:r>
      <w:r w:rsidR="00B31123">
        <w:t>b</w:t>
      </w:r>
      <w:r w:rsidR="00AC3736">
        <w:t xml:space="preserve">ackground </w:t>
      </w:r>
      <w:r w:rsidR="00B31123">
        <w:t>p</w:t>
      </w:r>
      <w:r w:rsidR="00414271">
        <w:t>aper</w:t>
      </w:r>
      <w:r w:rsidRPr="00B15908">
        <w:t xml:space="preserve"> supports the directions provided in the regional infrastructure section of the </w:t>
      </w:r>
      <w:r w:rsidR="00D54A74">
        <w:t>plan</w:t>
      </w:r>
      <w:r w:rsidR="00D54A74" w:rsidRPr="00B15908">
        <w:t xml:space="preserve"> </w:t>
      </w:r>
      <w:r w:rsidRPr="00B15908">
        <w:t>by:</w:t>
      </w:r>
    </w:p>
    <w:p w:rsidR="007A143F" w:rsidRDefault="002A2538" w:rsidP="001A3FCF">
      <w:pPr>
        <w:pStyle w:val="ListBullet"/>
      </w:pPr>
      <w:r w:rsidRPr="00B15908">
        <w:t xml:space="preserve">considering changes to the policy environment since the preparation of the Hume Strategy and </w:t>
      </w:r>
      <w:r w:rsidR="009E2C3B">
        <w:t xml:space="preserve">early work on the </w:t>
      </w:r>
      <w:r w:rsidR="00D54A74">
        <w:t>plan</w:t>
      </w:r>
      <w:r w:rsidR="00D54A74" w:rsidRPr="00B15908">
        <w:t xml:space="preserve"> </w:t>
      </w:r>
    </w:p>
    <w:p w:rsidR="007A143F" w:rsidRDefault="002A2538" w:rsidP="001A3FCF">
      <w:pPr>
        <w:pStyle w:val="ListBullet"/>
      </w:pPr>
      <w:r w:rsidRPr="00B15908">
        <w:t xml:space="preserve">providing an overview of infrastructure in the </w:t>
      </w:r>
      <w:r w:rsidR="00634EC3">
        <w:t>r</w:t>
      </w:r>
      <w:r w:rsidRPr="00B15908">
        <w:t>egion generally</w:t>
      </w:r>
    </w:p>
    <w:p w:rsidR="007A143F" w:rsidRDefault="002A2538" w:rsidP="001A3FCF">
      <w:pPr>
        <w:pStyle w:val="ListBullet"/>
      </w:pPr>
      <w:r w:rsidRPr="00B15908">
        <w:t xml:space="preserve">providing a justification for the inputs to the </w:t>
      </w:r>
      <w:r w:rsidR="00D54A74">
        <w:t>plan</w:t>
      </w:r>
      <w:r w:rsidR="00D54A74" w:rsidRPr="00B15908">
        <w:t xml:space="preserve"> </w:t>
      </w:r>
      <w:r w:rsidRPr="00B15908">
        <w:t>concerning transport and infrastructure.</w:t>
      </w:r>
    </w:p>
    <w:p w:rsidR="001E6B61" w:rsidRDefault="00B15908" w:rsidP="00A41B2E">
      <w:pPr>
        <w:pStyle w:val="Heading2"/>
        <w:numPr>
          <w:ilvl w:val="1"/>
          <w:numId w:val="23"/>
        </w:numPr>
        <w:spacing w:before="240" w:after="120"/>
      </w:pPr>
      <w:bookmarkStart w:id="387" w:name="_Toc355970847"/>
      <w:bookmarkStart w:id="388" w:name="_Toc359422993"/>
      <w:bookmarkStart w:id="389" w:name="_Toc374612494"/>
      <w:r w:rsidRPr="00162345">
        <w:t xml:space="preserve">Overview </w:t>
      </w:r>
      <w:r w:rsidR="00E438BF" w:rsidRPr="00162345">
        <w:t>– t</w:t>
      </w:r>
      <w:r w:rsidR="00DA722B" w:rsidRPr="00DA722B">
        <w:t>ransport</w:t>
      </w:r>
      <w:bookmarkEnd w:id="387"/>
      <w:bookmarkEnd w:id="388"/>
      <w:bookmarkEnd w:id="389"/>
    </w:p>
    <w:p w:rsidR="001E6B61" w:rsidRDefault="00B15908" w:rsidP="00A41B2E">
      <w:pPr>
        <w:pStyle w:val="Heading3"/>
        <w:numPr>
          <w:ilvl w:val="2"/>
          <w:numId w:val="15"/>
        </w:numPr>
        <w:tabs>
          <w:tab w:val="clear" w:pos="720"/>
          <w:tab w:val="clear" w:pos="900"/>
        </w:tabs>
        <w:spacing w:before="240"/>
        <w:ind w:left="851" w:hanging="851"/>
      </w:pPr>
      <w:bookmarkStart w:id="390" w:name="_Toc355970848"/>
      <w:bookmarkStart w:id="391" w:name="_Toc359422994"/>
      <w:bookmarkStart w:id="392" w:name="_Toc374612495"/>
      <w:r>
        <w:t xml:space="preserve">Policy </w:t>
      </w:r>
      <w:r w:rsidR="00E438BF">
        <w:t>c</w:t>
      </w:r>
      <w:r>
        <w:t>ontext</w:t>
      </w:r>
      <w:bookmarkEnd w:id="390"/>
      <w:bookmarkEnd w:id="391"/>
      <w:bookmarkEnd w:id="392"/>
    </w:p>
    <w:p w:rsidR="007A143F" w:rsidRDefault="00B15908">
      <w:pPr>
        <w:pStyle w:val="bt"/>
      </w:pPr>
      <w:bookmarkStart w:id="393" w:name="_Toc348094831"/>
      <w:bookmarkStart w:id="394" w:name="_Toc348104090"/>
      <w:bookmarkStart w:id="395" w:name="_Toc348342458"/>
      <w:r w:rsidRPr="00C3188F">
        <w:t xml:space="preserve">There have been several </w:t>
      </w:r>
      <w:r w:rsidR="009E2C3B">
        <w:t xml:space="preserve">recent </w:t>
      </w:r>
      <w:r w:rsidRPr="00C3188F">
        <w:t>changes to the policy context for transport and infrastructure.</w:t>
      </w:r>
      <w:bookmarkEnd w:id="393"/>
      <w:bookmarkEnd w:id="394"/>
      <w:bookmarkEnd w:id="395"/>
    </w:p>
    <w:p w:rsidR="005D0A03" w:rsidRPr="005D0A03" w:rsidRDefault="007536C0">
      <w:pPr>
        <w:pStyle w:val="bt"/>
        <w:rPr>
          <w:rStyle w:val="Strong"/>
        </w:rPr>
      </w:pPr>
      <w:bookmarkStart w:id="396" w:name="_Toc348094832"/>
      <w:bookmarkStart w:id="397" w:name="_Toc348104091"/>
      <w:bookmarkStart w:id="398" w:name="_Toc348342459"/>
      <w:r w:rsidRPr="007536C0">
        <w:rPr>
          <w:rStyle w:val="Strong"/>
        </w:rPr>
        <w:t>a)</w:t>
      </w:r>
      <w:r w:rsidRPr="007536C0">
        <w:rPr>
          <w:rStyle w:val="Strong"/>
        </w:rPr>
        <w:tab/>
        <w:t>Victorian Freight and Logistics Plan</w:t>
      </w:r>
      <w:bookmarkEnd w:id="396"/>
      <w:bookmarkEnd w:id="397"/>
      <w:bookmarkEnd w:id="398"/>
    </w:p>
    <w:p w:rsidR="0078697F" w:rsidRDefault="00B15908" w:rsidP="00EB39D0">
      <w:pPr>
        <w:pStyle w:val="bt"/>
      </w:pPr>
      <w:bookmarkStart w:id="399" w:name="_Toc348094833"/>
      <w:bookmarkStart w:id="400" w:name="_Toc348104092"/>
      <w:bookmarkStart w:id="401" w:name="_Toc348342460"/>
      <w:r w:rsidRPr="00C3188F">
        <w:t xml:space="preserve">A </w:t>
      </w:r>
      <w:r w:rsidRPr="00B44623">
        <w:rPr>
          <w:rStyle w:val="Emphasis"/>
          <w:i w:val="0"/>
        </w:rPr>
        <w:t>Victorian Freight and Logistics Plan</w:t>
      </w:r>
      <w:r w:rsidRPr="00C3188F">
        <w:t xml:space="preserve"> </w:t>
      </w:r>
      <w:r w:rsidR="00621F23">
        <w:t>has been</w:t>
      </w:r>
      <w:r w:rsidR="00414271">
        <w:t xml:space="preserve"> developed</w:t>
      </w:r>
      <w:r w:rsidRPr="00C3188F">
        <w:t xml:space="preserve"> and </w:t>
      </w:r>
      <w:r w:rsidR="00621F23">
        <w:t>released in August</w:t>
      </w:r>
      <w:r w:rsidRPr="00C3188F">
        <w:t xml:space="preserve"> 2013. The freight and logistics plan examine</w:t>
      </w:r>
      <w:r w:rsidR="00621F23">
        <w:t>s</w:t>
      </w:r>
      <w:r w:rsidRPr="00C3188F">
        <w:t xml:space="preserve"> long-term freight forecasts for Victoria to the year 2050. It use</w:t>
      </w:r>
      <w:r w:rsidR="00621F23">
        <w:t>s</w:t>
      </w:r>
      <w:r w:rsidRPr="00C3188F">
        <w:t xml:space="preserve"> </w:t>
      </w:r>
      <w:r w:rsidR="00E438BF">
        <w:t xml:space="preserve">these forecasts </w:t>
      </w:r>
      <w:r w:rsidRPr="00C3188F">
        <w:t>to model a wide range of freight network scenarios to inform decision</w:t>
      </w:r>
      <w:r w:rsidR="00E438BF">
        <w:t>-</w:t>
      </w:r>
      <w:r w:rsidRPr="00C3188F">
        <w:t>making for future projects and initiatives. The</w:t>
      </w:r>
      <w:r w:rsidR="00DC5F3E">
        <w:t xml:space="preserve"> </w:t>
      </w:r>
      <w:r w:rsidR="00DC5F3E" w:rsidRPr="00B44623">
        <w:rPr>
          <w:rStyle w:val="Emphasis"/>
          <w:i w:val="0"/>
        </w:rPr>
        <w:t>Victorian</w:t>
      </w:r>
      <w:r w:rsidRPr="00B44623">
        <w:rPr>
          <w:rStyle w:val="Emphasis"/>
          <w:i w:val="0"/>
        </w:rPr>
        <w:t xml:space="preserve"> </w:t>
      </w:r>
      <w:r w:rsidR="00E438BF" w:rsidRPr="00B44623">
        <w:rPr>
          <w:rStyle w:val="Emphasis"/>
          <w:i w:val="0"/>
        </w:rPr>
        <w:t>F</w:t>
      </w:r>
      <w:r w:rsidRPr="00B44623">
        <w:rPr>
          <w:rStyle w:val="Emphasis"/>
          <w:i w:val="0"/>
        </w:rPr>
        <w:t xml:space="preserve">reight and </w:t>
      </w:r>
      <w:r w:rsidR="00E438BF" w:rsidRPr="00B44623">
        <w:rPr>
          <w:rStyle w:val="Emphasis"/>
          <w:i w:val="0"/>
        </w:rPr>
        <w:t>L</w:t>
      </w:r>
      <w:r w:rsidRPr="00B44623">
        <w:rPr>
          <w:rStyle w:val="Emphasis"/>
          <w:i w:val="0"/>
        </w:rPr>
        <w:t xml:space="preserve">ogistics </w:t>
      </w:r>
      <w:r w:rsidR="00E438BF" w:rsidRPr="00B44623">
        <w:rPr>
          <w:rStyle w:val="Emphasis"/>
          <w:i w:val="0"/>
        </w:rPr>
        <w:t>P</w:t>
      </w:r>
      <w:r w:rsidRPr="00B44623">
        <w:rPr>
          <w:rStyle w:val="Emphasis"/>
          <w:i w:val="0"/>
        </w:rPr>
        <w:t>lan</w:t>
      </w:r>
      <w:r w:rsidRPr="00C3188F">
        <w:t xml:space="preserve"> </w:t>
      </w:r>
      <w:r w:rsidR="00E438BF">
        <w:t>incorporate</w:t>
      </w:r>
      <w:r w:rsidR="00621F23">
        <w:t>s</w:t>
      </w:r>
      <w:r w:rsidR="00E438BF">
        <w:t xml:space="preserve"> </w:t>
      </w:r>
      <w:r w:rsidRPr="00C3188F">
        <w:t xml:space="preserve">previous policy work such as </w:t>
      </w:r>
      <w:r w:rsidRPr="00B44623">
        <w:rPr>
          <w:rStyle w:val="Emphasis"/>
          <w:i w:val="0"/>
        </w:rPr>
        <w:t>Growing Freight on Rail</w:t>
      </w:r>
      <w:r w:rsidRPr="00C3188F">
        <w:t xml:space="preserve"> and the </w:t>
      </w:r>
      <w:r w:rsidRPr="00B44623">
        <w:rPr>
          <w:rStyle w:val="Emphasis"/>
          <w:i w:val="0"/>
        </w:rPr>
        <w:t>Transport Solutions Framework</w:t>
      </w:r>
      <w:r w:rsidRPr="00C3188F">
        <w:t>.</w:t>
      </w:r>
      <w:bookmarkEnd w:id="399"/>
      <w:bookmarkEnd w:id="400"/>
      <w:bookmarkEnd w:id="401"/>
    </w:p>
    <w:p w:rsidR="005D0A03" w:rsidRPr="005D0A03" w:rsidRDefault="007536C0">
      <w:pPr>
        <w:pStyle w:val="bt"/>
        <w:rPr>
          <w:rStyle w:val="Strong"/>
        </w:rPr>
      </w:pPr>
      <w:r w:rsidRPr="007536C0">
        <w:rPr>
          <w:rStyle w:val="Strong"/>
        </w:rPr>
        <w:t>b)</w:t>
      </w:r>
      <w:r w:rsidRPr="007536C0">
        <w:rPr>
          <w:rStyle w:val="Strong"/>
        </w:rPr>
        <w:tab/>
        <w:t>Victoria’s submission to Infrastructure Australia (2012)</w:t>
      </w:r>
    </w:p>
    <w:p w:rsidR="007A143F" w:rsidRDefault="00B15908" w:rsidP="00763029">
      <w:pPr>
        <w:pStyle w:val="bt"/>
        <w:spacing w:after="0"/>
      </w:pPr>
      <w:r w:rsidRPr="00C3188F">
        <w:t xml:space="preserve">In 2011, the </w:t>
      </w:r>
      <w:r w:rsidR="007753E9">
        <w:t>s</w:t>
      </w:r>
      <w:r w:rsidR="00E438BF">
        <w:t xml:space="preserve">tate </w:t>
      </w:r>
      <w:r w:rsidR="007753E9">
        <w:t>g</w:t>
      </w:r>
      <w:r w:rsidRPr="00C3188F">
        <w:t xml:space="preserve">overnment submitted a number of projects to Infrastructure Australia. Victoria’s 2012 submission </w:t>
      </w:r>
      <w:r w:rsidR="00284C87">
        <w:t xml:space="preserve">revises </w:t>
      </w:r>
      <w:r w:rsidRPr="00C3188F">
        <w:t xml:space="preserve">the 2011 submission and </w:t>
      </w:r>
      <w:r w:rsidR="00284C87">
        <w:t xml:space="preserve">includes </w:t>
      </w:r>
      <w:r w:rsidRPr="00C3188F">
        <w:t xml:space="preserve">a number of projects to </w:t>
      </w:r>
      <w:r w:rsidR="00284C87">
        <w:t xml:space="preserve">advance the </w:t>
      </w:r>
      <w:r w:rsidR="007753E9">
        <w:t>s</w:t>
      </w:r>
      <w:r w:rsidR="00284C87">
        <w:t xml:space="preserve">tate </w:t>
      </w:r>
      <w:r w:rsidR="007753E9">
        <w:t>g</w:t>
      </w:r>
      <w:r w:rsidR="00284C87">
        <w:t xml:space="preserve">overnment’s </w:t>
      </w:r>
      <w:r w:rsidRPr="00C3188F">
        <w:t>strategic framework arising out of the development of</w:t>
      </w:r>
      <w:r w:rsidR="00722226">
        <w:t xml:space="preserve"> </w:t>
      </w:r>
      <w:r w:rsidR="00722226" w:rsidRPr="00722226">
        <w:rPr>
          <w:i/>
        </w:rPr>
        <w:t>Plan Melbourne</w:t>
      </w:r>
      <w:r w:rsidRPr="00C3188F">
        <w:t xml:space="preserve">, </w:t>
      </w:r>
      <w:r w:rsidR="007753E9">
        <w:t>r</w:t>
      </w:r>
      <w:r w:rsidRPr="00C3188F">
        <w:t xml:space="preserve">egional </w:t>
      </w:r>
      <w:r w:rsidR="007753E9">
        <w:t>g</w:t>
      </w:r>
      <w:r w:rsidR="00A15242">
        <w:t xml:space="preserve">rowth </w:t>
      </w:r>
      <w:r w:rsidR="007753E9">
        <w:t>p</w:t>
      </w:r>
      <w:r w:rsidR="00A15242">
        <w:t xml:space="preserve">lans and the </w:t>
      </w:r>
      <w:r w:rsidR="00A15242" w:rsidRPr="00B44623">
        <w:rPr>
          <w:rStyle w:val="Emphasis"/>
          <w:i w:val="0"/>
        </w:rPr>
        <w:t>Victorian Freight and Logistics P</w:t>
      </w:r>
      <w:r w:rsidRPr="00B44623">
        <w:rPr>
          <w:rStyle w:val="Emphasis"/>
          <w:i w:val="0"/>
        </w:rPr>
        <w:t>lan</w:t>
      </w:r>
      <w:r w:rsidRPr="00C3188F">
        <w:t xml:space="preserve">. Projects submitted to Infrastructure Australia that are relevant to the </w:t>
      </w:r>
      <w:r w:rsidR="00634EC3">
        <w:t>r</w:t>
      </w:r>
      <w:r w:rsidRPr="00C3188F">
        <w:t>egion include:</w:t>
      </w:r>
    </w:p>
    <w:p w:rsidR="007A143F" w:rsidRDefault="00B15908" w:rsidP="001A3FCF">
      <w:pPr>
        <w:pStyle w:val="ListBullet"/>
      </w:pPr>
      <w:r w:rsidRPr="00C3188F">
        <w:t>managed motorways</w:t>
      </w:r>
    </w:p>
    <w:p w:rsidR="007A143F" w:rsidRDefault="00B15908" w:rsidP="001A3FCF">
      <w:pPr>
        <w:pStyle w:val="ListBullet"/>
      </w:pPr>
      <w:r w:rsidRPr="00B15908">
        <w:t xml:space="preserve">Shepparton </w:t>
      </w:r>
      <w:r w:rsidR="00D97189">
        <w:t>B</w:t>
      </w:r>
      <w:r w:rsidRPr="00B15908">
        <w:t>ypass</w:t>
      </w:r>
    </w:p>
    <w:p w:rsidR="007A143F" w:rsidRDefault="00B15908" w:rsidP="001A3FCF">
      <w:pPr>
        <w:pStyle w:val="ListBullet"/>
      </w:pPr>
      <w:r w:rsidRPr="00B15908">
        <w:t>high productivity freight vehicles upgrade package</w:t>
      </w:r>
    </w:p>
    <w:p w:rsidR="007A143F" w:rsidRDefault="00B15908" w:rsidP="001A3FCF">
      <w:pPr>
        <w:pStyle w:val="ListBullet"/>
      </w:pPr>
      <w:r w:rsidRPr="00B15908">
        <w:t>Hume Freeway</w:t>
      </w:r>
    </w:p>
    <w:p w:rsidR="007A143F" w:rsidRDefault="00B15908" w:rsidP="001A3FCF">
      <w:pPr>
        <w:pStyle w:val="ListBullet"/>
      </w:pPr>
      <w:r w:rsidRPr="00B15908">
        <w:t>Goulburn Valley Highway</w:t>
      </w:r>
    </w:p>
    <w:p w:rsidR="007A143F" w:rsidRDefault="00B15908" w:rsidP="001A3FCF">
      <w:pPr>
        <w:pStyle w:val="ListBullet"/>
      </w:pPr>
      <w:r w:rsidRPr="00B15908">
        <w:t>transport solutions</w:t>
      </w:r>
    </w:p>
    <w:p w:rsidR="007A143F" w:rsidRDefault="00B15908" w:rsidP="001A3FCF">
      <w:pPr>
        <w:pStyle w:val="ListBullet"/>
      </w:pPr>
      <w:r w:rsidRPr="00B15908">
        <w:t>Murray River crossings.</w:t>
      </w:r>
    </w:p>
    <w:p w:rsidR="005D0A03" w:rsidRPr="005D0A03" w:rsidRDefault="007536C0">
      <w:pPr>
        <w:pStyle w:val="bt"/>
        <w:rPr>
          <w:rStyle w:val="Strong"/>
        </w:rPr>
      </w:pPr>
      <w:r w:rsidRPr="007536C0">
        <w:rPr>
          <w:rStyle w:val="Strong"/>
        </w:rPr>
        <w:t>c)</w:t>
      </w:r>
      <w:r w:rsidRPr="007536C0">
        <w:rPr>
          <w:rStyle w:val="Strong"/>
        </w:rPr>
        <w:tab/>
        <w:t>The National Airports Safeguarding Framework (2012)</w:t>
      </w:r>
    </w:p>
    <w:p w:rsidR="007A143F" w:rsidRDefault="00B15908" w:rsidP="00763029">
      <w:pPr>
        <w:pStyle w:val="bt"/>
        <w:spacing w:after="0"/>
      </w:pPr>
      <w:r w:rsidRPr="00B15908">
        <w:t xml:space="preserve">The </w:t>
      </w:r>
      <w:r w:rsidR="00284C87">
        <w:t xml:space="preserve">Australian </w:t>
      </w:r>
      <w:r w:rsidRPr="00B15908">
        <w:t>Government’s 2009 Aviation White Paper proposed to develop a national land use planning framework that would:</w:t>
      </w:r>
    </w:p>
    <w:p w:rsidR="007A143F" w:rsidRDefault="00B15908" w:rsidP="00763029">
      <w:pPr>
        <w:pStyle w:val="ListBullet"/>
        <w:spacing w:after="0"/>
      </w:pPr>
      <w:r w:rsidRPr="00B15908">
        <w:t>improve community amenity by minimising developments that are sensitive to aircraft noise in areas near airports, including through the use of additional noise measurements and improved noise-disclosure mechanisms</w:t>
      </w:r>
    </w:p>
    <w:p w:rsidR="007A143F" w:rsidRDefault="00B15908" w:rsidP="00763029">
      <w:pPr>
        <w:pStyle w:val="ListBullet"/>
        <w:spacing w:before="0" w:after="0"/>
      </w:pPr>
      <w:r w:rsidRPr="00B15908">
        <w:t>improve safety outcomes by ensuring aviation safety requirements are recognised in land use planning decisions through adoption by all jurisdictions of guidelines on various safety</w:t>
      </w:r>
      <w:r w:rsidR="00D97189">
        <w:t xml:space="preserve"> </w:t>
      </w:r>
      <w:r w:rsidRPr="00B15908">
        <w:t>related issues.</w:t>
      </w:r>
    </w:p>
    <w:p w:rsidR="007A143F" w:rsidRDefault="00B15908" w:rsidP="00763029">
      <w:pPr>
        <w:pStyle w:val="bt"/>
        <w:spacing w:after="0"/>
      </w:pPr>
      <w:r w:rsidRPr="00B15908">
        <w:t xml:space="preserve">In 2012 the National Airports Safeguarding Advisory Group </w:t>
      </w:r>
      <w:r w:rsidR="00A15242">
        <w:t>commenced development of</w:t>
      </w:r>
      <w:r w:rsidRPr="00B15908">
        <w:t xml:space="preserve"> the </w:t>
      </w:r>
      <w:r w:rsidRPr="00B44623">
        <w:rPr>
          <w:rStyle w:val="Emphasis"/>
          <w:i w:val="0"/>
        </w:rPr>
        <w:t>National Airports Safeguarding Framework</w:t>
      </w:r>
      <w:r w:rsidRPr="00B15908">
        <w:t>. Th</w:t>
      </w:r>
      <w:r w:rsidR="00284C87">
        <w:t>is f</w:t>
      </w:r>
      <w:r w:rsidRPr="00B15908">
        <w:t>ramework has a number of guidance notes including:</w:t>
      </w:r>
    </w:p>
    <w:p w:rsidR="007A143F" w:rsidRDefault="00B15908" w:rsidP="001A3FCF">
      <w:pPr>
        <w:pStyle w:val="ListBullet"/>
      </w:pPr>
      <w:r w:rsidRPr="00B15908">
        <w:t xml:space="preserve">the principles of the </w:t>
      </w:r>
      <w:r w:rsidR="00284C87">
        <w:t>f</w:t>
      </w:r>
      <w:r w:rsidRPr="00B15908">
        <w:t>ramework</w:t>
      </w:r>
    </w:p>
    <w:p w:rsidR="007A143F" w:rsidRDefault="00B15908" w:rsidP="001A3FCF">
      <w:pPr>
        <w:pStyle w:val="ListBullet"/>
      </w:pPr>
      <w:r w:rsidRPr="00B15908">
        <w:t>measures for managing the impacts of aircraft noise</w:t>
      </w:r>
    </w:p>
    <w:p w:rsidR="007A143F" w:rsidRDefault="00B15908" w:rsidP="001A3FCF">
      <w:pPr>
        <w:pStyle w:val="ListBullet"/>
      </w:pPr>
      <w:r w:rsidRPr="00B15908">
        <w:t>managing the risk of windshear and turbulence generated by buildings at airports</w:t>
      </w:r>
    </w:p>
    <w:p w:rsidR="007A143F" w:rsidRDefault="00B15908" w:rsidP="001A3FCF">
      <w:pPr>
        <w:pStyle w:val="ListBullet"/>
      </w:pPr>
      <w:r w:rsidRPr="00B15908">
        <w:t xml:space="preserve">managing </w:t>
      </w:r>
      <w:r w:rsidR="00284C87">
        <w:t xml:space="preserve">the </w:t>
      </w:r>
      <w:r w:rsidRPr="00B15908">
        <w:t>risk of wildlife strikes in the vicinity of airports</w:t>
      </w:r>
    </w:p>
    <w:p w:rsidR="007A143F" w:rsidRDefault="00B15908" w:rsidP="001A3FCF">
      <w:pPr>
        <w:pStyle w:val="ListBullet"/>
      </w:pPr>
      <w:r w:rsidRPr="00B15908">
        <w:t xml:space="preserve">managing the risk of wind turbines as physical obstacles to air navigation </w:t>
      </w:r>
    </w:p>
    <w:p w:rsidR="007A143F" w:rsidRDefault="00B15908" w:rsidP="001A3FCF">
      <w:pPr>
        <w:pStyle w:val="ListBullet"/>
      </w:pPr>
      <w:r w:rsidRPr="00B15908">
        <w:t>managing the risk of intrusions into the protected airspace of airports.</w:t>
      </w:r>
    </w:p>
    <w:p w:rsidR="007A143F" w:rsidRDefault="00B15908">
      <w:pPr>
        <w:pStyle w:val="bt"/>
      </w:pPr>
      <w:r w:rsidRPr="00B15908">
        <w:t>The national land use planning framework will ensure future airport operations and their economic viability are not constrained by incompatible development.</w:t>
      </w:r>
    </w:p>
    <w:p w:rsidR="007A143F" w:rsidRDefault="00B15908">
      <w:pPr>
        <w:pStyle w:val="bt"/>
      </w:pPr>
      <w:r w:rsidRPr="00B15908">
        <w:t>State and territory governments will implement the framework through their respective planning systems.</w:t>
      </w:r>
    </w:p>
    <w:p w:rsidR="00B15908" w:rsidRDefault="00B15908" w:rsidP="00A41B2E">
      <w:pPr>
        <w:pStyle w:val="Heading3"/>
        <w:numPr>
          <w:ilvl w:val="2"/>
          <w:numId w:val="15"/>
        </w:numPr>
        <w:tabs>
          <w:tab w:val="clear" w:pos="720"/>
          <w:tab w:val="clear" w:pos="900"/>
        </w:tabs>
        <w:ind w:left="851" w:hanging="851"/>
      </w:pPr>
      <w:bookmarkStart w:id="402" w:name="_Toc355970849"/>
      <w:bookmarkStart w:id="403" w:name="_Toc359422995"/>
      <w:bookmarkStart w:id="404" w:name="_Toc374612496"/>
      <w:r>
        <w:t>Transport in the Hume Region</w:t>
      </w:r>
      <w:bookmarkEnd w:id="402"/>
      <w:bookmarkEnd w:id="403"/>
      <w:bookmarkEnd w:id="404"/>
    </w:p>
    <w:p w:rsidR="007A143F" w:rsidRDefault="00B15908">
      <w:pPr>
        <w:pStyle w:val="bt"/>
      </w:pPr>
      <w:r w:rsidRPr="00EC286D">
        <w:t xml:space="preserve">The Hume and Goulburn Valley corridors form the backbone of the transport network in the </w:t>
      </w:r>
      <w:r w:rsidR="008757CF">
        <w:t>r</w:t>
      </w:r>
      <w:r w:rsidRPr="00EC286D">
        <w:t>egion (</w:t>
      </w:r>
      <w:r w:rsidR="00AA3D97">
        <w:fldChar w:fldCharType="begin"/>
      </w:r>
      <w:r w:rsidR="0080262A">
        <w:instrText xml:space="preserve"> REF _Ref348349723 \h </w:instrText>
      </w:r>
      <w:r w:rsidR="00AA3D97">
        <w:fldChar w:fldCharType="separate"/>
      </w:r>
      <w:r w:rsidR="009034D4" w:rsidRPr="004706FD">
        <w:t xml:space="preserve">Figure </w:t>
      </w:r>
      <w:r w:rsidR="009034D4">
        <w:rPr>
          <w:noProof/>
        </w:rPr>
        <w:t>23</w:t>
      </w:r>
      <w:r w:rsidR="00AA3D97">
        <w:fldChar w:fldCharType="end"/>
      </w:r>
      <w:r w:rsidRPr="00EC286D">
        <w:t>). These major interstate transport routes form part of the National Land Transport Network designated by the Australian</w:t>
      </w:r>
      <w:r w:rsidRPr="00B15908">
        <w:t xml:space="preserve"> Government and </w:t>
      </w:r>
      <w:r w:rsidR="00284C87">
        <w:t xml:space="preserve">include </w:t>
      </w:r>
      <w:r w:rsidRPr="00B15908">
        <w:t xml:space="preserve">major highways and railway lines that run in parallel and provide for passenger and freight movement. Shepparton and Wodonga, the largest urban centres in the region, are located adjacent to these corridors </w:t>
      </w:r>
      <w:r w:rsidR="00284C87">
        <w:t xml:space="preserve">while </w:t>
      </w:r>
      <w:r w:rsidRPr="00B15908">
        <w:t xml:space="preserve">other large towns such as Benalla and Wangaratta have grown around them. These two </w:t>
      </w:r>
      <w:r w:rsidR="00284C87">
        <w:t xml:space="preserve">transport </w:t>
      </w:r>
      <w:r w:rsidRPr="00B15908">
        <w:t xml:space="preserve">corridors have shaped the settlement pattern and the economy of the </w:t>
      </w:r>
      <w:r w:rsidR="00D54A74">
        <w:t>r</w:t>
      </w:r>
      <w:r w:rsidRPr="00B15908">
        <w:t>egion and this is likely to continue into the future.</w:t>
      </w:r>
    </w:p>
    <w:p w:rsidR="00634EC3" w:rsidRDefault="00634EC3" w:rsidP="00634EC3">
      <w:pPr>
        <w:pStyle w:val="bt"/>
      </w:pPr>
      <w:r w:rsidRPr="002368FB">
        <w:t>The Hume and Goulburn Valley corridors are very different. The Hume corridor, including the Hume Freeway and the railway, provides the main interstate linkage between Melbourne and Sydney and also connects with coastal road and rail routes to Brisbane. The Goulburn Valley corridor, including the Goulburn Valley Highway and the railway to Shepparton, is part of a major interstate route linking Melbourne to Brisbane through inland New South Wales and Queensland. It also provides the transport base for a more localised economy.</w:t>
      </w:r>
    </w:p>
    <w:p w:rsidR="00634EC3" w:rsidRDefault="00634EC3" w:rsidP="004E7F5F">
      <w:pPr>
        <w:pStyle w:val="bt"/>
        <w:spacing w:after="0"/>
      </w:pPr>
      <w:r w:rsidRPr="002368FB">
        <w:t xml:space="preserve">Apart from the Hume and Goulburn Valley transport corridors, a number of other important road links form part of the transport network in the </w:t>
      </w:r>
      <w:r>
        <w:t>r</w:t>
      </w:r>
      <w:r w:rsidRPr="002368FB">
        <w:t>egion, including:</w:t>
      </w:r>
    </w:p>
    <w:p w:rsidR="00634EC3" w:rsidRDefault="00634EC3" w:rsidP="001A3FCF">
      <w:pPr>
        <w:pStyle w:val="ListBullet"/>
      </w:pPr>
      <w:r>
        <w:t>The Midland Highway-Maroondah Highway-</w:t>
      </w:r>
      <w:r w:rsidRPr="002368FB">
        <w:t>Melba Highway corridor</w:t>
      </w:r>
      <w:r>
        <w:t xml:space="preserve"> is</w:t>
      </w:r>
      <w:r w:rsidRPr="002368FB">
        <w:t xml:space="preserve"> a key regional strategic transport route linking the eastern suburbs of Melbourne to the </w:t>
      </w:r>
      <w:r>
        <w:t>r</w:t>
      </w:r>
      <w:r w:rsidRPr="002368FB">
        <w:t>egion via Mansfield, Benalla and Shepparton. To the west, this corridor also links the region to Geelong via Stanhope, Bendigo and Ballarat</w:t>
      </w:r>
    </w:p>
    <w:p w:rsidR="00634EC3" w:rsidRDefault="00634EC3" w:rsidP="001A3FCF">
      <w:pPr>
        <w:pStyle w:val="ListBullet"/>
      </w:pPr>
      <w:r w:rsidRPr="002368FB">
        <w:t>The Murray Valley Highway</w:t>
      </w:r>
      <w:r>
        <w:t xml:space="preserve"> is</w:t>
      </w:r>
      <w:r w:rsidRPr="002368FB">
        <w:t xml:space="preserve"> the key regional strategic transport route that supports the Murray River corridor. The Murray Valley Highway links Wodonga to towns such as Yarrawonga and Echuca and beyond to Mildura and South Australia. It is an important route for freight but does not carry as much traffic as the Hume or Goulburn Valley corridors. The </w:t>
      </w:r>
      <w:r w:rsidRPr="002368FB">
        <w:rPr>
          <w:color w:val="000000"/>
        </w:rPr>
        <w:t>Murray Valley Highway provides access to southern New South Wales and is the only major arterial route for a number of isolated communities, including those east of Wodonga in the Shire of Towong</w:t>
      </w:r>
    </w:p>
    <w:p w:rsidR="00634EC3" w:rsidRDefault="00634EC3" w:rsidP="001A3FCF">
      <w:pPr>
        <w:pStyle w:val="ListBullet"/>
      </w:pPr>
      <w:r w:rsidRPr="002368FB">
        <w:t>The Great Alpine Road, running south-west from Wangaratta across M</w:t>
      </w:r>
      <w:r>
        <w:t>oun</w:t>
      </w:r>
      <w:r w:rsidRPr="002368FB">
        <w:t>t Hotham to Bairnsdale (in East Gippsland Shire)</w:t>
      </w:r>
    </w:p>
    <w:p w:rsidR="00681189" w:rsidRDefault="00634EC3" w:rsidP="001A3FCF">
      <w:pPr>
        <w:pStyle w:val="ListBullet"/>
        <w:sectPr w:rsidR="00681189" w:rsidSect="009075F4">
          <w:pgSz w:w="11906" w:h="16838"/>
          <w:pgMar w:top="1530" w:right="1440" w:bottom="993" w:left="1440" w:header="708" w:footer="708" w:gutter="0"/>
          <w:cols w:space="708"/>
          <w:docGrid w:linePitch="360"/>
        </w:sectPr>
      </w:pPr>
      <w:r w:rsidRPr="002368FB">
        <w:t>The Omeo Highway, running south from Tallangatta to Omeo (in East Gippsland Shire)</w:t>
      </w:r>
      <w:r w:rsidR="00D97189">
        <w:t>.</w:t>
      </w:r>
    </w:p>
    <w:p w:rsidR="002E053A" w:rsidRDefault="00EC286D" w:rsidP="00504C07">
      <w:pPr>
        <w:pStyle w:val="Caption"/>
      </w:pPr>
      <w:bookmarkStart w:id="405" w:name="_Ref348349723"/>
      <w:bookmarkStart w:id="406" w:name="_Toc374612548"/>
      <w:r w:rsidRPr="004706FD">
        <w:t xml:space="preserve">Figure </w:t>
      </w:r>
      <w:r w:rsidR="00827E2D">
        <w:fldChar w:fldCharType="begin"/>
      </w:r>
      <w:r w:rsidR="00827E2D">
        <w:instrText xml:space="preserve"> SEQ Figure \* ARABIC </w:instrText>
      </w:r>
      <w:r w:rsidR="00827E2D">
        <w:fldChar w:fldCharType="separate"/>
      </w:r>
      <w:r w:rsidR="009034D4">
        <w:rPr>
          <w:noProof/>
        </w:rPr>
        <w:t>23</w:t>
      </w:r>
      <w:r w:rsidR="00827E2D">
        <w:rPr>
          <w:noProof/>
        </w:rPr>
        <w:fldChar w:fldCharType="end"/>
      </w:r>
      <w:bookmarkEnd w:id="405"/>
      <w:r w:rsidR="007536C0" w:rsidRPr="004706FD">
        <w:t>: Transport network – Hume Region</w:t>
      </w:r>
      <w:bookmarkEnd w:id="406"/>
    </w:p>
    <w:p w:rsidR="007D1E72" w:rsidRPr="007D1E72" w:rsidRDefault="007D1E72" w:rsidP="007D1E72">
      <w:pPr>
        <w:pStyle w:val="bt"/>
      </w:pPr>
      <w:r>
        <w:t>[</w:t>
      </w:r>
      <w:r w:rsidRPr="007D1E72">
        <w:t>Map showing transport network in the Hume Region</w:t>
      </w:r>
      <w:r>
        <w:t>]</w:t>
      </w:r>
    </w:p>
    <w:p w:rsidR="00681189" w:rsidRDefault="006100AB" w:rsidP="0061220F">
      <w:pPr>
        <w:pStyle w:val="source"/>
        <w:sectPr w:rsidR="00681189" w:rsidSect="00A84FD9">
          <w:pgSz w:w="16838" w:h="11906" w:orient="landscape"/>
          <w:pgMar w:top="1440" w:right="1702" w:bottom="993" w:left="993" w:header="708" w:footer="708" w:gutter="0"/>
          <w:cols w:space="708"/>
          <w:docGrid w:linePitch="360"/>
        </w:sectPr>
      </w:pPr>
      <w:r>
        <w:t xml:space="preserve">Source: </w:t>
      </w:r>
      <w:r w:rsidR="00503EB2">
        <w:t xml:space="preserve">Department of </w:t>
      </w:r>
      <w:r w:rsidR="000327E7">
        <w:t xml:space="preserve">Transport, </w:t>
      </w:r>
      <w:r w:rsidR="00503EB2">
        <w:t xml:space="preserve">Planning and </w:t>
      </w:r>
      <w:r w:rsidR="000327E7">
        <w:t>Local Infrastructure</w:t>
      </w:r>
    </w:p>
    <w:p w:rsidR="005D0A03" w:rsidRPr="005D0A03" w:rsidRDefault="007536C0">
      <w:pPr>
        <w:pStyle w:val="bt"/>
        <w:rPr>
          <w:rStyle w:val="Strong"/>
        </w:rPr>
      </w:pPr>
      <w:bookmarkStart w:id="407" w:name="_Toc330296121"/>
      <w:bookmarkStart w:id="408" w:name="_Toc332115113"/>
      <w:bookmarkStart w:id="409" w:name="_Toc333225797"/>
      <w:bookmarkStart w:id="410" w:name="_Toc337047808"/>
      <w:r w:rsidRPr="007536C0">
        <w:rPr>
          <w:rStyle w:val="Strong"/>
        </w:rPr>
        <w:t>a)</w:t>
      </w:r>
      <w:r w:rsidRPr="007536C0">
        <w:rPr>
          <w:rStyle w:val="Strong"/>
        </w:rPr>
        <w:tab/>
        <w:t>Freight movements in the region</w:t>
      </w:r>
    </w:p>
    <w:p w:rsidR="007A143F" w:rsidRDefault="002368FB" w:rsidP="0078697F">
      <w:pPr>
        <w:pStyle w:val="bt"/>
        <w:spacing w:after="120"/>
      </w:pPr>
      <w:r w:rsidRPr="002368FB">
        <w:t xml:space="preserve">Business and the regional economy rely on an effective freight system including Victoria’s connectivity to the Australia-wide system. Regional connections to port facilities in Melbourne and other hubs such as Portland, Geelong and Hastings are essential. Airport facilities include those at Melbourne Airport, Avalon Airport and </w:t>
      </w:r>
      <w:r w:rsidRPr="00226D34">
        <w:t xml:space="preserve">regional airports. </w:t>
      </w:r>
    </w:p>
    <w:p w:rsidR="001E6B61" w:rsidRDefault="007536C0" w:rsidP="0078697F">
      <w:pPr>
        <w:pStyle w:val="bt"/>
        <w:spacing w:before="120" w:after="120"/>
        <w:rPr>
          <w:rStyle w:val="Strong"/>
        </w:rPr>
      </w:pPr>
      <w:bookmarkStart w:id="411" w:name="_Toc348094835"/>
      <w:bookmarkStart w:id="412" w:name="_Toc348104094"/>
      <w:bookmarkStart w:id="413" w:name="_Toc348342462"/>
      <w:r w:rsidRPr="007536C0">
        <w:rPr>
          <w:rStyle w:val="Strong"/>
        </w:rPr>
        <w:t>Exports</w:t>
      </w:r>
      <w:bookmarkEnd w:id="407"/>
      <w:bookmarkEnd w:id="408"/>
      <w:bookmarkEnd w:id="409"/>
      <w:bookmarkEnd w:id="410"/>
      <w:bookmarkEnd w:id="411"/>
      <w:bookmarkEnd w:id="412"/>
      <w:bookmarkEnd w:id="413"/>
    </w:p>
    <w:p w:rsidR="00B50818" w:rsidRDefault="002368FB">
      <w:pPr>
        <w:pStyle w:val="bt"/>
      </w:pPr>
      <w:r w:rsidRPr="00226D34">
        <w:t>The</w:t>
      </w:r>
      <w:r w:rsidR="00D54A74">
        <w:t xml:space="preserve"> </w:t>
      </w:r>
      <w:r w:rsidR="008757CF">
        <w:t>r</w:t>
      </w:r>
      <w:r w:rsidRPr="00226D34">
        <w:t>egion’s exports ar</w:t>
      </w:r>
      <w:r w:rsidR="003D4DF3">
        <w:t xml:space="preserve">e dominated by two sectors </w:t>
      </w:r>
      <w:r w:rsidR="00132585">
        <w:t xml:space="preserve">– </w:t>
      </w:r>
      <w:r w:rsidRPr="00226D34">
        <w:t>manufacturing and agriculture, forestry and fishing. Together they provide three quarters of the region’s exports. Manufacturing exports alone were worth approximately $4.5 billion in 2011 (</w:t>
      </w:r>
      <w:r w:rsidR="00827E2D">
        <w:fldChar w:fldCharType="begin"/>
      </w:r>
      <w:r w:rsidR="00827E2D">
        <w:instrText xml:space="preserve"> REF _Ref348349773 \h  \* MERGEFORMAT </w:instrText>
      </w:r>
      <w:r w:rsidR="00827E2D">
        <w:fldChar w:fldCharType="separate"/>
      </w:r>
      <w:r w:rsidR="009034D4" w:rsidRPr="00DF6019">
        <w:t xml:space="preserve">Figure </w:t>
      </w:r>
      <w:r w:rsidR="009034D4">
        <w:rPr>
          <w:noProof/>
        </w:rPr>
        <w:t>24</w:t>
      </w:r>
      <w:r w:rsidR="00827E2D">
        <w:fldChar w:fldCharType="end"/>
      </w:r>
      <w:r w:rsidRPr="00226D34">
        <w:t>). Significantly, Hume’s agricultural, forestry and fishing exports make up almost 20</w:t>
      </w:r>
      <w:r w:rsidR="007753E9">
        <w:t xml:space="preserve"> per cent</w:t>
      </w:r>
      <w:r w:rsidRPr="00226D34">
        <w:t xml:space="preserve"> of the state’s exports in this sector.</w:t>
      </w:r>
    </w:p>
    <w:p w:rsidR="007A143F" w:rsidRDefault="002368FB">
      <w:pPr>
        <w:pStyle w:val="bt"/>
      </w:pPr>
      <w:r w:rsidRPr="00226D34">
        <w:t xml:space="preserve">The freight industry itself is a contributor to the economy with road freight businesses and associated warehousing generating employment and income. </w:t>
      </w:r>
    </w:p>
    <w:p w:rsidR="008757CF" w:rsidRDefault="008757CF" w:rsidP="008757CF">
      <w:pPr>
        <w:pStyle w:val="bt"/>
      </w:pPr>
      <w:r w:rsidRPr="00226D34">
        <w:t xml:space="preserve">Most of the </w:t>
      </w:r>
      <w:r>
        <w:t>r</w:t>
      </w:r>
      <w:r w:rsidRPr="00226D34">
        <w:t>egion’s exports are estimated to come from Greater Shepparton and Wodonga, approximately 26</w:t>
      </w:r>
      <w:r w:rsidR="007753E9">
        <w:t xml:space="preserve"> per cent</w:t>
      </w:r>
      <w:r w:rsidRPr="00226D34">
        <w:t xml:space="preserve"> and 20</w:t>
      </w:r>
      <w:r w:rsidR="007753E9">
        <w:t xml:space="preserve"> per cent</w:t>
      </w:r>
      <w:r w:rsidRPr="00226D34">
        <w:t xml:space="preserve"> respectively (</w:t>
      </w:r>
      <w:r w:rsidR="00827E2D">
        <w:fldChar w:fldCharType="begin"/>
      </w:r>
      <w:r w:rsidR="00827E2D">
        <w:instrText xml:space="preserve"> REF _Ref348349821 \h  \* MERGEFO</w:instrText>
      </w:r>
      <w:r w:rsidR="00827E2D">
        <w:instrText xml:space="preserve">RMAT </w:instrText>
      </w:r>
      <w:r w:rsidR="00827E2D">
        <w:fldChar w:fldCharType="separate"/>
      </w:r>
      <w:r w:rsidR="009034D4" w:rsidRPr="007536C0">
        <w:t xml:space="preserve">Figure </w:t>
      </w:r>
      <w:r w:rsidR="009034D4">
        <w:rPr>
          <w:noProof/>
        </w:rPr>
        <w:t>25</w:t>
      </w:r>
      <w:r w:rsidR="00827E2D">
        <w:fldChar w:fldCharType="end"/>
      </w:r>
      <w:r w:rsidRPr="00226D34">
        <w:t>). Benalla experienced the largest growth in exports during the period</w:t>
      </w:r>
      <w:r w:rsidR="00D97189">
        <w:t xml:space="preserve"> 2001-2011</w:t>
      </w:r>
      <w:r w:rsidRPr="00226D34">
        <w:t xml:space="preserve"> at an average of 6.8</w:t>
      </w:r>
      <w:r w:rsidR="007753E9">
        <w:t xml:space="preserve"> per cent</w:t>
      </w:r>
      <w:r w:rsidRPr="00226D34">
        <w:t xml:space="preserve"> per year.</w:t>
      </w:r>
    </w:p>
    <w:p w:rsidR="001E6B61" w:rsidRDefault="00A80FA6">
      <w:pPr>
        <w:pStyle w:val="Caption"/>
      </w:pPr>
      <w:bookmarkStart w:id="414" w:name="_Ref348349773"/>
      <w:r>
        <w:rPr>
          <w:noProof/>
        </w:rPr>
        <w:drawing>
          <wp:anchor distT="0" distB="0" distL="114300" distR="114300" simplePos="0" relativeHeight="251698176" behindDoc="0" locked="0" layoutInCell="1" allowOverlap="1">
            <wp:simplePos x="0" y="0"/>
            <wp:positionH relativeFrom="column">
              <wp:posOffset>-114300</wp:posOffset>
            </wp:positionH>
            <wp:positionV relativeFrom="paragraph">
              <wp:posOffset>246380</wp:posOffset>
            </wp:positionV>
            <wp:extent cx="6350000" cy="3632200"/>
            <wp:effectExtent l="0" t="0" r="0" b="0"/>
            <wp:wrapTopAndBottom/>
            <wp:docPr id="28" name="Chart 3" descr="Graph showing Hume exports 2011, and annual average growth rate 2001 to 20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bookmarkStart w:id="415" w:name="_Toc374612549"/>
      <w:r w:rsidR="00EC286D" w:rsidRPr="00DF6019">
        <w:t xml:space="preserve">Figure </w:t>
      </w:r>
      <w:r w:rsidR="00AA3D97" w:rsidRPr="001E062F">
        <w:fldChar w:fldCharType="begin"/>
      </w:r>
      <w:r w:rsidR="007536C0" w:rsidRPr="007536C0">
        <w:instrText xml:space="preserve"> SEQ Figure \* ARABIC </w:instrText>
      </w:r>
      <w:r w:rsidR="00AA3D97" w:rsidRPr="001E062F">
        <w:fldChar w:fldCharType="separate"/>
      </w:r>
      <w:r w:rsidR="009034D4">
        <w:rPr>
          <w:noProof/>
        </w:rPr>
        <w:t>24</w:t>
      </w:r>
      <w:r w:rsidR="00AA3D97" w:rsidRPr="001E062F">
        <w:fldChar w:fldCharType="end"/>
      </w:r>
      <w:bookmarkEnd w:id="414"/>
      <w:r w:rsidR="00B259E3" w:rsidRPr="00B259E3">
        <w:t>: Hume exports 2011,</w:t>
      </w:r>
      <w:r w:rsidR="006B3FE3" w:rsidRPr="006B3FE3">
        <w:t xml:space="preserve"> and annual average growth rate 2001 to 2011</w:t>
      </w:r>
      <w:bookmarkEnd w:id="415"/>
    </w:p>
    <w:p w:rsidR="0064068B" w:rsidRDefault="007536C0" w:rsidP="0061220F">
      <w:pPr>
        <w:pStyle w:val="source"/>
        <w:rPr>
          <w:u w:color="FFFFFF" w:themeColor="background1"/>
        </w:rPr>
      </w:pPr>
      <w:r w:rsidRPr="00413A8E">
        <w:rPr>
          <w:u w:color="FFFFFF" w:themeColor="background1"/>
        </w:rPr>
        <w:t>Source: National Institute of Economic and Industry Research (taken from unpublished draft Hume Regional Economic Profile 2012)</w:t>
      </w:r>
    </w:p>
    <w:p w:rsidR="001E6B61" w:rsidRDefault="00681189">
      <w:pPr>
        <w:pStyle w:val="Caption"/>
      </w:pPr>
      <w:bookmarkStart w:id="416" w:name="_Ref348349821"/>
      <w:r>
        <w:rPr>
          <w:noProof/>
        </w:rPr>
        <w:drawing>
          <wp:anchor distT="0" distB="0" distL="114300" distR="114300" simplePos="0" relativeHeight="251700224" behindDoc="0" locked="0" layoutInCell="1" allowOverlap="1">
            <wp:simplePos x="0" y="0"/>
            <wp:positionH relativeFrom="column">
              <wp:posOffset>0</wp:posOffset>
            </wp:positionH>
            <wp:positionV relativeFrom="paragraph">
              <wp:posOffset>240030</wp:posOffset>
            </wp:positionV>
            <wp:extent cx="6388100" cy="3733800"/>
            <wp:effectExtent l="0" t="0" r="0" b="0"/>
            <wp:wrapTopAndBottom/>
            <wp:docPr id="31" name="Chart 2" descr="Graph showing LGA exports 2011, and annual average growth rate 2001 to 20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bookmarkStart w:id="417" w:name="_Toc374612550"/>
      <w:r w:rsidR="007536C0" w:rsidRPr="007536C0">
        <w:t xml:space="preserve">Figure </w:t>
      </w:r>
      <w:r w:rsidR="00827E2D">
        <w:fldChar w:fldCharType="begin"/>
      </w:r>
      <w:r w:rsidR="00827E2D">
        <w:instrText xml:space="preserve"> SEQ Figure \* ARABIC </w:instrText>
      </w:r>
      <w:r w:rsidR="00827E2D">
        <w:fldChar w:fldCharType="separate"/>
      </w:r>
      <w:r w:rsidR="009034D4">
        <w:rPr>
          <w:noProof/>
        </w:rPr>
        <w:t>25</w:t>
      </w:r>
      <w:r w:rsidR="00827E2D">
        <w:rPr>
          <w:noProof/>
        </w:rPr>
        <w:fldChar w:fldCharType="end"/>
      </w:r>
      <w:bookmarkEnd w:id="416"/>
      <w:r w:rsidR="007536C0" w:rsidRPr="007536C0">
        <w:t>: LGA exports 2011, and annual average growth rate 2001 to 2011</w:t>
      </w:r>
      <w:bookmarkEnd w:id="417"/>
    </w:p>
    <w:p w:rsidR="00EE0F0D" w:rsidRDefault="00C3188F" w:rsidP="0061220F">
      <w:pPr>
        <w:pStyle w:val="source"/>
      </w:pPr>
      <w:r w:rsidRPr="00C3188F">
        <w:t xml:space="preserve">Source: </w:t>
      </w:r>
      <w:r w:rsidR="009A796F" w:rsidRPr="009A796F">
        <w:t>National Institute of Economic and Industry Research</w:t>
      </w:r>
      <w:r w:rsidR="0009097C">
        <w:t xml:space="preserve"> (taken from</w:t>
      </w:r>
      <w:r w:rsidR="0009097C" w:rsidRPr="0009097C">
        <w:t xml:space="preserve"> unpublished</w:t>
      </w:r>
      <w:r w:rsidR="0009097C">
        <w:t xml:space="preserve"> d</w:t>
      </w:r>
      <w:r w:rsidR="0009097C" w:rsidRPr="0009097C">
        <w:t>raft Hume Regional Economic Profile 2012</w:t>
      </w:r>
      <w:r w:rsidR="0009097C">
        <w:t>)</w:t>
      </w:r>
      <w:bookmarkStart w:id="418" w:name="_Toc330296122"/>
      <w:bookmarkStart w:id="419" w:name="_Toc332115114"/>
      <w:bookmarkStart w:id="420" w:name="_Toc333225798"/>
      <w:bookmarkStart w:id="421" w:name="_Toc337047809"/>
    </w:p>
    <w:p w:rsidR="001E6B61" w:rsidRDefault="007536C0">
      <w:pPr>
        <w:pStyle w:val="bt"/>
        <w:spacing w:after="120"/>
        <w:rPr>
          <w:rStyle w:val="Strong"/>
        </w:rPr>
      </w:pPr>
      <w:bookmarkStart w:id="422" w:name="_Toc348094838"/>
      <w:bookmarkStart w:id="423" w:name="_Toc348104097"/>
      <w:bookmarkStart w:id="424" w:name="_Toc348342465"/>
      <w:r w:rsidRPr="007536C0">
        <w:rPr>
          <w:rStyle w:val="Strong"/>
        </w:rPr>
        <w:t>Road traffic flows</w:t>
      </w:r>
      <w:bookmarkEnd w:id="422"/>
      <w:bookmarkEnd w:id="423"/>
      <w:bookmarkEnd w:id="424"/>
    </w:p>
    <w:bookmarkEnd w:id="418"/>
    <w:bookmarkEnd w:id="419"/>
    <w:bookmarkEnd w:id="420"/>
    <w:bookmarkEnd w:id="421"/>
    <w:p w:rsidR="001E6B61" w:rsidRDefault="002368FB">
      <w:pPr>
        <w:pStyle w:val="bt"/>
        <w:spacing w:before="120" w:after="0"/>
        <w:rPr>
          <w:rFonts w:cstheme="minorHAnsi"/>
        </w:rPr>
      </w:pPr>
      <w:r w:rsidRPr="00226D34">
        <w:rPr>
          <w:rFonts w:cstheme="minorHAnsi"/>
        </w:rPr>
        <w:t xml:space="preserve">The </w:t>
      </w:r>
      <w:r w:rsidR="008757CF">
        <w:rPr>
          <w:rFonts w:cstheme="minorHAnsi"/>
        </w:rPr>
        <w:t>r</w:t>
      </w:r>
      <w:r w:rsidRPr="00226D34">
        <w:rPr>
          <w:rFonts w:cstheme="minorHAnsi"/>
        </w:rPr>
        <w:t xml:space="preserve">egion is strategically located along Victoria’s key interstate road corridor. This road infrastructure is critical to the export performance of the region, and the efficiency of its labour market. The Hume Freeway is one of the </w:t>
      </w:r>
      <w:r w:rsidR="00132585">
        <w:rPr>
          <w:rFonts w:cstheme="minorHAnsi"/>
        </w:rPr>
        <w:t xml:space="preserve">Victoria’s </w:t>
      </w:r>
      <w:r w:rsidRPr="00226D34">
        <w:rPr>
          <w:rFonts w:cstheme="minorHAnsi"/>
        </w:rPr>
        <w:t>top 10 routes with the highest annual average daily traffic in 2010 for all vehicles and trucks</w:t>
      </w:r>
      <w:r w:rsidRPr="00226D34">
        <w:rPr>
          <w:rStyle w:val="FootnoteReference"/>
          <w:rFonts w:cstheme="minorHAnsi"/>
          <w:szCs w:val="20"/>
        </w:rPr>
        <w:footnoteReference w:id="9"/>
      </w:r>
      <w:r w:rsidRPr="00226D34">
        <w:rPr>
          <w:rFonts w:cstheme="minorHAnsi"/>
        </w:rPr>
        <w:t>. This clearly illustrates its importance as the regional link to Melbourne</w:t>
      </w:r>
      <w:r w:rsidR="00D97189">
        <w:rPr>
          <w:rFonts w:cstheme="minorHAnsi"/>
        </w:rPr>
        <w:t>,</w:t>
      </w:r>
      <w:r w:rsidRPr="00226D34">
        <w:rPr>
          <w:rFonts w:cstheme="minorHAnsi"/>
        </w:rPr>
        <w:t xml:space="preserve"> as well as Melbourne’s link to the region.</w:t>
      </w:r>
    </w:p>
    <w:p w:rsidR="00681189" w:rsidRDefault="002368FB">
      <w:pPr>
        <w:pStyle w:val="bt"/>
        <w:spacing w:before="120" w:after="120"/>
        <w:rPr>
          <w:szCs w:val="20"/>
        </w:rPr>
      </w:pPr>
      <w:r w:rsidRPr="00226D34">
        <w:rPr>
          <w:szCs w:val="20"/>
        </w:rPr>
        <w:t>The other five major road thoroughfares (listed at the start of this section) link the region to neighbouring Victorian regions</w:t>
      </w:r>
      <w:r w:rsidR="00D97189">
        <w:rPr>
          <w:szCs w:val="20"/>
        </w:rPr>
        <w:t>,</w:t>
      </w:r>
      <w:r w:rsidR="003D4DF3">
        <w:rPr>
          <w:szCs w:val="20"/>
        </w:rPr>
        <w:t xml:space="preserve"> such as Loddon Mallee </w:t>
      </w:r>
      <w:r w:rsidR="001C70F8">
        <w:rPr>
          <w:szCs w:val="20"/>
        </w:rPr>
        <w:t xml:space="preserve">North, Loddon Mallee South </w:t>
      </w:r>
      <w:r w:rsidRPr="00226D34">
        <w:rPr>
          <w:szCs w:val="20"/>
        </w:rPr>
        <w:t>and Gippsland and also to areas across the border in New South Wales. Although the Hume Freeway has the highest average daily traffic, the Melba Highway, running between Yarra Glen and Yea, experienced the highest average annual growth in traffic between 2006 and 2010 (</w:t>
      </w:r>
      <w:r w:rsidR="00827E2D">
        <w:fldChar w:fldCharType="begin"/>
      </w:r>
      <w:r w:rsidR="00827E2D">
        <w:instrText xml:space="preserve"> REF _Ref348349862 \h  \* MERGEFORMAT </w:instrText>
      </w:r>
      <w:r w:rsidR="00827E2D">
        <w:fldChar w:fldCharType="separate"/>
      </w:r>
      <w:r w:rsidR="009034D4" w:rsidRPr="009034D4">
        <w:rPr>
          <w:szCs w:val="20"/>
        </w:rPr>
        <w:t xml:space="preserve">Figure </w:t>
      </w:r>
      <w:r w:rsidR="009034D4" w:rsidRPr="009034D4">
        <w:rPr>
          <w:noProof/>
          <w:szCs w:val="20"/>
        </w:rPr>
        <w:t>26</w:t>
      </w:r>
      <w:r w:rsidR="00827E2D">
        <w:fldChar w:fldCharType="end"/>
      </w:r>
      <w:r w:rsidRPr="00226D34">
        <w:rPr>
          <w:szCs w:val="20"/>
        </w:rPr>
        <w:t xml:space="preserve">). This was largely due to </w:t>
      </w:r>
      <w:r w:rsidR="00D76945">
        <w:rPr>
          <w:szCs w:val="20"/>
        </w:rPr>
        <w:t>an</w:t>
      </w:r>
      <w:r w:rsidRPr="00226D34">
        <w:rPr>
          <w:szCs w:val="20"/>
        </w:rPr>
        <w:t xml:space="preserve"> increase in truck traffic, possibly </w:t>
      </w:r>
      <w:r w:rsidR="00D76945">
        <w:rPr>
          <w:szCs w:val="20"/>
        </w:rPr>
        <w:t xml:space="preserve">as </w:t>
      </w:r>
      <w:r w:rsidRPr="00226D34">
        <w:rPr>
          <w:szCs w:val="20"/>
        </w:rPr>
        <w:t>a result of construction during this period of the Sugar</w:t>
      </w:r>
      <w:r w:rsidR="00D76945">
        <w:rPr>
          <w:szCs w:val="20"/>
        </w:rPr>
        <w:t>lo</w:t>
      </w:r>
      <w:r w:rsidRPr="00226D34">
        <w:rPr>
          <w:szCs w:val="20"/>
        </w:rPr>
        <w:t>af Pipeline, which essentially runs the length of the Melba Highway.</w:t>
      </w:r>
    </w:p>
    <w:p w:rsidR="002368FB" w:rsidRPr="00DF6019" w:rsidRDefault="00EC286D" w:rsidP="00DF6019">
      <w:pPr>
        <w:pStyle w:val="Caption"/>
      </w:pPr>
      <w:bookmarkStart w:id="425" w:name="_Ref348349862"/>
      <w:bookmarkStart w:id="426" w:name="_Toc374612551"/>
      <w:r w:rsidRPr="00DF6019">
        <w:t xml:space="preserve">Figure </w:t>
      </w:r>
      <w:r w:rsidR="00827E2D">
        <w:fldChar w:fldCharType="begin"/>
      </w:r>
      <w:r w:rsidR="00827E2D">
        <w:instrText xml:space="preserve"> SEQ Figure \* ARABIC </w:instrText>
      </w:r>
      <w:r w:rsidR="00827E2D">
        <w:fldChar w:fldCharType="separate"/>
      </w:r>
      <w:r w:rsidR="009034D4">
        <w:rPr>
          <w:noProof/>
        </w:rPr>
        <w:t>26</w:t>
      </w:r>
      <w:r w:rsidR="00827E2D">
        <w:rPr>
          <w:noProof/>
        </w:rPr>
        <w:fldChar w:fldCharType="end"/>
      </w:r>
      <w:bookmarkEnd w:id="425"/>
      <w:r w:rsidR="007536C0" w:rsidRPr="007536C0">
        <w:t>: Compound growth rates, two-way, 2006 to 2010 – Hume traffic count data points</w:t>
      </w:r>
      <w:bookmarkEnd w:id="426"/>
    </w:p>
    <w:p w:rsidR="002E053A" w:rsidRDefault="00846015" w:rsidP="00EE0F0D">
      <w:pPr>
        <w:pStyle w:val="Sourcestyle"/>
      </w:pPr>
      <w:r w:rsidRPr="00846015">
        <w:rPr>
          <w:noProof/>
        </w:rPr>
        <w:drawing>
          <wp:inline distT="0" distB="0" distL="0" distR="0">
            <wp:extent cx="6235700" cy="2552700"/>
            <wp:effectExtent l="0" t="0" r="0" b="0"/>
            <wp:docPr id="32" name="Chart 5" descr="Graph showing compound growth rates, two-way, 2006 to 2010 – Hume traffic count data poi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04C07" w:rsidRDefault="00504C07" w:rsidP="00EE0F0D">
      <w:pPr>
        <w:pStyle w:val="Sourcestyle"/>
        <w:numPr>
          <w:ilvl w:val="0"/>
          <w:numId w:val="32"/>
        </w:numPr>
        <w:ind w:left="426"/>
        <w:rPr>
          <w:sz w:val="20"/>
          <w:szCs w:val="20"/>
        </w:rPr>
      </w:pPr>
      <w:r w:rsidRPr="00504C07">
        <w:rPr>
          <w:sz w:val="20"/>
          <w:szCs w:val="20"/>
        </w:rPr>
        <w:t xml:space="preserve">Northern Hwy </w:t>
      </w:r>
      <w:r>
        <w:rPr>
          <w:sz w:val="20"/>
          <w:szCs w:val="20"/>
        </w:rPr>
        <w:t xml:space="preserve">– </w:t>
      </w:r>
      <w:r w:rsidRPr="00504C07">
        <w:rPr>
          <w:sz w:val="20"/>
          <w:szCs w:val="20"/>
        </w:rPr>
        <w:t>S</w:t>
      </w:r>
      <w:r w:rsidR="00B2316C">
        <w:rPr>
          <w:sz w:val="20"/>
          <w:szCs w:val="20"/>
        </w:rPr>
        <w:t>outh</w:t>
      </w:r>
      <w:r w:rsidRPr="00504C07">
        <w:rPr>
          <w:sz w:val="20"/>
          <w:szCs w:val="20"/>
        </w:rPr>
        <w:t xml:space="preserve"> of Wallan</w:t>
      </w:r>
    </w:p>
    <w:p w:rsidR="00504C07" w:rsidRDefault="00504C07" w:rsidP="00EE0F0D">
      <w:pPr>
        <w:pStyle w:val="Sourcestyle"/>
        <w:numPr>
          <w:ilvl w:val="0"/>
          <w:numId w:val="32"/>
        </w:numPr>
        <w:ind w:left="426"/>
        <w:rPr>
          <w:sz w:val="20"/>
          <w:szCs w:val="20"/>
        </w:rPr>
      </w:pPr>
      <w:r w:rsidRPr="00504C07">
        <w:rPr>
          <w:sz w:val="20"/>
          <w:szCs w:val="20"/>
        </w:rPr>
        <w:t>Hume Hwy – S</w:t>
      </w:r>
      <w:r w:rsidR="00B2316C">
        <w:rPr>
          <w:sz w:val="20"/>
          <w:szCs w:val="20"/>
        </w:rPr>
        <w:t>outh</w:t>
      </w:r>
      <w:r w:rsidRPr="00504C07">
        <w:rPr>
          <w:sz w:val="20"/>
          <w:szCs w:val="20"/>
        </w:rPr>
        <w:t xml:space="preserve"> of Beveridge</w:t>
      </w:r>
    </w:p>
    <w:p w:rsidR="00504C07" w:rsidRDefault="00504C07" w:rsidP="00EE0F0D">
      <w:pPr>
        <w:pStyle w:val="Sourcestyle"/>
        <w:numPr>
          <w:ilvl w:val="0"/>
          <w:numId w:val="32"/>
        </w:numPr>
        <w:ind w:left="426"/>
        <w:rPr>
          <w:sz w:val="20"/>
          <w:szCs w:val="20"/>
        </w:rPr>
      </w:pPr>
      <w:r w:rsidRPr="00504C07">
        <w:rPr>
          <w:sz w:val="20"/>
          <w:szCs w:val="20"/>
        </w:rPr>
        <w:t>Northern Hwy – S</w:t>
      </w:r>
      <w:r w:rsidR="00B2316C">
        <w:rPr>
          <w:sz w:val="20"/>
          <w:szCs w:val="20"/>
        </w:rPr>
        <w:t>outh</w:t>
      </w:r>
      <w:r w:rsidRPr="00504C07">
        <w:rPr>
          <w:sz w:val="20"/>
          <w:szCs w:val="20"/>
        </w:rPr>
        <w:t xml:space="preserve"> of Pyalong</w:t>
      </w:r>
    </w:p>
    <w:p w:rsidR="00504C07" w:rsidRDefault="00504C07" w:rsidP="00EE0F0D">
      <w:pPr>
        <w:pStyle w:val="Sourcestyle"/>
        <w:numPr>
          <w:ilvl w:val="0"/>
          <w:numId w:val="32"/>
        </w:numPr>
        <w:ind w:left="426"/>
        <w:rPr>
          <w:sz w:val="20"/>
          <w:szCs w:val="20"/>
        </w:rPr>
      </w:pPr>
      <w:r w:rsidRPr="00504C07">
        <w:rPr>
          <w:sz w:val="20"/>
          <w:szCs w:val="20"/>
        </w:rPr>
        <w:t>Hume Fwy – S</w:t>
      </w:r>
      <w:r w:rsidR="00B2316C">
        <w:rPr>
          <w:sz w:val="20"/>
          <w:szCs w:val="20"/>
        </w:rPr>
        <w:t>outh</w:t>
      </w:r>
      <w:r w:rsidRPr="00504C07">
        <w:rPr>
          <w:sz w:val="20"/>
          <w:szCs w:val="20"/>
        </w:rPr>
        <w:t xml:space="preserve"> of Broadford</w:t>
      </w:r>
    </w:p>
    <w:p w:rsidR="00504C07" w:rsidRDefault="00504C07" w:rsidP="00EE0F0D">
      <w:pPr>
        <w:pStyle w:val="Sourcestyle"/>
        <w:numPr>
          <w:ilvl w:val="0"/>
          <w:numId w:val="32"/>
        </w:numPr>
        <w:ind w:left="426"/>
        <w:rPr>
          <w:sz w:val="20"/>
          <w:szCs w:val="20"/>
        </w:rPr>
      </w:pPr>
      <w:r w:rsidRPr="00504C07">
        <w:rPr>
          <w:sz w:val="20"/>
          <w:szCs w:val="20"/>
        </w:rPr>
        <w:t>Melba Hwy – N</w:t>
      </w:r>
      <w:r w:rsidR="00B2316C">
        <w:rPr>
          <w:sz w:val="20"/>
          <w:szCs w:val="20"/>
        </w:rPr>
        <w:t>orth</w:t>
      </w:r>
      <w:r w:rsidRPr="00504C07">
        <w:rPr>
          <w:sz w:val="20"/>
          <w:szCs w:val="20"/>
        </w:rPr>
        <w:t xml:space="preserve"> of Glenburn</w:t>
      </w:r>
    </w:p>
    <w:p w:rsidR="00504C07" w:rsidRDefault="00504C07" w:rsidP="00EE0F0D">
      <w:pPr>
        <w:pStyle w:val="Sourcestyle"/>
        <w:numPr>
          <w:ilvl w:val="0"/>
          <w:numId w:val="32"/>
        </w:numPr>
        <w:ind w:left="426"/>
        <w:rPr>
          <w:sz w:val="20"/>
          <w:szCs w:val="20"/>
        </w:rPr>
      </w:pPr>
      <w:r w:rsidRPr="00504C07">
        <w:rPr>
          <w:sz w:val="20"/>
          <w:szCs w:val="20"/>
        </w:rPr>
        <w:t>Maroondah Highway – W</w:t>
      </w:r>
      <w:r w:rsidR="00B2316C">
        <w:rPr>
          <w:sz w:val="20"/>
          <w:szCs w:val="20"/>
        </w:rPr>
        <w:t>est</w:t>
      </w:r>
      <w:r w:rsidRPr="00504C07">
        <w:rPr>
          <w:sz w:val="20"/>
          <w:szCs w:val="20"/>
        </w:rPr>
        <w:t xml:space="preserve"> of Bonnie Doon</w:t>
      </w:r>
    </w:p>
    <w:p w:rsidR="00504C07" w:rsidRDefault="00504C07" w:rsidP="00EE0F0D">
      <w:pPr>
        <w:pStyle w:val="Sourcestyle"/>
        <w:numPr>
          <w:ilvl w:val="0"/>
          <w:numId w:val="32"/>
        </w:numPr>
        <w:ind w:left="426"/>
        <w:rPr>
          <w:sz w:val="20"/>
          <w:szCs w:val="20"/>
        </w:rPr>
      </w:pPr>
      <w:r w:rsidRPr="00504C07">
        <w:rPr>
          <w:sz w:val="20"/>
          <w:szCs w:val="20"/>
        </w:rPr>
        <w:t xml:space="preserve">Midland Hwy  – </w:t>
      </w:r>
      <w:r w:rsidR="00B2316C">
        <w:rPr>
          <w:sz w:val="20"/>
          <w:szCs w:val="20"/>
        </w:rPr>
        <w:t xml:space="preserve">East </w:t>
      </w:r>
      <w:r w:rsidRPr="00504C07">
        <w:rPr>
          <w:sz w:val="20"/>
          <w:szCs w:val="20"/>
        </w:rPr>
        <w:t>of Stanhope</w:t>
      </w:r>
    </w:p>
    <w:p w:rsidR="00504C07" w:rsidRDefault="00504C07" w:rsidP="00EE0F0D">
      <w:pPr>
        <w:pStyle w:val="Sourcestyle"/>
        <w:numPr>
          <w:ilvl w:val="0"/>
          <w:numId w:val="32"/>
        </w:numPr>
        <w:ind w:left="426"/>
        <w:rPr>
          <w:sz w:val="20"/>
          <w:szCs w:val="20"/>
        </w:rPr>
      </w:pPr>
      <w:r w:rsidRPr="00504C07">
        <w:rPr>
          <w:sz w:val="20"/>
          <w:szCs w:val="20"/>
        </w:rPr>
        <w:t>Goulburn Valley Hwy</w:t>
      </w:r>
    </w:p>
    <w:p w:rsidR="00504C07" w:rsidRDefault="00504C07" w:rsidP="00EE0F0D">
      <w:pPr>
        <w:pStyle w:val="Sourcestyle"/>
        <w:numPr>
          <w:ilvl w:val="0"/>
          <w:numId w:val="32"/>
        </w:numPr>
        <w:ind w:left="426"/>
        <w:rPr>
          <w:sz w:val="20"/>
          <w:szCs w:val="20"/>
        </w:rPr>
      </w:pPr>
      <w:r w:rsidRPr="00504C07">
        <w:rPr>
          <w:sz w:val="20"/>
          <w:szCs w:val="20"/>
        </w:rPr>
        <w:t>Hume Fwy 1.5km – N</w:t>
      </w:r>
      <w:r w:rsidR="00B2316C">
        <w:rPr>
          <w:sz w:val="20"/>
          <w:szCs w:val="20"/>
        </w:rPr>
        <w:t>orth</w:t>
      </w:r>
      <w:r w:rsidRPr="00504C07">
        <w:rPr>
          <w:sz w:val="20"/>
          <w:szCs w:val="20"/>
        </w:rPr>
        <w:t xml:space="preserve"> of Bam Lane</w:t>
      </w:r>
    </w:p>
    <w:p w:rsidR="00504C07" w:rsidRDefault="00504C07" w:rsidP="00EE0F0D">
      <w:pPr>
        <w:pStyle w:val="Sourcestyle"/>
        <w:numPr>
          <w:ilvl w:val="0"/>
          <w:numId w:val="32"/>
        </w:numPr>
        <w:ind w:left="426"/>
        <w:rPr>
          <w:sz w:val="20"/>
          <w:szCs w:val="20"/>
        </w:rPr>
      </w:pPr>
      <w:r w:rsidRPr="00504C07">
        <w:rPr>
          <w:sz w:val="20"/>
          <w:szCs w:val="20"/>
        </w:rPr>
        <w:t>Gt Alpine Rd – S</w:t>
      </w:r>
      <w:r w:rsidR="00B2316C">
        <w:rPr>
          <w:sz w:val="20"/>
          <w:szCs w:val="20"/>
        </w:rPr>
        <w:t>outh</w:t>
      </w:r>
      <w:r w:rsidRPr="00504C07">
        <w:rPr>
          <w:sz w:val="20"/>
          <w:szCs w:val="20"/>
        </w:rPr>
        <w:t xml:space="preserve"> of Gapstead</w:t>
      </w:r>
    </w:p>
    <w:p w:rsidR="00504C07" w:rsidRDefault="00504C07" w:rsidP="00EE0F0D">
      <w:pPr>
        <w:pStyle w:val="Sourcestyle"/>
        <w:numPr>
          <w:ilvl w:val="0"/>
          <w:numId w:val="32"/>
        </w:numPr>
        <w:ind w:left="426"/>
        <w:rPr>
          <w:sz w:val="20"/>
          <w:szCs w:val="20"/>
        </w:rPr>
      </w:pPr>
      <w:r w:rsidRPr="00504C07">
        <w:rPr>
          <w:sz w:val="20"/>
          <w:szCs w:val="20"/>
        </w:rPr>
        <w:t>Goulburn Valley Highway – S</w:t>
      </w:r>
      <w:r w:rsidR="00B2316C">
        <w:rPr>
          <w:sz w:val="20"/>
          <w:szCs w:val="20"/>
        </w:rPr>
        <w:t>outh</w:t>
      </w:r>
      <w:r w:rsidRPr="00504C07">
        <w:rPr>
          <w:sz w:val="20"/>
          <w:szCs w:val="20"/>
        </w:rPr>
        <w:t xml:space="preserve"> of Numurkah</w:t>
      </w:r>
    </w:p>
    <w:p w:rsidR="00504C07" w:rsidRDefault="00504C07" w:rsidP="00EE0F0D">
      <w:pPr>
        <w:pStyle w:val="Sourcestyle"/>
        <w:numPr>
          <w:ilvl w:val="0"/>
          <w:numId w:val="32"/>
        </w:numPr>
        <w:ind w:left="426"/>
        <w:rPr>
          <w:sz w:val="20"/>
          <w:szCs w:val="20"/>
        </w:rPr>
      </w:pPr>
      <w:r w:rsidRPr="00504C07">
        <w:rPr>
          <w:sz w:val="20"/>
          <w:szCs w:val="20"/>
        </w:rPr>
        <w:t>Benalla Tocumwal Rd</w:t>
      </w:r>
    </w:p>
    <w:p w:rsidR="00504C07" w:rsidRDefault="00B2316C" w:rsidP="00EE0F0D">
      <w:pPr>
        <w:pStyle w:val="Sourcestyle"/>
        <w:numPr>
          <w:ilvl w:val="0"/>
          <w:numId w:val="32"/>
        </w:numPr>
        <w:ind w:left="426"/>
        <w:rPr>
          <w:sz w:val="20"/>
          <w:szCs w:val="20"/>
        </w:rPr>
      </w:pPr>
      <w:r>
        <w:rPr>
          <w:sz w:val="20"/>
          <w:szCs w:val="20"/>
        </w:rPr>
        <w:t xml:space="preserve">Murray Valley Hwy – </w:t>
      </w:r>
      <w:r w:rsidR="00504C07" w:rsidRPr="00504C07">
        <w:rPr>
          <w:sz w:val="20"/>
          <w:szCs w:val="20"/>
        </w:rPr>
        <w:t>E</w:t>
      </w:r>
      <w:r>
        <w:rPr>
          <w:sz w:val="20"/>
          <w:szCs w:val="20"/>
        </w:rPr>
        <w:t>ast</w:t>
      </w:r>
      <w:r w:rsidR="00504C07" w:rsidRPr="00504C07">
        <w:rPr>
          <w:sz w:val="20"/>
          <w:szCs w:val="20"/>
        </w:rPr>
        <w:t xml:space="preserve"> of Cobram</w:t>
      </w:r>
    </w:p>
    <w:p w:rsidR="00504C07" w:rsidRPr="00504C07" w:rsidRDefault="00504C07" w:rsidP="00EE0F0D">
      <w:pPr>
        <w:pStyle w:val="Sourcestyle"/>
        <w:numPr>
          <w:ilvl w:val="0"/>
          <w:numId w:val="32"/>
        </w:numPr>
        <w:ind w:left="426"/>
        <w:rPr>
          <w:sz w:val="20"/>
          <w:szCs w:val="20"/>
        </w:rPr>
      </w:pPr>
      <w:r w:rsidRPr="00504C07">
        <w:rPr>
          <w:sz w:val="20"/>
          <w:szCs w:val="20"/>
        </w:rPr>
        <w:t xml:space="preserve">Hume Fwy </w:t>
      </w:r>
      <w:r w:rsidR="00B2316C">
        <w:rPr>
          <w:sz w:val="20"/>
          <w:szCs w:val="20"/>
        </w:rPr>
        <w:t xml:space="preserve">- </w:t>
      </w:r>
      <w:r w:rsidRPr="00504C07">
        <w:rPr>
          <w:sz w:val="20"/>
          <w:szCs w:val="20"/>
        </w:rPr>
        <w:t>Southwest of Murray Valley Hwy</w:t>
      </w:r>
    </w:p>
    <w:p w:rsidR="001E6B61" w:rsidRPr="004E7F5F" w:rsidRDefault="00D25D68" w:rsidP="0061220F">
      <w:pPr>
        <w:pStyle w:val="source"/>
      </w:pPr>
      <w:r w:rsidRPr="004E7F5F">
        <w:t>Source: VicRoads</w:t>
      </w:r>
      <w:r w:rsidR="0016012E" w:rsidRPr="004E7F5F">
        <w:t xml:space="preserve"> (2012)</w:t>
      </w:r>
    </w:p>
    <w:p w:rsidR="001E6B61" w:rsidRPr="00B44623" w:rsidRDefault="002368FB" w:rsidP="001E4118">
      <w:pPr>
        <w:pStyle w:val="bt"/>
        <w:spacing w:before="240" w:after="120"/>
        <w:rPr>
          <w:rStyle w:val="Strong"/>
        </w:rPr>
      </w:pPr>
      <w:bookmarkStart w:id="427" w:name="_Toc348094840"/>
      <w:bookmarkStart w:id="428" w:name="_Toc348104099"/>
      <w:bookmarkStart w:id="429" w:name="_Toc348342467"/>
      <w:bookmarkStart w:id="430" w:name="_Toc330910852"/>
      <w:bookmarkStart w:id="431" w:name="_Toc332115115"/>
      <w:bookmarkStart w:id="432" w:name="_Toc333225799"/>
      <w:bookmarkStart w:id="433" w:name="_Toc337047810"/>
      <w:r w:rsidRPr="00B44623">
        <w:rPr>
          <w:rStyle w:val="Strong"/>
        </w:rPr>
        <w:t xml:space="preserve">b) </w:t>
      </w:r>
      <w:r w:rsidRPr="00B44623">
        <w:rPr>
          <w:rStyle w:val="Strong"/>
        </w:rPr>
        <w:tab/>
      </w:r>
      <w:r w:rsidR="007536C0" w:rsidRPr="00B44623">
        <w:rPr>
          <w:rStyle w:val="Strong"/>
        </w:rPr>
        <w:t>People movements in the region</w:t>
      </w:r>
      <w:bookmarkEnd w:id="427"/>
      <w:bookmarkEnd w:id="428"/>
      <w:bookmarkEnd w:id="429"/>
    </w:p>
    <w:p w:rsidR="001E6B61" w:rsidRDefault="007536C0">
      <w:pPr>
        <w:pStyle w:val="bt"/>
        <w:spacing w:before="120" w:after="120"/>
        <w:rPr>
          <w:rStyle w:val="Strong"/>
        </w:rPr>
      </w:pPr>
      <w:bookmarkStart w:id="434" w:name="_Toc348094841"/>
      <w:bookmarkStart w:id="435" w:name="_Toc348104100"/>
      <w:bookmarkStart w:id="436" w:name="_Toc348342468"/>
      <w:r w:rsidRPr="007536C0">
        <w:rPr>
          <w:rStyle w:val="Strong"/>
        </w:rPr>
        <w:t>Train passenger traffic</w:t>
      </w:r>
      <w:bookmarkEnd w:id="430"/>
      <w:bookmarkEnd w:id="431"/>
      <w:bookmarkEnd w:id="432"/>
      <w:bookmarkEnd w:id="433"/>
      <w:bookmarkEnd w:id="434"/>
      <w:bookmarkEnd w:id="435"/>
      <w:bookmarkEnd w:id="436"/>
    </w:p>
    <w:p w:rsidR="001E6B61" w:rsidRDefault="002368FB">
      <w:pPr>
        <w:pStyle w:val="bt"/>
      </w:pPr>
      <w:r w:rsidRPr="00226D34">
        <w:t xml:space="preserve">Passenger rail services to and from Melbourne enable daily or regular commuting for business. </w:t>
      </w:r>
      <w:r w:rsidR="003D4DF3">
        <w:t xml:space="preserve">The </w:t>
      </w:r>
      <w:r w:rsidR="008757CF">
        <w:t>r</w:t>
      </w:r>
      <w:r w:rsidR="003D4DF3">
        <w:t xml:space="preserve">egion </w:t>
      </w:r>
      <w:r w:rsidRPr="00226D34">
        <w:t xml:space="preserve">has 19 railway stations, seven of which are in Mitchell Shire in the Lower Hume </w:t>
      </w:r>
      <w:r w:rsidR="00EB6ABC">
        <w:t>sub-</w:t>
      </w:r>
      <w:r w:rsidR="00DA46DA">
        <w:t>region</w:t>
      </w:r>
      <w:r w:rsidRPr="00226D34">
        <w:t>. This area is served by the Seymour line, which branches off north via the Shepparton li</w:t>
      </w:r>
      <w:r w:rsidR="003D4DF3">
        <w:t>ne and north</w:t>
      </w:r>
      <w:r w:rsidR="00D76945">
        <w:t>-</w:t>
      </w:r>
      <w:r w:rsidR="003D4DF3">
        <w:t>east via the Albury-</w:t>
      </w:r>
      <w:r w:rsidRPr="00226D34">
        <w:t xml:space="preserve">Wodonga line. The region also contains an interstate railway line served by the express passenger train travelling between </w:t>
      </w:r>
      <w:r w:rsidR="003D4DF3">
        <w:t>Melbourne and Sydney</w:t>
      </w:r>
      <w:r w:rsidR="00D97189">
        <w:t>,</w:t>
      </w:r>
      <w:r w:rsidR="003D4DF3">
        <w:t xml:space="preserve"> via Albury-</w:t>
      </w:r>
      <w:r w:rsidRPr="00226D34">
        <w:t>Wodonga.</w:t>
      </w:r>
    </w:p>
    <w:p w:rsidR="001E6B61" w:rsidRDefault="002368FB">
      <w:pPr>
        <w:pStyle w:val="bt"/>
      </w:pPr>
      <w:r w:rsidRPr="00226D34">
        <w:t>Since improvements in regional rail services were completed, th</w:t>
      </w:r>
      <w:r w:rsidR="00DA46DA">
        <w:t xml:space="preserve">ere has been an </w:t>
      </w:r>
      <w:r w:rsidR="00D76945">
        <w:t xml:space="preserve">overall </w:t>
      </w:r>
      <w:r w:rsidR="00DA46DA">
        <w:t>increase in V</w:t>
      </w:r>
      <w:r w:rsidR="00D76945">
        <w:t>/</w:t>
      </w:r>
      <w:r w:rsidRPr="00226D34">
        <w:t xml:space="preserve">Line patronage </w:t>
      </w:r>
      <w:r w:rsidR="00D76945">
        <w:t xml:space="preserve">at </w:t>
      </w:r>
      <w:r w:rsidRPr="00226D34">
        <w:t>major rail</w:t>
      </w:r>
      <w:r w:rsidR="00D76945">
        <w:t>way</w:t>
      </w:r>
      <w:r w:rsidRPr="00226D34">
        <w:t xml:space="preserve"> stations in the region (</w:t>
      </w:r>
      <w:r w:rsidR="00827E2D">
        <w:fldChar w:fldCharType="begin"/>
      </w:r>
      <w:r w:rsidR="00827E2D">
        <w:instrText xml:space="preserve"> REF _Ref348349899 \h  \* MERGEFORMAT </w:instrText>
      </w:r>
      <w:r w:rsidR="00827E2D">
        <w:fldChar w:fldCharType="separate"/>
      </w:r>
      <w:r w:rsidR="009034D4" w:rsidRPr="00DF6019">
        <w:t xml:space="preserve">Figure </w:t>
      </w:r>
      <w:r w:rsidR="009034D4">
        <w:rPr>
          <w:noProof/>
        </w:rPr>
        <w:t>27</w:t>
      </w:r>
      <w:r w:rsidR="00827E2D">
        <w:fldChar w:fldCharType="end"/>
      </w:r>
      <w:r w:rsidRPr="00226D34">
        <w:t xml:space="preserve">). This is especially noticeable for those </w:t>
      </w:r>
      <w:r w:rsidR="00D76945">
        <w:t xml:space="preserve">stations </w:t>
      </w:r>
      <w:r w:rsidRPr="00226D34">
        <w:t>closest to Melbourne, indicating an increase in commuters to the metropolitan area. The importance of Seymour as a junction station with frequent train services is highlighted by the large amount of patronage at this station compared to others in the region.</w:t>
      </w:r>
    </w:p>
    <w:p w:rsidR="006239BB" w:rsidRDefault="00AA3D97" w:rsidP="008757CF">
      <w:pPr>
        <w:pStyle w:val="bt"/>
      </w:pPr>
      <w:r>
        <w:fldChar w:fldCharType="begin"/>
      </w:r>
      <w:r w:rsidR="00E35E31">
        <w:instrText xml:space="preserve"> REF _Ref348349940 \h </w:instrText>
      </w:r>
      <w:r>
        <w:fldChar w:fldCharType="separate"/>
      </w:r>
      <w:r w:rsidR="009034D4" w:rsidRPr="00DF6019">
        <w:t xml:space="preserve">Table </w:t>
      </w:r>
      <w:r w:rsidR="009034D4">
        <w:rPr>
          <w:noProof/>
        </w:rPr>
        <w:t>6</w:t>
      </w:r>
      <w:r>
        <w:fldChar w:fldCharType="end"/>
      </w:r>
      <w:r w:rsidR="00E35E31">
        <w:t xml:space="preserve"> compares t</w:t>
      </w:r>
      <w:r w:rsidR="008757CF" w:rsidRPr="002368FB">
        <w:t xml:space="preserve">rain services in the </w:t>
      </w:r>
      <w:r w:rsidR="008757CF">
        <w:t>r</w:t>
      </w:r>
      <w:r w:rsidR="008757CF" w:rsidRPr="002368FB">
        <w:t xml:space="preserve">egion with those in other major centres across </w:t>
      </w:r>
      <w:r w:rsidR="008757CF">
        <w:t>Victoria</w:t>
      </w:r>
      <w:r w:rsidR="008757CF" w:rsidRPr="00EC286D">
        <w:t>.</w:t>
      </w:r>
    </w:p>
    <w:p w:rsidR="000A7998" w:rsidRDefault="001E4118" w:rsidP="00EE0F0D">
      <w:pPr>
        <w:pStyle w:val="bt"/>
      </w:pPr>
      <w:r w:rsidRPr="002368FB">
        <w:t>Outside the major r</w:t>
      </w:r>
      <w:r>
        <w:t>ail corridors, bus</w:t>
      </w:r>
      <w:r w:rsidRPr="002368FB">
        <w:t xml:space="preserve"> services provide public transport within the region and links to centres in neighbouring regions, including </w:t>
      </w:r>
      <w:r w:rsidRPr="00EC286D">
        <w:t>Bendigo and Melbourne</w:t>
      </w:r>
      <w:r w:rsidR="004B3F8A">
        <w:t xml:space="preserve"> (</w:t>
      </w:r>
      <w:r w:rsidR="00AA3D97">
        <w:fldChar w:fldCharType="begin"/>
      </w:r>
      <w:r w:rsidR="000706AF">
        <w:instrText xml:space="preserve"> REF _Ref363467827 \h </w:instrText>
      </w:r>
      <w:r w:rsidR="00AA3D97">
        <w:fldChar w:fldCharType="separate"/>
      </w:r>
      <w:r w:rsidR="009034D4" w:rsidRPr="00DF6019">
        <w:t xml:space="preserve">Figure </w:t>
      </w:r>
      <w:r w:rsidR="009034D4">
        <w:rPr>
          <w:noProof/>
        </w:rPr>
        <w:t>28</w:t>
      </w:r>
      <w:r w:rsidR="00AA3D97">
        <w:fldChar w:fldCharType="end"/>
      </w:r>
      <w:r w:rsidRPr="00EC286D">
        <w:t>). There are</w:t>
      </w:r>
      <w:r w:rsidRPr="002368FB">
        <w:t xml:space="preserve"> no regular public transport services connecting the </w:t>
      </w:r>
      <w:r>
        <w:t>r</w:t>
      </w:r>
      <w:r w:rsidRPr="002368FB">
        <w:t>egion with Gippsland.</w:t>
      </w:r>
    </w:p>
    <w:p w:rsidR="0071609A" w:rsidRPr="002368FB" w:rsidRDefault="000A7998" w:rsidP="00EE0F0D">
      <w:pPr>
        <w:pStyle w:val="Caption"/>
      </w:pPr>
      <w:bookmarkStart w:id="437" w:name="_Ref348349899"/>
      <w:r>
        <w:rPr>
          <w:noProof/>
        </w:rPr>
        <w:drawing>
          <wp:anchor distT="0" distB="0" distL="114300" distR="114300" simplePos="0" relativeHeight="251701248" behindDoc="0" locked="0" layoutInCell="1" allowOverlap="1">
            <wp:simplePos x="0" y="0"/>
            <wp:positionH relativeFrom="column">
              <wp:posOffset>0</wp:posOffset>
            </wp:positionH>
            <wp:positionV relativeFrom="paragraph">
              <wp:posOffset>157480</wp:posOffset>
            </wp:positionV>
            <wp:extent cx="5727700" cy="2997200"/>
            <wp:effectExtent l="0" t="0" r="0" b="0"/>
            <wp:wrapTopAndBottom/>
            <wp:docPr id="33" name="Chart 4" descr="Graph showing normal weekday rail patronage (estimate) by station in the Hume Reg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bookmarkStart w:id="438" w:name="_Toc374612552"/>
      <w:r w:rsidR="00EC286D" w:rsidRPr="00DF6019">
        <w:t xml:space="preserve">Figure </w:t>
      </w:r>
      <w:r w:rsidR="00827E2D">
        <w:fldChar w:fldCharType="begin"/>
      </w:r>
      <w:r w:rsidR="00827E2D">
        <w:instrText xml:space="preserve"> SEQ Figure \* ARABIC </w:instrText>
      </w:r>
      <w:r w:rsidR="00827E2D">
        <w:fldChar w:fldCharType="separate"/>
      </w:r>
      <w:r w:rsidR="009034D4">
        <w:rPr>
          <w:noProof/>
        </w:rPr>
        <w:t>27</w:t>
      </w:r>
      <w:r w:rsidR="00827E2D">
        <w:rPr>
          <w:noProof/>
        </w:rPr>
        <w:fldChar w:fldCharType="end"/>
      </w:r>
      <w:bookmarkEnd w:id="437"/>
      <w:r w:rsidR="007536C0" w:rsidRPr="007536C0">
        <w:t>: Normal weekday rail patronage (estimate) by station – Hume Region</w:t>
      </w:r>
      <w:bookmarkEnd w:id="438"/>
    </w:p>
    <w:p w:rsidR="001E6B61" w:rsidRDefault="007536C0" w:rsidP="00520D4E">
      <w:pPr>
        <w:pStyle w:val="Sourcestyle"/>
      </w:pPr>
      <w:r w:rsidRPr="007536C0">
        <w:t>N</w:t>
      </w:r>
      <w:r w:rsidR="00DF741E">
        <w:t>ote:</w:t>
      </w:r>
      <w:r w:rsidRPr="007536C0">
        <w:t xml:space="preserve"> Services on the Albury-Wodonga line were replaced with rail replacement bus services for the period 2009–2011 due to the North East Revitalisation Project, so no conductor tallies were recorded between Seymour and Albury-Wodonga during that time.</w:t>
      </w:r>
    </w:p>
    <w:p w:rsidR="001E6B61" w:rsidRDefault="007536C0" w:rsidP="0061220F">
      <w:pPr>
        <w:pStyle w:val="source"/>
      </w:pPr>
      <w:r w:rsidRPr="007536C0">
        <w:t>Source: Public Transport Di</w:t>
      </w:r>
      <w:r w:rsidR="001E4118">
        <w:t xml:space="preserve">vision, </w:t>
      </w:r>
      <w:r w:rsidR="000327E7">
        <w:t xml:space="preserve">former </w:t>
      </w:r>
      <w:r w:rsidR="001E4118">
        <w:t>Department of Transport</w:t>
      </w:r>
    </w:p>
    <w:p w:rsidR="00520D4E" w:rsidRDefault="00520D4E" w:rsidP="00520D4E">
      <w:pPr>
        <w:pStyle w:val="Sourcestyle"/>
      </w:pPr>
    </w:p>
    <w:p w:rsidR="00EE0F0D" w:rsidRDefault="00EC286D" w:rsidP="00681189">
      <w:pPr>
        <w:pStyle w:val="Caption"/>
        <w:spacing w:after="240"/>
      </w:pPr>
      <w:bookmarkStart w:id="439" w:name="_Ref348349940"/>
      <w:bookmarkStart w:id="440" w:name="_Toc374612559"/>
      <w:r w:rsidRPr="00DF6019">
        <w:t xml:space="preserve">Table </w:t>
      </w:r>
      <w:r w:rsidR="00827E2D">
        <w:fldChar w:fldCharType="begin"/>
      </w:r>
      <w:r w:rsidR="00827E2D">
        <w:instrText xml:space="preserve"> SEQ Table \* ARABIC </w:instrText>
      </w:r>
      <w:r w:rsidR="00827E2D">
        <w:fldChar w:fldCharType="separate"/>
      </w:r>
      <w:r w:rsidR="009034D4">
        <w:rPr>
          <w:noProof/>
        </w:rPr>
        <w:t>6</w:t>
      </w:r>
      <w:r w:rsidR="00827E2D">
        <w:rPr>
          <w:noProof/>
        </w:rPr>
        <w:fldChar w:fldCharType="end"/>
      </w:r>
      <w:bookmarkEnd w:id="439"/>
      <w:r w:rsidR="007536C0" w:rsidRPr="007536C0">
        <w:t>: Number of train services across Victoria</w:t>
      </w:r>
      <w:bookmarkStart w:id="441" w:name="_Ref348349995"/>
      <w:bookmarkEnd w:id="440"/>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772F81">
        <w:t>Traralgon to Melbourne</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772F81">
        <w:t>4</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772F81">
        <w:t>14</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772F81">
        <w:t>Melbourne to Traralgon</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772F81">
        <w:t>3</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772F81">
        <w:t>14</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772F81">
        <w:t>Bairnsdale to Melbourne</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772F81">
        <w:t>0</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772F81">
        <w:t>3</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772F81">
        <w:t>Melbourne to Bairnsdale</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772F81">
        <w:t>0</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772F81">
        <w:t>3</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Ballarat to Melbourne</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4</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14</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Melbourne to Ballarat</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9</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18</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Ararat to Melbourne</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0</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4 including overland</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Melbourne to Ararat</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0</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4 including overland</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Geelong to Melbourne</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11</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19</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Melbourne to Geelong</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8</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23</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Warrnambool to Melbourne</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0</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3</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Melbourne to Warrnambool</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0</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3</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Bendigo to Melbourne</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5</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13</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Melbourne to Bendigo</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7</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20</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Swan Hill to Melbourne</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0</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2</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Melbourne to Swan Hill</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0</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2</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Seymour to Melbourne</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4</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16</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Melbourne to Seymour</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3</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17</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Shepparton to Melbourne</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0</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2</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Melbourne to Shepparton</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0</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3</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Wodonga to Melbourne</w:t>
      </w:r>
    </w:p>
    <w:p w:rsid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Peak (Approximate number of train services during this time Mon-Fri)</w:t>
      </w:r>
      <w:r>
        <w:rPr>
          <w:rFonts w:asciiTheme="minorHAnsi" w:hAnsiTheme="minorHAnsi"/>
        </w:rPr>
        <w:t xml:space="preserve"> – </w:t>
      </w:r>
      <w:r w:rsidRPr="00B13704">
        <w:t>2</w:t>
      </w:r>
    </w:p>
    <w:p w:rsidR="00AB6BB3" w:rsidRPr="00AB6BB3" w:rsidRDefault="00AB6BB3" w:rsidP="00AB6BB3">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3 (including XPT)</w:t>
      </w:r>
    </w:p>
    <w:p w:rsidR="00AB6BB3" w:rsidRPr="00AB6BB3" w:rsidRDefault="00AB6BB3" w:rsidP="00AB6BB3">
      <w:pPr>
        <w:pStyle w:val="bt"/>
        <w:spacing w:before="60" w:after="0"/>
        <w:rPr>
          <w:rFonts w:asciiTheme="minorHAnsi" w:hAnsiTheme="minorHAnsi"/>
          <w:b/>
        </w:rPr>
      </w:pPr>
      <w:r w:rsidRPr="00AB6BB3">
        <w:rPr>
          <w:rFonts w:asciiTheme="minorHAnsi" w:hAnsiTheme="minorHAnsi"/>
          <w:b/>
        </w:rPr>
        <w:t xml:space="preserve">Route: </w:t>
      </w:r>
      <w:r w:rsidRPr="00B13704">
        <w:t>Melbourne to Wodonga</w:t>
      </w:r>
    </w:p>
    <w:p w:rsidR="00AB6BB3" w:rsidRPr="00877874" w:rsidRDefault="00AB6BB3" w:rsidP="00AB6BB3">
      <w:pPr>
        <w:pStyle w:val="bt"/>
        <w:numPr>
          <w:ilvl w:val="0"/>
          <w:numId w:val="34"/>
        </w:numPr>
        <w:spacing w:before="60" w:after="0"/>
        <w:rPr>
          <w:rFonts w:asciiTheme="minorHAnsi" w:hAnsiTheme="minorHAnsi"/>
          <w:szCs w:val="20"/>
        </w:rPr>
      </w:pPr>
      <w:r w:rsidRPr="00877874">
        <w:rPr>
          <w:rFonts w:asciiTheme="minorHAnsi" w:hAnsiTheme="minorHAnsi"/>
          <w:szCs w:val="20"/>
        </w:rPr>
        <w:t xml:space="preserve">Peak (Approximate number of train services during this time Mon-Fri) – </w:t>
      </w:r>
      <w:r w:rsidRPr="00877874">
        <w:rPr>
          <w:szCs w:val="20"/>
        </w:rPr>
        <w:t>0</w:t>
      </w:r>
    </w:p>
    <w:p w:rsidR="00AB6BB3" w:rsidRPr="00877874" w:rsidRDefault="00AB6BB3" w:rsidP="00877874">
      <w:pPr>
        <w:pStyle w:val="bt"/>
        <w:numPr>
          <w:ilvl w:val="0"/>
          <w:numId w:val="34"/>
        </w:numPr>
        <w:spacing w:before="60" w:after="0"/>
        <w:rPr>
          <w:rFonts w:asciiTheme="minorHAnsi" w:hAnsiTheme="minorHAnsi"/>
        </w:rPr>
      </w:pPr>
      <w:r w:rsidRPr="00AB6BB3">
        <w:rPr>
          <w:rFonts w:asciiTheme="minorHAnsi" w:hAnsiTheme="minorHAnsi"/>
        </w:rPr>
        <w:t>Off peak (Approximate number of train services during this time Mon-Fri)</w:t>
      </w:r>
      <w:r>
        <w:rPr>
          <w:rFonts w:asciiTheme="minorHAnsi" w:hAnsiTheme="minorHAnsi"/>
        </w:rPr>
        <w:t xml:space="preserve"> – </w:t>
      </w:r>
      <w:r w:rsidRPr="00B13704">
        <w:t>5 (including XPT)</w:t>
      </w:r>
    </w:p>
    <w:p w:rsidR="002E053A" w:rsidRDefault="009A663B" w:rsidP="00D6379A">
      <w:pPr>
        <w:pStyle w:val="source"/>
      </w:pPr>
      <w:r w:rsidRPr="007536C0">
        <w:t>Source: Public Transport Di</w:t>
      </w:r>
      <w:r>
        <w:t>vision, former Department of Transport</w:t>
      </w:r>
    </w:p>
    <w:p w:rsidR="009B0578" w:rsidRDefault="009B0578" w:rsidP="00EE0F0D">
      <w:pPr>
        <w:pStyle w:val="Caption"/>
        <w:spacing w:before="240"/>
        <w:sectPr w:rsidR="009B0578" w:rsidSect="009075F4">
          <w:pgSz w:w="11906" w:h="16838"/>
          <w:pgMar w:top="1530" w:right="1440" w:bottom="993" w:left="1440" w:header="708" w:footer="708" w:gutter="0"/>
          <w:cols w:space="708"/>
          <w:docGrid w:linePitch="360"/>
        </w:sectPr>
      </w:pPr>
    </w:p>
    <w:p w:rsidR="001E6B61" w:rsidRDefault="00EC286D" w:rsidP="00EE0F0D">
      <w:pPr>
        <w:pStyle w:val="Caption"/>
        <w:spacing w:before="240"/>
        <w:rPr>
          <w:noProof/>
          <w:color w:val="C00000"/>
        </w:rPr>
      </w:pPr>
      <w:bookmarkStart w:id="442" w:name="_Ref363467827"/>
      <w:bookmarkStart w:id="443" w:name="_Toc374612553"/>
      <w:r w:rsidRPr="00DF6019">
        <w:t xml:space="preserve">Figure </w:t>
      </w:r>
      <w:r w:rsidR="00827E2D">
        <w:fldChar w:fldCharType="begin"/>
      </w:r>
      <w:r w:rsidR="00827E2D">
        <w:instrText xml:space="preserve"> SEQ Figure \* ARABIC </w:instrText>
      </w:r>
      <w:r w:rsidR="00827E2D">
        <w:fldChar w:fldCharType="separate"/>
      </w:r>
      <w:r w:rsidR="009034D4">
        <w:rPr>
          <w:noProof/>
        </w:rPr>
        <w:t>28</w:t>
      </w:r>
      <w:r w:rsidR="00827E2D">
        <w:rPr>
          <w:noProof/>
        </w:rPr>
        <w:fldChar w:fldCharType="end"/>
      </w:r>
      <w:bookmarkEnd w:id="441"/>
      <w:bookmarkEnd w:id="442"/>
      <w:r w:rsidR="007536C0" w:rsidRPr="007536C0">
        <w:t>: Public transport routes and services – Hume Region</w:t>
      </w:r>
      <w:bookmarkEnd w:id="443"/>
      <w:r w:rsidR="001F76BC" w:rsidRPr="001F76BC">
        <w:rPr>
          <w:noProof/>
          <w:color w:val="C00000"/>
        </w:rPr>
        <w:t xml:space="preserve"> </w:t>
      </w:r>
    </w:p>
    <w:p w:rsidR="007D1E72" w:rsidRPr="007D1E72" w:rsidRDefault="007D1E72" w:rsidP="007D1E72">
      <w:pPr>
        <w:pStyle w:val="bt"/>
      </w:pPr>
      <w:r>
        <w:t>[</w:t>
      </w:r>
      <w:r w:rsidRPr="007D1E72">
        <w:t>Map showing public transport routes and services in the Hume Region</w:t>
      </w:r>
      <w:r>
        <w:t>]</w:t>
      </w:r>
    </w:p>
    <w:p w:rsidR="009B0578" w:rsidRDefault="00EE0F0D" w:rsidP="0061220F">
      <w:pPr>
        <w:pStyle w:val="source"/>
        <w:sectPr w:rsidR="009B0578" w:rsidSect="00681189">
          <w:pgSz w:w="16838" w:h="11906" w:orient="landscape"/>
          <w:pgMar w:top="1440" w:right="1702" w:bottom="993" w:left="993" w:header="708" w:footer="708" w:gutter="0"/>
          <w:cols w:space="708"/>
          <w:docGrid w:linePitch="360"/>
        </w:sectPr>
      </w:pPr>
      <w:r w:rsidRPr="0062610D">
        <w:t xml:space="preserve">Source: </w:t>
      </w:r>
      <w:r w:rsidR="00503EB2">
        <w:t>Department of</w:t>
      </w:r>
      <w:r w:rsidR="000327E7">
        <w:t xml:space="preserve"> Transport, </w:t>
      </w:r>
      <w:r w:rsidR="00503EB2">
        <w:t xml:space="preserve">Planning and </w:t>
      </w:r>
      <w:r w:rsidR="000327E7">
        <w:t>Local Infrastructure</w:t>
      </w:r>
    </w:p>
    <w:p w:rsidR="001E6B61" w:rsidRPr="00EE0F0D" w:rsidRDefault="00AD026D" w:rsidP="00EE0F0D">
      <w:pPr>
        <w:pStyle w:val="Heading2"/>
      </w:pPr>
      <w:bookmarkStart w:id="444" w:name="_Toc355970850"/>
      <w:bookmarkStart w:id="445" w:name="_Toc359422996"/>
      <w:bookmarkStart w:id="446" w:name="_Toc374612497"/>
      <w:r w:rsidRPr="00EE0F0D">
        <w:t>Other</w:t>
      </w:r>
      <w:r w:rsidR="004542D0" w:rsidRPr="00EE0F0D">
        <w:t xml:space="preserve"> t</w:t>
      </w:r>
      <w:r w:rsidRPr="00EE0F0D">
        <w:t xml:space="preserve">ransport </w:t>
      </w:r>
      <w:r w:rsidR="004542D0" w:rsidRPr="00EE0F0D">
        <w:t>c</w:t>
      </w:r>
      <w:r w:rsidRPr="00EE0F0D">
        <w:t>onsideration</w:t>
      </w:r>
      <w:r w:rsidR="004542D0" w:rsidRPr="00EE0F0D">
        <w:t>s</w:t>
      </w:r>
      <w:bookmarkEnd w:id="444"/>
      <w:bookmarkEnd w:id="445"/>
      <w:bookmarkEnd w:id="446"/>
    </w:p>
    <w:p w:rsidR="001E6B61" w:rsidRDefault="00A935DC">
      <w:pPr>
        <w:pStyle w:val="bt"/>
        <w:spacing w:after="120"/>
      </w:pPr>
      <w:r w:rsidRPr="00065AA1">
        <w:t>Other transport considerations that are relevant to regional land use planning are discussed below.</w:t>
      </w:r>
    </w:p>
    <w:p w:rsidR="001E6B61" w:rsidRDefault="007536C0" w:rsidP="001E4118">
      <w:pPr>
        <w:pStyle w:val="bt"/>
        <w:spacing w:after="0"/>
        <w:rPr>
          <w:rStyle w:val="Strong"/>
        </w:rPr>
      </w:pPr>
      <w:r w:rsidRPr="007536C0">
        <w:rPr>
          <w:rStyle w:val="Strong"/>
        </w:rPr>
        <w:t>a)</w:t>
      </w:r>
      <w:r w:rsidRPr="007536C0">
        <w:rPr>
          <w:rStyle w:val="Strong"/>
        </w:rPr>
        <w:tab/>
        <w:t>High</w:t>
      </w:r>
      <w:r w:rsidR="00AB340D">
        <w:rPr>
          <w:rStyle w:val="Strong"/>
        </w:rPr>
        <w:t xml:space="preserve"> </w:t>
      </w:r>
      <w:r w:rsidRPr="007536C0">
        <w:rPr>
          <w:rStyle w:val="Strong"/>
        </w:rPr>
        <w:t xml:space="preserve">speed rail </w:t>
      </w:r>
    </w:p>
    <w:p w:rsidR="00D2269B" w:rsidRDefault="00914346">
      <w:pPr>
        <w:pStyle w:val="bt"/>
        <w:spacing w:before="120"/>
        <w:rPr>
          <w:szCs w:val="20"/>
        </w:rPr>
      </w:pPr>
      <w:r w:rsidRPr="00914346">
        <w:rPr>
          <w:szCs w:val="20"/>
        </w:rPr>
        <w:t>The Australian Government is undertaking a strategic study regarding the impleme</w:t>
      </w:r>
      <w:r>
        <w:rPr>
          <w:szCs w:val="20"/>
        </w:rPr>
        <w:t>ntation of high speed rail</w:t>
      </w:r>
      <w:r w:rsidRPr="00914346">
        <w:rPr>
          <w:szCs w:val="20"/>
        </w:rPr>
        <w:t xml:space="preserve"> on the east coast of Australia. Once fully operational</w:t>
      </w:r>
      <w:r>
        <w:rPr>
          <w:szCs w:val="20"/>
        </w:rPr>
        <w:t>,</w:t>
      </w:r>
      <w:r w:rsidRPr="00914346">
        <w:rPr>
          <w:szCs w:val="20"/>
        </w:rPr>
        <w:t xml:space="preserve"> express journey times of less than three hours betwee</w:t>
      </w:r>
      <w:r>
        <w:rPr>
          <w:szCs w:val="20"/>
        </w:rPr>
        <w:t xml:space="preserve">n Melbourne and </w:t>
      </w:r>
      <w:r w:rsidRPr="00914346">
        <w:rPr>
          <w:szCs w:val="20"/>
        </w:rPr>
        <w:t xml:space="preserve">Sydney could be achievable. Phase 2 of the study depicts a preferred alignment for the </w:t>
      </w:r>
      <w:r>
        <w:rPr>
          <w:szCs w:val="20"/>
        </w:rPr>
        <w:t>high speed rail</w:t>
      </w:r>
      <w:r w:rsidRPr="00914346">
        <w:rPr>
          <w:szCs w:val="20"/>
        </w:rPr>
        <w:t xml:space="preserve"> system between Melbourne, Canberra, Sydney and Brisbane. </w:t>
      </w:r>
      <w:r>
        <w:rPr>
          <w:szCs w:val="20"/>
        </w:rPr>
        <w:t>In the Hume Region t</w:t>
      </w:r>
      <w:r w:rsidRPr="00914346">
        <w:rPr>
          <w:szCs w:val="20"/>
        </w:rPr>
        <w:t xml:space="preserve">he preferred </w:t>
      </w:r>
      <w:r>
        <w:rPr>
          <w:szCs w:val="20"/>
        </w:rPr>
        <w:t>high speed rail</w:t>
      </w:r>
      <w:r w:rsidRPr="00914346">
        <w:rPr>
          <w:szCs w:val="20"/>
        </w:rPr>
        <w:t xml:space="preserve"> alignment from Wodonga deviates west from the Hume Highway corridor, heads toward Shepparton, past Seymour and broadly follows the Hume Free</w:t>
      </w:r>
      <w:r>
        <w:rPr>
          <w:szCs w:val="20"/>
        </w:rPr>
        <w:t>way corridor toward Craigieburn</w:t>
      </w:r>
      <w:r w:rsidRPr="00914346">
        <w:rPr>
          <w:szCs w:val="20"/>
        </w:rPr>
        <w:t xml:space="preserve">. </w:t>
      </w:r>
    </w:p>
    <w:p w:rsidR="001E6B61" w:rsidRPr="00914346" w:rsidRDefault="00914346">
      <w:pPr>
        <w:pStyle w:val="bt"/>
        <w:spacing w:before="120"/>
        <w:rPr>
          <w:szCs w:val="20"/>
        </w:rPr>
      </w:pPr>
      <w:r>
        <w:rPr>
          <w:szCs w:val="20"/>
        </w:rPr>
        <w:t>The study also proposes a</w:t>
      </w:r>
      <w:r w:rsidRPr="00914346">
        <w:rPr>
          <w:szCs w:val="20"/>
        </w:rPr>
        <w:t xml:space="preserve"> total</w:t>
      </w:r>
      <w:r>
        <w:rPr>
          <w:szCs w:val="20"/>
        </w:rPr>
        <w:t xml:space="preserve"> of twenty stations along the entire route between Brisbane and Melbourne</w:t>
      </w:r>
      <w:r w:rsidRPr="00914346">
        <w:rPr>
          <w:szCs w:val="20"/>
        </w:rPr>
        <w:t>, comprising four capital city stations, four city-peripheral stations, and 12 regi</w:t>
      </w:r>
      <w:r>
        <w:rPr>
          <w:szCs w:val="20"/>
        </w:rPr>
        <w:t>onal stations. Within the Hume R</w:t>
      </w:r>
      <w:r w:rsidRPr="00914346">
        <w:rPr>
          <w:szCs w:val="20"/>
        </w:rPr>
        <w:t>egion</w:t>
      </w:r>
      <w:r>
        <w:rPr>
          <w:szCs w:val="20"/>
        </w:rPr>
        <w:t>,</w:t>
      </w:r>
      <w:r w:rsidRPr="00914346">
        <w:rPr>
          <w:szCs w:val="20"/>
        </w:rPr>
        <w:t xml:space="preserve"> regional stations would be located west of Albury-Wodonga (north of the Hume Freeway/Murray Valley Highway interchange), and east of Shepparton </w:t>
      </w:r>
      <w:r>
        <w:rPr>
          <w:szCs w:val="20"/>
        </w:rPr>
        <w:t xml:space="preserve">(along the Midland Highway). </w:t>
      </w:r>
      <w:r w:rsidR="00A935DC" w:rsidRPr="00065AA1">
        <w:rPr>
          <w:szCs w:val="20"/>
        </w:rPr>
        <w:t xml:space="preserve">Key stakeholders in the region, such as the Hume </w:t>
      </w:r>
      <w:r w:rsidR="00A935DC" w:rsidRPr="001E40F9">
        <w:rPr>
          <w:rFonts w:cstheme="minorHAnsi"/>
          <w:szCs w:val="20"/>
        </w:rPr>
        <w:t xml:space="preserve">Regional Development Australia Committee and the Hume Regional Management Forum, support a route alignment through the </w:t>
      </w:r>
      <w:r w:rsidR="00AE2C53">
        <w:rPr>
          <w:rFonts w:cstheme="minorHAnsi"/>
          <w:szCs w:val="20"/>
        </w:rPr>
        <w:t>r</w:t>
      </w:r>
      <w:r w:rsidR="00A935DC" w:rsidRPr="001E40F9">
        <w:rPr>
          <w:rFonts w:cstheme="minorHAnsi"/>
          <w:szCs w:val="20"/>
        </w:rPr>
        <w:t>egion and associated stations.</w:t>
      </w:r>
    </w:p>
    <w:p w:rsidR="001E6B61" w:rsidRDefault="007536C0">
      <w:pPr>
        <w:pStyle w:val="bt"/>
        <w:spacing w:after="120"/>
        <w:rPr>
          <w:rStyle w:val="Strong"/>
        </w:rPr>
      </w:pPr>
      <w:r w:rsidRPr="007536C0">
        <w:rPr>
          <w:rStyle w:val="Strong"/>
        </w:rPr>
        <w:t>b)</w:t>
      </w:r>
      <w:r w:rsidRPr="007536C0">
        <w:rPr>
          <w:rStyle w:val="Strong"/>
        </w:rPr>
        <w:tab/>
        <w:t>Local roads</w:t>
      </w:r>
    </w:p>
    <w:p w:rsidR="001E6B61" w:rsidRDefault="00A935DC">
      <w:pPr>
        <w:pStyle w:val="bt"/>
        <w:spacing w:before="120"/>
        <w:rPr>
          <w:rFonts w:cstheme="minorHAnsi"/>
          <w:szCs w:val="20"/>
        </w:rPr>
      </w:pPr>
      <w:r w:rsidRPr="001E40F9">
        <w:rPr>
          <w:rFonts w:cstheme="minorHAnsi"/>
          <w:szCs w:val="20"/>
        </w:rPr>
        <w:t xml:space="preserve">Local roads in the region are part of the regional transport network, providing connectivity within and between settlements. </w:t>
      </w:r>
    </w:p>
    <w:p w:rsidR="001E6B61" w:rsidRDefault="007536C0">
      <w:pPr>
        <w:pStyle w:val="bt"/>
        <w:spacing w:after="120"/>
        <w:rPr>
          <w:rStyle w:val="Strong"/>
        </w:rPr>
      </w:pPr>
      <w:r w:rsidRPr="007536C0">
        <w:rPr>
          <w:rStyle w:val="Strong"/>
        </w:rPr>
        <w:t>c)</w:t>
      </w:r>
      <w:r w:rsidRPr="007536C0">
        <w:rPr>
          <w:rStyle w:val="Strong"/>
        </w:rPr>
        <w:tab/>
        <w:t>Airports</w:t>
      </w:r>
    </w:p>
    <w:p w:rsidR="001E6B61" w:rsidRDefault="001E40F9">
      <w:pPr>
        <w:pStyle w:val="bt"/>
        <w:spacing w:before="120"/>
        <w:rPr>
          <w:rFonts w:cstheme="minorHAnsi"/>
          <w:szCs w:val="20"/>
        </w:rPr>
      </w:pPr>
      <w:r w:rsidRPr="001E40F9">
        <w:rPr>
          <w:rFonts w:cstheme="minorHAnsi"/>
          <w:szCs w:val="20"/>
        </w:rPr>
        <w:t xml:space="preserve">Several airports serve the </w:t>
      </w:r>
      <w:r w:rsidR="000A07E9">
        <w:rPr>
          <w:rFonts w:cstheme="minorHAnsi"/>
          <w:szCs w:val="20"/>
        </w:rPr>
        <w:t>r</w:t>
      </w:r>
      <w:r w:rsidRPr="001E40F9">
        <w:rPr>
          <w:rFonts w:cstheme="minorHAnsi"/>
          <w:szCs w:val="20"/>
        </w:rPr>
        <w:t xml:space="preserve">egion but only Albury </w:t>
      </w:r>
      <w:r w:rsidR="00D0219D">
        <w:rPr>
          <w:rFonts w:cstheme="minorHAnsi"/>
          <w:szCs w:val="20"/>
        </w:rPr>
        <w:t>A</w:t>
      </w:r>
      <w:r w:rsidRPr="001E40F9">
        <w:rPr>
          <w:rFonts w:cstheme="minorHAnsi"/>
          <w:szCs w:val="20"/>
        </w:rPr>
        <w:t xml:space="preserve">irport in New South Wales has regular commercial flights to Melbourne and Sydney, through providers such as Rex, QantasLink and Virgin. Mangalore </w:t>
      </w:r>
      <w:r w:rsidR="00D0219D">
        <w:rPr>
          <w:rFonts w:cstheme="minorHAnsi"/>
          <w:szCs w:val="20"/>
        </w:rPr>
        <w:t>A</w:t>
      </w:r>
      <w:r w:rsidRPr="001E40F9">
        <w:rPr>
          <w:rFonts w:cstheme="minorHAnsi"/>
          <w:szCs w:val="20"/>
        </w:rPr>
        <w:t>irport, which has dual all-weather runways, modern navigation facilities and lighting, is used for general aviation and pilot training. Shepparton and Wangaratta airports have resident flying clubs and Benalla is the headquarters of the Gliding Club of Victoria.</w:t>
      </w:r>
    </w:p>
    <w:p w:rsidR="000A07E9" w:rsidRDefault="001E40F9">
      <w:pPr>
        <w:pStyle w:val="bt"/>
        <w:rPr>
          <w:rFonts w:cstheme="minorHAnsi"/>
          <w:szCs w:val="20"/>
        </w:rPr>
      </w:pPr>
      <w:r w:rsidRPr="001E40F9">
        <w:rPr>
          <w:rFonts w:cstheme="minorHAnsi"/>
          <w:szCs w:val="20"/>
        </w:rPr>
        <w:t>M</w:t>
      </w:r>
      <w:r w:rsidR="00D0219D">
        <w:rPr>
          <w:rFonts w:cstheme="minorHAnsi"/>
          <w:szCs w:val="20"/>
        </w:rPr>
        <w:t>oun</w:t>
      </w:r>
      <w:r w:rsidRPr="001E40F9">
        <w:rPr>
          <w:rFonts w:cstheme="minorHAnsi"/>
          <w:szCs w:val="20"/>
        </w:rPr>
        <w:t xml:space="preserve">t Hotham </w:t>
      </w:r>
      <w:r w:rsidR="00D0219D">
        <w:rPr>
          <w:rFonts w:cstheme="minorHAnsi"/>
          <w:szCs w:val="20"/>
        </w:rPr>
        <w:t>A</w:t>
      </w:r>
      <w:r w:rsidRPr="001E40F9">
        <w:rPr>
          <w:rFonts w:cstheme="minorHAnsi"/>
          <w:szCs w:val="20"/>
        </w:rPr>
        <w:t>irport is used for charter flights bringing visitors to the snowfields. It is located 20 kilometres from Hotham Heights and 10 kilometres from Dinner Plain and is the closest airport to a major snow resort in Australia. QantasLink provides services to and from Sydney during the ski season and a number of companies offer executive charter flights from Melbourne. The airport is open all year round.</w:t>
      </w:r>
    </w:p>
    <w:p w:rsidR="007A143F" w:rsidRDefault="001E40F9">
      <w:pPr>
        <w:pStyle w:val="bt"/>
        <w:rPr>
          <w:rFonts w:cstheme="minorHAnsi"/>
          <w:szCs w:val="20"/>
        </w:rPr>
      </w:pPr>
      <w:r w:rsidRPr="001E40F9">
        <w:rPr>
          <w:rFonts w:cstheme="minorHAnsi"/>
          <w:szCs w:val="20"/>
        </w:rPr>
        <w:t xml:space="preserve">Towong Shire is currently developing a strategic plan for Corryong </w:t>
      </w:r>
      <w:r w:rsidR="00D0219D">
        <w:rPr>
          <w:rFonts w:cstheme="minorHAnsi"/>
          <w:szCs w:val="20"/>
        </w:rPr>
        <w:t>A</w:t>
      </w:r>
      <w:r w:rsidRPr="001E40F9">
        <w:rPr>
          <w:rFonts w:cstheme="minorHAnsi"/>
          <w:szCs w:val="20"/>
        </w:rPr>
        <w:t>irport, in an effort to attract aviation</w:t>
      </w:r>
      <w:r w:rsidR="00D0219D">
        <w:rPr>
          <w:rFonts w:cstheme="minorHAnsi"/>
          <w:szCs w:val="20"/>
        </w:rPr>
        <w:t>-</w:t>
      </w:r>
      <w:r w:rsidRPr="001E40F9">
        <w:rPr>
          <w:rFonts w:cstheme="minorHAnsi"/>
          <w:szCs w:val="20"/>
        </w:rPr>
        <w:t>related developments. Other airports include Mount Beauty, Porepunkah, Puckapunyal, Yarrawonga and the additional private airports of Locksley Field and Mansfield. Each airport falls under the national airports safeguarding framework outlined above.</w:t>
      </w:r>
    </w:p>
    <w:p w:rsidR="001E6B61" w:rsidRDefault="00AD026D">
      <w:pPr>
        <w:pStyle w:val="Heading2"/>
        <w:tabs>
          <w:tab w:val="clear" w:pos="396"/>
          <w:tab w:val="clear" w:pos="851"/>
        </w:tabs>
        <w:spacing w:before="240"/>
        <w:ind w:left="851" w:hanging="851"/>
      </w:pPr>
      <w:bookmarkStart w:id="447" w:name="_Toc355970851"/>
      <w:bookmarkStart w:id="448" w:name="_Toc359422997"/>
      <w:bookmarkStart w:id="449" w:name="_Toc374612498"/>
      <w:r>
        <w:t xml:space="preserve">Guiding </w:t>
      </w:r>
      <w:r w:rsidR="00D0219D">
        <w:t>f</w:t>
      </w:r>
      <w:r>
        <w:t xml:space="preserve">uture </w:t>
      </w:r>
      <w:r w:rsidR="00D0219D">
        <w:t>t</w:t>
      </w:r>
      <w:r>
        <w:t xml:space="preserve">ransport </w:t>
      </w:r>
      <w:r w:rsidR="00D0219D">
        <w:t>o</w:t>
      </w:r>
      <w:r>
        <w:t>pportunities</w:t>
      </w:r>
      <w:bookmarkEnd w:id="447"/>
      <w:bookmarkEnd w:id="448"/>
      <w:bookmarkEnd w:id="449"/>
    </w:p>
    <w:p w:rsidR="007A143F" w:rsidRDefault="001E40F9">
      <w:pPr>
        <w:pStyle w:val="bt"/>
      </w:pPr>
      <w:r w:rsidRPr="001E40F9">
        <w:t>The transport requirements for movement of freight and people are different. Enhancing and building on existing infrastructure is important to ensure access and connectivity</w:t>
      </w:r>
      <w:r w:rsidR="00472E73">
        <w:t xml:space="preserve"> for both people and freight</w:t>
      </w:r>
      <w:r w:rsidRPr="001E40F9">
        <w:t xml:space="preserve">. The </w:t>
      </w:r>
      <w:r w:rsidR="000A07E9">
        <w:t>plan</w:t>
      </w:r>
      <w:r w:rsidR="000A07E9" w:rsidRPr="001E40F9">
        <w:t xml:space="preserve"> </w:t>
      </w:r>
      <w:r w:rsidRPr="001E40F9">
        <w:t>includes future directions for transport, which are supported by the information below.</w:t>
      </w:r>
    </w:p>
    <w:p w:rsidR="001E40F9" w:rsidRPr="00045DB3" w:rsidRDefault="001E40F9" w:rsidP="00A41B2E">
      <w:pPr>
        <w:pStyle w:val="Heading3"/>
        <w:numPr>
          <w:ilvl w:val="2"/>
          <w:numId w:val="15"/>
        </w:numPr>
        <w:tabs>
          <w:tab w:val="clear" w:pos="720"/>
          <w:tab w:val="clear" w:pos="900"/>
        </w:tabs>
        <w:ind w:left="851" w:hanging="851"/>
      </w:pPr>
      <w:bookmarkStart w:id="450" w:name="_Toc355970852"/>
      <w:bookmarkStart w:id="451" w:name="_Toc359422998"/>
      <w:bookmarkStart w:id="452" w:name="_Toc374612499"/>
      <w:r w:rsidRPr="001E40F9">
        <w:t>Network capacity</w:t>
      </w:r>
      <w:bookmarkEnd w:id="450"/>
      <w:bookmarkEnd w:id="451"/>
      <w:bookmarkEnd w:id="452"/>
    </w:p>
    <w:p w:rsidR="007A143F" w:rsidRDefault="001E40F9">
      <w:pPr>
        <w:pStyle w:val="bt"/>
      </w:pPr>
      <w:r w:rsidRPr="00043F00">
        <w:t>As key settlements such as Shepparton and Wodonga grow, traffic congestion may need to be mitigated.</w:t>
      </w:r>
      <w:r w:rsidR="0012360C">
        <w:t xml:space="preserve"> </w:t>
      </w:r>
      <w:r w:rsidRPr="00043F00">
        <w:t xml:space="preserve">Good walking and cycling networks </w:t>
      </w:r>
      <w:r w:rsidR="00D0219D" w:rsidRPr="00043F00">
        <w:t>will provide alternatives to car use</w:t>
      </w:r>
      <w:r w:rsidR="00D0219D">
        <w:t xml:space="preserve">, </w:t>
      </w:r>
      <w:r w:rsidRPr="00043F00">
        <w:t xml:space="preserve">providing access to and from developments into key employment nodes.  Improved public transport access within urban centres could also play a role </w:t>
      </w:r>
      <w:r w:rsidR="003D4DF3">
        <w:t xml:space="preserve">in </w:t>
      </w:r>
      <w:r w:rsidRPr="00043F00">
        <w:t>reducing car dependency and mitigating traffic impacts.</w:t>
      </w:r>
    </w:p>
    <w:p w:rsidR="007A143F" w:rsidRDefault="004C1A71">
      <w:pPr>
        <w:pStyle w:val="bt"/>
      </w:pPr>
      <w:r w:rsidRPr="00043F00">
        <w:t xml:space="preserve">The Hume road and rail freight corridors provide opportunities to capitalise on the </w:t>
      </w:r>
      <w:r w:rsidR="00AE2C53">
        <w:t>r</w:t>
      </w:r>
      <w:r w:rsidRPr="00043F00">
        <w:t xml:space="preserve">egion’s locational advantages to increase economic development and employment. Benalla Rural City Council has zoned land close to the corridor for an employment hub. The location of Seymour at the junction </w:t>
      </w:r>
      <w:r w:rsidR="00F827BE">
        <w:t xml:space="preserve">of </w:t>
      </w:r>
      <w:r w:rsidRPr="00043F00">
        <w:t xml:space="preserve">road and rail transport corridors makes </w:t>
      </w:r>
      <w:r w:rsidR="00F827BE">
        <w:t>it</w:t>
      </w:r>
      <w:r w:rsidRPr="00043F00">
        <w:t xml:space="preserve"> an ideal place to develop a new freight and logistics precinct.</w:t>
      </w:r>
    </w:p>
    <w:p w:rsidR="007A143F" w:rsidRDefault="00D2269B">
      <w:pPr>
        <w:pStyle w:val="bt"/>
      </w:pPr>
      <w:r>
        <w:t>While</w:t>
      </w:r>
      <w:r w:rsidR="004C1A71" w:rsidRPr="00043F00">
        <w:t xml:space="preserve"> the region’s two key transport corridors are critical for north</w:t>
      </w:r>
      <w:r w:rsidR="008C7CE6">
        <w:t>-</w:t>
      </w:r>
      <w:r w:rsidR="004C1A71" w:rsidRPr="00043F00">
        <w:t>south orientation there is a lack of regional east</w:t>
      </w:r>
      <w:r w:rsidR="008C7CE6">
        <w:t>-</w:t>
      </w:r>
      <w:r w:rsidR="004C1A71" w:rsidRPr="00043F00">
        <w:t>west links. The key east</w:t>
      </w:r>
      <w:r w:rsidR="008C7CE6">
        <w:t>-</w:t>
      </w:r>
      <w:r w:rsidR="004C1A71" w:rsidRPr="00043F00">
        <w:t>west link along the Murray Valley Highway has opportunities for improvements, such as the proposed Strathmerton deviation, to enhance its freight-carrying capacity.</w:t>
      </w:r>
    </w:p>
    <w:p w:rsidR="001E6B61" w:rsidRDefault="001E40F9" w:rsidP="00A41B2E">
      <w:pPr>
        <w:pStyle w:val="Heading3"/>
        <w:numPr>
          <w:ilvl w:val="2"/>
          <w:numId w:val="15"/>
        </w:numPr>
        <w:tabs>
          <w:tab w:val="clear" w:pos="720"/>
          <w:tab w:val="clear" w:pos="900"/>
        </w:tabs>
        <w:spacing w:before="240"/>
        <w:ind w:left="851" w:hanging="851"/>
      </w:pPr>
      <w:bookmarkStart w:id="453" w:name="_Toc355970853"/>
      <w:bookmarkStart w:id="454" w:name="_Toc359422999"/>
      <w:bookmarkStart w:id="455" w:name="_Toc374612500"/>
      <w:r w:rsidRPr="001E40F9">
        <w:t>Access and connectivity</w:t>
      </w:r>
      <w:bookmarkEnd w:id="453"/>
      <w:bookmarkEnd w:id="454"/>
      <w:bookmarkEnd w:id="455"/>
    </w:p>
    <w:p w:rsidR="007A143F" w:rsidRDefault="004C1A71">
      <w:pPr>
        <w:pStyle w:val="bt"/>
      </w:pPr>
      <w:r w:rsidRPr="00043F00">
        <w:t xml:space="preserve">Future transport planning needs to ensure freight access for commodities currently produced in the region, as well as potential new commodities. Creating a network of logistics precincts, such as LOGIC freight activity centre in Wodonga, would increase opportunities for the carriage and distribution of freight along the Hume corridor. Linkages to the Goulburn Valley corridor from new concentrations of economic activity, such as GV Link, will provide access for commodities in </w:t>
      </w:r>
      <w:r w:rsidR="008C7CE6">
        <w:t xml:space="preserve">the </w:t>
      </w:r>
      <w:r w:rsidRPr="00043F00">
        <w:t xml:space="preserve">future. Freight and logistics precincts in the region form part of a national network including </w:t>
      </w:r>
      <w:r w:rsidR="00D359DD">
        <w:t>existing precincts</w:t>
      </w:r>
      <w:r w:rsidRPr="00043F00">
        <w:t xml:space="preserve"> at Ettamogah and Tocumwal in New South Wales</w:t>
      </w:r>
      <w:r w:rsidR="00D359DD">
        <w:t xml:space="preserve"> which also serve the region</w:t>
      </w:r>
      <w:r w:rsidRPr="00043F00">
        <w:t>.</w:t>
      </w:r>
    </w:p>
    <w:p w:rsidR="007A143F" w:rsidRDefault="001E40F9">
      <w:pPr>
        <w:pStyle w:val="bt"/>
      </w:pPr>
      <w:r w:rsidRPr="00043F00">
        <w:t xml:space="preserve">The </w:t>
      </w:r>
      <w:r w:rsidR="000A07E9">
        <w:t>r</w:t>
      </w:r>
      <w:r w:rsidRPr="00043F00">
        <w:t xml:space="preserve">egion’s transport network provides for accessible cross-border connections to New South Wales. These connections will be crucial in </w:t>
      </w:r>
      <w:r w:rsidR="008C7CE6">
        <w:t xml:space="preserve">the </w:t>
      </w:r>
      <w:r w:rsidRPr="00043F00">
        <w:t xml:space="preserve">future as they will provide access to employment and a range of services and facilities </w:t>
      </w:r>
      <w:r w:rsidR="008C7CE6" w:rsidRPr="00043F00">
        <w:t>for people in both states</w:t>
      </w:r>
      <w:r w:rsidR="00D97189">
        <w:t>,</w:t>
      </w:r>
      <w:r w:rsidR="008C7CE6" w:rsidRPr="00043F00">
        <w:t xml:space="preserve"> </w:t>
      </w:r>
      <w:r w:rsidRPr="00043F00">
        <w:t xml:space="preserve">such as health and education. The strength of these cross-border relationships is demonstrated by a reciprocal agreement between Wodonga and Albury </w:t>
      </w:r>
      <w:r w:rsidR="008C7CE6">
        <w:t xml:space="preserve">to </w:t>
      </w:r>
      <w:r w:rsidRPr="00043F00">
        <w:t>shar</w:t>
      </w:r>
      <w:r w:rsidR="008C7CE6">
        <w:t>e</w:t>
      </w:r>
      <w:r w:rsidRPr="00043F00">
        <w:t xml:space="preserve"> services such as health.</w:t>
      </w:r>
    </w:p>
    <w:p w:rsidR="007A143F" w:rsidRDefault="00472E73">
      <w:pPr>
        <w:pStyle w:val="bt"/>
      </w:pPr>
      <w:r w:rsidRPr="00043F00">
        <w:t xml:space="preserve">Services in adjoining regions, such as the soon to be re-developed Bendigo </w:t>
      </w:r>
      <w:r w:rsidR="008C7CE6">
        <w:t>H</w:t>
      </w:r>
      <w:r w:rsidRPr="00043F00">
        <w:t>ospital, may provide a future opportunity for people to travel from Hume to the Loddon Mallee region to access these services. Inter-regional connections will be critical as the population changes and larger centres</w:t>
      </w:r>
      <w:r w:rsidR="00D97189">
        <w:t>,</w:t>
      </w:r>
      <w:r w:rsidRPr="00043F00">
        <w:t xml:space="preserve"> such as Shepparton and Wodonga</w:t>
      </w:r>
      <w:r w:rsidR="00D97189">
        <w:t>,</w:t>
      </w:r>
      <w:r w:rsidRPr="00043F00">
        <w:t xml:space="preserve"> enhance their current services and facilities, attracting people from within and outside the region.</w:t>
      </w:r>
    </w:p>
    <w:p w:rsidR="007A143F" w:rsidRDefault="001E40F9">
      <w:pPr>
        <w:pStyle w:val="bt"/>
      </w:pPr>
      <w:r w:rsidRPr="00043F00">
        <w:t xml:space="preserve">The </w:t>
      </w:r>
      <w:r w:rsidR="000A07E9">
        <w:t>r</w:t>
      </w:r>
      <w:r w:rsidRPr="00043F00">
        <w:t>egion has a number of smaller settlements that provide services and facilities for rural communities. Larger urban centres such as Shepparton, Wodonga, Wangaratta and Benalla provide these smaller settlements with access to high-order services and facilities including transport, for example</w:t>
      </w:r>
      <w:r w:rsidR="00D97189">
        <w:t>,</w:t>
      </w:r>
      <w:r w:rsidRPr="00043F00">
        <w:t xml:space="preserve"> train services to Melbourne or Sydney. Smaller settlements in New South Wales, such as Deniliquin, rely on the services and facilities that Victoria offers and will require access and connectivity across the border.</w:t>
      </w:r>
      <w:r w:rsidR="00472E73" w:rsidRPr="00472E73">
        <w:t xml:space="preserve"> </w:t>
      </w:r>
      <w:r w:rsidR="00472E73" w:rsidRPr="00043F00">
        <w:t xml:space="preserve">Some smaller towns are not earmarked in the </w:t>
      </w:r>
      <w:r w:rsidR="000A07E9">
        <w:t>plan</w:t>
      </w:r>
      <w:r w:rsidR="000A07E9" w:rsidRPr="00043F00">
        <w:t xml:space="preserve"> </w:t>
      </w:r>
      <w:r w:rsidR="00472E73" w:rsidRPr="00043F00">
        <w:t>to experience significant growth and some may even decline into the future. Efficient and well</w:t>
      </w:r>
      <w:r w:rsidR="00D97189">
        <w:t xml:space="preserve"> </w:t>
      </w:r>
      <w:r w:rsidR="00472E73" w:rsidRPr="00043F00">
        <w:t>maintained transport links between the region’s small towns and larger centres will be important to ensure access to a full range of services.</w:t>
      </w:r>
    </w:p>
    <w:p w:rsidR="001E6B61" w:rsidRDefault="001E40F9" w:rsidP="00A41B2E">
      <w:pPr>
        <w:pStyle w:val="Heading3"/>
        <w:numPr>
          <w:ilvl w:val="2"/>
          <w:numId w:val="15"/>
        </w:numPr>
        <w:tabs>
          <w:tab w:val="clear" w:pos="720"/>
          <w:tab w:val="clear" w:pos="900"/>
        </w:tabs>
        <w:spacing w:before="240"/>
        <w:ind w:left="851" w:hanging="851"/>
      </w:pPr>
      <w:bookmarkStart w:id="456" w:name="_Toc355970854"/>
      <w:bookmarkStart w:id="457" w:name="_Toc359423000"/>
      <w:bookmarkStart w:id="458" w:name="_Toc374612501"/>
      <w:r w:rsidRPr="00045DB3">
        <w:rPr>
          <w:rStyle w:val="Heading3Char"/>
          <w:rFonts w:eastAsiaTheme="minorHAnsi"/>
        </w:rPr>
        <w:t>A safe, reliable and resilient network</w:t>
      </w:r>
      <w:bookmarkEnd w:id="456"/>
      <w:bookmarkEnd w:id="457"/>
      <w:bookmarkEnd w:id="458"/>
    </w:p>
    <w:p w:rsidR="007A143F" w:rsidRDefault="001E40F9">
      <w:pPr>
        <w:pStyle w:val="bt"/>
      </w:pPr>
      <w:r w:rsidRPr="00043F00">
        <w:t>Ensuring access to places such as Albury and Melbourne airports will be essential for people travelling interstate and further afield. Connections into Melbourne will also provide business opportunities.</w:t>
      </w:r>
    </w:p>
    <w:p w:rsidR="007A143F" w:rsidRDefault="001E40F9">
      <w:pPr>
        <w:pStyle w:val="bt"/>
      </w:pPr>
      <w:r w:rsidRPr="00043F00">
        <w:t>Ease of access</w:t>
      </w:r>
      <w:r w:rsidR="008C7CE6">
        <w:t>,</w:t>
      </w:r>
      <w:r w:rsidRPr="00043F00">
        <w:t xml:space="preserve"> allowing for the development of a thriving tourism industry</w:t>
      </w:r>
      <w:r w:rsidR="008C7CE6">
        <w:t>,</w:t>
      </w:r>
      <w:r w:rsidRPr="00043F00">
        <w:t xml:space="preserve"> will contribute to economic development. Enhancing and further developing the cycling network will increase the </w:t>
      </w:r>
      <w:r w:rsidR="00AE2C53">
        <w:t>r</w:t>
      </w:r>
      <w:r w:rsidRPr="00043F00">
        <w:t>egion’s attraction to a growing tourist segment.</w:t>
      </w:r>
    </w:p>
    <w:p w:rsidR="001E6B61" w:rsidRDefault="004C1A71">
      <w:pPr>
        <w:pStyle w:val="bt"/>
        <w:spacing w:after="120"/>
      </w:pPr>
      <w:r w:rsidRPr="00043F00">
        <w:t xml:space="preserve">The </w:t>
      </w:r>
      <w:r w:rsidR="000A07E9">
        <w:t>r</w:t>
      </w:r>
      <w:r w:rsidRPr="00043F00">
        <w:t>egion’s rural areas contain a wide range of businesses that depend on the local road network to collect and distribute their products. Heavy vehicles already cause problems for the maintenance of local roads. With the advent of larger</w:t>
      </w:r>
      <w:r w:rsidR="002967F4">
        <w:t>,</w:t>
      </w:r>
      <w:r w:rsidRPr="00043F00">
        <w:t xml:space="preserve"> heavier trucks and increasing farm output per unit, </w:t>
      </w:r>
      <w:r w:rsidR="00A72794">
        <w:t xml:space="preserve">use of the </w:t>
      </w:r>
      <w:r w:rsidRPr="00043F00">
        <w:t xml:space="preserve">local road </w:t>
      </w:r>
      <w:r w:rsidR="00A72794">
        <w:t xml:space="preserve">network </w:t>
      </w:r>
      <w:r w:rsidR="00A72794" w:rsidRPr="00043F00">
        <w:t>may</w:t>
      </w:r>
      <w:r w:rsidRPr="00043F00">
        <w:t xml:space="preserve"> need to be reviewed in order to provide for continued freight access. The Municipal Association of Victoria is piloting a project in the </w:t>
      </w:r>
      <w:r w:rsidR="000A07E9">
        <w:t>r</w:t>
      </w:r>
      <w:r w:rsidRPr="00043F00">
        <w:t>egion that is examining the issue of heavy vehicle access to local roads and developing guidelines for freight carried on these networks.</w:t>
      </w:r>
    </w:p>
    <w:p w:rsidR="007A143F" w:rsidRDefault="004C1A71">
      <w:pPr>
        <w:pStyle w:val="bt"/>
      </w:pPr>
      <w:r w:rsidRPr="00043F00">
        <w:t xml:space="preserve">Transport safety is a key consideration, particularly given the number of accidents that </w:t>
      </w:r>
      <w:r w:rsidR="002967F4">
        <w:t xml:space="preserve">took </w:t>
      </w:r>
      <w:r w:rsidRPr="00043F00">
        <w:t>place in late 2012. The transport network will need to be well maintained and other safety initiatives will need to be developed and implemented.</w:t>
      </w:r>
    </w:p>
    <w:p w:rsidR="004C1A71" w:rsidRPr="00045DB3" w:rsidRDefault="004C1A71" w:rsidP="00A41B2E">
      <w:pPr>
        <w:pStyle w:val="Heading3"/>
        <w:numPr>
          <w:ilvl w:val="2"/>
          <w:numId w:val="15"/>
        </w:numPr>
        <w:tabs>
          <w:tab w:val="clear" w:pos="720"/>
          <w:tab w:val="clear" w:pos="900"/>
        </w:tabs>
        <w:ind w:left="851" w:hanging="851"/>
      </w:pPr>
      <w:bookmarkStart w:id="459" w:name="_Toc355970855"/>
      <w:bookmarkStart w:id="460" w:name="_Toc359423001"/>
      <w:bookmarkStart w:id="461" w:name="_Toc374612502"/>
      <w:r w:rsidRPr="00045DB3">
        <w:rPr>
          <w:rStyle w:val="Heading3Char"/>
          <w:rFonts w:eastAsiaTheme="minorHAnsi"/>
        </w:rPr>
        <w:t>Freight and logistics precincts</w:t>
      </w:r>
      <w:bookmarkEnd w:id="459"/>
      <w:bookmarkEnd w:id="460"/>
      <w:bookmarkEnd w:id="461"/>
    </w:p>
    <w:p w:rsidR="007A143F" w:rsidRDefault="004C1A71">
      <w:pPr>
        <w:pStyle w:val="bt"/>
      </w:pPr>
      <w:r w:rsidRPr="00E75F44">
        <w:t>There are freight</w:t>
      </w:r>
      <w:r w:rsidR="00A72794">
        <w:t xml:space="preserve"> and</w:t>
      </w:r>
      <w:r w:rsidRPr="00E75F44">
        <w:t xml:space="preserve"> logistics precincts in Shepparton and Wodonga and a further precinct could be developed in </w:t>
      </w:r>
      <w:r w:rsidR="002967F4">
        <w:t xml:space="preserve">the </w:t>
      </w:r>
      <w:r w:rsidRPr="00E75F44">
        <w:t xml:space="preserve">future at the southern end of the </w:t>
      </w:r>
      <w:r w:rsidR="00AE2C53">
        <w:t>r</w:t>
      </w:r>
      <w:r w:rsidRPr="00E75F44">
        <w:t xml:space="preserve">egion. Beveridge–Donnybrook could be a potential location for a </w:t>
      </w:r>
      <w:r w:rsidR="00A72794">
        <w:t xml:space="preserve">new </w:t>
      </w:r>
      <w:r w:rsidRPr="00E75F44">
        <w:t>freight</w:t>
      </w:r>
      <w:r w:rsidR="00A72794">
        <w:t xml:space="preserve"> and logistics precinct</w:t>
      </w:r>
      <w:r w:rsidR="005E3C67">
        <w:t>.</w:t>
      </w:r>
    </w:p>
    <w:p w:rsidR="000A07E9" w:rsidRDefault="004C1A71">
      <w:pPr>
        <w:pStyle w:val="bt"/>
        <w:rPr>
          <w:color w:val="000000"/>
        </w:rPr>
      </w:pPr>
      <w:r w:rsidRPr="00E75F44">
        <w:t xml:space="preserve">Mangalore </w:t>
      </w:r>
      <w:r w:rsidR="002967F4">
        <w:t>A</w:t>
      </w:r>
      <w:r w:rsidRPr="00E75F44">
        <w:t>irport is relatively close to Beveridge</w:t>
      </w:r>
      <w:r w:rsidR="00F827BE">
        <w:t>-</w:t>
      </w:r>
      <w:r w:rsidRPr="00E75F44">
        <w:t xml:space="preserve">Donnybrook at the convergence of the Goulburn Valley Highway and Hume Freeway. It is also close to the intersection of the broad gauge and standard gauge railway tracks. Mangalore </w:t>
      </w:r>
      <w:r w:rsidR="002967F4">
        <w:t>A</w:t>
      </w:r>
      <w:r w:rsidRPr="00E75F44">
        <w:t xml:space="preserve">irport </w:t>
      </w:r>
      <w:r w:rsidR="00805170">
        <w:t>could</w:t>
      </w:r>
      <w:r w:rsidR="00805170" w:rsidRPr="00E75F44">
        <w:t xml:space="preserve"> </w:t>
      </w:r>
      <w:r w:rsidRPr="00E75F44">
        <w:t xml:space="preserve">accommodate aircraft the size of a Boeing 737 and has </w:t>
      </w:r>
      <w:r w:rsidR="00F827BE">
        <w:t xml:space="preserve">the </w:t>
      </w:r>
      <w:r w:rsidRPr="00E75F44">
        <w:t>potential to be a gateway to and from Melbourne, providing distribution facilities for freight.</w:t>
      </w:r>
      <w:r w:rsidRPr="00E75F44">
        <w:rPr>
          <w:color w:val="000000"/>
        </w:rPr>
        <w:t xml:space="preserve"> </w:t>
      </w:r>
      <w:r w:rsidR="002967F4">
        <w:rPr>
          <w:color w:val="000000"/>
        </w:rPr>
        <w:t xml:space="preserve">The </w:t>
      </w:r>
      <w:r w:rsidRPr="00E75F44">
        <w:rPr>
          <w:color w:val="000000"/>
        </w:rPr>
        <w:t>airport’s existing facilities are under-utilised and have capacity for expansion. It has a long bitumen</w:t>
      </w:r>
      <w:r w:rsidR="00D97189">
        <w:rPr>
          <w:color w:val="000000"/>
        </w:rPr>
        <w:t xml:space="preserve"> </w:t>
      </w:r>
      <w:r w:rsidRPr="00E75F44">
        <w:rPr>
          <w:color w:val="000000"/>
        </w:rPr>
        <w:t xml:space="preserve">sealed runway and a shorter cross-wind runway that </w:t>
      </w:r>
      <w:r w:rsidR="00805170" w:rsidRPr="00E75F44">
        <w:rPr>
          <w:color w:val="000000"/>
        </w:rPr>
        <w:t>c</w:t>
      </w:r>
      <w:r w:rsidR="00805170">
        <w:rPr>
          <w:color w:val="000000"/>
        </w:rPr>
        <w:t>ould</w:t>
      </w:r>
      <w:r w:rsidR="00805170" w:rsidRPr="00E75F44">
        <w:rPr>
          <w:color w:val="000000"/>
        </w:rPr>
        <w:t xml:space="preserve"> </w:t>
      </w:r>
      <w:r w:rsidRPr="00E75F44">
        <w:rPr>
          <w:color w:val="000000"/>
        </w:rPr>
        <w:t xml:space="preserve">accommodate large military, freight transport and passenger aircraft. It provides facilities for an operational flying school, general aviation and helicopters. </w:t>
      </w:r>
    </w:p>
    <w:p w:rsidR="007A143F" w:rsidRDefault="004C1A71">
      <w:pPr>
        <w:pStyle w:val="bt"/>
      </w:pPr>
      <w:r w:rsidRPr="00E75F44">
        <w:rPr>
          <w:color w:val="000000"/>
        </w:rPr>
        <w:t>The</w:t>
      </w:r>
      <w:r w:rsidR="000A07E9">
        <w:rPr>
          <w:color w:val="000000"/>
        </w:rPr>
        <w:t xml:space="preserve"> </w:t>
      </w:r>
      <w:r w:rsidR="000A07E9" w:rsidRPr="00E75F44">
        <w:t>Mangalore</w:t>
      </w:r>
      <w:r w:rsidRPr="00E75F44">
        <w:rPr>
          <w:color w:val="000000"/>
        </w:rPr>
        <w:t xml:space="preserve"> </w:t>
      </w:r>
      <w:r w:rsidR="000A07E9">
        <w:rPr>
          <w:color w:val="000000"/>
        </w:rPr>
        <w:t>A</w:t>
      </w:r>
      <w:r w:rsidR="000A07E9" w:rsidRPr="00E75F44">
        <w:rPr>
          <w:color w:val="000000"/>
        </w:rPr>
        <w:t xml:space="preserve">irport </w:t>
      </w:r>
      <w:r w:rsidRPr="00E75F44">
        <w:rPr>
          <w:color w:val="000000"/>
        </w:rPr>
        <w:t xml:space="preserve">was once used as a backup to </w:t>
      </w:r>
      <w:r w:rsidR="00805170">
        <w:rPr>
          <w:color w:val="000000"/>
        </w:rPr>
        <w:t>Essendon</w:t>
      </w:r>
      <w:r w:rsidRPr="00E75F44">
        <w:rPr>
          <w:color w:val="000000"/>
        </w:rPr>
        <w:t xml:space="preserve"> Airport when passenger aircraft had to be diverted due to weather or operational conditions. </w:t>
      </w:r>
      <w:r w:rsidRPr="00E75F44">
        <w:t xml:space="preserve">Wider opportunities exist </w:t>
      </w:r>
      <w:r w:rsidR="002967F4">
        <w:t>at</w:t>
      </w:r>
      <w:r w:rsidRPr="00E75F44">
        <w:t xml:space="preserve"> Mangalore </w:t>
      </w:r>
      <w:r w:rsidR="002967F4">
        <w:t xml:space="preserve">Airport </w:t>
      </w:r>
      <w:r w:rsidRPr="00E75F44">
        <w:t xml:space="preserve">to provide a gateway into the </w:t>
      </w:r>
      <w:r w:rsidR="000A07E9">
        <w:t>r</w:t>
      </w:r>
      <w:r w:rsidRPr="00E75F44">
        <w:t xml:space="preserve">egion and links to interstate locations such as Sydney. </w:t>
      </w:r>
      <w:r w:rsidR="002967F4">
        <w:t xml:space="preserve">The airport </w:t>
      </w:r>
      <w:r w:rsidRPr="00E75F44">
        <w:t>is privately owned but opportunities could be explored for a public–private partnership for potential future development.</w:t>
      </w:r>
    </w:p>
    <w:p w:rsidR="001E40F9" w:rsidRPr="00045DB3" w:rsidRDefault="001E40F9" w:rsidP="00A41B2E">
      <w:pPr>
        <w:pStyle w:val="Heading3"/>
        <w:numPr>
          <w:ilvl w:val="2"/>
          <w:numId w:val="15"/>
        </w:numPr>
        <w:tabs>
          <w:tab w:val="clear" w:pos="720"/>
          <w:tab w:val="clear" w:pos="900"/>
        </w:tabs>
        <w:ind w:left="851" w:hanging="851"/>
      </w:pPr>
      <w:bookmarkStart w:id="462" w:name="_Toc355970856"/>
      <w:bookmarkStart w:id="463" w:name="_Toc359423002"/>
      <w:bookmarkStart w:id="464" w:name="_Toc374612503"/>
      <w:r w:rsidRPr="00045DB3">
        <w:rPr>
          <w:rStyle w:val="Heading3Char"/>
          <w:rFonts w:eastAsiaTheme="minorHAnsi"/>
        </w:rPr>
        <w:t>Technological advancements</w:t>
      </w:r>
      <w:bookmarkEnd w:id="462"/>
      <w:bookmarkEnd w:id="463"/>
      <w:bookmarkEnd w:id="464"/>
    </w:p>
    <w:p w:rsidR="007A143F" w:rsidRDefault="001E40F9">
      <w:pPr>
        <w:pStyle w:val="bt"/>
      </w:pPr>
      <w:r w:rsidRPr="001E40F9">
        <w:t xml:space="preserve">Information and communications technology will improve in the future, </w:t>
      </w:r>
      <w:r w:rsidR="002967F4">
        <w:t xml:space="preserve">particularly with </w:t>
      </w:r>
      <w:r w:rsidRPr="001E40F9">
        <w:t xml:space="preserve">the rollout of the National Broadband Network </w:t>
      </w:r>
      <w:r w:rsidR="002967F4">
        <w:t xml:space="preserve">that will </w:t>
      </w:r>
      <w:r w:rsidRPr="001E40F9">
        <w:t>provide access to faster</w:t>
      </w:r>
      <w:r w:rsidR="002967F4">
        <w:t>,</w:t>
      </w:r>
      <w:r w:rsidRPr="001E40F9">
        <w:t xml:space="preserve"> more reliable </w:t>
      </w:r>
      <w:r w:rsidR="002967F4">
        <w:t>i</w:t>
      </w:r>
      <w:r w:rsidRPr="001E40F9">
        <w:t xml:space="preserve">nternet connections. The health and education sectors are leading the way </w:t>
      </w:r>
      <w:r w:rsidR="002967F4">
        <w:t xml:space="preserve">by </w:t>
      </w:r>
      <w:r w:rsidRPr="001E40F9">
        <w:t xml:space="preserve">allowing people to access services and facilities that were once provided in a fixed location, such as online education or monitoring of rehabilitation in the health sector. As the average </w:t>
      </w:r>
      <w:r w:rsidR="00D97189">
        <w:t>age of the population increases the</w:t>
      </w:r>
      <w:r w:rsidRPr="001E40F9">
        <w:t xml:space="preserve"> provision of outreach or distance services will become critical, particularly in rural and remote areas. This should be aided by the population’s increasing familiarity with computers and smart </w:t>
      </w:r>
      <w:r w:rsidR="00A72794">
        <w:t>devices</w:t>
      </w:r>
      <w:r w:rsidRPr="001E40F9">
        <w:t>.</w:t>
      </w:r>
    </w:p>
    <w:p w:rsidR="007A143F" w:rsidRDefault="001E40F9">
      <w:pPr>
        <w:pStyle w:val="bt"/>
      </w:pPr>
      <w:r w:rsidRPr="001E40F9">
        <w:t>Improved information and communications technology may also mean that people do not need or want to travel as far or as frequently for work or to access services and entertainment. The National Broadband Network may provide for a ‘mix and match’ style of travel and communication, such as travell</w:t>
      </w:r>
      <w:r w:rsidR="00D2269B">
        <w:t>ing on some days and using the i</w:t>
      </w:r>
      <w:r w:rsidRPr="001E40F9">
        <w:t>nternet for work or for shopping on other days.</w:t>
      </w:r>
    </w:p>
    <w:p w:rsidR="001E40F9" w:rsidRPr="00045DB3" w:rsidRDefault="001E40F9" w:rsidP="00A41B2E">
      <w:pPr>
        <w:pStyle w:val="Heading3"/>
        <w:numPr>
          <w:ilvl w:val="2"/>
          <w:numId w:val="15"/>
        </w:numPr>
        <w:tabs>
          <w:tab w:val="clear" w:pos="720"/>
          <w:tab w:val="clear" w:pos="900"/>
        </w:tabs>
        <w:ind w:left="851" w:hanging="851"/>
      </w:pPr>
      <w:bookmarkStart w:id="465" w:name="_Toc355970857"/>
      <w:bookmarkStart w:id="466" w:name="_Toc359423003"/>
      <w:bookmarkStart w:id="467" w:name="_Toc374612504"/>
      <w:r w:rsidRPr="00045DB3">
        <w:rPr>
          <w:rStyle w:val="Heading3Char"/>
          <w:rFonts w:eastAsiaTheme="minorHAnsi"/>
        </w:rPr>
        <w:t>Amenity and useability</w:t>
      </w:r>
      <w:bookmarkEnd w:id="465"/>
      <w:bookmarkEnd w:id="466"/>
      <w:bookmarkEnd w:id="467"/>
    </w:p>
    <w:p w:rsidR="007A143F" w:rsidRDefault="001E40F9" w:rsidP="001E4118">
      <w:pPr>
        <w:pStyle w:val="bt"/>
        <w:spacing w:after="120"/>
      </w:pPr>
      <w:r w:rsidRPr="001E40F9">
        <w:t xml:space="preserve">The </w:t>
      </w:r>
      <w:r w:rsidR="00AE2C53">
        <w:t>r</w:t>
      </w:r>
      <w:r w:rsidRPr="001E40F9">
        <w:t xml:space="preserve">egion has a comparatively large network of rail trails. There are also numerous boutique food and wine establishments adjacent to the rail trail network or in nearby areas. These facilities </w:t>
      </w:r>
      <w:r w:rsidR="002967F4">
        <w:t xml:space="preserve">could </w:t>
      </w:r>
      <w:r w:rsidRPr="001E40F9">
        <w:t xml:space="preserve">provide services and incentives to attract additional tourists. The </w:t>
      </w:r>
      <w:r w:rsidR="00452A06">
        <w:t>plan</w:t>
      </w:r>
      <w:r w:rsidR="00452A06" w:rsidRPr="001E40F9">
        <w:t xml:space="preserve"> </w:t>
      </w:r>
      <w:r w:rsidRPr="001E40F9">
        <w:t xml:space="preserve">recognises that planning for recreation in the region needs to consider facilities that tourists </w:t>
      </w:r>
      <w:r w:rsidR="00F827BE">
        <w:t>require</w:t>
      </w:r>
      <w:r w:rsidRPr="001E40F9">
        <w:t xml:space="preserve"> as they travel to or through the region. Enhancing these facilities may help persuade more long-distance travellers to stop and enjoy what the region has to offer. Attractions such as the alpine areas and snowfields would benefit from improved and more integrated transport services to ensure their tourism function continues and thrives into the future.</w:t>
      </w:r>
    </w:p>
    <w:p w:rsidR="00E75F44" w:rsidRPr="00045DB3" w:rsidRDefault="00E75F44" w:rsidP="00A41B2E">
      <w:pPr>
        <w:pStyle w:val="Heading3"/>
        <w:numPr>
          <w:ilvl w:val="2"/>
          <w:numId w:val="15"/>
        </w:numPr>
        <w:tabs>
          <w:tab w:val="clear" w:pos="720"/>
          <w:tab w:val="clear" w:pos="900"/>
        </w:tabs>
        <w:spacing w:before="240"/>
        <w:ind w:left="851" w:hanging="851"/>
      </w:pPr>
      <w:bookmarkStart w:id="468" w:name="_Toc355970858"/>
      <w:bookmarkStart w:id="469" w:name="_Toc359423004"/>
      <w:bookmarkStart w:id="470" w:name="_Toc374612505"/>
      <w:r w:rsidRPr="00045DB3">
        <w:rPr>
          <w:rStyle w:val="Heading3Char"/>
          <w:rFonts w:eastAsiaTheme="minorHAnsi"/>
        </w:rPr>
        <w:t>Supply chains</w:t>
      </w:r>
      <w:bookmarkEnd w:id="468"/>
      <w:bookmarkEnd w:id="469"/>
      <w:bookmarkEnd w:id="470"/>
    </w:p>
    <w:p w:rsidR="007A143F" w:rsidRDefault="00E75F44">
      <w:pPr>
        <w:pStyle w:val="bt"/>
      </w:pPr>
      <w:r w:rsidRPr="00E75F44">
        <w:t>Developing and integrating supply chains will provide access not only to major centres</w:t>
      </w:r>
      <w:r w:rsidR="00452A06">
        <w:t>,</w:t>
      </w:r>
      <w:r w:rsidR="00253C88">
        <w:t xml:space="preserve"> such as</w:t>
      </w:r>
      <w:r w:rsidRPr="00E75F44">
        <w:t xml:space="preserve"> Melbourne, Sydney and Albury</w:t>
      </w:r>
      <w:r w:rsidR="00452A06">
        <w:t>,</w:t>
      </w:r>
      <w:r w:rsidR="00452A06" w:rsidRPr="00E75F44">
        <w:t xml:space="preserve"> </w:t>
      </w:r>
      <w:r w:rsidRPr="00E75F44">
        <w:t>and within the region itself, but also to freight terminals such as ports and airports. It will be important to understand the nature of the future freight task in order to ensure that connections to the region are protected and enhanced.</w:t>
      </w:r>
    </w:p>
    <w:p w:rsidR="007A143F" w:rsidRDefault="00E75F44" w:rsidP="001E4118">
      <w:pPr>
        <w:pStyle w:val="Heading2"/>
        <w:tabs>
          <w:tab w:val="clear" w:pos="396"/>
        </w:tabs>
        <w:ind w:left="567"/>
      </w:pPr>
      <w:bookmarkStart w:id="471" w:name="_Toc355970859"/>
      <w:bookmarkStart w:id="472" w:name="_Toc359423005"/>
      <w:bookmarkStart w:id="473" w:name="_Toc374612506"/>
      <w:r w:rsidRPr="00162345">
        <w:t xml:space="preserve">Guiding the </w:t>
      </w:r>
      <w:r w:rsidR="008C7CE6" w:rsidRPr="00162345">
        <w:t>p</w:t>
      </w:r>
      <w:r w:rsidR="00DA722B" w:rsidRPr="00DA722B">
        <w:t>rovision of other infrastructure</w:t>
      </w:r>
      <w:bookmarkEnd w:id="471"/>
      <w:bookmarkEnd w:id="472"/>
      <w:bookmarkEnd w:id="473"/>
    </w:p>
    <w:p w:rsidR="001E6B61" w:rsidRDefault="00E75F44" w:rsidP="00A41B2E">
      <w:pPr>
        <w:pStyle w:val="Heading3"/>
        <w:numPr>
          <w:ilvl w:val="2"/>
          <w:numId w:val="15"/>
        </w:numPr>
        <w:tabs>
          <w:tab w:val="clear" w:pos="720"/>
          <w:tab w:val="clear" w:pos="900"/>
        </w:tabs>
        <w:spacing w:before="240"/>
        <w:ind w:left="851" w:hanging="851"/>
      </w:pPr>
      <w:bookmarkStart w:id="474" w:name="_Toc355970860"/>
      <w:bookmarkStart w:id="475" w:name="_Toc359423006"/>
      <w:bookmarkStart w:id="476" w:name="_Toc374612507"/>
      <w:r>
        <w:t xml:space="preserve">Reticulated </w:t>
      </w:r>
      <w:r w:rsidR="008C7CE6">
        <w:t>w</w:t>
      </w:r>
      <w:r>
        <w:t xml:space="preserve">ater and </w:t>
      </w:r>
      <w:r w:rsidR="008C7CE6">
        <w:t>s</w:t>
      </w:r>
      <w:r>
        <w:t>ewerage</w:t>
      </w:r>
      <w:bookmarkEnd w:id="474"/>
      <w:bookmarkEnd w:id="475"/>
      <w:bookmarkEnd w:id="476"/>
    </w:p>
    <w:p w:rsidR="001E6B61" w:rsidRDefault="00E75F44">
      <w:pPr>
        <w:pStyle w:val="bt"/>
        <w:spacing w:before="120"/>
      </w:pPr>
      <w:r w:rsidRPr="00E75F44">
        <w:t>Victoria has an integrated and adaptive planning framework, which aims to ensure urban water customers and the broader community have secure supplies of high quality water. These supplies support drinking and non-drinking needs such as healthy recreational facilities, parks and gardens.</w:t>
      </w:r>
    </w:p>
    <w:p w:rsidR="007A143F" w:rsidRDefault="00E75F44">
      <w:pPr>
        <w:pStyle w:val="bt"/>
      </w:pPr>
      <w:r w:rsidRPr="00E75F44">
        <w:t xml:space="preserve">The </w:t>
      </w:r>
      <w:r w:rsidR="00D2269B">
        <w:t>S</w:t>
      </w:r>
      <w:r w:rsidR="00672CEE">
        <w:t xml:space="preserve">tate </w:t>
      </w:r>
      <w:r w:rsidR="00D2269B">
        <w:t>G</w:t>
      </w:r>
      <w:r w:rsidRPr="00E75F44">
        <w:t xml:space="preserve">overnment’s Living Victoria program was launched in April 2012 and has direct implications for water and urban planning across </w:t>
      </w:r>
      <w:r w:rsidR="00672CEE">
        <w:t>Victoria</w:t>
      </w:r>
      <w:r w:rsidRPr="00E75F44">
        <w:t>. Although the immediate focus of Living Victoria is on the Melbourne metropolitan region, its overarching directions are intended to apply more broadly across the state over time. As this occurs, plans and strategies produced under this program will gradually supersede and replace existing strategies.</w:t>
      </w:r>
    </w:p>
    <w:p w:rsidR="001E6B61" w:rsidRDefault="00E75F44" w:rsidP="00D174A0">
      <w:pPr>
        <w:pStyle w:val="bt"/>
        <w:spacing w:after="0"/>
      </w:pPr>
      <w:r w:rsidRPr="00E75F44">
        <w:t>The Living Victoria program recogni</w:t>
      </w:r>
      <w:r w:rsidR="00672CEE">
        <w:t>ses</w:t>
      </w:r>
      <w:r w:rsidRPr="00E75F44">
        <w:t xml:space="preserve"> that:</w:t>
      </w:r>
    </w:p>
    <w:p w:rsidR="007A143F" w:rsidRDefault="00E75F44" w:rsidP="001A3FCF">
      <w:pPr>
        <w:pStyle w:val="ListBullet"/>
      </w:pPr>
      <w:r w:rsidRPr="00E75F44">
        <w:t>water needs to be better integrated into urban landscapes</w:t>
      </w:r>
    </w:p>
    <w:p w:rsidR="007A143F" w:rsidRDefault="00E75F44" w:rsidP="001A3FCF">
      <w:pPr>
        <w:pStyle w:val="ListBullet"/>
      </w:pPr>
      <w:r w:rsidRPr="00E75F44">
        <w:t>the community needs to be better engaged in water planning</w:t>
      </w:r>
    </w:p>
    <w:p w:rsidR="007A143F" w:rsidRDefault="00E75F44" w:rsidP="001A3FCF">
      <w:pPr>
        <w:pStyle w:val="ListBullet"/>
      </w:pPr>
      <w:r w:rsidRPr="00E75F44">
        <w:t>improved evaluation frameworks capable of capturing a broader range of costs and benefits are needed to effectively assess the wide array of options for provision of urban water services.</w:t>
      </w:r>
    </w:p>
    <w:p w:rsidR="007A143F" w:rsidRDefault="00E75F44">
      <w:pPr>
        <w:pStyle w:val="bt"/>
        <w:rPr>
          <w:rFonts w:cstheme="minorHAnsi"/>
        </w:rPr>
      </w:pPr>
      <w:r w:rsidRPr="00E75F44">
        <w:rPr>
          <w:rFonts w:cstheme="minorHAnsi"/>
        </w:rPr>
        <w:t xml:space="preserve">Implementing the Living Victoria program will involve developing and coordinating integrated urban and water planning frameworks. New tools will apply across </w:t>
      </w:r>
      <w:r w:rsidR="00672CEE">
        <w:rPr>
          <w:rFonts w:cstheme="minorHAnsi"/>
        </w:rPr>
        <w:t>Victoria</w:t>
      </w:r>
      <w:r w:rsidRPr="00E75F44">
        <w:rPr>
          <w:rFonts w:cstheme="minorHAnsi"/>
        </w:rPr>
        <w:t xml:space="preserve">, including changes to the </w:t>
      </w:r>
      <w:r w:rsidRPr="00B44623">
        <w:rPr>
          <w:rStyle w:val="Emphasis"/>
          <w:i w:val="0"/>
        </w:rPr>
        <w:t>Victoria Planning Provisions</w:t>
      </w:r>
      <w:r w:rsidRPr="00E75F44">
        <w:rPr>
          <w:rFonts w:cstheme="minorHAnsi"/>
        </w:rPr>
        <w:t xml:space="preserve">. </w:t>
      </w:r>
      <w:r w:rsidRPr="00E75F44" w:rsidDel="00760FC1">
        <w:t>The potential for rapidly changing conditions</w:t>
      </w:r>
      <w:r w:rsidRPr="00E75F44">
        <w:t>,</w:t>
      </w:r>
      <w:r w:rsidRPr="00E75F44" w:rsidDel="00760FC1">
        <w:t xml:space="preserve"> as well as more frequent extreme weather events</w:t>
      </w:r>
      <w:r w:rsidRPr="00E75F44">
        <w:t>,</w:t>
      </w:r>
      <w:r w:rsidRPr="00E75F44" w:rsidDel="00760FC1">
        <w:t xml:space="preserve"> means that </w:t>
      </w:r>
      <w:r w:rsidRPr="00E75F44">
        <w:t>a range</w:t>
      </w:r>
      <w:r w:rsidRPr="00E75F44" w:rsidDel="00760FC1">
        <w:t xml:space="preserve"> </w:t>
      </w:r>
      <w:r w:rsidRPr="00E75F44">
        <w:t>of</w:t>
      </w:r>
      <w:r w:rsidRPr="00E75F44" w:rsidDel="00760FC1">
        <w:t xml:space="preserve"> </w:t>
      </w:r>
      <w:r w:rsidRPr="00E75F44">
        <w:t>approaches</w:t>
      </w:r>
      <w:r w:rsidR="00952D01">
        <w:t xml:space="preserve">, </w:t>
      </w:r>
      <w:r w:rsidRPr="00E75F44" w:rsidDel="00760FC1">
        <w:t>such as use of stormwater, greywater and recycled water</w:t>
      </w:r>
      <w:r w:rsidR="00952D01">
        <w:t>,</w:t>
      </w:r>
      <w:r w:rsidRPr="00E75F44" w:rsidDel="00760FC1">
        <w:t xml:space="preserve"> will be required</w:t>
      </w:r>
      <w:r w:rsidRPr="00E75F44">
        <w:t xml:space="preserve"> to ensure availability of water supplies for the future.</w:t>
      </w:r>
    </w:p>
    <w:p w:rsidR="001E6B61" w:rsidRDefault="00E75F44" w:rsidP="00D174A0">
      <w:pPr>
        <w:pStyle w:val="bt"/>
        <w:spacing w:after="0"/>
        <w:rPr>
          <w:rFonts w:cstheme="minorHAnsi"/>
        </w:rPr>
      </w:pPr>
      <w:r w:rsidRPr="00E75F44">
        <w:rPr>
          <w:rFonts w:cstheme="minorHAnsi"/>
        </w:rPr>
        <w:t>At present, the key plans and strategies that guide urban water planning in regional Victoria are:</w:t>
      </w:r>
    </w:p>
    <w:p w:rsidR="007A143F" w:rsidRDefault="00E75F44" w:rsidP="001A3FCF">
      <w:pPr>
        <w:pStyle w:val="ListBullet"/>
      </w:pPr>
      <w:r w:rsidRPr="00E75F44">
        <w:t>regional sustainable water strategies</w:t>
      </w:r>
    </w:p>
    <w:p w:rsidR="007A143F" w:rsidRDefault="00D2269B" w:rsidP="001A3FCF">
      <w:pPr>
        <w:pStyle w:val="ListBullet"/>
      </w:pPr>
      <w:r>
        <w:t xml:space="preserve">water supply demand strategies, </w:t>
      </w:r>
      <w:r w:rsidR="00E75F44" w:rsidRPr="00E75F44">
        <w:t xml:space="preserve">which will be superseded by </w:t>
      </w:r>
      <w:r w:rsidR="0031214C">
        <w:t>i</w:t>
      </w:r>
      <w:r w:rsidR="00E75F44" w:rsidRPr="00E75F44">
        <w:t xml:space="preserve">ntegrated </w:t>
      </w:r>
      <w:r w:rsidR="0031214C">
        <w:t>w</w:t>
      </w:r>
      <w:r w:rsidR="00E75F44" w:rsidRPr="00E75F44">
        <w:t xml:space="preserve">ater </w:t>
      </w:r>
      <w:r w:rsidR="0031214C">
        <w:t>c</w:t>
      </w:r>
      <w:r w:rsidR="00E75F44" w:rsidRPr="00E75F44">
        <w:t xml:space="preserve">ycle </w:t>
      </w:r>
      <w:r w:rsidR="0031214C">
        <w:t>s</w:t>
      </w:r>
      <w:r>
        <w:t>trategies</w:t>
      </w:r>
    </w:p>
    <w:p w:rsidR="007A143F" w:rsidRDefault="00E75F44" w:rsidP="001A3FCF">
      <w:pPr>
        <w:pStyle w:val="ListBullet"/>
      </w:pPr>
      <w:r w:rsidRPr="00E75F44">
        <w:t>drought response plans.</w:t>
      </w:r>
    </w:p>
    <w:p w:rsidR="007A143F" w:rsidRDefault="00E75F44">
      <w:pPr>
        <w:pStyle w:val="bt"/>
      </w:pPr>
      <w:r w:rsidRPr="00E75F44">
        <w:t xml:space="preserve">Future water supply at a regional scale is planned for strategically through the </w:t>
      </w:r>
      <w:r w:rsidRPr="00B44623">
        <w:rPr>
          <w:rStyle w:val="Emphasis"/>
          <w:i w:val="0"/>
        </w:rPr>
        <w:t>Northern Region Sustainable Water Strategy</w:t>
      </w:r>
      <w:r w:rsidRPr="00E75F44">
        <w:t xml:space="preserve"> to secure the water for urban, industrial, agricultural and environmental water users in the long term. The</w:t>
      </w:r>
      <w:r w:rsidRPr="00B44623">
        <w:rPr>
          <w:rStyle w:val="Emphasis"/>
          <w:i w:val="0"/>
        </w:rPr>
        <w:t xml:space="preserve"> Northern Region </w:t>
      </w:r>
      <w:r w:rsidR="00452A06" w:rsidRPr="00B44623">
        <w:rPr>
          <w:rStyle w:val="Emphasis"/>
          <w:i w:val="0"/>
        </w:rPr>
        <w:t>Sustainable Water Strategy</w:t>
      </w:r>
      <w:r w:rsidR="00452A06" w:rsidRPr="00E75F44" w:rsidDel="00452A06">
        <w:t xml:space="preserve"> </w:t>
      </w:r>
      <w:r w:rsidRPr="00E75F44">
        <w:t xml:space="preserve">identifies threats to the reliability of water supply and to water quality and proposes measures to improve the quantity and quality of water for existing and future users. It also identifies ways to improve, protect and increase environmental water reserves.  Most of the actions in the </w:t>
      </w:r>
      <w:r w:rsidRPr="00B44623">
        <w:rPr>
          <w:rStyle w:val="Emphasis"/>
          <w:i w:val="0"/>
        </w:rPr>
        <w:t xml:space="preserve">Northern Region </w:t>
      </w:r>
      <w:r w:rsidR="00452A06" w:rsidRPr="00B44623">
        <w:rPr>
          <w:rStyle w:val="Emphasis"/>
          <w:i w:val="0"/>
        </w:rPr>
        <w:t>Sustainable Water Strategy</w:t>
      </w:r>
      <w:r w:rsidR="00452A06" w:rsidRPr="00E75F44" w:rsidDel="00452A06">
        <w:t xml:space="preserve"> </w:t>
      </w:r>
      <w:r w:rsidRPr="00E75F44">
        <w:t xml:space="preserve">have been completed or are being refined and pursued in line with the </w:t>
      </w:r>
      <w:r w:rsidRPr="00B44623">
        <w:rPr>
          <w:rStyle w:val="Emphasis"/>
          <w:i w:val="0"/>
        </w:rPr>
        <w:t>Murray-Darling Basin Plan</w:t>
      </w:r>
      <w:r w:rsidRPr="00E75F44">
        <w:t>.</w:t>
      </w:r>
    </w:p>
    <w:p w:rsidR="003E386E" w:rsidRDefault="00E75F44" w:rsidP="00EE0F0D">
      <w:pPr>
        <w:pStyle w:val="bt"/>
        <w:spacing w:after="120"/>
        <w:rPr>
          <w:rFonts w:cstheme="minorHAnsi"/>
        </w:rPr>
      </w:pPr>
      <w:r w:rsidRPr="00E75F44">
        <w:rPr>
          <w:rFonts w:cstheme="minorHAnsi"/>
        </w:rPr>
        <w:t xml:space="preserve">North East Water and Goulburn Valley Water are responsible for providing water and sewerage services. North East Water provides water to 95,000 people in the eastern part of the </w:t>
      </w:r>
      <w:r w:rsidR="00AE2C53">
        <w:rPr>
          <w:rFonts w:cstheme="minorHAnsi"/>
        </w:rPr>
        <w:t>r</w:t>
      </w:r>
      <w:r w:rsidRPr="00E75F44">
        <w:rPr>
          <w:rFonts w:cstheme="minorHAnsi"/>
        </w:rPr>
        <w:t xml:space="preserve">egion and Goulburn Valley </w:t>
      </w:r>
      <w:r w:rsidR="00874441">
        <w:rPr>
          <w:rFonts w:cstheme="minorHAnsi"/>
        </w:rPr>
        <w:t>W</w:t>
      </w:r>
      <w:r w:rsidRPr="00E75F44">
        <w:rPr>
          <w:rFonts w:cstheme="minorHAnsi"/>
        </w:rPr>
        <w:t>ater supplies 120,000 people in western and southern areas. Both corporations have water supply demand strategies considering a 50-year time span, reviewed on a five</w:t>
      </w:r>
      <w:r w:rsidR="00874441">
        <w:rPr>
          <w:rFonts w:cstheme="minorHAnsi"/>
        </w:rPr>
        <w:t>-</w:t>
      </w:r>
      <w:r w:rsidRPr="00E75F44">
        <w:rPr>
          <w:rFonts w:cstheme="minorHAnsi"/>
        </w:rPr>
        <w:t xml:space="preserve">yearly cycle. </w:t>
      </w:r>
      <w:r w:rsidR="00874441">
        <w:rPr>
          <w:rFonts w:cstheme="minorHAnsi"/>
        </w:rPr>
        <w:t>C</w:t>
      </w:r>
      <w:r w:rsidRPr="00E75F44">
        <w:rPr>
          <w:rFonts w:cstheme="minorHAnsi"/>
        </w:rPr>
        <w:t>urrent strategies forecast there will be adequate water for both supply areas for the next 50 years, with provision for some improvement works.</w:t>
      </w:r>
    </w:p>
    <w:p w:rsidR="003E386E" w:rsidRDefault="00085F94" w:rsidP="00533391">
      <w:pPr>
        <w:pStyle w:val="bt"/>
        <w:spacing w:after="120"/>
      </w:pPr>
      <w:r>
        <w:rPr>
          <w:rFonts w:cstheme="minorHAnsi"/>
        </w:rPr>
        <w:t>The plan recognises that r</w:t>
      </w:r>
      <w:r w:rsidRPr="00085F94">
        <w:rPr>
          <w:rFonts w:cstheme="minorHAnsi"/>
        </w:rPr>
        <w:t>eticulated water and sewerage systems do not only support growth in towns, but can also deliver environmental benefits</w:t>
      </w:r>
      <w:r w:rsidR="00B66B31">
        <w:rPr>
          <w:rFonts w:cstheme="minorHAnsi"/>
        </w:rPr>
        <w:t xml:space="preserve">, </w:t>
      </w:r>
      <w:r w:rsidR="00D2269B">
        <w:rPr>
          <w:rFonts w:cstheme="minorHAnsi"/>
        </w:rPr>
        <w:t>such as within declared water s</w:t>
      </w:r>
      <w:r w:rsidRPr="00085F94">
        <w:rPr>
          <w:rFonts w:cstheme="minorHAnsi"/>
        </w:rPr>
        <w:t xml:space="preserve">upply </w:t>
      </w:r>
      <w:r w:rsidR="00D2269B">
        <w:rPr>
          <w:rFonts w:cstheme="minorHAnsi"/>
        </w:rPr>
        <w:t>c</w:t>
      </w:r>
      <w:r w:rsidRPr="00085F94">
        <w:rPr>
          <w:rFonts w:cstheme="minorHAnsi"/>
        </w:rPr>
        <w:t>atchments.</w:t>
      </w:r>
    </w:p>
    <w:p w:rsidR="00E3224D" w:rsidRDefault="00E75F44" w:rsidP="00D174A0">
      <w:pPr>
        <w:pStyle w:val="bt"/>
        <w:spacing w:after="0"/>
      </w:pPr>
      <w:r w:rsidRPr="00E75F44">
        <w:rPr>
          <w:rFonts w:cstheme="minorHAnsi"/>
        </w:rPr>
        <w:t xml:space="preserve">The water supply demand strategies will be replaced by integrated water cycle strategies by 2017. These new strategies will need to respond to the directions and scale of growth proposed in the </w:t>
      </w:r>
      <w:r w:rsidR="00452A06">
        <w:rPr>
          <w:rFonts w:cstheme="minorHAnsi"/>
        </w:rPr>
        <w:t>plan</w:t>
      </w:r>
      <w:r w:rsidRPr="00E75F44">
        <w:rPr>
          <w:rFonts w:cstheme="minorHAnsi"/>
        </w:rPr>
        <w:t xml:space="preserve">. Other key considerations include the link between urban and rural water cycles and the potential implications of climate change, including a possible decrease in water availability. </w:t>
      </w:r>
      <w:r w:rsidRPr="00E75F44">
        <w:t>Integrated water cycle strategies will identify the best mix of measures to:</w:t>
      </w:r>
    </w:p>
    <w:p w:rsidR="007A143F" w:rsidRDefault="00E75F44" w:rsidP="001A3FCF">
      <w:pPr>
        <w:pStyle w:val="ListBullet"/>
      </w:pPr>
      <w:r w:rsidRPr="00E75F44">
        <w:t>maintain a balance between the demand for water and the supply of water in cities and towns</w:t>
      </w:r>
    </w:p>
    <w:p w:rsidR="007A143F" w:rsidRDefault="00E75F44" w:rsidP="001A3FCF">
      <w:pPr>
        <w:pStyle w:val="ListBullet"/>
      </w:pPr>
      <w:r w:rsidRPr="00E75F44">
        <w:t>facilitate efficient investment in all water cycle services, including recycling sewage or trade waste, stormwater capture and re-use, and demand management</w:t>
      </w:r>
    </w:p>
    <w:p w:rsidR="007A143F" w:rsidRDefault="00E75F44" w:rsidP="001A3FCF">
      <w:pPr>
        <w:pStyle w:val="ListBullet"/>
      </w:pPr>
      <w:r w:rsidRPr="00E75F44">
        <w:t>improve the resilience of water supply systems, including matching the quality of water supplied to the intended use (fit-for-purpose) and implementing improved planning and adaptive management that take</w:t>
      </w:r>
      <w:r w:rsidR="00874441">
        <w:t>s</w:t>
      </w:r>
      <w:r w:rsidRPr="00E75F44">
        <w:t xml:space="preserve"> account of risk and uncertainty.</w:t>
      </w:r>
    </w:p>
    <w:p w:rsidR="007A143F" w:rsidRDefault="00E75F44">
      <w:pPr>
        <w:pStyle w:val="bt"/>
        <w:rPr>
          <w:rFonts w:cstheme="minorHAnsi"/>
        </w:rPr>
      </w:pPr>
      <w:r w:rsidRPr="00E75F44">
        <w:rPr>
          <w:rFonts w:cstheme="minorHAnsi"/>
        </w:rPr>
        <w:t>Drought response plans manage temporary water shortages due to prolonged periods of below average rainfall or other causes</w:t>
      </w:r>
      <w:r w:rsidR="002503CC">
        <w:rPr>
          <w:rFonts w:cstheme="minorHAnsi"/>
        </w:rPr>
        <w:t>,</w:t>
      </w:r>
      <w:r w:rsidRPr="00E75F44">
        <w:rPr>
          <w:rFonts w:cstheme="minorHAnsi"/>
        </w:rPr>
        <w:t xml:space="preserve"> such as poor water quality. They outline a range of options to balance supply and demand, which may include imposing water restrictions. The water restriction framework was reviewed in late 2011 to apply consistent restriction rules across the state.</w:t>
      </w:r>
    </w:p>
    <w:p w:rsidR="007A143F" w:rsidRDefault="00874441">
      <w:pPr>
        <w:pStyle w:val="bt"/>
        <w:rPr>
          <w:rFonts w:cstheme="minorHAnsi"/>
        </w:rPr>
      </w:pPr>
      <w:r>
        <w:rPr>
          <w:rFonts w:cstheme="minorHAnsi"/>
        </w:rPr>
        <w:t>K</w:t>
      </w:r>
      <w:r w:rsidR="00E75F44" w:rsidRPr="00E75F44">
        <w:rPr>
          <w:rFonts w:cstheme="minorHAnsi"/>
        </w:rPr>
        <w:t xml:space="preserve">ey urban locations earmarked for growth in the </w:t>
      </w:r>
      <w:r w:rsidR="00452A06">
        <w:rPr>
          <w:rFonts w:cstheme="minorHAnsi"/>
        </w:rPr>
        <w:t>plan</w:t>
      </w:r>
      <w:r w:rsidR="00452A06" w:rsidRPr="00E75F44">
        <w:rPr>
          <w:rFonts w:cstheme="minorHAnsi"/>
        </w:rPr>
        <w:t xml:space="preserve"> </w:t>
      </w:r>
      <w:r w:rsidR="00E75F44" w:rsidRPr="00E75F44">
        <w:rPr>
          <w:rFonts w:cstheme="minorHAnsi"/>
        </w:rPr>
        <w:t>are all serviced by reticulated water and sewerage systems. Many smaller urban locations are also fully serviced and new systems are under construction or planned in others, such as Oxley. Distribution master plans have been developed for the region, with associated 20-year infrastructure programs to provide for growth and expansion of residential and commercial uses. As well as catering for increases in growth, these plans need to consider maintenance and renewal of existing infrastructure. It will be important to understand how much growth is expected in order for infrastructure to keep pace and be coordinated with growth.</w:t>
      </w:r>
    </w:p>
    <w:p w:rsidR="00E75F44" w:rsidRDefault="00E75F44" w:rsidP="00A41B2E">
      <w:pPr>
        <w:pStyle w:val="Heading3"/>
        <w:numPr>
          <w:ilvl w:val="2"/>
          <w:numId w:val="15"/>
        </w:numPr>
        <w:tabs>
          <w:tab w:val="clear" w:pos="720"/>
          <w:tab w:val="clear" w:pos="900"/>
        </w:tabs>
        <w:ind w:left="851" w:hanging="851"/>
      </w:pPr>
      <w:bookmarkStart w:id="477" w:name="_Toc355970861"/>
      <w:bookmarkStart w:id="478" w:name="_Toc359423007"/>
      <w:bookmarkStart w:id="479" w:name="_Toc374612508"/>
      <w:r>
        <w:t xml:space="preserve">Irrigation </w:t>
      </w:r>
      <w:r w:rsidR="00874441">
        <w:t>i</w:t>
      </w:r>
      <w:r>
        <w:t>nfrastructure</w:t>
      </w:r>
      <w:bookmarkEnd w:id="477"/>
      <w:bookmarkEnd w:id="478"/>
      <w:bookmarkEnd w:id="479"/>
    </w:p>
    <w:p w:rsidR="007A143F" w:rsidRDefault="00E75F44">
      <w:pPr>
        <w:pStyle w:val="bt"/>
      </w:pPr>
      <w:r w:rsidRPr="00E75F44">
        <w:t xml:space="preserve">A major upgrade to northern Victoria’s out-dated and inefficient irrigation infrastructure is currently being undertaken. The </w:t>
      </w:r>
      <w:r w:rsidR="00726FE7">
        <w:t xml:space="preserve">$2 billion </w:t>
      </w:r>
      <w:r w:rsidRPr="00E75F44">
        <w:t>Goulburn-Murray Water Connections Project (formerly known as the Northern Victoria Irrigation Renewal Project) will improve water delivery management and irrigation services, and recover much of the water now being lost through system inefficiencies.</w:t>
      </w:r>
    </w:p>
    <w:p w:rsidR="007A143F" w:rsidRDefault="00726FE7">
      <w:pPr>
        <w:pStyle w:val="bt"/>
      </w:pPr>
      <w:r>
        <w:t>The Goulburn Valley is a significant part of the Goulburn</w:t>
      </w:r>
      <w:r w:rsidR="00874441">
        <w:t xml:space="preserve"> </w:t>
      </w:r>
      <w:r>
        <w:t>Murray Irrigation District which produces around 25</w:t>
      </w:r>
      <w:r w:rsidR="00874441">
        <w:t>%</w:t>
      </w:r>
      <w:r>
        <w:t xml:space="preserve"> of Victoria’s agricultural production. </w:t>
      </w:r>
      <w:r w:rsidR="00F827BE">
        <w:t>The Goulburn-Murray Water Connections P</w:t>
      </w:r>
      <w:r w:rsidR="00E75F44" w:rsidRPr="00E75F44">
        <w:t>roject will support the region’s economic development by helping to secure the future of agriculture in the region, as well as the industries that support and benefit from that sector.</w:t>
      </w:r>
    </w:p>
    <w:p w:rsidR="007A143F" w:rsidRDefault="00E75F44">
      <w:pPr>
        <w:pStyle w:val="bt"/>
        <w:rPr>
          <w:rFonts w:ascii="Helvetica" w:hAnsi="Helvetica" w:cs="Helvetica"/>
          <w:lang w:val="en-US"/>
        </w:rPr>
      </w:pPr>
      <w:r w:rsidRPr="00E75F44">
        <w:t xml:space="preserve">The Farm Water Program is upgrading irrigation technology across those parts of northern Victoria with access to the modernised distribution system created by the Goulburn-Murray </w:t>
      </w:r>
      <w:r w:rsidR="00F827BE">
        <w:t>W</w:t>
      </w:r>
      <w:r w:rsidRPr="00E75F44">
        <w:t xml:space="preserve">ater </w:t>
      </w:r>
      <w:r w:rsidR="00F827BE">
        <w:t>C</w:t>
      </w:r>
      <w:r w:rsidRPr="00E75F44">
        <w:t xml:space="preserve">onnections </w:t>
      </w:r>
      <w:r w:rsidR="00F827BE">
        <w:t>P</w:t>
      </w:r>
      <w:r w:rsidRPr="00E75F44">
        <w:t xml:space="preserve">roject. </w:t>
      </w:r>
      <w:r w:rsidRPr="00E75F44">
        <w:rPr>
          <w:lang w:val="en-US"/>
        </w:rPr>
        <w:t xml:space="preserve">The </w:t>
      </w:r>
      <w:r w:rsidR="00F827BE">
        <w:rPr>
          <w:lang w:val="en-US"/>
        </w:rPr>
        <w:t>on-</w:t>
      </w:r>
      <w:r w:rsidRPr="00E75F44">
        <w:rPr>
          <w:lang w:val="en-US"/>
        </w:rPr>
        <w:t xml:space="preserve">farm water program, implemented with $106 million Australian and Victorian government funding assistance, is about achieving </w:t>
      </w:r>
      <w:r w:rsidR="00F827BE">
        <w:rPr>
          <w:lang w:val="en-US"/>
        </w:rPr>
        <w:t>on-</w:t>
      </w:r>
      <w:r w:rsidRPr="00E75F44">
        <w:rPr>
          <w:lang w:val="en-US"/>
        </w:rPr>
        <w:t>farm water savings through improved irrigation systems. One of the key planning tools to achieve this is through certified whole farm plans that are approved by local government.</w:t>
      </w:r>
    </w:p>
    <w:p w:rsidR="007A143F" w:rsidRDefault="00E75F44">
      <w:pPr>
        <w:pStyle w:val="bt"/>
        <w:rPr>
          <w:rFonts w:ascii="Helvetica" w:hAnsi="Helvetica" w:cs="Helvetica"/>
          <w:lang w:val="en-US"/>
        </w:rPr>
      </w:pPr>
      <w:r w:rsidRPr="00E75F44">
        <w:rPr>
          <w:lang w:val="en-US"/>
        </w:rPr>
        <w:t xml:space="preserve">The water savings are shared between farmers and the environment, with at least half the water savings transferred to the </w:t>
      </w:r>
      <w:r w:rsidR="003D11A8">
        <w:rPr>
          <w:lang w:val="en-US"/>
        </w:rPr>
        <w:t>Victorian</w:t>
      </w:r>
      <w:r w:rsidR="003D11A8" w:rsidRPr="00E75F44">
        <w:rPr>
          <w:lang w:val="en-US"/>
        </w:rPr>
        <w:t xml:space="preserve"> </w:t>
      </w:r>
      <w:r w:rsidRPr="00E75F44">
        <w:rPr>
          <w:lang w:val="en-US"/>
        </w:rPr>
        <w:t xml:space="preserve">or </w:t>
      </w:r>
      <w:r w:rsidR="003D11A8">
        <w:t>Commonwealth</w:t>
      </w:r>
      <w:r w:rsidR="003D11A8" w:rsidRPr="006A41D8">
        <w:t xml:space="preserve"> </w:t>
      </w:r>
      <w:r w:rsidRPr="00E75F44">
        <w:rPr>
          <w:lang w:val="en-US"/>
        </w:rPr>
        <w:t>environmental water holder</w:t>
      </w:r>
      <w:r w:rsidR="003D11A8">
        <w:rPr>
          <w:lang w:val="en-US"/>
        </w:rPr>
        <w:t>s</w:t>
      </w:r>
      <w:r w:rsidRPr="00E75F44">
        <w:rPr>
          <w:lang w:val="en-US"/>
        </w:rPr>
        <w:t>.</w:t>
      </w:r>
      <w:r w:rsidR="00CA5327">
        <w:rPr>
          <w:lang w:val="en-US"/>
        </w:rPr>
        <w:t xml:space="preserve"> </w:t>
      </w:r>
      <w:r w:rsidRPr="00E75F44">
        <w:rPr>
          <w:lang w:val="en-US"/>
        </w:rPr>
        <w:t xml:space="preserve">Environment benefits will come </w:t>
      </w:r>
      <w:r w:rsidR="00CA5327">
        <w:rPr>
          <w:lang w:val="en-US"/>
        </w:rPr>
        <w:t xml:space="preserve">from </w:t>
      </w:r>
      <w:r w:rsidRPr="00E75F44">
        <w:rPr>
          <w:lang w:val="en-US"/>
        </w:rPr>
        <w:t>improving salinity, water quality and river health. Rounds 1 and 2 of the program returned a total of 26 gigalitres of water to the environment.</w:t>
      </w:r>
    </w:p>
    <w:p w:rsidR="003E386E" w:rsidRDefault="00E75F44" w:rsidP="003E386E">
      <w:pPr>
        <w:pStyle w:val="bt"/>
        <w:rPr>
          <w:lang w:val="en-US"/>
        </w:rPr>
      </w:pPr>
      <w:r w:rsidRPr="00E75F44">
        <w:rPr>
          <w:lang w:val="en-US"/>
        </w:rPr>
        <w:t>In addition to allowing farmers to achieve substantial productivity increases</w:t>
      </w:r>
      <w:r w:rsidR="00CA5327">
        <w:rPr>
          <w:lang w:val="en-US"/>
        </w:rPr>
        <w:t>,</w:t>
      </w:r>
      <w:r w:rsidRPr="00E75F44">
        <w:rPr>
          <w:lang w:val="en-US"/>
        </w:rPr>
        <w:t xml:space="preserve"> the program has significant flow-on effects (estimated at $28 million per year) for local and regional economies, creating over 350 new jobs, boosting industry confidence and maintaining rural communities.</w:t>
      </w:r>
    </w:p>
    <w:p w:rsidR="00E75F44" w:rsidRDefault="00E75F44" w:rsidP="00A41B2E">
      <w:pPr>
        <w:pStyle w:val="Heading3"/>
        <w:numPr>
          <w:ilvl w:val="2"/>
          <w:numId w:val="15"/>
        </w:numPr>
        <w:tabs>
          <w:tab w:val="clear" w:pos="720"/>
          <w:tab w:val="clear" w:pos="900"/>
        </w:tabs>
        <w:ind w:left="851" w:hanging="851"/>
      </w:pPr>
      <w:bookmarkStart w:id="480" w:name="_Toc355970862"/>
      <w:bookmarkStart w:id="481" w:name="_Toc359423008"/>
      <w:bookmarkStart w:id="482" w:name="_Toc374612509"/>
      <w:r>
        <w:t>Energy</w:t>
      </w:r>
      <w:bookmarkEnd w:id="480"/>
      <w:r w:rsidR="0031214C">
        <w:t>, telecommunications and solid waste</w:t>
      </w:r>
      <w:bookmarkEnd w:id="481"/>
      <w:bookmarkEnd w:id="482"/>
    </w:p>
    <w:p w:rsidR="005D0A03" w:rsidRPr="005D0A03" w:rsidRDefault="007536C0">
      <w:pPr>
        <w:pStyle w:val="bt"/>
        <w:rPr>
          <w:rStyle w:val="Strong"/>
        </w:rPr>
      </w:pPr>
      <w:r w:rsidRPr="007536C0">
        <w:rPr>
          <w:rStyle w:val="Strong"/>
        </w:rPr>
        <w:t>a)</w:t>
      </w:r>
      <w:r w:rsidRPr="007536C0">
        <w:rPr>
          <w:rStyle w:val="Strong"/>
        </w:rPr>
        <w:tab/>
        <w:t>Energy</w:t>
      </w:r>
    </w:p>
    <w:p w:rsidR="007A143F" w:rsidRDefault="00606E36">
      <w:pPr>
        <w:pStyle w:val="bt"/>
      </w:pPr>
      <w:r w:rsidRPr="00606E36">
        <w:t xml:space="preserve">All towns </w:t>
      </w:r>
      <w:r w:rsidR="00F827BE">
        <w:t xml:space="preserve">in </w:t>
      </w:r>
      <w:r w:rsidRPr="00606E36">
        <w:t>the Hume Region have access to electricity, mostly generated outside the region and therefore subject to substantial transmission losses due to the distances involved. Opportunities exist within the region to generate more electricity, particularly from renewable sources. The potential of more localised energy generation and distribution should also be investigated, to improve resilience of energy networks to natural disasters and extreme climatic events.</w:t>
      </w:r>
    </w:p>
    <w:p w:rsidR="007A143F" w:rsidRDefault="00606E36">
      <w:pPr>
        <w:pStyle w:val="bt"/>
      </w:pPr>
      <w:r w:rsidRPr="00606E36">
        <w:t>Many parts of the region do not have access to natural gas. Expansion of the reticulated natural gas network will help to support economic growth, reduce energy costs and help make growth areas attractive for settlement and investment. Funding has been allocated for extension of the natural gas network, but rollout has been slow due to the lack of interest from commercial providers. Alternative delivery methods are being considered.</w:t>
      </w:r>
    </w:p>
    <w:p w:rsidR="007A143F" w:rsidRDefault="00606E36">
      <w:pPr>
        <w:pStyle w:val="bt"/>
      </w:pPr>
      <w:r w:rsidRPr="00606E36">
        <w:t xml:space="preserve">The </w:t>
      </w:r>
      <w:r w:rsidR="00D2269B">
        <w:t>S</w:t>
      </w:r>
      <w:r w:rsidR="00CA5327">
        <w:t xml:space="preserve">tate </w:t>
      </w:r>
      <w:r w:rsidR="00D2269B">
        <w:t>G</w:t>
      </w:r>
      <w:r w:rsidRPr="00606E36">
        <w:t>overnment’s 2013 economic statement includes a commitment to invest $100 million in a variety of deliver</w:t>
      </w:r>
      <w:r w:rsidR="00F827BE">
        <w:t>y</w:t>
      </w:r>
      <w:r w:rsidRPr="00606E36">
        <w:t xml:space="preserve"> systems to expand natural gas to communities across regional and rural Victoria, including Wandong-Heathcote Junction in the southern </w:t>
      </w:r>
      <w:r w:rsidR="00452A06">
        <w:t>r</w:t>
      </w:r>
      <w:r w:rsidRPr="00606E36">
        <w:t>egion. The program will also include a feasibility study of providing natural gas to communities along the Murray River.</w:t>
      </w:r>
    </w:p>
    <w:p w:rsidR="007A143F" w:rsidRDefault="00606E36">
      <w:pPr>
        <w:pStyle w:val="bt"/>
      </w:pPr>
      <w:r w:rsidRPr="00606E36">
        <w:t>In areas outside the major population centres energy needs for cooking, hot water and heating are met from a combination of bottled gas, electricity and firewood. Firewood is a common form of heating and its use could increase in response to rising prices for electricity and bottled gas. Developing accessible, sustainable firewood resources</w:t>
      </w:r>
      <w:r w:rsidR="002503CC">
        <w:t>,</w:t>
      </w:r>
      <w:r w:rsidRPr="00606E36">
        <w:t xml:space="preserve"> such as plantations specifically for firewood production</w:t>
      </w:r>
      <w:r w:rsidR="002503CC">
        <w:t>,</w:t>
      </w:r>
      <w:r w:rsidRPr="00606E36">
        <w:t xml:space="preserve"> provides an opportunity for diversification, particularly for the agricultural sector.</w:t>
      </w:r>
    </w:p>
    <w:p w:rsidR="005D0A03" w:rsidRPr="005D0A03" w:rsidRDefault="007536C0">
      <w:pPr>
        <w:pStyle w:val="bt"/>
        <w:rPr>
          <w:rStyle w:val="Strong"/>
        </w:rPr>
      </w:pPr>
      <w:r w:rsidRPr="007536C0">
        <w:rPr>
          <w:rStyle w:val="Strong"/>
        </w:rPr>
        <w:t>b)</w:t>
      </w:r>
      <w:r w:rsidRPr="007536C0">
        <w:rPr>
          <w:rStyle w:val="Strong"/>
        </w:rPr>
        <w:tab/>
        <w:t>Telecommunications</w:t>
      </w:r>
    </w:p>
    <w:p w:rsidR="00757E51" w:rsidRDefault="00606E36">
      <w:pPr>
        <w:pStyle w:val="bt"/>
      </w:pPr>
      <w:r w:rsidRPr="00606E36">
        <w:t xml:space="preserve">Provision of high quality information and communications technology in the </w:t>
      </w:r>
      <w:r w:rsidR="00AE2C53">
        <w:t>r</w:t>
      </w:r>
      <w:r w:rsidRPr="00606E36">
        <w:t>egion will help drive economic competitiveness. The full impacts of the National Broad</w:t>
      </w:r>
      <w:r w:rsidR="00CA1D94">
        <w:t>band</w:t>
      </w:r>
      <w:r w:rsidRPr="00606E36">
        <w:t xml:space="preserve"> Network on regional growth are unclear as yet, but technology installed to date has had a major impact on the way we live our lives and conduct business. The National Broadband Network is a 10-year rolling program and will be carried out in three-year blocks across Australia. Each three-year </w:t>
      </w:r>
      <w:r w:rsidR="00CA1D94">
        <w:t>block</w:t>
      </w:r>
      <w:r w:rsidRPr="00606E36">
        <w:t xml:space="preserve"> includes both large and small areas with installation of cable, fixed wireless and satellite.</w:t>
      </w:r>
      <w:r w:rsidR="00441857">
        <w:t xml:space="preserve"> </w:t>
      </w:r>
      <w:r w:rsidR="00441857" w:rsidRPr="00C4507B">
        <w:t>As part of this rollout program, construction of the network has commenced in parts of the region</w:t>
      </w:r>
      <w:r w:rsidR="002503CC">
        <w:t>,</w:t>
      </w:r>
      <w:r w:rsidR="00441857" w:rsidRPr="00C4507B">
        <w:t xml:space="preserve"> including Shepparton and Wodonga.</w:t>
      </w:r>
      <w:r w:rsidR="00CA1D94">
        <w:t xml:space="preserve"> </w:t>
      </w:r>
    </w:p>
    <w:p w:rsidR="007A143F" w:rsidRDefault="00606E36">
      <w:pPr>
        <w:pStyle w:val="bt"/>
      </w:pPr>
      <w:r w:rsidRPr="00606E36">
        <w:t xml:space="preserve">Health and education providers in the </w:t>
      </w:r>
      <w:r w:rsidR="00452A06">
        <w:t>r</w:t>
      </w:r>
      <w:r w:rsidRPr="00606E36">
        <w:t>egion are already using technology to provide remote patient care and educational courses. This is likely to expand into the future as technology and access to technology improves, providing opportunities to enhance and broaden service delivery. The availability of improved information and communications technology may also make it more attractive for people to relocate to the region.</w:t>
      </w:r>
      <w:r w:rsidR="00085F94" w:rsidRPr="00085F94">
        <w:t xml:space="preserve"> The potential uneven distribution of quality access to the internet may be a challenge for regional growth and ongoing review of such access</w:t>
      </w:r>
      <w:r w:rsidR="00B66B31">
        <w:t xml:space="preserve">, </w:t>
      </w:r>
      <w:r w:rsidR="00085F94" w:rsidRPr="00085F94">
        <w:t>through the roll-out of the National Broadband Network</w:t>
      </w:r>
      <w:r w:rsidR="00B66B31">
        <w:t>,</w:t>
      </w:r>
      <w:r w:rsidR="00085F94" w:rsidRPr="00085F94">
        <w:t xml:space="preserve"> will help support regional service delivery.</w:t>
      </w:r>
    </w:p>
    <w:p w:rsidR="0012360C" w:rsidRDefault="00606E36" w:rsidP="00EE0F0D">
      <w:pPr>
        <w:pStyle w:val="bt"/>
      </w:pPr>
      <w:r w:rsidRPr="00606E36">
        <w:t xml:space="preserve">Mobile phone coverage in key urban locations is good. However, in smaller communities and more remote areas coverage can be unreliable or sometimes not available. Services need to be reviewed to improve connectivity and access. The National Broadband Network may assist in this regard, with technological advancements such as Voice Over Internet Protocol.  </w:t>
      </w:r>
    </w:p>
    <w:p w:rsidR="005D2A76" w:rsidRDefault="005D2A76" w:rsidP="00EE0F0D">
      <w:pPr>
        <w:pStyle w:val="bt"/>
      </w:pPr>
      <w:r>
        <w:t>Reliable telecommunication services are important for the provision of warnings and reports prior to, and during emergency events, particularly considering the history of emergency events in the region and the likelihood of such events reoccurring. All communities should have access to such reliable communication services including small, isolated communities exposed to natural hazards such as bushfire and flood.</w:t>
      </w:r>
    </w:p>
    <w:p w:rsidR="005D0A03" w:rsidRPr="005D0A03" w:rsidRDefault="007536C0">
      <w:pPr>
        <w:pStyle w:val="bt"/>
        <w:rPr>
          <w:rStyle w:val="Strong"/>
        </w:rPr>
      </w:pPr>
      <w:r w:rsidRPr="007536C0">
        <w:rPr>
          <w:rStyle w:val="Strong"/>
        </w:rPr>
        <w:t>c)</w:t>
      </w:r>
      <w:r w:rsidRPr="007536C0">
        <w:rPr>
          <w:rStyle w:val="Strong"/>
        </w:rPr>
        <w:tab/>
        <w:t>Solid waste</w:t>
      </w:r>
    </w:p>
    <w:p w:rsidR="007A143F" w:rsidRDefault="00606E36">
      <w:pPr>
        <w:pStyle w:val="bt"/>
      </w:pPr>
      <w:r w:rsidRPr="00606E36">
        <w:t>Effective waste and resource recovery management is an essential service that protects the environment and public health. The Victorian waste management system includes waste generation, collection and transport, sorting and processing, recycling and reprocessing, export, reuse and disposal. The waste management system operates across all activities in the region covering households, commercial and industrial uses, municipal services and construction and demolition. Victoria’s waste generation is expected to increase by about 4</w:t>
      </w:r>
      <w:r w:rsidR="00B66B31">
        <w:t xml:space="preserve"> per cent</w:t>
      </w:r>
      <w:r w:rsidRPr="00606E36">
        <w:t xml:space="preserve"> per year</w:t>
      </w:r>
      <w:r w:rsidR="00467285" w:rsidRPr="00606E36">
        <w:rPr>
          <w:rStyle w:val="FootnoteReference"/>
          <w:szCs w:val="20"/>
        </w:rPr>
        <w:footnoteReference w:id="10"/>
      </w:r>
      <w:r w:rsidRPr="00606E36">
        <w:t>.</w:t>
      </w:r>
    </w:p>
    <w:p w:rsidR="007A143F" w:rsidRDefault="00606E36">
      <w:pPr>
        <w:pStyle w:val="bt"/>
      </w:pPr>
      <w:r w:rsidRPr="00606E36">
        <w:t xml:space="preserve">The </w:t>
      </w:r>
      <w:r w:rsidR="00452A06">
        <w:t>s</w:t>
      </w:r>
      <w:r w:rsidR="00452A06" w:rsidRPr="00606E36">
        <w:t xml:space="preserve">tate </w:t>
      </w:r>
      <w:r w:rsidR="00452A06">
        <w:t>g</w:t>
      </w:r>
      <w:r w:rsidR="00452A06" w:rsidRPr="00606E36">
        <w:t xml:space="preserve">overnment </w:t>
      </w:r>
      <w:r w:rsidRPr="00606E36">
        <w:t>is responsible for policy development and regulation concerning waste management and for promoting environmental sustainability through minimising the quantity of waste. Local governments are responsible for providing waste collection, transport and reprocessing services and d</w:t>
      </w:r>
      <w:r w:rsidR="00F827BE">
        <w:t>isposal to landfill. Regional waste management g</w:t>
      </w:r>
      <w:r w:rsidRPr="00606E36">
        <w:t xml:space="preserve">roups prepare </w:t>
      </w:r>
      <w:r w:rsidR="00CA5327">
        <w:t>w</w:t>
      </w:r>
      <w:r w:rsidRPr="00606E36">
        <w:t xml:space="preserve">aste </w:t>
      </w:r>
      <w:r w:rsidR="00CA5327">
        <w:t>m</w:t>
      </w:r>
      <w:r w:rsidRPr="00606E36">
        <w:t xml:space="preserve">anagement </w:t>
      </w:r>
      <w:r w:rsidR="00CA5327">
        <w:t>p</w:t>
      </w:r>
      <w:r w:rsidRPr="00606E36">
        <w:t xml:space="preserve">lans that provide direction for local governments within their regions, as well as helping municipalities to reduce waste, maximise recovery and reduce environmental harm. </w:t>
      </w:r>
    </w:p>
    <w:p w:rsidR="007A143F" w:rsidRDefault="00606E36">
      <w:pPr>
        <w:pStyle w:val="bt"/>
      </w:pPr>
      <w:r w:rsidRPr="00606E36">
        <w:t xml:space="preserve">There are many existing and emerging industries in the waste management field. There are opportunities to promote the recovery of waste to recycle it for use in other production processes, either as recycled waste for re-manufacturing, or as new products created from recycled materials, including generating energy from waste. Promoting these opportunities within the </w:t>
      </w:r>
      <w:r w:rsidR="00AE2C53">
        <w:t>r</w:t>
      </w:r>
      <w:r w:rsidRPr="00606E36">
        <w:t xml:space="preserve">egion would help to reduce the amount of waste going to landfill. The </w:t>
      </w:r>
      <w:r w:rsidR="00452A06">
        <w:t>plan</w:t>
      </w:r>
      <w:r w:rsidR="00452A06" w:rsidRPr="00606E36">
        <w:t xml:space="preserve"> </w:t>
      </w:r>
      <w:r w:rsidRPr="00606E36">
        <w:t>supports efforts by business and industry within the region to realise the economic benefits of boosting resource productivity through waste recovery and reuse, including exchanging waste materials for reuse and mutual benefit.</w:t>
      </w:r>
    </w:p>
    <w:p w:rsidR="007A143F" w:rsidRDefault="00606E36">
      <w:pPr>
        <w:pStyle w:val="bt"/>
      </w:pPr>
      <w:r w:rsidRPr="00606E36">
        <w:t>The capacity of current landfill operations in the region varies from 10 to 25 years. Much of the solid waste produced in</w:t>
      </w:r>
      <w:r w:rsidR="002503CC">
        <w:t xml:space="preserve"> the</w:t>
      </w:r>
      <w:r w:rsidRPr="00606E36">
        <w:t xml:space="preserve"> northern parts of the </w:t>
      </w:r>
      <w:r w:rsidR="00452A06">
        <w:t>r</w:t>
      </w:r>
      <w:r w:rsidRPr="00606E36">
        <w:t xml:space="preserve">egion is exported to landfills in New South Wales. The viability of this arrangement for the future will need to be assessed, including the sustainability of transporting waste through the region, fuel </w:t>
      </w:r>
      <w:r w:rsidR="00CA5327">
        <w:t xml:space="preserve">costs </w:t>
      </w:r>
      <w:r w:rsidRPr="00606E36">
        <w:t>and transport risks. There are a number of inactive landfills that may require rehabilitation, which could also provide opportunities for energy generation.</w:t>
      </w:r>
    </w:p>
    <w:p w:rsidR="00D541A5" w:rsidRDefault="00606E36">
      <w:pPr>
        <w:pStyle w:val="bt"/>
      </w:pPr>
      <w:r w:rsidRPr="00606E36">
        <w:t xml:space="preserve">The </w:t>
      </w:r>
      <w:r w:rsidR="00452A06">
        <w:t>plan</w:t>
      </w:r>
      <w:r w:rsidR="00452A06" w:rsidRPr="00606E36">
        <w:t xml:space="preserve"> </w:t>
      </w:r>
      <w:r w:rsidRPr="00606E36">
        <w:t>recognises that a strategic planning approach will help to develop sustainable waste management practices and identify future needs for waste facilities in the region. The requirement for more landfills can be minimised by diverting waste from disposal facilities. Regional opportunities to reduce, recover, reuse and recycle waste will be supported. For waste management and resource recovery, planning needs to identify and protect suitable sites and implement buffers around them, to ensure they are not compromised by incompatible development and do not impact on nearby sensitive land uses.</w:t>
      </w:r>
    </w:p>
    <w:p w:rsidR="00D541A5" w:rsidRDefault="00D541A5">
      <w:pPr>
        <w:rPr>
          <w:rFonts w:ascii="Calibri" w:eastAsia="Times New Roman" w:hAnsi="Calibri" w:cs="Times New Roman"/>
          <w:szCs w:val="24"/>
        </w:rPr>
      </w:pPr>
      <w:r>
        <w:br w:type="page"/>
      </w:r>
    </w:p>
    <w:p w:rsidR="007A143F" w:rsidRDefault="00291A8D">
      <w:pPr>
        <w:pStyle w:val="Heading11"/>
      </w:pPr>
      <w:bookmarkStart w:id="483" w:name="_Toc355970863"/>
      <w:bookmarkStart w:id="484" w:name="_Toc359423009"/>
      <w:bookmarkStart w:id="485" w:name="_Toc374612510"/>
      <w:r w:rsidRPr="00162345">
        <w:t>Communities</w:t>
      </w:r>
      <w:bookmarkEnd w:id="483"/>
      <w:bookmarkEnd w:id="484"/>
      <w:bookmarkEnd w:id="485"/>
    </w:p>
    <w:p w:rsidR="007A143F" w:rsidRDefault="00DA722B" w:rsidP="00A41B2E">
      <w:pPr>
        <w:pStyle w:val="Heading2"/>
        <w:numPr>
          <w:ilvl w:val="1"/>
          <w:numId w:val="24"/>
        </w:numPr>
        <w:tabs>
          <w:tab w:val="clear" w:pos="396"/>
        </w:tabs>
        <w:ind w:left="567"/>
      </w:pPr>
      <w:bookmarkStart w:id="486" w:name="_Toc355970864"/>
      <w:bookmarkStart w:id="487" w:name="_Toc359423010"/>
      <w:bookmarkStart w:id="488" w:name="_Toc374612511"/>
      <w:r w:rsidRPr="00DA722B">
        <w:t>Overview</w:t>
      </w:r>
      <w:bookmarkEnd w:id="486"/>
      <w:bookmarkEnd w:id="487"/>
      <w:bookmarkEnd w:id="488"/>
    </w:p>
    <w:p w:rsidR="00757E51" w:rsidRDefault="00953E57">
      <w:pPr>
        <w:pStyle w:val="bt"/>
        <w:rPr>
          <w:rFonts w:cs="Helvetica"/>
          <w:iCs/>
          <w:lang w:val="en-US"/>
        </w:rPr>
      </w:pPr>
      <w:r w:rsidRPr="00953E57">
        <w:t>Social infrastructure is broadly available across the region with higher or</w:t>
      </w:r>
      <w:r>
        <w:t xml:space="preserve">der facilities and services </w:t>
      </w:r>
      <w:r w:rsidR="00606E36" w:rsidRPr="00606E36">
        <w:t>concentrated in regional cities and centres</w:t>
      </w:r>
      <w:r>
        <w:t xml:space="preserve"> and</w:t>
      </w:r>
      <w:r w:rsidR="00606E36" w:rsidRPr="00606E36">
        <w:t xml:space="preserve"> some higher order services provided in Melbourne. </w:t>
      </w:r>
      <w:r w:rsidR="00606E36" w:rsidRPr="00606E36">
        <w:rPr>
          <w:rFonts w:cs="Helvetica"/>
          <w:iCs/>
          <w:lang w:val="en-US"/>
        </w:rPr>
        <w:t xml:space="preserve">The region is well supplied with health services, with 17 public hospitals and three private hospitals. Most towns with a population of 2000 or more have a hospital or rural health service. </w:t>
      </w:r>
    </w:p>
    <w:p w:rsidR="007A143F" w:rsidRDefault="00606E36">
      <w:pPr>
        <w:pStyle w:val="bt"/>
        <w:rPr>
          <w:rFonts w:cs="Helvetica"/>
          <w:iCs/>
          <w:lang w:val="en-US"/>
        </w:rPr>
      </w:pPr>
      <w:r w:rsidRPr="00606E36">
        <w:rPr>
          <w:rFonts w:cs="Helvetica"/>
          <w:iCs/>
          <w:lang w:val="en-US"/>
        </w:rPr>
        <w:t>The region has the same proportion of general practitioners and pharmacies per head of population as the Victorian average. However, there is a high hospital admission rate for patients with conditions such as diabetes that can generally be managed in the community if appropriate primary care is available and accessible. There is also a high rate of presentations to hospital emergency departments by people seeking primary care and, conversely, a low rate for general practitioner attendances per 1000 of population. These factors suggest that accessibility of services may be an issue overall. Factors that affect service access may include the low level of public transport, lack of after-hours services and/or affordability of services.</w:t>
      </w:r>
    </w:p>
    <w:p w:rsidR="007A143F" w:rsidRDefault="00606E36">
      <w:pPr>
        <w:pStyle w:val="bt"/>
        <w:rPr>
          <w:rFonts w:cs="Helvetica"/>
          <w:iCs/>
          <w:lang w:val="en-US"/>
        </w:rPr>
      </w:pPr>
      <w:r w:rsidRPr="00606E36">
        <w:rPr>
          <w:rFonts w:cs="Helvetica"/>
          <w:iCs/>
          <w:lang w:val="en-US"/>
        </w:rPr>
        <w:t xml:space="preserve">A range of social determinants can also influence health </w:t>
      </w:r>
      <w:r w:rsidR="005C3A96">
        <w:rPr>
          <w:rFonts w:cs="Helvetica"/>
          <w:iCs/>
          <w:lang w:val="en-US"/>
        </w:rPr>
        <w:t xml:space="preserve">and wellbeing </w:t>
      </w:r>
      <w:r w:rsidRPr="00606E36">
        <w:rPr>
          <w:rFonts w:cs="Helvetica"/>
          <w:iCs/>
          <w:lang w:val="en-US"/>
        </w:rPr>
        <w:t xml:space="preserve">outcomes. The </w:t>
      </w:r>
      <w:r w:rsidR="00452A06">
        <w:rPr>
          <w:rFonts w:cs="Helvetica"/>
          <w:iCs/>
          <w:lang w:val="en-US"/>
        </w:rPr>
        <w:t>r</w:t>
      </w:r>
      <w:r w:rsidRPr="00606E36">
        <w:rPr>
          <w:rFonts w:cs="Helvetica"/>
          <w:iCs/>
          <w:lang w:val="en-US"/>
        </w:rPr>
        <w:t>egion has the second highest levels of all regions in Victoria for alcohol consumption, smoking and obesity. It also has very low rates of consumption of fruit and vegetables, especially for males.</w:t>
      </w:r>
    </w:p>
    <w:p w:rsidR="007A143F" w:rsidRDefault="00606E36">
      <w:pPr>
        <w:pStyle w:val="bt"/>
      </w:pPr>
      <w:r w:rsidRPr="00606E36">
        <w:rPr>
          <w:rFonts w:cs="Helvetica"/>
          <w:iCs/>
          <w:lang w:val="en-US"/>
        </w:rPr>
        <w:t xml:space="preserve">The </w:t>
      </w:r>
      <w:r w:rsidR="00452A06">
        <w:rPr>
          <w:rFonts w:cs="Helvetica"/>
          <w:iCs/>
          <w:lang w:val="en-US"/>
        </w:rPr>
        <w:t>region</w:t>
      </w:r>
      <w:r w:rsidRPr="00606E36">
        <w:rPr>
          <w:rFonts w:cs="Helvetica"/>
          <w:iCs/>
          <w:lang w:val="en-US"/>
        </w:rPr>
        <w:t xml:space="preserve"> experiences relatively high unemployment rates (the highest of all regions in the state), low rates of completion of Year 12 (second lowest in </w:t>
      </w:r>
      <w:r w:rsidR="00D92BDD">
        <w:rPr>
          <w:rFonts w:cs="Helvetica"/>
          <w:iCs/>
          <w:lang w:val="en-US"/>
        </w:rPr>
        <w:t>s</w:t>
      </w:r>
      <w:r w:rsidRPr="00606E36">
        <w:rPr>
          <w:rFonts w:cs="Helvetica"/>
          <w:iCs/>
          <w:lang w:val="en-US"/>
        </w:rPr>
        <w:t>tate) and low incomes. Over 36</w:t>
      </w:r>
      <w:r w:rsidR="00C86221">
        <w:rPr>
          <w:rFonts w:cs="Helvetica"/>
          <w:iCs/>
          <w:lang w:val="en-US"/>
        </w:rPr>
        <w:t xml:space="preserve"> per cent</w:t>
      </w:r>
      <w:r w:rsidR="00D92BDD">
        <w:rPr>
          <w:rFonts w:cs="Helvetica"/>
          <w:iCs/>
          <w:lang w:val="en-US"/>
        </w:rPr>
        <w:t xml:space="preserve"> </w:t>
      </w:r>
      <w:r w:rsidRPr="00606E36">
        <w:rPr>
          <w:rFonts w:cs="Helvetica"/>
          <w:iCs/>
          <w:lang w:val="en-US"/>
        </w:rPr>
        <w:t>of households ha</w:t>
      </w:r>
      <w:r w:rsidR="00F827BE">
        <w:rPr>
          <w:rFonts w:cs="Helvetica"/>
          <w:iCs/>
          <w:lang w:val="en-US"/>
        </w:rPr>
        <w:t>d</w:t>
      </w:r>
      <w:r w:rsidRPr="00606E36">
        <w:rPr>
          <w:rFonts w:cs="Helvetica"/>
          <w:iCs/>
          <w:lang w:val="en-US"/>
        </w:rPr>
        <w:t xml:space="preserve"> an income of less than $650 per week in 2011. There is a slightly lower than average life expectancy for both males and females.</w:t>
      </w:r>
    </w:p>
    <w:p w:rsidR="00757E51" w:rsidRDefault="00606E36">
      <w:pPr>
        <w:pStyle w:val="bt"/>
      </w:pPr>
      <w:r w:rsidRPr="00606E36">
        <w:t>Government secondary schools are provided in all settlements with populations of 2000 or more. There are also private schools in most of the larger settlements, such as in Kilmore, Shepparton, Wangaratta and Wodonga. The University of Melbourne and La</w:t>
      </w:r>
      <w:r w:rsidR="00D92BDD">
        <w:t xml:space="preserve"> T</w:t>
      </w:r>
      <w:r w:rsidRPr="00606E36">
        <w:t>robe University have campuses in Shepparton and La</w:t>
      </w:r>
      <w:r w:rsidR="00C251AD">
        <w:t xml:space="preserve"> T</w:t>
      </w:r>
      <w:r w:rsidRPr="00606E36">
        <w:t xml:space="preserve">robe </w:t>
      </w:r>
      <w:r w:rsidR="00C251AD">
        <w:t xml:space="preserve">University </w:t>
      </w:r>
      <w:r w:rsidRPr="00606E36">
        <w:t xml:space="preserve">has a Wodonga campus. Tertiary students in the region can also access the Charles Sturt University campus in Albury. </w:t>
      </w:r>
    </w:p>
    <w:p w:rsidR="007A143F" w:rsidRDefault="00606E36">
      <w:pPr>
        <w:pStyle w:val="bt"/>
      </w:pPr>
      <w:r w:rsidRPr="00606E36">
        <w:t xml:space="preserve">Funding has been allocated for Charles Sturt University to </w:t>
      </w:r>
      <w:r w:rsidR="00F827BE">
        <w:t>offer</w:t>
      </w:r>
      <w:r w:rsidRPr="00606E36">
        <w:t xml:space="preserve"> some agricultural courses in Wangaratta, in conjunction with GoTAFE, one of the TAFE providers in the region. GoTAFE has main campuses in Benalla, Seymour, Shepparton and Wangaratta. Wodonga TAFE, based in Wodonga, also provides services to New South Wales. Across the region there are 32 </w:t>
      </w:r>
      <w:r w:rsidR="00C251AD">
        <w:t>a</w:t>
      </w:r>
      <w:r w:rsidRPr="00606E36">
        <w:t xml:space="preserve">dult </w:t>
      </w:r>
      <w:r w:rsidR="00C251AD">
        <w:t>c</w:t>
      </w:r>
      <w:r w:rsidRPr="00606E36">
        <w:t xml:space="preserve">ommunity and </w:t>
      </w:r>
      <w:r w:rsidR="00C251AD">
        <w:t>f</w:t>
      </w:r>
      <w:r w:rsidRPr="00606E36">
        <w:t xml:space="preserve">urther </w:t>
      </w:r>
      <w:r w:rsidR="00C251AD">
        <w:t>e</w:t>
      </w:r>
      <w:r w:rsidRPr="00606E36">
        <w:t xml:space="preserve">ducation providers, many operating from </w:t>
      </w:r>
      <w:r w:rsidR="00C251AD">
        <w:t>n</w:t>
      </w:r>
      <w:r w:rsidRPr="00606E36">
        <w:t xml:space="preserve">eighbourhood </w:t>
      </w:r>
      <w:r w:rsidR="00C251AD">
        <w:t>h</w:t>
      </w:r>
      <w:r w:rsidRPr="00606E36">
        <w:t>ouses.</w:t>
      </w:r>
    </w:p>
    <w:p w:rsidR="00D37593" w:rsidRDefault="00606E36" w:rsidP="0031214C">
      <w:pPr>
        <w:pStyle w:val="bt"/>
      </w:pPr>
      <w:r w:rsidRPr="00606E36">
        <w:t>Many of the larger townships including Shepparton, Wodonga, Wangaratta and Benalla have regional scale performance venues and galleries.</w:t>
      </w:r>
    </w:p>
    <w:p w:rsidR="001E6B61" w:rsidRDefault="00606E36" w:rsidP="00D174A0">
      <w:pPr>
        <w:pStyle w:val="Heading2"/>
        <w:tabs>
          <w:tab w:val="clear" w:pos="396"/>
        </w:tabs>
        <w:spacing w:before="240" w:after="120"/>
        <w:ind w:left="567"/>
      </w:pPr>
      <w:bookmarkStart w:id="489" w:name="_Toc355970865"/>
      <w:bookmarkStart w:id="490" w:name="_Toc359423011"/>
      <w:bookmarkStart w:id="491" w:name="_Toc374612512"/>
      <w:r w:rsidRPr="00162345">
        <w:t xml:space="preserve">Planning for </w:t>
      </w:r>
      <w:r w:rsidR="00C251AD" w:rsidRPr="00162345">
        <w:t>c</w:t>
      </w:r>
      <w:r w:rsidR="00DA722B" w:rsidRPr="00DA722B">
        <w:t>ommunities</w:t>
      </w:r>
      <w:bookmarkEnd w:id="489"/>
      <w:bookmarkEnd w:id="490"/>
      <w:bookmarkEnd w:id="491"/>
    </w:p>
    <w:p w:rsidR="001E6B61" w:rsidRDefault="00606E36" w:rsidP="00A41B2E">
      <w:pPr>
        <w:pStyle w:val="Heading3"/>
        <w:numPr>
          <w:ilvl w:val="2"/>
          <w:numId w:val="17"/>
        </w:numPr>
        <w:tabs>
          <w:tab w:val="clear" w:pos="720"/>
          <w:tab w:val="clear" w:pos="900"/>
        </w:tabs>
        <w:spacing w:before="240"/>
        <w:ind w:left="851" w:hanging="851"/>
      </w:pPr>
      <w:bookmarkStart w:id="492" w:name="_Toc355970866"/>
      <w:bookmarkStart w:id="493" w:name="_Toc359423012"/>
      <w:bookmarkStart w:id="494" w:name="_Toc374612513"/>
      <w:r>
        <w:t xml:space="preserve">Service </w:t>
      </w:r>
      <w:r w:rsidR="00C251AD">
        <w:t>a</w:t>
      </w:r>
      <w:r>
        <w:t>ccess</w:t>
      </w:r>
      <w:r w:rsidR="009E2C3B">
        <w:t xml:space="preserve"> and </w:t>
      </w:r>
      <w:r w:rsidR="00C251AD">
        <w:t>d</w:t>
      </w:r>
      <w:r w:rsidR="009E2C3B">
        <w:t>elivery</w:t>
      </w:r>
      <w:bookmarkEnd w:id="492"/>
      <w:bookmarkEnd w:id="493"/>
      <w:bookmarkEnd w:id="494"/>
    </w:p>
    <w:p w:rsidR="001E6B61" w:rsidRDefault="00606E36">
      <w:pPr>
        <w:pStyle w:val="bt"/>
        <w:spacing w:after="120"/>
      </w:pPr>
      <w:r w:rsidRPr="00606E36">
        <w:t>For many communities outside cities and centres, accessing services or having them delivered requires long distance travel. For those travelling to services, there is a heavy reliance on private vehicles. Other ongoing challenges for the region include the need to improve the responsiveness in the location, design and appropriateness of facilities and services, particularly for the elderly, young people, Aboriginal communities and for immigrants.</w:t>
      </w:r>
    </w:p>
    <w:p w:rsidR="007A143F" w:rsidRDefault="00606E36">
      <w:pPr>
        <w:pStyle w:val="bt"/>
      </w:pPr>
      <w:r w:rsidRPr="00606E36">
        <w:t xml:space="preserve">The </w:t>
      </w:r>
      <w:r w:rsidR="00452A06">
        <w:t>p</w:t>
      </w:r>
      <w:r w:rsidR="00480CE2">
        <w:t>lan</w:t>
      </w:r>
      <w:r w:rsidRPr="00606E36">
        <w:t xml:space="preserve"> seeks to maximise future access to services by ensuring social infrastructure is provided in an integrated fashion and constructed in the most accessible locations. Co-location of services offers opportunities to improve availability and reduce overheads. Technological improvements may provide for more effective ‘outreach’ or delivery of services such as e-medicine. Greater access to services will support people who wish to ‘age in place’.</w:t>
      </w:r>
    </w:p>
    <w:p w:rsidR="007A143F" w:rsidRDefault="000467BD">
      <w:pPr>
        <w:pStyle w:val="bt"/>
      </w:pPr>
      <w:r w:rsidRPr="009E2C3B">
        <w:t xml:space="preserve">The </w:t>
      </w:r>
      <w:r w:rsidR="00452A06">
        <w:t>p</w:t>
      </w:r>
      <w:r w:rsidR="00480CE2">
        <w:t>lan</w:t>
      </w:r>
      <w:r w:rsidRPr="009E2C3B">
        <w:t xml:space="preserve"> also encourages collaborative arrangements between community service providers to deliver infrastructure that maximises synergies and efficiencies. Current examples include Albury Wodonga He</w:t>
      </w:r>
      <w:r w:rsidR="009E2C3B" w:rsidRPr="009E2C3B">
        <w:t xml:space="preserve">alth </w:t>
      </w:r>
      <w:r w:rsidR="00C251AD">
        <w:t xml:space="preserve">and </w:t>
      </w:r>
      <w:r w:rsidR="009E2C3B" w:rsidRPr="009E2C3B">
        <w:t>the High Country Library.</w:t>
      </w:r>
    </w:p>
    <w:p w:rsidR="001E6B61" w:rsidRDefault="00606E36">
      <w:pPr>
        <w:pStyle w:val="bt"/>
        <w:spacing w:after="0"/>
      </w:pPr>
      <w:r w:rsidRPr="00606E36">
        <w:t xml:space="preserve">In addition to planning for the location of healthcare facilities, access to healthcare in the </w:t>
      </w:r>
      <w:r w:rsidR="00AE2C53">
        <w:t>r</w:t>
      </w:r>
      <w:r w:rsidRPr="00606E36">
        <w:t xml:space="preserve">egion will be </w:t>
      </w:r>
      <w:r w:rsidR="00C251AD">
        <w:t>improved</w:t>
      </w:r>
      <w:r w:rsidRPr="00606E36">
        <w:t xml:space="preserve"> by:</w:t>
      </w:r>
    </w:p>
    <w:p w:rsidR="007A143F" w:rsidRDefault="00606E36" w:rsidP="001A3FCF">
      <w:pPr>
        <w:pStyle w:val="ListBullet"/>
      </w:pPr>
      <w:r w:rsidRPr="00606E36">
        <w:t>preparing a Regional Health Plan to make recommendations on improved integration and access to all levels of healthcare</w:t>
      </w:r>
    </w:p>
    <w:p w:rsidR="007A143F" w:rsidRDefault="00606E36" w:rsidP="001A3FCF">
      <w:pPr>
        <w:pStyle w:val="ListBullet"/>
      </w:pPr>
      <w:r w:rsidRPr="00606E36">
        <w:t xml:space="preserve">providing general practitioner </w:t>
      </w:r>
      <w:r w:rsidR="00C251AD">
        <w:t>s</w:t>
      </w:r>
      <w:r w:rsidRPr="00606E36">
        <w:t xml:space="preserve">uper </w:t>
      </w:r>
      <w:r w:rsidR="00C251AD">
        <w:t>c</w:t>
      </w:r>
      <w:r w:rsidRPr="00606E36">
        <w:t>linics in Wallan and Wodonga</w:t>
      </w:r>
    </w:p>
    <w:p w:rsidR="007A143F" w:rsidRDefault="00606E36" w:rsidP="001A3FCF">
      <w:pPr>
        <w:pStyle w:val="ListBullet"/>
      </w:pPr>
      <w:r w:rsidRPr="00606E36">
        <w:t>expanding the coverage of tele-health linked to the introduction of the National Broadband Network</w:t>
      </w:r>
    </w:p>
    <w:p w:rsidR="007A143F" w:rsidRDefault="00606E36" w:rsidP="001A3FCF">
      <w:pPr>
        <w:pStyle w:val="ListBullet"/>
      </w:pPr>
      <w:r w:rsidRPr="00606E36">
        <w:t>increasing the focus on community-based care to support people to remain connected to their own communities.</w:t>
      </w:r>
    </w:p>
    <w:p w:rsidR="001E6B61" w:rsidRDefault="00606E36" w:rsidP="00A41B2E">
      <w:pPr>
        <w:pStyle w:val="Heading3"/>
        <w:numPr>
          <w:ilvl w:val="2"/>
          <w:numId w:val="17"/>
        </w:numPr>
        <w:tabs>
          <w:tab w:val="clear" w:pos="720"/>
          <w:tab w:val="clear" w:pos="900"/>
        </w:tabs>
        <w:spacing w:before="240"/>
        <w:ind w:left="851" w:hanging="851"/>
      </w:pPr>
      <w:bookmarkStart w:id="495" w:name="_Toc355970867"/>
      <w:bookmarkStart w:id="496" w:name="_Toc359423013"/>
      <w:bookmarkStart w:id="497" w:name="_Toc374612514"/>
      <w:r>
        <w:t xml:space="preserve">Ageing </w:t>
      </w:r>
      <w:r w:rsidR="00C251AD">
        <w:t>p</w:t>
      </w:r>
      <w:r>
        <w:t>opulation</w:t>
      </w:r>
      <w:bookmarkEnd w:id="495"/>
      <w:bookmarkEnd w:id="496"/>
      <w:bookmarkEnd w:id="497"/>
    </w:p>
    <w:p w:rsidR="007A143F" w:rsidRDefault="00606E36">
      <w:pPr>
        <w:pStyle w:val="bt"/>
      </w:pPr>
      <w:r w:rsidRPr="000D1F51">
        <w:t>In 2011</w:t>
      </w:r>
      <w:r w:rsidR="00FB5EE7">
        <w:t>,</w:t>
      </w:r>
      <w:r w:rsidRPr="000D1F51">
        <w:t xml:space="preserve"> people aged 55 years or over comprised 29.3</w:t>
      </w:r>
      <w:r w:rsidR="00B66B31">
        <w:t xml:space="preserve"> per cent</w:t>
      </w:r>
      <w:r w:rsidRPr="000D1F51">
        <w:t xml:space="preserve"> of the total population of the </w:t>
      </w:r>
      <w:r w:rsidR="00AE4896">
        <w:t>r</w:t>
      </w:r>
      <w:r w:rsidRPr="000D1F51">
        <w:t>egion</w:t>
      </w:r>
      <w:r w:rsidR="00D5776E">
        <w:t>,</w:t>
      </w:r>
      <w:r w:rsidRPr="000D1F51">
        <w:t xml:space="preserve"> but by 2031 this is projected to increase to 34.8</w:t>
      </w:r>
      <w:r w:rsidR="00B66B31">
        <w:t xml:space="preserve"> per cent</w:t>
      </w:r>
      <w:r w:rsidRPr="000D1F51">
        <w:t>. Overall</w:t>
      </w:r>
      <w:r w:rsidR="000F5C42">
        <w:t>,</w:t>
      </w:r>
      <w:r w:rsidRPr="000D1F51">
        <w:t xml:space="preserve"> the population in this age group is forecast to grow strongly at 2.5</w:t>
      </w:r>
      <w:r w:rsidR="00B66B31">
        <w:t xml:space="preserve"> per cent</w:t>
      </w:r>
      <w:r w:rsidRPr="000D1F51">
        <w:t xml:space="preserve"> per year. The number of retirees moving into the region, including those on a low income, is also predicted to increase. Ageing communities are most apparent in smaller rural settlements but are also found in most regional cities and centres. </w:t>
      </w:r>
    </w:p>
    <w:p w:rsidR="007A143F" w:rsidRDefault="00606E36">
      <w:pPr>
        <w:pStyle w:val="bt"/>
      </w:pPr>
      <w:r w:rsidRPr="000D1F51">
        <w:t xml:space="preserve">The </w:t>
      </w:r>
      <w:r w:rsidR="00452A06">
        <w:t>plan</w:t>
      </w:r>
      <w:r w:rsidR="00452A06" w:rsidRPr="000D1F51">
        <w:t xml:space="preserve"> </w:t>
      </w:r>
      <w:r w:rsidRPr="000D1F51">
        <w:t>recognises the need for planning to consider future demands for facilities and services for increasing numbers of elderly people, including those who wish to remain living at home and those who live in more remote parts of the region. Detailed planning for settlements also needs to provide for an appropriate mix of housing types that are located close to public transport and with access to commercial centres, community facilities and entertainment.</w:t>
      </w:r>
    </w:p>
    <w:p w:rsidR="001E6B61" w:rsidRDefault="000D1F51" w:rsidP="00A41B2E">
      <w:pPr>
        <w:pStyle w:val="Heading3"/>
        <w:numPr>
          <w:ilvl w:val="2"/>
          <w:numId w:val="17"/>
        </w:numPr>
        <w:tabs>
          <w:tab w:val="clear" w:pos="720"/>
          <w:tab w:val="clear" w:pos="900"/>
        </w:tabs>
        <w:spacing w:before="240"/>
        <w:ind w:left="851" w:hanging="851"/>
        <w:rPr>
          <w:b w:val="0"/>
        </w:rPr>
      </w:pPr>
      <w:r>
        <w:t xml:space="preserve"> </w:t>
      </w:r>
      <w:bookmarkStart w:id="498" w:name="_Toc355970868"/>
      <w:bookmarkStart w:id="499" w:name="_Toc359423014"/>
      <w:bookmarkStart w:id="500" w:name="_Toc374612515"/>
      <w:r w:rsidR="00606E36" w:rsidRPr="00BF7737">
        <w:t>Youth out-migration</w:t>
      </w:r>
      <w:bookmarkEnd w:id="498"/>
      <w:bookmarkEnd w:id="499"/>
      <w:bookmarkEnd w:id="500"/>
    </w:p>
    <w:p w:rsidR="0031214C" w:rsidRDefault="00606E36" w:rsidP="003B1962">
      <w:pPr>
        <w:pStyle w:val="bt"/>
      </w:pPr>
      <w:r w:rsidRPr="000D1F51">
        <w:t>Based on current trends, it is expected that young people, particularly those aged between 20 and 29, will continue to be significantly under</w:t>
      </w:r>
      <w:r w:rsidR="000F5C42">
        <w:t xml:space="preserve"> </w:t>
      </w:r>
      <w:r w:rsidRPr="000D1F51">
        <w:t xml:space="preserve">represented in the </w:t>
      </w:r>
      <w:r w:rsidR="00AE4896">
        <w:t>r</w:t>
      </w:r>
      <w:r w:rsidRPr="000D1F51">
        <w:t>egion. Large numbers of young people move to major centres, often outside the region, for education, employment and lifestyle reasons</w:t>
      </w:r>
      <w:r w:rsidR="0031214C">
        <w:t xml:space="preserve"> (see</w:t>
      </w:r>
      <w:r w:rsidR="009B0578">
        <w:t xml:space="preserve"> Table</w:t>
      </w:r>
      <w:r w:rsidR="0031214C">
        <w:t xml:space="preserve"> </w:t>
      </w:r>
      <w:r w:rsidR="003B1962">
        <w:t>7</w:t>
      </w:r>
      <w:r w:rsidR="0031214C">
        <w:t>)</w:t>
      </w:r>
      <w:r w:rsidRPr="000D1F51">
        <w:t xml:space="preserve">. This can impact on the long-term availability of labour, including skilled labour, affect the sustainability of communities and lead to a reduction in overall economic activity. Exceptions to this overall trend are Wodonga, which has a growing youth population, and the Lower Hume </w:t>
      </w:r>
      <w:r w:rsidR="00DA46DA">
        <w:t>sub</w:t>
      </w:r>
      <w:r w:rsidR="00EB6ABC">
        <w:t>-</w:t>
      </w:r>
      <w:r w:rsidR="00DA46DA">
        <w:t>region</w:t>
      </w:r>
      <w:r w:rsidRPr="000D1F51">
        <w:t xml:space="preserve">, which has experienced an increase in younger people </w:t>
      </w:r>
      <w:r w:rsidR="00BD4CA2">
        <w:t>moving</w:t>
      </w:r>
      <w:r w:rsidRPr="000D1F51">
        <w:t xml:space="preserve"> to</w:t>
      </w:r>
      <w:r w:rsidR="00452A06">
        <w:t xml:space="preserve"> Melbourne’s</w:t>
      </w:r>
      <w:r w:rsidRPr="000D1F51">
        <w:t xml:space="preserve"> peri-urban area.</w:t>
      </w:r>
    </w:p>
    <w:p w:rsidR="00C44A14" w:rsidRDefault="0031214C" w:rsidP="003E386E">
      <w:pPr>
        <w:pStyle w:val="bt"/>
      </w:pPr>
      <w:r w:rsidRPr="000D1F51">
        <w:t xml:space="preserve">The </w:t>
      </w:r>
      <w:r>
        <w:t>plan</w:t>
      </w:r>
      <w:r w:rsidRPr="000D1F51">
        <w:t xml:space="preserve"> encourages adoption of various measures to address youth out-migration, such as improved access to a range of employment, education and other community facilities.</w:t>
      </w:r>
      <w:bookmarkStart w:id="501" w:name="_Ref356577515"/>
    </w:p>
    <w:p w:rsidR="00C44A14" w:rsidRDefault="00C44A14">
      <w:pPr>
        <w:rPr>
          <w:rFonts w:ascii="Calibri" w:eastAsia="Times New Roman" w:hAnsi="Calibri" w:cs="Times New Roman"/>
          <w:szCs w:val="24"/>
        </w:rPr>
      </w:pPr>
      <w:r>
        <w:br w:type="page"/>
      </w:r>
    </w:p>
    <w:p w:rsidR="00EB5E3D" w:rsidRDefault="00DA722B" w:rsidP="00681189">
      <w:pPr>
        <w:pStyle w:val="Caption"/>
      </w:pPr>
      <w:bookmarkStart w:id="502" w:name="_Toc374612560"/>
      <w:r w:rsidRPr="00681189">
        <w:t xml:space="preserve">Table </w:t>
      </w:r>
      <w:r w:rsidR="00AA3D97" w:rsidRPr="00681189">
        <w:fldChar w:fldCharType="begin"/>
      </w:r>
      <w:r w:rsidRPr="00681189">
        <w:instrText xml:space="preserve"> SEQ Table \* ARABIC </w:instrText>
      </w:r>
      <w:r w:rsidR="00AA3D97" w:rsidRPr="00681189">
        <w:fldChar w:fldCharType="separate"/>
      </w:r>
      <w:r w:rsidR="009034D4">
        <w:rPr>
          <w:noProof/>
        </w:rPr>
        <w:t>7</w:t>
      </w:r>
      <w:r w:rsidR="00AA3D97" w:rsidRPr="00681189">
        <w:fldChar w:fldCharType="end"/>
      </w:r>
      <w:bookmarkEnd w:id="501"/>
      <w:r w:rsidR="00EB5E3D" w:rsidRPr="00681189">
        <w:t>: Implie</w:t>
      </w:r>
      <w:r w:rsidR="00833EA0" w:rsidRPr="00681189">
        <w:t xml:space="preserve">d net migration of youth (2006 </w:t>
      </w:r>
      <w:r w:rsidRPr="00681189">
        <w:t xml:space="preserve">to 2011) – Victorian regions </w:t>
      </w:r>
      <w:r w:rsidR="00D84217" w:rsidRPr="00681189">
        <w:t>percentage</w:t>
      </w:r>
      <w:r w:rsidRPr="00681189">
        <w:t xml:space="preserve"> change</w:t>
      </w:r>
      <w:bookmarkEnd w:id="502"/>
    </w:p>
    <w:p w:rsidR="00877874" w:rsidRPr="005B2427" w:rsidRDefault="00877874" w:rsidP="00877874">
      <w:pPr>
        <w:pStyle w:val="bt"/>
        <w:spacing w:before="60" w:after="0"/>
        <w:rPr>
          <w:b/>
          <w:szCs w:val="20"/>
        </w:rPr>
      </w:pPr>
      <w:r w:rsidRPr="005B2427">
        <w:rPr>
          <w:b/>
          <w:szCs w:val="20"/>
        </w:rPr>
        <w:t xml:space="preserve">Region: </w:t>
      </w:r>
      <w:r w:rsidRPr="005B2427">
        <w:rPr>
          <w:rFonts w:cstheme="minorHAnsi"/>
          <w:szCs w:val="20"/>
        </w:rPr>
        <w:t>Hume</w:t>
      </w:r>
    </w:p>
    <w:p w:rsidR="00877874" w:rsidRPr="005B2427" w:rsidRDefault="00877874" w:rsidP="00877874">
      <w:pPr>
        <w:pStyle w:val="bt"/>
        <w:numPr>
          <w:ilvl w:val="0"/>
          <w:numId w:val="36"/>
        </w:numPr>
        <w:spacing w:before="60" w:after="0"/>
        <w:rPr>
          <w:b/>
          <w:szCs w:val="20"/>
        </w:rPr>
      </w:pPr>
      <w:r w:rsidRPr="005B2427">
        <w:rPr>
          <w:b/>
          <w:szCs w:val="20"/>
        </w:rPr>
        <w:t>Age:</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13 in 2006 becoming 18 in 2011 – </w:t>
      </w:r>
      <w:r w:rsidRPr="005B2427">
        <w:rPr>
          <w:rFonts w:cstheme="minorHAnsi"/>
          <w:szCs w:val="20"/>
        </w:rPr>
        <w:t>-8%</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14 in 2006 becoming 19 in 2011</w:t>
      </w:r>
      <w:r w:rsidRPr="005B2427">
        <w:rPr>
          <w:rFonts w:cstheme="minorHAnsi"/>
          <w:bCs/>
          <w:szCs w:val="20"/>
        </w:rPr>
        <w:t xml:space="preserve"> – </w:t>
      </w:r>
      <w:r w:rsidRPr="005B2427">
        <w:rPr>
          <w:rFonts w:cstheme="minorHAnsi"/>
          <w:szCs w:val="20"/>
        </w:rPr>
        <w:t>-23%</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15 in 2006 becoming 20 in 2011 – </w:t>
      </w:r>
      <w:r w:rsidRPr="005B2427">
        <w:rPr>
          <w:rFonts w:cstheme="minorHAnsi"/>
          <w:szCs w:val="20"/>
        </w:rPr>
        <w:t>-29%</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16 in 2006 becoming 21 in 2011 – </w:t>
      </w:r>
      <w:r w:rsidRPr="005B2427">
        <w:rPr>
          <w:rFonts w:cstheme="minorHAnsi"/>
          <w:szCs w:val="20"/>
        </w:rPr>
        <w:t>-31%</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17 in 2006 becoming 22 in 2011 – </w:t>
      </w:r>
      <w:r w:rsidRPr="005B2427">
        <w:rPr>
          <w:rFonts w:cstheme="minorHAnsi"/>
          <w:szCs w:val="20"/>
        </w:rPr>
        <w:t>-28%</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18 in 2006 becoming 23 in 2011 – </w:t>
      </w:r>
      <w:r w:rsidRPr="005B2427">
        <w:rPr>
          <w:rFonts w:cstheme="minorHAnsi"/>
          <w:szCs w:val="20"/>
        </w:rPr>
        <w:t>-26%</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19 in 2006 becoming 24 in 2011 – </w:t>
      </w:r>
      <w:r w:rsidRPr="005B2427">
        <w:rPr>
          <w:rFonts w:cstheme="minorHAnsi"/>
          <w:szCs w:val="20"/>
        </w:rPr>
        <w:t>-12%</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20 in 2006 becoming 25 in 2011 – </w:t>
      </w:r>
      <w:r w:rsidRPr="005B2427">
        <w:rPr>
          <w:rFonts w:cstheme="minorHAnsi"/>
          <w:szCs w:val="20"/>
        </w:rPr>
        <w:t>-3%</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13 to 20 in 2006 becoming 18 to 25 in 2011</w:t>
      </w:r>
      <w:r w:rsidRPr="005B2427">
        <w:rPr>
          <w:rFonts w:cstheme="minorHAnsi"/>
          <w:bCs/>
          <w:szCs w:val="20"/>
        </w:rPr>
        <w:t xml:space="preserve"> – </w:t>
      </w:r>
      <w:r w:rsidRPr="005B2427">
        <w:rPr>
          <w:rFonts w:cstheme="minorHAnsi"/>
          <w:b/>
          <w:bCs/>
          <w:szCs w:val="20"/>
        </w:rPr>
        <w:t>-21%</w:t>
      </w:r>
    </w:p>
    <w:p w:rsidR="00877874" w:rsidRPr="005B2427" w:rsidRDefault="00877874" w:rsidP="00877874">
      <w:pPr>
        <w:pStyle w:val="bt"/>
        <w:spacing w:before="60" w:after="0"/>
        <w:rPr>
          <w:b/>
          <w:szCs w:val="20"/>
        </w:rPr>
      </w:pPr>
      <w:r w:rsidRPr="005B2427">
        <w:rPr>
          <w:b/>
          <w:szCs w:val="20"/>
        </w:rPr>
        <w:t xml:space="preserve">Region: </w:t>
      </w:r>
      <w:r w:rsidRPr="005B2427">
        <w:rPr>
          <w:rFonts w:cstheme="minorHAnsi"/>
          <w:szCs w:val="20"/>
        </w:rPr>
        <w:t>Barwon</w:t>
      </w:r>
    </w:p>
    <w:p w:rsidR="00877874" w:rsidRPr="005B2427" w:rsidRDefault="00877874" w:rsidP="00877874">
      <w:pPr>
        <w:pStyle w:val="bt"/>
        <w:numPr>
          <w:ilvl w:val="0"/>
          <w:numId w:val="36"/>
        </w:numPr>
        <w:spacing w:before="60" w:after="0"/>
        <w:rPr>
          <w:b/>
          <w:szCs w:val="20"/>
        </w:rPr>
      </w:pPr>
      <w:r w:rsidRPr="005B2427">
        <w:rPr>
          <w:b/>
          <w:szCs w:val="20"/>
        </w:rPr>
        <w:t>Age:</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13 in 2006 becoming 18 in 2011 – </w:t>
      </w:r>
      <w:r w:rsidRPr="005B2427">
        <w:rPr>
          <w:rFonts w:cstheme="minorHAnsi"/>
          <w:szCs w:val="20"/>
        </w:rPr>
        <w:t>-2%</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14 in 2006 becoming 19 in 2011</w:t>
      </w:r>
      <w:r w:rsidRPr="005B2427">
        <w:rPr>
          <w:rFonts w:cstheme="minorHAnsi"/>
          <w:bCs/>
          <w:szCs w:val="20"/>
        </w:rPr>
        <w:t xml:space="preserve"> – </w:t>
      </w:r>
      <w:r w:rsidRPr="005B2427">
        <w:rPr>
          <w:rFonts w:cstheme="minorHAnsi"/>
          <w:szCs w:val="20"/>
        </w:rPr>
        <w:t>-4%</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15 in 2006 becoming 20 in 2011 – </w:t>
      </w:r>
      <w:r w:rsidRPr="005B2427">
        <w:rPr>
          <w:rFonts w:cstheme="minorHAnsi"/>
          <w:szCs w:val="20"/>
        </w:rPr>
        <w:t>-6%</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16 in 2006 becoming 21 in 2011 – </w:t>
      </w:r>
      <w:r w:rsidRPr="005B2427">
        <w:rPr>
          <w:rFonts w:cstheme="minorHAnsi"/>
          <w:szCs w:val="20"/>
        </w:rPr>
        <w:t>-7%</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17 in 2006 becoming 22 in 2011 – </w:t>
      </w:r>
      <w:r w:rsidRPr="005B2427">
        <w:rPr>
          <w:rFonts w:cstheme="minorHAnsi"/>
          <w:szCs w:val="20"/>
        </w:rPr>
        <w:t>-7%</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18 in 2006 becoming 23 in 2011 – </w:t>
      </w:r>
      <w:r w:rsidRPr="005B2427">
        <w:rPr>
          <w:rFonts w:cstheme="minorHAnsi"/>
          <w:szCs w:val="20"/>
        </w:rPr>
        <w:t>-5%</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19 in 2006 becoming 24 in 2011 – </w:t>
      </w:r>
      <w:r w:rsidRPr="005B2427">
        <w:rPr>
          <w:rFonts w:cstheme="minorHAnsi"/>
          <w:szCs w:val="20"/>
        </w:rPr>
        <w:t>-2%</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20 in 2006 becoming 25 in 2011 – </w:t>
      </w:r>
      <w:r w:rsidRPr="005B2427">
        <w:rPr>
          <w:rFonts w:cstheme="minorHAnsi"/>
          <w:szCs w:val="20"/>
        </w:rPr>
        <w:t>-3%</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13 to 20 in 2006 becoming 18 to 25 in 2011</w:t>
      </w:r>
      <w:r w:rsidRPr="005B2427">
        <w:rPr>
          <w:rFonts w:cstheme="minorHAnsi"/>
          <w:bCs/>
          <w:szCs w:val="20"/>
        </w:rPr>
        <w:t xml:space="preserve"> – </w:t>
      </w:r>
      <w:r w:rsidRPr="005B2427">
        <w:rPr>
          <w:rFonts w:cstheme="minorHAnsi"/>
          <w:b/>
          <w:bCs/>
          <w:szCs w:val="20"/>
        </w:rPr>
        <w:t>-5%</w:t>
      </w:r>
    </w:p>
    <w:p w:rsidR="00877874" w:rsidRPr="005B2427" w:rsidRDefault="00877874" w:rsidP="00877874">
      <w:pPr>
        <w:pStyle w:val="bt"/>
        <w:spacing w:before="60" w:after="0"/>
        <w:rPr>
          <w:b/>
          <w:szCs w:val="20"/>
        </w:rPr>
      </w:pPr>
      <w:r w:rsidRPr="005B2427">
        <w:rPr>
          <w:b/>
          <w:szCs w:val="20"/>
        </w:rPr>
        <w:t xml:space="preserve">Region: </w:t>
      </w:r>
      <w:r w:rsidRPr="005B2427">
        <w:rPr>
          <w:rFonts w:cstheme="minorHAnsi"/>
          <w:szCs w:val="20"/>
        </w:rPr>
        <w:t>Great South Coast</w:t>
      </w:r>
    </w:p>
    <w:p w:rsidR="00877874" w:rsidRPr="005B2427" w:rsidRDefault="00877874" w:rsidP="00877874">
      <w:pPr>
        <w:pStyle w:val="bt"/>
        <w:numPr>
          <w:ilvl w:val="0"/>
          <w:numId w:val="36"/>
        </w:numPr>
        <w:spacing w:before="60" w:after="0"/>
        <w:rPr>
          <w:b/>
          <w:szCs w:val="20"/>
        </w:rPr>
      </w:pPr>
      <w:r w:rsidRPr="005B2427">
        <w:rPr>
          <w:b/>
          <w:szCs w:val="20"/>
        </w:rPr>
        <w:t>Age:</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13 in 2006 becoming 18 in 2011 – </w:t>
      </w:r>
      <w:r w:rsidRPr="005B2427">
        <w:rPr>
          <w:rFonts w:cstheme="minorHAnsi"/>
          <w:szCs w:val="20"/>
        </w:rPr>
        <w:t>-12%</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14 in 2006 becoming 19 in 2011</w:t>
      </w:r>
      <w:r w:rsidRPr="005B2427">
        <w:rPr>
          <w:rFonts w:cstheme="minorHAnsi"/>
          <w:bCs/>
          <w:szCs w:val="20"/>
        </w:rPr>
        <w:t xml:space="preserve"> – </w:t>
      </w:r>
      <w:r w:rsidRPr="005B2427">
        <w:rPr>
          <w:rFonts w:cstheme="minorHAnsi"/>
          <w:szCs w:val="20"/>
        </w:rPr>
        <w:t>-21%</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15 in 2006 becoming 20 in 2011 – </w:t>
      </w:r>
      <w:r w:rsidRPr="005B2427">
        <w:rPr>
          <w:rFonts w:cstheme="minorHAnsi"/>
          <w:szCs w:val="20"/>
        </w:rPr>
        <w:t>-31%</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16 in 2006 becoming 21 in 2011 – </w:t>
      </w:r>
      <w:r w:rsidRPr="005B2427">
        <w:rPr>
          <w:rFonts w:cstheme="minorHAnsi"/>
          <w:szCs w:val="20"/>
        </w:rPr>
        <w:t>-33%</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17 in 2006 becoming 22 in 2011 – </w:t>
      </w:r>
      <w:r w:rsidRPr="005B2427">
        <w:rPr>
          <w:rFonts w:cstheme="minorHAnsi"/>
          <w:szCs w:val="20"/>
        </w:rPr>
        <w:t>-33%</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18 in 2006 becoming 23 in 2011 – </w:t>
      </w:r>
      <w:r w:rsidRPr="005B2427">
        <w:rPr>
          <w:rFonts w:cstheme="minorHAnsi"/>
          <w:szCs w:val="20"/>
        </w:rPr>
        <w:t>-28%</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19 in 2006 becoming 24 in 2011 – </w:t>
      </w:r>
      <w:r w:rsidRPr="005B2427">
        <w:rPr>
          <w:rFonts w:cstheme="minorHAnsi"/>
          <w:szCs w:val="20"/>
        </w:rPr>
        <w:t>-17%</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20 in 2006 becoming 25 in 2011 – </w:t>
      </w:r>
      <w:r w:rsidRPr="005B2427">
        <w:rPr>
          <w:rFonts w:cstheme="minorHAnsi"/>
          <w:szCs w:val="20"/>
        </w:rPr>
        <w:t>-17%</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13 to 20 in 2006 becoming 18 to 25 in 2011</w:t>
      </w:r>
      <w:r w:rsidRPr="005B2427">
        <w:rPr>
          <w:rFonts w:cstheme="minorHAnsi"/>
          <w:bCs/>
          <w:szCs w:val="20"/>
        </w:rPr>
        <w:t xml:space="preserve"> – </w:t>
      </w:r>
      <w:r w:rsidRPr="005B2427">
        <w:rPr>
          <w:rFonts w:cstheme="minorHAnsi"/>
          <w:b/>
          <w:bCs/>
          <w:szCs w:val="20"/>
        </w:rPr>
        <w:t>-24%</w:t>
      </w:r>
    </w:p>
    <w:p w:rsidR="00877874" w:rsidRPr="005B2427" w:rsidRDefault="00877874" w:rsidP="00877874">
      <w:pPr>
        <w:pStyle w:val="bt"/>
        <w:spacing w:before="60" w:after="0"/>
        <w:rPr>
          <w:b/>
          <w:szCs w:val="20"/>
        </w:rPr>
      </w:pPr>
      <w:r w:rsidRPr="005B2427">
        <w:rPr>
          <w:b/>
          <w:szCs w:val="20"/>
        </w:rPr>
        <w:t xml:space="preserve">Region: </w:t>
      </w:r>
      <w:r w:rsidRPr="005B2427">
        <w:rPr>
          <w:rFonts w:cstheme="minorHAnsi"/>
          <w:szCs w:val="20"/>
        </w:rPr>
        <w:t>Central Highlands</w:t>
      </w:r>
    </w:p>
    <w:p w:rsidR="00877874" w:rsidRPr="005B2427" w:rsidRDefault="00877874" w:rsidP="00877874">
      <w:pPr>
        <w:pStyle w:val="bt"/>
        <w:numPr>
          <w:ilvl w:val="0"/>
          <w:numId w:val="36"/>
        </w:numPr>
        <w:spacing w:before="60" w:after="0"/>
        <w:rPr>
          <w:b/>
          <w:szCs w:val="20"/>
        </w:rPr>
      </w:pPr>
      <w:r w:rsidRPr="005B2427">
        <w:rPr>
          <w:b/>
          <w:szCs w:val="20"/>
        </w:rPr>
        <w:t>Age:</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13 in 2006 becoming 18 in 2011 – </w:t>
      </w:r>
      <w:r w:rsidRPr="005B2427">
        <w:rPr>
          <w:rFonts w:cstheme="minorHAnsi"/>
          <w:szCs w:val="20"/>
        </w:rPr>
        <w:t>+1%</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14 in 2006 becoming 19 in 2011</w:t>
      </w:r>
      <w:r w:rsidRPr="005B2427">
        <w:rPr>
          <w:rFonts w:cstheme="minorHAnsi"/>
          <w:bCs/>
          <w:szCs w:val="20"/>
        </w:rPr>
        <w:t xml:space="preserve"> – </w:t>
      </w:r>
      <w:r w:rsidRPr="005B2427">
        <w:rPr>
          <w:rFonts w:cstheme="minorHAnsi"/>
          <w:szCs w:val="20"/>
        </w:rPr>
        <w:t>+3%</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15 in 2006 becoming 20 in 2011 – </w:t>
      </w:r>
      <w:r w:rsidRPr="005B2427">
        <w:rPr>
          <w:rFonts w:cstheme="minorHAnsi"/>
          <w:szCs w:val="20"/>
        </w:rPr>
        <w:t>+1%</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16 in 2006 becoming 21 in 2011 – </w:t>
      </w:r>
      <w:r w:rsidRPr="005B2427">
        <w:rPr>
          <w:rFonts w:cstheme="minorHAnsi"/>
          <w:szCs w:val="20"/>
        </w:rPr>
        <w:t>+1%</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17 in 2006 becoming 22 in 2011 – </w:t>
      </w:r>
      <w:r w:rsidRPr="005B2427">
        <w:rPr>
          <w:rFonts w:cstheme="minorHAnsi"/>
          <w:szCs w:val="20"/>
        </w:rPr>
        <w:t>-7%</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18 in 2006 becoming 23 in 2011 – </w:t>
      </w:r>
      <w:r w:rsidRPr="005B2427">
        <w:rPr>
          <w:rFonts w:cstheme="minorHAnsi"/>
          <w:szCs w:val="20"/>
        </w:rPr>
        <w:t>-10%</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19 in 2006 becoming 24 in 2011 – </w:t>
      </w:r>
      <w:r w:rsidRPr="005B2427">
        <w:rPr>
          <w:rFonts w:cstheme="minorHAnsi"/>
          <w:szCs w:val="20"/>
        </w:rPr>
        <w:t>-14%</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20 in 2006 becoming 25 in 2011 – </w:t>
      </w:r>
      <w:r w:rsidRPr="005B2427">
        <w:rPr>
          <w:rFonts w:cstheme="minorHAnsi"/>
          <w:szCs w:val="20"/>
        </w:rPr>
        <w:t>-9%</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13 to 20 in 2006 becoming 18 to 25 in 2011</w:t>
      </w:r>
      <w:r w:rsidRPr="005B2427">
        <w:rPr>
          <w:rFonts w:cstheme="minorHAnsi"/>
          <w:bCs/>
          <w:szCs w:val="20"/>
        </w:rPr>
        <w:t xml:space="preserve"> – </w:t>
      </w:r>
      <w:r w:rsidRPr="005B2427">
        <w:rPr>
          <w:rFonts w:cstheme="minorHAnsi"/>
          <w:b/>
          <w:bCs/>
          <w:szCs w:val="20"/>
        </w:rPr>
        <w:t>-4%</w:t>
      </w:r>
    </w:p>
    <w:p w:rsidR="00877874" w:rsidRPr="005B2427" w:rsidRDefault="00877874" w:rsidP="00877874">
      <w:pPr>
        <w:pStyle w:val="bt"/>
        <w:spacing w:before="60" w:after="0"/>
        <w:rPr>
          <w:b/>
          <w:szCs w:val="20"/>
        </w:rPr>
      </w:pPr>
      <w:r w:rsidRPr="005B2427">
        <w:rPr>
          <w:b/>
          <w:szCs w:val="20"/>
        </w:rPr>
        <w:t xml:space="preserve">Region: </w:t>
      </w:r>
      <w:r w:rsidRPr="005B2427">
        <w:rPr>
          <w:rFonts w:cstheme="minorHAnsi"/>
          <w:szCs w:val="20"/>
        </w:rPr>
        <w:t>Wimmera South Mallee</w:t>
      </w:r>
    </w:p>
    <w:p w:rsidR="00877874" w:rsidRPr="005B2427" w:rsidRDefault="00877874" w:rsidP="00877874">
      <w:pPr>
        <w:pStyle w:val="bt"/>
        <w:numPr>
          <w:ilvl w:val="0"/>
          <w:numId w:val="36"/>
        </w:numPr>
        <w:spacing w:before="60" w:after="0"/>
        <w:rPr>
          <w:b/>
          <w:szCs w:val="20"/>
        </w:rPr>
      </w:pPr>
      <w:r w:rsidRPr="005B2427">
        <w:rPr>
          <w:b/>
          <w:szCs w:val="20"/>
        </w:rPr>
        <w:t>Age:</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13 in 2006 becoming 18 in 2011 – </w:t>
      </w:r>
      <w:r w:rsidRPr="005B2427">
        <w:rPr>
          <w:rFonts w:cstheme="minorHAnsi"/>
          <w:szCs w:val="20"/>
        </w:rPr>
        <w:t>-18%</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14 in 2006 becoming 19 in 2011</w:t>
      </w:r>
      <w:r w:rsidRPr="005B2427">
        <w:rPr>
          <w:rFonts w:cstheme="minorHAnsi"/>
          <w:bCs/>
          <w:szCs w:val="20"/>
        </w:rPr>
        <w:t xml:space="preserve"> – </w:t>
      </w:r>
      <w:r w:rsidRPr="005B2427">
        <w:rPr>
          <w:rFonts w:cstheme="minorHAnsi"/>
          <w:szCs w:val="20"/>
        </w:rPr>
        <w:t>-30%</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15 in 2006 becoming 20 in 2011 – </w:t>
      </w:r>
      <w:r w:rsidRPr="005B2427">
        <w:rPr>
          <w:rFonts w:cstheme="minorHAnsi"/>
          <w:szCs w:val="20"/>
        </w:rPr>
        <w:t>-35%</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16 in 2006 becoming 21 in 2011 – </w:t>
      </w:r>
      <w:r w:rsidRPr="005B2427">
        <w:rPr>
          <w:rFonts w:cstheme="minorHAnsi"/>
          <w:szCs w:val="20"/>
        </w:rPr>
        <w:t>-39%</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17 in 2006 becoming 22 in 2011 – </w:t>
      </w:r>
      <w:r w:rsidRPr="005B2427">
        <w:rPr>
          <w:rFonts w:cstheme="minorHAnsi"/>
          <w:szCs w:val="20"/>
        </w:rPr>
        <w:t>-28%</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18 in 2006 becoming 23 in 2011 – </w:t>
      </w:r>
      <w:r w:rsidRPr="005B2427">
        <w:rPr>
          <w:rFonts w:cstheme="minorHAnsi"/>
          <w:szCs w:val="20"/>
        </w:rPr>
        <w:t>-18%</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19 in 2006 becoming 24 in 2011 – </w:t>
      </w:r>
      <w:r w:rsidRPr="005B2427">
        <w:rPr>
          <w:rFonts w:cstheme="minorHAnsi"/>
          <w:szCs w:val="20"/>
        </w:rPr>
        <w:t>-1%</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20 in 2006 becoming 25 in 2011 – </w:t>
      </w:r>
      <w:r w:rsidRPr="005B2427">
        <w:rPr>
          <w:rFonts w:cstheme="minorHAnsi"/>
          <w:szCs w:val="20"/>
        </w:rPr>
        <w:t>+4%</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13 to 20 in 2006 becoming 18 to 25 in 2011</w:t>
      </w:r>
      <w:r w:rsidRPr="005B2427">
        <w:rPr>
          <w:rFonts w:cstheme="minorHAnsi"/>
          <w:bCs/>
          <w:szCs w:val="20"/>
        </w:rPr>
        <w:t xml:space="preserve"> – </w:t>
      </w:r>
      <w:r w:rsidRPr="005B2427">
        <w:rPr>
          <w:rFonts w:cstheme="minorHAnsi"/>
          <w:b/>
          <w:bCs/>
          <w:szCs w:val="20"/>
        </w:rPr>
        <w:t>-23%</w:t>
      </w:r>
    </w:p>
    <w:p w:rsidR="00877874" w:rsidRPr="005B2427" w:rsidRDefault="00877874" w:rsidP="00877874">
      <w:pPr>
        <w:pStyle w:val="bt"/>
        <w:spacing w:before="60" w:after="0"/>
        <w:rPr>
          <w:b/>
          <w:szCs w:val="20"/>
        </w:rPr>
      </w:pPr>
      <w:r w:rsidRPr="005B2427">
        <w:rPr>
          <w:b/>
          <w:szCs w:val="20"/>
        </w:rPr>
        <w:t xml:space="preserve">Region: </w:t>
      </w:r>
      <w:r w:rsidRPr="005B2427">
        <w:rPr>
          <w:rFonts w:cstheme="minorHAnsi"/>
          <w:szCs w:val="20"/>
        </w:rPr>
        <w:t>Loddon Mallee North</w:t>
      </w:r>
    </w:p>
    <w:p w:rsidR="00877874" w:rsidRPr="005B2427" w:rsidRDefault="00877874" w:rsidP="00877874">
      <w:pPr>
        <w:pStyle w:val="bt"/>
        <w:numPr>
          <w:ilvl w:val="0"/>
          <w:numId w:val="36"/>
        </w:numPr>
        <w:spacing w:before="60" w:after="0"/>
        <w:rPr>
          <w:b/>
          <w:szCs w:val="20"/>
        </w:rPr>
      </w:pPr>
      <w:r w:rsidRPr="005B2427">
        <w:rPr>
          <w:b/>
          <w:szCs w:val="20"/>
        </w:rPr>
        <w:t>Age:</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13 in 2006 becoming 18 in 2011 – </w:t>
      </w:r>
      <w:r w:rsidRPr="005B2427">
        <w:rPr>
          <w:rFonts w:cstheme="minorHAnsi"/>
          <w:szCs w:val="20"/>
        </w:rPr>
        <w:t>-17%</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14 in 2006 becoming 19 in 2011</w:t>
      </w:r>
      <w:r w:rsidRPr="005B2427">
        <w:rPr>
          <w:rFonts w:cstheme="minorHAnsi"/>
          <w:bCs/>
          <w:szCs w:val="20"/>
        </w:rPr>
        <w:t xml:space="preserve"> – </w:t>
      </w:r>
      <w:r w:rsidRPr="005B2427">
        <w:rPr>
          <w:rFonts w:cstheme="minorHAnsi"/>
          <w:szCs w:val="20"/>
        </w:rPr>
        <w:t>-30%</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15 in 2006 becoming 20 in 2011 – </w:t>
      </w:r>
      <w:r w:rsidRPr="005B2427">
        <w:rPr>
          <w:rFonts w:cstheme="minorHAnsi"/>
          <w:szCs w:val="20"/>
        </w:rPr>
        <w:t>-34%</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16 in 2006 becoming 21 in 2011 – </w:t>
      </w:r>
      <w:r w:rsidRPr="005B2427">
        <w:rPr>
          <w:rFonts w:cstheme="minorHAnsi"/>
          <w:szCs w:val="20"/>
        </w:rPr>
        <w:t>-34%</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17 in 2006 becoming 22 in 2011 – </w:t>
      </w:r>
      <w:r w:rsidRPr="005B2427">
        <w:rPr>
          <w:rFonts w:cstheme="minorHAnsi"/>
          <w:szCs w:val="20"/>
        </w:rPr>
        <w:t>-33%</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18 in 2006 becoming 23 in 2011 – </w:t>
      </w:r>
      <w:r w:rsidRPr="005B2427">
        <w:rPr>
          <w:rFonts w:cstheme="minorHAnsi"/>
          <w:szCs w:val="20"/>
        </w:rPr>
        <w:t>-17%</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19 in 2006 becoming 24 in 2011 – </w:t>
      </w:r>
      <w:r w:rsidRPr="005B2427">
        <w:rPr>
          <w:rFonts w:cstheme="minorHAnsi"/>
          <w:szCs w:val="20"/>
        </w:rPr>
        <w:t>-8%</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20 in 2006 becoming 25 in 2011 – </w:t>
      </w:r>
      <w:r w:rsidRPr="005B2427">
        <w:rPr>
          <w:rFonts w:cstheme="minorHAnsi"/>
          <w:szCs w:val="20"/>
        </w:rPr>
        <w:t>+2%</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13 to 20 in 2006 becoming 18 to 25 in 2011</w:t>
      </w:r>
      <w:r w:rsidRPr="005B2427">
        <w:rPr>
          <w:rFonts w:cstheme="minorHAnsi"/>
          <w:bCs/>
          <w:szCs w:val="20"/>
        </w:rPr>
        <w:t xml:space="preserve"> – </w:t>
      </w:r>
      <w:r w:rsidRPr="005B2427">
        <w:rPr>
          <w:rFonts w:cstheme="minorHAnsi"/>
          <w:b/>
          <w:bCs/>
          <w:szCs w:val="20"/>
        </w:rPr>
        <w:t>-24%</w:t>
      </w:r>
    </w:p>
    <w:p w:rsidR="00877874" w:rsidRPr="005B2427" w:rsidRDefault="00877874" w:rsidP="00877874">
      <w:pPr>
        <w:pStyle w:val="bt"/>
        <w:spacing w:before="60" w:after="0"/>
        <w:rPr>
          <w:b/>
          <w:szCs w:val="20"/>
        </w:rPr>
      </w:pPr>
      <w:r w:rsidRPr="005B2427">
        <w:rPr>
          <w:b/>
          <w:szCs w:val="20"/>
        </w:rPr>
        <w:t xml:space="preserve">Region: </w:t>
      </w:r>
      <w:r w:rsidRPr="005B2427">
        <w:rPr>
          <w:rFonts w:cstheme="minorHAnsi"/>
          <w:szCs w:val="20"/>
        </w:rPr>
        <w:t>Loddon Mallee South</w:t>
      </w:r>
    </w:p>
    <w:p w:rsidR="00877874" w:rsidRPr="005B2427" w:rsidRDefault="00877874" w:rsidP="00877874">
      <w:pPr>
        <w:pStyle w:val="bt"/>
        <w:numPr>
          <w:ilvl w:val="0"/>
          <w:numId w:val="36"/>
        </w:numPr>
        <w:spacing w:before="60" w:after="0"/>
        <w:rPr>
          <w:b/>
          <w:szCs w:val="20"/>
        </w:rPr>
      </w:pPr>
      <w:r w:rsidRPr="005B2427">
        <w:rPr>
          <w:b/>
          <w:szCs w:val="20"/>
        </w:rPr>
        <w:t>Age:</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13 in 2006 becoming 18 in 2011 – </w:t>
      </w:r>
      <w:r w:rsidRPr="005B2427">
        <w:rPr>
          <w:rFonts w:cstheme="minorHAnsi"/>
          <w:szCs w:val="20"/>
        </w:rPr>
        <w:t>-6%</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14 in 2006 becoming 19 in 2011</w:t>
      </w:r>
      <w:r w:rsidRPr="005B2427">
        <w:rPr>
          <w:rFonts w:cstheme="minorHAnsi"/>
          <w:bCs/>
          <w:szCs w:val="20"/>
        </w:rPr>
        <w:t xml:space="preserve"> – </w:t>
      </w:r>
      <w:r w:rsidRPr="005B2427">
        <w:rPr>
          <w:rFonts w:cstheme="minorHAnsi"/>
          <w:szCs w:val="20"/>
        </w:rPr>
        <w:t>-11%</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15 in 2006 becoming 20 in 2011 – </w:t>
      </w:r>
      <w:r w:rsidRPr="005B2427">
        <w:rPr>
          <w:rFonts w:cstheme="minorHAnsi"/>
          <w:szCs w:val="20"/>
        </w:rPr>
        <w:t>-12%</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16 in 2006 becoming 21 in 2011 – </w:t>
      </w:r>
      <w:r w:rsidRPr="005B2427">
        <w:rPr>
          <w:rFonts w:cstheme="minorHAnsi"/>
          <w:szCs w:val="20"/>
        </w:rPr>
        <w:t>-16%</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17 in 2006 becoming 22 in 2011 – </w:t>
      </w:r>
      <w:r w:rsidRPr="005B2427">
        <w:rPr>
          <w:rFonts w:cstheme="minorHAnsi"/>
          <w:szCs w:val="20"/>
        </w:rPr>
        <w:t>-17%</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18 in 2006 becoming 23 in 2011 – </w:t>
      </w:r>
      <w:r w:rsidRPr="005B2427">
        <w:rPr>
          <w:rFonts w:cstheme="minorHAnsi"/>
          <w:szCs w:val="20"/>
        </w:rPr>
        <w:t>-18%</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19 in 2006 becoming 24 in 2011 – </w:t>
      </w:r>
      <w:r w:rsidRPr="005B2427">
        <w:rPr>
          <w:rFonts w:cstheme="minorHAnsi"/>
          <w:szCs w:val="20"/>
        </w:rPr>
        <w:t>-13%</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20 in 2006 becoming 25 in 2011 – </w:t>
      </w:r>
      <w:r w:rsidRPr="005B2427">
        <w:rPr>
          <w:rFonts w:cstheme="minorHAnsi"/>
          <w:szCs w:val="20"/>
        </w:rPr>
        <w:t>-16%</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13 to 20 in 2006 becoming 18 to 25 in 2011</w:t>
      </w:r>
      <w:r w:rsidRPr="005B2427">
        <w:rPr>
          <w:rFonts w:cstheme="minorHAnsi"/>
          <w:bCs/>
          <w:szCs w:val="20"/>
        </w:rPr>
        <w:t xml:space="preserve"> – </w:t>
      </w:r>
      <w:r w:rsidRPr="005B2427">
        <w:rPr>
          <w:rFonts w:cstheme="minorHAnsi"/>
          <w:b/>
          <w:bCs/>
          <w:szCs w:val="20"/>
        </w:rPr>
        <w:t>-14%</w:t>
      </w:r>
    </w:p>
    <w:p w:rsidR="00877874" w:rsidRPr="005B2427" w:rsidRDefault="00877874" w:rsidP="00877874">
      <w:pPr>
        <w:pStyle w:val="bt"/>
        <w:spacing w:before="60" w:after="0"/>
        <w:rPr>
          <w:b/>
          <w:szCs w:val="20"/>
        </w:rPr>
      </w:pPr>
      <w:r w:rsidRPr="005B2427">
        <w:rPr>
          <w:b/>
          <w:szCs w:val="20"/>
        </w:rPr>
        <w:t xml:space="preserve">Region: </w:t>
      </w:r>
      <w:r w:rsidRPr="005B2427">
        <w:rPr>
          <w:rFonts w:cstheme="minorHAnsi"/>
          <w:szCs w:val="20"/>
        </w:rPr>
        <w:t>Gippsland</w:t>
      </w:r>
    </w:p>
    <w:p w:rsidR="00877874" w:rsidRPr="005B2427" w:rsidRDefault="00877874" w:rsidP="00877874">
      <w:pPr>
        <w:pStyle w:val="bt"/>
        <w:numPr>
          <w:ilvl w:val="0"/>
          <w:numId w:val="36"/>
        </w:numPr>
        <w:spacing w:before="60" w:after="0"/>
        <w:rPr>
          <w:b/>
          <w:szCs w:val="20"/>
        </w:rPr>
      </w:pPr>
      <w:r w:rsidRPr="005B2427">
        <w:rPr>
          <w:b/>
          <w:szCs w:val="20"/>
        </w:rPr>
        <w:t>Age:</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13 in 2006 becoming 18 in 2011 – </w:t>
      </w:r>
      <w:r w:rsidRPr="005B2427">
        <w:rPr>
          <w:rFonts w:cstheme="minorHAnsi"/>
          <w:szCs w:val="20"/>
        </w:rPr>
        <w:t>-11%</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14 in 2006 becoming 19 in 2011</w:t>
      </w:r>
      <w:r w:rsidRPr="005B2427">
        <w:rPr>
          <w:rFonts w:cstheme="minorHAnsi"/>
          <w:bCs/>
          <w:szCs w:val="20"/>
        </w:rPr>
        <w:t xml:space="preserve"> – </w:t>
      </w:r>
      <w:r w:rsidR="005B2427" w:rsidRPr="005B2427">
        <w:rPr>
          <w:rFonts w:cstheme="minorHAnsi"/>
          <w:szCs w:val="20"/>
        </w:rPr>
        <w:t>-21%</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15 in 2006 becoming 20 in 2011 – </w:t>
      </w:r>
      <w:r w:rsidR="005B2427" w:rsidRPr="005B2427">
        <w:rPr>
          <w:rFonts w:cstheme="minorHAnsi"/>
          <w:szCs w:val="20"/>
        </w:rPr>
        <w:t>-28%</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16 in 2006 becoming 21 in 2011 – </w:t>
      </w:r>
      <w:r w:rsidR="005B2427" w:rsidRPr="005B2427">
        <w:rPr>
          <w:rFonts w:cstheme="minorHAnsi"/>
          <w:szCs w:val="20"/>
        </w:rPr>
        <w:t>-28%</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17 in 2006 becoming 22 in 2011 – </w:t>
      </w:r>
      <w:r w:rsidR="005B2427" w:rsidRPr="005B2427">
        <w:rPr>
          <w:rFonts w:cstheme="minorHAnsi"/>
          <w:szCs w:val="20"/>
        </w:rPr>
        <w:t>-24%</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18 in 2006 becoming 23 in 2011 – </w:t>
      </w:r>
      <w:r w:rsidR="005B2427" w:rsidRPr="005B2427">
        <w:rPr>
          <w:rFonts w:cstheme="minorHAnsi"/>
          <w:szCs w:val="20"/>
        </w:rPr>
        <w:t>-14%</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19 in 2006 becoming 24 in 2011 – </w:t>
      </w:r>
      <w:r w:rsidR="005B2427" w:rsidRPr="005B2427">
        <w:rPr>
          <w:rFonts w:cstheme="minorHAnsi"/>
          <w:szCs w:val="20"/>
        </w:rPr>
        <w:t>+1%</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20 in 2006 becoming 25 in 2011 – </w:t>
      </w:r>
      <w:r w:rsidR="005B2427" w:rsidRPr="005B2427">
        <w:rPr>
          <w:rFonts w:cstheme="minorHAnsi"/>
          <w:szCs w:val="20"/>
        </w:rPr>
        <w:t>+2%</w:t>
      </w:r>
    </w:p>
    <w:p w:rsidR="00877874" w:rsidRPr="005B2427" w:rsidRDefault="00877874" w:rsidP="00877874">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13 to 20 in 2006 becoming 18 to 25 in 2011</w:t>
      </w:r>
      <w:r w:rsidRPr="005B2427">
        <w:rPr>
          <w:rFonts w:cstheme="minorHAnsi"/>
          <w:bCs/>
          <w:szCs w:val="20"/>
        </w:rPr>
        <w:t xml:space="preserve"> – </w:t>
      </w:r>
      <w:r w:rsidR="005B2427" w:rsidRPr="005B2427">
        <w:rPr>
          <w:rFonts w:cstheme="minorHAnsi"/>
          <w:b/>
          <w:bCs/>
          <w:szCs w:val="20"/>
        </w:rPr>
        <w:t>-17%</w:t>
      </w:r>
    </w:p>
    <w:p w:rsidR="005B2427" w:rsidRPr="005B2427" w:rsidRDefault="005B2427" w:rsidP="005B2427">
      <w:pPr>
        <w:pStyle w:val="bt"/>
        <w:spacing w:before="60" w:after="0"/>
        <w:rPr>
          <w:b/>
          <w:szCs w:val="20"/>
        </w:rPr>
      </w:pPr>
      <w:r w:rsidRPr="005B2427">
        <w:rPr>
          <w:b/>
          <w:szCs w:val="20"/>
        </w:rPr>
        <w:t xml:space="preserve">Region: </w:t>
      </w:r>
      <w:r w:rsidRPr="005B2427">
        <w:rPr>
          <w:rFonts w:cstheme="minorHAnsi"/>
          <w:szCs w:val="20"/>
        </w:rPr>
        <w:t>Melbourne</w:t>
      </w:r>
    </w:p>
    <w:p w:rsidR="005B2427" w:rsidRPr="005B2427" w:rsidRDefault="005B2427" w:rsidP="005B2427">
      <w:pPr>
        <w:pStyle w:val="bt"/>
        <w:numPr>
          <w:ilvl w:val="0"/>
          <w:numId w:val="36"/>
        </w:numPr>
        <w:spacing w:before="60" w:after="0"/>
        <w:rPr>
          <w:b/>
          <w:szCs w:val="20"/>
        </w:rPr>
      </w:pPr>
      <w:r w:rsidRPr="005B2427">
        <w:rPr>
          <w:b/>
          <w:szCs w:val="20"/>
        </w:rPr>
        <w:t>Age:</w:t>
      </w:r>
    </w:p>
    <w:p w:rsidR="005B2427" w:rsidRPr="005B2427" w:rsidRDefault="005B2427" w:rsidP="005B2427">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13 in 2006 becoming 18 in 2011 – </w:t>
      </w:r>
      <w:r w:rsidRPr="005B2427">
        <w:rPr>
          <w:rFonts w:cstheme="minorHAnsi"/>
          <w:szCs w:val="20"/>
        </w:rPr>
        <w:t>+9%</w:t>
      </w:r>
    </w:p>
    <w:p w:rsidR="005B2427" w:rsidRPr="005B2427" w:rsidRDefault="005B2427" w:rsidP="005B2427">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14 in 2006 becoming 19 in 2011</w:t>
      </w:r>
      <w:r w:rsidRPr="005B2427">
        <w:rPr>
          <w:rFonts w:cstheme="minorHAnsi"/>
          <w:bCs/>
          <w:szCs w:val="20"/>
        </w:rPr>
        <w:t xml:space="preserve"> – </w:t>
      </w:r>
      <w:r w:rsidRPr="005B2427">
        <w:rPr>
          <w:rFonts w:cstheme="minorHAnsi"/>
          <w:szCs w:val="20"/>
        </w:rPr>
        <w:t>+15%</w:t>
      </w:r>
    </w:p>
    <w:p w:rsidR="005B2427" w:rsidRPr="005B2427" w:rsidRDefault="005B2427" w:rsidP="005B2427">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15 in 2006 becoming 20 in 2011 – </w:t>
      </w:r>
      <w:r w:rsidRPr="005B2427">
        <w:rPr>
          <w:rFonts w:cstheme="minorHAnsi"/>
          <w:szCs w:val="20"/>
        </w:rPr>
        <w:t>+20%</w:t>
      </w:r>
    </w:p>
    <w:p w:rsidR="005B2427" w:rsidRPr="005B2427" w:rsidRDefault="005B2427" w:rsidP="005B2427">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16 in 2006 becoming 21 in 2011 – </w:t>
      </w:r>
      <w:r w:rsidRPr="005B2427">
        <w:rPr>
          <w:rFonts w:cstheme="minorHAnsi"/>
          <w:szCs w:val="20"/>
        </w:rPr>
        <w:t>+25%</w:t>
      </w:r>
    </w:p>
    <w:p w:rsidR="005B2427" w:rsidRPr="005B2427" w:rsidRDefault="005B2427" w:rsidP="005B2427">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17 in 2006 becoming 22 in 2011 – </w:t>
      </w:r>
      <w:r w:rsidRPr="005B2427">
        <w:rPr>
          <w:rFonts w:cstheme="minorHAnsi"/>
          <w:szCs w:val="20"/>
        </w:rPr>
        <w:t>+25%</w:t>
      </w:r>
    </w:p>
    <w:p w:rsidR="005B2427" w:rsidRPr="005B2427" w:rsidRDefault="005B2427" w:rsidP="005B2427">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18 in 2006 becoming 23 in 2011 – </w:t>
      </w:r>
      <w:r w:rsidRPr="005B2427">
        <w:rPr>
          <w:rFonts w:cstheme="minorHAnsi"/>
          <w:szCs w:val="20"/>
        </w:rPr>
        <w:t>+24%</w:t>
      </w:r>
    </w:p>
    <w:p w:rsidR="005B2427" w:rsidRPr="005B2427" w:rsidRDefault="005B2427" w:rsidP="005B2427">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19 in 2006 becoming 24 in 2011 – </w:t>
      </w:r>
      <w:r w:rsidRPr="005B2427">
        <w:rPr>
          <w:rFonts w:cstheme="minorHAnsi"/>
          <w:szCs w:val="20"/>
        </w:rPr>
        <w:t>+19%</w:t>
      </w:r>
    </w:p>
    <w:p w:rsidR="005B2427" w:rsidRPr="005B2427" w:rsidRDefault="005B2427" w:rsidP="005B2427">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 xml:space="preserve">20 in 2006 becoming 25 in 2011 – </w:t>
      </w:r>
      <w:r w:rsidRPr="005B2427">
        <w:rPr>
          <w:rFonts w:cstheme="minorHAnsi"/>
          <w:szCs w:val="20"/>
        </w:rPr>
        <w:t>+17%</w:t>
      </w:r>
    </w:p>
    <w:p w:rsidR="00877874" w:rsidRPr="005B2427" w:rsidRDefault="005B2427" w:rsidP="005B2427">
      <w:pPr>
        <w:pStyle w:val="bt"/>
        <w:numPr>
          <w:ilvl w:val="0"/>
          <w:numId w:val="37"/>
        </w:numPr>
        <w:spacing w:before="60" w:after="0"/>
        <w:ind w:left="1134"/>
        <w:rPr>
          <w:rFonts w:asciiTheme="minorHAnsi" w:hAnsiTheme="minorHAnsi" w:cstheme="minorHAnsi"/>
          <w:bCs/>
          <w:szCs w:val="20"/>
        </w:rPr>
      </w:pPr>
      <w:r w:rsidRPr="005B2427">
        <w:rPr>
          <w:rFonts w:asciiTheme="minorHAnsi" w:hAnsiTheme="minorHAnsi" w:cstheme="minorHAnsi"/>
          <w:bCs/>
          <w:szCs w:val="20"/>
        </w:rPr>
        <w:t>13 to 20 in 2006 becoming 18 to 25 in 2011</w:t>
      </w:r>
      <w:r w:rsidRPr="005B2427">
        <w:rPr>
          <w:rFonts w:cstheme="minorHAnsi"/>
          <w:bCs/>
          <w:szCs w:val="20"/>
        </w:rPr>
        <w:t xml:space="preserve"> – </w:t>
      </w:r>
      <w:r w:rsidRPr="005B2427">
        <w:rPr>
          <w:rFonts w:cstheme="minorHAnsi"/>
          <w:b/>
          <w:bCs/>
          <w:szCs w:val="20"/>
        </w:rPr>
        <w:t>+20%</w:t>
      </w:r>
    </w:p>
    <w:p w:rsidR="00877874" w:rsidRPr="005B2427" w:rsidRDefault="00EE0F0D" w:rsidP="005B2427">
      <w:pPr>
        <w:pStyle w:val="source"/>
        <w:rPr>
          <w:b/>
        </w:rPr>
      </w:pPr>
      <w:r w:rsidRPr="002262EE">
        <w:t>Source: Australian Bureau of Statistics</w:t>
      </w:r>
      <w:r>
        <w:t xml:space="preserve"> – Census data</w:t>
      </w:r>
      <w:bookmarkStart w:id="503" w:name="_Toc355970869"/>
      <w:r w:rsidR="003E386E">
        <w:t xml:space="preserve"> </w:t>
      </w:r>
      <w:r w:rsidR="00606E36" w:rsidRPr="00BF7737">
        <w:t>Disadvantage</w:t>
      </w:r>
      <w:bookmarkEnd w:id="503"/>
    </w:p>
    <w:p w:rsidR="007A143F" w:rsidRDefault="00606E36">
      <w:pPr>
        <w:pStyle w:val="bt"/>
      </w:pPr>
      <w:r w:rsidRPr="000D1F51">
        <w:t xml:space="preserve">There is considerable variation in income distribution across the </w:t>
      </w:r>
      <w:r w:rsidR="00AE4896">
        <w:t>r</w:t>
      </w:r>
      <w:r w:rsidRPr="000D1F51">
        <w:t>egion. Each municipality has pockets of high and low</w:t>
      </w:r>
      <w:r w:rsidR="000F5C42">
        <w:t xml:space="preserve"> </w:t>
      </w:r>
      <w:r w:rsidRPr="000D1F51">
        <w:t xml:space="preserve">income areas. Rural areas have a slightly less wealthy income profile because wealth is held in land assets rather than income. </w:t>
      </w:r>
      <w:r w:rsidR="00452A06">
        <w:t>P</w:t>
      </w:r>
      <w:r w:rsidRPr="000D1F51">
        <w:t xml:space="preserve">eri-urban areas near Melbourne and around the larger settlements rate lowest on measures of disadvantage, as do some rural areas. </w:t>
      </w:r>
    </w:p>
    <w:p w:rsidR="007A143F" w:rsidRDefault="00606E36">
      <w:pPr>
        <w:pStyle w:val="bt"/>
      </w:pPr>
      <w:r w:rsidRPr="000D1F51">
        <w:t xml:space="preserve">In the </w:t>
      </w:r>
      <w:r w:rsidR="00452A06">
        <w:t>r</w:t>
      </w:r>
      <w:r w:rsidRPr="000D1F51">
        <w:t>egion, disadvantage can be linked to a range of factors, including:</w:t>
      </w:r>
    </w:p>
    <w:p w:rsidR="007A143F" w:rsidRDefault="00606E36" w:rsidP="001A3FCF">
      <w:pPr>
        <w:pStyle w:val="ListBullet"/>
      </w:pPr>
      <w:r w:rsidRPr="000D1F51">
        <w:t>significant restructuring of the region’s industries, particularly manufacturing and agriculture, with consequent reductions in employment</w:t>
      </w:r>
    </w:p>
    <w:p w:rsidR="007A143F" w:rsidRDefault="00606E36" w:rsidP="001A3FCF">
      <w:pPr>
        <w:pStyle w:val="ListBullet"/>
      </w:pPr>
      <w:r w:rsidRPr="000D1F51">
        <w:t>rising house prices, which have resulted in lower income people becoming concentrated in less costly areas that also provide a low level of service and economic opportunities</w:t>
      </w:r>
    </w:p>
    <w:p w:rsidR="007A143F" w:rsidRDefault="00606E36" w:rsidP="001A3FCF">
      <w:pPr>
        <w:pStyle w:val="ListBullet"/>
      </w:pPr>
      <w:r w:rsidRPr="000D1F51">
        <w:t>poor education retention rates.</w:t>
      </w:r>
    </w:p>
    <w:p w:rsidR="001E6B61" w:rsidRDefault="00606E36">
      <w:pPr>
        <w:pStyle w:val="bt"/>
      </w:pPr>
      <w:r w:rsidRPr="000D1F51">
        <w:t xml:space="preserve">The </w:t>
      </w:r>
      <w:r w:rsidR="00452A06">
        <w:t>plan</w:t>
      </w:r>
      <w:r w:rsidR="00452A06" w:rsidRPr="000D1F51">
        <w:t xml:space="preserve"> </w:t>
      </w:r>
      <w:r w:rsidRPr="000D1F51">
        <w:t>encourages strategic measures such as the diversification of the economy and provision of improved access to employment and services, especially in large urban centres, to help address disadvantage in the region.</w:t>
      </w:r>
    </w:p>
    <w:p w:rsidR="001E6B61" w:rsidRDefault="00606E36" w:rsidP="00A41B2E">
      <w:pPr>
        <w:pStyle w:val="Heading3"/>
        <w:numPr>
          <w:ilvl w:val="2"/>
          <w:numId w:val="17"/>
        </w:numPr>
        <w:tabs>
          <w:tab w:val="clear" w:pos="720"/>
          <w:tab w:val="clear" w:pos="900"/>
        </w:tabs>
        <w:spacing w:before="240"/>
        <w:ind w:left="851" w:hanging="851"/>
        <w:rPr>
          <w:b w:val="0"/>
        </w:rPr>
      </w:pPr>
      <w:bookmarkStart w:id="504" w:name="_Toc355969928"/>
      <w:bookmarkStart w:id="505" w:name="_Toc355970095"/>
      <w:bookmarkStart w:id="506" w:name="_Toc355970339"/>
      <w:bookmarkStart w:id="507" w:name="_Toc355970470"/>
      <w:bookmarkStart w:id="508" w:name="_Toc355970602"/>
      <w:bookmarkStart w:id="509" w:name="_Toc355970739"/>
      <w:bookmarkStart w:id="510" w:name="_Toc355970870"/>
      <w:bookmarkStart w:id="511" w:name="_Toc355971001"/>
      <w:bookmarkStart w:id="512" w:name="_Toc355970871"/>
      <w:bookmarkStart w:id="513" w:name="_Toc359423015"/>
      <w:bookmarkStart w:id="514" w:name="_Toc374612516"/>
      <w:bookmarkEnd w:id="504"/>
      <w:bookmarkEnd w:id="505"/>
      <w:bookmarkEnd w:id="506"/>
      <w:bookmarkEnd w:id="507"/>
      <w:bookmarkEnd w:id="508"/>
      <w:bookmarkEnd w:id="509"/>
      <w:bookmarkEnd w:id="510"/>
      <w:bookmarkEnd w:id="511"/>
      <w:r w:rsidRPr="002A3453">
        <w:t>Disability</w:t>
      </w:r>
      <w:bookmarkEnd w:id="512"/>
      <w:bookmarkEnd w:id="513"/>
      <w:bookmarkEnd w:id="514"/>
    </w:p>
    <w:p w:rsidR="001E6B61" w:rsidRDefault="00CF33CE">
      <w:pPr>
        <w:pStyle w:val="bt"/>
        <w:spacing w:before="120"/>
      </w:pPr>
      <w:r>
        <w:t>One million Victorian</w:t>
      </w:r>
      <w:r w:rsidR="00606E36" w:rsidRPr="000D1F51">
        <w:t>s have a disability. This translates to over 18</w:t>
      </w:r>
      <w:r w:rsidR="00846D78">
        <w:t xml:space="preserve"> per cent</w:t>
      </w:r>
      <w:r w:rsidR="00606E36" w:rsidRPr="000D1F51">
        <w:t xml:space="preserve"> of the population or one in five people living in any community</w:t>
      </w:r>
      <w:r w:rsidR="00606E36" w:rsidRPr="000D1F51">
        <w:rPr>
          <w:rStyle w:val="FootnoteReference"/>
          <w:rFonts w:cstheme="minorHAnsi"/>
          <w:szCs w:val="20"/>
        </w:rPr>
        <w:footnoteReference w:id="11"/>
      </w:r>
      <w:r w:rsidR="00606E36" w:rsidRPr="000D1F51">
        <w:t>.</w:t>
      </w:r>
    </w:p>
    <w:p w:rsidR="007A143F" w:rsidRDefault="00606E36">
      <w:pPr>
        <w:pStyle w:val="bt"/>
      </w:pPr>
      <w:r w:rsidRPr="000D1F51">
        <w:t xml:space="preserve">The </w:t>
      </w:r>
      <w:r w:rsidRPr="00B44623">
        <w:rPr>
          <w:rStyle w:val="Emphasis"/>
          <w:i w:val="0"/>
        </w:rPr>
        <w:t>Victorian State Disability Plan 2013</w:t>
      </w:r>
      <w:r w:rsidR="003A74B6" w:rsidRPr="00B44623">
        <w:rPr>
          <w:rStyle w:val="Emphasis"/>
          <w:i w:val="0"/>
        </w:rPr>
        <w:t>–</w:t>
      </w:r>
      <w:r w:rsidRPr="00B44623">
        <w:rPr>
          <w:rStyle w:val="Emphasis"/>
          <w:i w:val="0"/>
        </w:rPr>
        <w:t>2016</w:t>
      </w:r>
      <w:r w:rsidRPr="000D1F51">
        <w:t xml:space="preserve"> came into effect in January 2013. Its vision is for an inclusive Victorian society that enables people with a disability, their families and carers to fulfil their potential as equal citizens and to participate in their communities. An action plan will be developed to implement this vision.</w:t>
      </w:r>
    </w:p>
    <w:p w:rsidR="007A143F" w:rsidRDefault="00606E36">
      <w:pPr>
        <w:pStyle w:val="bt"/>
      </w:pPr>
      <w:r w:rsidRPr="000D1F51">
        <w:t>The National Disability Insurance Scheme</w:t>
      </w:r>
      <w:r w:rsidR="00B66B31">
        <w:t>,</w:t>
      </w:r>
      <w:r w:rsidRPr="000D1F51">
        <w:t xml:space="preserve"> </w:t>
      </w:r>
      <w:r w:rsidR="005C3A96">
        <w:t>DisabilityCare</w:t>
      </w:r>
      <w:r w:rsidR="00B66B31">
        <w:t>,</w:t>
      </w:r>
      <w:r w:rsidR="005C3A96">
        <w:t xml:space="preserve"> </w:t>
      </w:r>
      <w:r w:rsidRPr="000D1F51">
        <w:t>is currently being</w:t>
      </w:r>
      <w:r w:rsidR="00317E41">
        <w:t xml:space="preserve"> rolled out</w:t>
      </w:r>
      <w:r w:rsidRPr="000D1F51">
        <w:t xml:space="preserve"> in Victoria and other states. It aims to support people with a disability to live ‘an ordinary life’ and is inclusive in terms of the range of groups covered. Clients will be assessed individually and allocated funding to enable them to purchase the services they need from their preferred provider.</w:t>
      </w:r>
    </w:p>
    <w:p w:rsidR="007A143F" w:rsidRDefault="00606E36">
      <w:pPr>
        <w:pStyle w:val="bt"/>
      </w:pPr>
      <w:r w:rsidRPr="000D1F51">
        <w:t xml:space="preserve">Both the </w:t>
      </w:r>
      <w:r w:rsidR="003A74B6" w:rsidRPr="00B44623">
        <w:rPr>
          <w:rStyle w:val="Emphasis"/>
          <w:i w:val="0"/>
        </w:rPr>
        <w:t>Victorian S</w:t>
      </w:r>
      <w:r w:rsidRPr="00B44623">
        <w:rPr>
          <w:rStyle w:val="Emphasis"/>
          <w:i w:val="0"/>
        </w:rPr>
        <w:t xml:space="preserve">tate </w:t>
      </w:r>
      <w:r w:rsidR="003A74B6" w:rsidRPr="00B44623">
        <w:rPr>
          <w:rStyle w:val="Emphasis"/>
          <w:i w:val="0"/>
        </w:rPr>
        <w:t>D</w:t>
      </w:r>
      <w:r w:rsidRPr="00B44623">
        <w:rPr>
          <w:rStyle w:val="Emphasis"/>
          <w:i w:val="0"/>
        </w:rPr>
        <w:t xml:space="preserve">isability </w:t>
      </w:r>
      <w:r w:rsidR="003A74B6" w:rsidRPr="00B44623">
        <w:rPr>
          <w:rStyle w:val="Emphasis"/>
          <w:i w:val="0"/>
        </w:rPr>
        <w:t>P</w:t>
      </w:r>
      <w:r w:rsidRPr="00B44623">
        <w:rPr>
          <w:rStyle w:val="Emphasis"/>
          <w:i w:val="0"/>
        </w:rPr>
        <w:t>lan</w:t>
      </w:r>
      <w:r w:rsidRPr="000D1F51">
        <w:t xml:space="preserve"> and </w:t>
      </w:r>
      <w:r w:rsidR="005C3A96">
        <w:t xml:space="preserve">DisabilityCare </w:t>
      </w:r>
      <w:r w:rsidRPr="000D1F51">
        <w:t>depend for their success on a number of factors: inclusive communities; engagement by mainstream and specialist services; recognition of families and caring relationships; and design of community assets and services to ensure that everyone has equal access. Service providers will need to respond to changes in state and national systems for supporting people with a disability and implement innovations at the local level. It is likely that</w:t>
      </w:r>
      <w:r w:rsidR="000F5C42">
        <w:t xml:space="preserve"> the</w:t>
      </w:r>
      <w:r w:rsidRPr="000D1F51">
        <w:t xml:space="preserve"> </w:t>
      </w:r>
      <w:r w:rsidR="00AE4896">
        <w:t>r</w:t>
      </w:r>
      <w:r w:rsidRPr="000D1F51">
        <w:t>egion will experience an increase in demand for services and potentially also an increase in the expectations of clients and their families.</w:t>
      </w:r>
    </w:p>
    <w:p w:rsidR="001E6B61" w:rsidRDefault="00606E36" w:rsidP="00A41B2E">
      <w:pPr>
        <w:pStyle w:val="Heading3"/>
        <w:numPr>
          <w:ilvl w:val="2"/>
          <w:numId w:val="17"/>
        </w:numPr>
        <w:tabs>
          <w:tab w:val="clear" w:pos="720"/>
          <w:tab w:val="clear" w:pos="900"/>
        </w:tabs>
        <w:spacing w:before="240"/>
        <w:ind w:left="851" w:hanging="851"/>
        <w:rPr>
          <w:b w:val="0"/>
        </w:rPr>
      </w:pPr>
      <w:bookmarkStart w:id="515" w:name="_Toc355970872"/>
      <w:bookmarkStart w:id="516" w:name="_Toc359423016"/>
      <w:bookmarkStart w:id="517" w:name="_Toc374612517"/>
      <w:r>
        <w:t>Aboriginal</w:t>
      </w:r>
      <w:r w:rsidRPr="00BF7737">
        <w:t xml:space="preserve"> </w:t>
      </w:r>
      <w:r w:rsidR="003A74B6">
        <w:t>p</w:t>
      </w:r>
      <w:r w:rsidRPr="00D1410F">
        <w:t>opulation</w:t>
      </w:r>
      <w:bookmarkEnd w:id="515"/>
      <w:bookmarkEnd w:id="516"/>
      <w:bookmarkEnd w:id="517"/>
    </w:p>
    <w:p w:rsidR="001E6B61" w:rsidRDefault="00606E36">
      <w:pPr>
        <w:pStyle w:val="bt"/>
        <w:spacing w:before="120" w:after="120"/>
      </w:pPr>
      <w:r w:rsidRPr="000D1F51">
        <w:t>Aboriginal community organisations in the region provide a range of services</w:t>
      </w:r>
      <w:r w:rsidR="000F5C42">
        <w:t>,</w:t>
      </w:r>
      <w:r w:rsidRPr="000D1F51">
        <w:t xml:space="preserve"> such as community services, health, housing, justice and youth services. These organisations are often large and bring significant funds into regional communities as well as employing regional residents. Aboriginal people</w:t>
      </w:r>
      <w:r w:rsidR="00B802B0">
        <w:t>s</w:t>
      </w:r>
      <w:r w:rsidRPr="000D1F51">
        <w:t xml:space="preserve"> and organisations have visions and aspirations for the areas in which they live and are keen to be engaged at an early stage in discussions about promoting growth and employment in the localities in which they live.</w:t>
      </w:r>
    </w:p>
    <w:p w:rsidR="007A143F" w:rsidRDefault="00606E36">
      <w:pPr>
        <w:pStyle w:val="bt"/>
      </w:pPr>
      <w:r w:rsidRPr="000D1F51">
        <w:t xml:space="preserve">The Goulburn Valley and Upper Hume </w:t>
      </w:r>
      <w:r w:rsidR="00EB6ABC">
        <w:t>sub-</w:t>
      </w:r>
      <w:r w:rsidR="00DA46DA">
        <w:t>region</w:t>
      </w:r>
      <w:r w:rsidRPr="000D1F51">
        <w:t xml:space="preserve">s have comparatively large Aboriginal communities. Aboriginal services organisations centred on Shepparton and Wodonga provide services for these communities. The Central Hume and Lower Hume </w:t>
      </w:r>
      <w:r w:rsidR="00EB6ABC">
        <w:t>sub-</w:t>
      </w:r>
      <w:r w:rsidR="00DA46DA">
        <w:t>region</w:t>
      </w:r>
      <w:r w:rsidRPr="000D1F51">
        <w:t xml:space="preserve">s have a more dispersed Aboriginal population. </w:t>
      </w:r>
    </w:p>
    <w:p w:rsidR="001E6B61" w:rsidRDefault="00606E36">
      <w:pPr>
        <w:pStyle w:val="bt"/>
        <w:spacing w:after="120"/>
      </w:pPr>
      <w:r w:rsidRPr="000D1F51">
        <w:t xml:space="preserve">In the </w:t>
      </w:r>
      <w:r w:rsidR="00AE4896">
        <w:t>r</w:t>
      </w:r>
      <w:r w:rsidRPr="000D1F51">
        <w:t xml:space="preserve">egion, the Aboriginal community has a comparatively higher proportion of unemployed people when compared with the broader regional community. It also has a higher rate of population growth, a much greater proportion of people under 25 years of age and a lower average life expectancy. </w:t>
      </w:r>
    </w:p>
    <w:p w:rsidR="007A143F" w:rsidRDefault="00606E36">
      <w:pPr>
        <w:pStyle w:val="bt"/>
      </w:pPr>
      <w:r w:rsidRPr="000D1F51">
        <w:t xml:space="preserve">Regional strategies such as </w:t>
      </w:r>
      <w:r w:rsidRPr="00B44623">
        <w:rPr>
          <w:rStyle w:val="Emphasis"/>
          <w:i w:val="0"/>
        </w:rPr>
        <w:t>Closing the Indigenous Health Gap</w:t>
      </w:r>
      <w:r w:rsidRPr="000D1F51">
        <w:t xml:space="preserve"> have been established to address some of the service needs and shortfalls that impact on the health and related socio-economic challenges faced by Aboriginal communities.</w:t>
      </w:r>
    </w:p>
    <w:p w:rsidR="001E6B61" w:rsidRDefault="008E122C" w:rsidP="00A41B2E">
      <w:pPr>
        <w:pStyle w:val="Heading3"/>
        <w:numPr>
          <w:ilvl w:val="2"/>
          <w:numId w:val="17"/>
        </w:numPr>
        <w:tabs>
          <w:tab w:val="clear" w:pos="720"/>
          <w:tab w:val="clear" w:pos="900"/>
        </w:tabs>
        <w:spacing w:before="240"/>
        <w:ind w:left="851" w:hanging="851"/>
        <w:rPr>
          <w:b w:val="0"/>
          <w:lang w:val="en-US"/>
        </w:rPr>
      </w:pPr>
      <w:bookmarkStart w:id="518" w:name="_Toc355970873"/>
      <w:bookmarkStart w:id="519" w:name="_Toc359423017"/>
      <w:bookmarkStart w:id="520" w:name="_Toc374612518"/>
      <w:r>
        <w:rPr>
          <w:lang w:val="en-US"/>
        </w:rPr>
        <w:t xml:space="preserve">Cultural </w:t>
      </w:r>
      <w:r w:rsidR="003A74B6">
        <w:rPr>
          <w:lang w:val="en-US"/>
        </w:rPr>
        <w:t>d</w:t>
      </w:r>
      <w:r w:rsidR="00606E36" w:rsidRPr="001E5D08">
        <w:rPr>
          <w:lang w:val="en-US"/>
        </w:rPr>
        <w:t>iversity</w:t>
      </w:r>
      <w:bookmarkEnd w:id="518"/>
      <w:bookmarkEnd w:id="519"/>
      <w:bookmarkEnd w:id="520"/>
    </w:p>
    <w:p w:rsidR="001E6B61" w:rsidRDefault="00606E36">
      <w:pPr>
        <w:pStyle w:val="bt"/>
        <w:spacing w:before="120"/>
        <w:rPr>
          <w:lang w:val="en-US"/>
        </w:rPr>
      </w:pPr>
      <w:r w:rsidRPr="000D1F51">
        <w:rPr>
          <w:lang w:val="en-US"/>
        </w:rPr>
        <w:t xml:space="preserve">The </w:t>
      </w:r>
      <w:r w:rsidR="00AE4896">
        <w:rPr>
          <w:lang w:val="en-US"/>
        </w:rPr>
        <w:t>r</w:t>
      </w:r>
      <w:r w:rsidRPr="000D1F51">
        <w:rPr>
          <w:lang w:val="en-US"/>
        </w:rPr>
        <w:t xml:space="preserve">egion is more culturally diverse than the rest of regional Victoria. It has a relatively high proportion of people born overseas and is </w:t>
      </w:r>
      <w:r w:rsidR="003A74B6">
        <w:rPr>
          <w:lang w:val="en-US"/>
        </w:rPr>
        <w:t xml:space="preserve">home </w:t>
      </w:r>
      <w:r w:rsidRPr="000D1F51">
        <w:rPr>
          <w:lang w:val="en-US"/>
        </w:rPr>
        <w:t xml:space="preserve">to a wide range of cultural groups. Shepparton in particular has supported Australia’s intake of humanitarian entrants and refugees from Africa, the Middle East and Afghanistan and is now the leading Victorian </w:t>
      </w:r>
      <w:r w:rsidR="00452A06">
        <w:rPr>
          <w:lang w:val="en-US"/>
        </w:rPr>
        <w:t>place</w:t>
      </w:r>
      <w:r w:rsidR="00452A06" w:rsidRPr="000D1F51">
        <w:rPr>
          <w:lang w:val="en-US"/>
        </w:rPr>
        <w:t xml:space="preserve"> </w:t>
      </w:r>
      <w:r w:rsidRPr="000D1F51">
        <w:rPr>
          <w:lang w:val="en-US"/>
        </w:rPr>
        <w:t>for new arrival community settlement outside Melbourne.</w:t>
      </w:r>
    </w:p>
    <w:p w:rsidR="007A143F" w:rsidRDefault="00606E36">
      <w:pPr>
        <w:pStyle w:val="bt"/>
        <w:rPr>
          <w:rFonts w:cstheme="minorHAnsi"/>
        </w:rPr>
      </w:pPr>
      <w:r w:rsidRPr="000D1F51">
        <w:rPr>
          <w:rFonts w:cstheme="minorHAnsi"/>
        </w:rPr>
        <w:t>Responding effectively to the needs of culturally and linguistically diverse groups may require new skills and additional resources for community service providers in the region.</w:t>
      </w:r>
    </w:p>
    <w:p w:rsidR="001E6B61" w:rsidRDefault="00852687" w:rsidP="00A41B2E">
      <w:pPr>
        <w:pStyle w:val="Heading3"/>
        <w:numPr>
          <w:ilvl w:val="2"/>
          <w:numId w:val="17"/>
        </w:numPr>
        <w:tabs>
          <w:tab w:val="clear" w:pos="720"/>
          <w:tab w:val="clear" w:pos="900"/>
        </w:tabs>
        <w:spacing w:before="240" w:after="0"/>
        <w:ind w:left="851" w:hanging="851"/>
        <w:rPr>
          <w:b w:val="0"/>
        </w:rPr>
      </w:pPr>
      <w:bookmarkStart w:id="521" w:name="_Toc355970874"/>
      <w:bookmarkStart w:id="522" w:name="_Toc359423018"/>
      <w:bookmarkStart w:id="523" w:name="_Toc374612519"/>
      <w:r>
        <w:t>Housing</w:t>
      </w:r>
      <w:bookmarkEnd w:id="521"/>
      <w:bookmarkEnd w:id="522"/>
      <w:bookmarkEnd w:id="523"/>
    </w:p>
    <w:p w:rsidR="007A143F" w:rsidRDefault="00606E36">
      <w:pPr>
        <w:pStyle w:val="bt"/>
      </w:pPr>
      <w:r w:rsidRPr="00852687">
        <w:t xml:space="preserve">In the Hume Region, detached dwellings make up the predominant </w:t>
      </w:r>
      <w:r w:rsidR="003A74B6">
        <w:t xml:space="preserve">housing </w:t>
      </w:r>
      <w:r w:rsidRPr="00852687">
        <w:t xml:space="preserve">stock and there is a lack of housing diversity. Parts of the region are experiencing a shortage of rental supply and seasonal accommodation, particularly in areas requiring seasonal workers in agriculture and in </w:t>
      </w:r>
      <w:r w:rsidR="003A74B6">
        <w:t>a</w:t>
      </w:r>
      <w:r w:rsidRPr="00852687">
        <w:t xml:space="preserve">lpine </w:t>
      </w:r>
      <w:r w:rsidR="003A74B6">
        <w:t>r</w:t>
      </w:r>
      <w:r w:rsidRPr="00852687">
        <w:t xml:space="preserve">esorts. The housing needs of overseas migrants and of professionals seeking both short-term and permanent accommodation are other segments of the market that are not met adequately at present. </w:t>
      </w:r>
    </w:p>
    <w:p w:rsidR="007A143F" w:rsidRDefault="00606E36">
      <w:pPr>
        <w:pStyle w:val="bt"/>
      </w:pPr>
      <w:r w:rsidRPr="00852687">
        <w:t>While housing is generally less costly in regional areas than in Melbourne, people may suffer housing stress if their incomes do not keep pace with house prices or rents or if other household expenses, such as transport and energy costs, consume more of their available financial resources. Welfare recipients and underfunded retirees can often be attracted to low service areas because of cheap housing. If their service requirements increase through disability or they need to seek new employment, they</w:t>
      </w:r>
      <w:r w:rsidR="000F5C42">
        <w:t xml:space="preserve"> are</w:t>
      </w:r>
      <w:r w:rsidRPr="00852687">
        <w:t xml:space="preserve"> unable to move to better-serviced localities, which are usually more expensive. Low-income households living in or attracted to more remote regional areas may become trapped in a very low value housing market, restricting their future options.</w:t>
      </w:r>
    </w:p>
    <w:p w:rsidR="007A143F" w:rsidRDefault="00606E36" w:rsidP="00846D78">
      <w:pPr>
        <w:pStyle w:val="bt"/>
        <w:spacing w:before="120"/>
      </w:pPr>
      <w:r w:rsidRPr="00852687">
        <w:t xml:space="preserve">To help address these issues, the </w:t>
      </w:r>
      <w:r w:rsidR="00452A06">
        <w:t>plan</w:t>
      </w:r>
      <w:r w:rsidR="00452A06" w:rsidRPr="00852687">
        <w:t xml:space="preserve"> </w:t>
      </w:r>
      <w:r w:rsidRPr="00852687">
        <w:t>recognises that a significant proportion of new housing, particularly in the major centres, must include a mix of housing types including affordable housing. A number of agencies will need to work together to maximise opportunities to increase the supply of appropriate and affordable housing. There could be benefits in forming a regional partnership to prepare a regional housing strategy to build on existing work and:</w:t>
      </w:r>
    </w:p>
    <w:p w:rsidR="007A143F" w:rsidRDefault="00606E36" w:rsidP="001A3FCF">
      <w:pPr>
        <w:pStyle w:val="ListBullet"/>
      </w:pPr>
      <w:r w:rsidRPr="00852687">
        <w:t>takes into account future projections of population growth and demographic change and identifies gaps in the regional housing market, including affordable housing and housing that meets a range of needs over time</w:t>
      </w:r>
    </w:p>
    <w:p w:rsidR="007A143F" w:rsidRDefault="00606E36" w:rsidP="001A3FCF">
      <w:pPr>
        <w:pStyle w:val="ListBullet"/>
      </w:pPr>
      <w:r w:rsidRPr="00852687">
        <w:t>examines how these gaps can be filled, including through redevelopment of public housing stock, development of urban renewal sites or by encouraging increased densities in urban centres</w:t>
      </w:r>
    </w:p>
    <w:p w:rsidR="001E6B61" w:rsidRDefault="00606E36" w:rsidP="003E386E">
      <w:pPr>
        <w:pStyle w:val="ListBullet"/>
      </w:pPr>
      <w:r w:rsidRPr="00852687">
        <w:t xml:space="preserve">makes recommendations on </w:t>
      </w:r>
      <w:r w:rsidR="00822C2F">
        <w:t xml:space="preserve">the </w:t>
      </w:r>
      <w:r w:rsidRPr="00852687">
        <w:t>provision of affordable and accessible housing and identifies opportunities such as joint programs with Places Victoria, the Office of Housing, local councils and the not-for-profit sector.</w:t>
      </w:r>
    </w:p>
    <w:p w:rsidR="001E6B61" w:rsidRDefault="00606E36" w:rsidP="00A41B2E">
      <w:pPr>
        <w:pStyle w:val="Heading3"/>
        <w:numPr>
          <w:ilvl w:val="2"/>
          <w:numId w:val="17"/>
        </w:numPr>
        <w:tabs>
          <w:tab w:val="clear" w:pos="720"/>
          <w:tab w:val="clear" w:pos="900"/>
        </w:tabs>
        <w:spacing w:before="240"/>
        <w:ind w:left="851" w:hanging="851"/>
        <w:rPr>
          <w:b w:val="0"/>
        </w:rPr>
      </w:pPr>
      <w:bookmarkStart w:id="524" w:name="_Toc355970875"/>
      <w:bookmarkStart w:id="525" w:name="_Toc359423019"/>
      <w:bookmarkStart w:id="526" w:name="_Toc374612520"/>
      <w:r w:rsidRPr="00BF7737">
        <w:t>Education</w:t>
      </w:r>
      <w:bookmarkEnd w:id="524"/>
      <w:bookmarkEnd w:id="525"/>
      <w:bookmarkEnd w:id="526"/>
    </w:p>
    <w:p w:rsidR="007A143F" w:rsidRDefault="00606E36">
      <w:pPr>
        <w:pStyle w:val="bt"/>
      </w:pPr>
      <w:r w:rsidRPr="000D1F51">
        <w:t>The Hume Region has some large areas of disadvantage. The occupation of parents is a key determinant of success in education</w:t>
      </w:r>
      <w:r w:rsidR="00EC118C">
        <w:t>,</w:t>
      </w:r>
      <w:r w:rsidRPr="000D1F51">
        <w:t xml:space="preserve"> so children from disadvantaged families are likely to need additional support to make the most of educational opportunities. Overall, the region’s education outcomes are the lowest in regional Victoria on a number of measures, including tertiary entry by young people. There are also a number of young people not resuming studies after taking what was intended to be a ‘gap’ year. Anecdotal evidence indicates this may be related to lack of employment opportunities and poor pay rates, which can result in potential students not earning enough income during the ‘gap’ year to qualify for a living away from home allowance. Other reasons that contribute to failure to take up tertiary study options include lack of transport, limited family finances and the need to live away from home.  </w:t>
      </w:r>
    </w:p>
    <w:p w:rsidR="007A143F" w:rsidRDefault="00606E36">
      <w:pPr>
        <w:pStyle w:val="bt"/>
      </w:pPr>
      <w:r w:rsidRPr="000D1F51">
        <w:t xml:space="preserve">In the </w:t>
      </w:r>
      <w:r w:rsidR="00452A06">
        <w:t>r</w:t>
      </w:r>
      <w:r w:rsidRPr="000D1F51">
        <w:t>egion, 22</w:t>
      </w:r>
      <w:r w:rsidR="0031214C">
        <w:t xml:space="preserve"> per cent</w:t>
      </w:r>
      <w:r w:rsidRPr="000D1F51">
        <w:t xml:space="preserve"> of young people do not stay in school through years 10 to 12 compared to 15</w:t>
      </w:r>
      <w:r w:rsidR="0031214C">
        <w:t xml:space="preserve"> per cent</w:t>
      </w:r>
      <w:r w:rsidRPr="000D1F51">
        <w:t xml:space="preserve"> in metropolitan Melbourne. However, other data shows the percentage of students doing apprenticeships and traineeships and moving directly from school into employment in the </w:t>
      </w:r>
      <w:r w:rsidR="00AE4896">
        <w:t>r</w:t>
      </w:r>
      <w:r w:rsidRPr="000D1F51">
        <w:t>egion is the highest in the state, so this might account for some of the difference.</w:t>
      </w:r>
    </w:p>
    <w:p w:rsidR="007A143F" w:rsidRDefault="00606E36">
      <w:pPr>
        <w:pStyle w:val="bt"/>
      </w:pPr>
      <w:r w:rsidRPr="000D1F51">
        <w:t>Almost all personal, social and economic benefits such as income, employment, longevity and health correlate strongly with education attainment levels. Lifelong learning, education and skills development is important to individuals at all ages and is also critical in building a diverse and resilient community and economy.</w:t>
      </w:r>
    </w:p>
    <w:p w:rsidR="007A143F" w:rsidRDefault="00606E36">
      <w:pPr>
        <w:pStyle w:val="bt"/>
      </w:pPr>
      <w:r w:rsidRPr="000D1F51">
        <w:t xml:space="preserve">The </w:t>
      </w:r>
      <w:r w:rsidR="00452A06">
        <w:t>plan</w:t>
      </w:r>
      <w:r w:rsidR="00452A06" w:rsidRPr="000D1F51">
        <w:t xml:space="preserve"> </w:t>
      </w:r>
      <w:r w:rsidRPr="000D1F51">
        <w:t>includes strategies seeking to improve provision of</w:t>
      </w:r>
      <w:r w:rsidR="00822C2F">
        <w:t>,</w:t>
      </w:r>
      <w:r w:rsidRPr="000D1F51">
        <w:t xml:space="preserve"> and access to</w:t>
      </w:r>
      <w:r w:rsidR="00822C2F">
        <w:t>,</w:t>
      </w:r>
      <w:r w:rsidRPr="000D1F51">
        <w:t xml:space="preserve"> a range of educational opportunities to enhance the region’s educational outcomes.</w:t>
      </w:r>
    </w:p>
    <w:p w:rsidR="001E6B61" w:rsidRDefault="000D1F51" w:rsidP="00A41B2E">
      <w:pPr>
        <w:pStyle w:val="Heading3"/>
        <w:numPr>
          <w:ilvl w:val="2"/>
          <w:numId w:val="17"/>
        </w:numPr>
        <w:tabs>
          <w:tab w:val="clear" w:pos="720"/>
          <w:tab w:val="clear" w:pos="900"/>
        </w:tabs>
        <w:spacing w:before="240"/>
        <w:ind w:left="851" w:hanging="851"/>
        <w:rPr>
          <w:b w:val="0"/>
        </w:rPr>
      </w:pPr>
      <w:bookmarkStart w:id="527" w:name="_Toc355970876"/>
      <w:bookmarkStart w:id="528" w:name="_Toc359423020"/>
      <w:bookmarkStart w:id="529" w:name="_Toc374612521"/>
      <w:r>
        <w:t>N</w:t>
      </w:r>
      <w:r w:rsidR="00606E36" w:rsidRPr="00F50907">
        <w:t>on-</w:t>
      </w:r>
      <w:r w:rsidR="008E122C">
        <w:t xml:space="preserve">resident </w:t>
      </w:r>
      <w:r w:rsidR="00822C2F">
        <w:t>r</w:t>
      </w:r>
      <w:r w:rsidR="00606E36" w:rsidRPr="00F50907">
        <w:t>atepayers</w:t>
      </w:r>
      <w:bookmarkEnd w:id="527"/>
      <w:bookmarkEnd w:id="528"/>
      <w:bookmarkEnd w:id="529"/>
    </w:p>
    <w:p w:rsidR="007A143F" w:rsidRDefault="00606E36">
      <w:pPr>
        <w:pStyle w:val="bt"/>
      </w:pPr>
      <w:r w:rsidRPr="000D1F51">
        <w:t xml:space="preserve">There are a significant number of non-resident ratepayers in many of the municipalities in the </w:t>
      </w:r>
      <w:r w:rsidR="00AE4896">
        <w:t>r</w:t>
      </w:r>
      <w:r w:rsidRPr="000D1F51">
        <w:t>egion. In Mansfield Shire, for example, 50</w:t>
      </w:r>
      <w:r w:rsidR="00C71A75">
        <w:t xml:space="preserve"> per cent</w:t>
      </w:r>
      <w:r w:rsidRPr="000D1F51">
        <w:t xml:space="preserve"> of all properties are owned by people whose primary residence is outside the municipality. The equivalent figure for Murrindindi Shire is 30</w:t>
      </w:r>
      <w:r w:rsidR="00C71A75">
        <w:t xml:space="preserve"> per cent</w:t>
      </w:r>
      <w:r w:rsidRPr="000D1F51">
        <w:t>, 29</w:t>
      </w:r>
      <w:r w:rsidR="00C71A75">
        <w:t xml:space="preserve"> per cent</w:t>
      </w:r>
      <w:r w:rsidRPr="000D1F51">
        <w:t xml:space="preserve"> for Alpine Shire, 27</w:t>
      </w:r>
      <w:r w:rsidR="00C71A75">
        <w:t xml:space="preserve"> per cent</w:t>
      </w:r>
      <w:r w:rsidRPr="000D1F51">
        <w:t xml:space="preserve"> for Strathbogie Shire and 21</w:t>
      </w:r>
      <w:r w:rsidR="00C71A75">
        <w:t xml:space="preserve"> per cent</w:t>
      </w:r>
      <w:r w:rsidRPr="000D1F51">
        <w:t xml:space="preserve"> for Mitchell Shire. Towong Shire also has a significant proportion of absentee landholders (21</w:t>
      </w:r>
      <w:r w:rsidR="00C71A75">
        <w:t xml:space="preserve"> per cent</w:t>
      </w:r>
      <w:r w:rsidRPr="000D1F51">
        <w:t xml:space="preserve">), many of them based in New South Wales. </w:t>
      </w:r>
    </w:p>
    <w:p w:rsidR="007A143F" w:rsidRDefault="00606E36">
      <w:pPr>
        <w:pStyle w:val="bt"/>
      </w:pPr>
      <w:r w:rsidRPr="000D1F51">
        <w:t>Anecdotal evidence indicates that a high proportion of non-resident ratepayers plan to become residents in regional areas after they retire. This demographic movement of retirees contributes to the ageing population in regional Victoria and is likely to bring an increased demand for services, particularly aged care. Mobility is often affected as people age and this may lead to increased demand for accessible public transport and flexible service delivery models. Current trends suggest that some people moving into the region may be interested in working in the region and this could potentially contribute to the workforce and help address local skills shortages.</w:t>
      </w:r>
    </w:p>
    <w:p w:rsidR="001E6B61" w:rsidRDefault="00606E36" w:rsidP="00A41B2E">
      <w:pPr>
        <w:pStyle w:val="Heading3"/>
        <w:numPr>
          <w:ilvl w:val="2"/>
          <w:numId w:val="17"/>
        </w:numPr>
        <w:tabs>
          <w:tab w:val="clear" w:pos="720"/>
          <w:tab w:val="clear" w:pos="900"/>
        </w:tabs>
        <w:spacing w:before="240"/>
        <w:ind w:left="851" w:hanging="851"/>
        <w:rPr>
          <w:b w:val="0"/>
        </w:rPr>
      </w:pPr>
      <w:bookmarkStart w:id="530" w:name="_Toc355970877"/>
      <w:bookmarkStart w:id="531" w:name="_Toc359423021"/>
      <w:bookmarkStart w:id="532" w:name="_Toc374612522"/>
      <w:r w:rsidRPr="00BF7737">
        <w:t xml:space="preserve">Health and </w:t>
      </w:r>
      <w:r w:rsidR="00401FC8">
        <w:t>w</w:t>
      </w:r>
      <w:r w:rsidRPr="00F50907">
        <w:t>ellbeing</w:t>
      </w:r>
      <w:bookmarkEnd w:id="530"/>
      <w:bookmarkEnd w:id="531"/>
      <w:bookmarkEnd w:id="532"/>
    </w:p>
    <w:p w:rsidR="007A143F" w:rsidRDefault="00606E36">
      <w:pPr>
        <w:pStyle w:val="bt"/>
      </w:pPr>
      <w:r w:rsidRPr="000D1F51">
        <w:t xml:space="preserve">The quality of the built environment has a strong influence on individual wellbeing and community participation. Well-planned, designed and managed urban places and spaces can deliver social and environmental benefits to individuals and communities. Opportunities for physical activity can improve community life and provide substantial economic benefits through events, recreation activities and tourism. The </w:t>
      </w:r>
      <w:r w:rsidR="00452A06">
        <w:t>plan</w:t>
      </w:r>
      <w:r w:rsidR="00452A06" w:rsidRPr="000D1F51">
        <w:t xml:space="preserve"> </w:t>
      </w:r>
      <w:r w:rsidRPr="000D1F51">
        <w:t xml:space="preserve">encourages consideration of community health and wellbeing in the early stages of planning for urban growth. </w:t>
      </w:r>
    </w:p>
    <w:p w:rsidR="007A143F" w:rsidRDefault="00606E36">
      <w:pPr>
        <w:pStyle w:val="bt"/>
      </w:pPr>
      <w:r w:rsidRPr="000D1F51">
        <w:t>Access to sport and recreation facilities at a community level is an integral part of maintaining a healthy lifestyle. Sport and recreation plays an important part in the lives of individuals and helps shape community identity. Sport and recreation opportunities provide settings for social interaction, sharing common interests and enhancing a sense of community.</w:t>
      </w:r>
    </w:p>
    <w:p w:rsidR="007A143F" w:rsidRDefault="00606E36">
      <w:pPr>
        <w:pStyle w:val="bt"/>
      </w:pPr>
      <w:r w:rsidRPr="000D1F51">
        <w:t>Well</w:t>
      </w:r>
      <w:r w:rsidR="00401FC8">
        <w:t>-</w:t>
      </w:r>
      <w:r w:rsidRPr="000D1F51">
        <w:t>designed open spaces are an important element of the built environment and can be defined as any land and water setting that is maintained and managed for a range of environmental purposes and used and valued by the community. Such spaces can include small neighbourhood parks, trails, sporting and leisure services, tracks and regional environmental parks. They can be either public</w:t>
      </w:r>
      <w:r w:rsidR="00401FC8">
        <w:t xml:space="preserve">ly </w:t>
      </w:r>
      <w:r w:rsidRPr="000D1F51">
        <w:t>or privately</w:t>
      </w:r>
      <w:r w:rsidR="00401FC8">
        <w:t>-</w:t>
      </w:r>
      <w:r w:rsidRPr="000D1F51">
        <w:t xml:space="preserve">owned and service the community at a local, </w:t>
      </w:r>
      <w:r w:rsidR="00EB6ABC">
        <w:t>sub-</w:t>
      </w:r>
      <w:r w:rsidR="00DA46DA">
        <w:t>region</w:t>
      </w:r>
      <w:r w:rsidRPr="000D1F51">
        <w:t>al or regional level.</w:t>
      </w:r>
    </w:p>
    <w:p w:rsidR="0012360C" w:rsidRDefault="00606E36">
      <w:pPr>
        <w:pStyle w:val="bt"/>
      </w:pPr>
      <w:r w:rsidRPr="000D1F51">
        <w:t xml:space="preserve">It is mandatory for councils to have </w:t>
      </w:r>
      <w:r w:rsidR="00817032">
        <w:t>h</w:t>
      </w:r>
      <w:r w:rsidRPr="000D1F51">
        <w:t xml:space="preserve">ealth and </w:t>
      </w:r>
      <w:r w:rsidR="00817032">
        <w:t>w</w:t>
      </w:r>
      <w:r w:rsidRPr="000D1F51">
        <w:t xml:space="preserve">ellbeing </w:t>
      </w:r>
      <w:r w:rsidR="00817032">
        <w:t>p</w:t>
      </w:r>
      <w:r w:rsidRPr="000D1F51">
        <w:t>lans. Some</w:t>
      </w:r>
      <w:r w:rsidR="00440541">
        <w:t xml:space="preserve"> councils </w:t>
      </w:r>
      <w:r w:rsidRPr="000D1F51">
        <w:t>also have open space and or recreation strategies. However</w:t>
      </w:r>
      <w:r w:rsidR="00D5776E">
        <w:t>,</w:t>
      </w:r>
      <w:r w:rsidRPr="000D1F51">
        <w:t xml:space="preserve"> in the absence of a regional health and wellbeing or an open space and recreation strategy, there is some inconsistency in standards of provision across areas and a slow response to emerging regional needs. The </w:t>
      </w:r>
      <w:r w:rsidR="00EF55F1">
        <w:t>plan</w:t>
      </w:r>
      <w:r w:rsidR="00EF55F1" w:rsidRPr="000D1F51">
        <w:t xml:space="preserve"> </w:t>
      </w:r>
      <w:r w:rsidRPr="000D1F51">
        <w:t>recommends preparation of a regional wellbeing study</w:t>
      </w:r>
      <w:r w:rsidR="00EC118C">
        <w:t>,</w:t>
      </w:r>
      <w:r w:rsidRPr="000D1F51">
        <w:t xml:space="preserve"> including open space and recreation</w:t>
      </w:r>
      <w:r w:rsidR="00EC118C">
        <w:t>,</w:t>
      </w:r>
      <w:r w:rsidRPr="000D1F51">
        <w:t xml:space="preserve"> to inform detailed planning for regional growth and development.</w:t>
      </w:r>
    </w:p>
    <w:p w:rsidR="00606E36" w:rsidRPr="00B3089D" w:rsidRDefault="00606E36" w:rsidP="00A41B2E">
      <w:pPr>
        <w:pStyle w:val="Heading3"/>
        <w:numPr>
          <w:ilvl w:val="2"/>
          <w:numId w:val="17"/>
        </w:numPr>
        <w:tabs>
          <w:tab w:val="clear" w:pos="720"/>
          <w:tab w:val="clear" w:pos="900"/>
        </w:tabs>
        <w:ind w:left="851" w:hanging="851"/>
        <w:rPr>
          <w:rFonts w:cstheme="minorHAnsi"/>
        </w:rPr>
      </w:pPr>
      <w:bookmarkStart w:id="533" w:name="_Toc355969936"/>
      <w:bookmarkStart w:id="534" w:name="_Toc355970103"/>
      <w:bookmarkStart w:id="535" w:name="_Toc355970347"/>
      <w:bookmarkStart w:id="536" w:name="_Toc355970478"/>
      <w:bookmarkStart w:id="537" w:name="_Toc355970610"/>
      <w:bookmarkStart w:id="538" w:name="_Toc355970747"/>
      <w:bookmarkStart w:id="539" w:name="_Toc355970878"/>
      <w:bookmarkStart w:id="540" w:name="_Toc355971009"/>
      <w:bookmarkStart w:id="541" w:name="_Toc355970879"/>
      <w:bookmarkStart w:id="542" w:name="_Toc359423022"/>
      <w:bookmarkStart w:id="543" w:name="_Toc374612523"/>
      <w:bookmarkEnd w:id="533"/>
      <w:bookmarkEnd w:id="534"/>
      <w:bookmarkEnd w:id="535"/>
      <w:bookmarkEnd w:id="536"/>
      <w:bookmarkEnd w:id="537"/>
      <w:bookmarkEnd w:id="538"/>
      <w:bookmarkEnd w:id="539"/>
      <w:bookmarkEnd w:id="540"/>
      <w:r>
        <w:t xml:space="preserve">Assisting </w:t>
      </w:r>
      <w:r w:rsidR="00817032">
        <w:t>c</w:t>
      </w:r>
      <w:r>
        <w:t xml:space="preserve">ommunities to </w:t>
      </w:r>
      <w:r w:rsidR="00817032">
        <w:t>a</w:t>
      </w:r>
      <w:r>
        <w:t xml:space="preserve">dapt to </w:t>
      </w:r>
      <w:r w:rsidR="00817032">
        <w:t>c</w:t>
      </w:r>
      <w:r>
        <w:t xml:space="preserve">limate </w:t>
      </w:r>
      <w:r w:rsidR="00817032">
        <w:t>c</w:t>
      </w:r>
      <w:r>
        <w:t>hange</w:t>
      </w:r>
      <w:bookmarkEnd w:id="541"/>
      <w:bookmarkEnd w:id="542"/>
      <w:bookmarkEnd w:id="543"/>
    </w:p>
    <w:p w:rsidR="007A143F" w:rsidRDefault="00606E36">
      <w:pPr>
        <w:pStyle w:val="bt"/>
      </w:pPr>
      <w:r w:rsidRPr="000D1F51">
        <w:t xml:space="preserve">Climate change is predicted to bring hotter and drier conditions, with an increased </w:t>
      </w:r>
      <w:r w:rsidR="00B802B0">
        <w:t>severity</w:t>
      </w:r>
      <w:r w:rsidR="00B802B0" w:rsidRPr="000D1F51">
        <w:t xml:space="preserve"> </w:t>
      </w:r>
      <w:r w:rsidRPr="000D1F51">
        <w:t xml:space="preserve">of severe storm events. Communities will require support to adapt their housing and lifestyles to the new conditions and to cope with the impacts of change on their farms or other businesses and on their environment. </w:t>
      </w:r>
    </w:p>
    <w:p w:rsidR="007A143F" w:rsidRDefault="00606E36">
      <w:pPr>
        <w:pStyle w:val="bt"/>
      </w:pPr>
      <w:r w:rsidRPr="000D1F51">
        <w:t xml:space="preserve">The costs of heating may decrease as winters become warmer but this is likely to be cancelled out by increased cooling costs as summers become hotter. This will apply particularly to poorly designed buildings and urban environments. All councils are required to prepare </w:t>
      </w:r>
      <w:r w:rsidR="00817032">
        <w:t>h</w:t>
      </w:r>
      <w:r w:rsidRPr="000D1F51">
        <w:t xml:space="preserve">eatwave </w:t>
      </w:r>
      <w:r w:rsidR="00817032">
        <w:t>p</w:t>
      </w:r>
      <w:r w:rsidRPr="000D1F51">
        <w:t>lans to consider potential risks to their communities and measures to mitigate or avoid future risks. Council planning needs to consider the appropriate design of urban enviro</w:t>
      </w:r>
      <w:r w:rsidR="00D5776E">
        <w:t>nments</w:t>
      </w:r>
      <w:r w:rsidRPr="000D1F51">
        <w:t xml:space="preserve"> to address potenti</w:t>
      </w:r>
      <w:r w:rsidR="00D5776E">
        <w:t xml:space="preserve">al impacts of climate change on </w:t>
      </w:r>
      <w:r w:rsidRPr="000D1F51">
        <w:t>local communities.</w:t>
      </w:r>
    </w:p>
    <w:p w:rsidR="007A143F" w:rsidRDefault="00606E36">
      <w:pPr>
        <w:pStyle w:val="bt"/>
      </w:pPr>
      <w:r w:rsidRPr="000D1F51">
        <w:t xml:space="preserve">There is potential for migration into the region from both within Australia and from overseas as a result of climate change impacts in other areas. It is likely that Australia as a whole will need to take in climate change refugees, some of whom may come to live in the </w:t>
      </w:r>
      <w:r w:rsidR="00AE4896">
        <w:t>r</w:t>
      </w:r>
      <w:r w:rsidRPr="000D1F51">
        <w:t>egion.</w:t>
      </w:r>
    </w:p>
    <w:p w:rsidR="007A143F" w:rsidRDefault="00606E36">
      <w:pPr>
        <w:pStyle w:val="bt"/>
      </w:pPr>
      <w:r w:rsidRPr="000D1F51">
        <w:t xml:space="preserve">The </w:t>
      </w:r>
      <w:r w:rsidR="00EF55F1">
        <w:t>plan</w:t>
      </w:r>
      <w:r w:rsidR="00EF55F1" w:rsidRPr="000D1F51">
        <w:t xml:space="preserve"> </w:t>
      </w:r>
      <w:r w:rsidRPr="000D1F51">
        <w:t xml:space="preserve">has taken into consideration the </w:t>
      </w:r>
      <w:r w:rsidR="003D63CF">
        <w:t>potential</w:t>
      </w:r>
      <w:r w:rsidRPr="000D1F51">
        <w:t xml:space="preserve"> impact of climate change on the urban and rural environment. It encourages implementation of measures to adapt to climate change, including: building social and community resilience; avoiding urban growth in areas exposed to severe natural hazards; consolidating urban growth in key centres to maximise use of existing infrastructure and limit demand for vehicle trips; </w:t>
      </w:r>
      <w:r w:rsidR="003D63CF">
        <w:t>encouraging</w:t>
      </w:r>
      <w:r w:rsidR="003D63CF" w:rsidRPr="000D1F51">
        <w:t xml:space="preserve"> </w:t>
      </w:r>
      <w:r w:rsidRPr="000D1F51">
        <w:t>sustainable planning for water; and maximising use of information and communications technology to reduce the need to use private vehicles.</w:t>
      </w:r>
    </w:p>
    <w:p w:rsidR="00EC286D" w:rsidRDefault="00EC286D" w:rsidP="00C404C8">
      <w:pPr>
        <w:spacing w:after="0" w:line="240" w:lineRule="auto"/>
        <w:jc w:val="both"/>
        <w:rPr>
          <w:rFonts w:cstheme="minorHAnsi"/>
          <w:szCs w:val="20"/>
        </w:rPr>
        <w:sectPr w:rsidR="00EC286D" w:rsidSect="009075F4">
          <w:pgSz w:w="11906" w:h="16838"/>
          <w:pgMar w:top="1530" w:right="1440" w:bottom="993" w:left="1440" w:header="708" w:footer="708" w:gutter="0"/>
          <w:cols w:space="708"/>
          <w:docGrid w:linePitch="360"/>
        </w:sectPr>
      </w:pPr>
    </w:p>
    <w:p w:rsidR="009E1A60" w:rsidRPr="009E1A60" w:rsidRDefault="00BA1934" w:rsidP="00BA1934">
      <w:pPr>
        <w:pStyle w:val="Heading1"/>
        <w:rPr>
          <w:rFonts w:cstheme="minorHAnsi"/>
          <w:szCs w:val="20"/>
        </w:rPr>
      </w:pPr>
      <w:bookmarkStart w:id="544" w:name="_Toc355970880"/>
      <w:bookmarkStart w:id="545" w:name="_Toc359423023"/>
      <w:bookmarkStart w:id="546" w:name="_Toc374612524"/>
      <w:r>
        <w:rPr>
          <w:rFonts w:eastAsiaTheme="minorHAnsi"/>
        </w:rPr>
        <w:t>APPENDIX A:</w:t>
      </w:r>
      <w:r>
        <w:rPr>
          <w:rFonts w:eastAsiaTheme="minorHAnsi"/>
        </w:rPr>
        <w:tab/>
      </w:r>
      <w:r w:rsidR="00493EC3" w:rsidRPr="00BA1934">
        <w:rPr>
          <w:rFonts w:eastAsiaTheme="minorHAnsi"/>
        </w:rPr>
        <w:t>REFERENCES</w:t>
      </w:r>
      <w:bookmarkEnd w:id="544"/>
      <w:bookmarkEnd w:id="545"/>
      <w:bookmarkEnd w:id="546"/>
    </w:p>
    <w:p w:rsidR="009E1A60" w:rsidRPr="009E1A60" w:rsidRDefault="009E1A60" w:rsidP="00162345">
      <w:pPr>
        <w:pStyle w:val="bt"/>
      </w:pPr>
      <w:r w:rsidRPr="009E1A60">
        <w:t xml:space="preserve">The following sources were used to prepare this document and inform the Hume Regional Growth Plan: </w:t>
      </w:r>
    </w:p>
    <w:p w:rsidR="00135629" w:rsidRPr="005F3BF4" w:rsidRDefault="00DA722B" w:rsidP="00162345">
      <w:pPr>
        <w:pStyle w:val="bt"/>
        <w:rPr>
          <w:rStyle w:val="Strong"/>
        </w:rPr>
      </w:pPr>
      <w:r w:rsidRPr="00DA722B">
        <w:rPr>
          <w:rStyle w:val="Strong"/>
        </w:rPr>
        <w:t>Reports</w:t>
      </w:r>
    </w:p>
    <w:p w:rsidR="007A143F" w:rsidRDefault="00135629" w:rsidP="008B7F2D">
      <w:pPr>
        <w:pStyle w:val="btbullet"/>
      </w:pPr>
      <w:r w:rsidRPr="00135629">
        <w:t xml:space="preserve">2009 Victorian Bushfires Royal Commission (2010) Final Report – Summary – </w:t>
      </w:r>
      <w:hyperlink r:id="rId29" w:history="1">
        <w:r w:rsidR="007536C0" w:rsidRPr="005B2427">
          <w:rPr>
            <w:rStyle w:val="Hyperlink"/>
          </w:rPr>
          <w:t>http://www.royalcommission.vic.gov.au/Commission-Reports/Final-Report/Summary</w:t>
        </w:r>
      </w:hyperlink>
    </w:p>
    <w:p w:rsidR="007A143F" w:rsidRDefault="00135629" w:rsidP="008B7F2D">
      <w:pPr>
        <w:pStyle w:val="btbullet"/>
      </w:pPr>
      <w:r w:rsidRPr="00B27B1B">
        <w:t>Access Economics (2011) Victorian Economic Outlook, February 2011</w:t>
      </w:r>
      <w:r w:rsidR="00B27B1B">
        <w:t xml:space="preserve"> (</w:t>
      </w:r>
      <w:r w:rsidR="002339BA">
        <w:t>p</w:t>
      </w:r>
      <w:r w:rsidR="00B27B1B" w:rsidRPr="00B27B1B">
        <w:t>repared for Regional Development Victoria</w:t>
      </w:r>
      <w:r w:rsidR="00B27B1B">
        <w:t>)</w:t>
      </w:r>
    </w:p>
    <w:p w:rsidR="007A143F" w:rsidRDefault="00135629" w:rsidP="008B7F2D">
      <w:pPr>
        <w:pStyle w:val="btbullet"/>
      </w:pPr>
      <w:r w:rsidRPr="00135629">
        <w:rPr>
          <w:bCs/>
        </w:rPr>
        <w:t>Beer A, Kroehn M, Law J &amp; Tually S (2012) Australia’s Country Towns 2050: what will a climate adapted settlement pattern look like? – Preliminary Report (prepared by the Centre for Housing, Urban and Regional Planning, University of Adelaide for the National Climate Change Adaptation Research Facility, Australia) –</w:t>
      </w:r>
      <w:r w:rsidR="005F3BF4">
        <w:rPr>
          <w:bCs/>
        </w:rPr>
        <w:t xml:space="preserve"> </w:t>
      </w:r>
      <w:hyperlink r:id="rId30" w:history="1">
        <w:r w:rsidR="007536C0" w:rsidRPr="005B2427">
          <w:rPr>
            <w:rStyle w:val="Hyperlink"/>
          </w:rPr>
          <w:t>http://www.sapo.org.au/pub/pub22023.html</w:t>
        </w:r>
      </w:hyperlink>
    </w:p>
    <w:p w:rsidR="007A143F" w:rsidRDefault="00135629" w:rsidP="008B7F2D">
      <w:pPr>
        <w:pStyle w:val="btbullet"/>
      </w:pPr>
      <w:r w:rsidRPr="00135629">
        <w:t xml:space="preserve">Commonwealth of Australia (2012) Basin Plan 2012 (prepared by the Murray-Darling Basin Authority) and Explanatory Statement – </w:t>
      </w:r>
      <w:hyperlink r:id="rId31" w:history="1">
        <w:r w:rsidR="007536C0" w:rsidRPr="005B2427">
          <w:rPr>
            <w:rStyle w:val="Hyperlink"/>
          </w:rPr>
          <w:t>http://download.mdba.gov.au/Basin-Plan/Explanatory-Statement-Nov2012.pdf</w:t>
        </w:r>
      </w:hyperlink>
    </w:p>
    <w:p w:rsidR="00554B2C" w:rsidRDefault="00554B2C" w:rsidP="008B7F2D">
      <w:pPr>
        <w:pStyle w:val="btbullet"/>
      </w:pPr>
      <w:r w:rsidRPr="009E16EC">
        <w:t>Commonwealth of Australia</w:t>
      </w:r>
      <w:r>
        <w:t>: Department of Infrastructure and Transport (2013</w:t>
      </w:r>
      <w:r w:rsidRPr="009E16EC">
        <w:t>) High Speed Rail Study</w:t>
      </w:r>
      <w:r>
        <w:t xml:space="preserve"> - </w:t>
      </w:r>
      <w:r w:rsidRPr="009E16EC">
        <w:t>Phase 2 Report</w:t>
      </w:r>
      <w:r>
        <w:t xml:space="preserve"> </w:t>
      </w:r>
      <w:r w:rsidRPr="009E16EC">
        <w:t xml:space="preserve">– </w:t>
      </w:r>
      <w:hyperlink r:id="rId32" w:history="1">
        <w:r w:rsidRPr="005B2427">
          <w:rPr>
            <w:rStyle w:val="Hyperlink"/>
          </w:rPr>
          <w:t>http://www.infrastructure.gov.au/rail/trains/high_speed/index.aspx</w:t>
        </w:r>
      </w:hyperlink>
    </w:p>
    <w:p w:rsidR="007A143F" w:rsidRDefault="00135629" w:rsidP="008B7F2D">
      <w:pPr>
        <w:pStyle w:val="btbullet"/>
      </w:pPr>
      <w:r w:rsidRPr="00135629">
        <w:t xml:space="preserve">Commonwealth of Australia (2011) Our Cities, Our Future: A national urban policy for a productive, sustainable and liveable future – </w:t>
      </w:r>
      <w:hyperlink r:id="rId33" w:history="1">
        <w:r w:rsidR="007536C0" w:rsidRPr="005B2427">
          <w:rPr>
            <w:rStyle w:val="Hyperlink"/>
          </w:rPr>
          <w:t>http://www.infrastructure.gov.au/infrastructure/mcu/urbanpolicy/index.aspx</w:t>
        </w:r>
      </w:hyperlink>
    </w:p>
    <w:p w:rsidR="007A143F" w:rsidRDefault="00135629" w:rsidP="008B7F2D">
      <w:pPr>
        <w:pStyle w:val="btbullet"/>
      </w:pPr>
      <w:r w:rsidRPr="00135629">
        <w:t>Department of Justice (2012) Bushfire Royal Commission Monitor: Final Report –</w:t>
      </w:r>
      <w:r w:rsidR="005F3BF4">
        <w:t xml:space="preserve"> </w:t>
      </w:r>
      <w:hyperlink r:id="rId34" w:history="1">
        <w:r w:rsidR="007536C0" w:rsidRPr="005B2427">
          <w:rPr>
            <w:rStyle w:val="Hyperlink"/>
          </w:rPr>
          <w:t>http://www.bushfiresmonitor.vic.gov.au/home/reports/bushfires+royal+commission+implementation+monitor+final+report+pdf</w:t>
        </w:r>
      </w:hyperlink>
    </w:p>
    <w:p w:rsidR="007A143F" w:rsidRDefault="00135629" w:rsidP="008B7F2D">
      <w:pPr>
        <w:pStyle w:val="btbullet"/>
      </w:pPr>
      <w:r w:rsidRPr="00135629">
        <w:t xml:space="preserve">Department of Planning and Community Development (2012) Victoria in Future – Population and Household Projections for Victoria and its Regions 2011-2031 - </w:t>
      </w:r>
      <w:r w:rsidR="005F3BF4">
        <w:t xml:space="preserve"> </w:t>
      </w:r>
      <w:hyperlink r:id="rId35" w:history="1">
        <w:r w:rsidR="007536C0" w:rsidRPr="005B2427">
          <w:rPr>
            <w:rStyle w:val="Hyperlink"/>
          </w:rPr>
          <w:t>http://www.dpcd.vic.gov.au/home/publications-and-research/urban-and-regional-research/census-2011/victoria-in-future-2012</w:t>
        </w:r>
      </w:hyperlink>
    </w:p>
    <w:p w:rsidR="007A143F" w:rsidRDefault="00135629" w:rsidP="008B7F2D">
      <w:pPr>
        <w:pStyle w:val="btbullet"/>
      </w:pPr>
      <w:r w:rsidRPr="00135629">
        <w:t>Department of Planning and Community Development (2012) Population Projections, 2012 (unpublished)</w:t>
      </w:r>
    </w:p>
    <w:p w:rsidR="007A143F" w:rsidRDefault="00135629" w:rsidP="008B7F2D">
      <w:pPr>
        <w:pStyle w:val="btbullet"/>
      </w:pPr>
      <w:r w:rsidRPr="00135629">
        <w:t xml:space="preserve">Department of Planning and Community Development (2012) </w:t>
      </w:r>
      <w:r w:rsidR="0043644F">
        <w:t xml:space="preserve">Draft </w:t>
      </w:r>
      <w:r w:rsidRPr="00135629">
        <w:t xml:space="preserve">Hume Regional Growth Plan Background and Issues Report </w:t>
      </w:r>
      <w:r w:rsidR="0043644F">
        <w:t>(unpublished) -</w:t>
      </w:r>
      <w:r w:rsidR="005F3BF4">
        <w:t xml:space="preserve"> </w:t>
      </w:r>
      <w:hyperlink r:id="rId36" w:history="1">
        <w:r w:rsidR="007536C0" w:rsidRPr="005B2427">
          <w:rPr>
            <w:rStyle w:val="Hyperlink"/>
          </w:rPr>
          <w:t>http://www.dpcd.vic.gov.au/planning/plansandpolicies/ruralandregionalplanning/regionalgrowthplans/hume-regional-growth-plan</w:t>
        </w:r>
      </w:hyperlink>
    </w:p>
    <w:p w:rsidR="007A143F" w:rsidRDefault="0043644F" w:rsidP="008B7F2D">
      <w:pPr>
        <w:pStyle w:val="btbullet"/>
      </w:pPr>
      <w:r w:rsidRPr="00135629">
        <w:t xml:space="preserve">Department of Planning </w:t>
      </w:r>
      <w:r>
        <w:t>and Community Development (2012</w:t>
      </w:r>
      <w:r w:rsidRPr="00135629">
        <w:t xml:space="preserve">) </w:t>
      </w:r>
      <w:r>
        <w:t xml:space="preserve">Practice Note 37 – Rural residential </w:t>
      </w:r>
      <w:r w:rsidR="003B3693">
        <w:t xml:space="preserve">development - </w:t>
      </w:r>
      <w:r w:rsidR="005F3BF4">
        <w:t xml:space="preserve"> </w:t>
      </w:r>
      <w:hyperlink r:id="rId37" w:history="1">
        <w:r w:rsidR="007536C0" w:rsidRPr="005B2427">
          <w:rPr>
            <w:rStyle w:val="Hyperlink"/>
          </w:rPr>
          <w:t>http://www.dpcd.vic.gov.au/planning/publicationsandresearch/practicenotes</w:t>
        </w:r>
      </w:hyperlink>
    </w:p>
    <w:p w:rsidR="007A143F" w:rsidRDefault="00135629" w:rsidP="008B7F2D">
      <w:pPr>
        <w:pStyle w:val="btbullet"/>
      </w:pPr>
      <w:r w:rsidRPr="00135629">
        <w:t>Department of Planning and Community Development (2011) Urban Development Program 2011: Regional Residential Report – City of Greater Shepparton</w:t>
      </w:r>
    </w:p>
    <w:p w:rsidR="007A143F" w:rsidRDefault="00135629" w:rsidP="008B7F2D">
      <w:pPr>
        <w:pStyle w:val="btbullet"/>
      </w:pPr>
      <w:r w:rsidRPr="00135629">
        <w:t xml:space="preserve">Department of Planning and Community Development (2011) Urban Development Program 2011: Regional Industrial Report – City of Greater Shepparton </w:t>
      </w:r>
    </w:p>
    <w:p w:rsidR="007A143F" w:rsidRDefault="00135629" w:rsidP="008B7F2D">
      <w:pPr>
        <w:pStyle w:val="btbullet"/>
      </w:pPr>
      <w:r w:rsidRPr="00135629">
        <w:t>Department of Planning and Community Development (2011) Urban Development Program 2011: Regional Residential Report – Rural City of Wangaratta</w:t>
      </w:r>
    </w:p>
    <w:p w:rsidR="007A143F" w:rsidRDefault="00135629" w:rsidP="008B7F2D">
      <w:pPr>
        <w:pStyle w:val="btbullet"/>
      </w:pPr>
      <w:r w:rsidRPr="00135629">
        <w:t>Department of Planning and Community Development (2011) Urban Development Program 2011: Regional Industrial Report – Rural City of Wangaratta</w:t>
      </w:r>
    </w:p>
    <w:p w:rsidR="007A143F" w:rsidRDefault="00135629" w:rsidP="008B7F2D">
      <w:pPr>
        <w:pStyle w:val="btbullet"/>
      </w:pPr>
      <w:r w:rsidRPr="00135629">
        <w:t xml:space="preserve">Department of Planning and Community Development (2011) Urban Development Program: draft Regional Residential Report – Shire of Mitchell </w:t>
      </w:r>
    </w:p>
    <w:p w:rsidR="007A143F" w:rsidRDefault="00135629" w:rsidP="008B7F2D">
      <w:pPr>
        <w:pStyle w:val="btbullet"/>
      </w:pPr>
      <w:r w:rsidRPr="00135629">
        <w:t>Department of Planning and Community Development (2009) Urban Development Program 2009: Regional Residential Report – City of Wodonga –</w:t>
      </w:r>
      <w:r w:rsidR="005F3BF4">
        <w:t xml:space="preserve"> </w:t>
      </w:r>
      <w:hyperlink r:id="rId38" w:history="1">
        <w:r w:rsidR="007536C0" w:rsidRPr="005B2427">
          <w:rPr>
            <w:rStyle w:val="Hyperlink"/>
          </w:rPr>
          <w:t>http://www.dpcd.vic.gov.au/planning/plansandpolicies/urban-development-program/udp-regional-reports/udp-regional-report-wodonga</w:t>
        </w:r>
      </w:hyperlink>
    </w:p>
    <w:p w:rsidR="007A143F" w:rsidRDefault="00135629" w:rsidP="008B7F2D">
      <w:pPr>
        <w:pStyle w:val="btbullet"/>
      </w:pPr>
      <w:r w:rsidRPr="00135629">
        <w:t xml:space="preserve">Department of Planning and Community Development (2009) Urban Development Program 2009: Regional Industrial Report – City of Wodonga – </w:t>
      </w:r>
      <w:hyperlink r:id="rId39" w:history="1">
        <w:r w:rsidR="007536C0" w:rsidRPr="005B2427">
          <w:rPr>
            <w:rStyle w:val="Hyperlink"/>
          </w:rPr>
          <w:t>http://www.dpcd.vic.gov.au/planning/plansandpolicies/urban-development-program/udp-regional-reports/udp-regional-report-wodonga</w:t>
        </w:r>
      </w:hyperlink>
    </w:p>
    <w:p w:rsidR="007A143F" w:rsidRDefault="00135629" w:rsidP="008B7F2D">
      <w:pPr>
        <w:pStyle w:val="btbullet"/>
      </w:pPr>
      <w:r w:rsidRPr="00135629">
        <w:t xml:space="preserve">Department of Sustainability and Environment (2012) Environmental Partnerships – </w:t>
      </w:r>
      <w:hyperlink r:id="rId40" w:history="1">
        <w:r w:rsidR="007536C0" w:rsidRPr="005B2427">
          <w:rPr>
            <w:rStyle w:val="Hyperlink"/>
          </w:rPr>
          <w:t>http://www.dse.vic.gov.au/conservation-and-environment/environmental-partnerships</w:t>
        </w:r>
      </w:hyperlink>
    </w:p>
    <w:p w:rsidR="007A143F" w:rsidRDefault="00135629" w:rsidP="008B7F2D">
      <w:pPr>
        <w:pStyle w:val="btbullet"/>
      </w:pPr>
      <w:r w:rsidRPr="00135629">
        <w:t xml:space="preserve">Department of Sustainability and Environment (2012) Soil Health Strategy – </w:t>
      </w:r>
      <w:hyperlink r:id="rId41" w:history="1">
        <w:r w:rsidR="007536C0" w:rsidRPr="005B2427">
          <w:rPr>
            <w:rStyle w:val="Hyperlink"/>
          </w:rPr>
          <w:t>http://www.dse.vic.gov.au/land-management/dse-soil-health-strategy</w:t>
        </w:r>
      </w:hyperlink>
    </w:p>
    <w:p w:rsidR="007A143F" w:rsidRDefault="00135629" w:rsidP="008B7F2D">
      <w:pPr>
        <w:pStyle w:val="btbullet"/>
      </w:pPr>
      <w:r w:rsidRPr="00135629">
        <w:t xml:space="preserve">Department of Sustainability and Environment (2012) Guidelines for Planning Permits in Open Potable Water Supply Catchments – </w:t>
      </w:r>
      <w:hyperlink r:id="rId42" w:history="1">
        <w:r w:rsidR="007536C0" w:rsidRPr="005B2427">
          <w:rPr>
            <w:rStyle w:val="Hyperlink"/>
          </w:rPr>
          <w:t>http://www.water.vic.gov.au/governance/planning-permits-in-potable-water-catchments</w:t>
        </w:r>
      </w:hyperlink>
    </w:p>
    <w:p w:rsidR="007A143F" w:rsidRDefault="00135629" w:rsidP="008B7F2D">
      <w:pPr>
        <w:pStyle w:val="btbullet"/>
      </w:pPr>
      <w:r w:rsidRPr="00135629">
        <w:t xml:space="preserve">Department of Sustainability and Environment (2009) Northern Region Sustainable Water Strategy – </w:t>
      </w:r>
      <w:hyperlink r:id="rId43" w:history="1">
        <w:r w:rsidR="007536C0" w:rsidRPr="005B2427">
          <w:rPr>
            <w:rStyle w:val="Hyperlink"/>
          </w:rPr>
          <w:t>http://www.water.vic.gov.au/initiatives/sws/northern</w:t>
        </w:r>
      </w:hyperlink>
    </w:p>
    <w:p w:rsidR="007A143F" w:rsidRDefault="00135629" w:rsidP="008B7F2D">
      <w:pPr>
        <w:pStyle w:val="btbullet"/>
      </w:pPr>
      <w:r w:rsidRPr="00135629">
        <w:t xml:space="preserve">Elton Consulting (2011) Hume Region Housing Study (prepared for Hume Region Homelessness Network) – </w:t>
      </w:r>
      <w:hyperlink r:id="rId44" w:history="1">
        <w:r w:rsidR="007536C0" w:rsidRPr="005B2427">
          <w:rPr>
            <w:rStyle w:val="Hyperlink"/>
          </w:rPr>
          <w:t>http://www.thehousingnetwork.com.au/documents/RHNL_Regional_Housing_Study-30Nov2011.pdf</w:t>
        </w:r>
      </w:hyperlink>
    </w:p>
    <w:p w:rsidR="007A143F" w:rsidRDefault="00135629" w:rsidP="008B7F2D">
      <w:pPr>
        <w:pStyle w:val="btbullet"/>
      </w:pPr>
      <w:r w:rsidRPr="00135629">
        <w:t>Goulburn Broken Catchment Management Authority (201</w:t>
      </w:r>
      <w:r w:rsidR="001F0FBA">
        <w:t>3</w:t>
      </w:r>
      <w:r w:rsidRPr="00135629">
        <w:t xml:space="preserve">) </w:t>
      </w:r>
      <w:r w:rsidR="001F0FBA" w:rsidRPr="00135629">
        <w:t xml:space="preserve">Goulburn Broken </w:t>
      </w:r>
      <w:r w:rsidRPr="00135629">
        <w:t>Catchment Strategy</w:t>
      </w:r>
      <w:r w:rsidR="001F0FBA">
        <w:t xml:space="preserve"> 2013 - 2019</w:t>
      </w:r>
      <w:r w:rsidRPr="00135629">
        <w:t xml:space="preserve"> –</w:t>
      </w:r>
      <w:r w:rsidR="005F3BF4">
        <w:t xml:space="preserve"> </w:t>
      </w:r>
      <w:hyperlink r:id="rId45" w:history="1">
        <w:r w:rsidR="001F0FBA" w:rsidRPr="005B2427">
          <w:rPr>
            <w:rStyle w:val="Hyperlink"/>
          </w:rPr>
          <w:t>http://www.gbcma.vic.gov.au/downloads/RegionalCatchmentSt</w:t>
        </w:r>
        <w:r w:rsidR="005B2427" w:rsidRPr="005B2427">
          <w:rPr>
            <w:rStyle w:val="Hyperlink"/>
          </w:rPr>
          <w:t>rategy/GBCMA_RCS_2013-19.pdf</w:t>
        </w:r>
      </w:hyperlink>
    </w:p>
    <w:p w:rsidR="007A143F" w:rsidRDefault="00135629" w:rsidP="008B7F2D">
      <w:pPr>
        <w:pStyle w:val="btbullet"/>
      </w:pPr>
      <w:r w:rsidRPr="00135629">
        <w:t xml:space="preserve">Hume Regional Management Forum (2010) Hume </w:t>
      </w:r>
      <w:r w:rsidR="00E8022C">
        <w:t>Regional Plan: the Hume Strategy for S</w:t>
      </w:r>
      <w:r w:rsidRPr="00135629">
        <w:t>ustain</w:t>
      </w:r>
      <w:r w:rsidR="00E8022C">
        <w:t>able C</w:t>
      </w:r>
      <w:r w:rsidRPr="00135629">
        <w:t>ommunities 2010 – 2020 (published by the Department of Planning and Community Development)</w:t>
      </w:r>
      <w:r w:rsidR="005F3BF4">
        <w:t xml:space="preserve"> </w:t>
      </w:r>
      <w:r w:rsidRPr="00135629">
        <w:t>–</w:t>
      </w:r>
      <w:r w:rsidR="005F3BF4">
        <w:t xml:space="preserve"> </w:t>
      </w:r>
      <w:hyperlink r:id="rId46" w:history="1">
        <w:r w:rsidR="007536C0" w:rsidRPr="005B2427">
          <w:rPr>
            <w:rStyle w:val="Hyperlink"/>
          </w:rPr>
          <w:t>http://www.rdv.vic.gov.au/regional-development-australia/committees/hume/regional-plan</w:t>
        </w:r>
      </w:hyperlink>
    </w:p>
    <w:p w:rsidR="007A143F" w:rsidRDefault="00135629" w:rsidP="008B7F2D">
      <w:pPr>
        <w:pStyle w:val="btbullet"/>
      </w:pPr>
      <w:r w:rsidRPr="00135629">
        <w:t xml:space="preserve">Living Victoria Ministerial Advisory Committee (2012) Living Melbourne, Living Victoria: Implementation Plan (published by </w:t>
      </w:r>
      <w:r w:rsidR="00E8022C">
        <w:t xml:space="preserve">the </w:t>
      </w:r>
      <w:r w:rsidRPr="00135629">
        <w:t xml:space="preserve">Department of Sustainability and Environment) – </w:t>
      </w:r>
      <w:hyperlink r:id="rId47" w:history="1">
        <w:r w:rsidR="007536C0" w:rsidRPr="005B2427">
          <w:rPr>
            <w:rStyle w:val="Hyperlink"/>
          </w:rPr>
          <w:t>http://www.water.vic.gov.au/livingvictoria/implementation-plan</w:t>
        </w:r>
      </w:hyperlink>
    </w:p>
    <w:p w:rsidR="007A143F" w:rsidRDefault="00135629" w:rsidP="008B7F2D">
      <w:pPr>
        <w:pStyle w:val="btbullet"/>
      </w:pPr>
      <w:r w:rsidRPr="00135629">
        <w:t>North East Catchment Management Authority (201</w:t>
      </w:r>
      <w:r w:rsidR="001F0FBA">
        <w:t>3</w:t>
      </w:r>
      <w:r w:rsidRPr="00135629">
        <w:t xml:space="preserve">) </w:t>
      </w:r>
      <w:r w:rsidR="001F0FBA">
        <w:t>North East</w:t>
      </w:r>
      <w:r w:rsidR="001F0FBA" w:rsidRPr="00135629">
        <w:t xml:space="preserve"> </w:t>
      </w:r>
      <w:r w:rsidRPr="00135629">
        <w:t>Regional Catchment Strategy –</w:t>
      </w:r>
      <w:r w:rsidR="005F3BF4">
        <w:t xml:space="preserve"> </w:t>
      </w:r>
      <w:hyperlink r:id="rId48" w:history="1">
        <w:r w:rsidR="001F0FBA" w:rsidRPr="005B2427">
          <w:rPr>
            <w:rStyle w:val="Hyperlink"/>
          </w:rPr>
          <w:t>http://www.necma.vic.gov.au/ResourceLibrary/StrategiesPlans/images/North%20East%20RCS_May2013_Low%20Res.pdf</w:t>
        </w:r>
      </w:hyperlink>
    </w:p>
    <w:p w:rsidR="007A143F" w:rsidRDefault="00135629" w:rsidP="008B7F2D">
      <w:pPr>
        <w:pStyle w:val="btbullet"/>
      </w:pPr>
      <w:r w:rsidRPr="006862FD">
        <w:t xml:space="preserve">Planisphere Pty Ltd (2012) Understanding Small Settlements in Victoria – Final Report (prepared for </w:t>
      </w:r>
      <w:r w:rsidR="00E8022C" w:rsidRPr="006862FD">
        <w:t xml:space="preserve">the </w:t>
      </w:r>
      <w:r w:rsidRPr="006862FD">
        <w:t>Department of Planning and Community Development)</w:t>
      </w:r>
    </w:p>
    <w:p w:rsidR="007A143F" w:rsidRDefault="00135629" w:rsidP="008B7F2D">
      <w:pPr>
        <w:pStyle w:val="btbullet"/>
      </w:pPr>
      <w:r w:rsidRPr="006862FD">
        <w:t>Regional Development Victoria (201</w:t>
      </w:r>
      <w:r w:rsidR="00A111F6">
        <w:t>3</w:t>
      </w:r>
      <w:r w:rsidRPr="006862FD">
        <w:t>) Draft Regional Economic Profile</w:t>
      </w:r>
      <w:r w:rsidR="00A111F6">
        <w:t xml:space="preserve"> </w:t>
      </w:r>
      <w:r w:rsidR="00A111F6" w:rsidRPr="006862FD">
        <w:t>–</w:t>
      </w:r>
      <w:r w:rsidR="00A111F6">
        <w:t xml:space="preserve"> Hume,</w:t>
      </w:r>
      <w:r w:rsidRPr="006862FD">
        <w:t xml:space="preserve"> 201</w:t>
      </w:r>
      <w:r w:rsidR="00A111F6">
        <w:t>3</w:t>
      </w:r>
      <w:r w:rsidR="00FD2106">
        <w:t xml:space="preserve"> (unpublished</w:t>
      </w:r>
      <w:r w:rsidR="00A111F6">
        <w:t xml:space="preserve"> working paper</w:t>
      </w:r>
      <w:r w:rsidR="00FD2106">
        <w:t>)</w:t>
      </w:r>
    </w:p>
    <w:p w:rsidR="007A143F" w:rsidRDefault="00135629" w:rsidP="008B7F2D">
      <w:pPr>
        <w:pStyle w:val="btbullet"/>
      </w:pPr>
      <w:r w:rsidRPr="006862FD">
        <w:t>Street Ryan (2012) Hume Region Economic Profile and Outlook (prepared for the Department of Planning and Community Development)</w:t>
      </w:r>
    </w:p>
    <w:p w:rsidR="007A143F" w:rsidRDefault="00135629" w:rsidP="008B7F2D">
      <w:pPr>
        <w:pStyle w:val="btbullet"/>
      </w:pPr>
      <w:r w:rsidRPr="00135629">
        <w:t>Urban Enterprise and Enplan Partners (2012) Hume Region Rural Land Use Study, 2012 (prepared for Department of Planning and Community Development)</w:t>
      </w:r>
    </w:p>
    <w:p w:rsidR="007A143F" w:rsidRDefault="00135629" w:rsidP="008B7F2D">
      <w:pPr>
        <w:pStyle w:val="btbullet"/>
      </w:pPr>
      <w:r w:rsidRPr="00135629">
        <w:t>Victorian Government (2011) Review of the 2010-11 Flood Warnings and Response: Final Report (prepared by Neil Comrie for the Victorian Government) –</w:t>
      </w:r>
      <w:r w:rsidR="005F3BF4">
        <w:t xml:space="preserve"> </w:t>
      </w:r>
      <w:hyperlink r:id="rId49" w:history="1">
        <w:r w:rsidR="007536C0" w:rsidRPr="005B2427">
          <w:rPr>
            <w:rStyle w:val="Hyperlink"/>
          </w:rPr>
          <w:t>http://www.floodsreview.vic.gov.au/about-the-review/final-report.html</w:t>
        </w:r>
      </w:hyperlink>
    </w:p>
    <w:p w:rsidR="007A143F" w:rsidRDefault="00135629" w:rsidP="008B7F2D">
      <w:pPr>
        <w:pStyle w:val="btbullet"/>
      </w:pPr>
      <w:r w:rsidRPr="00135629">
        <w:t>Victorian Government (2012) Victorian Government’s Response to the Victorian Flood Review:  Improving Flood Warning Systems Implementation Plan</w:t>
      </w:r>
      <w:r w:rsidR="005F3BF4">
        <w:t xml:space="preserve"> - </w:t>
      </w:r>
      <w:hyperlink r:id="rId50" w:history="1">
        <w:r w:rsidR="007536C0" w:rsidRPr="005B2427">
          <w:rPr>
            <w:rStyle w:val="Hyperlink"/>
          </w:rPr>
          <w:t>http://www.water.vic.gov.au/__data/assets/pdf_file/0009/151569/DSE-8169-Improving-Flood-Warning-Systems_WEB.pdf</w:t>
        </w:r>
      </w:hyperlink>
    </w:p>
    <w:p w:rsidR="007A143F" w:rsidRDefault="00135629" w:rsidP="008B7F2D">
      <w:pPr>
        <w:pStyle w:val="btbullet"/>
      </w:pPr>
      <w:r w:rsidRPr="00135629">
        <w:t xml:space="preserve">Victorian Government (2012) Report on Climate Change and Greenhouse Gas Emissions in Victoria (as required under the Climate Change Act 2010) – </w:t>
      </w:r>
      <w:hyperlink r:id="rId51" w:history="1">
        <w:r w:rsidR="007536C0" w:rsidRPr="005B2427">
          <w:rPr>
            <w:rStyle w:val="Hyperlink"/>
          </w:rPr>
          <w:t>http://www.climatechange.vic.gov.au/__data/assets/pdf_file/0005/136490/DSE_Greenhouse-Report_online.pdf</w:t>
        </w:r>
      </w:hyperlink>
    </w:p>
    <w:p w:rsidR="007A143F" w:rsidRDefault="00135629" w:rsidP="008B7F2D">
      <w:pPr>
        <w:pStyle w:val="btbullet"/>
      </w:pPr>
      <w:r w:rsidRPr="00135629">
        <w:t xml:space="preserve">Victorian Government (2012) Priority Infrastructure Submission to Infrastructure Australia – </w:t>
      </w:r>
      <w:hyperlink r:id="rId52" w:history="1">
        <w:r w:rsidR="007536C0" w:rsidRPr="005B2427">
          <w:rPr>
            <w:rStyle w:val="Hyperlink"/>
          </w:rPr>
          <w:t>http://www.dpc.vic.gov.au/index.php/featured/infrastructure-australia-update</w:t>
        </w:r>
        <w:r w:rsidRPr="005B2427">
          <w:rPr>
            <w:rStyle w:val="Hyperlink"/>
          </w:rPr>
          <w:tab/>
        </w:r>
      </w:hyperlink>
    </w:p>
    <w:p w:rsidR="007A143F" w:rsidRPr="001F0FBA" w:rsidRDefault="00343B92" w:rsidP="008B7F2D">
      <w:pPr>
        <w:pStyle w:val="btbullet"/>
        <w:rPr>
          <w:u w:val="single"/>
        </w:rPr>
      </w:pPr>
      <w:r w:rsidRPr="00343B92">
        <w:t>Victorian Government (2012) Securing Victoria’s Economy:</w:t>
      </w:r>
      <w:r>
        <w:t xml:space="preserve"> Planning. Building. Delivering </w:t>
      </w:r>
      <w:r w:rsidRPr="00135629">
        <w:t xml:space="preserve">– </w:t>
      </w:r>
      <w:hyperlink r:id="rId53" w:history="1">
        <w:r w:rsidR="007536C0" w:rsidRPr="005B2427">
          <w:rPr>
            <w:rStyle w:val="Hyperlink"/>
          </w:rPr>
          <w:t>http://www.dpc.vic.gov.au/index.php/featured/securing-victorias-economy</w:t>
        </w:r>
      </w:hyperlink>
    </w:p>
    <w:p w:rsidR="001F0FBA" w:rsidRPr="001F0FBA" w:rsidRDefault="001F0FBA" w:rsidP="008B7F2D">
      <w:pPr>
        <w:pStyle w:val="btbullet"/>
      </w:pPr>
      <w:r w:rsidRPr="001F0FBA">
        <w:t>Victorian Govern</w:t>
      </w:r>
      <w:r w:rsidR="009610A3">
        <w:t>ment (2013</w:t>
      </w:r>
      <w:r w:rsidRPr="001F0FBA">
        <w:t xml:space="preserve">) Victorian Climate Change Adaptation Plan - </w:t>
      </w:r>
      <w:hyperlink r:id="rId54" w:history="1">
        <w:r w:rsidRPr="005B2427">
          <w:rPr>
            <w:rStyle w:val="Hyperlink"/>
          </w:rPr>
          <w:t>http://www.depi.vic.gov.au/__data/assets/pdf_file/0005/181067/4493_DSE_Climate_Change_Adaptation_Plan_WEB.pdf</w:t>
        </w:r>
      </w:hyperlink>
    </w:p>
    <w:p w:rsidR="001F0FBA" w:rsidRPr="001F0FBA" w:rsidRDefault="009610A3" w:rsidP="008B7F2D">
      <w:pPr>
        <w:pStyle w:val="btbullet"/>
      </w:pPr>
      <w:r>
        <w:t>Victorian Government (2013</w:t>
      </w:r>
      <w:r w:rsidR="001F0FBA" w:rsidRPr="001F0FBA">
        <w:t xml:space="preserve">) Getting Full Value – The Victorian Waste and Resource Recovery Policy - </w:t>
      </w:r>
      <w:hyperlink r:id="rId55" w:history="1">
        <w:r w:rsidR="001F0FBA" w:rsidRPr="005B2427">
          <w:rPr>
            <w:rStyle w:val="Hyperlink"/>
          </w:rPr>
          <w:t>http://www.depi.vic.gov.au/__data/assets/pdf_file/0008/182537/7562-DSE-Victorian-Waste-and-Resource-Recovery_WEB.pdf</w:t>
        </w:r>
      </w:hyperlink>
    </w:p>
    <w:p w:rsidR="001F0FBA" w:rsidRPr="001F0FBA" w:rsidRDefault="009610A3" w:rsidP="008B7F2D">
      <w:pPr>
        <w:pStyle w:val="btbullet"/>
      </w:pPr>
      <w:r>
        <w:t>Victorian Government (2013</w:t>
      </w:r>
      <w:r w:rsidR="001F0FBA" w:rsidRPr="001F0FBA">
        <w:t xml:space="preserve">) Economic Development and Infrastructure Committee, Inquiry into greenfields mineral exploration and project development in Victoria, Government response - </w:t>
      </w:r>
      <w:hyperlink r:id="rId56" w:history="1">
        <w:r w:rsidR="001F0FBA" w:rsidRPr="005B2427">
          <w:rPr>
            <w:rStyle w:val="Hyperlink"/>
          </w:rPr>
          <w:t>http://www.parliament.vic.gov.au/images/stories/committees/edic/greenfields_mineral_exploration/GME_govt_response.pdf</w:t>
        </w:r>
      </w:hyperlink>
    </w:p>
    <w:p w:rsidR="00681189" w:rsidRDefault="00135629" w:rsidP="008B7F2D">
      <w:pPr>
        <w:pStyle w:val="btbullet"/>
      </w:pPr>
      <w:r w:rsidRPr="00135629">
        <w:t>Victorian Government (2005) Regional Matters – an Atlas of Regional Victoria 2005 (prepared by the Department of Sustainability and Environment)</w:t>
      </w:r>
      <w:r w:rsidR="005F3BF4">
        <w:t xml:space="preserve"> - </w:t>
      </w:r>
      <w:hyperlink r:id="rId57" w:history="1">
        <w:r w:rsidR="007536C0" w:rsidRPr="005B2427">
          <w:rPr>
            <w:rStyle w:val="Hyperlink"/>
          </w:rPr>
          <w:t>http://www.dpcd.vic.gov.au/home/publications-and-research/urban-and-regional-research/Regional-Victoria/regional-matters-an-atlas-of-regional-victoria-2005</w:t>
        </w:r>
      </w:hyperlink>
    </w:p>
    <w:p w:rsidR="007A143F" w:rsidRDefault="00DA722B">
      <w:pPr>
        <w:pStyle w:val="bt"/>
        <w:rPr>
          <w:rStyle w:val="Strong"/>
        </w:rPr>
      </w:pPr>
      <w:r w:rsidRPr="00DA722B">
        <w:rPr>
          <w:rStyle w:val="Strong"/>
        </w:rPr>
        <w:t>Web resources</w:t>
      </w:r>
    </w:p>
    <w:p w:rsidR="007A143F" w:rsidRDefault="00135629" w:rsidP="008B7F2D">
      <w:pPr>
        <w:pStyle w:val="btbullet"/>
      </w:pPr>
      <w:r w:rsidRPr="00135629">
        <w:t>Australian Bureau of Statistics (</w:t>
      </w:r>
      <w:r w:rsidR="000E47D5">
        <w:t>Australian Bureau of Statistics</w:t>
      </w:r>
      <w:r w:rsidRPr="00135629">
        <w:t xml:space="preserve">) Census data, 2006 and 2011 </w:t>
      </w:r>
      <w:r w:rsidR="00E8022C" w:rsidRPr="00135629">
        <w:t>–</w:t>
      </w:r>
      <w:r w:rsidRPr="00135629">
        <w:t xml:space="preserve"> </w:t>
      </w:r>
      <w:hyperlink r:id="rId58" w:history="1">
        <w:r w:rsidR="007536C0" w:rsidRPr="005B2427">
          <w:rPr>
            <w:rStyle w:val="Hyperlink"/>
          </w:rPr>
          <w:t>www.abs.gov.au/websitedbs/censushome.nsf/home/census?opendocument&amp;navpos=10</w:t>
        </w:r>
      </w:hyperlink>
    </w:p>
    <w:p w:rsidR="007A143F" w:rsidRDefault="00135629" w:rsidP="008B7F2D">
      <w:pPr>
        <w:pStyle w:val="btbullet"/>
      </w:pPr>
      <w:r w:rsidRPr="00135629">
        <w:t>Australian Bureau of Statistics (</w:t>
      </w:r>
      <w:r w:rsidR="000E47D5">
        <w:t>Australian Bureau of Statistics</w:t>
      </w:r>
      <w:r w:rsidRPr="00135629">
        <w:t xml:space="preserve">) Index of Relative Socio-economic Disadvantage (SEIFA) – </w:t>
      </w:r>
      <w:hyperlink r:id="rId59" w:history="1">
        <w:r w:rsidR="007536C0" w:rsidRPr="005B2427">
          <w:rPr>
            <w:rStyle w:val="Hyperlink"/>
          </w:rPr>
          <w:t>http://www.abs.gov.au/websitedbs/censushome.nsf/home/seifa?opendocument&amp;navpos=260</w:t>
        </w:r>
      </w:hyperlink>
    </w:p>
    <w:p w:rsidR="007A143F" w:rsidRDefault="00135629" w:rsidP="008B7F2D">
      <w:pPr>
        <w:pStyle w:val="btbullet"/>
      </w:pPr>
      <w:r w:rsidRPr="00135629">
        <w:t>City of Albury, NSW –</w:t>
      </w:r>
      <w:r w:rsidR="005F3BF4">
        <w:t xml:space="preserve"> </w:t>
      </w:r>
      <w:hyperlink r:id="rId60" w:history="1">
        <w:r w:rsidR="007536C0" w:rsidRPr="005B2427">
          <w:rPr>
            <w:rStyle w:val="Hyperlink"/>
          </w:rPr>
          <w:t>www.alburycity.nsw.gov.au</w:t>
        </w:r>
      </w:hyperlink>
      <w:r w:rsidRPr="00135629">
        <w:t xml:space="preserve"> </w:t>
      </w:r>
    </w:p>
    <w:p w:rsidR="007A143F" w:rsidRDefault="00135629" w:rsidP="008B7F2D">
      <w:pPr>
        <w:pStyle w:val="btbullet"/>
      </w:pPr>
      <w:r w:rsidRPr="00135629">
        <w:t xml:space="preserve">Dart Mining NL – </w:t>
      </w:r>
      <w:r w:rsidR="005F3BF4">
        <w:t xml:space="preserve"> </w:t>
      </w:r>
      <w:hyperlink r:id="rId61" w:history="1">
        <w:r w:rsidR="007536C0" w:rsidRPr="005B2427">
          <w:rPr>
            <w:rStyle w:val="Hyperlink"/>
          </w:rPr>
          <w:t>http://www.dartmining.com.au/projects/project-locations</w:t>
        </w:r>
      </w:hyperlink>
      <w:r w:rsidRPr="00135629">
        <w:tab/>
      </w:r>
    </w:p>
    <w:p w:rsidR="007A143F" w:rsidRPr="008A6790" w:rsidRDefault="00135629" w:rsidP="008B7F2D">
      <w:pPr>
        <w:pStyle w:val="btbullet"/>
      </w:pPr>
      <w:r w:rsidRPr="00135629">
        <w:t>Department of Broadband, Communication and the Digital Economy Austral</w:t>
      </w:r>
      <w:r w:rsidR="00E8022C">
        <w:t>ia</w:t>
      </w:r>
      <w:r w:rsidR="00E8022C" w:rsidRPr="00E8022C">
        <w:rPr>
          <w:sz w:val="16"/>
          <w:szCs w:val="16"/>
        </w:rPr>
        <w:t xml:space="preserve"> </w:t>
      </w:r>
      <w:r w:rsidR="00E8022C">
        <w:t>–</w:t>
      </w:r>
      <w:r w:rsidR="00E8022C" w:rsidRPr="00E8022C">
        <w:rPr>
          <w:sz w:val="16"/>
          <w:szCs w:val="16"/>
        </w:rPr>
        <w:t xml:space="preserve"> </w:t>
      </w:r>
      <w:r w:rsidR="00E8022C">
        <w:t xml:space="preserve">National Broadband Network </w:t>
      </w:r>
      <w:r w:rsidRPr="00135629">
        <w:t>–</w:t>
      </w:r>
      <w:r w:rsidR="005F3BF4">
        <w:t xml:space="preserve"> </w:t>
      </w:r>
      <w:hyperlink r:id="rId62" w:history="1">
        <w:r w:rsidR="007536C0" w:rsidRPr="005B2427">
          <w:rPr>
            <w:rStyle w:val="Hyperlink"/>
          </w:rPr>
          <w:t>http://www.nbnco.com.au/rollout/rollout-map.html?icid=pub:rollout:1yr:bod:map-lp</w:t>
        </w:r>
      </w:hyperlink>
    </w:p>
    <w:p w:rsidR="007A143F" w:rsidRDefault="00135629" w:rsidP="008B7F2D">
      <w:pPr>
        <w:pStyle w:val="btbullet"/>
      </w:pPr>
      <w:r w:rsidRPr="00135629">
        <w:t>Department of Planning and Community Development – Murray River Settlement Strategy –</w:t>
      </w:r>
      <w:r w:rsidR="005F3BF4">
        <w:t xml:space="preserve"> </w:t>
      </w:r>
      <w:hyperlink r:id="rId63" w:history="1">
        <w:r w:rsidR="007536C0" w:rsidRPr="005B2427">
          <w:rPr>
            <w:rStyle w:val="Hyperlink"/>
          </w:rPr>
          <w:t>http://www.dpcd.vic.gov.au/planning/plansandpolicies/ruralandregionalplanning/murray-river-settlement-strategy</w:t>
        </w:r>
      </w:hyperlink>
    </w:p>
    <w:p w:rsidR="00013D09" w:rsidRDefault="00013D09" w:rsidP="008B7F2D">
      <w:pPr>
        <w:pStyle w:val="btbullet"/>
      </w:pPr>
      <w:r w:rsidRPr="00135629">
        <w:t>Department of Planning and Community Development</w:t>
      </w:r>
      <w:r>
        <w:t xml:space="preserve"> – Towns in Time 2011 </w:t>
      </w:r>
      <w:r w:rsidRPr="00135629">
        <w:t>–</w:t>
      </w:r>
      <w:hyperlink r:id="rId64" w:history="1">
        <w:r w:rsidRPr="005B2427">
          <w:rPr>
            <w:rStyle w:val="Hyperlink"/>
          </w:rPr>
          <w:t>http://www.dpcd.vic.gov.au/home/publications-and-research/urban-and-regional-research/census-2011/towns-in-time</w:t>
        </w:r>
      </w:hyperlink>
    </w:p>
    <w:p w:rsidR="007A143F" w:rsidRDefault="00135629" w:rsidP="008B7F2D">
      <w:pPr>
        <w:pStyle w:val="btbullet"/>
      </w:pPr>
      <w:r w:rsidRPr="00135629">
        <w:t xml:space="preserve">Department of Planning and Community Development - Victorian Heritage Database – </w:t>
      </w:r>
      <w:hyperlink r:id="rId65" w:history="1">
        <w:r w:rsidR="007536C0" w:rsidRPr="005B2427">
          <w:rPr>
            <w:rStyle w:val="Hyperlink"/>
          </w:rPr>
          <w:t>http://vhd.heritage.vic.gov.au/vhd/heritagevic</w:t>
        </w:r>
      </w:hyperlink>
      <w:r w:rsidRPr="00135629">
        <w:t xml:space="preserve"> </w:t>
      </w:r>
    </w:p>
    <w:p w:rsidR="007A143F" w:rsidRDefault="00135629" w:rsidP="008B7F2D">
      <w:pPr>
        <w:pStyle w:val="btbullet"/>
      </w:pPr>
      <w:r w:rsidRPr="00135629">
        <w:t xml:space="preserve">Department of Primary Industries Victoria – Farm Water Project – </w:t>
      </w:r>
      <w:hyperlink r:id="rId66" w:history="1">
        <w:r w:rsidR="007536C0" w:rsidRPr="005B2427">
          <w:rPr>
            <w:rStyle w:val="Hyperlink"/>
          </w:rPr>
          <w:t>http://www.dpi.vic.gov.au/agriculture/about-agriculture/newsletters-and-updates/dairy-newsletters/the-dairy-bulletin/april/farm-water-program</w:t>
        </w:r>
      </w:hyperlink>
    </w:p>
    <w:p w:rsidR="007A143F" w:rsidRDefault="00135629" w:rsidP="008B7F2D">
      <w:pPr>
        <w:pStyle w:val="btbullet"/>
      </w:pPr>
      <w:r w:rsidRPr="00135629">
        <w:t xml:space="preserve">Department of Sustainability, Environment, Water, Population and Communities - National Heritage List – </w:t>
      </w:r>
      <w:hyperlink r:id="rId67" w:history="1">
        <w:r w:rsidR="007536C0" w:rsidRPr="005B2427">
          <w:rPr>
            <w:rStyle w:val="Hyperlink"/>
          </w:rPr>
          <w:t>http://www.environment.gov.au/heritage/places/national/index.html</w:t>
        </w:r>
      </w:hyperlink>
    </w:p>
    <w:p w:rsidR="007A143F" w:rsidRDefault="00135629" w:rsidP="008B7F2D">
      <w:pPr>
        <w:pStyle w:val="btbullet"/>
      </w:pPr>
      <w:r w:rsidRPr="00135629">
        <w:t xml:space="preserve">Department of Sustainability, Environment, Water, Population and Communities - Commonwealth Heritage List – </w:t>
      </w:r>
      <w:hyperlink r:id="rId68" w:history="1">
        <w:r w:rsidR="007536C0" w:rsidRPr="005B2427">
          <w:rPr>
            <w:rStyle w:val="Hyperlink"/>
          </w:rPr>
          <w:t>http://www.environment.gov.au/heritage/places/commonwealth/index.html</w:t>
        </w:r>
      </w:hyperlink>
      <w:r w:rsidRPr="00135629">
        <w:t xml:space="preserve"> </w:t>
      </w:r>
    </w:p>
    <w:p w:rsidR="007A143F" w:rsidRPr="008A6790" w:rsidRDefault="00135629" w:rsidP="008B7F2D">
      <w:pPr>
        <w:pStyle w:val="btbullet"/>
      </w:pPr>
      <w:r w:rsidRPr="00135629">
        <w:t xml:space="preserve">Department of Sustainability and Environment </w:t>
      </w:r>
      <w:r w:rsidR="007536C0" w:rsidRPr="007536C0">
        <w:t xml:space="preserve">Victoria – dryland salinity – </w:t>
      </w:r>
      <w:hyperlink r:id="rId69" w:history="1">
        <w:r w:rsidR="007536C0" w:rsidRPr="005B2427">
          <w:rPr>
            <w:rStyle w:val="Hyperlink"/>
          </w:rPr>
          <w:t>http://www.dse.vic.gov.au/land-management/land/salinity/dryland-salinity/dryland-salinity-the-extent-of-dryland-salinity</w:t>
        </w:r>
      </w:hyperlink>
    </w:p>
    <w:p w:rsidR="007A143F" w:rsidRDefault="00135629" w:rsidP="008B7F2D">
      <w:pPr>
        <w:pStyle w:val="btbullet"/>
      </w:pPr>
      <w:r w:rsidRPr="00135629">
        <w:t>Department of Sustainability and Environment Victoria – ecomarkets –</w:t>
      </w:r>
      <w:r w:rsidR="005F3BF4">
        <w:t xml:space="preserve"> </w:t>
      </w:r>
      <w:hyperlink r:id="rId70" w:history="1">
        <w:r w:rsidR="007536C0" w:rsidRPr="005B2427">
          <w:rPr>
            <w:rStyle w:val="Hyperlink"/>
          </w:rPr>
          <w:t>http://www.dse.vic.gov.au/conservation-and-environment/ecomarkets</w:t>
        </w:r>
      </w:hyperlink>
    </w:p>
    <w:p w:rsidR="007A143F" w:rsidRDefault="00135629" w:rsidP="008B7F2D">
      <w:pPr>
        <w:pStyle w:val="btbullet"/>
      </w:pPr>
      <w:r w:rsidRPr="00135629">
        <w:t>Department of Transport Victoria –</w:t>
      </w:r>
      <w:r w:rsidR="005F3BF4">
        <w:t xml:space="preserve"> </w:t>
      </w:r>
      <w:hyperlink r:id="rId71" w:history="1">
        <w:r w:rsidR="007536C0" w:rsidRPr="005B2427">
          <w:rPr>
            <w:rStyle w:val="Hyperlink"/>
          </w:rPr>
          <w:t>http://www.transport.vic.gov.au/freight/freight-projects-and-initiatives/victorian-freight-and-logistics-plan</w:t>
        </w:r>
      </w:hyperlink>
    </w:p>
    <w:p w:rsidR="007A143F" w:rsidRDefault="00135629" w:rsidP="008B7F2D">
      <w:pPr>
        <w:pStyle w:val="btbullet"/>
      </w:pPr>
      <w:r w:rsidRPr="00135629">
        <w:t xml:space="preserve">Department of Transport and Infrastructure Australia – National Airports Safeguarding Framework – </w:t>
      </w:r>
      <w:r w:rsidR="005F3BF4">
        <w:t xml:space="preserve"> </w:t>
      </w:r>
      <w:hyperlink r:id="rId72" w:history="1">
        <w:r w:rsidR="007536C0" w:rsidRPr="005B2427">
          <w:rPr>
            <w:rStyle w:val="Hyperlink"/>
          </w:rPr>
          <w:t>http://www.infrastructure.gov.au/aviation/environmental/airport_safeguarding/nasf/</w:t>
        </w:r>
      </w:hyperlink>
    </w:p>
    <w:p w:rsidR="00E3224D" w:rsidRDefault="007536C0" w:rsidP="008B7F2D">
      <w:pPr>
        <w:pStyle w:val="btbullet"/>
      </w:pPr>
      <w:r w:rsidRPr="007536C0">
        <w:t xml:space="preserve">Goulburn-Murray Water – </w:t>
      </w:r>
      <w:hyperlink r:id="rId73" w:history="1">
        <w:r w:rsidRPr="005B2427">
          <w:rPr>
            <w:rStyle w:val="Hyperlink"/>
            <w:szCs w:val="20"/>
          </w:rPr>
          <w:t>http://www.g-mwater.com.au/water-resources/storages/humedam</w:t>
        </w:r>
      </w:hyperlink>
    </w:p>
    <w:p w:rsidR="007A143F" w:rsidRDefault="00135629" w:rsidP="008B7F2D">
      <w:pPr>
        <w:pStyle w:val="btbullet"/>
      </w:pPr>
      <w:r w:rsidRPr="00135629">
        <w:t xml:space="preserve">Goulburn-Murray Water – Goulburn-Murray Water Connections Project (formerly Northern Victoria Irrigation Renewal Project) – </w:t>
      </w:r>
      <w:hyperlink r:id="rId74" w:history="1">
        <w:r w:rsidR="007536C0" w:rsidRPr="005B2427">
          <w:rPr>
            <w:rStyle w:val="Hyperlink"/>
          </w:rPr>
          <w:t>http://www.g-mwater.com.au/connections/the-project</w:t>
        </w:r>
      </w:hyperlink>
    </w:p>
    <w:p w:rsidR="007A143F" w:rsidRDefault="00135629" w:rsidP="008B7F2D">
      <w:pPr>
        <w:pStyle w:val="btbullet"/>
      </w:pPr>
      <w:r w:rsidRPr="00135629">
        <w:t>Murray-Darling Basin Authority – Living Murray Program –</w:t>
      </w:r>
      <w:r w:rsidR="005F3BF4">
        <w:t xml:space="preserve"> </w:t>
      </w:r>
      <w:hyperlink r:id="rId75" w:history="1">
        <w:r w:rsidR="007536C0" w:rsidRPr="005B2427">
          <w:rPr>
            <w:rStyle w:val="Hyperlink"/>
          </w:rPr>
          <w:t>http://www.mdba.gov.au/programs/tlm</w:t>
        </w:r>
      </w:hyperlink>
    </w:p>
    <w:p w:rsidR="007A143F" w:rsidRDefault="00135629" w:rsidP="008B7F2D">
      <w:pPr>
        <w:pStyle w:val="btbullet"/>
      </w:pPr>
      <w:r w:rsidRPr="00135629">
        <w:t>Regional Development Victoria –Digital Hume – a strategy for a smart region (being prepared by Arup Pty Ltd for the Hume Regional Development Australia Committee)</w:t>
      </w:r>
      <w:r w:rsidR="005F3BF4">
        <w:t xml:space="preserve"> - </w:t>
      </w:r>
      <w:hyperlink r:id="rId76" w:history="1">
        <w:r w:rsidR="007536C0" w:rsidRPr="005B2427">
          <w:rPr>
            <w:rStyle w:val="Hyperlink"/>
          </w:rPr>
          <w:t>http://www.rdv.vic.gov.au/regional-development-australia/committees/hume/ict/ict-strategy-development</w:t>
        </w:r>
      </w:hyperlink>
    </w:p>
    <w:p w:rsidR="007A143F" w:rsidRDefault="00135629" w:rsidP="008B7F2D">
      <w:pPr>
        <w:pStyle w:val="btbullet"/>
      </w:pPr>
      <w:r w:rsidRPr="00135629">
        <w:t xml:space="preserve">Victorian Government </w:t>
      </w:r>
      <w:r w:rsidR="00817032">
        <w:t>–</w:t>
      </w:r>
      <w:r w:rsidRPr="00135629">
        <w:t xml:space="preserve"> Atlas of Regional Victoria 2005</w:t>
      </w:r>
      <w:r w:rsidR="005F3BF4">
        <w:t xml:space="preserve"> - </w:t>
      </w:r>
      <w:hyperlink r:id="rId77" w:history="1">
        <w:r w:rsidR="007536C0" w:rsidRPr="005B2427">
          <w:rPr>
            <w:rStyle w:val="Hyperlink"/>
          </w:rPr>
          <w:t>http://www.dpcd.vic.gov.au/home/publications-and-research/urban-and-regional-research/Regional-Victoria/regional-matters-an-atlas-of-regional-victoria-2005</w:t>
        </w:r>
      </w:hyperlink>
    </w:p>
    <w:p w:rsidR="007A143F" w:rsidRDefault="00B22398" w:rsidP="008B7F2D">
      <w:pPr>
        <w:pStyle w:val="btbullet"/>
      </w:pPr>
      <w:r w:rsidRPr="00135629">
        <w:t xml:space="preserve">Victorian Government </w:t>
      </w:r>
      <w:r>
        <w:t>– Hume Region, Victoria, Australia. An ideal investment destination</w:t>
      </w:r>
      <w:r w:rsidR="005F3BF4">
        <w:t xml:space="preserve"> - </w:t>
      </w:r>
      <w:hyperlink r:id="rId78" w:history="1">
        <w:r w:rsidR="007536C0" w:rsidRPr="005B2427">
          <w:rPr>
            <w:rStyle w:val="Hyperlink"/>
          </w:rPr>
          <w:t>http://www.rdv.vic.gov.au</w:t>
        </w:r>
      </w:hyperlink>
    </w:p>
    <w:p w:rsidR="008B7F2D" w:rsidRDefault="00135629" w:rsidP="008B7F2D">
      <w:pPr>
        <w:pStyle w:val="btbullet"/>
      </w:pPr>
      <w:r w:rsidRPr="00135629">
        <w:t>V/Line –</w:t>
      </w:r>
      <w:r w:rsidR="007536C0" w:rsidRPr="007536C0">
        <w:t xml:space="preserve"> Public transport inform</w:t>
      </w:r>
      <w:r w:rsidR="005B2427">
        <w:t xml:space="preserve">ation - </w:t>
      </w:r>
      <w:hyperlink r:id="rId79" w:history="1">
        <w:r w:rsidR="005B2427" w:rsidRPr="005B2427">
          <w:rPr>
            <w:rStyle w:val="Hyperlink"/>
          </w:rPr>
          <w:t>http://</w:t>
        </w:r>
        <w:r w:rsidR="008B7F2D" w:rsidRPr="005B2427">
          <w:rPr>
            <w:rStyle w:val="Hyperlink"/>
          </w:rPr>
          <w:t>www.vline.com.au</w:t>
        </w:r>
      </w:hyperlink>
    </w:p>
    <w:p w:rsidR="008B7F2D" w:rsidRDefault="008B7F2D">
      <w:pPr>
        <w:rPr>
          <w:rFonts w:ascii="Calibri" w:eastAsia="Times New Roman" w:hAnsi="Calibri" w:cs="Times New Roman"/>
          <w:szCs w:val="24"/>
        </w:rPr>
      </w:pPr>
      <w:r>
        <w:br w:type="page"/>
      </w:r>
    </w:p>
    <w:p w:rsidR="00C4507B" w:rsidRPr="009E1A60" w:rsidRDefault="00D70150" w:rsidP="00D70150">
      <w:pPr>
        <w:pStyle w:val="Heading1"/>
        <w:rPr>
          <w:rFonts w:cstheme="minorHAnsi"/>
          <w:szCs w:val="20"/>
        </w:rPr>
      </w:pPr>
      <w:bookmarkStart w:id="547" w:name="_Toc355970881"/>
      <w:bookmarkStart w:id="548" w:name="_Toc359423024"/>
      <w:bookmarkStart w:id="549" w:name="_Toc374612525"/>
      <w:r w:rsidRPr="00D70150">
        <w:rPr>
          <w:rFonts w:eastAsiaTheme="minorHAnsi"/>
        </w:rPr>
        <w:t>APPENDIX B:</w:t>
      </w:r>
      <w:r w:rsidRPr="00D70150">
        <w:rPr>
          <w:rFonts w:eastAsiaTheme="minorHAnsi"/>
        </w:rPr>
        <w:tab/>
      </w:r>
      <w:r w:rsidR="00C4507B" w:rsidRPr="00D70150">
        <w:rPr>
          <w:rFonts w:eastAsiaTheme="minorHAnsi"/>
        </w:rPr>
        <w:t>TECHNICAL WORKING GROUP MEMBERS</w:t>
      </w:r>
      <w:bookmarkEnd w:id="547"/>
      <w:bookmarkEnd w:id="548"/>
      <w:bookmarkEnd w:id="549"/>
    </w:p>
    <w:p w:rsidR="007A143F" w:rsidRDefault="00DA722B">
      <w:pPr>
        <w:pStyle w:val="bt"/>
      </w:pPr>
      <w:r w:rsidRPr="00DA722B">
        <w:t>The Hume Regional Growth Plan Technical Working Group consists of representatives from the following organisations:</w:t>
      </w:r>
    </w:p>
    <w:p w:rsidR="007A143F" w:rsidRDefault="00DA722B">
      <w:pPr>
        <w:pStyle w:val="bt"/>
        <w:spacing w:after="0"/>
        <w:rPr>
          <w:rStyle w:val="Strong"/>
        </w:rPr>
      </w:pPr>
      <w:r w:rsidRPr="00DA722B">
        <w:rPr>
          <w:rStyle w:val="Strong"/>
        </w:rPr>
        <w:t>Government Agencies and Authorities:</w:t>
      </w:r>
    </w:p>
    <w:p w:rsidR="007A143F" w:rsidRDefault="00B802B0" w:rsidP="008B7F2D">
      <w:pPr>
        <w:pStyle w:val="btbullet"/>
      </w:pPr>
      <w:r>
        <w:t xml:space="preserve">Office of </w:t>
      </w:r>
      <w:r w:rsidR="00DA722B" w:rsidRPr="00DA722B">
        <w:t>Aboriginal Affairs Victoria</w:t>
      </w:r>
    </w:p>
    <w:p w:rsidR="007A143F" w:rsidRDefault="00DA722B" w:rsidP="008B7F2D">
      <w:pPr>
        <w:pStyle w:val="btbullet"/>
      </w:pPr>
      <w:r w:rsidRPr="00DA722B">
        <w:t>Alpine Resorts Management Boards</w:t>
      </w:r>
    </w:p>
    <w:p w:rsidR="007A143F" w:rsidRDefault="00DA722B" w:rsidP="008B7F2D">
      <w:pPr>
        <w:pStyle w:val="btbullet"/>
      </w:pPr>
      <w:r w:rsidRPr="00DA722B">
        <w:t>Country Fire Authority</w:t>
      </w:r>
    </w:p>
    <w:p w:rsidR="007A143F" w:rsidRDefault="00DA722B" w:rsidP="008B7F2D">
      <w:pPr>
        <w:pStyle w:val="btbullet"/>
      </w:pPr>
      <w:r w:rsidRPr="00DA722B">
        <w:t>Department of Education and Early Childhood Development</w:t>
      </w:r>
    </w:p>
    <w:p w:rsidR="007A143F" w:rsidRDefault="00DA722B" w:rsidP="008B7F2D">
      <w:pPr>
        <w:pStyle w:val="btbullet"/>
      </w:pPr>
      <w:r w:rsidRPr="00DA722B">
        <w:t>Department of Health</w:t>
      </w:r>
    </w:p>
    <w:p w:rsidR="007A143F" w:rsidRDefault="00DA722B" w:rsidP="008B7F2D">
      <w:pPr>
        <w:pStyle w:val="btbullet"/>
      </w:pPr>
      <w:r w:rsidRPr="00DA722B">
        <w:t>Department of Human Services</w:t>
      </w:r>
    </w:p>
    <w:p w:rsidR="007A143F" w:rsidRDefault="000327E7" w:rsidP="008B7F2D">
      <w:pPr>
        <w:pStyle w:val="btbullet"/>
      </w:pPr>
      <w:r>
        <w:t xml:space="preserve">Department of Environment and Primary Industries </w:t>
      </w:r>
      <w:r w:rsidR="004F1722">
        <w:t>(</w:t>
      </w:r>
      <w:r>
        <w:t xml:space="preserve">former </w:t>
      </w:r>
      <w:r w:rsidR="00DA722B" w:rsidRPr="00DA722B">
        <w:t>Department of Primary Industries</w:t>
      </w:r>
      <w:r w:rsidR="004F1722">
        <w:t xml:space="preserve"> and Department of Sustainability and Environment)</w:t>
      </w:r>
    </w:p>
    <w:p w:rsidR="000327E7" w:rsidRDefault="000327E7" w:rsidP="008B7F2D">
      <w:pPr>
        <w:pStyle w:val="btbullet"/>
      </w:pPr>
      <w:r>
        <w:t xml:space="preserve">Department </w:t>
      </w:r>
      <w:r w:rsidR="004F1722">
        <w:t>of</w:t>
      </w:r>
      <w:r>
        <w:t xml:space="preserve"> State Development, Business and Innovation </w:t>
      </w:r>
      <w:r w:rsidR="004F1722">
        <w:t>(</w:t>
      </w:r>
      <w:r>
        <w:t xml:space="preserve">former </w:t>
      </w:r>
      <w:r w:rsidRPr="00DA722B">
        <w:t>Department of Planning and Community Development</w:t>
      </w:r>
      <w:r w:rsidR="004F1722">
        <w:t>)</w:t>
      </w:r>
    </w:p>
    <w:p w:rsidR="000327E7" w:rsidRDefault="000327E7" w:rsidP="008B7F2D">
      <w:pPr>
        <w:pStyle w:val="btbullet"/>
      </w:pPr>
      <w:r>
        <w:t xml:space="preserve">Department of Transport, Planning and Local Infrastructure </w:t>
      </w:r>
      <w:r w:rsidR="004F1722">
        <w:t>(</w:t>
      </w:r>
      <w:r w:rsidRPr="000327E7">
        <w:t>former Department of Planning and Community Development</w:t>
      </w:r>
      <w:r w:rsidR="004F1722">
        <w:t>,</w:t>
      </w:r>
      <w:r w:rsidRPr="000327E7">
        <w:t xml:space="preserve"> </w:t>
      </w:r>
      <w:r w:rsidR="004F1722">
        <w:t>and Department of Transport)</w:t>
      </w:r>
    </w:p>
    <w:p w:rsidR="007A143F" w:rsidRDefault="00DA722B" w:rsidP="008B7F2D">
      <w:pPr>
        <w:pStyle w:val="btbullet"/>
      </w:pPr>
      <w:r w:rsidRPr="00DA722B">
        <w:t>Environment Protection Authority Victoria</w:t>
      </w:r>
    </w:p>
    <w:p w:rsidR="007A143F" w:rsidRDefault="00DA722B" w:rsidP="008B7F2D">
      <w:pPr>
        <w:pStyle w:val="btbullet"/>
      </w:pPr>
      <w:r w:rsidRPr="00DA722B">
        <w:t>Goulburn Broken Catchment Management Authority</w:t>
      </w:r>
    </w:p>
    <w:p w:rsidR="007A143F" w:rsidRDefault="00DA722B" w:rsidP="008B7F2D">
      <w:pPr>
        <w:pStyle w:val="btbullet"/>
      </w:pPr>
      <w:r w:rsidRPr="00DA722B">
        <w:t>Goulburn</w:t>
      </w:r>
      <w:r w:rsidR="00EC118C">
        <w:t xml:space="preserve"> </w:t>
      </w:r>
      <w:r w:rsidRPr="00DA722B">
        <w:t>Murray Water</w:t>
      </w:r>
    </w:p>
    <w:p w:rsidR="007A143F" w:rsidRDefault="00DA722B" w:rsidP="008B7F2D">
      <w:pPr>
        <w:pStyle w:val="btbullet"/>
      </w:pPr>
      <w:r w:rsidRPr="00DA722B">
        <w:t>Goulburn Valley Water</w:t>
      </w:r>
    </w:p>
    <w:p w:rsidR="007A143F" w:rsidRDefault="00DA722B" w:rsidP="008B7F2D">
      <w:pPr>
        <w:pStyle w:val="btbullet"/>
      </w:pPr>
      <w:r w:rsidRPr="00DA722B">
        <w:t>North East Catchment Management Authority</w:t>
      </w:r>
    </w:p>
    <w:p w:rsidR="007A143F" w:rsidRDefault="00DA722B" w:rsidP="008B7F2D">
      <w:pPr>
        <w:pStyle w:val="btbullet"/>
      </w:pPr>
      <w:r w:rsidRPr="00DA722B">
        <w:t>North East Water</w:t>
      </w:r>
    </w:p>
    <w:p w:rsidR="007A143F" w:rsidRDefault="00DA722B" w:rsidP="008B7F2D">
      <w:pPr>
        <w:pStyle w:val="btbullet"/>
      </w:pPr>
      <w:r w:rsidRPr="00DA722B">
        <w:t>Regional Development Victoria</w:t>
      </w:r>
    </w:p>
    <w:p w:rsidR="007A143F" w:rsidRDefault="00DA722B" w:rsidP="008B7F2D">
      <w:pPr>
        <w:pStyle w:val="btbullet"/>
      </w:pPr>
      <w:r w:rsidRPr="00DA722B">
        <w:t xml:space="preserve">Regional Waste Management Groups </w:t>
      </w:r>
    </w:p>
    <w:p w:rsidR="007A143F" w:rsidRDefault="00DA722B" w:rsidP="008B7F2D">
      <w:pPr>
        <w:pStyle w:val="btbullet"/>
      </w:pPr>
      <w:r w:rsidRPr="00DA722B">
        <w:t>State Emergency Services</w:t>
      </w:r>
    </w:p>
    <w:p w:rsidR="007A143F" w:rsidRDefault="00DA722B" w:rsidP="008B7F2D">
      <w:pPr>
        <w:pStyle w:val="btbullet"/>
      </w:pPr>
      <w:r w:rsidRPr="00DA722B">
        <w:t>VicRoads</w:t>
      </w:r>
    </w:p>
    <w:p w:rsidR="007A143F" w:rsidRDefault="00DA722B">
      <w:pPr>
        <w:pStyle w:val="bt"/>
        <w:spacing w:after="0"/>
        <w:rPr>
          <w:rStyle w:val="Strong"/>
        </w:rPr>
      </w:pPr>
      <w:r w:rsidRPr="00DA722B">
        <w:rPr>
          <w:rStyle w:val="Strong"/>
        </w:rPr>
        <w:t>Local Government:</w:t>
      </w:r>
    </w:p>
    <w:p w:rsidR="007A143F" w:rsidRPr="008B7F2D" w:rsidRDefault="00DA722B" w:rsidP="008B7F2D">
      <w:pPr>
        <w:pStyle w:val="btbullet"/>
      </w:pPr>
      <w:r w:rsidRPr="008B7F2D">
        <w:t>Alpine Shire Council</w:t>
      </w:r>
    </w:p>
    <w:p w:rsidR="007A143F" w:rsidRPr="008B7F2D" w:rsidRDefault="00DA722B" w:rsidP="008B7F2D">
      <w:pPr>
        <w:pStyle w:val="btbullet"/>
      </w:pPr>
      <w:r w:rsidRPr="008B7F2D">
        <w:t>Benalla Rural City Council</w:t>
      </w:r>
    </w:p>
    <w:p w:rsidR="007A143F" w:rsidRPr="008B7F2D" w:rsidRDefault="00DA722B" w:rsidP="008B7F2D">
      <w:pPr>
        <w:pStyle w:val="btbullet"/>
      </w:pPr>
      <w:r w:rsidRPr="008B7F2D">
        <w:t>Greater Shepparton City Council</w:t>
      </w:r>
    </w:p>
    <w:p w:rsidR="007A143F" w:rsidRPr="008B7F2D" w:rsidRDefault="00DA722B" w:rsidP="008B7F2D">
      <w:pPr>
        <w:pStyle w:val="btbullet"/>
      </w:pPr>
      <w:r w:rsidRPr="008B7F2D">
        <w:t>Indigo Shire Council</w:t>
      </w:r>
    </w:p>
    <w:p w:rsidR="007A143F" w:rsidRPr="008B7F2D" w:rsidRDefault="00DA722B" w:rsidP="008B7F2D">
      <w:pPr>
        <w:pStyle w:val="btbullet"/>
      </w:pPr>
      <w:r w:rsidRPr="008B7F2D">
        <w:t>Mansfield Shire Council</w:t>
      </w:r>
    </w:p>
    <w:p w:rsidR="007A143F" w:rsidRPr="008B7F2D" w:rsidRDefault="00DA722B" w:rsidP="008B7F2D">
      <w:pPr>
        <w:pStyle w:val="btbullet"/>
      </w:pPr>
      <w:r w:rsidRPr="008B7F2D">
        <w:t>Mitchell Shire Council</w:t>
      </w:r>
    </w:p>
    <w:p w:rsidR="007A143F" w:rsidRPr="008B7F2D" w:rsidRDefault="00DA722B" w:rsidP="008B7F2D">
      <w:pPr>
        <w:pStyle w:val="btbullet"/>
      </w:pPr>
      <w:r w:rsidRPr="008B7F2D">
        <w:t>Moira Shire Council</w:t>
      </w:r>
    </w:p>
    <w:p w:rsidR="007A143F" w:rsidRPr="008B7F2D" w:rsidRDefault="00DA722B" w:rsidP="008B7F2D">
      <w:pPr>
        <w:pStyle w:val="btbullet"/>
      </w:pPr>
      <w:r w:rsidRPr="008B7F2D">
        <w:t>Murrindindi Shire Council</w:t>
      </w:r>
    </w:p>
    <w:p w:rsidR="007A143F" w:rsidRPr="008B7F2D" w:rsidRDefault="00DA722B" w:rsidP="008B7F2D">
      <w:pPr>
        <w:pStyle w:val="btbullet"/>
      </w:pPr>
      <w:r w:rsidRPr="008B7F2D">
        <w:t>Strathbogie Shire Council</w:t>
      </w:r>
    </w:p>
    <w:p w:rsidR="007A143F" w:rsidRPr="008B7F2D" w:rsidRDefault="00DA722B" w:rsidP="008B7F2D">
      <w:pPr>
        <w:pStyle w:val="btbullet"/>
      </w:pPr>
      <w:r w:rsidRPr="008B7F2D">
        <w:t>Towong Shire Council</w:t>
      </w:r>
    </w:p>
    <w:p w:rsidR="007A143F" w:rsidRPr="008B7F2D" w:rsidRDefault="00DA722B" w:rsidP="008B7F2D">
      <w:pPr>
        <w:pStyle w:val="btbullet"/>
      </w:pPr>
      <w:r w:rsidRPr="008B7F2D">
        <w:t>Wangaratta Rural City Council</w:t>
      </w:r>
    </w:p>
    <w:p w:rsidR="007A143F" w:rsidRPr="008B7F2D" w:rsidRDefault="00DA722B" w:rsidP="008B7F2D">
      <w:pPr>
        <w:pStyle w:val="btbullet"/>
      </w:pPr>
      <w:r w:rsidRPr="008B7F2D">
        <w:t>Wodonga City Council</w:t>
      </w:r>
    </w:p>
    <w:sectPr w:rsidR="007A143F" w:rsidRPr="008B7F2D" w:rsidSect="008B7F2D">
      <w:pgSz w:w="11906" w:h="16838"/>
      <w:pgMar w:top="153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0CD" w:rsidRDefault="000850CD" w:rsidP="00E02F62">
      <w:pPr>
        <w:spacing w:after="0" w:line="240" w:lineRule="auto"/>
      </w:pPr>
      <w:r>
        <w:separator/>
      </w:r>
    </w:p>
    <w:p w:rsidR="000850CD" w:rsidRDefault="000850CD"/>
    <w:p w:rsidR="000850CD" w:rsidRDefault="000850CD" w:rsidP="00493EC3"/>
  </w:endnote>
  <w:endnote w:type="continuationSeparator" w:id="0">
    <w:p w:rsidR="000850CD" w:rsidRDefault="000850CD" w:rsidP="00E02F62">
      <w:pPr>
        <w:spacing w:after="0" w:line="240" w:lineRule="auto"/>
      </w:pPr>
      <w:r>
        <w:continuationSeparator/>
      </w:r>
    </w:p>
    <w:p w:rsidR="000850CD" w:rsidRDefault="000850CD"/>
    <w:p w:rsidR="000850CD" w:rsidRDefault="000850CD" w:rsidP="00493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874" w:rsidRPr="00BA1934" w:rsidRDefault="00877874" w:rsidP="00BA19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0617"/>
      <w:docPartObj>
        <w:docPartGallery w:val="Page Numbers (Bottom of Page)"/>
        <w:docPartUnique/>
      </w:docPartObj>
    </w:sdtPr>
    <w:sdtEndPr/>
    <w:sdtContent>
      <w:p w:rsidR="00877874" w:rsidRPr="003B6C68" w:rsidRDefault="00827E2D" w:rsidP="003B6C68">
        <w:pPr>
          <w:pStyle w:val="Footer"/>
          <w:pBdr>
            <w:top w:val="single" w:sz="4" w:space="1" w:color="auto"/>
          </w:pBdr>
          <w:jc w:val="center"/>
        </w:pPr>
        <w:r>
          <w:fldChar w:fldCharType="begin"/>
        </w:r>
        <w:r>
          <w:instrText xml:space="preserve"> PAGE   \* MERGEFORMAT </w:instrText>
        </w:r>
        <w:r>
          <w:fldChar w:fldCharType="separate"/>
        </w:r>
        <w:r>
          <w:rPr>
            <w:noProof/>
          </w:rPr>
          <w:t>74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0CD" w:rsidRDefault="000850CD" w:rsidP="00334DD2">
      <w:pPr>
        <w:spacing w:after="0" w:line="240" w:lineRule="auto"/>
      </w:pPr>
      <w:r>
        <w:separator/>
      </w:r>
    </w:p>
  </w:footnote>
  <w:footnote w:type="continuationSeparator" w:id="0">
    <w:p w:rsidR="000850CD" w:rsidRDefault="000850CD" w:rsidP="00E02F62">
      <w:pPr>
        <w:spacing w:after="0" w:line="240" w:lineRule="auto"/>
      </w:pPr>
      <w:r>
        <w:continuationSeparator/>
      </w:r>
    </w:p>
    <w:p w:rsidR="000850CD" w:rsidRDefault="000850CD"/>
    <w:p w:rsidR="000850CD" w:rsidRDefault="000850CD" w:rsidP="00493EC3"/>
  </w:footnote>
  <w:footnote w:id="1">
    <w:p w:rsidR="00877874" w:rsidRPr="006A5C1C" w:rsidRDefault="00877874" w:rsidP="006A5C1C">
      <w:pPr>
        <w:pStyle w:val="FootnoteText"/>
        <w:rPr>
          <w:rStyle w:val="FootnoteReference"/>
          <w:vertAlign w:val="baseline"/>
        </w:rPr>
      </w:pPr>
      <w:r w:rsidRPr="006A5C1C">
        <w:rPr>
          <w:rStyle w:val="FootnoteReference"/>
          <w:vertAlign w:val="baseline"/>
        </w:rPr>
        <w:footnoteRef/>
      </w:r>
      <w:r w:rsidRPr="006A5C1C">
        <w:rPr>
          <w:rStyle w:val="FootnoteReference"/>
          <w:vertAlign w:val="baseline"/>
        </w:rPr>
        <w:t xml:space="preserve"> The average annual growth rate of 0.6% for the region is calculated by using ABS population estimates for 2001 and 2011. It should be noted, however, that the ABS used different methodologies to calculate the 2001 and 2011 estimates and advises that the 2011 estimates are not directly comparable with the 2001 or 2006 estimates. The 2001-2011 average annual growth using the ABS preliminary 2011 estimates is 1.0%. In making re</w:t>
      </w:r>
      <w:r>
        <w:rPr>
          <w:rStyle w:val="FootnoteReference"/>
          <w:vertAlign w:val="baseline"/>
        </w:rPr>
        <w:t xml:space="preserve">gional population projections, </w:t>
      </w:r>
      <w:r>
        <w:t xml:space="preserve">the Department of Transport, Planning and Local Infrastructure </w:t>
      </w:r>
      <w:r w:rsidRPr="006A5C1C">
        <w:rPr>
          <w:rStyle w:val="FootnoteReference"/>
          <w:vertAlign w:val="baseline"/>
        </w:rPr>
        <w:t xml:space="preserve"> uses assumptions on the components of population change, rather than the published 2001, 2006 and 2011 estimates.</w:t>
      </w:r>
    </w:p>
  </w:footnote>
  <w:footnote w:id="2">
    <w:p w:rsidR="00877874" w:rsidRPr="00C656E3" w:rsidRDefault="00877874" w:rsidP="006A5C1C">
      <w:pPr>
        <w:pStyle w:val="FootnoteText"/>
        <w:rPr>
          <w:lang w:val="en-AU"/>
        </w:rPr>
      </w:pPr>
      <w:r w:rsidRPr="00DA722B">
        <w:rPr>
          <w:rStyle w:val="FootnoteReference"/>
        </w:rPr>
        <w:footnoteRef/>
      </w:r>
      <w:r w:rsidRPr="00DA722B">
        <w:t xml:space="preserve"> Throughout this document the term "Aboriginal" is used to refer to both Aboriginal and Torres Strait Islander people.  Use of the term "Indigenous" is retained in names of programs and initiatives, and, unless noted otherwise, is inclusive of both Aboriginal and Torres Strait Islander peoples.</w:t>
      </w:r>
    </w:p>
  </w:footnote>
  <w:footnote w:id="3">
    <w:p w:rsidR="00877874" w:rsidRPr="006A5C1C" w:rsidRDefault="00877874" w:rsidP="006A5C1C">
      <w:pPr>
        <w:pStyle w:val="FootnoteText"/>
      </w:pPr>
      <w:r w:rsidRPr="006A5C1C">
        <w:rPr>
          <w:rStyle w:val="FootnoteReference"/>
          <w:szCs w:val="12"/>
          <w:vertAlign w:val="baseline"/>
        </w:rPr>
        <w:footnoteRef/>
      </w:r>
      <w:r w:rsidRPr="006A5C1C">
        <w:t xml:space="preserve"> In this section reference to Shepparton includes Mooroopna and Kialla.</w:t>
      </w:r>
    </w:p>
  </w:footnote>
  <w:footnote w:id="4">
    <w:p w:rsidR="00877874" w:rsidRPr="006A5C1C" w:rsidRDefault="00877874" w:rsidP="006A5C1C">
      <w:pPr>
        <w:pStyle w:val="FootnoteText"/>
      </w:pPr>
      <w:r w:rsidRPr="006A5C1C">
        <w:rPr>
          <w:rStyle w:val="FootnoteReference"/>
          <w:szCs w:val="12"/>
          <w:vertAlign w:val="baseline"/>
        </w:rPr>
        <w:footnoteRef/>
      </w:r>
      <w:r w:rsidRPr="006A5C1C">
        <w:t xml:space="preserve"> This figure excludes future industrial land identified in the North Growth Corridor Plan which is located within the Melbourne urban growth boundary</w:t>
      </w:r>
    </w:p>
  </w:footnote>
  <w:footnote w:id="5">
    <w:p w:rsidR="00877874" w:rsidRPr="006A5C1C" w:rsidRDefault="00877874" w:rsidP="006A5C1C">
      <w:pPr>
        <w:pStyle w:val="FootnoteText"/>
      </w:pPr>
      <w:r w:rsidRPr="006A5C1C">
        <w:rPr>
          <w:rStyle w:val="FootnoteReference"/>
          <w:szCs w:val="12"/>
          <w:vertAlign w:val="baseline"/>
        </w:rPr>
        <w:footnoteRef/>
      </w:r>
      <w:r w:rsidRPr="006A5C1C">
        <w:t xml:space="preserve"> Greenfields sites are those areas without known mineral deposits.</w:t>
      </w:r>
    </w:p>
  </w:footnote>
  <w:footnote w:id="6">
    <w:p w:rsidR="00877874" w:rsidRPr="006A5C1C" w:rsidRDefault="00877874" w:rsidP="006A5C1C">
      <w:pPr>
        <w:pStyle w:val="FootnoteText"/>
      </w:pPr>
      <w:r w:rsidRPr="006A5C1C">
        <w:rPr>
          <w:rStyle w:val="FootnoteReference"/>
          <w:szCs w:val="12"/>
          <w:vertAlign w:val="baseline"/>
        </w:rPr>
        <w:footnoteRef/>
      </w:r>
      <w:r w:rsidRPr="006A5C1C">
        <w:t xml:space="preserve"> NaturePrint v2.0 conveys information on relative habitat value for all areas in Victoria (excluding marine), not just those with native vegetation.  In its most commonly used form, NaturePrint is illustrated as a map showing relative habitat value (Strategic Natural Values map) showing areas that most contribute to biodiversity conservation.  Further information on NaturePrint can be found at </w:t>
      </w:r>
      <w:hyperlink r:id="rId1" w:history="1">
        <w:r w:rsidRPr="006B126E">
          <w:rPr>
            <w:rStyle w:val="Hyperlink"/>
          </w:rPr>
          <w:t>http://www.depi.vic.gov.au/conservation-and-environment/biodiversity/natureprint</w:t>
        </w:r>
      </w:hyperlink>
    </w:p>
  </w:footnote>
  <w:footnote w:id="7">
    <w:p w:rsidR="00877874" w:rsidRPr="006A5C1C" w:rsidRDefault="00877874" w:rsidP="006A5C1C">
      <w:pPr>
        <w:pStyle w:val="FootnoteText"/>
      </w:pPr>
      <w:r w:rsidRPr="006A5C1C">
        <w:rPr>
          <w:rStyle w:val="FootnoteReference"/>
          <w:szCs w:val="12"/>
          <w:vertAlign w:val="baseline"/>
        </w:rPr>
        <w:footnoteRef/>
      </w:r>
      <w:r w:rsidRPr="006A5C1C">
        <w:t xml:space="preserve"> The Heritage Rivers Act 1992 makes provision for Victorian heritage rivers by providing for the protection of public land in certain parts of rivers and river catchment areas in Victoria which have significant nature conservation, recreation, scenic or cultural heritage attributes.</w:t>
      </w:r>
    </w:p>
  </w:footnote>
  <w:footnote w:id="8">
    <w:p w:rsidR="00877874" w:rsidRPr="004555AA" w:rsidRDefault="00877874" w:rsidP="006A5C1C">
      <w:pPr>
        <w:pStyle w:val="FootnoteText"/>
      </w:pPr>
      <w:r w:rsidRPr="004555AA">
        <w:rPr>
          <w:rStyle w:val="FootnoteReference"/>
        </w:rPr>
        <w:footnoteRef/>
      </w:r>
      <w:r w:rsidRPr="004555AA">
        <w:t xml:space="preserve"> </w:t>
      </w:r>
      <w:hyperlink r:id="rId2" w:history="1">
        <w:r w:rsidRPr="0088398C">
          <w:rPr>
            <w:rStyle w:val="Hyperlink"/>
            <w:rFonts w:cstheme="minorHAnsi"/>
          </w:rPr>
          <w:t>http://www.depi.vic.gov.au/land-management/land/salinity/dryland-salinity/dryland-salinity-the-extent-of-dryland-salinity</w:t>
        </w:r>
      </w:hyperlink>
      <w:r w:rsidRPr="004555AA">
        <w:rPr>
          <w:rFonts w:cstheme="minorHAnsi"/>
        </w:rPr>
        <w:t xml:space="preserve"> - accessed 21 January 2013</w:t>
      </w:r>
    </w:p>
  </w:footnote>
  <w:footnote w:id="9">
    <w:p w:rsidR="00877874" w:rsidRPr="004555AA" w:rsidRDefault="00877874" w:rsidP="006A5C1C">
      <w:pPr>
        <w:pStyle w:val="FootnoteText"/>
      </w:pPr>
      <w:r w:rsidRPr="004555AA">
        <w:rPr>
          <w:rStyle w:val="FootnoteReference"/>
          <w:rFonts w:eastAsiaTheme="majorEastAsia"/>
        </w:rPr>
        <w:footnoteRef/>
      </w:r>
      <w:r w:rsidRPr="004555AA">
        <w:t xml:space="preserve"> Across 51 Regional Victoria data points with 2010 data out of 62 Regional Victoria traffic data points</w:t>
      </w:r>
    </w:p>
  </w:footnote>
  <w:footnote w:id="10">
    <w:p w:rsidR="00877874" w:rsidRPr="006A5C1C" w:rsidRDefault="00877874" w:rsidP="006A5C1C">
      <w:pPr>
        <w:pStyle w:val="FootnoteText"/>
      </w:pPr>
      <w:r w:rsidRPr="006A5C1C">
        <w:rPr>
          <w:rStyle w:val="FootnoteReference"/>
          <w:szCs w:val="12"/>
          <w:vertAlign w:val="baseline"/>
        </w:rPr>
        <w:footnoteRef/>
      </w:r>
      <w:r w:rsidRPr="006A5C1C">
        <w:t xml:space="preserve"> </w:t>
      </w:r>
      <w:r w:rsidRPr="006A5C1C">
        <w:rPr>
          <w:rStyle w:val="FooterChar"/>
          <w:sz w:val="16"/>
          <w:szCs w:val="12"/>
        </w:rPr>
        <w:t>Victorian Government (2013) Getting Full Value – The Victorian Waste and Resource Recovery Policy</w:t>
      </w:r>
    </w:p>
  </w:footnote>
  <w:footnote w:id="11">
    <w:p w:rsidR="00877874" w:rsidRPr="004555AA" w:rsidRDefault="00877874" w:rsidP="006A5C1C">
      <w:pPr>
        <w:pStyle w:val="FootnoteText"/>
      </w:pPr>
      <w:r w:rsidRPr="004555AA">
        <w:rPr>
          <w:rStyle w:val="FootnoteReference"/>
        </w:rPr>
        <w:footnoteRef/>
      </w:r>
      <w:r w:rsidRPr="004555AA">
        <w:t>Victorian State Disability Plan 2013-2016, p.5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874" w:rsidRDefault="00877874" w:rsidP="006C25FB">
    <w:pPr>
      <w:pStyle w:val="Header"/>
      <w:ind w:left="-1418" w:firstLine="142"/>
    </w:pPr>
    <w:r w:rsidRPr="00267EB0">
      <w:rPr>
        <w:noProof/>
      </w:rPr>
      <w:drawing>
        <wp:anchor distT="0" distB="0" distL="114300" distR="114300" simplePos="0" relativeHeight="251657216" behindDoc="1" locked="0" layoutInCell="1" allowOverlap="1">
          <wp:simplePos x="0" y="0"/>
          <wp:positionH relativeFrom="column">
            <wp:posOffset>-788472</wp:posOffset>
          </wp:positionH>
          <wp:positionV relativeFrom="paragraph">
            <wp:posOffset>-10193</wp:posOffset>
          </wp:positionV>
          <wp:extent cx="7224898" cy="1543792"/>
          <wp:effectExtent l="19050" t="0" r="0" b="0"/>
          <wp:wrapTight wrapText="bothSides">
            <wp:wrapPolygon edited="0">
              <wp:start x="-57" y="0"/>
              <wp:lineTo x="-57" y="21323"/>
              <wp:lineTo x="21585" y="21323"/>
              <wp:lineTo x="21585" y="0"/>
              <wp:lineTo x="-57" y="0"/>
            </wp:wrapPolygon>
          </wp:wrapTight>
          <wp:docPr id="5" name="Picture 4" descr="Banner for Regional Growth Plans, A Vision for Victoria - H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_DPCD Permanent All Staff\Project Support\Design\Design Transfer\RGP headers\Hume.jpg"/>
                  <pic:cNvPicPr>
                    <a:picLocks noChangeAspect="1" noChangeArrowheads="1"/>
                  </pic:cNvPicPr>
                </pic:nvPicPr>
                <pic:blipFill>
                  <a:blip r:embed="rId1"/>
                  <a:srcRect/>
                  <a:stretch>
                    <a:fillRect/>
                  </a:stretch>
                </pic:blipFill>
                <pic:spPr bwMode="auto">
                  <a:xfrm>
                    <a:off x="0" y="0"/>
                    <a:ext cx="7224898" cy="1543792"/>
                  </a:xfrm>
                  <a:prstGeom prst="rect">
                    <a:avLst/>
                  </a:prstGeom>
                  <a:noFill/>
                  <a:ln w="9525">
                    <a:noFill/>
                    <a:miter lim="800000"/>
                    <a:headEnd/>
                    <a:tailEnd/>
                  </a:ln>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874" w:rsidRDefault="00877874" w:rsidP="006C25FB">
    <w:pPr>
      <w:pStyle w:val="Header"/>
      <w:ind w:left="-1418" w:firstLine="142"/>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874" w:rsidRPr="00683F63" w:rsidRDefault="00877874" w:rsidP="00683F63">
    <w:pPr>
      <w:pStyle w:val="Header"/>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874" w:rsidRPr="00E8046F" w:rsidRDefault="00877874" w:rsidP="004538E7">
    <w:pPr>
      <w:pStyle w:val="Header-Heading"/>
    </w:pPr>
    <w:r>
      <w:t>Hume Regional Growth Plan</w:t>
    </w:r>
  </w:p>
  <w:p w:rsidR="00877874" w:rsidRDefault="00877874" w:rsidP="004538E7">
    <w:pPr>
      <w:pStyle w:val="Header-SubHeading"/>
      <w:pBdr>
        <w:bottom w:val="none" w:sz="0" w:space="0" w:color="auto"/>
      </w:pBdr>
    </w:pPr>
    <w:r>
      <w:t>Background Paper</w:t>
    </w:r>
  </w:p>
  <w:p w:rsidR="00877874" w:rsidRPr="009075F4" w:rsidRDefault="00877874" w:rsidP="009075F4">
    <w:pPr>
      <w:pStyle w:val="Header"/>
      <w:pBdr>
        <w:top w:val="single" w:sz="4" w:space="1" w:color="auto"/>
      </w:pBdr>
      <w:tabs>
        <w:tab w:val="clear" w:pos="9026"/>
        <w:tab w:val="right" w:pos="9072"/>
      </w:tabs>
      <w:spacing w:line="276" w:lineRule="auto"/>
      <w:rPr>
        <w:b/>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D2AA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D2DE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28C6E8"/>
    <w:lvl w:ilvl="0">
      <w:start w:val="1"/>
      <w:numFmt w:val="decimal"/>
      <w:pStyle w:val="ListNumber2"/>
      <w:lvlText w:val="%1."/>
      <w:lvlJc w:val="left"/>
      <w:pPr>
        <w:tabs>
          <w:tab w:val="num" w:pos="643"/>
        </w:tabs>
        <w:ind w:left="643" w:hanging="360"/>
      </w:pPr>
    </w:lvl>
  </w:abstractNum>
  <w:abstractNum w:abstractNumId="3">
    <w:nsid w:val="FFFFFF83"/>
    <w:multiLevelType w:val="singleLevel"/>
    <w:tmpl w:val="AA2007A8"/>
    <w:lvl w:ilvl="0">
      <w:start w:val="1"/>
      <w:numFmt w:val="bullet"/>
      <w:pStyle w:val="ListBullet2"/>
      <w:lvlText w:val=""/>
      <w:lvlJc w:val="left"/>
      <w:pPr>
        <w:tabs>
          <w:tab w:val="num" w:pos="851"/>
        </w:tabs>
        <w:ind w:left="851" w:hanging="397"/>
      </w:pPr>
      <w:rPr>
        <w:rFonts w:ascii="Symbol" w:hAnsi="Symbol" w:hint="default"/>
        <w:color w:val="auto"/>
      </w:rPr>
    </w:lvl>
  </w:abstractNum>
  <w:abstractNum w:abstractNumId="4">
    <w:nsid w:val="FFFFFF88"/>
    <w:multiLevelType w:val="singleLevel"/>
    <w:tmpl w:val="4018531E"/>
    <w:lvl w:ilvl="0">
      <w:start w:val="1"/>
      <w:numFmt w:val="decimal"/>
      <w:pStyle w:val="ListNumber"/>
      <w:lvlText w:val="%1."/>
      <w:lvlJc w:val="left"/>
      <w:pPr>
        <w:tabs>
          <w:tab w:val="num" w:pos="360"/>
        </w:tabs>
        <w:ind w:left="360" w:hanging="360"/>
      </w:pPr>
    </w:lvl>
  </w:abstractNum>
  <w:abstractNum w:abstractNumId="5">
    <w:nsid w:val="0F8B7434"/>
    <w:multiLevelType w:val="hybridMultilevel"/>
    <w:tmpl w:val="7C72BD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DC28BC"/>
    <w:multiLevelType w:val="hybridMultilevel"/>
    <w:tmpl w:val="83EC5882"/>
    <w:lvl w:ilvl="0" w:tplc="0AF2423E">
      <w:start w:val="1"/>
      <w:numFmt w:val="bullet"/>
      <w:pStyle w:val="bt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8744C3"/>
    <w:multiLevelType w:val="hybridMultilevel"/>
    <w:tmpl w:val="F7FAE744"/>
    <w:lvl w:ilvl="0" w:tplc="A390486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AE151F"/>
    <w:multiLevelType w:val="hybridMultilevel"/>
    <w:tmpl w:val="F14A2D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1C7E16"/>
    <w:multiLevelType w:val="hybridMultilevel"/>
    <w:tmpl w:val="BA0CDC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1D7E97"/>
    <w:multiLevelType w:val="hybridMultilevel"/>
    <w:tmpl w:val="795671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5877E4"/>
    <w:multiLevelType w:val="hybridMultilevel"/>
    <w:tmpl w:val="2470554E"/>
    <w:lvl w:ilvl="0" w:tplc="04090001">
      <w:start w:val="1"/>
      <w:numFmt w:val="bullet"/>
      <w:pStyle w:val="ListBullet3"/>
      <w:lvlText w:val="o"/>
      <w:lvlJc w:val="left"/>
      <w:pPr>
        <w:tabs>
          <w:tab w:val="num" w:pos="1077"/>
        </w:tabs>
        <w:ind w:left="1077" w:hanging="22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6F17C6"/>
    <w:multiLevelType w:val="hybridMultilevel"/>
    <w:tmpl w:val="79B459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657986"/>
    <w:multiLevelType w:val="hybridMultilevel"/>
    <w:tmpl w:val="CF9297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8F12B5"/>
    <w:multiLevelType w:val="hybridMultilevel"/>
    <w:tmpl w:val="C92894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8311941"/>
    <w:multiLevelType w:val="hybridMultilevel"/>
    <w:tmpl w:val="EEAE1B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B756984"/>
    <w:multiLevelType w:val="hybridMultilevel"/>
    <w:tmpl w:val="93C68D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C892D35"/>
    <w:multiLevelType w:val="hybridMultilevel"/>
    <w:tmpl w:val="B4386306"/>
    <w:lvl w:ilvl="0" w:tplc="0C090001">
      <w:start w:val="1"/>
      <w:numFmt w:val="bullet"/>
      <w:pStyle w:val="tabletextbullet"/>
      <w:lvlText w:val=""/>
      <w:lvlJc w:val="left"/>
      <w:pPr>
        <w:tabs>
          <w:tab w:val="num" w:pos="530"/>
        </w:tabs>
        <w:ind w:left="528" w:hanging="358"/>
      </w:pPr>
      <w:rPr>
        <w:rFonts w:ascii="Wingdings" w:hAnsi="Wingdings" w:hint="default"/>
      </w:rPr>
    </w:lvl>
    <w:lvl w:ilvl="1" w:tplc="0C090003" w:tentative="1">
      <w:start w:val="1"/>
      <w:numFmt w:val="bullet"/>
      <w:lvlText w:val="o"/>
      <w:lvlJc w:val="left"/>
      <w:pPr>
        <w:tabs>
          <w:tab w:val="num" w:pos="1499"/>
        </w:tabs>
        <w:ind w:left="1499" w:hanging="360"/>
      </w:pPr>
      <w:rPr>
        <w:rFonts w:ascii="Courier New" w:hAnsi="Courier New" w:cs="Courier New" w:hint="default"/>
      </w:rPr>
    </w:lvl>
    <w:lvl w:ilvl="2" w:tplc="0C090005" w:tentative="1">
      <w:start w:val="1"/>
      <w:numFmt w:val="bullet"/>
      <w:lvlText w:val=""/>
      <w:lvlJc w:val="left"/>
      <w:pPr>
        <w:tabs>
          <w:tab w:val="num" w:pos="2219"/>
        </w:tabs>
        <w:ind w:left="2219" w:hanging="360"/>
      </w:pPr>
      <w:rPr>
        <w:rFonts w:ascii="Wingdings" w:hAnsi="Wingdings" w:hint="default"/>
      </w:rPr>
    </w:lvl>
    <w:lvl w:ilvl="3" w:tplc="0C090001" w:tentative="1">
      <w:start w:val="1"/>
      <w:numFmt w:val="bullet"/>
      <w:lvlText w:val=""/>
      <w:lvlJc w:val="left"/>
      <w:pPr>
        <w:tabs>
          <w:tab w:val="num" w:pos="2939"/>
        </w:tabs>
        <w:ind w:left="2939" w:hanging="360"/>
      </w:pPr>
      <w:rPr>
        <w:rFonts w:ascii="Symbol" w:hAnsi="Symbol" w:hint="default"/>
      </w:rPr>
    </w:lvl>
    <w:lvl w:ilvl="4" w:tplc="0C090003" w:tentative="1">
      <w:start w:val="1"/>
      <w:numFmt w:val="bullet"/>
      <w:lvlText w:val="o"/>
      <w:lvlJc w:val="left"/>
      <w:pPr>
        <w:tabs>
          <w:tab w:val="num" w:pos="3659"/>
        </w:tabs>
        <w:ind w:left="3659" w:hanging="360"/>
      </w:pPr>
      <w:rPr>
        <w:rFonts w:ascii="Courier New" w:hAnsi="Courier New" w:cs="Courier New" w:hint="default"/>
      </w:rPr>
    </w:lvl>
    <w:lvl w:ilvl="5" w:tplc="0C090005" w:tentative="1">
      <w:start w:val="1"/>
      <w:numFmt w:val="bullet"/>
      <w:lvlText w:val=""/>
      <w:lvlJc w:val="left"/>
      <w:pPr>
        <w:tabs>
          <w:tab w:val="num" w:pos="4379"/>
        </w:tabs>
        <w:ind w:left="4379" w:hanging="360"/>
      </w:pPr>
      <w:rPr>
        <w:rFonts w:ascii="Wingdings" w:hAnsi="Wingdings" w:hint="default"/>
      </w:rPr>
    </w:lvl>
    <w:lvl w:ilvl="6" w:tplc="0C090001" w:tentative="1">
      <w:start w:val="1"/>
      <w:numFmt w:val="bullet"/>
      <w:lvlText w:val=""/>
      <w:lvlJc w:val="left"/>
      <w:pPr>
        <w:tabs>
          <w:tab w:val="num" w:pos="5099"/>
        </w:tabs>
        <w:ind w:left="5099" w:hanging="360"/>
      </w:pPr>
      <w:rPr>
        <w:rFonts w:ascii="Symbol" w:hAnsi="Symbol" w:hint="default"/>
      </w:rPr>
    </w:lvl>
    <w:lvl w:ilvl="7" w:tplc="0C090003" w:tentative="1">
      <w:start w:val="1"/>
      <w:numFmt w:val="bullet"/>
      <w:lvlText w:val="o"/>
      <w:lvlJc w:val="left"/>
      <w:pPr>
        <w:tabs>
          <w:tab w:val="num" w:pos="5819"/>
        </w:tabs>
        <w:ind w:left="5819" w:hanging="360"/>
      </w:pPr>
      <w:rPr>
        <w:rFonts w:ascii="Courier New" w:hAnsi="Courier New" w:cs="Courier New" w:hint="default"/>
      </w:rPr>
    </w:lvl>
    <w:lvl w:ilvl="8" w:tplc="0C090005" w:tentative="1">
      <w:start w:val="1"/>
      <w:numFmt w:val="bullet"/>
      <w:lvlText w:val=""/>
      <w:lvlJc w:val="left"/>
      <w:pPr>
        <w:tabs>
          <w:tab w:val="num" w:pos="6539"/>
        </w:tabs>
        <w:ind w:left="6539" w:hanging="360"/>
      </w:pPr>
      <w:rPr>
        <w:rFonts w:ascii="Wingdings" w:hAnsi="Wingdings" w:hint="default"/>
      </w:rPr>
    </w:lvl>
  </w:abstractNum>
  <w:abstractNum w:abstractNumId="18">
    <w:nsid w:val="63CF524A"/>
    <w:multiLevelType w:val="hybridMultilevel"/>
    <w:tmpl w:val="44829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D17E8B"/>
    <w:multiLevelType w:val="multilevel"/>
    <w:tmpl w:val="FA4CE246"/>
    <w:lvl w:ilvl="0">
      <w:start w:val="1"/>
      <w:numFmt w:val="decimal"/>
      <w:pStyle w:val="Heading11"/>
      <w:lvlText w:val="%1."/>
      <w:lvlJc w:val="left"/>
      <w:pPr>
        <w:tabs>
          <w:tab w:val="num" w:pos="432"/>
        </w:tabs>
        <w:ind w:left="432" w:hanging="432"/>
      </w:pPr>
      <w:rPr>
        <w:rFonts w:hint="default"/>
      </w:rPr>
    </w:lvl>
    <w:lvl w:ilvl="1">
      <w:numFmt w:val="decimal"/>
      <w:pStyle w:val="Heading2"/>
      <w:lvlText w:val="%1.%2"/>
      <w:lvlJc w:val="left"/>
      <w:pPr>
        <w:tabs>
          <w:tab w:val="num" w:pos="396"/>
        </w:tabs>
        <w:ind w:left="396" w:hanging="576"/>
      </w:pPr>
      <w:rPr>
        <w:b/>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20">
    <w:nsid w:val="752C787C"/>
    <w:multiLevelType w:val="hybridMultilevel"/>
    <w:tmpl w:val="55ECBC28"/>
    <w:lvl w:ilvl="0" w:tplc="3DE28A2A">
      <w:start w:val="1"/>
      <w:numFmt w:val="bullet"/>
      <w:pStyle w:val="ListBullet"/>
      <w:lvlText w:val=""/>
      <w:lvlJc w:val="left"/>
      <w:pPr>
        <w:ind w:left="1630" w:hanging="360"/>
      </w:pPr>
      <w:rPr>
        <w:rFonts w:ascii="Wingdings" w:hAnsi="Wingdings" w:hint="default"/>
      </w:rPr>
    </w:lvl>
    <w:lvl w:ilvl="1" w:tplc="0C090003">
      <w:start w:val="1"/>
      <w:numFmt w:val="bullet"/>
      <w:lvlText w:val="o"/>
      <w:lvlJc w:val="left"/>
      <w:pPr>
        <w:ind w:left="2350" w:hanging="360"/>
      </w:pPr>
      <w:rPr>
        <w:rFonts w:ascii="Courier New" w:hAnsi="Courier New" w:cs="Courier New" w:hint="default"/>
      </w:rPr>
    </w:lvl>
    <w:lvl w:ilvl="2" w:tplc="0C090005" w:tentative="1">
      <w:start w:val="1"/>
      <w:numFmt w:val="bullet"/>
      <w:lvlText w:val=""/>
      <w:lvlJc w:val="left"/>
      <w:pPr>
        <w:ind w:left="3070" w:hanging="360"/>
      </w:pPr>
      <w:rPr>
        <w:rFonts w:ascii="Wingdings" w:hAnsi="Wingdings" w:hint="default"/>
      </w:rPr>
    </w:lvl>
    <w:lvl w:ilvl="3" w:tplc="0C090001" w:tentative="1">
      <w:start w:val="1"/>
      <w:numFmt w:val="bullet"/>
      <w:lvlText w:val=""/>
      <w:lvlJc w:val="left"/>
      <w:pPr>
        <w:ind w:left="3790" w:hanging="360"/>
      </w:pPr>
      <w:rPr>
        <w:rFonts w:ascii="Symbol" w:hAnsi="Symbol" w:hint="default"/>
      </w:rPr>
    </w:lvl>
    <w:lvl w:ilvl="4" w:tplc="0C090003" w:tentative="1">
      <w:start w:val="1"/>
      <w:numFmt w:val="bullet"/>
      <w:lvlText w:val="o"/>
      <w:lvlJc w:val="left"/>
      <w:pPr>
        <w:ind w:left="4510" w:hanging="360"/>
      </w:pPr>
      <w:rPr>
        <w:rFonts w:ascii="Courier New" w:hAnsi="Courier New" w:cs="Courier New" w:hint="default"/>
      </w:rPr>
    </w:lvl>
    <w:lvl w:ilvl="5" w:tplc="0C090005" w:tentative="1">
      <w:start w:val="1"/>
      <w:numFmt w:val="bullet"/>
      <w:lvlText w:val=""/>
      <w:lvlJc w:val="left"/>
      <w:pPr>
        <w:ind w:left="5230" w:hanging="360"/>
      </w:pPr>
      <w:rPr>
        <w:rFonts w:ascii="Wingdings" w:hAnsi="Wingdings" w:hint="default"/>
      </w:rPr>
    </w:lvl>
    <w:lvl w:ilvl="6" w:tplc="0C090001" w:tentative="1">
      <w:start w:val="1"/>
      <w:numFmt w:val="bullet"/>
      <w:lvlText w:val=""/>
      <w:lvlJc w:val="left"/>
      <w:pPr>
        <w:ind w:left="5950" w:hanging="360"/>
      </w:pPr>
      <w:rPr>
        <w:rFonts w:ascii="Symbol" w:hAnsi="Symbol" w:hint="default"/>
      </w:rPr>
    </w:lvl>
    <w:lvl w:ilvl="7" w:tplc="0C090003" w:tentative="1">
      <w:start w:val="1"/>
      <w:numFmt w:val="bullet"/>
      <w:lvlText w:val="o"/>
      <w:lvlJc w:val="left"/>
      <w:pPr>
        <w:ind w:left="6670" w:hanging="360"/>
      </w:pPr>
      <w:rPr>
        <w:rFonts w:ascii="Courier New" w:hAnsi="Courier New" w:cs="Courier New" w:hint="default"/>
      </w:rPr>
    </w:lvl>
    <w:lvl w:ilvl="8" w:tplc="0C090005" w:tentative="1">
      <w:start w:val="1"/>
      <w:numFmt w:val="bullet"/>
      <w:lvlText w:val=""/>
      <w:lvlJc w:val="left"/>
      <w:pPr>
        <w:ind w:left="7390" w:hanging="360"/>
      </w:pPr>
      <w:rPr>
        <w:rFonts w:ascii="Wingdings" w:hAnsi="Wingdings" w:hint="default"/>
      </w:rPr>
    </w:lvl>
  </w:abstractNum>
  <w:abstractNum w:abstractNumId="21">
    <w:nsid w:val="7C0063C2"/>
    <w:multiLevelType w:val="hybridMultilevel"/>
    <w:tmpl w:val="A2BC7806"/>
    <w:lvl w:ilvl="0" w:tplc="0C090001">
      <w:start w:val="1"/>
      <w:numFmt w:val="decimal"/>
      <w:pStyle w:val="Parah0number"/>
      <w:lvlText w:val="%1."/>
      <w:lvlJc w:val="left"/>
      <w:pPr>
        <w:tabs>
          <w:tab w:val="num" w:pos="4894"/>
        </w:tabs>
        <w:ind w:left="4894" w:hanging="357"/>
      </w:pPr>
      <w:rPr>
        <w:rFonts w:hint="default"/>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2">
    <w:nsid w:val="7F5A66AA"/>
    <w:multiLevelType w:val="hybridMultilevel"/>
    <w:tmpl w:val="0B54DF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7"/>
  </w:num>
  <w:num w:numId="4">
    <w:abstractNumId w:val="6"/>
  </w:num>
  <w:num w:numId="5">
    <w:abstractNumId w:val="20"/>
  </w:num>
  <w:num w:numId="6">
    <w:abstractNumId w:val="4"/>
  </w:num>
  <w:num w:numId="7">
    <w:abstractNumId w:val="2"/>
  </w:num>
  <w:num w:numId="8">
    <w:abstractNumId w:val="1"/>
  </w:num>
  <w:num w:numId="9">
    <w:abstractNumId w:val="0"/>
  </w:num>
  <w:num w:numId="10">
    <w:abstractNumId w:val="21"/>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5"/>
  </w:num>
  <w:num w:numId="28">
    <w:abstractNumId w:val="8"/>
  </w:num>
  <w:num w:numId="29">
    <w:abstractNumId w:val="22"/>
  </w:num>
  <w:num w:numId="30">
    <w:abstractNumId w:val="16"/>
  </w:num>
  <w:num w:numId="31">
    <w:abstractNumId w:val="14"/>
  </w:num>
  <w:num w:numId="32">
    <w:abstractNumId w:val="7"/>
  </w:num>
  <w:num w:numId="33">
    <w:abstractNumId w:val="18"/>
  </w:num>
  <w:num w:numId="34">
    <w:abstractNumId w:val="13"/>
  </w:num>
  <w:num w:numId="35">
    <w:abstractNumId w:val="12"/>
  </w:num>
  <w:num w:numId="36">
    <w:abstractNumId w:val="10"/>
  </w:num>
  <w:num w:numId="37">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187393">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1D"/>
    <w:rsid w:val="00003210"/>
    <w:rsid w:val="00003949"/>
    <w:rsid w:val="00003CDA"/>
    <w:rsid w:val="00004B33"/>
    <w:rsid w:val="000057AA"/>
    <w:rsid w:val="000060D5"/>
    <w:rsid w:val="00010678"/>
    <w:rsid w:val="00010AE8"/>
    <w:rsid w:val="00011999"/>
    <w:rsid w:val="000131D5"/>
    <w:rsid w:val="00013D09"/>
    <w:rsid w:val="00013DAF"/>
    <w:rsid w:val="00017E2E"/>
    <w:rsid w:val="000212B2"/>
    <w:rsid w:val="00021480"/>
    <w:rsid w:val="00023215"/>
    <w:rsid w:val="000233E5"/>
    <w:rsid w:val="00024EE5"/>
    <w:rsid w:val="000273FF"/>
    <w:rsid w:val="00030511"/>
    <w:rsid w:val="000306C1"/>
    <w:rsid w:val="000319C3"/>
    <w:rsid w:val="00031C2D"/>
    <w:rsid w:val="000327E7"/>
    <w:rsid w:val="00032955"/>
    <w:rsid w:val="00033D67"/>
    <w:rsid w:val="000346F6"/>
    <w:rsid w:val="00035A7A"/>
    <w:rsid w:val="000362C7"/>
    <w:rsid w:val="000429C2"/>
    <w:rsid w:val="00042B1E"/>
    <w:rsid w:val="00043F00"/>
    <w:rsid w:val="000455CD"/>
    <w:rsid w:val="000455F1"/>
    <w:rsid w:val="00045811"/>
    <w:rsid w:val="00045DB3"/>
    <w:rsid w:val="000462D8"/>
    <w:rsid w:val="000467BD"/>
    <w:rsid w:val="00050045"/>
    <w:rsid w:val="000535A4"/>
    <w:rsid w:val="00053626"/>
    <w:rsid w:val="00054D6C"/>
    <w:rsid w:val="00055224"/>
    <w:rsid w:val="00055E42"/>
    <w:rsid w:val="000604EC"/>
    <w:rsid w:val="000614F4"/>
    <w:rsid w:val="000637F5"/>
    <w:rsid w:val="00064EAD"/>
    <w:rsid w:val="00065709"/>
    <w:rsid w:val="00065AA1"/>
    <w:rsid w:val="0006609A"/>
    <w:rsid w:val="0006651B"/>
    <w:rsid w:val="00066E31"/>
    <w:rsid w:val="000706AF"/>
    <w:rsid w:val="00070F2C"/>
    <w:rsid w:val="00070F7F"/>
    <w:rsid w:val="00071AA2"/>
    <w:rsid w:val="00075091"/>
    <w:rsid w:val="00076696"/>
    <w:rsid w:val="00076F11"/>
    <w:rsid w:val="00077323"/>
    <w:rsid w:val="00077450"/>
    <w:rsid w:val="000800DD"/>
    <w:rsid w:val="00081AAF"/>
    <w:rsid w:val="000850CD"/>
    <w:rsid w:val="00085F6F"/>
    <w:rsid w:val="00085F94"/>
    <w:rsid w:val="000861F2"/>
    <w:rsid w:val="0008770C"/>
    <w:rsid w:val="000902E0"/>
    <w:rsid w:val="00090325"/>
    <w:rsid w:val="0009097C"/>
    <w:rsid w:val="00090AC6"/>
    <w:rsid w:val="0009347B"/>
    <w:rsid w:val="00093A5E"/>
    <w:rsid w:val="0009545B"/>
    <w:rsid w:val="00095662"/>
    <w:rsid w:val="00097D1A"/>
    <w:rsid w:val="000A07E9"/>
    <w:rsid w:val="000A1786"/>
    <w:rsid w:val="000A28F2"/>
    <w:rsid w:val="000A62A6"/>
    <w:rsid w:val="000A6832"/>
    <w:rsid w:val="000A6D60"/>
    <w:rsid w:val="000A727A"/>
    <w:rsid w:val="000A740C"/>
    <w:rsid w:val="000A74FF"/>
    <w:rsid w:val="000A7998"/>
    <w:rsid w:val="000B0A02"/>
    <w:rsid w:val="000B17C3"/>
    <w:rsid w:val="000B28BA"/>
    <w:rsid w:val="000B34B8"/>
    <w:rsid w:val="000B3B71"/>
    <w:rsid w:val="000B3ED3"/>
    <w:rsid w:val="000B7CEE"/>
    <w:rsid w:val="000C0298"/>
    <w:rsid w:val="000C2159"/>
    <w:rsid w:val="000C64F9"/>
    <w:rsid w:val="000C71F9"/>
    <w:rsid w:val="000C7527"/>
    <w:rsid w:val="000D0427"/>
    <w:rsid w:val="000D0E52"/>
    <w:rsid w:val="000D1969"/>
    <w:rsid w:val="000D1F51"/>
    <w:rsid w:val="000D28C5"/>
    <w:rsid w:val="000D2DB2"/>
    <w:rsid w:val="000D3090"/>
    <w:rsid w:val="000D5017"/>
    <w:rsid w:val="000D5E3F"/>
    <w:rsid w:val="000E03FB"/>
    <w:rsid w:val="000E0893"/>
    <w:rsid w:val="000E3360"/>
    <w:rsid w:val="000E47D5"/>
    <w:rsid w:val="000E5CD8"/>
    <w:rsid w:val="000E7BAB"/>
    <w:rsid w:val="000F0FE7"/>
    <w:rsid w:val="000F1E4D"/>
    <w:rsid w:val="000F2A91"/>
    <w:rsid w:val="000F47CB"/>
    <w:rsid w:val="000F5146"/>
    <w:rsid w:val="000F5898"/>
    <w:rsid w:val="000F5B4D"/>
    <w:rsid w:val="000F5C42"/>
    <w:rsid w:val="000F7AB8"/>
    <w:rsid w:val="001015AA"/>
    <w:rsid w:val="001037F4"/>
    <w:rsid w:val="00105032"/>
    <w:rsid w:val="001100A8"/>
    <w:rsid w:val="001110EC"/>
    <w:rsid w:val="001123E4"/>
    <w:rsid w:val="00113CB5"/>
    <w:rsid w:val="001151EC"/>
    <w:rsid w:val="00115BB7"/>
    <w:rsid w:val="00115F06"/>
    <w:rsid w:val="0012105B"/>
    <w:rsid w:val="0012126F"/>
    <w:rsid w:val="001225FD"/>
    <w:rsid w:val="00123412"/>
    <w:rsid w:val="0012360C"/>
    <w:rsid w:val="0012486D"/>
    <w:rsid w:val="001250D3"/>
    <w:rsid w:val="00125F4A"/>
    <w:rsid w:val="0012687C"/>
    <w:rsid w:val="00126F19"/>
    <w:rsid w:val="00130822"/>
    <w:rsid w:val="001313A5"/>
    <w:rsid w:val="00132585"/>
    <w:rsid w:val="00132E04"/>
    <w:rsid w:val="00135483"/>
    <w:rsid w:val="00135629"/>
    <w:rsid w:val="00140CC1"/>
    <w:rsid w:val="00141087"/>
    <w:rsid w:val="00141A1E"/>
    <w:rsid w:val="001422CB"/>
    <w:rsid w:val="001448FB"/>
    <w:rsid w:val="00146741"/>
    <w:rsid w:val="00146809"/>
    <w:rsid w:val="00146D2E"/>
    <w:rsid w:val="00146EC8"/>
    <w:rsid w:val="00147923"/>
    <w:rsid w:val="00147F07"/>
    <w:rsid w:val="0015475D"/>
    <w:rsid w:val="0015481C"/>
    <w:rsid w:val="0016012E"/>
    <w:rsid w:val="00162345"/>
    <w:rsid w:val="00162521"/>
    <w:rsid w:val="001643AA"/>
    <w:rsid w:val="001646C6"/>
    <w:rsid w:val="00171BF6"/>
    <w:rsid w:val="0017338C"/>
    <w:rsid w:val="00175A2B"/>
    <w:rsid w:val="00175EFE"/>
    <w:rsid w:val="001763B4"/>
    <w:rsid w:val="001819DA"/>
    <w:rsid w:val="00181E8C"/>
    <w:rsid w:val="00181F96"/>
    <w:rsid w:val="00183DCB"/>
    <w:rsid w:val="0018624F"/>
    <w:rsid w:val="0018638C"/>
    <w:rsid w:val="00186669"/>
    <w:rsid w:val="001914E8"/>
    <w:rsid w:val="001919EB"/>
    <w:rsid w:val="00193036"/>
    <w:rsid w:val="00193584"/>
    <w:rsid w:val="00194F0F"/>
    <w:rsid w:val="0019512D"/>
    <w:rsid w:val="001A3FCF"/>
    <w:rsid w:val="001A53DF"/>
    <w:rsid w:val="001A56BB"/>
    <w:rsid w:val="001A5D16"/>
    <w:rsid w:val="001B0932"/>
    <w:rsid w:val="001B1442"/>
    <w:rsid w:val="001B1576"/>
    <w:rsid w:val="001B3202"/>
    <w:rsid w:val="001B4060"/>
    <w:rsid w:val="001B46F0"/>
    <w:rsid w:val="001B4E32"/>
    <w:rsid w:val="001B5C3B"/>
    <w:rsid w:val="001B5CE5"/>
    <w:rsid w:val="001C3115"/>
    <w:rsid w:val="001C384E"/>
    <w:rsid w:val="001C70F8"/>
    <w:rsid w:val="001D18CB"/>
    <w:rsid w:val="001D1E4A"/>
    <w:rsid w:val="001D1EC3"/>
    <w:rsid w:val="001D26E6"/>
    <w:rsid w:val="001D4BF9"/>
    <w:rsid w:val="001D57F7"/>
    <w:rsid w:val="001D5C7A"/>
    <w:rsid w:val="001D66FE"/>
    <w:rsid w:val="001E062F"/>
    <w:rsid w:val="001E0F0B"/>
    <w:rsid w:val="001E2AC0"/>
    <w:rsid w:val="001E40F9"/>
    <w:rsid w:val="001E4118"/>
    <w:rsid w:val="001E56EB"/>
    <w:rsid w:val="001E6227"/>
    <w:rsid w:val="001E6B61"/>
    <w:rsid w:val="001E6DC6"/>
    <w:rsid w:val="001F0FBA"/>
    <w:rsid w:val="001F1154"/>
    <w:rsid w:val="001F2FA1"/>
    <w:rsid w:val="001F720D"/>
    <w:rsid w:val="001F74B1"/>
    <w:rsid w:val="001F76BC"/>
    <w:rsid w:val="001F77F4"/>
    <w:rsid w:val="00203205"/>
    <w:rsid w:val="00203D34"/>
    <w:rsid w:val="00204278"/>
    <w:rsid w:val="0020443E"/>
    <w:rsid w:val="00205448"/>
    <w:rsid w:val="00206AB8"/>
    <w:rsid w:val="00206CD7"/>
    <w:rsid w:val="00206F98"/>
    <w:rsid w:val="0021059A"/>
    <w:rsid w:val="00210FD8"/>
    <w:rsid w:val="002126B9"/>
    <w:rsid w:val="0021346F"/>
    <w:rsid w:val="00214286"/>
    <w:rsid w:val="0021525D"/>
    <w:rsid w:val="002154DA"/>
    <w:rsid w:val="002171CD"/>
    <w:rsid w:val="0021739C"/>
    <w:rsid w:val="00217C6E"/>
    <w:rsid w:val="00220E3B"/>
    <w:rsid w:val="00221736"/>
    <w:rsid w:val="00223CC7"/>
    <w:rsid w:val="00224E64"/>
    <w:rsid w:val="002251AB"/>
    <w:rsid w:val="002258B2"/>
    <w:rsid w:val="00225E0F"/>
    <w:rsid w:val="002262EE"/>
    <w:rsid w:val="002268DC"/>
    <w:rsid w:val="00226D34"/>
    <w:rsid w:val="00226E26"/>
    <w:rsid w:val="0023087F"/>
    <w:rsid w:val="00231D53"/>
    <w:rsid w:val="00233428"/>
    <w:rsid w:val="002339BA"/>
    <w:rsid w:val="002343FC"/>
    <w:rsid w:val="002368FB"/>
    <w:rsid w:val="00237083"/>
    <w:rsid w:val="00240BC7"/>
    <w:rsid w:val="00241802"/>
    <w:rsid w:val="00241D4B"/>
    <w:rsid w:val="0024245E"/>
    <w:rsid w:val="002428B8"/>
    <w:rsid w:val="00243587"/>
    <w:rsid w:val="002445CA"/>
    <w:rsid w:val="002447A8"/>
    <w:rsid w:val="00244D61"/>
    <w:rsid w:val="002503CC"/>
    <w:rsid w:val="00251F0A"/>
    <w:rsid w:val="0025208F"/>
    <w:rsid w:val="00252363"/>
    <w:rsid w:val="00252FD8"/>
    <w:rsid w:val="00253536"/>
    <w:rsid w:val="0025358B"/>
    <w:rsid w:val="00253A79"/>
    <w:rsid w:val="00253C88"/>
    <w:rsid w:val="002556DD"/>
    <w:rsid w:val="00255A14"/>
    <w:rsid w:val="00257C94"/>
    <w:rsid w:val="002600BD"/>
    <w:rsid w:val="00260F94"/>
    <w:rsid w:val="0026109E"/>
    <w:rsid w:val="00261534"/>
    <w:rsid w:val="00264867"/>
    <w:rsid w:val="00264A88"/>
    <w:rsid w:val="00267EB0"/>
    <w:rsid w:val="00270BF3"/>
    <w:rsid w:val="00270D64"/>
    <w:rsid w:val="00272C61"/>
    <w:rsid w:val="00272C90"/>
    <w:rsid w:val="00272F89"/>
    <w:rsid w:val="00274011"/>
    <w:rsid w:val="00275634"/>
    <w:rsid w:val="0027647F"/>
    <w:rsid w:val="00277558"/>
    <w:rsid w:val="0028065D"/>
    <w:rsid w:val="0028183D"/>
    <w:rsid w:val="00282121"/>
    <w:rsid w:val="00282D49"/>
    <w:rsid w:val="00282F9B"/>
    <w:rsid w:val="00283D66"/>
    <w:rsid w:val="0028441B"/>
    <w:rsid w:val="00284C87"/>
    <w:rsid w:val="002862B6"/>
    <w:rsid w:val="002869B3"/>
    <w:rsid w:val="002872F6"/>
    <w:rsid w:val="00291A8D"/>
    <w:rsid w:val="002927B3"/>
    <w:rsid w:val="00295A23"/>
    <w:rsid w:val="00295EB8"/>
    <w:rsid w:val="00295F7D"/>
    <w:rsid w:val="002967F4"/>
    <w:rsid w:val="00297C5C"/>
    <w:rsid w:val="002A1373"/>
    <w:rsid w:val="002A2538"/>
    <w:rsid w:val="002A3209"/>
    <w:rsid w:val="002A5AE6"/>
    <w:rsid w:val="002B13D9"/>
    <w:rsid w:val="002B156E"/>
    <w:rsid w:val="002B185B"/>
    <w:rsid w:val="002B4D5D"/>
    <w:rsid w:val="002B68B0"/>
    <w:rsid w:val="002B7067"/>
    <w:rsid w:val="002C02EE"/>
    <w:rsid w:val="002C2666"/>
    <w:rsid w:val="002C3122"/>
    <w:rsid w:val="002C3F14"/>
    <w:rsid w:val="002C7B4E"/>
    <w:rsid w:val="002C7FEF"/>
    <w:rsid w:val="002D04F0"/>
    <w:rsid w:val="002D0BD2"/>
    <w:rsid w:val="002D22F7"/>
    <w:rsid w:val="002D3FD3"/>
    <w:rsid w:val="002D6C55"/>
    <w:rsid w:val="002E053A"/>
    <w:rsid w:val="002E1F59"/>
    <w:rsid w:val="002E3390"/>
    <w:rsid w:val="002E457D"/>
    <w:rsid w:val="002E46CA"/>
    <w:rsid w:val="002E6021"/>
    <w:rsid w:val="002E67F3"/>
    <w:rsid w:val="002E7F1A"/>
    <w:rsid w:val="002F05A5"/>
    <w:rsid w:val="002F0F02"/>
    <w:rsid w:val="002F16A5"/>
    <w:rsid w:val="002F187E"/>
    <w:rsid w:val="002F339A"/>
    <w:rsid w:val="002F56F1"/>
    <w:rsid w:val="002F57D3"/>
    <w:rsid w:val="00301A52"/>
    <w:rsid w:val="003056CE"/>
    <w:rsid w:val="00307988"/>
    <w:rsid w:val="00307A24"/>
    <w:rsid w:val="00310604"/>
    <w:rsid w:val="00310929"/>
    <w:rsid w:val="00311832"/>
    <w:rsid w:val="0031214C"/>
    <w:rsid w:val="003160DA"/>
    <w:rsid w:val="003161CD"/>
    <w:rsid w:val="00317007"/>
    <w:rsid w:val="00317D85"/>
    <w:rsid w:val="00317E41"/>
    <w:rsid w:val="003224DC"/>
    <w:rsid w:val="003237BC"/>
    <w:rsid w:val="00324F33"/>
    <w:rsid w:val="003319BF"/>
    <w:rsid w:val="003327EE"/>
    <w:rsid w:val="003336AE"/>
    <w:rsid w:val="0033447F"/>
    <w:rsid w:val="00334DD2"/>
    <w:rsid w:val="00337E1D"/>
    <w:rsid w:val="00342DA2"/>
    <w:rsid w:val="00343149"/>
    <w:rsid w:val="003432D7"/>
    <w:rsid w:val="00343B92"/>
    <w:rsid w:val="0034428A"/>
    <w:rsid w:val="003467C9"/>
    <w:rsid w:val="00350737"/>
    <w:rsid w:val="003514C4"/>
    <w:rsid w:val="00354765"/>
    <w:rsid w:val="00354A97"/>
    <w:rsid w:val="003579E0"/>
    <w:rsid w:val="003610B1"/>
    <w:rsid w:val="003615E2"/>
    <w:rsid w:val="00361615"/>
    <w:rsid w:val="00362E8E"/>
    <w:rsid w:val="0036366E"/>
    <w:rsid w:val="00363F37"/>
    <w:rsid w:val="00365D47"/>
    <w:rsid w:val="00367B47"/>
    <w:rsid w:val="00370367"/>
    <w:rsid w:val="00375301"/>
    <w:rsid w:val="00380028"/>
    <w:rsid w:val="0038120A"/>
    <w:rsid w:val="00381453"/>
    <w:rsid w:val="0038340A"/>
    <w:rsid w:val="00383A95"/>
    <w:rsid w:val="0038569B"/>
    <w:rsid w:val="00385B90"/>
    <w:rsid w:val="00386B96"/>
    <w:rsid w:val="00387140"/>
    <w:rsid w:val="003873D7"/>
    <w:rsid w:val="00387647"/>
    <w:rsid w:val="00387FFE"/>
    <w:rsid w:val="00391E91"/>
    <w:rsid w:val="003920C5"/>
    <w:rsid w:val="00392690"/>
    <w:rsid w:val="00394A16"/>
    <w:rsid w:val="003967D3"/>
    <w:rsid w:val="00397DCB"/>
    <w:rsid w:val="003A0C16"/>
    <w:rsid w:val="003A45A6"/>
    <w:rsid w:val="003A4873"/>
    <w:rsid w:val="003A5978"/>
    <w:rsid w:val="003A60B4"/>
    <w:rsid w:val="003A64C8"/>
    <w:rsid w:val="003A74B6"/>
    <w:rsid w:val="003B157A"/>
    <w:rsid w:val="003B1962"/>
    <w:rsid w:val="003B3693"/>
    <w:rsid w:val="003B5881"/>
    <w:rsid w:val="003B69D3"/>
    <w:rsid w:val="003B6C68"/>
    <w:rsid w:val="003C03AE"/>
    <w:rsid w:val="003C176F"/>
    <w:rsid w:val="003C1AE6"/>
    <w:rsid w:val="003C1BCE"/>
    <w:rsid w:val="003C208C"/>
    <w:rsid w:val="003C2F6C"/>
    <w:rsid w:val="003C33C9"/>
    <w:rsid w:val="003C6A02"/>
    <w:rsid w:val="003C6FCC"/>
    <w:rsid w:val="003C7B14"/>
    <w:rsid w:val="003C7D80"/>
    <w:rsid w:val="003D10D7"/>
    <w:rsid w:val="003D11A8"/>
    <w:rsid w:val="003D27D4"/>
    <w:rsid w:val="003D287F"/>
    <w:rsid w:val="003D3617"/>
    <w:rsid w:val="003D4DF3"/>
    <w:rsid w:val="003D5720"/>
    <w:rsid w:val="003D63CF"/>
    <w:rsid w:val="003D7A7B"/>
    <w:rsid w:val="003E1137"/>
    <w:rsid w:val="003E386E"/>
    <w:rsid w:val="003E47FD"/>
    <w:rsid w:val="003E5B28"/>
    <w:rsid w:val="003E5C44"/>
    <w:rsid w:val="003F141F"/>
    <w:rsid w:val="003F15D4"/>
    <w:rsid w:val="003F3EBF"/>
    <w:rsid w:val="003F3F5B"/>
    <w:rsid w:val="003F53F6"/>
    <w:rsid w:val="003F58F4"/>
    <w:rsid w:val="003F6817"/>
    <w:rsid w:val="003F6FBF"/>
    <w:rsid w:val="00400207"/>
    <w:rsid w:val="0040027E"/>
    <w:rsid w:val="00400CC9"/>
    <w:rsid w:val="00401923"/>
    <w:rsid w:val="00401FC8"/>
    <w:rsid w:val="0040228B"/>
    <w:rsid w:val="00402A07"/>
    <w:rsid w:val="00407B96"/>
    <w:rsid w:val="00412990"/>
    <w:rsid w:val="00413A8E"/>
    <w:rsid w:val="00414271"/>
    <w:rsid w:val="004149BA"/>
    <w:rsid w:val="004157D8"/>
    <w:rsid w:val="004175EC"/>
    <w:rsid w:val="00420CFD"/>
    <w:rsid w:val="004210EC"/>
    <w:rsid w:val="00421327"/>
    <w:rsid w:val="004218DB"/>
    <w:rsid w:val="00422876"/>
    <w:rsid w:val="004230EA"/>
    <w:rsid w:val="004243AA"/>
    <w:rsid w:val="00425500"/>
    <w:rsid w:val="004276BE"/>
    <w:rsid w:val="00427C44"/>
    <w:rsid w:val="00430816"/>
    <w:rsid w:val="004308EA"/>
    <w:rsid w:val="004338A5"/>
    <w:rsid w:val="00434BC6"/>
    <w:rsid w:val="00435B7A"/>
    <w:rsid w:val="0043644F"/>
    <w:rsid w:val="004374A0"/>
    <w:rsid w:val="00440541"/>
    <w:rsid w:val="0044174A"/>
    <w:rsid w:val="00441857"/>
    <w:rsid w:val="00441CC1"/>
    <w:rsid w:val="00443991"/>
    <w:rsid w:val="00443DFC"/>
    <w:rsid w:val="00443E22"/>
    <w:rsid w:val="00444231"/>
    <w:rsid w:val="00444612"/>
    <w:rsid w:val="00450CCE"/>
    <w:rsid w:val="004528C1"/>
    <w:rsid w:val="004529CF"/>
    <w:rsid w:val="00452A06"/>
    <w:rsid w:val="004538E7"/>
    <w:rsid w:val="00453DBB"/>
    <w:rsid w:val="00454054"/>
    <w:rsid w:val="004542D0"/>
    <w:rsid w:val="004555AA"/>
    <w:rsid w:val="0045654E"/>
    <w:rsid w:val="00456958"/>
    <w:rsid w:val="00460CD9"/>
    <w:rsid w:val="00460F0D"/>
    <w:rsid w:val="0046300E"/>
    <w:rsid w:val="0046342C"/>
    <w:rsid w:val="00464BA9"/>
    <w:rsid w:val="0046588B"/>
    <w:rsid w:val="0046615E"/>
    <w:rsid w:val="00467285"/>
    <w:rsid w:val="0047030E"/>
    <w:rsid w:val="0047066B"/>
    <w:rsid w:val="004706FD"/>
    <w:rsid w:val="00471AE7"/>
    <w:rsid w:val="00472E73"/>
    <w:rsid w:val="00473B85"/>
    <w:rsid w:val="00474A07"/>
    <w:rsid w:val="00474AAD"/>
    <w:rsid w:val="00475E42"/>
    <w:rsid w:val="00476977"/>
    <w:rsid w:val="00476FDA"/>
    <w:rsid w:val="00477575"/>
    <w:rsid w:val="00480C3D"/>
    <w:rsid w:val="00480CE2"/>
    <w:rsid w:val="00480F59"/>
    <w:rsid w:val="0048138C"/>
    <w:rsid w:val="00482EC1"/>
    <w:rsid w:val="0048391E"/>
    <w:rsid w:val="00484988"/>
    <w:rsid w:val="004856CC"/>
    <w:rsid w:val="00486869"/>
    <w:rsid w:val="00490334"/>
    <w:rsid w:val="00491A4D"/>
    <w:rsid w:val="00493AD9"/>
    <w:rsid w:val="00493CF5"/>
    <w:rsid w:val="00493EC3"/>
    <w:rsid w:val="00495E43"/>
    <w:rsid w:val="00496556"/>
    <w:rsid w:val="00497B4D"/>
    <w:rsid w:val="00497FB4"/>
    <w:rsid w:val="004A0024"/>
    <w:rsid w:val="004A0799"/>
    <w:rsid w:val="004A07AE"/>
    <w:rsid w:val="004A17B6"/>
    <w:rsid w:val="004A75F6"/>
    <w:rsid w:val="004B3F8A"/>
    <w:rsid w:val="004B5371"/>
    <w:rsid w:val="004B620F"/>
    <w:rsid w:val="004B6D0F"/>
    <w:rsid w:val="004B7B57"/>
    <w:rsid w:val="004B7F13"/>
    <w:rsid w:val="004C006B"/>
    <w:rsid w:val="004C04B9"/>
    <w:rsid w:val="004C1A71"/>
    <w:rsid w:val="004C39B4"/>
    <w:rsid w:val="004C4677"/>
    <w:rsid w:val="004C47F5"/>
    <w:rsid w:val="004C7986"/>
    <w:rsid w:val="004D07BA"/>
    <w:rsid w:val="004D23B4"/>
    <w:rsid w:val="004D34B8"/>
    <w:rsid w:val="004D3871"/>
    <w:rsid w:val="004D480F"/>
    <w:rsid w:val="004D5706"/>
    <w:rsid w:val="004D6DF2"/>
    <w:rsid w:val="004D763E"/>
    <w:rsid w:val="004D781F"/>
    <w:rsid w:val="004E1E7B"/>
    <w:rsid w:val="004E266C"/>
    <w:rsid w:val="004E4457"/>
    <w:rsid w:val="004E4861"/>
    <w:rsid w:val="004E4F14"/>
    <w:rsid w:val="004E7122"/>
    <w:rsid w:val="004E7AFC"/>
    <w:rsid w:val="004E7F5F"/>
    <w:rsid w:val="004F14AB"/>
    <w:rsid w:val="004F1722"/>
    <w:rsid w:val="004F5947"/>
    <w:rsid w:val="004F5C7A"/>
    <w:rsid w:val="004F6793"/>
    <w:rsid w:val="004F7078"/>
    <w:rsid w:val="004F7B98"/>
    <w:rsid w:val="0050164C"/>
    <w:rsid w:val="00501FEF"/>
    <w:rsid w:val="00502C89"/>
    <w:rsid w:val="00503052"/>
    <w:rsid w:val="00503EB2"/>
    <w:rsid w:val="00504487"/>
    <w:rsid w:val="0050481E"/>
    <w:rsid w:val="00504C07"/>
    <w:rsid w:val="00506D8F"/>
    <w:rsid w:val="0050700E"/>
    <w:rsid w:val="0051117D"/>
    <w:rsid w:val="0051322A"/>
    <w:rsid w:val="00516CF5"/>
    <w:rsid w:val="00516F61"/>
    <w:rsid w:val="00517392"/>
    <w:rsid w:val="005177F2"/>
    <w:rsid w:val="00520D4E"/>
    <w:rsid w:val="00521304"/>
    <w:rsid w:val="00522891"/>
    <w:rsid w:val="00522CEA"/>
    <w:rsid w:val="005254B3"/>
    <w:rsid w:val="00526520"/>
    <w:rsid w:val="0052751B"/>
    <w:rsid w:val="00527E40"/>
    <w:rsid w:val="0053041C"/>
    <w:rsid w:val="00533391"/>
    <w:rsid w:val="005341F6"/>
    <w:rsid w:val="005342DB"/>
    <w:rsid w:val="005377D1"/>
    <w:rsid w:val="005403AE"/>
    <w:rsid w:val="005426DD"/>
    <w:rsid w:val="005427FA"/>
    <w:rsid w:val="00542CAB"/>
    <w:rsid w:val="00543693"/>
    <w:rsid w:val="005437CF"/>
    <w:rsid w:val="00543C73"/>
    <w:rsid w:val="005442AA"/>
    <w:rsid w:val="00544DE4"/>
    <w:rsid w:val="00546058"/>
    <w:rsid w:val="005462E6"/>
    <w:rsid w:val="00546653"/>
    <w:rsid w:val="00551B45"/>
    <w:rsid w:val="00552B76"/>
    <w:rsid w:val="0055340F"/>
    <w:rsid w:val="0055354F"/>
    <w:rsid w:val="00554B2C"/>
    <w:rsid w:val="00557060"/>
    <w:rsid w:val="00557577"/>
    <w:rsid w:val="00557BEA"/>
    <w:rsid w:val="00561293"/>
    <w:rsid w:val="00561FA9"/>
    <w:rsid w:val="00562AB0"/>
    <w:rsid w:val="00563911"/>
    <w:rsid w:val="00564530"/>
    <w:rsid w:val="00564EF0"/>
    <w:rsid w:val="0056505E"/>
    <w:rsid w:val="00566908"/>
    <w:rsid w:val="00567A4D"/>
    <w:rsid w:val="00570C3A"/>
    <w:rsid w:val="00574EF8"/>
    <w:rsid w:val="005765DA"/>
    <w:rsid w:val="005767AB"/>
    <w:rsid w:val="00576C05"/>
    <w:rsid w:val="00577493"/>
    <w:rsid w:val="00581086"/>
    <w:rsid w:val="00581CBA"/>
    <w:rsid w:val="00581FD4"/>
    <w:rsid w:val="00582610"/>
    <w:rsid w:val="00582AAC"/>
    <w:rsid w:val="00582B38"/>
    <w:rsid w:val="005835C7"/>
    <w:rsid w:val="00584C52"/>
    <w:rsid w:val="00584F8C"/>
    <w:rsid w:val="00585D22"/>
    <w:rsid w:val="00585D3C"/>
    <w:rsid w:val="00586D6E"/>
    <w:rsid w:val="005875C4"/>
    <w:rsid w:val="00590EC8"/>
    <w:rsid w:val="00592703"/>
    <w:rsid w:val="0059399A"/>
    <w:rsid w:val="00593EED"/>
    <w:rsid w:val="00594A95"/>
    <w:rsid w:val="00595792"/>
    <w:rsid w:val="005A0D5A"/>
    <w:rsid w:val="005A26C5"/>
    <w:rsid w:val="005A7006"/>
    <w:rsid w:val="005A7E8B"/>
    <w:rsid w:val="005B2162"/>
    <w:rsid w:val="005B2427"/>
    <w:rsid w:val="005B3D0A"/>
    <w:rsid w:val="005B45F8"/>
    <w:rsid w:val="005B4F36"/>
    <w:rsid w:val="005B7A6F"/>
    <w:rsid w:val="005C0406"/>
    <w:rsid w:val="005C2D7A"/>
    <w:rsid w:val="005C3400"/>
    <w:rsid w:val="005C34AD"/>
    <w:rsid w:val="005C3A96"/>
    <w:rsid w:val="005C563C"/>
    <w:rsid w:val="005C637A"/>
    <w:rsid w:val="005C75B5"/>
    <w:rsid w:val="005C75D0"/>
    <w:rsid w:val="005D0A03"/>
    <w:rsid w:val="005D0FFC"/>
    <w:rsid w:val="005D1133"/>
    <w:rsid w:val="005D2A76"/>
    <w:rsid w:val="005D3E4E"/>
    <w:rsid w:val="005D44DB"/>
    <w:rsid w:val="005D5043"/>
    <w:rsid w:val="005D551C"/>
    <w:rsid w:val="005D5915"/>
    <w:rsid w:val="005D6FE1"/>
    <w:rsid w:val="005D7716"/>
    <w:rsid w:val="005D7C10"/>
    <w:rsid w:val="005E07E7"/>
    <w:rsid w:val="005E1237"/>
    <w:rsid w:val="005E15D9"/>
    <w:rsid w:val="005E2E6E"/>
    <w:rsid w:val="005E38D4"/>
    <w:rsid w:val="005E3C67"/>
    <w:rsid w:val="005E556D"/>
    <w:rsid w:val="005E55D4"/>
    <w:rsid w:val="005E7B76"/>
    <w:rsid w:val="005F0301"/>
    <w:rsid w:val="005F32F2"/>
    <w:rsid w:val="005F3BF4"/>
    <w:rsid w:val="005F5190"/>
    <w:rsid w:val="005F6374"/>
    <w:rsid w:val="005F69B4"/>
    <w:rsid w:val="005F6A49"/>
    <w:rsid w:val="005F7549"/>
    <w:rsid w:val="00602EE1"/>
    <w:rsid w:val="00603ECF"/>
    <w:rsid w:val="0060505C"/>
    <w:rsid w:val="0060658D"/>
    <w:rsid w:val="00606D94"/>
    <w:rsid w:val="00606E36"/>
    <w:rsid w:val="006074E1"/>
    <w:rsid w:val="006100AB"/>
    <w:rsid w:val="00610CD7"/>
    <w:rsid w:val="006114EE"/>
    <w:rsid w:val="00611CCB"/>
    <w:rsid w:val="0061220F"/>
    <w:rsid w:val="006145A4"/>
    <w:rsid w:val="0061462E"/>
    <w:rsid w:val="006151C2"/>
    <w:rsid w:val="006208CA"/>
    <w:rsid w:val="00621595"/>
    <w:rsid w:val="00621F23"/>
    <w:rsid w:val="00623717"/>
    <w:rsid w:val="006239BB"/>
    <w:rsid w:val="00623E23"/>
    <w:rsid w:val="00625FCF"/>
    <w:rsid w:val="0062610D"/>
    <w:rsid w:val="00634002"/>
    <w:rsid w:val="00634E1C"/>
    <w:rsid w:val="00634EC3"/>
    <w:rsid w:val="006376FC"/>
    <w:rsid w:val="0064068B"/>
    <w:rsid w:val="00642B24"/>
    <w:rsid w:val="00642D98"/>
    <w:rsid w:val="00644872"/>
    <w:rsid w:val="006451D3"/>
    <w:rsid w:val="006456A8"/>
    <w:rsid w:val="00645B69"/>
    <w:rsid w:val="006460AC"/>
    <w:rsid w:val="00646365"/>
    <w:rsid w:val="00646448"/>
    <w:rsid w:val="00646541"/>
    <w:rsid w:val="00646942"/>
    <w:rsid w:val="0065022B"/>
    <w:rsid w:val="006506DE"/>
    <w:rsid w:val="00650A31"/>
    <w:rsid w:val="00650FEB"/>
    <w:rsid w:val="00651F8C"/>
    <w:rsid w:val="00652916"/>
    <w:rsid w:val="00655F33"/>
    <w:rsid w:val="00661204"/>
    <w:rsid w:val="00662D3A"/>
    <w:rsid w:val="00663321"/>
    <w:rsid w:val="0066565C"/>
    <w:rsid w:val="006658FE"/>
    <w:rsid w:val="00667ECD"/>
    <w:rsid w:val="00670799"/>
    <w:rsid w:val="00671CB5"/>
    <w:rsid w:val="00671D9F"/>
    <w:rsid w:val="00671E4C"/>
    <w:rsid w:val="0067228B"/>
    <w:rsid w:val="00672CEE"/>
    <w:rsid w:val="00674A19"/>
    <w:rsid w:val="00675410"/>
    <w:rsid w:val="00676F2B"/>
    <w:rsid w:val="00677BB3"/>
    <w:rsid w:val="00680713"/>
    <w:rsid w:val="00681189"/>
    <w:rsid w:val="006817A6"/>
    <w:rsid w:val="00682A3F"/>
    <w:rsid w:val="00682EFB"/>
    <w:rsid w:val="00683F63"/>
    <w:rsid w:val="006845E7"/>
    <w:rsid w:val="00684DEE"/>
    <w:rsid w:val="006862FD"/>
    <w:rsid w:val="006871B0"/>
    <w:rsid w:val="00691032"/>
    <w:rsid w:val="006951B0"/>
    <w:rsid w:val="006951FB"/>
    <w:rsid w:val="0069588C"/>
    <w:rsid w:val="00697092"/>
    <w:rsid w:val="006A2B5A"/>
    <w:rsid w:val="006A38BB"/>
    <w:rsid w:val="006A3F59"/>
    <w:rsid w:val="006A41D8"/>
    <w:rsid w:val="006A439B"/>
    <w:rsid w:val="006A5C1C"/>
    <w:rsid w:val="006A6291"/>
    <w:rsid w:val="006A6375"/>
    <w:rsid w:val="006A6BCC"/>
    <w:rsid w:val="006A6F2B"/>
    <w:rsid w:val="006A7A1E"/>
    <w:rsid w:val="006B09E5"/>
    <w:rsid w:val="006B0ABA"/>
    <w:rsid w:val="006B126E"/>
    <w:rsid w:val="006B250E"/>
    <w:rsid w:val="006B3511"/>
    <w:rsid w:val="006B3FE3"/>
    <w:rsid w:val="006B4B1C"/>
    <w:rsid w:val="006B5883"/>
    <w:rsid w:val="006B6033"/>
    <w:rsid w:val="006B6B88"/>
    <w:rsid w:val="006B766E"/>
    <w:rsid w:val="006B7716"/>
    <w:rsid w:val="006C02B1"/>
    <w:rsid w:val="006C0413"/>
    <w:rsid w:val="006C04AE"/>
    <w:rsid w:val="006C0879"/>
    <w:rsid w:val="006C0B67"/>
    <w:rsid w:val="006C1234"/>
    <w:rsid w:val="006C17DF"/>
    <w:rsid w:val="006C25FB"/>
    <w:rsid w:val="006C31BA"/>
    <w:rsid w:val="006C428D"/>
    <w:rsid w:val="006C4D78"/>
    <w:rsid w:val="006C539E"/>
    <w:rsid w:val="006C5A16"/>
    <w:rsid w:val="006C6F17"/>
    <w:rsid w:val="006C743D"/>
    <w:rsid w:val="006D0739"/>
    <w:rsid w:val="006D0BBB"/>
    <w:rsid w:val="006D18CD"/>
    <w:rsid w:val="006D3903"/>
    <w:rsid w:val="006D43B0"/>
    <w:rsid w:val="006D53A1"/>
    <w:rsid w:val="006D72C9"/>
    <w:rsid w:val="006D74EC"/>
    <w:rsid w:val="006E00CC"/>
    <w:rsid w:val="006E369E"/>
    <w:rsid w:val="006E4A2B"/>
    <w:rsid w:val="006E56A8"/>
    <w:rsid w:val="006E5A2D"/>
    <w:rsid w:val="006E61D7"/>
    <w:rsid w:val="006E7464"/>
    <w:rsid w:val="006F065A"/>
    <w:rsid w:val="006F0EB4"/>
    <w:rsid w:val="006F2024"/>
    <w:rsid w:val="006F217A"/>
    <w:rsid w:val="006F2FE2"/>
    <w:rsid w:val="006F4C18"/>
    <w:rsid w:val="006F55B3"/>
    <w:rsid w:val="006F5919"/>
    <w:rsid w:val="006F6471"/>
    <w:rsid w:val="006F6B96"/>
    <w:rsid w:val="006F74E3"/>
    <w:rsid w:val="006F7A04"/>
    <w:rsid w:val="0070034B"/>
    <w:rsid w:val="00700B0D"/>
    <w:rsid w:val="00701177"/>
    <w:rsid w:val="007036F4"/>
    <w:rsid w:val="00703868"/>
    <w:rsid w:val="00704F6F"/>
    <w:rsid w:val="00705A44"/>
    <w:rsid w:val="00706461"/>
    <w:rsid w:val="00706E35"/>
    <w:rsid w:val="00707D0D"/>
    <w:rsid w:val="007105B6"/>
    <w:rsid w:val="00711330"/>
    <w:rsid w:val="007119EF"/>
    <w:rsid w:val="0071609A"/>
    <w:rsid w:val="00720408"/>
    <w:rsid w:val="007205CD"/>
    <w:rsid w:val="00720BB7"/>
    <w:rsid w:val="00721553"/>
    <w:rsid w:val="00721691"/>
    <w:rsid w:val="00721FFA"/>
    <w:rsid w:val="00722226"/>
    <w:rsid w:val="007222A8"/>
    <w:rsid w:val="00724C71"/>
    <w:rsid w:val="00724F66"/>
    <w:rsid w:val="00725F7B"/>
    <w:rsid w:val="00726FE7"/>
    <w:rsid w:val="00730016"/>
    <w:rsid w:val="00730222"/>
    <w:rsid w:val="00730538"/>
    <w:rsid w:val="00730E30"/>
    <w:rsid w:val="007334D1"/>
    <w:rsid w:val="007339AA"/>
    <w:rsid w:val="00733B9E"/>
    <w:rsid w:val="00734760"/>
    <w:rsid w:val="0073697A"/>
    <w:rsid w:val="0073738E"/>
    <w:rsid w:val="00737E07"/>
    <w:rsid w:val="00740041"/>
    <w:rsid w:val="00740DB1"/>
    <w:rsid w:val="00742060"/>
    <w:rsid w:val="00743A2B"/>
    <w:rsid w:val="00744B1C"/>
    <w:rsid w:val="00744CD3"/>
    <w:rsid w:val="0074566E"/>
    <w:rsid w:val="00745F4C"/>
    <w:rsid w:val="00746919"/>
    <w:rsid w:val="0074726B"/>
    <w:rsid w:val="00747F82"/>
    <w:rsid w:val="00750980"/>
    <w:rsid w:val="00750E0C"/>
    <w:rsid w:val="00750E4B"/>
    <w:rsid w:val="007514B5"/>
    <w:rsid w:val="0075278A"/>
    <w:rsid w:val="007536C0"/>
    <w:rsid w:val="00753BAC"/>
    <w:rsid w:val="007540AB"/>
    <w:rsid w:val="00757E51"/>
    <w:rsid w:val="00761FBE"/>
    <w:rsid w:val="00762976"/>
    <w:rsid w:val="00763029"/>
    <w:rsid w:val="0076350E"/>
    <w:rsid w:val="0076545C"/>
    <w:rsid w:val="00765C0B"/>
    <w:rsid w:val="00767506"/>
    <w:rsid w:val="00770B0A"/>
    <w:rsid w:val="0077122C"/>
    <w:rsid w:val="00771FFF"/>
    <w:rsid w:val="00772F81"/>
    <w:rsid w:val="0077352D"/>
    <w:rsid w:val="007753E9"/>
    <w:rsid w:val="00775783"/>
    <w:rsid w:val="007766B7"/>
    <w:rsid w:val="00776F35"/>
    <w:rsid w:val="00780225"/>
    <w:rsid w:val="00781A75"/>
    <w:rsid w:val="00783E89"/>
    <w:rsid w:val="00786003"/>
    <w:rsid w:val="00786914"/>
    <w:rsid w:val="0078697F"/>
    <w:rsid w:val="00791619"/>
    <w:rsid w:val="007919AA"/>
    <w:rsid w:val="00791C79"/>
    <w:rsid w:val="00791D5E"/>
    <w:rsid w:val="007926B5"/>
    <w:rsid w:val="00792D5F"/>
    <w:rsid w:val="0079399B"/>
    <w:rsid w:val="00795BFC"/>
    <w:rsid w:val="00795DFE"/>
    <w:rsid w:val="007A0340"/>
    <w:rsid w:val="007A1096"/>
    <w:rsid w:val="007A143F"/>
    <w:rsid w:val="007A1F65"/>
    <w:rsid w:val="007A2D25"/>
    <w:rsid w:val="007A4708"/>
    <w:rsid w:val="007A47B5"/>
    <w:rsid w:val="007A4934"/>
    <w:rsid w:val="007A4FAF"/>
    <w:rsid w:val="007A5C2A"/>
    <w:rsid w:val="007A63E1"/>
    <w:rsid w:val="007B0525"/>
    <w:rsid w:val="007B152D"/>
    <w:rsid w:val="007B4D3D"/>
    <w:rsid w:val="007B4FE9"/>
    <w:rsid w:val="007C1F8D"/>
    <w:rsid w:val="007C22B4"/>
    <w:rsid w:val="007C40BD"/>
    <w:rsid w:val="007C5397"/>
    <w:rsid w:val="007C583C"/>
    <w:rsid w:val="007C5A35"/>
    <w:rsid w:val="007C6524"/>
    <w:rsid w:val="007C73AB"/>
    <w:rsid w:val="007C7773"/>
    <w:rsid w:val="007D01B2"/>
    <w:rsid w:val="007D106F"/>
    <w:rsid w:val="007D1305"/>
    <w:rsid w:val="007D1BF9"/>
    <w:rsid w:val="007D1CD3"/>
    <w:rsid w:val="007D1E72"/>
    <w:rsid w:val="007D321D"/>
    <w:rsid w:val="007D3DEA"/>
    <w:rsid w:val="007D684E"/>
    <w:rsid w:val="007D6B3A"/>
    <w:rsid w:val="007E05DF"/>
    <w:rsid w:val="007E15C1"/>
    <w:rsid w:val="007E18FF"/>
    <w:rsid w:val="007E2816"/>
    <w:rsid w:val="007E3D46"/>
    <w:rsid w:val="007E418F"/>
    <w:rsid w:val="007E4CC1"/>
    <w:rsid w:val="007E5259"/>
    <w:rsid w:val="007E5A77"/>
    <w:rsid w:val="007E7780"/>
    <w:rsid w:val="007F138F"/>
    <w:rsid w:val="007F3F21"/>
    <w:rsid w:val="007F600C"/>
    <w:rsid w:val="007F7FE6"/>
    <w:rsid w:val="00801D0A"/>
    <w:rsid w:val="0080262A"/>
    <w:rsid w:val="00802C34"/>
    <w:rsid w:val="00802E6D"/>
    <w:rsid w:val="00803BD6"/>
    <w:rsid w:val="00805170"/>
    <w:rsid w:val="00806A5F"/>
    <w:rsid w:val="00812E74"/>
    <w:rsid w:val="00813C15"/>
    <w:rsid w:val="008145AC"/>
    <w:rsid w:val="008155E7"/>
    <w:rsid w:val="00817032"/>
    <w:rsid w:val="00820A9B"/>
    <w:rsid w:val="00821B76"/>
    <w:rsid w:val="00822C2F"/>
    <w:rsid w:val="00825A3D"/>
    <w:rsid w:val="00827582"/>
    <w:rsid w:val="008279B5"/>
    <w:rsid w:val="00827E2D"/>
    <w:rsid w:val="00830659"/>
    <w:rsid w:val="00830704"/>
    <w:rsid w:val="0083330A"/>
    <w:rsid w:val="008335F4"/>
    <w:rsid w:val="00833EA0"/>
    <w:rsid w:val="00834C2A"/>
    <w:rsid w:val="00834DFF"/>
    <w:rsid w:val="00834FEB"/>
    <w:rsid w:val="00837A2D"/>
    <w:rsid w:val="00841577"/>
    <w:rsid w:val="0084266C"/>
    <w:rsid w:val="008428CB"/>
    <w:rsid w:val="00842BDD"/>
    <w:rsid w:val="0084485E"/>
    <w:rsid w:val="00846015"/>
    <w:rsid w:val="00846D37"/>
    <w:rsid w:val="00846D78"/>
    <w:rsid w:val="008477C7"/>
    <w:rsid w:val="00847DC4"/>
    <w:rsid w:val="00850242"/>
    <w:rsid w:val="00851643"/>
    <w:rsid w:val="00852687"/>
    <w:rsid w:val="00854CD7"/>
    <w:rsid w:val="00855A5F"/>
    <w:rsid w:val="008568D4"/>
    <w:rsid w:val="0086183F"/>
    <w:rsid w:val="0086201B"/>
    <w:rsid w:val="00862B44"/>
    <w:rsid w:val="0086326E"/>
    <w:rsid w:val="00863567"/>
    <w:rsid w:val="00863A76"/>
    <w:rsid w:val="008648DA"/>
    <w:rsid w:val="0086511C"/>
    <w:rsid w:val="00865B4B"/>
    <w:rsid w:val="00865B79"/>
    <w:rsid w:val="00865B81"/>
    <w:rsid w:val="00870F37"/>
    <w:rsid w:val="00871C97"/>
    <w:rsid w:val="0087366A"/>
    <w:rsid w:val="00873823"/>
    <w:rsid w:val="0087408A"/>
    <w:rsid w:val="00874441"/>
    <w:rsid w:val="008757CF"/>
    <w:rsid w:val="00875B13"/>
    <w:rsid w:val="0087602D"/>
    <w:rsid w:val="00877874"/>
    <w:rsid w:val="00877A6A"/>
    <w:rsid w:val="00885FA7"/>
    <w:rsid w:val="00887C34"/>
    <w:rsid w:val="00893586"/>
    <w:rsid w:val="00896263"/>
    <w:rsid w:val="008967A8"/>
    <w:rsid w:val="00896BA6"/>
    <w:rsid w:val="00896E1F"/>
    <w:rsid w:val="00897989"/>
    <w:rsid w:val="008A1FF0"/>
    <w:rsid w:val="008A4E8C"/>
    <w:rsid w:val="008A6790"/>
    <w:rsid w:val="008A755B"/>
    <w:rsid w:val="008B15B5"/>
    <w:rsid w:val="008B1CBE"/>
    <w:rsid w:val="008B4CFF"/>
    <w:rsid w:val="008B5341"/>
    <w:rsid w:val="008B6469"/>
    <w:rsid w:val="008B6BB2"/>
    <w:rsid w:val="008B7E59"/>
    <w:rsid w:val="008B7F2D"/>
    <w:rsid w:val="008C011E"/>
    <w:rsid w:val="008C01C7"/>
    <w:rsid w:val="008C02F0"/>
    <w:rsid w:val="008C05DC"/>
    <w:rsid w:val="008C17D9"/>
    <w:rsid w:val="008C244E"/>
    <w:rsid w:val="008C7CE6"/>
    <w:rsid w:val="008D198C"/>
    <w:rsid w:val="008D3DDB"/>
    <w:rsid w:val="008D4EB0"/>
    <w:rsid w:val="008D5226"/>
    <w:rsid w:val="008D71F9"/>
    <w:rsid w:val="008E06E0"/>
    <w:rsid w:val="008E122C"/>
    <w:rsid w:val="008E38A1"/>
    <w:rsid w:val="008E405C"/>
    <w:rsid w:val="008E5A91"/>
    <w:rsid w:val="008F107B"/>
    <w:rsid w:val="008F65F0"/>
    <w:rsid w:val="008F6B05"/>
    <w:rsid w:val="008F6CDA"/>
    <w:rsid w:val="00901A3E"/>
    <w:rsid w:val="009026F6"/>
    <w:rsid w:val="009034D4"/>
    <w:rsid w:val="00906ABF"/>
    <w:rsid w:val="009072C2"/>
    <w:rsid w:val="0090756D"/>
    <w:rsid w:val="009075F4"/>
    <w:rsid w:val="00907855"/>
    <w:rsid w:val="00907A9B"/>
    <w:rsid w:val="009116ED"/>
    <w:rsid w:val="009117EE"/>
    <w:rsid w:val="00912CE4"/>
    <w:rsid w:val="0091368A"/>
    <w:rsid w:val="00913C42"/>
    <w:rsid w:val="00914346"/>
    <w:rsid w:val="00915FF3"/>
    <w:rsid w:val="009179EA"/>
    <w:rsid w:val="009207A2"/>
    <w:rsid w:val="00920C5B"/>
    <w:rsid w:val="00924D6E"/>
    <w:rsid w:val="00925051"/>
    <w:rsid w:val="00926684"/>
    <w:rsid w:val="00931A23"/>
    <w:rsid w:val="00931E50"/>
    <w:rsid w:val="009320D2"/>
    <w:rsid w:val="009342F3"/>
    <w:rsid w:val="00934B2C"/>
    <w:rsid w:val="00935F1D"/>
    <w:rsid w:val="00937FA2"/>
    <w:rsid w:val="009401CB"/>
    <w:rsid w:val="00940954"/>
    <w:rsid w:val="009409C1"/>
    <w:rsid w:val="0094144F"/>
    <w:rsid w:val="009424A0"/>
    <w:rsid w:val="00947198"/>
    <w:rsid w:val="009500E9"/>
    <w:rsid w:val="00950A80"/>
    <w:rsid w:val="00951500"/>
    <w:rsid w:val="00952D01"/>
    <w:rsid w:val="00953E57"/>
    <w:rsid w:val="009556B5"/>
    <w:rsid w:val="00956968"/>
    <w:rsid w:val="009606D7"/>
    <w:rsid w:val="009610A3"/>
    <w:rsid w:val="00961D6F"/>
    <w:rsid w:val="009631BC"/>
    <w:rsid w:val="00963377"/>
    <w:rsid w:val="00963742"/>
    <w:rsid w:val="00964E92"/>
    <w:rsid w:val="0096648E"/>
    <w:rsid w:val="009669D2"/>
    <w:rsid w:val="00967083"/>
    <w:rsid w:val="0097334A"/>
    <w:rsid w:val="00973935"/>
    <w:rsid w:val="009763E8"/>
    <w:rsid w:val="009766BD"/>
    <w:rsid w:val="00977AC9"/>
    <w:rsid w:val="00980FA0"/>
    <w:rsid w:val="00982D64"/>
    <w:rsid w:val="00982EC0"/>
    <w:rsid w:val="00985435"/>
    <w:rsid w:val="0098582A"/>
    <w:rsid w:val="00987CE4"/>
    <w:rsid w:val="00987FAC"/>
    <w:rsid w:val="0099031F"/>
    <w:rsid w:val="0099092E"/>
    <w:rsid w:val="00990CF2"/>
    <w:rsid w:val="0099184B"/>
    <w:rsid w:val="009936AA"/>
    <w:rsid w:val="009954E1"/>
    <w:rsid w:val="00997753"/>
    <w:rsid w:val="00997791"/>
    <w:rsid w:val="009A053F"/>
    <w:rsid w:val="009A09DF"/>
    <w:rsid w:val="009A0AE2"/>
    <w:rsid w:val="009A11CF"/>
    <w:rsid w:val="009A13D7"/>
    <w:rsid w:val="009A1A02"/>
    <w:rsid w:val="009A43B8"/>
    <w:rsid w:val="009A4C04"/>
    <w:rsid w:val="009A663B"/>
    <w:rsid w:val="009A6D62"/>
    <w:rsid w:val="009A6E5D"/>
    <w:rsid w:val="009A796F"/>
    <w:rsid w:val="009B0578"/>
    <w:rsid w:val="009B1921"/>
    <w:rsid w:val="009B30D8"/>
    <w:rsid w:val="009B3A15"/>
    <w:rsid w:val="009B483D"/>
    <w:rsid w:val="009B5495"/>
    <w:rsid w:val="009B5D3D"/>
    <w:rsid w:val="009B6188"/>
    <w:rsid w:val="009B7BE8"/>
    <w:rsid w:val="009C30D9"/>
    <w:rsid w:val="009C3E37"/>
    <w:rsid w:val="009C417C"/>
    <w:rsid w:val="009C4AF5"/>
    <w:rsid w:val="009C5A28"/>
    <w:rsid w:val="009C6169"/>
    <w:rsid w:val="009C77AC"/>
    <w:rsid w:val="009D02F6"/>
    <w:rsid w:val="009D0BBD"/>
    <w:rsid w:val="009D37E8"/>
    <w:rsid w:val="009D59C6"/>
    <w:rsid w:val="009D5A85"/>
    <w:rsid w:val="009E1A60"/>
    <w:rsid w:val="009E2C3B"/>
    <w:rsid w:val="009E4DB5"/>
    <w:rsid w:val="009E612F"/>
    <w:rsid w:val="009E66E3"/>
    <w:rsid w:val="009F0807"/>
    <w:rsid w:val="009F1946"/>
    <w:rsid w:val="009F1CB9"/>
    <w:rsid w:val="009F1FBC"/>
    <w:rsid w:val="009F2CB6"/>
    <w:rsid w:val="009F400B"/>
    <w:rsid w:val="009F4AD9"/>
    <w:rsid w:val="009F686D"/>
    <w:rsid w:val="009F6E38"/>
    <w:rsid w:val="00A0060F"/>
    <w:rsid w:val="00A0076F"/>
    <w:rsid w:val="00A008DD"/>
    <w:rsid w:val="00A00E44"/>
    <w:rsid w:val="00A02D48"/>
    <w:rsid w:val="00A030E0"/>
    <w:rsid w:val="00A03BCD"/>
    <w:rsid w:val="00A04418"/>
    <w:rsid w:val="00A04CA9"/>
    <w:rsid w:val="00A07677"/>
    <w:rsid w:val="00A108D4"/>
    <w:rsid w:val="00A10A26"/>
    <w:rsid w:val="00A111F6"/>
    <w:rsid w:val="00A1227D"/>
    <w:rsid w:val="00A13A59"/>
    <w:rsid w:val="00A14432"/>
    <w:rsid w:val="00A14714"/>
    <w:rsid w:val="00A14E55"/>
    <w:rsid w:val="00A1513F"/>
    <w:rsid w:val="00A15242"/>
    <w:rsid w:val="00A15F3F"/>
    <w:rsid w:val="00A16C3D"/>
    <w:rsid w:val="00A21CD6"/>
    <w:rsid w:val="00A22208"/>
    <w:rsid w:val="00A2337E"/>
    <w:rsid w:val="00A237DA"/>
    <w:rsid w:val="00A2483D"/>
    <w:rsid w:val="00A24883"/>
    <w:rsid w:val="00A24CF3"/>
    <w:rsid w:val="00A271DF"/>
    <w:rsid w:val="00A30497"/>
    <w:rsid w:val="00A305DC"/>
    <w:rsid w:val="00A30C64"/>
    <w:rsid w:val="00A31ABC"/>
    <w:rsid w:val="00A36D7B"/>
    <w:rsid w:val="00A37495"/>
    <w:rsid w:val="00A379E4"/>
    <w:rsid w:val="00A40EC1"/>
    <w:rsid w:val="00A41B2E"/>
    <w:rsid w:val="00A42BAD"/>
    <w:rsid w:val="00A43B5F"/>
    <w:rsid w:val="00A44235"/>
    <w:rsid w:val="00A44867"/>
    <w:rsid w:val="00A45720"/>
    <w:rsid w:val="00A46443"/>
    <w:rsid w:val="00A47C5B"/>
    <w:rsid w:val="00A5005D"/>
    <w:rsid w:val="00A50CD3"/>
    <w:rsid w:val="00A50E3D"/>
    <w:rsid w:val="00A5181C"/>
    <w:rsid w:val="00A51841"/>
    <w:rsid w:val="00A52FAF"/>
    <w:rsid w:val="00A53415"/>
    <w:rsid w:val="00A53DE9"/>
    <w:rsid w:val="00A552E6"/>
    <w:rsid w:val="00A55697"/>
    <w:rsid w:val="00A5709A"/>
    <w:rsid w:val="00A66A5F"/>
    <w:rsid w:val="00A67D19"/>
    <w:rsid w:val="00A67F29"/>
    <w:rsid w:val="00A70ED5"/>
    <w:rsid w:val="00A725D0"/>
    <w:rsid w:val="00A72794"/>
    <w:rsid w:val="00A72921"/>
    <w:rsid w:val="00A72CC7"/>
    <w:rsid w:val="00A73D39"/>
    <w:rsid w:val="00A7430E"/>
    <w:rsid w:val="00A74F90"/>
    <w:rsid w:val="00A80FA6"/>
    <w:rsid w:val="00A81B8C"/>
    <w:rsid w:val="00A82FD7"/>
    <w:rsid w:val="00A84FD9"/>
    <w:rsid w:val="00A85ACB"/>
    <w:rsid w:val="00A872C1"/>
    <w:rsid w:val="00A87FC5"/>
    <w:rsid w:val="00A9077D"/>
    <w:rsid w:val="00A9124E"/>
    <w:rsid w:val="00A92103"/>
    <w:rsid w:val="00A92FE6"/>
    <w:rsid w:val="00A9315C"/>
    <w:rsid w:val="00A9358C"/>
    <w:rsid w:val="00A935DC"/>
    <w:rsid w:val="00A94ED8"/>
    <w:rsid w:val="00A96113"/>
    <w:rsid w:val="00A966F5"/>
    <w:rsid w:val="00A96980"/>
    <w:rsid w:val="00A96EF0"/>
    <w:rsid w:val="00A97521"/>
    <w:rsid w:val="00AA098E"/>
    <w:rsid w:val="00AA196E"/>
    <w:rsid w:val="00AA23C0"/>
    <w:rsid w:val="00AA2AA5"/>
    <w:rsid w:val="00AA3D97"/>
    <w:rsid w:val="00AA42D6"/>
    <w:rsid w:val="00AA4641"/>
    <w:rsid w:val="00AA4C23"/>
    <w:rsid w:val="00AA5577"/>
    <w:rsid w:val="00AA6255"/>
    <w:rsid w:val="00AA652F"/>
    <w:rsid w:val="00AA6ACA"/>
    <w:rsid w:val="00AA737B"/>
    <w:rsid w:val="00AB09A2"/>
    <w:rsid w:val="00AB1161"/>
    <w:rsid w:val="00AB1700"/>
    <w:rsid w:val="00AB1902"/>
    <w:rsid w:val="00AB323A"/>
    <w:rsid w:val="00AB340D"/>
    <w:rsid w:val="00AB3875"/>
    <w:rsid w:val="00AB508B"/>
    <w:rsid w:val="00AB6BB3"/>
    <w:rsid w:val="00AB730C"/>
    <w:rsid w:val="00AB7777"/>
    <w:rsid w:val="00AC1855"/>
    <w:rsid w:val="00AC1F13"/>
    <w:rsid w:val="00AC35B4"/>
    <w:rsid w:val="00AC3736"/>
    <w:rsid w:val="00AC3966"/>
    <w:rsid w:val="00AC54C3"/>
    <w:rsid w:val="00AC70C3"/>
    <w:rsid w:val="00AD026D"/>
    <w:rsid w:val="00AD0712"/>
    <w:rsid w:val="00AD1BAD"/>
    <w:rsid w:val="00AD28EB"/>
    <w:rsid w:val="00AD459E"/>
    <w:rsid w:val="00AD5595"/>
    <w:rsid w:val="00AD592B"/>
    <w:rsid w:val="00AD75D4"/>
    <w:rsid w:val="00AE0310"/>
    <w:rsid w:val="00AE035F"/>
    <w:rsid w:val="00AE0F74"/>
    <w:rsid w:val="00AE129C"/>
    <w:rsid w:val="00AE1635"/>
    <w:rsid w:val="00AE1E44"/>
    <w:rsid w:val="00AE1F3B"/>
    <w:rsid w:val="00AE2C06"/>
    <w:rsid w:val="00AE2C53"/>
    <w:rsid w:val="00AE32EA"/>
    <w:rsid w:val="00AE366A"/>
    <w:rsid w:val="00AE4896"/>
    <w:rsid w:val="00AE5C6D"/>
    <w:rsid w:val="00AF0DEC"/>
    <w:rsid w:val="00AF206E"/>
    <w:rsid w:val="00AF24A5"/>
    <w:rsid w:val="00AF5261"/>
    <w:rsid w:val="00AF5412"/>
    <w:rsid w:val="00AF5FEF"/>
    <w:rsid w:val="00AF7618"/>
    <w:rsid w:val="00B00402"/>
    <w:rsid w:val="00B00DD8"/>
    <w:rsid w:val="00B06C89"/>
    <w:rsid w:val="00B06DCF"/>
    <w:rsid w:val="00B1045A"/>
    <w:rsid w:val="00B11E99"/>
    <w:rsid w:val="00B11F47"/>
    <w:rsid w:val="00B13704"/>
    <w:rsid w:val="00B15526"/>
    <w:rsid w:val="00B15908"/>
    <w:rsid w:val="00B16F48"/>
    <w:rsid w:val="00B177EA"/>
    <w:rsid w:val="00B22398"/>
    <w:rsid w:val="00B2316C"/>
    <w:rsid w:val="00B235C7"/>
    <w:rsid w:val="00B23C83"/>
    <w:rsid w:val="00B2432E"/>
    <w:rsid w:val="00B259E3"/>
    <w:rsid w:val="00B26F55"/>
    <w:rsid w:val="00B27B1B"/>
    <w:rsid w:val="00B308BE"/>
    <w:rsid w:val="00B30AEE"/>
    <w:rsid w:val="00B30B13"/>
    <w:rsid w:val="00B30DEC"/>
    <w:rsid w:val="00B31123"/>
    <w:rsid w:val="00B31952"/>
    <w:rsid w:val="00B32528"/>
    <w:rsid w:val="00B32E62"/>
    <w:rsid w:val="00B35983"/>
    <w:rsid w:val="00B41200"/>
    <w:rsid w:val="00B41416"/>
    <w:rsid w:val="00B4157C"/>
    <w:rsid w:val="00B417B6"/>
    <w:rsid w:val="00B424D0"/>
    <w:rsid w:val="00B42549"/>
    <w:rsid w:val="00B43742"/>
    <w:rsid w:val="00B43792"/>
    <w:rsid w:val="00B44623"/>
    <w:rsid w:val="00B4710B"/>
    <w:rsid w:val="00B477BF"/>
    <w:rsid w:val="00B50818"/>
    <w:rsid w:val="00B50C64"/>
    <w:rsid w:val="00B5255A"/>
    <w:rsid w:val="00B538E6"/>
    <w:rsid w:val="00B548C3"/>
    <w:rsid w:val="00B55D29"/>
    <w:rsid w:val="00B56565"/>
    <w:rsid w:val="00B57282"/>
    <w:rsid w:val="00B5794B"/>
    <w:rsid w:val="00B57AE4"/>
    <w:rsid w:val="00B57BDB"/>
    <w:rsid w:val="00B60913"/>
    <w:rsid w:val="00B6161D"/>
    <w:rsid w:val="00B63F45"/>
    <w:rsid w:val="00B64428"/>
    <w:rsid w:val="00B6452D"/>
    <w:rsid w:val="00B65BAD"/>
    <w:rsid w:val="00B66416"/>
    <w:rsid w:val="00B66B31"/>
    <w:rsid w:val="00B67D6E"/>
    <w:rsid w:val="00B67FA4"/>
    <w:rsid w:val="00B718E1"/>
    <w:rsid w:val="00B721A3"/>
    <w:rsid w:val="00B7549D"/>
    <w:rsid w:val="00B77E8C"/>
    <w:rsid w:val="00B802B0"/>
    <w:rsid w:val="00B818AC"/>
    <w:rsid w:val="00B83D10"/>
    <w:rsid w:val="00B83F32"/>
    <w:rsid w:val="00B84A46"/>
    <w:rsid w:val="00B8635C"/>
    <w:rsid w:val="00B87507"/>
    <w:rsid w:val="00B90258"/>
    <w:rsid w:val="00B93AA2"/>
    <w:rsid w:val="00B948A1"/>
    <w:rsid w:val="00B95106"/>
    <w:rsid w:val="00B95554"/>
    <w:rsid w:val="00B95F9A"/>
    <w:rsid w:val="00B97251"/>
    <w:rsid w:val="00BA1934"/>
    <w:rsid w:val="00BA3541"/>
    <w:rsid w:val="00BA3E40"/>
    <w:rsid w:val="00BA3E62"/>
    <w:rsid w:val="00BA4A51"/>
    <w:rsid w:val="00BA5A4F"/>
    <w:rsid w:val="00BA7334"/>
    <w:rsid w:val="00BA794F"/>
    <w:rsid w:val="00BB001B"/>
    <w:rsid w:val="00BB2CB1"/>
    <w:rsid w:val="00BB3557"/>
    <w:rsid w:val="00BB3EFB"/>
    <w:rsid w:val="00BB6A4A"/>
    <w:rsid w:val="00BB6F46"/>
    <w:rsid w:val="00BB7794"/>
    <w:rsid w:val="00BC05ED"/>
    <w:rsid w:val="00BC0B3B"/>
    <w:rsid w:val="00BC0BC7"/>
    <w:rsid w:val="00BC2F61"/>
    <w:rsid w:val="00BC3E93"/>
    <w:rsid w:val="00BC4101"/>
    <w:rsid w:val="00BC7123"/>
    <w:rsid w:val="00BC7BE4"/>
    <w:rsid w:val="00BD05A6"/>
    <w:rsid w:val="00BD165C"/>
    <w:rsid w:val="00BD2091"/>
    <w:rsid w:val="00BD26C2"/>
    <w:rsid w:val="00BD314A"/>
    <w:rsid w:val="00BD3178"/>
    <w:rsid w:val="00BD3AA0"/>
    <w:rsid w:val="00BD4A21"/>
    <w:rsid w:val="00BD4CA2"/>
    <w:rsid w:val="00BD4D89"/>
    <w:rsid w:val="00BD5083"/>
    <w:rsid w:val="00BD62EC"/>
    <w:rsid w:val="00BD6B03"/>
    <w:rsid w:val="00BE1D9D"/>
    <w:rsid w:val="00BE3A17"/>
    <w:rsid w:val="00BE3AD4"/>
    <w:rsid w:val="00BE56D2"/>
    <w:rsid w:val="00BE6A8F"/>
    <w:rsid w:val="00BE6E17"/>
    <w:rsid w:val="00BF02D4"/>
    <w:rsid w:val="00BF261C"/>
    <w:rsid w:val="00BF271A"/>
    <w:rsid w:val="00BF2BF8"/>
    <w:rsid w:val="00BF3EF1"/>
    <w:rsid w:val="00BF483A"/>
    <w:rsid w:val="00BF4F0F"/>
    <w:rsid w:val="00BF5481"/>
    <w:rsid w:val="00BF5FF0"/>
    <w:rsid w:val="00BF619D"/>
    <w:rsid w:val="00C00D74"/>
    <w:rsid w:val="00C01F16"/>
    <w:rsid w:val="00C03F58"/>
    <w:rsid w:val="00C040BB"/>
    <w:rsid w:val="00C0516A"/>
    <w:rsid w:val="00C0701B"/>
    <w:rsid w:val="00C072F8"/>
    <w:rsid w:val="00C10310"/>
    <w:rsid w:val="00C1098A"/>
    <w:rsid w:val="00C10CA4"/>
    <w:rsid w:val="00C126F6"/>
    <w:rsid w:val="00C15B38"/>
    <w:rsid w:val="00C16B64"/>
    <w:rsid w:val="00C1788F"/>
    <w:rsid w:val="00C20029"/>
    <w:rsid w:val="00C2077B"/>
    <w:rsid w:val="00C22E02"/>
    <w:rsid w:val="00C23328"/>
    <w:rsid w:val="00C251AD"/>
    <w:rsid w:val="00C26E79"/>
    <w:rsid w:val="00C275CA"/>
    <w:rsid w:val="00C317F1"/>
    <w:rsid w:val="00C3188F"/>
    <w:rsid w:val="00C318C2"/>
    <w:rsid w:val="00C33966"/>
    <w:rsid w:val="00C33AD2"/>
    <w:rsid w:val="00C35336"/>
    <w:rsid w:val="00C371F3"/>
    <w:rsid w:val="00C37547"/>
    <w:rsid w:val="00C404C8"/>
    <w:rsid w:val="00C40F86"/>
    <w:rsid w:val="00C429EF"/>
    <w:rsid w:val="00C43E08"/>
    <w:rsid w:val="00C44A14"/>
    <w:rsid w:val="00C4507B"/>
    <w:rsid w:val="00C45808"/>
    <w:rsid w:val="00C46003"/>
    <w:rsid w:val="00C467DD"/>
    <w:rsid w:val="00C46B5A"/>
    <w:rsid w:val="00C47190"/>
    <w:rsid w:val="00C471B5"/>
    <w:rsid w:val="00C507C7"/>
    <w:rsid w:val="00C50BF2"/>
    <w:rsid w:val="00C51D34"/>
    <w:rsid w:val="00C5295C"/>
    <w:rsid w:val="00C52A6A"/>
    <w:rsid w:val="00C53A0C"/>
    <w:rsid w:val="00C53F79"/>
    <w:rsid w:val="00C53FB7"/>
    <w:rsid w:val="00C55CA2"/>
    <w:rsid w:val="00C56F1A"/>
    <w:rsid w:val="00C5789D"/>
    <w:rsid w:val="00C61756"/>
    <w:rsid w:val="00C62A39"/>
    <w:rsid w:val="00C6368D"/>
    <w:rsid w:val="00C643C6"/>
    <w:rsid w:val="00C656E3"/>
    <w:rsid w:val="00C657A9"/>
    <w:rsid w:val="00C65C82"/>
    <w:rsid w:val="00C66DB5"/>
    <w:rsid w:val="00C670DA"/>
    <w:rsid w:val="00C71247"/>
    <w:rsid w:val="00C712ED"/>
    <w:rsid w:val="00C71A75"/>
    <w:rsid w:val="00C72E8A"/>
    <w:rsid w:val="00C733AD"/>
    <w:rsid w:val="00C73434"/>
    <w:rsid w:val="00C73EDF"/>
    <w:rsid w:val="00C74932"/>
    <w:rsid w:val="00C77D8A"/>
    <w:rsid w:val="00C80618"/>
    <w:rsid w:val="00C81837"/>
    <w:rsid w:val="00C83181"/>
    <w:rsid w:val="00C8458F"/>
    <w:rsid w:val="00C84800"/>
    <w:rsid w:val="00C8557A"/>
    <w:rsid w:val="00C86221"/>
    <w:rsid w:val="00C8691D"/>
    <w:rsid w:val="00C905FA"/>
    <w:rsid w:val="00C916D6"/>
    <w:rsid w:val="00C946DA"/>
    <w:rsid w:val="00C94872"/>
    <w:rsid w:val="00C95DF5"/>
    <w:rsid w:val="00CA0CD8"/>
    <w:rsid w:val="00CA17CD"/>
    <w:rsid w:val="00CA1D94"/>
    <w:rsid w:val="00CA4D91"/>
    <w:rsid w:val="00CA5327"/>
    <w:rsid w:val="00CA6E8E"/>
    <w:rsid w:val="00CA749D"/>
    <w:rsid w:val="00CB0F1C"/>
    <w:rsid w:val="00CB24CB"/>
    <w:rsid w:val="00CB5DF9"/>
    <w:rsid w:val="00CB64E5"/>
    <w:rsid w:val="00CB6C5F"/>
    <w:rsid w:val="00CB6D32"/>
    <w:rsid w:val="00CC3143"/>
    <w:rsid w:val="00CC5C49"/>
    <w:rsid w:val="00CC72A3"/>
    <w:rsid w:val="00CC7D60"/>
    <w:rsid w:val="00CC7ED7"/>
    <w:rsid w:val="00CD03E8"/>
    <w:rsid w:val="00CD3314"/>
    <w:rsid w:val="00CD3B89"/>
    <w:rsid w:val="00CE0E65"/>
    <w:rsid w:val="00CE171F"/>
    <w:rsid w:val="00CE33C6"/>
    <w:rsid w:val="00CE3D23"/>
    <w:rsid w:val="00CE43D8"/>
    <w:rsid w:val="00CE4612"/>
    <w:rsid w:val="00CE7E39"/>
    <w:rsid w:val="00CF1704"/>
    <w:rsid w:val="00CF205A"/>
    <w:rsid w:val="00CF29D8"/>
    <w:rsid w:val="00CF33CE"/>
    <w:rsid w:val="00CF3D8F"/>
    <w:rsid w:val="00CF45B4"/>
    <w:rsid w:val="00CF4C6D"/>
    <w:rsid w:val="00CF5827"/>
    <w:rsid w:val="00CF5A71"/>
    <w:rsid w:val="00CF69F7"/>
    <w:rsid w:val="00CF72A4"/>
    <w:rsid w:val="00CF74F6"/>
    <w:rsid w:val="00CF78B6"/>
    <w:rsid w:val="00CF7FBC"/>
    <w:rsid w:val="00D0219D"/>
    <w:rsid w:val="00D02FED"/>
    <w:rsid w:val="00D04161"/>
    <w:rsid w:val="00D0429A"/>
    <w:rsid w:val="00D06000"/>
    <w:rsid w:val="00D072E8"/>
    <w:rsid w:val="00D109BA"/>
    <w:rsid w:val="00D12C05"/>
    <w:rsid w:val="00D14884"/>
    <w:rsid w:val="00D15792"/>
    <w:rsid w:val="00D16F50"/>
    <w:rsid w:val="00D174A0"/>
    <w:rsid w:val="00D209DA"/>
    <w:rsid w:val="00D2269B"/>
    <w:rsid w:val="00D25D68"/>
    <w:rsid w:val="00D27996"/>
    <w:rsid w:val="00D27CAB"/>
    <w:rsid w:val="00D3176B"/>
    <w:rsid w:val="00D320DB"/>
    <w:rsid w:val="00D359DD"/>
    <w:rsid w:val="00D35F41"/>
    <w:rsid w:val="00D360F1"/>
    <w:rsid w:val="00D36901"/>
    <w:rsid w:val="00D37476"/>
    <w:rsid w:val="00D37593"/>
    <w:rsid w:val="00D37859"/>
    <w:rsid w:val="00D37B38"/>
    <w:rsid w:val="00D46B25"/>
    <w:rsid w:val="00D47139"/>
    <w:rsid w:val="00D50021"/>
    <w:rsid w:val="00D52417"/>
    <w:rsid w:val="00D529C2"/>
    <w:rsid w:val="00D53190"/>
    <w:rsid w:val="00D533B4"/>
    <w:rsid w:val="00D5390F"/>
    <w:rsid w:val="00D541A5"/>
    <w:rsid w:val="00D54A74"/>
    <w:rsid w:val="00D568C7"/>
    <w:rsid w:val="00D5776E"/>
    <w:rsid w:val="00D601A1"/>
    <w:rsid w:val="00D60565"/>
    <w:rsid w:val="00D622AE"/>
    <w:rsid w:val="00D62407"/>
    <w:rsid w:val="00D62B1D"/>
    <w:rsid w:val="00D6379A"/>
    <w:rsid w:val="00D70150"/>
    <w:rsid w:val="00D752DC"/>
    <w:rsid w:val="00D76407"/>
    <w:rsid w:val="00D76945"/>
    <w:rsid w:val="00D773F2"/>
    <w:rsid w:val="00D77EF2"/>
    <w:rsid w:val="00D81A46"/>
    <w:rsid w:val="00D82851"/>
    <w:rsid w:val="00D839B0"/>
    <w:rsid w:val="00D83CD9"/>
    <w:rsid w:val="00D84217"/>
    <w:rsid w:val="00D85889"/>
    <w:rsid w:val="00D87466"/>
    <w:rsid w:val="00D874B4"/>
    <w:rsid w:val="00D879F7"/>
    <w:rsid w:val="00D87AB1"/>
    <w:rsid w:val="00D90C47"/>
    <w:rsid w:val="00D90C70"/>
    <w:rsid w:val="00D91C21"/>
    <w:rsid w:val="00D92BDD"/>
    <w:rsid w:val="00D95F74"/>
    <w:rsid w:val="00D97189"/>
    <w:rsid w:val="00DA0AE8"/>
    <w:rsid w:val="00DA1FE3"/>
    <w:rsid w:val="00DA3CE5"/>
    <w:rsid w:val="00DA46DA"/>
    <w:rsid w:val="00DA60CD"/>
    <w:rsid w:val="00DA664B"/>
    <w:rsid w:val="00DA722B"/>
    <w:rsid w:val="00DA74CC"/>
    <w:rsid w:val="00DA7AF3"/>
    <w:rsid w:val="00DB0CA0"/>
    <w:rsid w:val="00DB1556"/>
    <w:rsid w:val="00DB2836"/>
    <w:rsid w:val="00DB340F"/>
    <w:rsid w:val="00DB5026"/>
    <w:rsid w:val="00DB5FA0"/>
    <w:rsid w:val="00DB6FB9"/>
    <w:rsid w:val="00DB7E03"/>
    <w:rsid w:val="00DC35D0"/>
    <w:rsid w:val="00DC3733"/>
    <w:rsid w:val="00DC374B"/>
    <w:rsid w:val="00DC54F3"/>
    <w:rsid w:val="00DC5B93"/>
    <w:rsid w:val="00DC5F3E"/>
    <w:rsid w:val="00DC64FC"/>
    <w:rsid w:val="00DC7147"/>
    <w:rsid w:val="00DD1150"/>
    <w:rsid w:val="00DD1D04"/>
    <w:rsid w:val="00DD5C07"/>
    <w:rsid w:val="00DD60FD"/>
    <w:rsid w:val="00DD6692"/>
    <w:rsid w:val="00DD7B6A"/>
    <w:rsid w:val="00DE2CC6"/>
    <w:rsid w:val="00DE4301"/>
    <w:rsid w:val="00DE4C0B"/>
    <w:rsid w:val="00DE55C7"/>
    <w:rsid w:val="00DE5ECF"/>
    <w:rsid w:val="00DE6BA2"/>
    <w:rsid w:val="00DE71E5"/>
    <w:rsid w:val="00DE7D95"/>
    <w:rsid w:val="00DF0244"/>
    <w:rsid w:val="00DF11BD"/>
    <w:rsid w:val="00DF1C26"/>
    <w:rsid w:val="00DF4EBA"/>
    <w:rsid w:val="00DF6019"/>
    <w:rsid w:val="00DF718E"/>
    <w:rsid w:val="00DF741E"/>
    <w:rsid w:val="00DF7431"/>
    <w:rsid w:val="00DF7499"/>
    <w:rsid w:val="00E00235"/>
    <w:rsid w:val="00E01CCF"/>
    <w:rsid w:val="00E02F62"/>
    <w:rsid w:val="00E036C4"/>
    <w:rsid w:val="00E03797"/>
    <w:rsid w:val="00E04CD0"/>
    <w:rsid w:val="00E07CE5"/>
    <w:rsid w:val="00E1049E"/>
    <w:rsid w:val="00E1404C"/>
    <w:rsid w:val="00E16544"/>
    <w:rsid w:val="00E16976"/>
    <w:rsid w:val="00E176EF"/>
    <w:rsid w:val="00E17B5E"/>
    <w:rsid w:val="00E201EA"/>
    <w:rsid w:val="00E20A43"/>
    <w:rsid w:val="00E2171D"/>
    <w:rsid w:val="00E2225F"/>
    <w:rsid w:val="00E22CFE"/>
    <w:rsid w:val="00E26ED0"/>
    <w:rsid w:val="00E26FA3"/>
    <w:rsid w:val="00E3037B"/>
    <w:rsid w:val="00E30EBF"/>
    <w:rsid w:val="00E3110E"/>
    <w:rsid w:val="00E31B7A"/>
    <w:rsid w:val="00E3224D"/>
    <w:rsid w:val="00E32E38"/>
    <w:rsid w:val="00E34582"/>
    <w:rsid w:val="00E351A3"/>
    <w:rsid w:val="00E35E31"/>
    <w:rsid w:val="00E36213"/>
    <w:rsid w:val="00E368C7"/>
    <w:rsid w:val="00E40363"/>
    <w:rsid w:val="00E40AD3"/>
    <w:rsid w:val="00E412BA"/>
    <w:rsid w:val="00E42658"/>
    <w:rsid w:val="00E438BF"/>
    <w:rsid w:val="00E446B3"/>
    <w:rsid w:val="00E45425"/>
    <w:rsid w:val="00E4555C"/>
    <w:rsid w:val="00E47939"/>
    <w:rsid w:val="00E50F41"/>
    <w:rsid w:val="00E5522F"/>
    <w:rsid w:val="00E55806"/>
    <w:rsid w:val="00E56740"/>
    <w:rsid w:val="00E61A23"/>
    <w:rsid w:val="00E63466"/>
    <w:rsid w:val="00E66D1C"/>
    <w:rsid w:val="00E70B97"/>
    <w:rsid w:val="00E716FC"/>
    <w:rsid w:val="00E726F4"/>
    <w:rsid w:val="00E731E4"/>
    <w:rsid w:val="00E734B0"/>
    <w:rsid w:val="00E74067"/>
    <w:rsid w:val="00E74E22"/>
    <w:rsid w:val="00E75F44"/>
    <w:rsid w:val="00E76C91"/>
    <w:rsid w:val="00E770E1"/>
    <w:rsid w:val="00E8022C"/>
    <w:rsid w:val="00E8046F"/>
    <w:rsid w:val="00E82A0A"/>
    <w:rsid w:val="00E83B80"/>
    <w:rsid w:val="00E83E44"/>
    <w:rsid w:val="00E845AE"/>
    <w:rsid w:val="00E93DDE"/>
    <w:rsid w:val="00E93F87"/>
    <w:rsid w:val="00E94208"/>
    <w:rsid w:val="00E962BD"/>
    <w:rsid w:val="00E96DE7"/>
    <w:rsid w:val="00E97521"/>
    <w:rsid w:val="00EA4DB4"/>
    <w:rsid w:val="00EA4ED9"/>
    <w:rsid w:val="00EB0003"/>
    <w:rsid w:val="00EB0EE0"/>
    <w:rsid w:val="00EB1BA7"/>
    <w:rsid w:val="00EB3923"/>
    <w:rsid w:val="00EB39D0"/>
    <w:rsid w:val="00EB39DF"/>
    <w:rsid w:val="00EB3A78"/>
    <w:rsid w:val="00EB3D2D"/>
    <w:rsid w:val="00EB4BD8"/>
    <w:rsid w:val="00EB5E3D"/>
    <w:rsid w:val="00EB6936"/>
    <w:rsid w:val="00EB6A76"/>
    <w:rsid w:val="00EB6ABC"/>
    <w:rsid w:val="00EC0924"/>
    <w:rsid w:val="00EC0A41"/>
    <w:rsid w:val="00EC118C"/>
    <w:rsid w:val="00EC286D"/>
    <w:rsid w:val="00EC2A2C"/>
    <w:rsid w:val="00EC4FA7"/>
    <w:rsid w:val="00EC5A75"/>
    <w:rsid w:val="00ED0D11"/>
    <w:rsid w:val="00ED18A5"/>
    <w:rsid w:val="00ED26AE"/>
    <w:rsid w:val="00ED4906"/>
    <w:rsid w:val="00ED4C32"/>
    <w:rsid w:val="00ED63DA"/>
    <w:rsid w:val="00ED7213"/>
    <w:rsid w:val="00EE09A9"/>
    <w:rsid w:val="00EE0F0D"/>
    <w:rsid w:val="00EE332A"/>
    <w:rsid w:val="00EE33F1"/>
    <w:rsid w:val="00EE4DBD"/>
    <w:rsid w:val="00EE66D9"/>
    <w:rsid w:val="00EE68DF"/>
    <w:rsid w:val="00EE6E4A"/>
    <w:rsid w:val="00EE6E64"/>
    <w:rsid w:val="00EF01E9"/>
    <w:rsid w:val="00EF09AD"/>
    <w:rsid w:val="00EF21D4"/>
    <w:rsid w:val="00EF3BD1"/>
    <w:rsid w:val="00EF4551"/>
    <w:rsid w:val="00EF456E"/>
    <w:rsid w:val="00EF4615"/>
    <w:rsid w:val="00EF55F1"/>
    <w:rsid w:val="00EF5CB3"/>
    <w:rsid w:val="00EF771B"/>
    <w:rsid w:val="00F00313"/>
    <w:rsid w:val="00F02956"/>
    <w:rsid w:val="00F02F6B"/>
    <w:rsid w:val="00F03862"/>
    <w:rsid w:val="00F04836"/>
    <w:rsid w:val="00F048E7"/>
    <w:rsid w:val="00F05D76"/>
    <w:rsid w:val="00F06127"/>
    <w:rsid w:val="00F063AE"/>
    <w:rsid w:val="00F06F94"/>
    <w:rsid w:val="00F12847"/>
    <w:rsid w:val="00F14E3D"/>
    <w:rsid w:val="00F1514A"/>
    <w:rsid w:val="00F15BC5"/>
    <w:rsid w:val="00F17DBE"/>
    <w:rsid w:val="00F2259D"/>
    <w:rsid w:val="00F227EB"/>
    <w:rsid w:val="00F233F0"/>
    <w:rsid w:val="00F246C6"/>
    <w:rsid w:val="00F24832"/>
    <w:rsid w:val="00F24E46"/>
    <w:rsid w:val="00F26A7C"/>
    <w:rsid w:val="00F27890"/>
    <w:rsid w:val="00F30E9D"/>
    <w:rsid w:val="00F32D24"/>
    <w:rsid w:val="00F33921"/>
    <w:rsid w:val="00F34BD4"/>
    <w:rsid w:val="00F35342"/>
    <w:rsid w:val="00F3663A"/>
    <w:rsid w:val="00F379BE"/>
    <w:rsid w:val="00F40595"/>
    <w:rsid w:val="00F411CD"/>
    <w:rsid w:val="00F41BA0"/>
    <w:rsid w:val="00F44969"/>
    <w:rsid w:val="00F45386"/>
    <w:rsid w:val="00F4676A"/>
    <w:rsid w:val="00F5009E"/>
    <w:rsid w:val="00F50A4C"/>
    <w:rsid w:val="00F52DB2"/>
    <w:rsid w:val="00F5314A"/>
    <w:rsid w:val="00F563F1"/>
    <w:rsid w:val="00F574C4"/>
    <w:rsid w:val="00F6032F"/>
    <w:rsid w:val="00F61DB2"/>
    <w:rsid w:val="00F64353"/>
    <w:rsid w:val="00F6595C"/>
    <w:rsid w:val="00F65D2A"/>
    <w:rsid w:val="00F660F9"/>
    <w:rsid w:val="00F71775"/>
    <w:rsid w:val="00F7217C"/>
    <w:rsid w:val="00F72E88"/>
    <w:rsid w:val="00F73B3E"/>
    <w:rsid w:val="00F73D32"/>
    <w:rsid w:val="00F75344"/>
    <w:rsid w:val="00F769C5"/>
    <w:rsid w:val="00F76F55"/>
    <w:rsid w:val="00F77B62"/>
    <w:rsid w:val="00F8021B"/>
    <w:rsid w:val="00F812EB"/>
    <w:rsid w:val="00F827BE"/>
    <w:rsid w:val="00F82962"/>
    <w:rsid w:val="00F83135"/>
    <w:rsid w:val="00F8464C"/>
    <w:rsid w:val="00F850AB"/>
    <w:rsid w:val="00F850DF"/>
    <w:rsid w:val="00F8540F"/>
    <w:rsid w:val="00F90612"/>
    <w:rsid w:val="00F91EF5"/>
    <w:rsid w:val="00F932B5"/>
    <w:rsid w:val="00F93A51"/>
    <w:rsid w:val="00F9401B"/>
    <w:rsid w:val="00F94219"/>
    <w:rsid w:val="00F96FC6"/>
    <w:rsid w:val="00FA3837"/>
    <w:rsid w:val="00FA6DE5"/>
    <w:rsid w:val="00FB251C"/>
    <w:rsid w:val="00FB28E0"/>
    <w:rsid w:val="00FB44D6"/>
    <w:rsid w:val="00FB57E9"/>
    <w:rsid w:val="00FB5EE7"/>
    <w:rsid w:val="00FC384A"/>
    <w:rsid w:val="00FC57F9"/>
    <w:rsid w:val="00FC61E8"/>
    <w:rsid w:val="00FC7535"/>
    <w:rsid w:val="00FD2106"/>
    <w:rsid w:val="00FD30D1"/>
    <w:rsid w:val="00FD37E2"/>
    <w:rsid w:val="00FD3C70"/>
    <w:rsid w:val="00FD578C"/>
    <w:rsid w:val="00FD6480"/>
    <w:rsid w:val="00FE06BA"/>
    <w:rsid w:val="00FE3FCD"/>
    <w:rsid w:val="00FE63A4"/>
    <w:rsid w:val="00FE642F"/>
    <w:rsid w:val="00FE6F6B"/>
    <w:rsid w:val="00FF21F9"/>
    <w:rsid w:val="00FF2428"/>
    <w:rsid w:val="00FF2569"/>
    <w:rsid w:val="00FF2A71"/>
    <w:rsid w:val="00FF2D85"/>
    <w:rsid w:val="00FF4E81"/>
    <w:rsid w:val="00FF55A6"/>
    <w:rsid w:val="00FF624B"/>
    <w:rsid w:val="00FF6D6C"/>
    <w:rsid w:val="00FF741B"/>
    <w:rsid w:val="00FF7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739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qFormat="1"/>
    <w:lsdException w:name="caption" w:uiPriority="0" w:qFormat="1"/>
    <w:lsdException w:name="table of figures" w:qFormat="1"/>
    <w:lsdException w:name="List Bullet" w:uiPriority="0" w:qFormat="1"/>
    <w:lsdException w:name="List Number" w:qFormat="1"/>
    <w:lsdException w:name="List Bullet 2" w:uiPriority="0" w:qFormat="1"/>
    <w:lsdException w:name="List Bullet 3" w:uiPriority="0" w:qFormat="1"/>
    <w:lsdException w:name="List Number 2" w:qFormat="1"/>
    <w:lsdException w:name="List Number 3" w:qFormat="1"/>
    <w:lsdException w:name="List Number 4"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2E"/>
    <w:rPr>
      <w:sz w:val="20"/>
    </w:rPr>
  </w:style>
  <w:style w:type="paragraph" w:styleId="Heading1">
    <w:name w:val="heading 1"/>
    <w:aliases w:val="1 NoNum"/>
    <w:next w:val="bt"/>
    <w:link w:val="Heading1Char"/>
    <w:qFormat/>
    <w:rsid w:val="003579E0"/>
    <w:pPr>
      <w:keepNext/>
      <w:tabs>
        <w:tab w:val="left" w:pos="851"/>
      </w:tabs>
      <w:spacing w:after="360" w:line="240" w:lineRule="auto"/>
      <w:outlineLvl w:val="0"/>
    </w:pPr>
    <w:rPr>
      <w:rFonts w:ascii="Calibri" w:eastAsia="Times New Roman" w:hAnsi="Calibri" w:cs="Times New Roman"/>
      <w:b/>
      <w:bCs/>
      <w:color w:val="D46613"/>
      <w:sz w:val="34"/>
      <w:szCs w:val="28"/>
    </w:rPr>
  </w:style>
  <w:style w:type="paragraph" w:styleId="Heading2">
    <w:name w:val="heading 2"/>
    <w:next w:val="bt"/>
    <w:link w:val="Heading2Char"/>
    <w:autoRedefine/>
    <w:qFormat/>
    <w:rsid w:val="002C7B4E"/>
    <w:pPr>
      <w:keepNext/>
      <w:numPr>
        <w:ilvl w:val="1"/>
        <w:numId w:val="16"/>
      </w:numPr>
      <w:tabs>
        <w:tab w:val="left" w:pos="851"/>
      </w:tabs>
      <w:spacing w:before="360" w:after="240" w:line="240" w:lineRule="auto"/>
      <w:outlineLvl w:val="1"/>
    </w:pPr>
    <w:rPr>
      <w:rFonts w:ascii="Calibri" w:eastAsia="Times New Roman" w:hAnsi="Calibri" w:cs="Arial"/>
      <w:b/>
      <w:bCs/>
      <w:iCs/>
      <w:sz w:val="28"/>
      <w:szCs w:val="28"/>
    </w:rPr>
  </w:style>
  <w:style w:type="paragraph" w:styleId="Heading3">
    <w:name w:val="heading 3"/>
    <w:next w:val="bt"/>
    <w:link w:val="Heading3Char"/>
    <w:autoRedefine/>
    <w:qFormat/>
    <w:rsid w:val="00013DAF"/>
    <w:pPr>
      <w:keepNext/>
      <w:tabs>
        <w:tab w:val="left" w:pos="900"/>
      </w:tabs>
      <w:spacing w:before="360" w:after="120" w:line="240" w:lineRule="auto"/>
      <w:outlineLvl w:val="2"/>
    </w:pPr>
    <w:rPr>
      <w:rFonts w:ascii="Calibri" w:eastAsia="Times New Roman" w:hAnsi="Calibri" w:cs="Times New Roman"/>
      <w:b/>
      <w:bCs/>
      <w:sz w:val="26"/>
      <w:szCs w:val="18"/>
    </w:rPr>
  </w:style>
  <w:style w:type="paragraph" w:styleId="Heading4">
    <w:name w:val="heading 4"/>
    <w:next w:val="bt"/>
    <w:link w:val="Heading4Char"/>
    <w:qFormat/>
    <w:rsid w:val="00564530"/>
    <w:pPr>
      <w:spacing w:before="360" w:after="240" w:line="240" w:lineRule="auto"/>
      <w:outlineLvl w:val="3"/>
    </w:pPr>
    <w:rPr>
      <w:rFonts w:eastAsia="Times New Roman" w:cs="Times New Roman"/>
      <w:bCs/>
      <w:sz w:val="2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link w:val="btChar"/>
    <w:qFormat/>
    <w:rsid w:val="002A5AE6"/>
    <w:pPr>
      <w:spacing w:before="180" w:after="240" w:line="270" w:lineRule="exact"/>
    </w:pPr>
    <w:rPr>
      <w:rFonts w:ascii="Calibri" w:eastAsia="Times New Roman" w:hAnsi="Calibri" w:cs="Times New Roman"/>
      <w:sz w:val="20"/>
      <w:szCs w:val="24"/>
    </w:rPr>
  </w:style>
  <w:style w:type="character" w:customStyle="1" w:styleId="Heading1Char">
    <w:name w:val="Heading 1 Char"/>
    <w:aliases w:val="1 NoNum Char"/>
    <w:basedOn w:val="DefaultParagraphFont"/>
    <w:link w:val="Heading1"/>
    <w:rsid w:val="003579E0"/>
    <w:rPr>
      <w:rFonts w:ascii="Calibri" w:eastAsia="Times New Roman" w:hAnsi="Calibri" w:cs="Times New Roman"/>
      <w:b/>
      <w:bCs/>
      <w:color w:val="D46613"/>
      <w:sz w:val="34"/>
      <w:szCs w:val="28"/>
    </w:rPr>
  </w:style>
  <w:style w:type="character" w:customStyle="1" w:styleId="Heading2Char">
    <w:name w:val="Heading 2 Char"/>
    <w:basedOn w:val="DefaultParagraphFont"/>
    <w:link w:val="Heading2"/>
    <w:rsid w:val="002C7B4E"/>
    <w:rPr>
      <w:rFonts w:ascii="Calibri" w:eastAsia="Times New Roman" w:hAnsi="Calibri" w:cs="Arial"/>
      <w:b/>
      <w:bCs/>
      <w:iCs/>
      <w:sz w:val="28"/>
      <w:szCs w:val="28"/>
    </w:rPr>
  </w:style>
  <w:style w:type="character" w:customStyle="1" w:styleId="Heading3Char">
    <w:name w:val="Heading 3 Char"/>
    <w:basedOn w:val="DefaultParagraphFont"/>
    <w:link w:val="Heading3"/>
    <w:rsid w:val="00013DAF"/>
    <w:rPr>
      <w:rFonts w:ascii="Calibri" w:eastAsia="Times New Roman" w:hAnsi="Calibri" w:cs="Times New Roman"/>
      <w:b/>
      <w:bCs/>
      <w:sz w:val="26"/>
      <w:szCs w:val="18"/>
    </w:rPr>
  </w:style>
  <w:style w:type="character" w:customStyle="1" w:styleId="Heading4Char">
    <w:name w:val="Heading 4 Char"/>
    <w:basedOn w:val="DefaultParagraphFont"/>
    <w:link w:val="Heading4"/>
    <w:rsid w:val="00564530"/>
    <w:rPr>
      <w:rFonts w:eastAsia="Times New Roman" w:cs="Times New Roman"/>
      <w:bCs/>
      <w:sz w:val="28"/>
      <w:szCs w:val="16"/>
    </w:rPr>
  </w:style>
  <w:style w:type="paragraph" w:styleId="BalloonText">
    <w:name w:val="Balloon Text"/>
    <w:basedOn w:val="Normal"/>
    <w:link w:val="BalloonTextChar"/>
    <w:uiPriority w:val="99"/>
    <w:semiHidden/>
    <w:unhideWhenUsed/>
    <w:rsid w:val="00E0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62"/>
    <w:rPr>
      <w:rFonts w:ascii="Tahoma" w:hAnsi="Tahoma" w:cs="Tahoma"/>
      <w:sz w:val="16"/>
      <w:szCs w:val="16"/>
    </w:rPr>
  </w:style>
  <w:style w:type="paragraph" w:styleId="NoSpacing">
    <w:name w:val="No Spacing"/>
    <w:link w:val="NoSpacingChar"/>
    <w:uiPriority w:val="1"/>
    <w:qFormat/>
    <w:rsid w:val="00E02F62"/>
    <w:pPr>
      <w:spacing w:after="0" w:line="240" w:lineRule="auto"/>
    </w:pPr>
    <w:rPr>
      <w:lang w:val="en-US"/>
    </w:rPr>
  </w:style>
  <w:style w:type="character" w:customStyle="1" w:styleId="NoSpacingChar">
    <w:name w:val="No Spacing Char"/>
    <w:basedOn w:val="DefaultParagraphFont"/>
    <w:link w:val="NoSpacing"/>
    <w:uiPriority w:val="1"/>
    <w:rsid w:val="00E02F62"/>
    <w:rPr>
      <w:rFonts w:eastAsiaTheme="minorEastAsia"/>
      <w:lang w:val="en-US"/>
    </w:rPr>
  </w:style>
  <w:style w:type="paragraph" w:styleId="TOCHeading">
    <w:name w:val="TOC Heading"/>
    <w:basedOn w:val="Heading1"/>
    <w:next w:val="Normal"/>
    <w:uiPriority w:val="39"/>
    <w:unhideWhenUsed/>
    <w:qFormat/>
    <w:rsid w:val="00E02F62"/>
    <w:pPr>
      <w:outlineLvl w:val="9"/>
    </w:pPr>
    <w:rPr>
      <w:lang w:val="en-US"/>
    </w:rPr>
  </w:style>
  <w:style w:type="paragraph" w:styleId="Header">
    <w:name w:val="header"/>
    <w:basedOn w:val="Normal"/>
    <w:link w:val="HeaderChar"/>
    <w:unhideWhenUsed/>
    <w:rsid w:val="00E02F62"/>
    <w:pPr>
      <w:tabs>
        <w:tab w:val="center" w:pos="4513"/>
        <w:tab w:val="right" w:pos="9026"/>
      </w:tabs>
      <w:spacing w:after="0" w:line="240" w:lineRule="auto"/>
    </w:pPr>
  </w:style>
  <w:style w:type="character" w:customStyle="1" w:styleId="HeaderChar">
    <w:name w:val="Header Char"/>
    <w:basedOn w:val="DefaultParagraphFont"/>
    <w:link w:val="Header"/>
    <w:rsid w:val="00E02F62"/>
  </w:style>
  <w:style w:type="paragraph" w:styleId="Footer">
    <w:name w:val="footer"/>
    <w:basedOn w:val="Normal"/>
    <w:link w:val="FooterChar"/>
    <w:uiPriority w:val="99"/>
    <w:unhideWhenUsed/>
    <w:qFormat/>
    <w:rsid w:val="003B6C68"/>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3B6C68"/>
    <w:rPr>
      <w:sz w:val="20"/>
    </w:rPr>
  </w:style>
  <w:style w:type="paragraph" w:customStyle="1" w:styleId="btbold">
    <w:name w:val="bt_bold"/>
    <w:basedOn w:val="bt"/>
    <w:next w:val="bt"/>
    <w:qFormat/>
    <w:rsid w:val="00564530"/>
    <w:pPr>
      <w:spacing w:after="120"/>
    </w:pPr>
    <w:rPr>
      <w:b/>
    </w:rPr>
  </w:style>
  <w:style w:type="paragraph" w:customStyle="1" w:styleId="btindent">
    <w:name w:val="bt_indent"/>
    <w:basedOn w:val="bt"/>
    <w:next w:val="bt"/>
    <w:qFormat/>
    <w:rsid w:val="00F24832"/>
    <w:pPr>
      <w:spacing w:before="60" w:after="120"/>
      <w:ind w:left="709"/>
    </w:pPr>
  </w:style>
  <w:style w:type="paragraph" w:customStyle="1" w:styleId="btitalics">
    <w:name w:val="bt_italics"/>
    <w:basedOn w:val="bt"/>
    <w:next w:val="bt"/>
    <w:qFormat/>
    <w:rsid w:val="00564530"/>
    <w:rPr>
      <w:i/>
    </w:rPr>
  </w:style>
  <w:style w:type="character" w:customStyle="1" w:styleId="bt-highlighttext">
    <w:name w:val="bt-highlight text"/>
    <w:basedOn w:val="DefaultParagraphFont"/>
    <w:qFormat/>
    <w:rsid w:val="00564530"/>
    <w:rPr>
      <w:rFonts w:ascii="Calibri" w:hAnsi="Calibri"/>
      <w:color w:val="0000FF"/>
      <w:sz w:val="24"/>
      <w:lang w:eastAsia="en-US"/>
    </w:rPr>
  </w:style>
  <w:style w:type="paragraph" w:styleId="Caption">
    <w:name w:val="caption"/>
    <w:basedOn w:val="bt"/>
    <w:next w:val="bt"/>
    <w:qFormat/>
    <w:rsid w:val="00BB6A4A"/>
    <w:pPr>
      <w:keepNext/>
      <w:spacing w:before="0" w:after="0" w:line="240" w:lineRule="auto"/>
      <w:ind w:left="28" w:hanging="28"/>
    </w:pPr>
    <w:rPr>
      <w:rFonts w:asciiTheme="minorHAnsi" w:hAnsiTheme="minorHAnsi" w:cstheme="minorHAnsi"/>
      <w:bCs/>
      <w:i/>
      <w:color w:val="000000" w:themeColor="text1"/>
      <w:szCs w:val="20"/>
    </w:rPr>
  </w:style>
  <w:style w:type="paragraph" w:styleId="CommentText">
    <w:name w:val="annotation text"/>
    <w:basedOn w:val="Normal"/>
    <w:link w:val="CommentTextChar"/>
    <w:rsid w:val="00564530"/>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rsid w:val="00564530"/>
    <w:rPr>
      <w:rFonts w:ascii="Arial" w:eastAsia="Times New Roman" w:hAnsi="Arial" w:cs="Times New Roman"/>
      <w:sz w:val="20"/>
      <w:szCs w:val="20"/>
      <w:lang w:eastAsia="en-AU"/>
    </w:rPr>
  </w:style>
  <w:style w:type="character" w:styleId="Emphasis">
    <w:name w:val="Emphasis"/>
    <w:basedOn w:val="DefaultParagraphFont"/>
    <w:qFormat/>
    <w:rsid w:val="004D781F"/>
    <w:rPr>
      <w:rFonts w:ascii="Calibri" w:hAnsi="Calibri"/>
      <w:i/>
      <w:iCs/>
      <w:sz w:val="20"/>
    </w:rPr>
  </w:style>
  <w:style w:type="paragraph" w:customStyle="1" w:styleId="Heading11">
    <w:name w:val="Heading 1_1"/>
    <w:basedOn w:val="Heading1"/>
    <w:next w:val="bt"/>
    <w:qFormat/>
    <w:rsid w:val="00BA1934"/>
    <w:pPr>
      <w:numPr>
        <w:numId w:val="16"/>
      </w:numPr>
      <w:tabs>
        <w:tab w:val="clear" w:pos="851"/>
      </w:tabs>
      <w:spacing w:after="240"/>
    </w:pPr>
    <w:rPr>
      <w:color w:val="auto"/>
    </w:rPr>
  </w:style>
  <w:style w:type="paragraph" w:customStyle="1" w:styleId="Heading2nonum">
    <w:name w:val="Heading 2_no num"/>
    <w:basedOn w:val="Heading2"/>
    <w:next w:val="bt"/>
    <w:qFormat/>
    <w:rsid w:val="00564530"/>
    <w:pPr>
      <w:numPr>
        <w:ilvl w:val="0"/>
        <w:numId w:val="0"/>
      </w:numPr>
    </w:pPr>
    <w:rPr>
      <w:b w:val="0"/>
      <w:lang w:eastAsia="en-US"/>
    </w:rPr>
  </w:style>
  <w:style w:type="paragraph" w:styleId="ListBullet">
    <w:name w:val="List Bullet"/>
    <w:basedOn w:val="bt"/>
    <w:qFormat/>
    <w:rsid w:val="001A3FCF"/>
    <w:pPr>
      <w:numPr>
        <w:numId w:val="5"/>
      </w:numPr>
      <w:spacing w:before="60" w:after="120"/>
    </w:pPr>
  </w:style>
  <w:style w:type="paragraph" w:styleId="ListBullet2">
    <w:name w:val="List Bullet 2"/>
    <w:basedOn w:val="bt"/>
    <w:qFormat/>
    <w:rsid w:val="00961D6F"/>
    <w:pPr>
      <w:numPr>
        <w:numId w:val="1"/>
      </w:numPr>
      <w:tabs>
        <w:tab w:val="clear" w:pos="851"/>
        <w:tab w:val="num" w:pos="1134"/>
      </w:tabs>
      <w:ind w:left="1134" w:hanging="283"/>
    </w:pPr>
  </w:style>
  <w:style w:type="paragraph" w:styleId="ListBullet3">
    <w:name w:val="List Bullet 3"/>
    <w:basedOn w:val="bt"/>
    <w:qFormat/>
    <w:rsid w:val="00961D6F"/>
    <w:pPr>
      <w:numPr>
        <w:numId w:val="2"/>
      </w:numPr>
      <w:tabs>
        <w:tab w:val="clear" w:pos="1077"/>
        <w:tab w:val="num" w:pos="1418"/>
      </w:tabs>
      <w:ind w:left="1418" w:hanging="284"/>
    </w:pPr>
  </w:style>
  <w:style w:type="paragraph" w:styleId="ListContinue">
    <w:name w:val="List Continue"/>
    <w:basedOn w:val="Normal"/>
    <w:qFormat/>
    <w:rsid w:val="00564530"/>
    <w:pPr>
      <w:spacing w:after="120" w:line="240" w:lineRule="auto"/>
      <w:ind w:left="283"/>
    </w:pPr>
    <w:rPr>
      <w:rFonts w:ascii="Arial" w:eastAsia="Times New Roman" w:hAnsi="Arial" w:cs="Times New Roman"/>
      <w:szCs w:val="24"/>
    </w:rPr>
  </w:style>
  <w:style w:type="paragraph" w:styleId="ListContinue2">
    <w:name w:val="List Continue 2"/>
    <w:basedOn w:val="Normal"/>
    <w:qFormat/>
    <w:rsid w:val="00564530"/>
    <w:pPr>
      <w:spacing w:after="120" w:line="240" w:lineRule="auto"/>
      <w:ind w:left="566"/>
    </w:pPr>
    <w:rPr>
      <w:rFonts w:ascii="Arial" w:eastAsia="Times New Roman" w:hAnsi="Arial" w:cs="Times New Roman"/>
      <w:szCs w:val="24"/>
    </w:rPr>
  </w:style>
  <w:style w:type="paragraph" w:styleId="ListContinue3">
    <w:name w:val="List Continue 3"/>
    <w:basedOn w:val="Normal"/>
    <w:qFormat/>
    <w:rsid w:val="00564530"/>
    <w:pPr>
      <w:spacing w:after="120" w:line="240" w:lineRule="auto"/>
      <w:ind w:left="849"/>
    </w:pPr>
    <w:rPr>
      <w:rFonts w:ascii="Arial" w:eastAsia="Times New Roman" w:hAnsi="Arial" w:cs="Times New Roman"/>
      <w:szCs w:val="24"/>
    </w:rPr>
  </w:style>
  <w:style w:type="character" w:styleId="Strong">
    <w:name w:val="Strong"/>
    <w:basedOn w:val="DefaultParagraphFont"/>
    <w:qFormat/>
    <w:rsid w:val="00564530"/>
    <w:rPr>
      <w:rFonts w:ascii="Calibri" w:hAnsi="Calibri"/>
      <w:b/>
      <w:bCs/>
    </w:rPr>
  </w:style>
  <w:style w:type="paragraph" w:customStyle="1" w:styleId="Tabletext">
    <w:name w:val="Table text"/>
    <w:basedOn w:val="bt"/>
    <w:autoRedefine/>
    <w:qFormat/>
    <w:rsid w:val="00AB6BB3"/>
    <w:pPr>
      <w:spacing w:before="0" w:after="0" w:line="276" w:lineRule="auto"/>
      <w:ind w:right="-108"/>
    </w:pPr>
    <w:rPr>
      <w:rFonts w:ascii="Arial Narrow" w:hAnsi="Arial Narrow"/>
      <w:szCs w:val="20"/>
    </w:rPr>
  </w:style>
  <w:style w:type="paragraph" w:customStyle="1" w:styleId="TabletextBold">
    <w:name w:val="Table text Bold"/>
    <w:basedOn w:val="Tabletext"/>
    <w:next w:val="Tabletext"/>
    <w:qFormat/>
    <w:rsid w:val="00564530"/>
    <w:rPr>
      <w:b/>
      <w:bCs/>
    </w:rPr>
  </w:style>
  <w:style w:type="paragraph" w:customStyle="1" w:styleId="tabletextbullet">
    <w:name w:val="table text bullet"/>
    <w:basedOn w:val="Normal"/>
    <w:qFormat/>
    <w:rsid w:val="00564530"/>
    <w:pPr>
      <w:numPr>
        <w:numId w:val="3"/>
      </w:numPr>
      <w:spacing w:before="60" w:after="60" w:line="270" w:lineRule="exact"/>
      <w:jc w:val="both"/>
    </w:pPr>
    <w:rPr>
      <w:rFonts w:ascii="Calibri" w:eastAsia="Times New Roman" w:hAnsi="Calibri" w:cs="Times New Roman"/>
      <w:szCs w:val="20"/>
    </w:rPr>
  </w:style>
  <w:style w:type="paragraph" w:customStyle="1" w:styleId="tableheaderrow">
    <w:name w:val="table_header row"/>
    <w:basedOn w:val="Tabletext"/>
    <w:qFormat/>
    <w:rsid w:val="001914E8"/>
    <w:rPr>
      <w:b/>
    </w:rPr>
  </w:style>
  <w:style w:type="paragraph" w:styleId="IntenseQuote">
    <w:name w:val="Intense Quote"/>
    <w:basedOn w:val="bt"/>
    <w:next w:val="bt"/>
    <w:link w:val="IntenseQuoteChar"/>
    <w:autoRedefine/>
    <w:uiPriority w:val="30"/>
    <w:qFormat/>
    <w:rsid w:val="009320D2"/>
    <w:pPr>
      <w:pBdr>
        <w:bottom w:val="single" w:sz="4" w:space="4" w:color="76923C" w:themeColor="accent3" w:themeShade="BF"/>
      </w:pBdr>
      <w:spacing w:before="200" w:after="280"/>
      <w:ind w:left="936" w:right="936"/>
    </w:pPr>
    <w:rPr>
      <w:bCs/>
      <w:i/>
      <w:iCs/>
      <w:color w:val="404040" w:themeColor="text1" w:themeTint="BF"/>
    </w:rPr>
  </w:style>
  <w:style w:type="character" w:customStyle="1" w:styleId="IntenseQuoteChar">
    <w:name w:val="Intense Quote Char"/>
    <w:basedOn w:val="DefaultParagraphFont"/>
    <w:link w:val="IntenseQuote"/>
    <w:uiPriority w:val="30"/>
    <w:rsid w:val="009320D2"/>
    <w:rPr>
      <w:rFonts w:ascii="Calibri" w:eastAsia="Times New Roman" w:hAnsi="Calibri" w:cs="Times New Roman"/>
      <w:bCs/>
      <w:i/>
      <w:iCs/>
      <w:color w:val="404040" w:themeColor="text1" w:themeTint="BF"/>
      <w:sz w:val="24"/>
      <w:szCs w:val="24"/>
      <w:lang w:eastAsia="en-AU"/>
    </w:rPr>
  </w:style>
  <w:style w:type="paragraph" w:customStyle="1" w:styleId="btbullet">
    <w:name w:val="bt_bullet"/>
    <w:basedOn w:val="bt"/>
    <w:qFormat/>
    <w:rsid w:val="008B7F2D"/>
    <w:pPr>
      <w:numPr>
        <w:numId w:val="4"/>
      </w:numPr>
      <w:spacing w:before="60" w:after="60" w:line="264" w:lineRule="auto"/>
      <w:ind w:left="714" w:hanging="357"/>
    </w:pPr>
  </w:style>
  <w:style w:type="table" w:styleId="TableGrid">
    <w:name w:val="Table Grid"/>
    <w:basedOn w:val="TableNormal"/>
    <w:uiPriority w:val="59"/>
    <w:rsid w:val="002F1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2F16A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1914E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1914E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IntenseEmphasis">
    <w:name w:val="Intense Emphasis"/>
    <w:basedOn w:val="DefaultParagraphFont"/>
    <w:uiPriority w:val="21"/>
    <w:qFormat/>
    <w:rsid w:val="00FF741B"/>
    <w:rPr>
      <w:b/>
      <w:bCs/>
      <w:i/>
      <w:iCs/>
      <w:color w:val="262626" w:themeColor="text1" w:themeTint="D9"/>
    </w:rPr>
  </w:style>
  <w:style w:type="paragraph" w:customStyle="1" w:styleId="source">
    <w:name w:val="source"/>
    <w:basedOn w:val="bt"/>
    <w:next w:val="bt"/>
    <w:qFormat/>
    <w:rsid w:val="00D3176B"/>
    <w:pPr>
      <w:spacing w:before="0" w:after="0" w:line="240" w:lineRule="auto"/>
    </w:pPr>
    <w:rPr>
      <w:rFonts w:asciiTheme="minorHAnsi" w:hAnsiTheme="minorHAnsi"/>
      <w:i/>
      <w:sz w:val="18"/>
    </w:rPr>
  </w:style>
  <w:style w:type="paragraph" w:styleId="TOC1">
    <w:name w:val="toc 1"/>
    <w:basedOn w:val="Normal"/>
    <w:next w:val="Normal"/>
    <w:autoRedefine/>
    <w:uiPriority w:val="39"/>
    <w:unhideWhenUsed/>
    <w:qFormat/>
    <w:rsid w:val="00CF4C6D"/>
    <w:pPr>
      <w:tabs>
        <w:tab w:val="left" w:pos="284"/>
        <w:tab w:val="left" w:pos="851"/>
        <w:tab w:val="left" w:pos="1540"/>
        <w:tab w:val="right" w:leader="dot" w:pos="9016"/>
      </w:tabs>
      <w:spacing w:before="80" w:after="80" w:line="240" w:lineRule="auto"/>
    </w:pPr>
    <w:rPr>
      <w:sz w:val="22"/>
    </w:rPr>
  </w:style>
  <w:style w:type="paragraph" w:styleId="TOC2">
    <w:name w:val="toc 2"/>
    <w:basedOn w:val="Normal"/>
    <w:next w:val="Normal"/>
    <w:autoRedefine/>
    <w:uiPriority w:val="39"/>
    <w:unhideWhenUsed/>
    <w:qFormat/>
    <w:rsid w:val="00CF4C6D"/>
    <w:pPr>
      <w:tabs>
        <w:tab w:val="left" w:pos="567"/>
        <w:tab w:val="left" w:pos="993"/>
        <w:tab w:val="right" w:leader="dot" w:pos="9016"/>
      </w:tabs>
      <w:spacing w:before="80" w:after="80" w:line="240" w:lineRule="auto"/>
      <w:ind w:left="567"/>
    </w:pPr>
  </w:style>
  <w:style w:type="character" w:styleId="Hyperlink">
    <w:name w:val="Hyperlink"/>
    <w:basedOn w:val="DefaultParagraphFont"/>
    <w:uiPriority w:val="99"/>
    <w:unhideWhenUsed/>
    <w:rsid w:val="007E5259"/>
    <w:rPr>
      <w:color w:val="0000FF" w:themeColor="hyperlink"/>
      <w:u w:val="single"/>
    </w:rPr>
  </w:style>
  <w:style w:type="paragraph" w:styleId="TableofFigures">
    <w:name w:val="table of figures"/>
    <w:basedOn w:val="Normal"/>
    <w:next w:val="Normal"/>
    <w:uiPriority w:val="99"/>
    <w:unhideWhenUsed/>
    <w:qFormat/>
    <w:rsid w:val="00CF4C6D"/>
    <w:pPr>
      <w:spacing w:before="80" w:after="80" w:line="240" w:lineRule="auto"/>
    </w:pPr>
  </w:style>
  <w:style w:type="paragraph" w:styleId="Title">
    <w:name w:val="Title"/>
    <w:basedOn w:val="bt"/>
    <w:next w:val="Subtitle"/>
    <w:link w:val="TitleChar"/>
    <w:uiPriority w:val="10"/>
    <w:qFormat/>
    <w:rsid w:val="00C8557A"/>
    <w:pPr>
      <w:spacing w:after="300" w:line="240" w:lineRule="auto"/>
      <w:contextualSpacing/>
    </w:pPr>
    <w:rPr>
      <w:rFonts w:eastAsiaTheme="majorEastAsia" w:cstheme="majorBidi"/>
      <w:spacing w:val="5"/>
      <w:kern w:val="28"/>
      <w:sz w:val="52"/>
      <w:szCs w:val="52"/>
    </w:rPr>
  </w:style>
  <w:style w:type="paragraph" w:styleId="Subtitle">
    <w:name w:val="Subtitle"/>
    <w:basedOn w:val="bt"/>
    <w:next w:val="bt"/>
    <w:link w:val="SubtitleChar"/>
    <w:uiPriority w:val="11"/>
    <w:qFormat/>
    <w:rsid w:val="00E93DDE"/>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E93DDE"/>
    <w:rPr>
      <w:rFonts w:ascii="Calibri" w:eastAsiaTheme="majorEastAsia" w:hAnsi="Calibri" w:cstheme="majorBidi"/>
      <w:i/>
      <w:iCs/>
      <w:spacing w:val="15"/>
      <w:sz w:val="24"/>
      <w:szCs w:val="24"/>
      <w:lang w:eastAsia="en-AU"/>
    </w:rPr>
  </w:style>
  <w:style w:type="character" w:customStyle="1" w:styleId="TitleChar">
    <w:name w:val="Title Char"/>
    <w:basedOn w:val="DefaultParagraphFont"/>
    <w:link w:val="Title"/>
    <w:uiPriority w:val="10"/>
    <w:rsid w:val="00C8557A"/>
    <w:rPr>
      <w:rFonts w:ascii="Calibri" w:eastAsiaTheme="majorEastAsia" w:hAnsi="Calibri" w:cstheme="majorBidi"/>
      <w:spacing w:val="5"/>
      <w:kern w:val="28"/>
      <w:sz w:val="52"/>
      <w:szCs w:val="52"/>
      <w:lang w:eastAsia="en-AU"/>
    </w:rPr>
  </w:style>
  <w:style w:type="paragraph" w:styleId="TOC3">
    <w:name w:val="toc 3"/>
    <w:basedOn w:val="Normal"/>
    <w:next w:val="Normal"/>
    <w:autoRedefine/>
    <w:uiPriority w:val="39"/>
    <w:unhideWhenUsed/>
    <w:qFormat/>
    <w:rsid w:val="00CF4C6D"/>
    <w:pPr>
      <w:tabs>
        <w:tab w:val="left" w:pos="1760"/>
        <w:tab w:val="right" w:leader="dot" w:pos="9016"/>
      </w:tabs>
      <w:spacing w:before="80" w:after="80" w:line="240" w:lineRule="auto"/>
      <w:ind w:left="851"/>
    </w:pPr>
    <w:rPr>
      <w:noProof/>
    </w:rPr>
  </w:style>
  <w:style w:type="table" w:styleId="MediumShading1-Accent3">
    <w:name w:val="Medium Shading 1 Accent 3"/>
    <w:basedOn w:val="TableNormal"/>
    <w:uiPriority w:val="63"/>
    <w:rsid w:val="00AB116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D500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FollowedHyperlink">
    <w:name w:val="FollowedHyperlink"/>
    <w:basedOn w:val="DefaultParagraphFont"/>
    <w:uiPriority w:val="99"/>
    <w:semiHidden/>
    <w:unhideWhenUsed/>
    <w:rsid w:val="0045654E"/>
    <w:rPr>
      <w:color w:val="800080" w:themeColor="followedHyperlink"/>
      <w:u w:val="single"/>
    </w:rPr>
  </w:style>
  <w:style w:type="paragraph" w:customStyle="1" w:styleId="btpicture">
    <w:name w:val="bt_picture"/>
    <w:basedOn w:val="bt"/>
    <w:next w:val="bt"/>
    <w:qFormat/>
    <w:rsid w:val="00217C6E"/>
    <w:pPr>
      <w:spacing w:after="0" w:line="240" w:lineRule="auto"/>
    </w:pPr>
    <w:rPr>
      <w:sz w:val="18"/>
    </w:rPr>
  </w:style>
  <w:style w:type="paragraph" w:styleId="FootnoteText">
    <w:name w:val="footnote text"/>
    <w:basedOn w:val="Normal"/>
    <w:link w:val="FootnoteTextChar"/>
    <w:uiPriority w:val="99"/>
    <w:unhideWhenUsed/>
    <w:qFormat/>
    <w:rsid w:val="006A5C1C"/>
    <w:pPr>
      <w:spacing w:after="0" w:line="240" w:lineRule="auto"/>
    </w:pPr>
    <w:rPr>
      <w:sz w:val="16"/>
      <w:szCs w:val="20"/>
      <w:lang w:val="en-US"/>
    </w:rPr>
  </w:style>
  <w:style w:type="character" w:customStyle="1" w:styleId="FootnoteTextChar">
    <w:name w:val="Footnote Text Char"/>
    <w:basedOn w:val="DefaultParagraphFont"/>
    <w:link w:val="FootnoteText"/>
    <w:uiPriority w:val="99"/>
    <w:rsid w:val="006A5C1C"/>
    <w:rPr>
      <w:sz w:val="16"/>
      <w:szCs w:val="20"/>
      <w:lang w:val="en-US"/>
    </w:rPr>
  </w:style>
  <w:style w:type="character" w:styleId="SubtleEmphasis">
    <w:name w:val="Subtle Emphasis"/>
    <w:basedOn w:val="DefaultParagraphFont"/>
    <w:uiPriority w:val="19"/>
    <w:qFormat/>
    <w:rsid w:val="00DD1150"/>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DD1150"/>
    <w:pPr>
      <w:spacing w:after="0" w:line="240" w:lineRule="auto"/>
    </w:pPr>
    <w:rPr>
      <w:color w:val="365F91" w:themeColor="accent1" w:themeShade="BF"/>
      <w:lang w:val="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Quote">
    <w:name w:val="Quote"/>
    <w:basedOn w:val="Normal"/>
    <w:next w:val="Normal"/>
    <w:link w:val="QuoteChar"/>
    <w:uiPriority w:val="29"/>
    <w:qFormat/>
    <w:rsid w:val="00803BD6"/>
    <w:rPr>
      <w:i/>
      <w:iCs/>
      <w:color w:val="000000" w:themeColor="text1"/>
    </w:rPr>
  </w:style>
  <w:style w:type="character" w:customStyle="1" w:styleId="QuoteChar">
    <w:name w:val="Quote Char"/>
    <w:basedOn w:val="DefaultParagraphFont"/>
    <w:link w:val="Quote"/>
    <w:uiPriority w:val="29"/>
    <w:rsid w:val="00803BD6"/>
    <w:rPr>
      <w:i/>
      <w:iCs/>
      <w:color w:val="000000" w:themeColor="text1"/>
    </w:rPr>
  </w:style>
  <w:style w:type="paragraph" w:styleId="ListParagraph">
    <w:name w:val="List Paragraph"/>
    <w:basedOn w:val="Normal"/>
    <w:uiPriority w:val="34"/>
    <w:qFormat/>
    <w:rsid w:val="00803BD6"/>
    <w:pPr>
      <w:ind w:left="720"/>
      <w:contextualSpacing/>
    </w:pPr>
  </w:style>
  <w:style w:type="character" w:styleId="SubtleReference">
    <w:name w:val="Subtle Reference"/>
    <w:basedOn w:val="DefaultParagraphFont"/>
    <w:uiPriority w:val="31"/>
    <w:qFormat/>
    <w:rsid w:val="00803BD6"/>
    <w:rPr>
      <w:smallCaps/>
      <w:color w:val="C0504D" w:themeColor="accent2"/>
      <w:u w:val="single"/>
    </w:rPr>
  </w:style>
  <w:style w:type="character" w:styleId="IntenseReference">
    <w:name w:val="Intense Reference"/>
    <w:basedOn w:val="DefaultParagraphFont"/>
    <w:uiPriority w:val="32"/>
    <w:qFormat/>
    <w:rsid w:val="00803BD6"/>
    <w:rPr>
      <w:b/>
      <w:bCs/>
      <w:smallCaps/>
      <w:color w:val="C0504D" w:themeColor="accent2"/>
      <w:spacing w:val="5"/>
      <w:u w:val="single"/>
    </w:rPr>
  </w:style>
  <w:style w:type="table" w:styleId="LightShading-Accent5">
    <w:name w:val="Light Shading Accent 5"/>
    <w:basedOn w:val="TableNormal"/>
    <w:uiPriority w:val="60"/>
    <w:rsid w:val="00803BD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803B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803BD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4">
    <w:name w:val="Light Shading Accent 4"/>
    <w:basedOn w:val="TableNormal"/>
    <w:uiPriority w:val="60"/>
    <w:rsid w:val="00803BD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803BD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Number">
    <w:name w:val="List Number"/>
    <w:basedOn w:val="bt"/>
    <w:uiPriority w:val="99"/>
    <w:unhideWhenUsed/>
    <w:qFormat/>
    <w:rsid w:val="00E66D1C"/>
    <w:pPr>
      <w:numPr>
        <w:numId w:val="6"/>
      </w:numPr>
      <w:tabs>
        <w:tab w:val="clear" w:pos="360"/>
        <w:tab w:val="num" w:pos="851"/>
      </w:tabs>
      <w:ind w:left="851" w:hanging="284"/>
      <w:contextualSpacing/>
    </w:pPr>
  </w:style>
  <w:style w:type="paragraph" w:styleId="ListNumber2">
    <w:name w:val="List Number 2"/>
    <w:basedOn w:val="bt"/>
    <w:uiPriority w:val="99"/>
    <w:unhideWhenUsed/>
    <w:qFormat/>
    <w:rsid w:val="00E66D1C"/>
    <w:pPr>
      <w:numPr>
        <w:numId w:val="7"/>
      </w:numPr>
      <w:tabs>
        <w:tab w:val="clear" w:pos="643"/>
        <w:tab w:val="num" w:pos="1134"/>
      </w:tabs>
      <w:ind w:left="1134" w:hanging="283"/>
      <w:contextualSpacing/>
    </w:pPr>
  </w:style>
  <w:style w:type="paragraph" w:styleId="ListNumber3">
    <w:name w:val="List Number 3"/>
    <w:basedOn w:val="bt"/>
    <w:uiPriority w:val="99"/>
    <w:unhideWhenUsed/>
    <w:qFormat/>
    <w:rsid w:val="00E66D1C"/>
    <w:pPr>
      <w:numPr>
        <w:numId w:val="8"/>
      </w:numPr>
      <w:tabs>
        <w:tab w:val="clear" w:pos="926"/>
        <w:tab w:val="num" w:pos="1418"/>
      </w:tabs>
      <w:ind w:left="1418" w:hanging="284"/>
      <w:contextualSpacing/>
    </w:pPr>
  </w:style>
  <w:style w:type="paragraph" w:styleId="ListNumber4">
    <w:name w:val="List Number 4"/>
    <w:basedOn w:val="bt"/>
    <w:uiPriority w:val="99"/>
    <w:unhideWhenUsed/>
    <w:qFormat/>
    <w:rsid w:val="00E66D1C"/>
    <w:pPr>
      <w:numPr>
        <w:numId w:val="9"/>
      </w:numPr>
      <w:tabs>
        <w:tab w:val="clear" w:pos="1209"/>
        <w:tab w:val="left" w:pos="1701"/>
      </w:tabs>
      <w:ind w:left="1701" w:hanging="283"/>
      <w:contextualSpacing/>
    </w:pPr>
  </w:style>
  <w:style w:type="table" w:customStyle="1" w:styleId="MediumGrid31">
    <w:name w:val="Medium Grid 31"/>
    <w:basedOn w:val="TableNormal"/>
    <w:uiPriority w:val="69"/>
    <w:rsid w:val="00E66D1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Accent5">
    <w:name w:val="Medium Shading 1 Accent 5"/>
    <w:basedOn w:val="TableNormal"/>
    <w:uiPriority w:val="63"/>
    <w:rsid w:val="00E66D1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bttextbox">
    <w:name w:val="bt_textbox"/>
    <w:basedOn w:val="bt"/>
    <w:qFormat/>
    <w:rsid w:val="00F379BE"/>
  </w:style>
  <w:style w:type="paragraph" w:customStyle="1" w:styleId="Default">
    <w:name w:val="Default"/>
    <w:rsid w:val="00A14432"/>
    <w:pPr>
      <w:autoSpaceDE w:val="0"/>
      <w:autoSpaceDN w:val="0"/>
      <w:adjustRightInd w:val="0"/>
      <w:spacing w:after="0" w:line="240" w:lineRule="auto"/>
    </w:pPr>
    <w:rPr>
      <w:rFonts w:ascii="DIN" w:hAnsi="DIN" w:cs="DIN"/>
      <w:color w:val="000000"/>
      <w:sz w:val="24"/>
      <w:szCs w:val="24"/>
    </w:rPr>
  </w:style>
  <w:style w:type="paragraph" w:styleId="TOC4">
    <w:name w:val="toc 4"/>
    <w:basedOn w:val="Normal"/>
    <w:next w:val="Normal"/>
    <w:autoRedefine/>
    <w:uiPriority w:val="39"/>
    <w:unhideWhenUsed/>
    <w:rsid w:val="00032955"/>
    <w:pPr>
      <w:spacing w:after="100"/>
      <w:ind w:left="660"/>
    </w:pPr>
  </w:style>
  <w:style w:type="paragraph" w:styleId="TOC5">
    <w:name w:val="toc 5"/>
    <w:basedOn w:val="Normal"/>
    <w:next w:val="Normal"/>
    <w:autoRedefine/>
    <w:uiPriority w:val="39"/>
    <w:unhideWhenUsed/>
    <w:rsid w:val="00032955"/>
    <w:pPr>
      <w:spacing w:after="100"/>
      <w:ind w:left="880"/>
    </w:pPr>
  </w:style>
  <w:style w:type="paragraph" w:styleId="TOC6">
    <w:name w:val="toc 6"/>
    <w:basedOn w:val="Normal"/>
    <w:next w:val="Normal"/>
    <w:autoRedefine/>
    <w:uiPriority w:val="39"/>
    <w:unhideWhenUsed/>
    <w:rsid w:val="00032955"/>
    <w:pPr>
      <w:spacing w:after="100"/>
      <w:ind w:left="1100"/>
    </w:pPr>
  </w:style>
  <w:style w:type="paragraph" w:styleId="TOC7">
    <w:name w:val="toc 7"/>
    <w:basedOn w:val="Normal"/>
    <w:next w:val="Normal"/>
    <w:autoRedefine/>
    <w:uiPriority w:val="39"/>
    <w:unhideWhenUsed/>
    <w:rsid w:val="00032955"/>
    <w:pPr>
      <w:spacing w:after="100"/>
      <w:ind w:left="1320"/>
    </w:pPr>
  </w:style>
  <w:style w:type="paragraph" w:styleId="TOC8">
    <w:name w:val="toc 8"/>
    <w:basedOn w:val="Normal"/>
    <w:next w:val="Normal"/>
    <w:autoRedefine/>
    <w:uiPriority w:val="39"/>
    <w:unhideWhenUsed/>
    <w:rsid w:val="00032955"/>
    <w:pPr>
      <w:spacing w:after="100"/>
      <w:ind w:left="1540"/>
    </w:pPr>
  </w:style>
  <w:style w:type="paragraph" w:styleId="TOC9">
    <w:name w:val="toc 9"/>
    <w:basedOn w:val="Normal"/>
    <w:next w:val="Normal"/>
    <w:autoRedefine/>
    <w:uiPriority w:val="39"/>
    <w:unhideWhenUsed/>
    <w:rsid w:val="00032955"/>
    <w:pPr>
      <w:spacing w:after="100"/>
      <w:ind w:left="1760"/>
    </w:pPr>
  </w:style>
  <w:style w:type="paragraph" w:styleId="NormalWeb">
    <w:name w:val="Normal (Web)"/>
    <w:basedOn w:val="Normal"/>
    <w:uiPriority w:val="99"/>
    <w:semiHidden/>
    <w:unhideWhenUsed/>
    <w:rsid w:val="00842BD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07C7"/>
    <w:rPr>
      <w:sz w:val="16"/>
      <w:szCs w:val="16"/>
    </w:rPr>
  </w:style>
  <w:style w:type="paragraph" w:styleId="CommentSubject">
    <w:name w:val="annotation subject"/>
    <w:basedOn w:val="CommentText"/>
    <w:next w:val="CommentText"/>
    <w:link w:val="CommentSubjectChar"/>
    <w:uiPriority w:val="99"/>
    <w:semiHidden/>
    <w:unhideWhenUsed/>
    <w:rsid w:val="00B67FA4"/>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67FA4"/>
    <w:rPr>
      <w:rFonts w:ascii="Arial" w:eastAsia="Times New Roman" w:hAnsi="Arial" w:cs="Times New Roman"/>
      <w:b/>
      <w:bCs/>
      <w:sz w:val="20"/>
      <w:szCs w:val="20"/>
      <w:lang w:eastAsia="en-AU"/>
    </w:rPr>
  </w:style>
  <w:style w:type="character" w:styleId="PlaceholderText">
    <w:name w:val="Placeholder Text"/>
    <w:basedOn w:val="DefaultParagraphFont"/>
    <w:uiPriority w:val="99"/>
    <w:semiHidden/>
    <w:rsid w:val="00C643C6"/>
    <w:rPr>
      <w:color w:val="808080"/>
    </w:rPr>
  </w:style>
  <w:style w:type="character" w:styleId="FootnoteReference">
    <w:name w:val="footnote reference"/>
    <w:aliases w:val="o,(NECG) Footnote Reference"/>
    <w:basedOn w:val="DefaultParagraphFont"/>
    <w:uiPriority w:val="99"/>
    <w:unhideWhenUsed/>
    <w:rsid w:val="00C33AD2"/>
    <w:rPr>
      <w:vertAlign w:val="superscript"/>
    </w:rPr>
  </w:style>
  <w:style w:type="paragraph" w:customStyle="1" w:styleId="Parah0number">
    <w:name w:val="Parah 0 number"/>
    <w:basedOn w:val="Normal"/>
    <w:rsid w:val="002368FB"/>
    <w:pPr>
      <w:numPr>
        <w:numId w:val="10"/>
      </w:numPr>
      <w:spacing w:after="60" w:line="240" w:lineRule="auto"/>
    </w:pPr>
    <w:rPr>
      <w:rFonts w:ascii="Arial" w:eastAsia="Times New Roman" w:hAnsi="Arial" w:cs="Times New Roman"/>
      <w:szCs w:val="20"/>
    </w:rPr>
  </w:style>
  <w:style w:type="paragraph" w:customStyle="1" w:styleId="Heading20">
    <w:name w:val="^Heading 2"/>
    <w:basedOn w:val="Heading2"/>
    <w:qFormat/>
    <w:rsid w:val="003579E0"/>
    <w:pPr>
      <w:keepLines/>
      <w:numPr>
        <w:ilvl w:val="0"/>
        <w:numId w:val="0"/>
      </w:numPr>
      <w:tabs>
        <w:tab w:val="clear" w:pos="851"/>
      </w:tabs>
      <w:spacing w:before="200" w:after="120"/>
    </w:pPr>
    <w:rPr>
      <w:rFonts w:eastAsia="MS Gothic" w:cs="Times New Roman"/>
      <w:iCs w:val="0"/>
      <w:color w:val="D46613"/>
      <w:sz w:val="26"/>
      <w:szCs w:val="26"/>
      <w:lang w:eastAsia="en-US"/>
    </w:rPr>
  </w:style>
  <w:style w:type="paragraph" w:customStyle="1" w:styleId="Sourcestyle">
    <w:name w:val="Source style"/>
    <w:basedOn w:val="Normal"/>
    <w:link w:val="SourcestyleChar"/>
    <w:qFormat/>
    <w:rsid w:val="005342DB"/>
    <w:pPr>
      <w:spacing w:after="0" w:line="240" w:lineRule="auto"/>
    </w:pPr>
    <w:rPr>
      <w:rFonts w:ascii="Calibri" w:eastAsia="MS Mincho" w:hAnsi="Calibri" w:cs="Calibri"/>
      <w:sz w:val="16"/>
      <w:szCs w:val="24"/>
    </w:rPr>
  </w:style>
  <w:style w:type="character" w:customStyle="1" w:styleId="SourcestyleChar">
    <w:name w:val="Source style Char"/>
    <w:basedOn w:val="DefaultParagraphFont"/>
    <w:link w:val="Sourcestyle"/>
    <w:rsid w:val="005342DB"/>
    <w:rPr>
      <w:rFonts w:ascii="Calibri" w:eastAsia="MS Mincho" w:hAnsi="Calibri" w:cs="Calibri"/>
      <w:sz w:val="16"/>
      <w:szCs w:val="24"/>
    </w:rPr>
  </w:style>
  <w:style w:type="paragraph" w:styleId="Revision">
    <w:name w:val="Revision"/>
    <w:hidden/>
    <w:uiPriority w:val="99"/>
    <w:semiHidden/>
    <w:rsid w:val="002E457D"/>
    <w:pPr>
      <w:spacing w:after="0" w:line="240" w:lineRule="auto"/>
    </w:pPr>
  </w:style>
  <w:style w:type="character" w:customStyle="1" w:styleId="A4">
    <w:name w:val="A4"/>
    <w:uiPriority w:val="99"/>
    <w:rsid w:val="00D839B0"/>
    <w:rPr>
      <w:rFonts w:cs="DIN"/>
      <w:color w:val="221E1F"/>
      <w:sz w:val="16"/>
      <w:szCs w:val="16"/>
    </w:rPr>
  </w:style>
  <w:style w:type="character" w:customStyle="1" w:styleId="btChar">
    <w:name w:val="bt Char"/>
    <w:basedOn w:val="DefaultParagraphFont"/>
    <w:link w:val="bt"/>
    <w:rsid w:val="00B93AA2"/>
    <w:rPr>
      <w:rFonts w:ascii="Calibri" w:eastAsia="Times New Roman" w:hAnsi="Calibri" w:cs="Times New Roman"/>
      <w:sz w:val="20"/>
      <w:szCs w:val="24"/>
    </w:rPr>
  </w:style>
  <w:style w:type="paragraph" w:customStyle="1" w:styleId="ToC-Heading">
    <w:name w:val="ToC-Heading"/>
    <w:basedOn w:val="bt"/>
    <w:link w:val="ToC-HeadingChar"/>
    <w:qFormat/>
    <w:rsid w:val="00CF45B4"/>
    <w:pPr>
      <w:spacing w:after="40"/>
    </w:pPr>
    <w:rPr>
      <w:b/>
      <w:bCs/>
      <w:color w:val="D46613"/>
      <w:sz w:val="34"/>
      <w:szCs w:val="28"/>
      <w:lang w:val="en-US"/>
    </w:rPr>
  </w:style>
  <w:style w:type="paragraph" w:customStyle="1" w:styleId="Header-Heading">
    <w:name w:val="Header-Heading"/>
    <w:basedOn w:val="Header"/>
    <w:link w:val="Header-HeadingChar"/>
    <w:qFormat/>
    <w:rsid w:val="00C040BB"/>
    <w:pPr>
      <w:tabs>
        <w:tab w:val="clear" w:pos="9026"/>
        <w:tab w:val="right" w:pos="9072"/>
      </w:tabs>
      <w:spacing w:line="276" w:lineRule="auto"/>
      <w:jc w:val="center"/>
    </w:pPr>
    <w:rPr>
      <w:szCs w:val="20"/>
    </w:rPr>
  </w:style>
  <w:style w:type="character" w:customStyle="1" w:styleId="ToC-HeadingChar">
    <w:name w:val="ToC-Heading Char"/>
    <w:basedOn w:val="btChar"/>
    <w:link w:val="ToC-Heading"/>
    <w:rsid w:val="00CF45B4"/>
    <w:rPr>
      <w:rFonts w:ascii="Calibri" w:eastAsia="Times New Roman" w:hAnsi="Calibri" w:cs="Times New Roman"/>
      <w:b/>
      <w:bCs/>
      <w:color w:val="D46613"/>
      <w:sz w:val="34"/>
      <w:szCs w:val="28"/>
      <w:lang w:val="en-US"/>
    </w:rPr>
  </w:style>
  <w:style w:type="paragraph" w:customStyle="1" w:styleId="Header-SubHeading">
    <w:name w:val="Header-SubHeading"/>
    <w:basedOn w:val="Header"/>
    <w:link w:val="Header-SubHeadingChar"/>
    <w:qFormat/>
    <w:rsid w:val="004538E7"/>
    <w:pPr>
      <w:pBdr>
        <w:bottom w:val="single" w:sz="4" w:space="1" w:color="auto"/>
      </w:pBdr>
      <w:tabs>
        <w:tab w:val="clear" w:pos="9026"/>
        <w:tab w:val="right" w:pos="9072"/>
      </w:tabs>
      <w:spacing w:line="276" w:lineRule="auto"/>
      <w:jc w:val="center"/>
    </w:pPr>
    <w:rPr>
      <w:b/>
      <w:szCs w:val="20"/>
    </w:rPr>
  </w:style>
  <w:style w:type="character" w:customStyle="1" w:styleId="Header-HeadingChar">
    <w:name w:val="Header-Heading Char"/>
    <w:basedOn w:val="HeaderChar"/>
    <w:link w:val="Header-Heading"/>
    <w:rsid w:val="00C040BB"/>
    <w:rPr>
      <w:sz w:val="20"/>
      <w:szCs w:val="20"/>
    </w:rPr>
  </w:style>
  <w:style w:type="paragraph" w:customStyle="1" w:styleId="Header-SubSubHeading">
    <w:name w:val="Header-SubSubHeading"/>
    <w:basedOn w:val="Header"/>
    <w:link w:val="Header-SubSubHeadingChar"/>
    <w:qFormat/>
    <w:rsid w:val="00C040BB"/>
    <w:pPr>
      <w:pBdr>
        <w:bottom w:val="single" w:sz="4" w:space="1" w:color="auto"/>
      </w:pBdr>
      <w:tabs>
        <w:tab w:val="clear" w:pos="9026"/>
        <w:tab w:val="right" w:pos="9072"/>
      </w:tabs>
      <w:spacing w:line="276" w:lineRule="auto"/>
      <w:jc w:val="center"/>
    </w:pPr>
    <w:rPr>
      <w:sz w:val="18"/>
      <w:szCs w:val="18"/>
    </w:rPr>
  </w:style>
  <w:style w:type="character" w:customStyle="1" w:styleId="Header-SubHeadingChar">
    <w:name w:val="Header-SubHeading Char"/>
    <w:basedOn w:val="HeaderChar"/>
    <w:link w:val="Header-SubHeading"/>
    <w:rsid w:val="004538E7"/>
    <w:rPr>
      <w:b/>
      <w:sz w:val="20"/>
      <w:szCs w:val="20"/>
    </w:rPr>
  </w:style>
  <w:style w:type="paragraph" w:customStyle="1" w:styleId="Footer-Style">
    <w:name w:val="Footer-Style"/>
    <w:basedOn w:val="Normal"/>
    <w:link w:val="Footer-StyleChar"/>
    <w:qFormat/>
    <w:rsid w:val="00EB1BA7"/>
    <w:pPr>
      <w:spacing w:after="0"/>
      <w:jc w:val="both"/>
    </w:pPr>
    <w:rPr>
      <w:sz w:val="12"/>
      <w:szCs w:val="12"/>
      <w:lang w:val="en-US"/>
    </w:rPr>
  </w:style>
  <w:style w:type="character" w:customStyle="1" w:styleId="Header-SubSubHeadingChar">
    <w:name w:val="Header-SubSubHeading Char"/>
    <w:basedOn w:val="HeaderChar"/>
    <w:link w:val="Header-SubSubHeading"/>
    <w:rsid w:val="00C040BB"/>
    <w:rPr>
      <w:sz w:val="18"/>
      <w:szCs w:val="18"/>
    </w:rPr>
  </w:style>
  <w:style w:type="character" w:customStyle="1" w:styleId="Footer-StyleChar">
    <w:name w:val="Footer-Style Char"/>
    <w:basedOn w:val="DefaultParagraphFont"/>
    <w:link w:val="Footer-Style"/>
    <w:rsid w:val="00EB1BA7"/>
    <w:rPr>
      <w:sz w:val="12"/>
      <w:szCs w:val="1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qFormat="1"/>
    <w:lsdException w:name="caption" w:uiPriority="0" w:qFormat="1"/>
    <w:lsdException w:name="table of figures" w:qFormat="1"/>
    <w:lsdException w:name="List Bullet" w:uiPriority="0" w:qFormat="1"/>
    <w:lsdException w:name="List Number" w:qFormat="1"/>
    <w:lsdException w:name="List Bullet 2" w:uiPriority="0" w:qFormat="1"/>
    <w:lsdException w:name="List Bullet 3" w:uiPriority="0" w:qFormat="1"/>
    <w:lsdException w:name="List Number 2" w:qFormat="1"/>
    <w:lsdException w:name="List Number 3" w:qFormat="1"/>
    <w:lsdException w:name="List Number 4"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2E"/>
    <w:rPr>
      <w:sz w:val="20"/>
    </w:rPr>
  </w:style>
  <w:style w:type="paragraph" w:styleId="Heading1">
    <w:name w:val="heading 1"/>
    <w:aliases w:val="1 NoNum"/>
    <w:next w:val="bt"/>
    <w:link w:val="Heading1Char"/>
    <w:qFormat/>
    <w:rsid w:val="003579E0"/>
    <w:pPr>
      <w:keepNext/>
      <w:tabs>
        <w:tab w:val="left" w:pos="851"/>
      </w:tabs>
      <w:spacing w:after="360" w:line="240" w:lineRule="auto"/>
      <w:outlineLvl w:val="0"/>
    </w:pPr>
    <w:rPr>
      <w:rFonts w:ascii="Calibri" w:eastAsia="Times New Roman" w:hAnsi="Calibri" w:cs="Times New Roman"/>
      <w:b/>
      <w:bCs/>
      <w:color w:val="D46613"/>
      <w:sz w:val="34"/>
      <w:szCs w:val="28"/>
    </w:rPr>
  </w:style>
  <w:style w:type="paragraph" w:styleId="Heading2">
    <w:name w:val="heading 2"/>
    <w:next w:val="bt"/>
    <w:link w:val="Heading2Char"/>
    <w:autoRedefine/>
    <w:qFormat/>
    <w:rsid w:val="002C7B4E"/>
    <w:pPr>
      <w:keepNext/>
      <w:numPr>
        <w:ilvl w:val="1"/>
        <w:numId w:val="16"/>
      </w:numPr>
      <w:tabs>
        <w:tab w:val="left" w:pos="851"/>
      </w:tabs>
      <w:spacing w:before="360" w:after="240" w:line="240" w:lineRule="auto"/>
      <w:outlineLvl w:val="1"/>
    </w:pPr>
    <w:rPr>
      <w:rFonts w:ascii="Calibri" w:eastAsia="Times New Roman" w:hAnsi="Calibri" w:cs="Arial"/>
      <w:b/>
      <w:bCs/>
      <w:iCs/>
      <w:sz w:val="28"/>
      <w:szCs w:val="28"/>
    </w:rPr>
  </w:style>
  <w:style w:type="paragraph" w:styleId="Heading3">
    <w:name w:val="heading 3"/>
    <w:next w:val="bt"/>
    <w:link w:val="Heading3Char"/>
    <w:autoRedefine/>
    <w:qFormat/>
    <w:rsid w:val="00013DAF"/>
    <w:pPr>
      <w:keepNext/>
      <w:tabs>
        <w:tab w:val="left" w:pos="900"/>
      </w:tabs>
      <w:spacing w:before="360" w:after="120" w:line="240" w:lineRule="auto"/>
      <w:outlineLvl w:val="2"/>
    </w:pPr>
    <w:rPr>
      <w:rFonts w:ascii="Calibri" w:eastAsia="Times New Roman" w:hAnsi="Calibri" w:cs="Times New Roman"/>
      <w:b/>
      <w:bCs/>
      <w:sz w:val="26"/>
      <w:szCs w:val="18"/>
    </w:rPr>
  </w:style>
  <w:style w:type="paragraph" w:styleId="Heading4">
    <w:name w:val="heading 4"/>
    <w:next w:val="bt"/>
    <w:link w:val="Heading4Char"/>
    <w:qFormat/>
    <w:rsid w:val="00564530"/>
    <w:pPr>
      <w:spacing w:before="360" w:after="240" w:line="240" w:lineRule="auto"/>
      <w:outlineLvl w:val="3"/>
    </w:pPr>
    <w:rPr>
      <w:rFonts w:eastAsia="Times New Roman" w:cs="Times New Roman"/>
      <w:bCs/>
      <w:sz w:val="2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link w:val="btChar"/>
    <w:qFormat/>
    <w:rsid w:val="002A5AE6"/>
    <w:pPr>
      <w:spacing w:before="180" w:after="240" w:line="270" w:lineRule="exact"/>
    </w:pPr>
    <w:rPr>
      <w:rFonts w:ascii="Calibri" w:eastAsia="Times New Roman" w:hAnsi="Calibri" w:cs="Times New Roman"/>
      <w:sz w:val="20"/>
      <w:szCs w:val="24"/>
    </w:rPr>
  </w:style>
  <w:style w:type="character" w:customStyle="1" w:styleId="Heading1Char">
    <w:name w:val="Heading 1 Char"/>
    <w:aliases w:val="1 NoNum Char"/>
    <w:basedOn w:val="DefaultParagraphFont"/>
    <w:link w:val="Heading1"/>
    <w:rsid w:val="003579E0"/>
    <w:rPr>
      <w:rFonts w:ascii="Calibri" w:eastAsia="Times New Roman" w:hAnsi="Calibri" w:cs="Times New Roman"/>
      <w:b/>
      <w:bCs/>
      <w:color w:val="D46613"/>
      <w:sz w:val="34"/>
      <w:szCs w:val="28"/>
    </w:rPr>
  </w:style>
  <w:style w:type="character" w:customStyle="1" w:styleId="Heading2Char">
    <w:name w:val="Heading 2 Char"/>
    <w:basedOn w:val="DefaultParagraphFont"/>
    <w:link w:val="Heading2"/>
    <w:rsid w:val="002C7B4E"/>
    <w:rPr>
      <w:rFonts w:ascii="Calibri" w:eastAsia="Times New Roman" w:hAnsi="Calibri" w:cs="Arial"/>
      <w:b/>
      <w:bCs/>
      <w:iCs/>
      <w:sz w:val="28"/>
      <w:szCs w:val="28"/>
    </w:rPr>
  </w:style>
  <w:style w:type="character" w:customStyle="1" w:styleId="Heading3Char">
    <w:name w:val="Heading 3 Char"/>
    <w:basedOn w:val="DefaultParagraphFont"/>
    <w:link w:val="Heading3"/>
    <w:rsid w:val="00013DAF"/>
    <w:rPr>
      <w:rFonts w:ascii="Calibri" w:eastAsia="Times New Roman" w:hAnsi="Calibri" w:cs="Times New Roman"/>
      <w:b/>
      <w:bCs/>
      <w:sz w:val="26"/>
      <w:szCs w:val="18"/>
    </w:rPr>
  </w:style>
  <w:style w:type="character" w:customStyle="1" w:styleId="Heading4Char">
    <w:name w:val="Heading 4 Char"/>
    <w:basedOn w:val="DefaultParagraphFont"/>
    <w:link w:val="Heading4"/>
    <w:rsid w:val="00564530"/>
    <w:rPr>
      <w:rFonts w:eastAsia="Times New Roman" w:cs="Times New Roman"/>
      <w:bCs/>
      <w:sz w:val="28"/>
      <w:szCs w:val="16"/>
    </w:rPr>
  </w:style>
  <w:style w:type="paragraph" w:styleId="BalloonText">
    <w:name w:val="Balloon Text"/>
    <w:basedOn w:val="Normal"/>
    <w:link w:val="BalloonTextChar"/>
    <w:uiPriority w:val="99"/>
    <w:semiHidden/>
    <w:unhideWhenUsed/>
    <w:rsid w:val="00E0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62"/>
    <w:rPr>
      <w:rFonts w:ascii="Tahoma" w:hAnsi="Tahoma" w:cs="Tahoma"/>
      <w:sz w:val="16"/>
      <w:szCs w:val="16"/>
    </w:rPr>
  </w:style>
  <w:style w:type="paragraph" w:styleId="NoSpacing">
    <w:name w:val="No Spacing"/>
    <w:link w:val="NoSpacingChar"/>
    <w:uiPriority w:val="1"/>
    <w:qFormat/>
    <w:rsid w:val="00E02F62"/>
    <w:pPr>
      <w:spacing w:after="0" w:line="240" w:lineRule="auto"/>
    </w:pPr>
    <w:rPr>
      <w:lang w:val="en-US"/>
    </w:rPr>
  </w:style>
  <w:style w:type="character" w:customStyle="1" w:styleId="NoSpacingChar">
    <w:name w:val="No Spacing Char"/>
    <w:basedOn w:val="DefaultParagraphFont"/>
    <w:link w:val="NoSpacing"/>
    <w:uiPriority w:val="1"/>
    <w:rsid w:val="00E02F62"/>
    <w:rPr>
      <w:rFonts w:eastAsiaTheme="minorEastAsia"/>
      <w:lang w:val="en-US"/>
    </w:rPr>
  </w:style>
  <w:style w:type="paragraph" w:styleId="TOCHeading">
    <w:name w:val="TOC Heading"/>
    <w:basedOn w:val="Heading1"/>
    <w:next w:val="Normal"/>
    <w:uiPriority w:val="39"/>
    <w:unhideWhenUsed/>
    <w:qFormat/>
    <w:rsid w:val="00E02F62"/>
    <w:pPr>
      <w:outlineLvl w:val="9"/>
    </w:pPr>
    <w:rPr>
      <w:lang w:val="en-US"/>
    </w:rPr>
  </w:style>
  <w:style w:type="paragraph" w:styleId="Header">
    <w:name w:val="header"/>
    <w:basedOn w:val="Normal"/>
    <w:link w:val="HeaderChar"/>
    <w:unhideWhenUsed/>
    <w:rsid w:val="00E02F62"/>
    <w:pPr>
      <w:tabs>
        <w:tab w:val="center" w:pos="4513"/>
        <w:tab w:val="right" w:pos="9026"/>
      </w:tabs>
      <w:spacing w:after="0" w:line="240" w:lineRule="auto"/>
    </w:pPr>
  </w:style>
  <w:style w:type="character" w:customStyle="1" w:styleId="HeaderChar">
    <w:name w:val="Header Char"/>
    <w:basedOn w:val="DefaultParagraphFont"/>
    <w:link w:val="Header"/>
    <w:rsid w:val="00E02F62"/>
  </w:style>
  <w:style w:type="paragraph" w:styleId="Footer">
    <w:name w:val="footer"/>
    <w:basedOn w:val="Normal"/>
    <w:link w:val="FooterChar"/>
    <w:uiPriority w:val="99"/>
    <w:unhideWhenUsed/>
    <w:qFormat/>
    <w:rsid w:val="003B6C68"/>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3B6C68"/>
    <w:rPr>
      <w:sz w:val="20"/>
    </w:rPr>
  </w:style>
  <w:style w:type="paragraph" w:customStyle="1" w:styleId="btbold">
    <w:name w:val="bt_bold"/>
    <w:basedOn w:val="bt"/>
    <w:next w:val="bt"/>
    <w:qFormat/>
    <w:rsid w:val="00564530"/>
    <w:pPr>
      <w:spacing w:after="120"/>
    </w:pPr>
    <w:rPr>
      <w:b/>
    </w:rPr>
  </w:style>
  <w:style w:type="paragraph" w:customStyle="1" w:styleId="btindent">
    <w:name w:val="bt_indent"/>
    <w:basedOn w:val="bt"/>
    <w:next w:val="bt"/>
    <w:qFormat/>
    <w:rsid w:val="00F24832"/>
    <w:pPr>
      <w:spacing w:before="60" w:after="120"/>
      <w:ind w:left="709"/>
    </w:pPr>
  </w:style>
  <w:style w:type="paragraph" w:customStyle="1" w:styleId="btitalics">
    <w:name w:val="bt_italics"/>
    <w:basedOn w:val="bt"/>
    <w:next w:val="bt"/>
    <w:qFormat/>
    <w:rsid w:val="00564530"/>
    <w:rPr>
      <w:i/>
    </w:rPr>
  </w:style>
  <w:style w:type="character" w:customStyle="1" w:styleId="bt-highlighttext">
    <w:name w:val="bt-highlight text"/>
    <w:basedOn w:val="DefaultParagraphFont"/>
    <w:qFormat/>
    <w:rsid w:val="00564530"/>
    <w:rPr>
      <w:rFonts w:ascii="Calibri" w:hAnsi="Calibri"/>
      <w:color w:val="0000FF"/>
      <w:sz w:val="24"/>
      <w:lang w:eastAsia="en-US"/>
    </w:rPr>
  </w:style>
  <w:style w:type="paragraph" w:styleId="Caption">
    <w:name w:val="caption"/>
    <w:basedOn w:val="bt"/>
    <w:next w:val="bt"/>
    <w:qFormat/>
    <w:rsid w:val="00BB6A4A"/>
    <w:pPr>
      <w:keepNext/>
      <w:spacing w:before="0" w:after="0" w:line="240" w:lineRule="auto"/>
      <w:ind w:left="28" w:hanging="28"/>
    </w:pPr>
    <w:rPr>
      <w:rFonts w:asciiTheme="minorHAnsi" w:hAnsiTheme="minorHAnsi" w:cstheme="minorHAnsi"/>
      <w:bCs/>
      <w:i/>
      <w:color w:val="000000" w:themeColor="text1"/>
      <w:szCs w:val="20"/>
    </w:rPr>
  </w:style>
  <w:style w:type="paragraph" w:styleId="CommentText">
    <w:name w:val="annotation text"/>
    <w:basedOn w:val="Normal"/>
    <w:link w:val="CommentTextChar"/>
    <w:rsid w:val="00564530"/>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rsid w:val="00564530"/>
    <w:rPr>
      <w:rFonts w:ascii="Arial" w:eastAsia="Times New Roman" w:hAnsi="Arial" w:cs="Times New Roman"/>
      <w:sz w:val="20"/>
      <w:szCs w:val="20"/>
      <w:lang w:eastAsia="en-AU"/>
    </w:rPr>
  </w:style>
  <w:style w:type="character" w:styleId="Emphasis">
    <w:name w:val="Emphasis"/>
    <w:basedOn w:val="DefaultParagraphFont"/>
    <w:qFormat/>
    <w:rsid w:val="004D781F"/>
    <w:rPr>
      <w:rFonts w:ascii="Calibri" w:hAnsi="Calibri"/>
      <w:i/>
      <w:iCs/>
      <w:sz w:val="20"/>
    </w:rPr>
  </w:style>
  <w:style w:type="paragraph" w:customStyle="1" w:styleId="Heading11">
    <w:name w:val="Heading 1_1"/>
    <w:basedOn w:val="Heading1"/>
    <w:next w:val="bt"/>
    <w:qFormat/>
    <w:rsid w:val="00BA1934"/>
    <w:pPr>
      <w:numPr>
        <w:numId w:val="16"/>
      </w:numPr>
      <w:tabs>
        <w:tab w:val="clear" w:pos="851"/>
      </w:tabs>
      <w:spacing w:after="240"/>
    </w:pPr>
    <w:rPr>
      <w:color w:val="auto"/>
    </w:rPr>
  </w:style>
  <w:style w:type="paragraph" w:customStyle="1" w:styleId="Heading2nonum">
    <w:name w:val="Heading 2_no num"/>
    <w:basedOn w:val="Heading2"/>
    <w:next w:val="bt"/>
    <w:qFormat/>
    <w:rsid w:val="00564530"/>
    <w:pPr>
      <w:numPr>
        <w:ilvl w:val="0"/>
        <w:numId w:val="0"/>
      </w:numPr>
    </w:pPr>
    <w:rPr>
      <w:b w:val="0"/>
      <w:lang w:eastAsia="en-US"/>
    </w:rPr>
  </w:style>
  <w:style w:type="paragraph" w:styleId="ListBullet">
    <w:name w:val="List Bullet"/>
    <w:basedOn w:val="bt"/>
    <w:qFormat/>
    <w:rsid w:val="001A3FCF"/>
    <w:pPr>
      <w:numPr>
        <w:numId w:val="5"/>
      </w:numPr>
      <w:spacing w:before="60" w:after="120"/>
    </w:pPr>
  </w:style>
  <w:style w:type="paragraph" w:styleId="ListBullet2">
    <w:name w:val="List Bullet 2"/>
    <w:basedOn w:val="bt"/>
    <w:qFormat/>
    <w:rsid w:val="00961D6F"/>
    <w:pPr>
      <w:numPr>
        <w:numId w:val="1"/>
      </w:numPr>
      <w:tabs>
        <w:tab w:val="clear" w:pos="851"/>
        <w:tab w:val="num" w:pos="1134"/>
      </w:tabs>
      <w:ind w:left="1134" w:hanging="283"/>
    </w:pPr>
  </w:style>
  <w:style w:type="paragraph" w:styleId="ListBullet3">
    <w:name w:val="List Bullet 3"/>
    <w:basedOn w:val="bt"/>
    <w:qFormat/>
    <w:rsid w:val="00961D6F"/>
    <w:pPr>
      <w:numPr>
        <w:numId w:val="2"/>
      </w:numPr>
      <w:tabs>
        <w:tab w:val="clear" w:pos="1077"/>
        <w:tab w:val="num" w:pos="1418"/>
      </w:tabs>
      <w:ind w:left="1418" w:hanging="284"/>
    </w:pPr>
  </w:style>
  <w:style w:type="paragraph" w:styleId="ListContinue">
    <w:name w:val="List Continue"/>
    <w:basedOn w:val="Normal"/>
    <w:qFormat/>
    <w:rsid w:val="00564530"/>
    <w:pPr>
      <w:spacing w:after="120" w:line="240" w:lineRule="auto"/>
      <w:ind w:left="283"/>
    </w:pPr>
    <w:rPr>
      <w:rFonts w:ascii="Arial" w:eastAsia="Times New Roman" w:hAnsi="Arial" w:cs="Times New Roman"/>
      <w:szCs w:val="24"/>
    </w:rPr>
  </w:style>
  <w:style w:type="paragraph" w:styleId="ListContinue2">
    <w:name w:val="List Continue 2"/>
    <w:basedOn w:val="Normal"/>
    <w:qFormat/>
    <w:rsid w:val="00564530"/>
    <w:pPr>
      <w:spacing w:after="120" w:line="240" w:lineRule="auto"/>
      <w:ind w:left="566"/>
    </w:pPr>
    <w:rPr>
      <w:rFonts w:ascii="Arial" w:eastAsia="Times New Roman" w:hAnsi="Arial" w:cs="Times New Roman"/>
      <w:szCs w:val="24"/>
    </w:rPr>
  </w:style>
  <w:style w:type="paragraph" w:styleId="ListContinue3">
    <w:name w:val="List Continue 3"/>
    <w:basedOn w:val="Normal"/>
    <w:qFormat/>
    <w:rsid w:val="00564530"/>
    <w:pPr>
      <w:spacing w:after="120" w:line="240" w:lineRule="auto"/>
      <w:ind w:left="849"/>
    </w:pPr>
    <w:rPr>
      <w:rFonts w:ascii="Arial" w:eastAsia="Times New Roman" w:hAnsi="Arial" w:cs="Times New Roman"/>
      <w:szCs w:val="24"/>
    </w:rPr>
  </w:style>
  <w:style w:type="character" w:styleId="Strong">
    <w:name w:val="Strong"/>
    <w:basedOn w:val="DefaultParagraphFont"/>
    <w:qFormat/>
    <w:rsid w:val="00564530"/>
    <w:rPr>
      <w:rFonts w:ascii="Calibri" w:hAnsi="Calibri"/>
      <w:b/>
      <w:bCs/>
    </w:rPr>
  </w:style>
  <w:style w:type="paragraph" w:customStyle="1" w:styleId="Tabletext">
    <w:name w:val="Table text"/>
    <w:basedOn w:val="bt"/>
    <w:autoRedefine/>
    <w:qFormat/>
    <w:rsid w:val="00AB6BB3"/>
    <w:pPr>
      <w:spacing w:before="0" w:after="0" w:line="276" w:lineRule="auto"/>
      <w:ind w:right="-108"/>
    </w:pPr>
    <w:rPr>
      <w:rFonts w:ascii="Arial Narrow" w:hAnsi="Arial Narrow"/>
      <w:szCs w:val="20"/>
    </w:rPr>
  </w:style>
  <w:style w:type="paragraph" w:customStyle="1" w:styleId="TabletextBold">
    <w:name w:val="Table text Bold"/>
    <w:basedOn w:val="Tabletext"/>
    <w:next w:val="Tabletext"/>
    <w:qFormat/>
    <w:rsid w:val="00564530"/>
    <w:rPr>
      <w:b/>
      <w:bCs/>
    </w:rPr>
  </w:style>
  <w:style w:type="paragraph" w:customStyle="1" w:styleId="tabletextbullet">
    <w:name w:val="table text bullet"/>
    <w:basedOn w:val="Normal"/>
    <w:qFormat/>
    <w:rsid w:val="00564530"/>
    <w:pPr>
      <w:numPr>
        <w:numId w:val="3"/>
      </w:numPr>
      <w:spacing w:before="60" w:after="60" w:line="270" w:lineRule="exact"/>
      <w:jc w:val="both"/>
    </w:pPr>
    <w:rPr>
      <w:rFonts w:ascii="Calibri" w:eastAsia="Times New Roman" w:hAnsi="Calibri" w:cs="Times New Roman"/>
      <w:szCs w:val="20"/>
    </w:rPr>
  </w:style>
  <w:style w:type="paragraph" w:customStyle="1" w:styleId="tableheaderrow">
    <w:name w:val="table_header row"/>
    <w:basedOn w:val="Tabletext"/>
    <w:qFormat/>
    <w:rsid w:val="001914E8"/>
    <w:rPr>
      <w:b/>
    </w:rPr>
  </w:style>
  <w:style w:type="paragraph" w:styleId="IntenseQuote">
    <w:name w:val="Intense Quote"/>
    <w:basedOn w:val="bt"/>
    <w:next w:val="bt"/>
    <w:link w:val="IntenseQuoteChar"/>
    <w:autoRedefine/>
    <w:uiPriority w:val="30"/>
    <w:qFormat/>
    <w:rsid w:val="009320D2"/>
    <w:pPr>
      <w:pBdr>
        <w:bottom w:val="single" w:sz="4" w:space="4" w:color="76923C" w:themeColor="accent3" w:themeShade="BF"/>
      </w:pBdr>
      <w:spacing w:before="200" w:after="280"/>
      <w:ind w:left="936" w:right="936"/>
    </w:pPr>
    <w:rPr>
      <w:bCs/>
      <w:i/>
      <w:iCs/>
      <w:color w:val="404040" w:themeColor="text1" w:themeTint="BF"/>
    </w:rPr>
  </w:style>
  <w:style w:type="character" w:customStyle="1" w:styleId="IntenseQuoteChar">
    <w:name w:val="Intense Quote Char"/>
    <w:basedOn w:val="DefaultParagraphFont"/>
    <w:link w:val="IntenseQuote"/>
    <w:uiPriority w:val="30"/>
    <w:rsid w:val="009320D2"/>
    <w:rPr>
      <w:rFonts w:ascii="Calibri" w:eastAsia="Times New Roman" w:hAnsi="Calibri" w:cs="Times New Roman"/>
      <w:bCs/>
      <w:i/>
      <w:iCs/>
      <w:color w:val="404040" w:themeColor="text1" w:themeTint="BF"/>
      <w:sz w:val="24"/>
      <w:szCs w:val="24"/>
      <w:lang w:eastAsia="en-AU"/>
    </w:rPr>
  </w:style>
  <w:style w:type="paragraph" w:customStyle="1" w:styleId="btbullet">
    <w:name w:val="bt_bullet"/>
    <w:basedOn w:val="bt"/>
    <w:qFormat/>
    <w:rsid w:val="008B7F2D"/>
    <w:pPr>
      <w:numPr>
        <w:numId w:val="4"/>
      </w:numPr>
      <w:spacing w:before="60" w:after="60" w:line="264" w:lineRule="auto"/>
      <w:ind w:left="714" w:hanging="357"/>
    </w:pPr>
  </w:style>
  <w:style w:type="table" w:styleId="TableGrid">
    <w:name w:val="Table Grid"/>
    <w:basedOn w:val="TableNormal"/>
    <w:uiPriority w:val="59"/>
    <w:rsid w:val="002F1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2F16A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1914E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1914E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IntenseEmphasis">
    <w:name w:val="Intense Emphasis"/>
    <w:basedOn w:val="DefaultParagraphFont"/>
    <w:uiPriority w:val="21"/>
    <w:qFormat/>
    <w:rsid w:val="00FF741B"/>
    <w:rPr>
      <w:b/>
      <w:bCs/>
      <w:i/>
      <w:iCs/>
      <w:color w:val="262626" w:themeColor="text1" w:themeTint="D9"/>
    </w:rPr>
  </w:style>
  <w:style w:type="paragraph" w:customStyle="1" w:styleId="source">
    <w:name w:val="source"/>
    <w:basedOn w:val="bt"/>
    <w:next w:val="bt"/>
    <w:qFormat/>
    <w:rsid w:val="00D3176B"/>
    <w:pPr>
      <w:spacing w:before="0" w:after="0" w:line="240" w:lineRule="auto"/>
    </w:pPr>
    <w:rPr>
      <w:rFonts w:asciiTheme="minorHAnsi" w:hAnsiTheme="minorHAnsi"/>
      <w:i/>
      <w:sz w:val="18"/>
    </w:rPr>
  </w:style>
  <w:style w:type="paragraph" w:styleId="TOC1">
    <w:name w:val="toc 1"/>
    <w:basedOn w:val="Normal"/>
    <w:next w:val="Normal"/>
    <w:autoRedefine/>
    <w:uiPriority w:val="39"/>
    <w:unhideWhenUsed/>
    <w:qFormat/>
    <w:rsid w:val="00CF4C6D"/>
    <w:pPr>
      <w:tabs>
        <w:tab w:val="left" w:pos="284"/>
        <w:tab w:val="left" w:pos="851"/>
        <w:tab w:val="left" w:pos="1540"/>
        <w:tab w:val="right" w:leader="dot" w:pos="9016"/>
      </w:tabs>
      <w:spacing w:before="80" w:after="80" w:line="240" w:lineRule="auto"/>
    </w:pPr>
    <w:rPr>
      <w:sz w:val="22"/>
    </w:rPr>
  </w:style>
  <w:style w:type="paragraph" w:styleId="TOC2">
    <w:name w:val="toc 2"/>
    <w:basedOn w:val="Normal"/>
    <w:next w:val="Normal"/>
    <w:autoRedefine/>
    <w:uiPriority w:val="39"/>
    <w:unhideWhenUsed/>
    <w:qFormat/>
    <w:rsid w:val="00CF4C6D"/>
    <w:pPr>
      <w:tabs>
        <w:tab w:val="left" w:pos="567"/>
        <w:tab w:val="left" w:pos="993"/>
        <w:tab w:val="right" w:leader="dot" w:pos="9016"/>
      </w:tabs>
      <w:spacing w:before="80" w:after="80" w:line="240" w:lineRule="auto"/>
      <w:ind w:left="567"/>
    </w:pPr>
  </w:style>
  <w:style w:type="character" w:styleId="Hyperlink">
    <w:name w:val="Hyperlink"/>
    <w:basedOn w:val="DefaultParagraphFont"/>
    <w:uiPriority w:val="99"/>
    <w:unhideWhenUsed/>
    <w:rsid w:val="007E5259"/>
    <w:rPr>
      <w:color w:val="0000FF" w:themeColor="hyperlink"/>
      <w:u w:val="single"/>
    </w:rPr>
  </w:style>
  <w:style w:type="paragraph" w:styleId="TableofFigures">
    <w:name w:val="table of figures"/>
    <w:basedOn w:val="Normal"/>
    <w:next w:val="Normal"/>
    <w:uiPriority w:val="99"/>
    <w:unhideWhenUsed/>
    <w:qFormat/>
    <w:rsid w:val="00CF4C6D"/>
    <w:pPr>
      <w:spacing w:before="80" w:after="80" w:line="240" w:lineRule="auto"/>
    </w:pPr>
  </w:style>
  <w:style w:type="paragraph" w:styleId="Title">
    <w:name w:val="Title"/>
    <w:basedOn w:val="bt"/>
    <w:next w:val="Subtitle"/>
    <w:link w:val="TitleChar"/>
    <w:uiPriority w:val="10"/>
    <w:qFormat/>
    <w:rsid w:val="00C8557A"/>
    <w:pPr>
      <w:spacing w:after="300" w:line="240" w:lineRule="auto"/>
      <w:contextualSpacing/>
    </w:pPr>
    <w:rPr>
      <w:rFonts w:eastAsiaTheme="majorEastAsia" w:cstheme="majorBidi"/>
      <w:spacing w:val="5"/>
      <w:kern w:val="28"/>
      <w:sz w:val="52"/>
      <w:szCs w:val="52"/>
    </w:rPr>
  </w:style>
  <w:style w:type="paragraph" w:styleId="Subtitle">
    <w:name w:val="Subtitle"/>
    <w:basedOn w:val="bt"/>
    <w:next w:val="bt"/>
    <w:link w:val="SubtitleChar"/>
    <w:uiPriority w:val="11"/>
    <w:qFormat/>
    <w:rsid w:val="00E93DDE"/>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E93DDE"/>
    <w:rPr>
      <w:rFonts w:ascii="Calibri" w:eastAsiaTheme="majorEastAsia" w:hAnsi="Calibri" w:cstheme="majorBidi"/>
      <w:i/>
      <w:iCs/>
      <w:spacing w:val="15"/>
      <w:sz w:val="24"/>
      <w:szCs w:val="24"/>
      <w:lang w:eastAsia="en-AU"/>
    </w:rPr>
  </w:style>
  <w:style w:type="character" w:customStyle="1" w:styleId="TitleChar">
    <w:name w:val="Title Char"/>
    <w:basedOn w:val="DefaultParagraphFont"/>
    <w:link w:val="Title"/>
    <w:uiPriority w:val="10"/>
    <w:rsid w:val="00C8557A"/>
    <w:rPr>
      <w:rFonts w:ascii="Calibri" w:eastAsiaTheme="majorEastAsia" w:hAnsi="Calibri" w:cstheme="majorBidi"/>
      <w:spacing w:val="5"/>
      <w:kern w:val="28"/>
      <w:sz w:val="52"/>
      <w:szCs w:val="52"/>
      <w:lang w:eastAsia="en-AU"/>
    </w:rPr>
  </w:style>
  <w:style w:type="paragraph" w:styleId="TOC3">
    <w:name w:val="toc 3"/>
    <w:basedOn w:val="Normal"/>
    <w:next w:val="Normal"/>
    <w:autoRedefine/>
    <w:uiPriority w:val="39"/>
    <w:unhideWhenUsed/>
    <w:qFormat/>
    <w:rsid w:val="00CF4C6D"/>
    <w:pPr>
      <w:tabs>
        <w:tab w:val="left" w:pos="1760"/>
        <w:tab w:val="right" w:leader="dot" w:pos="9016"/>
      </w:tabs>
      <w:spacing w:before="80" w:after="80" w:line="240" w:lineRule="auto"/>
      <w:ind w:left="851"/>
    </w:pPr>
    <w:rPr>
      <w:noProof/>
    </w:rPr>
  </w:style>
  <w:style w:type="table" w:styleId="MediumShading1-Accent3">
    <w:name w:val="Medium Shading 1 Accent 3"/>
    <w:basedOn w:val="TableNormal"/>
    <w:uiPriority w:val="63"/>
    <w:rsid w:val="00AB116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D500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FollowedHyperlink">
    <w:name w:val="FollowedHyperlink"/>
    <w:basedOn w:val="DefaultParagraphFont"/>
    <w:uiPriority w:val="99"/>
    <w:semiHidden/>
    <w:unhideWhenUsed/>
    <w:rsid w:val="0045654E"/>
    <w:rPr>
      <w:color w:val="800080" w:themeColor="followedHyperlink"/>
      <w:u w:val="single"/>
    </w:rPr>
  </w:style>
  <w:style w:type="paragraph" w:customStyle="1" w:styleId="btpicture">
    <w:name w:val="bt_picture"/>
    <w:basedOn w:val="bt"/>
    <w:next w:val="bt"/>
    <w:qFormat/>
    <w:rsid w:val="00217C6E"/>
    <w:pPr>
      <w:spacing w:after="0" w:line="240" w:lineRule="auto"/>
    </w:pPr>
    <w:rPr>
      <w:sz w:val="18"/>
    </w:rPr>
  </w:style>
  <w:style w:type="paragraph" w:styleId="FootnoteText">
    <w:name w:val="footnote text"/>
    <w:basedOn w:val="Normal"/>
    <w:link w:val="FootnoteTextChar"/>
    <w:uiPriority w:val="99"/>
    <w:unhideWhenUsed/>
    <w:qFormat/>
    <w:rsid w:val="006A5C1C"/>
    <w:pPr>
      <w:spacing w:after="0" w:line="240" w:lineRule="auto"/>
    </w:pPr>
    <w:rPr>
      <w:sz w:val="16"/>
      <w:szCs w:val="20"/>
      <w:lang w:val="en-US"/>
    </w:rPr>
  </w:style>
  <w:style w:type="character" w:customStyle="1" w:styleId="FootnoteTextChar">
    <w:name w:val="Footnote Text Char"/>
    <w:basedOn w:val="DefaultParagraphFont"/>
    <w:link w:val="FootnoteText"/>
    <w:uiPriority w:val="99"/>
    <w:rsid w:val="006A5C1C"/>
    <w:rPr>
      <w:sz w:val="16"/>
      <w:szCs w:val="20"/>
      <w:lang w:val="en-US"/>
    </w:rPr>
  </w:style>
  <w:style w:type="character" w:styleId="SubtleEmphasis">
    <w:name w:val="Subtle Emphasis"/>
    <w:basedOn w:val="DefaultParagraphFont"/>
    <w:uiPriority w:val="19"/>
    <w:qFormat/>
    <w:rsid w:val="00DD1150"/>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DD1150"/>
    <w:pPr>
      <w:spacing w:after="0" w:line="240" w:lineRule="auto"/>
    </w:pPr>
    <w:rPr>
      <w:color w:val="365F91" w:themeColor="accent1" w:themeShade="BF"/>
      <w:lang w:val="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Quote">
    <w:name w:val="Quote"/>
    <w:basedOn w:val="Normal"/>
    <w:next w:val="Normal"/>
    <w:link w:val="QuoteChar"/>
    <w:uiPriority w:val="29"/>
    <w:qFormat/>
    <w:rsid w:val="00803BD6"/>
    <w:rPr>
      <w:i/>
      <w:iCs/>
      <w:color w:val="000000" w:themeColor="text1"/>
    </w:rPr>
  </w:style>
  <w:style w:type="character" w:customStyle="1" w:styleId="QuoteChar">
    <w:name w:val="Quote Char"/>
    <w:basedOn w:val="DefaultParagraphFont"/>
    <w:link w:val="Quote"/>
    <w:uiPriority w:val="29"/>
    <w:rsid w:val="00803BD6"/>
    <w:rPr>
      <w:i/>
      <w:iCs/>
      <w:color w:val="000000" w:themeColor="text1"/>
    </w:rPr>
  </w:style>
  <w:style w:type="paragraph" w:styleId="ListParagraph">
    <w:name w:val="List Paragraph"/>
    <w:basedOn w:val="Normal"/>
    <w:uiPriority w:val="34"/>
    <w:qFormat/>
    <w:rsid w:val="00803BD6"/>
    <w:pPr>
      <w:ind w:left="720"/>
      <w:contextualSpacing/>
    </w:pPr>
  </w:style>
  <w:style w:type="character" w:styleId="SubtleReference">
    <w:name w:val="Subtle Reference"/>
    <w:basedOn w:val="DefaultParagraphFont"/>
    <w:uiPriority w:val="31"/>
    <w:qFormat/>
    <w:rsid w:val="00803BD6"/>
    <w:rPr>
      <w:smallCaps/>
      <w:color w:val="C0504D" w:themeColor="accent2"/>
      <w:u w:val="single"/>
    </w:rPr>
  </w:style>
  <w:style w:type="character" w:styleId="IntenseReference">
    <w:name w:val="Intense Reference"/>
    <w:basedOn w:val="DefaultParagraphFont"/>
    <w:uiPriority w:val="32"/>
    <w:qFormat/>
    <w:rsid w:val="00803BD6"/>
    <w:rPr>
      <w:b/>
      <w:bCs/>
      <w:smallCaps/>
      <w:color w:val="C0504D" w:themeColor="accent2"/>
      <w:spacing w:val="5"/>
      <w:u w:val="single"/>
    </w:rPr>
  </w:style>
  <w:style w:type="table" w:styleId="LightShading-Accent5">
    <w:name w:val="Light Shading Accent 5"/>
    <w:basedOn w:val="TableNormal"/>
    <w:uiPriority w:val="60"/>
    <w:rsid w:val="00803BD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803BD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803BD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4">
    <w:name w:val="Light Shading Accent 4"/>
    <w:basedOn w:val="TableNormal"/>
    <w:uiPriority w:val="60"/>
    <w:rsid w:val="00803BD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803BD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Number">
    <w:name w:val="List Number"/>
    <w:basedOn w:val="bt"/>
    <w:uiPriority w:val="99"/>
    <w:unhideWhenUsed/>
    <w:qFormat/>
    <w:rsid w:val="00E66D1C"/>
    <w:pPr>
      <w:numPr>
        <w:numId w:val="6"/>
      </w:numPr>
      <w:tabs>
        <w:tab w:val="clear" w:pos="360"/>
        <w:tab w:val="num" w:pos="851"/>
      </w:tabs>
      <w:ind w:left="851" w:hanging="284"/>
      <w:contextualSpacing/>
    </w:pPr>
  </w:style>
  <w:style w:type="paragraph" w:styleId="ListNumber2">
    <w:name w:val="List Number 2"/>
    <w:basedOn w:val="bt"/>
    <w:uiPriority w:val="99"/>
    <w:unhideWhenUsed/>
    <w:qFormat/>
    <w:rsid w:val="00E66D1C"/>
    <w:pPr>
      <w:numPr>
        <w:numId w:val="7"/>
      </w:numPr>
      <w:tabs>
        <w:tab w:val="clear" w:pos="643"/>
        <w:tab w:val="num" w:pos="1134"/>
      </w:tabs>
      <w:ind w:left="1134" w:hanging="283"/>
      <w:contextualSpacing/>
    </w:pPr>
  </w:style>
  <w:style w:type="paragraph" w:styleId="ListNumber3">
    <w:name w:val="List Number 3"/>
    <w:basedOn w:val="bt"/>
    <w:uiPriority w:val="99"/>
    <w:unhideWhenUsed/>
    <w:qFormat/>
    <w:rsid w:val="00E66D1C"/>
    <w:pPr>
      <w:numPr>
        <w:numId w:val="8"/>
      </w:numPr>
      <w:tabs>
        <w:tab w:val="clear" w:pos="926"/>
        <w:tab w:val="num" w:pos="1418"/>
      </w:tabs>
      <w:ind w:left="1418" w:hanging="284"/>
      <w:contextualSpacing/>
    </w:pPr>
  </w:style>
  <w:style w:type="paragraph" w:styleId="ListNumber4">
    <w:name w:val="List Number 4"/>
    <w:basedOn w:val="bt"/>
    <w:uiPriority w:val="99"/>
    <w:unhideWhenUsed/>
    <w:qFormat/>
    <w:rsid w:val="00E66D1C"/>
    <w:pPr>
      <w:numPr>
        <w:numId w:val="9"/>
      </w:numPr>
      <w:tabs>
        <w:tab w:val="clear" w:pos="1209"/>
        <w:tab w:val="left" w:pos="1701"/>
      </w:tabs>
      <w:ind w:left="1701" w:hanging="283"/>
      <w:contextualSpacing/>
    </w:pPr>
  </w:style>
  <w:style w:type="table" w:customStyle="1" w:styleId="MediumGrid31">
    <w:name w:val="Medium Grid 31"/>
    <w:basedOn w:val="TableNormal"/>
    <w:uiPriority w:val="69"/>
    <w:rsid w:val="00E66D1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Accent5">
    <w:name w:val="Medium Shading 1 Accent 5"/>
    <w:basedOn w:val="TableNormal"/>
    <w:uiPriority w:val="63"/>
    <w:rsid w:val="00E66D1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bttextbox">
    <w:name w:val="bt_textbox"/>
    <w:basedOn w:val="bt"/>
    <w:qFormat/>
    <w:rsid w:val="00F379BE"/>
  </w:style>
  <w:style w:type="paragraph" w:customStyle="1" w:styleId="Default">
    <w:name w:val="Default"/>
    <w:rsid w:val="00A14432"/>
    <w:pPr>
      <w:autoSpaceDE w:val="0"/>
      <w:autoSpaceDN w:val="0"/>
      <w:adjustRightInd w:val="0"/>
      <w:spacing w:after="0" w:line="240" w:lineRule="auto"/>
    </w:pPr>
    <w:rPr>
      <w:rFonts w:ascii="DIN" w:hAnsi="DIN" w:cs="DIN"/>
      <w:color w:val="000000"/>
      <w:sz w:val="24"/>
      <w:szCs w:val="24"/>
    </w:rPr>
  </w:style>
  <w:style w:type="paragraph" w:styleId="TOC4">
    <w:name w:val="toc 4"/>
    <w:basedOn w:val="Normal"/>
    <w:next w:val="Normal"/>
    <w:autoRedefine/>
    <w:uiPriority w:val="39"/>
    <w:unhideWhenUsed/>
    <w:rsid w:val="00032955"/>
    <w:pPr>
      <w:spacing w:after="100"/>
      <w:ind w:left="660"/>
    </w:pPr>
  </w:style>
  <w:style w:type="paragraph" w:styleId="TOC5">
    <w:name w:val="toc 5"/>
    <w:basedOn w:val="Normal"/>
    <w:next w:val="Normal"/>
    <w:autoRedefine/>
    <w:uiPriority w:val="39"/>
    <w:unhideWhenUsed/>
    <w:rsid w:val="00032955"/>
    <w:pPr>
      <w:spacing w:after="100"/>
      <w:ind w:left="880"/>
    </w:pPr>
  </w:style>
  <w:style w:type="paragraph" w:styleId="TOC6">
    <w:name w:val="toc 6"/>
    <w:basedOn w:val="Normal"/>
    <w:next w:val="Normal"/>
    <w:autoRedefine/>
    <w:uiPriority w:val="39"/>
    <w:unhideWhenUsed/>
    <w:rsid w:val="00032955"/>
    <w:pPr>
      <w:spacing w:after="100"/>
      <w:ind w:left="1100"/>
    </w:pPr>
  </w:style>
  <w:style w:type="paragraph" w:styleId="TOC7">
    <w:name w:val="toc 7"/>
    <w:basedOn w:val="Normal"/>
    <w:next w:val="Normal"/>
    <w:autoRedefine/>
    <w:uiPriority w:val="39"/>
    <w:unhideWhenUsed/>
    <w:rsid w:val="00032955"/>
    <w:pPr>
      <w:spacing w:after="100"/>
      <w:ind w:left="1320"/>
    </w:pPr>
  </w:style>
  <w:style w:type="paragraph" w:styleId="TOC8">
    <w:name w:val="toc 8"/>
    <w:basedOn w:val="Normal"/>
    <w:next w:val="Normal"/>
    <w:autoRedefine/>
    <w:uiPriority w:val="39"/>
    <w:unhideWhenUsed/>
    <w:rsid w:val="00032955"/>
    <w:pPr>
      <w:spacing w:after="100"/>
      <w:ind w:left="1540"/>
    </w:pPr>
  </w:style>
  <w:style w:type="paragraph" w:styleId="TOC9">
    <w:name w:val="toc 9"/>
    <w:basedOn w:val="Normal"/>
    <w:next w:val="Normal"/>
    <w:autoRedefine/>
    <w:uiPriority w:val="39"/>
    <w:unhideWhenUsed/>
    <w:rsid w:val="00032955"/>
    <w:pPr>
      <w:spacing w:after="100"/>
      <w:ind w:left="1760"/>
    </w:pPr>
  </w:style>
  <w:style w:type="paragraph" w:styleId="NormalWeb">
    <w:name w:val="Normal (Web)"/>
    <w:basedOn w:val="Normal"/>
    <w:uiPriority w:val="99"/>
    <w:semiHidden/>
    <w:unhideWhenUsed/>
    <w:rsid w:val="00842BD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07C7"/>
    <w:rPr>
      <w:sz w:val="16"/>
      <w:szCs w:val="16"/>
    </w:rPr>
  </w:style>
  <w:style w:type="paragraph" w:styleId="CommentSubject">
    <w:name w:val="annotation subject"/>
    <w:basedOn w:val="CommentText"/>
    <w:next w:val="CommentText"/>
    <w:link w:val="CommentSubjectChar"/>
    <w:uiPriority w:val="99"/>
    <w:semiHidden/>
    <w:unhideWhenUsed/>
    <w:rsid w:val="00B67FA4"/>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67FA4"/>
    <w:rPr>
      <w:rFonts w:ascii="Arial" w:eastAsia="Times New Roman" w:hAnsi="Arial" w:cs="Times New Roman"/>
      <w:b/>
      <w:bCs/>
      <w:sz w:val="20"/>
      <w:szCs w:val="20"/>
      <w:lang w:eastAsia="en-AU"/>
    </w:rPr>
  </w:style>
  <w:style w:type="character" w:styleId="PlaceholderText">
    <w:name w:val="Placeholder Text"/>
    <w:basedOn w:val="DefaultParagraphFont"/>
    <w:uiPriority w:val="99"/>
    <w:semiHidden/>
    <w:rsid w:val="00C643C6"/>
    <w:rPr>
      <w:color w:val="808080"/>
    </w:rPr>
  </w:style>
  <w:style w:type="character" w:styleId="FootnoteReference">
    <w:name w:val="footnote reference"/>
    <w:aliases w:val="o,(NECG) Footnote Reference"/>
    <w:basedOn w:val="DefaultParagraphFont"/>
    <w:uiPriority w:val="99"/>
    <w:unhideWhenUsed/>
    <w:rsid w:val="00C33AD2"/>
    <w:rPr>
      <w:vertAlign w:val="superscript"/>
    </w:rPr>
  </w:style>
  <w:style w:type="paragraph" w:customStyle="1" w:styleId="Parah0number">
    <w:name w:val="Parah 0 number"/>
    <w:basedOn w:val="Normal"/>
    <w:rsid w:val="002368FB"/>
    <w:pPr>
      <w:numPr>
        <w:numId w:val="10"/>
      </w:numPr>
      <w:spacing w:after="60" w:line="240" w:lineRule="auto"/>
    </w:pPr>
    <w:rPr>
      <w:rFonts w:ascii="Arial" w:eastAsia="Times New Roman" w:hAnsi="Arial" w:cs="Times New Roman"/>
      <w:szCs w:val="20"/>
    </w:rPr>
  </w:style>
  <w:style w:type="paragraph" w:customStyle="1" w:styleId="Heading20">
    <w:name w:val="^Heading 2"/>
    <w:basedOn w:val="Heading2"/>
    <w:qFormat/>
    <w:rsid w:val="003579E0"/>
    <w:pPr>
      <w:keepLines/>
      <w:numPr>
        <w:ilvl w:val="0"/>
        <w:numId w:val="0"/>
      </w:numPr>
      <w:tabs>
        <w:tab w:val="clear" w:pos="851"/>
      </w:tabs>
      <w:spacing w:before="200" w:after="120"/>
    </w:pPr>
    <w:rPr>
      <w:rFonts w:eastAsia="MS Gothic" w:cs="Times New Roman"/>
      <w:iCs w:val="0"/>
      <w:color w:val="D46613"/>
      <w:sz w:val="26"/>
      <w:szCs w:val="26"/>
      <w:lang w:eastAsia="en-US"/>
    </w:rPr>
  </w:style>
  <w:style w:type="paragraph" w:customStyle="1" w:styleId="Sourcestyle">
    <w:name w:val="Source style"/>
    <w:basedOn w:val="Normal"/>
    <w:link w:val="SourcestyleChar"/>
    <w:qFormat/>
    <w:rsid w:val="005342DB"/>
    <w:pPr>
      <w:spacing w:after="0" w:line="240" w:lineRule="auto"/>
    </w:pPr>
    <w:rPr>
      <w:rFonts w:ascii="Calibri" w:eastAsia="MS Mincho" w:hAnsi="Calibri" w:cs="Calibri"/>
      <w:sz w:val="16"/>
      <w:szCs w:val="24"/>
    </w:rPr>
  </w:style>
  <w:style w:type="character" w:customStyle="1" w:styleId="SourcestyleChar">
    <w:name w:val="Source style Char"/>
    <w:basedOn w:val="DefaultParagraphFont"/>
    <w:link w:val="Sourcestyle"/>
    <w:rsid w:val="005342DB"/>
    <w:rPr>
      <w:rFonts w:ascii="Calibri" w:eastAsia="MS Mincho" w:hAnsi="Calibri" w:cs="Calibri"/>
      <w:sz w:val="16"/>
      <w:szCs w:val="24"/>
    </w:rPr>
  </w:style>
  <w:style w:type="paragraph" w:styleId="Revision">
    <w:name w:val="Revision"/>
    <w:hidden/>
    <w:uiPriority w:val="99"/>
    <w:semiHidden/>
    <w:rsid w:val="002E457D"/>
    <w:pPr>
      <w:spacing w:after="0" w:line="240" w:lineRule="auto"/>
    </w:pPr>
  </w:style>
  <w:style w:type="character" w:customStyle="1" w:styleId="A4">
    <w:name w:val="A4"/>
    <w:uiPriority w:val="99"/>
    <w:rsid w:val="00D839B0"/>
    <w:rPr>
      <w:rFonts w:cs="DIN"/>
      <w:color w:val="221E1F"/>
      <w:sz w:val="16"/>
      <w:szCs w:val="16"/>
    </w:rPr>
  </w:style>
  <w:style w:type="character" w:customStyle="1" w:styleId="btChar">
    <w:name w:val="bt Char"/>
    <w:basedOn w:val="DefaultParagraphFont"/>
    <w:link w:val="bt"/>
    <w:rsid w:val="00B93AA2"/>
    <w:rPr>
      <w:rFonts w:ascii="Calibri" w:eastAsia="Times New Roman" w:hAnsi="Calibri" w:cs="Times New Roman"/>
      <w:sz w:val="20"/>
      <w:szCs w:val="24"/>
    </w:rPr>
  </w:style>
  <w:style w:type="paragraph" w:customStyle="1" w:styleId="ToC-Heading">
    <w:name w:val="ToC-Heading"/>
    <w:basedOn w:val="bt"/>
    <w:link w:val="ToC-HeadingChar"/>
    <w:qFormat/>
    <w:rsid w:val="00CF45B4"/>
    <w:pPr>
      <w:spacing w:after="40"/>
    </w:pPr>
    <w:rPr>
      <w:b/>
      <w:bCs/>
      <w:color w:val="D46613"/>
      <w:sz w:val="34"/>
      <w:szCs w:val="28"/>
      <w:lang w:val="en-US"/>
    </w:rPr>
  </w:style>
  <w:style w:type="paragraph" w:customStyle="1" w:styleId="Header-Heading">
    <w:name w:val="Header-Heading"/>
    <w:basedOn w:val="Header"/>
    <w:link w:val="Header-HeadingChar"/>
    <w:qFormat/>
    <w:rsid w:val="00C040BB"/>
    <w:pPr>
      <w:tabs>
        <w:tab w:val="clear" w:pos="9026"/>
        <w:tab w:val="right" w:pos="9072"/>
      </w:tabs>
      <w:spacing w:line="276" w:lineRule="auto"/>
      <w:jc w:val="center"/>
    </w:pPr>
    <w:rPr>
      <w:szCs w:val="20"/>
    </w:rPr>
  </w:style>
  <w:style w:type="character" w:customStyle="1" w:styleId="ToC-HeadingChar">
    <w:name w:val="ToC-Heading Char"/>
    <w:basedOn w:val="btChar"/>
    <w:link w:val="ToC-Heading"/>
    <w:rsid w:val="00CF45B4"/>
    <w:rPr>
      <w:rFonts w:ascii="Calibri" w:eastAsia="Times New Roman" w:hAnsi="Calibri" w:cs="Times New Roman"/>
      <w:b/>
      <w:bCs/>
      <w:color w:val="D46613"/>
      <w:sz w:val="34"/>
      <w:szCs w:val="28"/>
      <w:lang w:val="en-US"/>
    </w:rPr>
  </w:style>
  <w:style w:type="paragraph" w:customStyle="1" w:styleId="Header-SubHeading">
    <w:name w:val="Header-SubHeading"/>
    <w:basedOn w:val="Header"/>
    <w:link w:val="Header-SubHeadingChar"/>
    <w:qFormat/>
    <w:rsid w:val="004538E7"/>
    <w:pPr>
      <w:pBdr>
        <w:bottom w:val="single" w:sz="4" w:space="1" w:color="auto"/>
      </w:pBdr>
      <w:tabs>
        <w:tab w:val="clear" w:pos="9026"/>
        <w:tab w:val="right" w:pos="9072"/>
      </w:tabs>
      <w:spacing w:line="276" w:lineRule="auto"/>
      <w:jc w:val="center"/>
    </w:pPr>
    <w:rPr>
      <w:b/>
      <w:szCs w:val="20"/>
    </w:rPr>
  </w:style>
  <w:style w:type="character" w:customStyle="1" w:styleId="Header-HeadingChar">
    <w:name w:val="Header-Heading Char"/>
    <w:basedOn w:val="HeaderChar"/>
    <w:link w:val="Header-Heading"/>
    <w:rsid w:val="00C040BB"/>
    <w:rPr>
      <w:sz w:val="20"/>
      <w:szCs w:val="20"/>
    </w:rPr>
  </w:style>
  <w:style w:type="paragraph" w:customStyle="1" w:styleId="Header-SubSubHeading">
    <w:name w:val="Header-SubSubHeading"/>
    <w:basedOn w:val="Header"/>
    <w:link w:val="Header-SubSubHeadingChar"/>
    <w:qFormat/>
    <w:rsid w:val="00C040BB"/>
    <w:pPr>
      <w:pBdr>
        <w:bottom w:val="single" w:sz="4" w:space="1" w:color="auto"/>
      </w:pBdr>
      <w:tabs>
        <w:tab w:val="clear" w:pos="9026"/>
        <w:tab w:val="right" w:pos="9072"/>
      </w:tabs>
      <w:spacing w:line="276" w:lineRule="auto"/>
      <w:jc w:val="center"/>
    </w:pPr>
    <w:rPr>
      <w:sz w:val="18"/>
      <w:szCs w:val="18"/>
    </w:rPr>
  </w:style>
  <w:style w:type="character" w:customStyle="1" w:styleId="Header-SubHeadingChar">
    <w:name w:val="Header-SubHeading Char"/>
    <w:basedOn w:val="HeaderChar"/>
    <w:link w:val="Header-SubHeading"/>
    <w:rsid w:val="004538E7"/>
    <w:rPr>
      <w:b/>
      <w:sz w:val="20"/>
      <w:szCs w:val="20"/>
    </w:rPr>
  </w:style>
  <w:style w:type="paragraph" w:customStyle="1" w:styleId="Footer-Style">
    <w:name w:val="Footer-Style"/>
    <w:basedOn w:val="Normal"/>
    <w:link w:val="Footer-StyleChar"/>
    <w:qFormat/>
    <w:rsid w:val="00EB1BA7"/>
    <w:pPr>
      <w:spacing w:after="0"/>
      <w:jc w:val="both"/>
    </w:pPr>
    <w:rPr>
      <w:sz w:val="12"/>
      <w:szCs w:val="12"/>
      <w:lang w:val="en-US"/>
    </w:rPr>
  </w:style>
  <w:style w:type="character" w:customStyle="1" w:styleId="Header-SubSubHeadingChar">
    <w:name w:val="Header-SubSubHeading Char"/>
    <w:basedOn w:val="HeaderChar"/>
    <w:link w:val="Header-SubSubHeading"/>
    <w:rsid w:val="00C040BB"/>
    <w:rPr>
      <w:sz w:val="18"/>
      <w:szCs w:val="18"/>
    </w:rPr>
  </w:style>
  <w:style w:type="character" w:customStyle="1" w:styleId="Footer-StyleChar">
    <w:name w:val="Footer-Style Char"/>
    <w:basedOn w:val="DefaultParagraphFont"/>
    <w:link w:val="Footer-Style"/>
    <w:rsid w:val="00EB1BA7"/>
    <w:rPr>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0483">
      <w:bodyDiv w:val="1"/>
      <w:marLeft w:val="0"/>
      <w:marRight w:val="0"/>
      <w:marTop w:val="0"/>
      <w:marBottom w:val="0"/>
      <w:divBdr>
        <w:top w:val="none" w:sz="0" w:space="0" w:color="auto"/>
        <w:left w:val="none" w:sz="0" w:space="0" w:color="auto"/>
        <w:bottom w:val="none" w:sz="0" w:space="0" w:color="auto"/>
        <w:right w:val="none" w:sz="0" w:space="0" w:color="auto"/>
      </w:divBdr>
    </w:div>
    <w:div w:id="328212409">
      <w:bodyDiv w:val="1"/>
      <w:marLeft w:val="0"/>
      <w:marRight w:val="0"/>
      <w:marTop w:val="0"/>
      <w:marBottom w:val="0"/>
      <w:divBdr>
        <w:top w:val="none" w:sz="0" w:space="0" w:color="auto"/>
        <w:left w:val="none" w:sz="0" w:space="0" w:color="auto"/>
        <w:bottom w:val="none" w:sz="0" w:space="0" w:color="auto"/>
        <w:right w:val="none" w:sz="0" w:space="0" w:color="auto"/>
      </w:divBdr>
    </w:div>
    <w:div w:id="721831774">
      <w:bodyDiv w:val="1"/>
      <w:marLeft w:val="0"/>
      <w:marRight w:val="0"/>
      <w:marTop w:val="0"/>
      <w:marBottom w:val="0"/>
      <w:divBdr>
        <w:top w:val="none" w:sz="0" w:space="0" w:color="auto"/>
        <w:left w:val="none" w:sz="0" w:space="0" w:color="auto"/>
        <w:bottom w:val="none" w:sz="0" w:space="0" w:color="auto"/>
        <w:right w:val="none" w:sz="0" w:space="0" w:color="auto"/>
      </w:divBdr>
    </w:div>
    <w:div w:id="756947737">
      <w:bodyDiv w:val="1"/>
      <w:marLeft w:val="0"/>
      <w:marRight w:val="0"/>
      <w:marTop w:val="0"/>
      <w:marBottom w:val="0"/>
      <w:divBdr>
        <w:top w:val="none" w:sz="0" w:space="0" w:color="auto"/>
        <w:left w:val="none" w:sz="0" w:space="0" w:color="auto"/>
        <w:bottom w:val="none" w:sz="0" w:space="0" w:color="auto"/>
        <w:right w:val="none" w:sz="0" w:space="0" w:color="auto"/>
      </w:divBdr>
    </w:div>
    <w:div w:id="1165172242">
      <w:bodyDiv w:val="1"/>
      <w:marLeft w:val="0"/>
      <w:marRight w:val="0"/>
      <w:marTop w:val="0"/>
      <w:marBottom w:val="0"/>
      <w:divBdr>
        <w:top w:val="none" w:sz="0" w:space="0" w:color="auto"/>
        <w:left w:val="none" w:sz="0" w:space="0" w:color="auto"/>
        <w:bottom w:val="none" w:sz="0" w:space="0" w:color="auto"/>
        <w:right w:val="none" w:sz="0" w:space="0" w:color="auto"/>
      </w:divBdr>
    </w:div>
    <w:div w:id="1507138523">
      <w:bodyDiv w:val="1"/>
      <w:marLeft w:val="0"/>
      <w:marRight w:val="0"/>
      <w:marTop w:val="0"/>
      <w:marBottom w:val="0"/>
      <w:divBdr>
        <w:top w:val="none" w:sz="0" w:space="0" w:color="auto"/>
        <w:left w:val="none" w:sz="0" w:space="0" w:color="auto"/>
        <w:bottom w:val="none" w:sz="0" w:space="0" w:color="auto"/>
        <w:right w:val="none" w:sz="0" w:space="0" w:color="auto"/>
      </w:divBdr>
    </w:div>
    <w:div w:id="1673025044">
      <w:bodyDiv w:val="1"/>
      <w:marLeft w:val="0"/>
      <w:marRight w:val="0"/>
      <w:marTop w:val="0"/>
      <w:marBottom w:val="0"/>
      <w:divBdr>
        <w:top w:val="none" w:sz="0" w:space="0" w:color="auto"/>
        <w:left w:val="none" w:sz="0" w:space="0" w:color="auto"/>
        <w:bottom w:val="none" w:sz="0" w:space="0" w:color="auto"/>
        <w:right w:val="none" w:sz="0" w:space="0" w:color="auto"/>
      </w:divBdr>
    </w:div>
    <w:div w:id="1872838121">
      <w:bodyDiv w:val="1"/>
      <w:marLeft w:val="0"/>
      <w:marRight w:val="0"/>
      <w:marTop w:val="0"/>
      <w:marBottom w:val="0"/>
      <w:divBdr>
        <w:top w:val="none" w:sz="0" w:space="0" w:color="auto"/>
        <w:left w:val="none" w:sz="0" w:space="0" w:color="auto"/>
        <w:bottom w:val="none" w:sz="0" w:space="0" w:color="auto"/>
        <w:right w:val="none" w:sz="0" w:space="0" w:color="auto"/>
      </w:divBdr>
    </w:div>
    <w:div w:id="19638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chart" Target="charts/chart6.xml"/><Relationship Id="rId39" Type="http://schemas.openxmlformats.org/officeDocument/2006/relationships/hyperlink" Target="http://www.dpcd.vic.gov.au/planning/plansandpolicies/urban-development-program/udp-regional-reports/udp-regional-report-wodonga" TargetMode="External"/><Relationship Id="rId21" Type="http://schemas.openxmlformats.org/officeDocument/2006/relationships/hyperlink" Target="http://www.environment.gov.au/heritage/places/national/glenrowan/index.html" TargetMode="External"/><Relationship Id="rId34" Type="http://schemas.openxmlformats.org/officeDocument/2006/relationships/hyperlink" Target="http://www.bushfiresmonitor.vic.gov.au/home/reports/bushfires+royal+commission+implementation+monitor+final+report+pdf" TargetMode="External"/><Relationship Id="rId42" Type="http://schemas.openxmlformats.org/officeDocument/2006/relationships/hyperlink" Target="http://www.water.vic.gov.au/governance/planning-permits-in-potable-water-catchments" TargetMode="External"/><Relationship Id="rId47" Type="http://schemas.openxmlformats.org/officeDocument/2006/relationships/hyperlink" Target="http://www.water.vic.gov.au/livingvictoria/implementation-plan" TargetMode="External"/><Relationship Id="rId50" Type="http://schemas.openxmlformats.org/officeDocument/2006/relationships/hyperlink" Target="http://www.water.vic.gov.au/__data/assets/pdf_file/0009/151569/DSE-8169-Improving-Flood-Warning-Systems_WEB.pdf" TargetMode="External"/><Relationship Id="rId55" Type="http://schemas.openxmlformats.org/officeDocument/2006/relationships/hyperlink" Target="http://www.depi.vic.gov.au/__data/assets/pdf_file/0008/182537/7562-DSE-Victorian-Waste-and-Resource-Recovery_WEB.pdf" TargetMode="External"/><Relationship Id="rId63" Type="http://schemas.openxmlformats.org/officeDocument/2006/relationships/hyperlink" Target="http://www.dpcd.vic.gov.au/planning/plansandpolicies/ruralandregionalplanning/murray-river-settlement-strategy" TargetMode="External"/><Relationship Id="rId68" Type="http://schemas.openxmlformats.org/officeDocument/2006/relationships/hyperlink" Target="http://www.environment.gov.au/heritage/places/commonwealth/index.html%20" TargetMode="External"/><Relationship Id="rId76" Type="http://schemas.openxmlformats.org/officeDocument/2006/relationships/hyperlink" Target="http://www.rdv.vic.gov.au/regional-development-australia/committees/hume/ict/ict-strategy-development" TargetMode="External"/><Relationship Id="rId7" Type="http://schemas.openxmlformats.org/officeDocument/2006/relationships/footnotes" Target="footnotes.xml"/><Relationship Id="rId71" Type="http://schemas.openxmlformats.org/officeDocument/2006/relationships/hyperlink" Target="http://www.transport.vic.gov.au/freight/freight-projects-and-initiatives/victorian-freight-and-logistics-plan" TargetMode="Externa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www.royalcommission.vic.gov.au/Commission-Reports/Final-Report/Summary" TargetMode="External"/><Relationship Id="rId11" Type="http://schemas.openxmlformats.org/officeDocument/2006/relationships/hyperlink" Target="http://www.dtpli.vic.gov.au/regionalgrowthplans" TargetMode="External"/><Relationship Id="rId24" Type="http://schemas.openxmlformats.org/officeDocument/2006/relationships/hyperlink" Target="http://www.environment.gov.au/cgi-bin/ahdb/search.pl?mode=place_detail;search=state%3DVIC%3Blist_code%3DCHL%3Blegal_status%3D35%3Bkeyword_PD%3D0%3Bkeyword_SS%3D0%3Bkeyword_PH%3D0;place_id=105552" TargetMode="External"/><Relationship Id="rId32" Type="http://schemas.openxmlformats.org/officeDocument/2006/relationships/hyperlink" Target="http://www.infrastructure.gov.au/rail/trains/high_speed/index.aspx" TargetMode="External"/><Relationship Id="rId37" Type="http://schemas.openxmlformats.org/officeDocument/2006/relationships/hyperlink" Target="http://www.dpcd.vic.gov.au/planning/publicationsandresearch/practicenotes" TargetMode="External"/><Relationship Id="rId40" Type="http://schemas.openxmlformats.org/officeDocument/2006/relationships/hyperlink" Target="http://www.dse.vic.gov.au/conservation-and-environment/environmental-partnerships" TargetMode="External"/><Relationship Id="rId45" Type="http://schemas.openxmlformats.org/officeDocument/2006/relationships/hyperlink" Target="http://www.gbcma.vic.gov.au/downloads/RegionalCatchmentStrategy/GBCMA_RCS_2013-19.pdf" TargetMode="External"/><Relationship Id="rId53" Type="http://schemas.openxmlformats.org/officeDocument/2006/relationships/hyperlink" Target="http://www.dpc.vic.gov.au/index.php/featured/securing-victorias-economy" TargetMode="External"/><Relationship Id="rId58" Type="http://schemas.openxmlformats.org/officeDocument/2006/relationships/hyperlink" Target="file:///C:\Users\mm0r\AppData\Local\Microsoft\Windows\Temporary%20Internet%20Files\Low\Content.IE5\CY5Z82O0\www.abs.gov.au\websitedbs\censushome.nsf\home\census%3fopendocument&amp;navpos=10" TargetMode="External"/><Relationship Id="rId66" Type="http://schemas.openxmlformats.org/officeDocument/2006/relationships/hyperlink" Target="http://www.dpi.vic.gov.au/agriculture/about-agriculture/newsletters-and-updates/dairy-newsletters/the-dairy-bulletin/april/farm-water-program" TargetMode="External"/><Relationship Id="rId74" Type="http://schemas.openxmlformats.org/officeDocument/2006/relationships/hyperlink" Target="http://www.g-mwater.com.au/connections/the-project" TargetMode="External"/><Relationship Id="rId79" Type="http://schemas.openxmlformats.org/officeDocument/2006/relationships/hyperlink" Target="http://www.vline.com.au" TargetMode="External"/><Relationship Id="rId5" Type="http://schemas.openxmlformats.org/officeDocument/2006/relationships/settings" Target="settings.xml"/><Relationship Id="rId61" Type="http://schemas.openxmlformats.org/officeDocument/2006/relationships/hyperlink" Target="http://www.dartmining.com.au/projects/project-locations" TargetMode="Externa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hyperlink" Target="http://download.mdba.gov.au/Basin-Plan/Explanatory-Statement-Nov2012.pdf" TargetMode="External"/><Relationship Id="rId44" Type="http://schemas.openxmlformats.org/officeDocument/2006/relationships/hyperlink" Target="http://www.thehousingnetwork.com.au/documents/RHNL_Regional_Housing_Study-30Nov2011.pdf" TargetMode="External"/><Relationship Id="rId52" Type="http://schemas.openxmlformats.org/officeDocument/2006/relationships/hyperlink" Target="http://www.dpc.vic.gov.au/index.php/featured/infrastructure-australia-update%09" TargetMode="External"/><Relationship Id="rId60" Type="http://schemas.openxmlformats.org/officeDocument/2006/relationships/hyperlink" Target="file:///C:\Users\mm0r\AppData\Local\Microsoft\Windows\Temporary%20Internet%20Files\Low\Content.IE5\CY5Z82O0\www.alburycity.nsw.gov.au" TargetMode="External"/><Relationship Id="rId65" Type="http://schemas.openxmlformats.org/officeDocument/2006/relationships/hyperlink" Target="http://vhd.heritage.vic.gov.au/vhd/heritagevic%20" TargetMode="External"/><Relationship Id="rId73" Type="http://schemas.openxmlformats.org/officeDocument/2006/relationships/hyperlink" Target="http://www.g-mwater.com.au/water-resources/storages/humedam" TargetMode="External"/><Relationship Id="rId78" Type="http://schemas.openxmlformats.org/officeDocument/2006/relationships/hyperlink" Target="http://www.rdv.vic.gov.au"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environment.gov.au/heritage/places/national/yea-flora/index.html" TargetMode="External"/><Relationship Id="rId27" Type="http://schemas.openxmlformats.org/officeDocument/2006/relationships/chart" Target="charts/chart7.xml"/><Relationship Id="rId30" Type="http://schemas.openxmlformats.org/officeDocument/2006/relationships/hyperlink" Target="http://www.sapo.org.au/pub/pub22023.html" TargetMode="External"/><Relationship Id="rId35" Type="http://schemas.openxmlformats.org/officeDocument/2006/relationships/hyperlink" Target="http://www.dpcd.vic.gov.au/home/publications-and-research/urban-and-regional-research/census-2011/victoria-in-future-2012" TargetMode="External"/><Relationship Id="rId43" Type="http://schemas.openxmlformats.org/officeDocument/2006/relationships/hyperlink" Target="http://www.water.vic.gov.au/initiatives/sws/northern" TargetMode="External"/><Relationship Id="rId48" Type="http://schemas.openxmlformats.org/officeDocument/2006/relationships/hyperlink" Target="http://www.necma.vic.gov.au/ResourceLibrary/StrategiesPlans/images/North%20East%20RCS_May2013_Low%20Res.pdf" TargetMode="External"/><Relationship Id="rId56" Type="http://schemas.openxmlformats.org/officeDocument/2006/relationships/hyperlink" Target="http://www.parliament.vic.gov.au/images/stories/committees/edic/greenfields_mineral_exploration/GME_govt_response.pdf" TargetMode="External"/><Relationship Id="rId64" Type="http://schemas.openxmlformats.org/officeDocument/2006/relationships/hyperlink" Target="http://www.dpcd.vic.gov.au/home/publications-and-research/urban-and-regional-research/census-2011/towns-in-time" TargetMode="External"/><Relationship Id="rId69" Type="http://schemas.openxmlformats.org/officeDocument/2006/relationships/hyperlink" Target="http://www.dse.vic.gov.au/land-management/land/salinity/dryland-salinity/dryland-salinity-the-extent-of-dryland-salinity" TargetMode="External"/><Relationship Id="rId77" Type="http://schemas.openxmlformats.org/officeDocument/2006/relationships/hyperlink" Target="http://www.dpcd.vic.gov.au/home/publications-and-research/urban-and-regional-research/Regional-Victoria/regional-matters-an-atlas-of-regional-victoria-2005" TargetMode="External"/><Relationship Id="rId8" Type="http://schemas.openxmlformats.org/officeDocument/2006/relationships/endnotes" Target="endnotes.xml"/><Relationship Id="rId51" Type="http://schemas.openxmlformats.org/officeDocument/2006/relationships/hyperlink" Target="http://www.climatechange.vic.gov.au/__data/assets/pdf_file/0005/136490/DSE_Greenhouse-Report_online.pdf" TargetMode="External"/><Relationship Id="rId72" Type="http://schemas.openxmlformats.org/officeDocument/2006/relationships/hyperlink" Target="http://www.infrastructure.gov.au/aviation/environmental/airport_safeguarding/nas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chart" Target="charts/chart5.xml"/><Relationship Id="rId33" Type="http://schemas.openxmlformats.org/officeDocument/2006/relationships/hyperlink" Target="http://www.infrastructure.gov.au/infrastructure/mcu/urbanpolicy/index.aspx" TargetMode="External"/><Relationship Id="rId38" Type="http://schemas.openxmlformats.org/officeDocument/2006/relationships/hyperlink" Target="http://www.dpcd.vic.gov.au/planning/plansandpolicies/urban-development-program/udp-regional-reports/udp-regional-report-wodonga" TargetMode="External"/><Relationship Id="rId46" Type="http://schemas.openxmlformats.org/officeDocument/2006/relationships/hyperlink" Target="http://www.rdv.vic.gov.au/regional-development-australia/committees/hume/regional-plan" TargetMode="External"/><Relationship Id="rId59" Type="http://schemas.openxmlformats.org/officeDocument/2006/relationships/hyperlink" Target="http://www.abs.gov.au/websitedbs/censushome.nsf/home/seifa?opendocument&amp;navpos=260" TargetMode="External"/><Relationship Id="rId67" Type="http://schemas.openxmlformats.org/officeDocument/2006/relationships/hyperlink" Target="http://www.environment.gov.au/heritage/places/national/index.html" TargetMode="External"/><Relationship Id="rId20" Type="http://schemas.openxmlformats.org/officeDocument/2006/relationships/hyperlink" Target="http://www.environment.gov.au/heritage/places/national/australian-alps/index.html" TargetMode="External"/><Relationship Id="rId41" Type="http://schemas.openxmlformats.org/officeDocument/2006/relationships/hyperlink" Target="http://www.dse.vic.gov.au/land-management/dse-soil-health-strategy" TargetMode="External"/><Relationship Id="rId54" Type="http://schemas.openxmlformats.org/officeDocument/2006/relationships/hyperlink" Target="http://www.depi.vic.gov.au/__data/assets/pdf_file/0005/181067/4493_DSE_Climate_Change_Adaptation_Plan_WEB.pdf" TargetMode="External"/><Relationship Id="rId62" Type="http://schemas.openxmlformats.org/officeDocument/2006/relationships/hyperlink" Target="http://www.nbnco.com.au/rollout/rollout-map.html?icid=pub:rollout:1yr:bod:map-lp" TargetMode="External"/><Relationship Id="rId70" Type="http://schemas.openxmlformats.org/officeDocument/2006/relationships/hyperlink" Target="http://www.dse.vic.gov.au/conservation-and-environment/ecomarkets" TargetMode="External"/><Relationship Id="rId75" Type="http://schemas.openxmlformats.org/officeDocument/2006/relationships/hyperlink" Target="http://www.mdba.gov.au/programs/tl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environment.gov.au/heritage/places/national/bonegilla/index.html" TargetMode="External"/><Relationship Id="rId28" Type="http://schemas.openxmlformats.org/officeDocument/2006/relationships/chart" Target="charts/chart8.xml"/><Relationship Id="rId36" Type="http://schemas.openxmlformats.org/officeDocument/2006/relationships/hyperlink" Target="http://www.dpcd.vic.gov.au/planning/plansandpolicies/ruralandregionalplanning/regionalgrowthplans/hume-regional-growth-plan" TargetMode="External"/><Relationship Id="rId49" Type="http://schemas.openxmlformats.org/officeDocument/2006/relationships/hyperlink" Target="http://www.floodsreview.vic.gov.au/about-the-review/final-report.html" TargetMode="External"/><Relationship Id="rId57" Type="http://schemas.openxmlformats.org/officeDocument/2006/relationships/hyperlink" Target="http://www.dpcd.vic.gov.au/home/publications-and-research/urban-and-regional-research/Regional-Victoria/regional-matters-an-atlas-of-regional-victoria-200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epi.vic.gov.au/land-management/land/salinity/dryland-salinity/dryland-salinity-the-extent-of-dryland-salinity" TargetMode="External"/><Relationship Id="rId1" Type="http://schemas.openxmlformats.org/officeDocument/2006/relationships/hyperlink" Target="http://www.depi.vic.gov.au/conservation-and-environment/biodiversity/naturepr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rw78\Desktop\Hume%20Graphs\Figure%206.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rw78\Desktop\Hume%20Graphs\Figure%208.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w78\Desktop\Hume%20Graphs\Hume%20data%20from%202012%20Regional%20Profile%2013052013.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rw78\Desktop\Hume%20Graphs\Hume%20data%20from%202012%20Regional%20Profile%2013052013.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rw78\Desktop\Hume%20Graphs\Hume%20data%20from%202012%20Regional%20Profile%201305201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w78\Desktop\Hume%20Graphs\Hume%20data%20from%202012%20Regional%20Profile%201305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9.4457286519894726E-2"/>
          <c:y val="2.0733052307855496E-2"/>
          <c:w val="0.81460023174971063"/>
          <c:h val="0.40824742268041225"/>
        </c:manualLayout>
      </c:layout>
      <c:barChart>
        <c:barDir val="col"/>
        <c:grouping val="clustered"/>
        <c:varyColors val="0"/>
        <c:ser>
          <c:idx val="0"/>
          <c:order val="0"/>
          <c:tx>
            <c:v>1996</c:v>
          </c:tx>
          <c:spPr>
            <a:solidFill>
              <a:srgbClr val="D46613"/>
            </a:solidFill>
            <a:ln>
              <a:solidFill>
                <a:sysClr val="windowText" lastClr="000000"/>
              </a:solidFill>
            </a:ln>
          </c:spPr>
          <c:invertIfNegative val="0"/>
          <c:cat>
            <c:strRef>
              <c:f>Sheet1!$A$88:$A$107</c:f>
              <c:strCache>
                <c:ptCount val="20"/>
                <c:pt idx="0">
                  <c:v>Agriculture, Forestry and Fishing</c:v>
                </c:pt>
                <c:pt idx="1">
                  <c:v>Mining</c:v>
                </c:pt>
                <c:pt idx="2">
                  <c:v>Manufacturing</c:v>
                </c:pt>
                <c:pt idx="3">
                  <c:v>Electricity, Gas, Water and Waste Services</c:v>
                </c:pt>
                <c:pt idx="4">
                  <c:v>Construction</c:v>
                </c:pt>
                <c:pt idx="5">
                  <c:v>Wholesale Trade</c:v>
                </c:pt>
                <c:pt idx="6">
                  <c:v>Retail Trade</c:v>
                </c:pt>
                <c:pt idx="7">
                  <c:v>Accommodation and Food Services</c:v>
                </c:pt>
                <c:pt idx="8">
                  <c:v>Transport, Postal and Warehousing</c:v>
                </c:pt>
                <c:pt idx="9">
                  <c:v>Information Media and Telecommunications</c:v>
                </c:pt>
                <c:pt idx="10">
                  <c:v>Financial and Insurance Services </c:v>
                </c:pt>
                <c:pt idx="11">
                  <c:v>Rental, Hiring and Real Estate Services</c:v>
                </c:pt>
                <c:pt idx="12">
                  <c:v>Professional, Scientific and Technical Services</c:v>
                </c:pt>
                <c:pt idx="13">
                  <c:v>Administrative and Support Services</c:v>
                </c:pt>
                <c:pt idx="14">
                  <c:v>Public Administration and Safety</c:v>
                </c:pt>
                <c:pt idx="15">
                  <c:v>Education and Training</c:v>
                </c:pt>
                <c:pt idx="16">
                  <c:v>Health Care and Social Assistance</c:v>
                </c:pt>
                <c:pt idx="17">
                  <c:v>Arts and Recreation Services</c:v>
                </c:pt>
                <c:pt idx="18">
                  <c:v>Other Services</c:v>
                </c:pt>
                <c:pt idx="19">
                  <c:v>Inadequately described/Not stated</c:v>
                </c:pt>
              </c:strCache>
            </c:strRef>
          </c:cat>
          <c:val>
            <c:numRef>
              <c:f>Sheet1!$B$88:$B$107</c:f>
              <c:numCache>
                <c:formatCode>0.00</c:formatCode>
                <c:ptCount val="20"/>
                <c:pt idx="0">
                  <c:v>13.130352045670723</c:v>
                </c:pt>
                <c:pt idx="1">
                  <c:v>0.20284187743750071</c:v>
                </c:pt>
                <c:pt idx="2">
                  <c:v>14.746813605043799</c:v>
                </c:pt>
                <c:pt idx="3">
                  <c:v>1.2891960560847318</c:v>
                </c:pt>
                <c:pt idx="4">
                  <c:v>5.4892776110663934</c:v>
                </c:pt>
                <c:pt idx="5">
                  <c:v>4.4206982361121314</c:v>
                </c:pt>
                <c:pt idx="6">
                  <c:v>10.228876736964271</c:v>
                </c:pt>
                <c:pt idx="7">
                  <c:v>6.4668918141801104</c:v>
                </c:pt>
                <c:pt idx="8">
                  <c:v>3.9512343032799739</c:v>
                </c:pt>
                <c:pt idx="9">
                  <c:v>1.4198931420624894</c:v>
                </c:pt>
                <c:pt idx="10">
                  <c:v>2.1110193327129592</c:v>
                </c:pt>
                <c:pt idx="11">
                  <c:v>0.94833805585470654</c:v>
                </c:pt>
                <c:pt idx="12">
                  <c:v>3.0353091247477537</c:v>
                </c:pt>
                <c:pt idx="13">
                  <c:v>1.7168369214040033</c:v>
                </c:pt>
                <c:pt idx="14">
                  <c:v>6.7805648205267355</c:v>
                </c:pt>
                <c:pt idx="15">
                  <c:v>7.1768383852113997</c:v>
                </c:pt>
                <c:pt idx="16">
                  <c:v>8.9710479815142055</c:v>
                </c:pt>
                <c:pt idx="17">
                  <c:v>0.81136750974999716</c:v>
                </c:pt>
                <c:pt idx="18">
                  <c:v>4.0819313892577451</c:v>
                </c:pt>
                <c:pt idx="19">
                  <c:v>3.020671051118244</c:v>
                </c:pt>
              </c:numCache>
            </c:numRef>
          </c:val>
        </c:ser>
        <c:ser>
          <c:idx val="1"/>
          <c:order val="1"/>
          <c:tx>
            <c:v>2001</c:v>
          </c:tx>
          <c:spPr>
            <a:solidFill>
              <a:srgbClr val="E9B189"/>
            </a:solidFill>
            <a:ln>
              <a:solidFill>
                <a:sysClr val="windowText" lastClr="000000"/>
              </a:solidFill>
            </a:ln>
          </c:spPr>
          <c:invertIfNegative val="0"/>
          <c:cat>
            <c:strRef>
              <c:f>Sheet1!$A$88:$A$107</c:f>
              <c:strCache>
                <c:ptCount val="20"/>
                <c:pt idx="0">
                  <c:v>Agriculture, Forestry and Fishing</c:v>
                </c:pt>
                <c:pt idx="1">
                  <c:v>Mining</c:v>
                </c:pt>
                <c:pt idx="2">
                  <c:v>Manufacturing</c:v>
                </c:pt>
                <c:pt idx="3">
                  <c:v>Electricity, Gas, Water and Waste Services</c:v>
                </c:pt>
                <c:pt idx="4">
                  <c:v>Construction</c:v>
                </c:pt>
                <c:pt idx="5">
                  <c:v>Wholesale Trade</c:v>
                </c:pt>
                <c:pt idx="6">
                  <c:v>Retail Trade</c:v>
                </c:pt>
                <c:pt idx="7">
                  <c:v>Accommodation and Food Services</c:v>
                </c:pt>
                <c:pt idx="8">
                  <c:v>Transport, Postal and Warehousing</c:v>
                </c:pt>
                <c:pt idx="9">
                  <c:v>Information Media and Telecommunications</c:v>
                </c:pt>
                <c:pt idx="10">
                  <c:v>Financial and Insurance Services </c:v>
                </c:pt>
                <c:pt idx="11">
                  <c:v>Rental, Hiring and Real Estate Services</c:v>
                </c:pt>
                <c:pt idx="12">
                  <c:v>Professional, Scientific and Technical Services</c:v>
                </c:pt>
                <c:pt idx="13">
                  <c:v>Administrative and Support Services</c:v>
                </c:pt>
                <c:pt idx="14">
                  <c:v>Public Administration and Safety</c:v>
                </c:pt>
                <c:pt idx="15">
                  <c:v>Education and Training</c:v>
                </c:pt>
                <c:pt idx="16">
                  <c:v>Health Care and Social Assistance</c:v>
                </c:pt>
                <c:pt idx="17">
                  <c:v>Arts and Recreation Services</c:v>
                </c:pt>
                <c:pt idx="18">
                  <c:v>Other Services</c:v>
                </c:pt>
                <c:pt idx="19">
                  <c:v>Inadequately described/Not stated</c:v>
                </c:pt>
              </c:strCache>
            </c:strRef>
          </c:cat>
          <c:val>
            <c:numRef>
              <c:f>Sheet1!$C$88:$C$107</c:f>
              <c:numCache>
                <c:formatCode>0.00</c:formatCode>
                <c:ptCount val="20"/>
                <c:pt idx="0">
                  <c:v>12.11626641796845</c:v>
                </c:pt>
                <c:pt idx="1">
                  <c:v>0.16515116188699869</c:v>
                </c:pt>
                <c:pt idx="2">
                  <c:v>15.776793347322609</c:v>
                </c:pt>
                <c:pt idx="3">
                  <c:v>1.0161653843164686</c:v>
                </c:pt>
                <c:pt idx="4">
                  <c:v>6.1766534545737581</c:v>
                </c:pt>
                <c:pt idx="5">
                  <c:v>4.1297505245978066</c:v>
                </c:pt>
                <c:pt idx="6">
                  <c:v>11.106901375612031</c:v>
                </c:pt>
                <c:pt idx="7">
                  <c:v>6.5322141913421934</c:v>
                </c:pt>
                <c:pt idx="8">
                  <c:v>4.1491800730550663</c:v>
                </c:pt>
                <c:pt idx="9">
                  <c:v>1.185202455894925</c:v>
                </c:pt>
                <c:pt idx="10">
                  <c:v>1.725343903007694</c:v>
                </c:pt>
                <c:pt idx="11">
                  <c:v>1.0618248231911078</c:v>
                </c:pt>
                <c:pt idx="12">
                  <c:v>3.3127380119685967</c:v>
                </c:pt>
                <c:pt idx="13">
                  <c:v>2.2888008082692202</c:v>
                </c:pt>
                <c:pt idx="14">
                  <c:v>5.3674127613273797</c:v>
                </c:pt>
                <c:pt idx="15">
                  <c:v>7.2763658972565484</c:v>
                </c:pt>
                <c:pt idx="16">
                  <c:v>9.8517525452708501</c:v>
                </c:pt>
                <c:pt idx="17">
                  <c:v>0.97439185513329063</c:v>
                </c:pt>
                <c:pt idx="18">
                  <c:v>3.5342348643817516</c:v>
                </c:pt>
                <c:pt idx="19">
                  <c:v>2.2528561436231973</c:v>
                </c:pt>
              </c:numCache>
            </c:numRef>
          </c:val>
        </c:ser>
        <c:ser>
          <c:idx val="2"/>
          <c:order val="2"/>
          <c:tx>
            <c:v>2006</c:v>
          </c:tx>
          <c:spPr>
            <a:solidFill>
              <a:srgbClr val="FBF0E8"/>
            </a:solidFill>
            <a:ln>
              <a:solidFill>
                <a:sysClr val="windowText" lastClr="000000"/>
              </a:solidFill>
            </a:ln>
          </c:spPr>
          <c:invertIfNegative val="0"/>
          <c:cat>
            <c:strRef>
              <c:f>Sheet1!$A$88:$A$107</c:f>
              <c:strCache>
                <c:ptCount val="20"/>
                <c:pt idx="0">
                  <c:v>Agriculture, Forestry and Fishing</c:v>
                </c:pt>
                <c:pt idx="1">
                  <c:v>Mining</c:v>
                </c:pt>
                <c:pt idx="2">
                  <c:v>Manufacturing</c:v>
                </c:pt>
                <c:pt idx="3">
                  <c:v>Electricity, Gas, Water and Waste Services</c:v>
                </c:pt>
                <c:pt idx="4">
                  <c:v>Construction</c:v>
                </c:pt>
                <c:pt idx="5">
                  <c:v>Wholesale Trade</c:v>
                </c:pt>
                <c:pt idx="6">
                  <c:v>Retail Trade</c:v>
                </c:pt>
                <c:pt idx="7">
                  <c:v>Accommodation and Food Services</c:v>
                </c:pt>
                <c:pt idx="8">
                  <c:v>Transport, Postal and Warehousing</c:v>
                </c:pt>
                <c:pt idx="9">
                  <c:v>Information Media and Telecommunications</c:v>
                </c:pt>
                <c:pt idx="10">
                  <c:v>Financial and Insurance Services </c:v>
                </c:pt>
                <c:pt idx="11">
                  <c:v>Rental, Hiring and Real Estate Services</c:v>
                </c:pt>
                <c:pt idx="12">
                  <c:v>Professional, Scientific and Technical Services</c:v>
                </c:pt>
                <c:pt idx="13">
                  <c:v>Administrative and Support Services</c:v>
                </c:pt>
                <c:pt idx="14">
                  <c:v>Public Administration and Safety</c:v>
                </c:pt>
                <c:pt idx="15">
                  <c:v>Education and Training</c:v>
                </c:pt>
                <c:pt idx="16">
                  <c:v>Health Care and Social Assistance</c:v>
                </c:pt>
                <c:pt idx="17">
                  <c:v>Arts and Recreation Services</c:v>
                </c:pt>
                <c:pt idx="18">
                  <c:v>Other Services</c:v>
                </c:pt>
                <c:pt idx="19">
                  <c:v>Inadequately described/Not stated</c:v>
                </c:pt>
              </c:strCache>
            </c:strRef>
          </c:cat>
          <c:val>
            <c:numRef>
              <c:f>Sheet1!$D$88:$D$107</c:f>
              <c:numCache>
                <c:formatCode>0.00</c:formatCode>
                <c:ptCount val="20"/>
                <c:pt idx="0">
                  <c:v>10.027811164822747</c:v>
                </c:pt>
                <c:pt idx="1">
                  <c:v>0.20002982900958788</c:v>
                </c:pt>
                <c:pt idx="2">
                  <c:v>13.549388943965328</c:v>
                </c:pt>
                <c:pt idx="3">
                  <c:v>1.07384434520936</c:v>
                </c:pt>
                <c:pt idx="4">
                  <c:v>7.9292526078450294</c:v>
                </c:pt>
                <c:pt idx="5">
                  <c:v>3.3004921786582178</c:v>
                </c:pt>
                <c:pt idx="6">
                  <c:v>11.796495968697087</c:v>
                </c:pt>
                <c:pt idx="7">
                  <c:v>6.4553486046164794</c:v>
                </c:pt>
                <c:pt idx="8">
                  <c:v>4.3585446952615774</c:v>
                </c:pt>
                <c:pt idx="9">
                  <c:v>1.0089223831623932</c:v>
                </c:pt>
                <c:pt idx="10">
                  <c:v>1.7099041085074012</c:v>
                </c:pt>
                <c:pt idx="11">
                  <c:v>1.1071826500443038</c:v>
                </c:pt>
                <c:pt idx="12">
                  <c:v>3.3443583692304988</c:v>
                </c:pt>
                <c:pt idx="13">
                  <c:v>2.5170420150373305</c:v>
                </c:pt>
                <c:pt idx="14">
                  <c:v>6.7650439100567628</c:v>
                </c:pt>
                <c:pt idx="15">
                  <c:v>7.0800031583657201</c:v>
                </c:pt>
                <c:pt idx="16">
                  <c:v>10.946369195406334</c:v>
                </c:pt>
                <c:pt idx="17">
                  <c:v>0.97646140213891552</c:v>
                </c:pt>
                <c:pt idx="18">
                  <c:v>3.5391242553714375</c:v>
                </c:pt>
                <c:pt idx="19">
                  <c:v>2.3143802145934043</c:v>
                </c:pt>
              </c:numCache>
            </c:numRef>
          </c:val>
        </c:ser>
        <c:dLbls>
          <c:showLegendKey val="0"/>
          <c:showVal val="0"/>
          <c:showCatName val="0"/>
          <c:showSerName val="0"/>
          <c:showPercent val="0"/>
          <c:showBubbleSize val="0"/>
        </c:dLbls>
        <c:gapWidth val="150"/>
        <c:axId val="132809856"/>
        <c:axId val="132811776"/>
      </c:barChart>
      <c:catAx>
        <c:axId val="132809856"/>
        <c:scaling>
          <c:orientation val="minMax"/>
        </c:scaling>
        <c:delete val="0"/>
        <c:axPos val="b"/>
        <c:title>
          <c:tx>
            <c:rich>
              <a:bodyPr/>
              <a:lstStyle/>
              <a:p>
                <a:pPr>
                  <a:defRPr/>
                </a:pPr>
                <a:r>
                  <a:rPr lang="en-AU"/>
                  <a:t>Industry Type</a:t>
                </a:r>
              </a:p>
            </c:rich>
          </c:tx>
          <c:layout>
            <c:manualLayout>
              <c:xMode val="edge"/>
              <c:yMode val="edge"/>
              <c:x val="0.41657363332014852"/>
              <c:y val="0.92885587577414885"/>
            </c:manualLayout>
          </c:layout>
          <c:overlay val="0"/>
        </c:title>
        <c:numFmt formatCode="General" sourceLinked="1"/>
        <c:majorTickMark val="out"/>
        <c:minorTickMark val="none"/>
        <c:tickLblPos val="nextTo"/>
        <c:spPr>
          <a:ln>
            <a:solidFill>
              <a:srgbClr val="000000"/>
            </a:solidFill>
          </a:ln>
        </c:spPr>
        <c:txPr>
          <a:bodyPr rot="5400000" vert="horz"/>
          <a:lstStyle/>
          <a:p>
            <a:pPr>
              <a:defRPr sz="800" baseline="0"/>
            </a:pPr>
            <a:endParaRPr lang="en-US"/>
          </a:p>
        </c:txPr>
        <c:crossAx val="132811776"/>
        <c:crosses val="autoZero"/>
        <c:auto val="1"/>
        <c:lblAlgn val="ctr"/>
        <c:lblOffset val="100"/>
        <c:tickLblSkip val="1"/>
        <c:tickMarkSkip val="1"/>
        <c:noMultiLvlLbl val="0"/>
      </c:catAx>
      <c:valAx>
        <c:axId val="132811776"/>
        <c:scaling>
          <c:orientation val="minMax"/>
        </c:scaling>
        <c:delete val="0"/>
        <c:axPos val="l"/>
        <c:majorGridlines>
          <c:spPr>
            <a:ln>
              <a:solidFill>
                <a:srgbClr val="000000"/>
              </a:solidFill>
            </a:ln>
          </c:spPr>
        </c:majorGridlines>
        <c:title>
          <c:tx>
            <c:rich>
              <a:bodyPr/>
              <a:lstStyle/>
              <a:p>
                <a:pPr>
                  <a:defRPr/>
                </a:pPr>
                <a:r>
                  <a:rPr lang="en-AU" sz="1600"/>
                  <a:t>Percentage</a:t>
                </a:r>
              </a:p>
            </c:rich>
          </c:tx>
          <c:layout>
            <c:manualLayout>
              <c:xMode val="edge"/>
              <c:yMode val="edge"/>
              <c:x val="8.2635051493765866E-3"/>
              <c:y val="5.7888108813984464E-2"/>
            </c:manualLayout>
          </c:layout>
          <c:overlay val="0"/>
        </c:title>
        <c:numFmt formatCode="0" sourceLinked="0"/>
        <c:majorTickMark val="out"/>
        <c:minorTickMark val="none"/>
        <c:tickLblPos val="nextTo"/>
        <c:spPr>
          <a:ln>
            <a:solidFill>
              <a:srgbClr val="000000"/>
            </a:solidFill>
          </a:ln>
        </c:spPr>
        <c:txPr>
          <a:bodyPr rot="0" vert="horz"/>
          <a:lstStyle/>
          <a:p>
            <a:pPr>
              <a:defRPr/>
            </a:pPr>
            <a:endParaRPr lang="en-US"/>
          </a:p>
        </c:txPr>
        <c:crossAx val="132809856"/>
        <c:crosses val="autoZero"/>
        <c:crossBetween val="between"/>
      </c:valAx>
      <c:spPr>
        <a:solidFill>
          <a:srgbClr val="C5C3C2"/>
        </a:solidFill>
      </c:spPr>
    </c:plotArea>
    <c:legend>
      <c:legendPos val="r"/>
      <c:legendEntry>
        <c:idx val="0"/>
        <c:txPr>
          <a:bodyPr/>
          <a:lstStyle/>
          <a:p>
            <a:pPr>
              <a:defRPr b="0"/>
            </a:pPr>
            <a:endParaRPr lang="en-US"/>
          </a:p>
        </c:txPr>
      </c:legendEntry>
      <c:layout>
        <c:manualLayout>
          <c:xMode val="edge"/>
          <c:yMode val="edge"/>
          <c:x val="0.91641360064999977"/>
          <c:y val="0.15928758905137042"/>
          <c:w val="7.1842410196987422E-2"/>
          <c:h val="0.15051546391752749"/>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4"/>
    </mc:Choice>
    <mc:Fallback>
      <c:style val="14"/>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Females</a:t>
            </a:r>
          </a:p>
        </c:rich>
      </c:tx>
      <c:layout>
        <c:manualLayout>
          <c:xMode val="edge"/>
          <c:yMode val="edge"/>
          <c:x val="0.73659402793499262"/>
          <c:y val="3.3498039613256141E-2"/>
        </c:manualLayout>
      </c:layout>
      <c:overlay val="1"/>
    </c:title>
    <c:autoTitleDeleted val="0"/>
    <c:plotArea>
      <c:layout>
        <c:manualLayout>
          <c:layoutTarget val="inner"/>
          <c:xMode val="edge"/>
          <c:yMode val="edge"/>
          <c:x val="5.4830899441534922E-2"/>
          <c:y val="2.6273398993442651E-2"/>
          <c:w val="0.72692543388024045"/>
          <c:h val="0.77003542873972464"/>
        </c:manualLayout>
      </c:layout>
      <c:barChart>
        <c:barDir val="bar"/>
        <c:grouping val="clustered"/>
        <c:varyColors val="0"/>
        <c:ser>
          <c:idx val="0"/>
          <c:order val="0"/>
          <c:tx>
            <c:strRef>
              <c:f>VIF2012_2011!$F$137</c:f>
              <c:strCache>
                <c:ptCount val="1"/>
                <c:pt idx="0">
                  <c:v>2031</c:v>
                </c:pt>
              </c:strCache>
            </c:strRef>
          </c:tx>
          <c:spPr>
            <a:solidFill>
              <a:srgbClr val="F2D1B9"/>
            </a:solidFill>
            <a:ln w="6350">
              <a:solidFill>
                <a:srgbClr val="000000"/>
              </a:solidFill>
            </a:ln>
          </c:spPr>
          <c:invertIfNegative val="0"/>
          <c:cat>
            <c:strRef>
              <c:f>VIF2012_2011!$G$132:$X$132</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c:v>
                </c:pt>
              </c:strCache>
            </c:strRef>
          </c:cat>
          <c:val>
            <c:numRef>
              <c:f>VIF2012_2011!$G$137:$X$137</c:f>
              <c:numCache>
                <c:formatCode>#,##0_ ;[Red]\-#,##0\ </c:formatCode>
                <c:ptCount val="18"/>
                <c:pt idx="0">
                  <c:v>10427.381771087645</c:v>
                </c:pt>
                <c:pt idx="1">
                  <c:v>11504.743667602635</c:v>
                </c:pt>
                <c:pt idx="2">
                  <c:v>11777.976272583001</c:v>
                </c:pt>
                <c:pt idx="3">
                  <c:v>11363.668563842773</c:v>
                </c:pt>
                <c:pt idx="4">
                  <c:v>9477.622989654541</c:v>
                </c:pt>
                <c:pt idx="5">
                  <c:v>8963.4900360107422</c:v>
                </c:pt>
                <c:pt idx="6">
                  <c:v>10743.211822509778</c:v>
                </c:pt>
                <c:pt idx="7">
                  <c:v>12470.080680847163</c:v>
                </c:pt>
                <c:pt idx="8">
                  <c:v>12952.879089355469</c:v>
                </c:pt>
                <c:pt idx="9">
                  <c:v>12353.081649780263</c:v>
                </c:pt>
                <c:pt idx="10">
                  <c:v>10938.231880187988</c:v>
                </c:pt>
                <c:pt idx="11">
                  <c:v>11097.61580657959</c:v>
                </c:pt>
                <c:pt idx="12">
                  <c:v>11375.486808776855</c:v>
                </c:pt>
                <c:pt idx="13">
                  <c:v>11347.356941223015</c:v>
                </c:pt>
                <c:pt idx="14">
                  <c:v>10836.850234985208</c:v>
                </c:pt>
                <c:pt idx="15">
                  <c:v>9076.8014678955169</c:v>
                </c:pt>
                <c:pt idx="16">
                  <c:v>7517.6012725830697</c:v>
                </c:pt>
                <c:pt idx="17">
                  <c:v>7045.5089721679724</c:v>
                </c:pt>
              </c:numCache>
            </c:numRef>
          </c:val>
        </c:ser>
        <c:ser>
          <c:idx val="1"/>
          <c:order val="1"/>
          <c:tx>
            <c:strRef>
              <c:f>VIF2012_2011!$F$136</c:f>
              <c:strCache>
                <c:ptCount val="1"/>
                <c:pt idx="0">
                  <c:v>2011</c:v>
                </c:pt>
              </c:strCache>
            </c:strRef>
          </c:tx>
          <c:spPr>
            <a:solidFill>
              <a:srgbClr val="D46613"/>
            </a:solidFill>
            <a:ln w="6350">
              <a:solidFill>
                <a:srgbClr val="000000"/>
              </a:solidFill>
            </a:ln>
          </c:spPr>
          <c:invertIfNegative val="0"/>
          <c:val>
            <c:numRef>
              <c:f>VIF2012_2011!$G$136:$X$136</c:f>
              <c:numCache>
                <c:formatCode>#,##0_ ;[Red]\-#,##0\ </c:formatCode>
                <c:ptCount val="18"/>
                <c:pt idx="0">
                  <c:v>8432.0946693809874</c:v>
                </c:pt>
                <c:pt idx="1">
                  <c:v>8510.3577305898525</c:v>
                </c:pt>
                <c:pt idx="2">
                  <c:v>9245.932845207677</c:v>
                </c:pt>
                <c:pt idx="3">
                  <c:v>9476.8492500155789</c:v>
                </c:pt>
                <c:pt idx="4">
                  <c:v>7189.4852724237144</c:v>
                </c:pt>
                <c:pt idx="5">
                  <c:v>7464.3406522155774</c:v>
                </c:pt>
                <c:pt idx="6">
                  <c:v>7736.041789710489</c:v>
                </c:pt>
                <c:pt idx="7">
                  <c:v>8873.8503310943961</c:v>
                </c:pt>
                <c:pt idx="8">
                  <c:v>9653.9887677585975</c:v>
                </c:pt>
                <c:pt idx="9">
                  <c:v>10013.765206451355</c:v>
                </c:pt>
                <c:pt idx="10">
                  <c:v>9929.1343025231708</c:v>
                </c:pt>
                <c:pt idx="11">
                  <c:v>9080.3838421854889</c:v>
                </c:pt>
                <c:pt idx="12">
                  <c:v>8867.953559957461</c:v>
                </c:pt>
                <c:pt idx="13">
                  <c:v>6858.5074016422495</c:v>
                </c:pt>
                <c:pt idx="14">
                  <c:v>5264.3416133571654</c:v>
                </c:pt>
                <c:pt idx="15">
                  <c:v>4365.3906701919705</c:v>
                </c:pt>
                <c:pt idx="16">
                  <c:v>3523.7735124074375</c:v>
                </c:pt>
                <c:pt idx="17">
                  <c:v>3766.0534701164715</c:v>
                </c:pt>
              </c:numCache>
            </c:numRef>
          </c:val>
        </c:ser>
        <c:dLbls>
          <c:showLegendKey val="0"/>
          <c:showVal val="0"/>
          <c:showCatName val="0"/>
          <c:showSerName val="0"/>
          <c:showPercent val="0"/>
          <c:showBubbleSize val="0"/>
        </c:dLbls>
        <c:gapWidth val="0"/>
        <c:overlap val="100"/>
        <c:axId val="130371968"/>
        <c:axId val="130373504"/>
      </c:barChart>
      <c:catAx>
        <c:axId val="130371968"/>
        <c:scaling>
          <c:orientation val="minMax"/>
        </c:scaling>
        <c:delete val="0"/>
        <c:axPos val="l"/>
        <c:majorTickMark val="none"/>
        <c:minorTickMark val="none"/>
        <c:tickLblPos val="none"/>
        <c:spPr>
          <a:ln>
            <a:solidFill>
              <a:srgbClr val="000000"/>
            </a:solidFill>
          </a:ln>
        </c:spPr>
        <c:crossAx val="130373504"/>
        <c:crosses val="autoZero"/>
        <c:auto val="1"/>
        <c:lblAlgn val="ctr"/>
        <c:lblOffset val="100"/>
        <c:noMultiLvlLbl val="0"/>
      </c:catAx>
      <c:valAx>
        <c:axId val="130373504"/>
        <c:scaling>
          <c:orientation val="minMax"/>
        </c:scaling>
        <c:delete val="0"/>
        <c:axPos val="b"/>
        <c:majorGridlines>
          <c:spPr>
            <a:ln>
              <a:noFill/>
            </a:ln>
          </c:spPr>
        </c:majorGridlines>
        <c:numFmt formatCode="#,##0_ ;[Red]\-#,##0\ " sourceLinked="1"/>
        <c:majorTickMark val="none"/>
        <c:minorTickMark val="none"/>
        <c:tickLblPos val="nextTo"/>
        <c:spPr>
          <a:ln>
            <a:noFill/>
          </a:ln>
        </c:spPr>
        <c:txPr>
          <a:bodyPr/>
          <a:lstStyle/>
          <a:p>
            <a:pPr>
              <a:defRPr sz="800"/>
            </a:pPr>
            <a:endParaRPr lang="en-US"/>
          </a:p>
        </c:txPr>
        <c:crossAx val="130371968"/>
        <c:crosses val="autoZero"/>
        <c:crossBetween val="between"/>
      </c:valAx>
    </c:plotArea>
    <c:legend>
      <c:legendPos val="b"/>
      <c:layout>
        <c:manualLayout>
          <c:xMode val="edge"/>
          <c:yMode val="edge"/>
          <c:x val="0.34572256826105763"/>
          <c:y val="0.866745016538364"/>
          <c:w val="0.30855486347788752"/>
          <c:h val="4.7753124725580423E-2"/>
        </c:manualLayout>
      </c:layout>
      <c:overlay val="0"/>
      <c:txPr>
        <a:bodyPr/>
        <a:lstStyle/>
        <a:p>
          <a:pPr>
            <a:defRPr sz="800"/>
          </a:pPr>
          <a:endParaRPr lang="en-US"/>
        </a:p>
      </c:txPr>
    </c:legend>
    <c:plotVisOnly val="1"/>
    <c:dispBlanksAs val="gap"/>
    <c:showDLblsOverMax val="0"/>
  </c:chart>
  <c:spPr>
    <a:ln>
      <a:noFill/>
    </a:ln>
  </c:spPr>
  <c:txPr>
    <a:bodyPr/>
    <a:lstStyle/>
    <a:p>
      <a:pPr>
        <a:defRPr sz="18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4"/>
    </mc:Choice>
    <mc:Fallback>
      <c:style val="14"/>
    </mc:Fallback>
  </mc:AlternateContent>
  <c:clrMapOvr bg1="lt1" tx1="dk1" bg2="lt2" tx2="dk2" accent1="accent1" accent2="accent2" accent3="accent3" accent4="accent4" accent5="accent5" accent6="accent6" hlink="hlink" folHlink="folHlink"/>
  <c:chart>
    <c:title>
      <c:tx>
        <c:strRef>
          <c:f>VIF2012_2011!$E$134</c:f>
          <c:strCache>
            <c:ptCount val="1"/>
            <c:pt idx="0">
              <c:v>Males</c:v>
            </c:pt>
          </c:strCache>
        </c:strRef>
      </c:tx>
      <c:layout>
        <c:manualLayout>
          <c:xMode val="edge"/>
          <c:yMode val="edge"/>
          <c:x val="9.7974785290327299E-2"/>
          <c:y val="3.0619401983604251E-2"/>
        </c:manualLayout>
      </c:layout>
      <c:overlay val="1"/>
      <c:txPr>
        <a:bodyPr/>
        <a:lstStyle/>
        <a:p>
          <a:pPr>
            <a:defRPr sz="1100"/>
          </a:pPr>
          <a:endParaRPr lang="en-US"/>
        </a:p>
      </c:txPr>
    </c:title>
    <c:autoTitleDeleted val="0"/>
    <c:plotArea>
      <c:layout>
        <c:manualLayout>
          <c:layoutTarget val="inner"/>
          <c:xMode val="edge"/>
          <c:yMode val="edge"/>
          <c:x val="0.14439026976800556"/>
          <c:y val="3.0001737020401906E-2"/>
          <c:w val="0.65031057155265559"/>
          <c:h val="0.7678150399514696"/>
        </c:manualLayout>
      </c:layout>
      <c:barChart>
        <c:barDir val="bar"/>
        <c:grouping val="clustered"/>
        <c:varyColors val="0"/>
        <c:ser>
          <c:idx val="0"/>
          <c:order val="0"/>
          <c:tx>
            <c:strRef>
              <c:f>VIF2012_2011!$F$135</c:f>
              <c:strCache>
                <c:ptCount val="1"/>
                <c:pt idx="0">
                  <c:v>2031</c:v>
                </c:pt>
              </c:strCache>
            </c:strRef>
          </c:tx>
          <c:spPr>
            <a:solidFill>
              <a:srgbClr val="F2D1B9"/>
            </a:solidFill>
            <a:ln w="6350">
              <a:solidFill>
                <a:srgbClr val="000000"/>
              </a:solidFill>
            </a:ln>
          </c:spPr>
          <c:invertIfNegative val="0"/>
          <c:cat>
            <c:strRef>
              <c:f>VIF2012_2011!$G$132:$X$132</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c:v>
                </c:pt>
              </c:strCache>
            </c:strRef>
          </c:cat>
          <c:val>
            <c:numRef>
              <c:f>VIF2012_2011!$G$135:$X$135</c:f>
              <c:numCache>
                <c:formatCode>#,##0_ ;[Red]\-#,##0\ </c:formatCode>
                <c:ptCount val="18"/>
                <c:pt idx="0">
                  <c:v>11015.792152404792</c:v>
                </c:pt>
                <c:pt idx="1">
                  <c:v>12181.064559936534</c:v>
                </c:pt>
                <c:pt idx="2">
                  <c:v>12650.465385436983</c:v>
                </c:pt>
                <c:pt idx="3">
                  <c:v>12449.270332336504</c:v>
                </c:pt>
                <c:pt idx="4">
                  <c:v>10706.528696060181</c:v>
                </c:pt>
                <c:pt idx="5">
                  <c:v>9296.1981391906611</c:v>
                </c:pt>
                <c:pt idx="6">
                  <c:v>10222.10143661499</c:v>
                </c:pt>
                <c:pt idx="7">
                  <c:v>12320.146469116355</c:v>
                </c:pt>
                <c:pt idx="8">
                  <c:v>13046.583366394048</c:v>
                </c:pt>
                <c:pt idx="9">
                  <c:v>12434.026496887207</c:v>
                </c:pt>
                <c:pt idx="10">
                  <c:v>10914.526359558105</c:v>
                </c:pt>
                <c:pt idx="11">
                  <c:v>11177.900428771974</c:v>
                </c:pt>
                <c:pt idx="12">
                  <c:v>11118.254516601564</c:v>
                </c:pt>
                <c:pt idx="13">
                  <c:v>11194.978088378906</c:v>
                </c:pt>
                <c:pt idx="14">
                  <c:v>10438.060470581055</c:v>
                </c:pt>
                <c:pt idx="15">
                  <c:v>8966.7712249755859</c:v>
                </c:pt>
                <c:pt idx="16">
                  <c:v>6632.1202545166634</c:v>
                </c:pt>
                <c:pt idx="17">
                  <c:v>5437.3907775878924</c:v>
                </c:pt>
              </c:numCache>
            </c:numRef>
          </c:val>
        </c:ser>
        <c:ser>
          <c:idx val="1"/>
          <c:order val="1"/>
          <c:tx>
            <c:strRef>
              <c:f>VIF2012_2011!$F$134</c:f>
              <c:strCache>
                <c:ptCount val="1"/>
                <c:pt idx="0">
                  <c:v>2011</c:v>
                </c:pt>
              </c:strCache>
            </c:strRef>
          </c:tx>
          <c:spPr>
            <a:solidFill>
              <a:srgbClr val="D46613"/>
            </a:solidFill>
            <a:ln w="6350">
              <a:solidFill>
                <a:srgbClr val="000000"/>
              </a:solidFill>
            </a:ln>
          </c:spPr>
          <c:invertIfNegative val="0"/>
          <c:cat>
            <c:numRef>
              <c:f>VIF2012_2011!$G$131:$X$131</c:f>
              <c:numCache>
                <c:formatCode>General</c:formatCode>
                <c:ptCount val="18"/>
                <c:pt idx="0">
                  <c:v>3</c:v>
                </c:pt>
                <c:pt idx="1">
                  <c:v>4</c:v>
                </c:pt>
                <c:pt idx="2">
                  <c:v>5</c:v>
                </c:pt>
                <c:pt idx="3">
                  <c:v>6</c:v>
                </c:pt>
                <c:pt idx="4">
                  <c:v>7</c:v>
                </c:pt>
                <c:pt idx="5">
                  <c:v>8</c:v>
                </c:pt>
                <c:pt idx="6">
                  <c:v>9</c:v>
                </c:pt>
                <c:pt idx="7">
                  <c:v>10</c:v>
                </c:pt>
                <c:pt idx="8">
                  <c:v>11</c:v>
                </c:pt>
                <c:pt idx="9">
                  <c:v>12</c:v>
                </c:pt>
                <c:pt idx="10">
                  <c:v>13</c:v>
                </c:pt>
                <c:pt idx="11">
                  <c:v>14</c:v>
                </c:pt>
                <c:pt idx="12">
                  <c:v>15</c:v>
                </c:pt>
                <c:pt idx="13">
                  <c:v>16</c:v>
                </c:pt>
                <c:pt idx="14">
                  <c:v>17</c:v>
                </c:pt>
                <c:pt idx="15">
                  <c:v>18</c:v>
                </c:pt>
                <c:pt idx="16">
                  <c:v>19</c:v>
                </c:pt>
                <c:pt idx="17">
                  <c:v>20</c:v>
                </c:pt>
              </c:numCache>
            </c:numRef>
          </c:cat>
          <c:val>
            <c:numRef>
              <c:f>VIF2012_2011!$G$134:$X$134</c:f>
              <c:numCache>
                <c:formatCode>#,##0_ ;[Red]\-#,##0\ </c:formatCode>
                <c:ptCount val="18"/>
                <c:pt idx="0">
                  <c:v>8930.906640393363</c:v>
                </c:pt>
                <c:pt idx="1">
                  <c:v>9272.3583576706696</c:v>
                </c:pt>
                <c:pt idx="2">
                  <c:v>9803.4454990317281</c:v>
                </c:pt>
                <c:pt idx="3">
                  <c:v>10454.355903261718</c:v>
                </c:pt>
                <c:pt idx="4">
                  <c:v>8085.9295504393494</c:v>
                </c:pt>
                <c:pt idx="5">
                  <c:v>7500.1662601748503</c:v>
                </c:pt>
                <c:pt idx="6">
                  <c:v>7429.0082899537256</c:v>
                </c:pt>
                <c:pt idx="7">
                  <c:v>8741.3064666577811</c:v>
                </c:pt>
                <c:pt idx="8">
                  <c:v>9429.6172332557471</c:v>
                </c:pt>
                <c:pt idx="9">
                  <c:v>9988.572690160041</c:v>
                </c:pt>
                <c:pt idx="10">
                  <c:v>9704.9239149528694</c:v>
                </c:pt>
                <c:pt idx="11">
                  <c:v>9456.6499575635644</c:v>
                </c:pt>
                <c:pt idx="12">
                  <c:v>8706.5105045073251</c:v>
                </c:pt>
                <c:pt idx="13">
                  <c:v>6970.2314442213537</c:v>
                </c:pt>
                <c:pt idx="14">
                  <c:v>5284.3947523403103</c:v>
                </c:pt>
                <c:pt idx="15">
                  <c:v>3897.2404528753559</c:v>
                </c:pt>
                <c:pt idx="16">
                  <c:v>2930.5275633740412</c:v>
                </c:pt>
                <c:pt idx="17">
                  <c:v>2039.9829968023098</c:v>
                </c:pt>
              </c:numCache>
            </c:numRef>
          </c:val>
        </c:ser>
        <c:dLbls>
          <c:showLegendKey val="0"/>
          <c:showVal val="0"/>
          <c:showCatName val="0"/>
          <c:showSerName val="0"/>
          <c:showPercent val="0"/>
          <c:showBubbleSize val="0"/>
        </c:dLbls>
        <c:gapWidth val="0"/>
        <c:overlap val="100"/>
        <c:axId val="130409600"/>
        <c:axId val="130411136"/>
      </c:barChart>
      <c:catAx>
        <c:axId val="130409600"/>
        <c:scaling>
          <c:orientation val="minMax"/>
        </c:scaling>
        <c:delete val="0"/>
        <c:axPos val="r"/>
        <c:numFmt formatCode="General" sourceLinked="1"/>
        <c:majorTickMark val="none"/>
        <c:minorTickMark val="none"/>
        <c:tickLblPos val="nextTo"/>
        <c:spPr>
          <a:ln w="6350">
            <a:solidFill>
              <a:srgbClr val="000000"/>
            </a:solidFill>
          </a:ln>
        </c:spPr>
        <c:txPr>
          <a:bodyPr/>
          <a:lstStyle/>
          <a:p>
            <a:pPr algn="just">
              <a:defRPr sz="800"/>
            </a:pPr>
            <a:endParaRPr lang="en-US"/>
          </a:p>
        </c:txPr>
        <c:crossAx val="130411136"/>
        <c:crosses val="autoZero"/>
        <c:auto val="1"/>
        <c:lblAlgn val="r"/>
        <c:lblOffset val="100"/>
        <c:noMultiLvlLbl val="0"/>
      </c:catAx>
      <c:valAx>
        <c:axId val="130411136"/>
        <c:scaling>
          <c:orientation val="maxMin"/>
        </c:scaling>
        <c:delete val="0"/>
        <c:axPos val="b"/>
        <c:majorGridlines>
          <c:spPr>
            <a:ln>
              <a:noFill/>
            </a:ln>
          </c:spPr>
        </c:majorGridlines>
        <c:numFmt formatCode="#,##0_ ;[Red]\-#,##0\ " sourceLinked="1"/>
        <c:majorTickMark val="none"/>
        <c:minorTickMark val="none"/>
        <c:tickLblPos val="nextTo"/>
        <c:spPr>
          <a:ln>
            <a:noFill/>
          </a:ln>
        </c:spPr>
        <c:txPr>
          <a:bodyPr/>
          <a:lstStyle/>
          <a:p>
            <a:pPr>
              <a:defRPr sz="800"/>
            </a:pPr>
            <a:endParaRPr lang="en-US"/>
          </a:p>
        </c:txPr>
        <c:crossAx val="130409600"/>
        <c:crosses val="autoZero"/>
        <c:crossBetween val="between"/>
        <c:majorUnit val="5000"/>
      </c:valAx>
    </c:plotArea>
    <c:legend>
      <c:legendPos val="b"/>
      <c:layout>
        <c:manualLayout>
          <c:xMode val="edge"/>
          <c:yMode val="edge"/>
          <c:x val="0.34799135402192305"/>
          <c:y val="0.87558488427582915"/>
          <c:w val="0.30891925274046689"/>
          <c:h val="4.8657539966595102E-2"/>
        </c:manualLayout>
      </c:layout>
      <c:overlay val="0"/>
      <c:txPr>
        <a:bodyPr/>
        <a:lstStyle/>
        <a:p>
          <a:pPr>
            <a:defRPr sz="800"/>
          </a:pPr>
          <a:endParaRPr lang="en-US"/>
        </a:p>
      </c:txPr>
    </c:legend>
    <c:plotVisOnly val="1"/>
    <c:dispBlanksAs val="gap"/>
    <c:showDLblsOverMax val="0"/>
  </c:chart>
  <c:spPr>
    <a:ln>
      <a:noFill/>
    </a:ln>
  </c:spPr>
  <c:txPr>
    <a:bodyPr/>
    <a:lstStyle/>
    <a:p>
      <a:pPr>
        <a:defRPr sz="1800"/>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465334587827133E-2"/>
          <c:y val="2.4077551225971886E-2"/>
          <c:w val="0.82151457469323097"/>
          <c:h val="0.44095024965213375"/>
        </c:manualLayout>
      </c:layout>
      <c:barChart>
        <c:barDir val="col"/>
        <c:grouping val="clustered"/>
        <c:varyColors val="0"/>
        <c:ser>
          <c:idx val="0"/>
          <c:order val="0"/>
          <c:tx>
            <c:strRef>
              <c:f>Sheet1!$B$1</c:f>
              <c:strCache>
                <c:ptCount val="1"/>
                <c:pt idx="0">
                  <c:v>2015-16</c:v>
                </c:pt>
              </c:strCache>
            </c:strRef>
          </c:tx>
          <c:spPr>
            <a:solidFill>
              <a:srgbClr val="D46613"/>
            </a:solidFill>
            <a:ln w="6350">
              <a:solidFill>
                <a:srgbClr val="000000"/>
              </a:solidFill>
              <a:prstDash val="solid"/>
            </a:ln>
          </c:spPr>
          <c:invertIfNegative val="0"/>
          <c:cat>
            <c:strRef>
              <c:f>Sheet1!$A$2:$A$20</c:f>
              <c:strCache>
                <c:ptCount val="19"/>
                <c:pt idx="0">
                  <c:v>Agriculture, forestry and fishing</c:v>
                </c:pt>
                <c:pt idx="1">
                  <c:v>Mining</c:v>
                </c:pt>
                <c:pt idx="2">
                  <c:v>Manufacturing</c:v>
                </c:pt>
                <c:pt idx="3">
                  <c:v>Electricity, gas, water and waste services</c:v>
                </c:pt>
                <c:pt idx="4">
                  <c:v>Construction</c:v>
                </c:pt>
                <c:pt idx="5">
                  <c:v>Wholesale trade</c:v>
                </c:pt>
                <c:pt idx="6">
                  <c:v>Retail trade</c:v>
                </c:pt>
                <c:pt idx="7">
                  <c:v>Accommodation and food services</c:v>
                </c:pt>
                <c:pt idx="8">
                  <c:v>Transport, postal and warehousing</c:v>
                </c:pt>
                <c:pt idx="9">
                  <c:v>Information media and telecommunications</c:v>
                </c:pt>
                <c:pt idx="10">
                  <c:v>Financial and insurance services</c:v>
                </c:pt>
                <c:pt idx="11">
                  <c:v>Rental, hiring and real estate services</c:v>
                </c:pt>
                <c:pt idx="12">
                  <c:v>Professional, scientific and technical services</c:v>
                </c:pt>
                <c:pt idx="13">
                  <c:v>Administrative and support services</c:v>
                </c:pt>
                <c:pt idx="14">
                  <c:v>Public administration and safety</c:v>
                </c:pt>
                <c:pt idx="15">
                  <c:v>Education and training</c:v>
                </c:pt>
                <c:pt idx="16">
                  <c:v>Health care and social assistance</c:v>
                </c:pt>
                <c:pt idx="17">
                  <c:v>Arts and recreation services</c:v>
                </c:pt>
                <c:pt idx="18">
                  <c:v>Other services</c:v>
                </c:pt>
              </c:strCache>
            </c:strRef>
          </c:cat>
          <c:val>
            <c:numRef>
              <c:f>Sheet1!$B$2:$B$20</c:f>
              <c:numCache>
                <c:formatCode>General</c:formatCode>
                <c:ptCount val="19"/>
                <c:pt idx="0">
                  <c:v>13118</c:v>
                </c:pt>
                <c:pt idx="1">
                  <c:v>152</c:v>
                </c:pt>
                <c:pt idx="2">
                  <c:v>17817</c:v>
                </c:pt>
                <c:pt idx="3">
                  <c:v>2767</c:v>
                </c:pt>
                <c:pt idx="4">
                  <c:v>18064</c:v>
                </c:pt>
                <c:pt idx="5">
                  <c:v>3073</c:v>
                </c:pt>
                <c:pt idx="6">
                  <c:v>18922</c:v>
                </c:pt>
                <c:pt idx="7">
                  <c:v>12028</c:v>
                </c:pt>
                <c:pt idx="8">
                  <c:v>5696</c:v>
                </c:pt>
                <c:pt idx="9">
                  <c:v>1635</c:v>
                </c:pt>
                <c:pt idx="10">
                  <c:v>3172</c:v>
                </c:pt>
                <c:pt idx="11">
                  <c:v>1960</c:v>
                </c:pt>
                <c:pt idx="12">
                  <c:v>5015</c:v>
                </c:pt>
                <c:pt idx="13">
                  <c:v>4583</c:v>
                </c:pt>
                <c:pt idx="14">
                  <c:v>6455</c:v>
                </c:pt>
                <c:pt idx="15">
                  <c:v>12287</c:v>
                </c:pt>
                <c:pt idx="16">
                  <c:v>16433</c:v>
                </c:pt>
                <c:pt idx="17">
                  <c:v>1351</c:v>
                </c:pt>
                <c:pt idx="18">
                  <c:v>6077</c:v>
                </c:pt>
              </c:numCache>
            </c:numRef>
          </c:val>
        </c:ser>
        <c:ser>
          <c:idx val="1"/>
          <c:order val="1"/>
          <c:tx>
            <c:strRef>
              <c:f>Sheet1!$C$1</c:f>
              <c:strCache>
                <c:ptCount val="1"/>
                <c:pt idx="0">
                  <c:v>2025-26</c:v>
                </c:pt>
              </c:strCache>
            </c:strRef>
          </c:tx>
          <c:spPr>
            <a:solidFill>
              <a:srgbClr val="E9B189"/>
            </a:solidFill>
            <a:ln w="6350">
              <a:solidFill>
                <a:srgbClr val="000000"/>
              </a:solidFill>
              <a:prstDash val="solid"/>
            </a:ln>
          </c:spPr>
          <c:invertIfNegative val="0"/>
          <c:cat>
            <c:strRef>
              <c:f>Sheet1!$A$2:$A$20</c:f>
              <c:strCache>
                <c:ptCount val="19"/>
                <c:pt idx="0">
                  <c:v>Agriculture, forestry and fishing</c:v>
                </c:pt>
                <c:pt idx="1">
                  <c:v>Mining</c:v>
                </c:pt>
                <c:pt idx="2">
                  <c:v>Manufacturing</c:v>
                </c:pt>
                <c:pt idx="3">
                  <c:v>Electricity, gas, water and waste services</c:v>
                </c:pt>
                <c:pt idx="4">
                  <c:v>Construction</c:v>
                </c:pt>
                <c:pt idx="5">
                  <c:v>Wholesale trade</c:v>
                </c:pt>
                <c:pt idx="6">
                  <c:v>Retail trade</c:v>
                </c:pt>
                <c:pt idx="7">
                  <c:v>Accommodation and food services</c:v>
                </c:pt>
                <c:pt idx="8">
                  <c:v>Transport, postal and warehousing</c:v>
                </c:pt>
                <c:pt idx="9">
                  <c:v>Information media and telecommunications</c:v>
                </c:pt>
                <c:pt idx="10">
                  <c:v>Financial and insurance services</c:v>
                </c:pt>
                <c:pt idx="11">
                  <c:v>Rental, hiring and real estate services</c:v>
                </c:pt>
                <c:pt idx="12">
                  <c:v>Professional, scientific and technical services</c:v>
                </c:pt>
                <c:pt idx="13">
                  <c:v>Administrative and support services</c:v>
                </c:pt>
                <c:pt idx="14">
                  <c:v>Public administration and safety</c:v>
                </c:pt>
                <c:pt idx="15">
                  <c:v>Education and training</c:v>
                </c:pt>
                <c:pt idx="16">
                  <c:v>Health care and social assistance</c:v>
                </c:pt>
                <c:pt idx="17">
                  <c:v>Arts and recreation services</c:v>
                </c:pt>
                <c:pt idx="18">
                  <c:v>Other services</c:v>
                </c:pt>
              </c:strCache>
            </c:strRef>
          </c:cat>
          <c:val>
            <c:numRef>
              <c:f>Sheet1!$C$2:$C$20</c:f>
              <c:numCache>
                <c:formatCode>_(* #,##0.00_);_(* \(#,##0.00\);_(* "-"??_);_(@_)</c:formatCode>
                <c:ptCount val="19"/>
                <c:pt idx="0">
                  <c:v>11353</c:v>
                </c:pt>
                <c:pt idx="1">
                  <c:v>207</c:v>
                </c:pt>
                <c:pt idx="2">
                  <c:v>15237</c:v>
                </c:pt>
                <c:pt idx="3">
                  <c:v>2884</c:v>
                </c:pt>
                <c:pt idx="4">
                  <c:v>19462</c:v>
                </c:pt>
                <c:pt idx="5">
                  <c:v>3176</c:v>
                </c:pt>
                <c:pt idx="6">
                  <c:v>20114</c:v>
                </c:pt>
                <c:pt idx="7">
                  <c:v>12585</c:v>
                </c:pt>
                <c:pt idx="8">
                  <c:v>6009</c:v>
                </c:pt>
                <c:pt idx="9">
                  <c:v>1694</c:v>
                </c:pt>
                <c:pt idx="10">
                  <c:v>3527</c:v>
                </c:pt>
                <c:pt idx="11">
                  <c:v>2212</c:v>
                </c:pt>
                <c:pt idx="12">
                  <c:v>5866</c:v>
                </c:pt>
                <c:pt idx="13">
                  <c:v>5004</c:v>
                </c:pt>
                <c:pt idx="14">
                  <c:v>7336</c:v>
                </c:pt>
                <c:pt idx="15">
                  <c:v>15549</c:v>
                </c:pt>
                <c:pt idx="16">
                  <c:v>20068</c:v>
                </c:pt>
                <c:pt idx="17">
                  <c:v>1667</c:v>
                </c:pt>
                <c:pt idx="18">
                  <c:v>6432</c:v>
                </c:pt>
              </c:numCache>
            </c:numRef>
          </c:val>
        </c:ser>
        <c:ser>
          <c:idx val="2"/>
          <c:order val="2"/>
          <c:tx>
            <c:strRef>
              <c:f>Sheet1!$D$1</c:f>
              <c:strCache>
                <c:ptCount val="1"/>
                <c:pt idx="0">
                  <c:v>2035-36</c:v>
                </c:pt>
              </c:strCache>
            </c:strRef>
          </c:tx>
          <c:spPr>
            <a:solidFill>
              <a:srgbClr val="FBF0E8"/>
            </a:solidFill>
            <a:ln w="6350">
              <a:solidFill>
                <a:srgbClr val="000000"/>
              </a:solidFill>
              <a:prstDash val="solid"/>
            </a:ln>
          </c:spPr>
          <c:invertIfNegative val="0"/>
          <c:cat>
            <c:strRef>
              <c:f>Sheet1!$A$2:$A$20</c:f>
              <c:strCache>
                <c:ptCount val="19"/>
                <c:pt idx="0">
                  <c:v>Agriculture, forestry and fishing</c:v>
                </c:pt>
                <c:pt idx="1">
                  <c:v>Mining</c:v>
                </c:pt>
                <c:pt idx="2">
                  <c:v>Manufacturing</c:v>
                </c:pt>
                <c:pt idx="3">
                  <c:v>Electricity, gas, water and waste services</c:v>
                </c:pt>
                <c:pt idx="4">
                  <c:v>Construction</c:v>
                </c:pt>
                <c:pt idx="5">
                  <c:v>Wholesale trade</c:v>
                </c:pt>
                <c:pt idx="6">
                  <c:v>Retail trade</c:v>
                </c:pt>
                <c:pt idx="7">
                  <c:v>Accommodation and food services</c:v>
                </c:pt>
                <c:pt idx="8">
                  <c:v>Transport, postal and warehousing</c:v>
                </c:pt>
                <c:pt idx="9">
                  <c:v>Information media and telecommunications</c:v>
                </c:pt>
                <c:pt idx="10">
                  <c:v>Financial and insurance services</c:v>
                </c:pt>
                <c:pt idx="11">
                  <c:v>Rental, hiring and real estate services</c:v>
                </c:pt>
                <c:pt idx="12">
                  <c:v>Professional, scientific and technical services</c:v>
                </c:pt>
                <c:pt idx="13">
                  <c:v>Administrative and support services</c:v>
                </c:pt>
                <c:pt idx="14">
                  <c:v>Public administration and safety</c:v>
                </c:pt>
                <c:pt idx="15">
                  <c:v>Education and training</c:v>
                </c:pt>
                <c:pt idx="16">
                  <c:v>Health care and social assistance</c:v>
                </c:pt>
                <c:pt idx="17">
                  <c:v>Arts and recreation services</c:v>
                </c:pt>
                <c:pt idx="18">
                  <c:v>Other services</c:v>
                </c:pt>
              </c:strCache>
            </c:strRef>
          </c:cat>
          <c:val>
            <c:numRef>
              <c:f>Sheet1!$D$2:$D$20</c:f>
              <c:numCache>
                <c:formatCode>General</c:formatCode>
                <c:ptCount val="19"/>
                <c:pt idx="0">
                  <c:v>10663</c:v>
                </c:pt>
                <c:pt idx="1">
                  <c:v>277</c:v>
                </c:pt>
                <c:pt idx="2">
                  <c:v>14529</c:v>
                </c:pt>
                <c:pt idx="3">
                  <c:v>3186</c:v>
                </c:pt>
                <c:pt idx="4">
                  <c:v>21370</c:v>
                </c:pt>
                <c:pt idx="5">
                  <c:v>3494</c:v>
                </c:pt>
                <c:pt idx="6">
                  <c:v>21415</c:v>
                </c:pt>
                <c:pt idx="7">
                  <c:v>13543</c:v>
                </c:pt>
                <c:pt idx="8">
                  <c:v>6467</c:v>
                </c:pt>
                <c:pt idx="9">
                  <c:v>1883</c:v>
                </c:pt>
                <c:pt idx="10">
                  <c:v>3907</c:v>
                </c:pt>
                <c:pt idx="11">
                  <c:v>2530</c:v>
                </c:pt>
                <c:pt idx="12">
                  <c:v>6697</c:v>
                </c:pt>
                <c:pt idx="13">
                  <c:v>5532</c:v>
                </c:pt>
                <c:pt idx="14">
                  <c:v>8326</c:v>
                </c:pt>
                <c:pt idx="15">
                  <c:v>17352</c:v>
                </c:pt>
                <c:pt idx="16">
                  <c:v>22315</c:v>
                </c:pt>
                <c:pt idx="17">
                  <c:v>1895</c:v>
                </c:pt>
                <c:pt idx="18">
                  <c:v>6960</c:v>
                </c:pt>
              </c:numCache>
            </c:numRef>
          </c:val>
        </c:ser>
        <c:dLbls>
          <c:showLegendKey val="0"/>
          <c:showVal val="0"/>
          <c:showCatName val="0"/>
          <c:showSerName val="0"/>
          <c:showPercent val="0"/>
          <c:showBubbleSize val="0"/>
        </c:dLbls>
        <c:gapWidth val="150"/>
        <c:axId val="133271936"/>
        <c:axId val="133273856"/>
      </c:barChart>
      <c:catAx>
        <c:axId val="133271936"/>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AU" sz="1000"/>
                  <a:t>Sector</a:t>
                </a:r>
              </a:p>
            </c:rich>
          </c:tx>
          <c:layout>
            <c:manualLayout>
              <c:xMode val="edge"/>
              <c:yMode val="edge"/>
              <c:x val="0.42214778414709958"/>
              <c:y val="0.92264112128205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Calibri" pitchFamily="34" charset="0"/>
                <a:ea typeface="Arial Narrow"/>
                <a:cs typeface="Arial Narrow"/>
              </a:defRPr>
            </a:pPr>
            <a:endParaRPr lang="en-US"/>
          </a:p>
        </c:txPr>
        <c:crossAx val="133273856"/>
        <c:crosses val="autoZero"/>
        <c:auto val="1"/>
        <c:lblAlgn val="ctr"/>
        <c:lblOffset val="100"/>
        <c:tickLblSkip val="1"/>
        <c:tickMarkSkip val="1"/>
        <c:noMultiLvlLbl val="0"/>
      </c:catAx>
      <c:valAx>
        <c:axId val="133273856"/>
        <c:scaling>
          <c:orientation val="minMax"/>
        </c:scaling>
        <c:delete val="0"/>
        <c:axPos val="l"/>
        <c:majorGridlines>
          <c:spPr>
            <a:ln w="3175">
              <a:solidFill>
                <a:sysClr val="windowText" lastClr="000000"/>
              </a:solidFill>
              <a:prstDash val="solid"/>
            </a:ln>
          </c:spPr>
        </c:majorGridlines>
        <c:title>
          <c:tx>
            <c:rich>
              <a:bodyPr/>
              <a:lstStyle/>
              <a:p>
                <a:pPr>
                  <a:defRPr sz="1000" b="1" i="0" u="none" strike="noStrike" baseline="0">
                    <a:solidFill>
                      <a:srgbClr val="000000"/>
                    </a:solidFill>
                    <a:latin typeface="+mn-lt"/>
                    <a:ea typeface="Arial"/>
                    <a:cs typeface="Arial"/>
                  </a:defRPr>
                </a:pPr>
                <a:r>
                  <a:rPr lang="en-AU" sz="1000" b="1">
                    <a:latin typeface="+mn-lt"/>
                  </a:rPr>
                  <a:t>Employment</a:t>
                </a:r>
              </a:p>
            </c:rich>
          </c:tx>
          <c:layout>
            <c:manualLayout>
              <c:xMode val="edge"/>
              <c:yMode val="edge"/>
              <c:x val="1.3604140603919932E-3"/>
              <c:y val="0.16300962379702541"/>
            </c:manualLayout>
          </c:layout>
          <c:overlay val="0"/>
          <c:spPr>
            <a:noFill/>
            <a:ln w="25400">
              <a:noFill/>
            </a:ln>
          </c:spPr>
        </c:title>
        <c:numFmt formatCode="##,##0" sourceLinked="0"/>
        <c:majorTickMark val="out"/>
        <c:minorTickMark val="none"/>
        <c:tickLblPos val="nextTo"/>
        <c:spPr>
          <a:ln w="3175">
            <a:solidFill>
              <a:sysClr val="windowText" lastClr="000000"/>
            </a:solidFill>
            <a:prstDash val="solid"/>
          </a:ln>
        </c:spPr>
        <c:txPr>
          <a:bodyPr rot="0" vert="horz"/>
          <a:lstStyle/>
          <a:p>
            <a:pPr>
              <a:defRPr sz="600" b="0" i="0" u="none" strike="noStrike" baseline="0">
                <a:solidFill>
                  <a:srgbClr val="000000"/>
                </a:solidFill>
                <a:latin typeface="+mn-lt"/>
                <a:ea typeface="Arial"/>
                <a:cs typeface="Arial"/>
              </a:defRPr>
            </a:pPr>
            <a:endParaRPr lang="en-US"/>
          </a:p>
        </c:txPr>
        <c:crossAx val="133271936"/>
        <c:crosses val="autoZero"/>
        <c:crossBetween val="between"/>
      </c:valAx>
      <c:spPr>
        <a:solidFill>
          <a:srgbClr val="C0C0C0"/>
        </a:solidFill>
        <a:ln w="12700">
          <a:noFill/>
          <a:prstDash val="solid"/>
        </a:ln>
      </c:spPr>
    </c:plotArea>
    <c:legend>
      <c:legendPos val="r"/>
      <c:layout>
        <c:manualLayout>
          <c:xMode val="edge"/>
          <c:yMode val="edge"/>
          <c:x val="0.90743444452620958"/>
          <c:y val="0.15187709294958818"/>
          <c:w val="8.9464517869845689E-2"/>
          <c:h val="0.20062726634022693"/>
        </c:manualLayout>
      </c:layout>
      <c:overlay val="0"/>
      <c:spPr>
        <a:solidFill>
          <a:srgbClr val="FFFFFF"/>
        </a:solidFill>
        <a:ln w="3175">
          <a:noFill/>
          <a:prstDash val="solid"/>
        </a:ln>
      </c:spPr>
      <c:txPr>
        <a:bodyPr/>
        <a:lstStyle/>
        <a:p>
          <a:pPr>
            <a:defRPr sz="920" b="0" i="0" u="none" strike="noStrike" baseline="0">
              <a:solidFill>
                <a:srgbClr val="000000"/>
              </a:solidFill>
              <a:latin typeface="+mn-lt"/>
              <a:ea typeface="Arial"/>
              <a:cs typeface="Arial"/>
            </a:defRPr>
          </a:pPr>
          <a:endParaRPr lang="en-US"/>
        </a:p>
      </c:txPr>
    </c:legend>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03493494733592"/>
          <c:y val="4.5851684586508512E-2"/>
          <c:w val="0.8315956876983589"/>
          <c:h val="0.8872240157961685"/>
        </c:manualLayout>
      </c:layout>
      <c:scatterChart>
        <c:scatterStyle val="lineMarker"/>
        <c:varyColors val="0"/>
        <c:ser>
          <c:idx val="0"/>
          <c:order val="0"/>
          <c:spPr>
            <a:ln w="28575">
              <a:noFill/>
            </a:ln>
          </c:spPr>
          <c:marker>
            <c:spPr>
              <a:solidFill>
                <a:srgbClr val="D46613"/>
              </a:solidFill>
              <a:ln>
                <a:solidFill>
                  <a:sysClr val="windowText" lastClr="000000"/>
                </a:solidFill>
              </a:ln>
            </c:spPr>
          </c:marker>
          <c:xVal>
            <c:numRef>
              <c:f>Sheet1!$C$24:$C$42</c:f>
              <c:numCache>
                <c:formatCode>General</c:formatCode>
                <c:ptCount val="19"/>
                <c:pt idx="0">
                  <c:v>182.9332989827906</c:v>
                </c:pt>
                <c:pt idx="1">
                  <c:v>167.81944569410575</c:v>
                </c:pt>
                <c:pt idx="2">
                  <c:v>1562.7220100255029</c:v>
                </c:pt>
                <c:pt idx="3">
                  <c:v>4.7489300686103864</c:v>
                </c:pt>
                <c:pt idx="4">
                  <c:v>0</c:v>
                </c:pt>
                <c:pt idx="5">
                  <c:v>131.67401684217043</c:v>
                </c:pt>
                <c:pt idx="6">
                  <c:v>208.46697488804594</c:v>
                </c:pt>
                <c:pt idx="7">
                  <c:v>67.535740823803565</c:v>
                </c:pt>
                <c:pt idx="8">
                  <c:v>107.92601705180263</c:v>
                </c:pt>
                <c:pt idx="9">
                  <c:v>61.00715149619294</c:v>
                </c:pt>
                <c:pt idx="10">
                  <c:v>4475.549706725742</c:v>
                </c:pt>
                <c:pt idx="11">
                  <c:v>163.57252140599701</c:v>
                </c:pt>
                <c:pt idx="12">
                  <c:v>116.60705747826866</c:v>
                </c:pt>
                <c:pt idx="13">
                  <c:v>7.4572801886533524</c:v>
                </c:pt>
                <c:pt idx="14">
                  <c:v>290.48463633088267</c:v>
                </c:pt>
                <c:pt idx="15">
                  <c:v>47.797672904978668</c:v>
                </c:pt>
                <c:pt idx="16">
                  <c:v>131.60017301626078</c:v>
                </c:pt>
                <c:pt idx="17">
                  <c:v>60.742434128942406</c:v>
                </c:pt>
                <c:pt idx="18">
                  <c:v>87.864150706319521</c:v>
                </c:pt>
              </c:numCache>
            </c:numRef>
          </c:xVal>
          <c:yVal>
            <c:numRef>
              <c:f>Sheet1!$F$24:$F$42</c:f>
              <c:numCache>
                <c:formatCode>0.00%</c:formatCode>
                <c:ptCount val="19"/>
                <c:pt idx="0">
                  <c:v>4.0680073493472885E-2</c:v>
                </c:pt>
                <c:pt idx="1">
                  <c:v>0.1742691915841818</c:v>
                </c:pt>
                <c:pt idx="2">
                  <c:v>3.1694199953214382E-2</c:v>
                </c:pt>
                <c:pt idx="3">
                  <c:v>-0.11770197201609991</c:v>
                </c:pt>
                <c:pt idx="4">
                  <c:v>0</c:v>
                </c:pt>
                <c:pt idx="5">
                  <c:v>3.1864414287793311E-2</c:v>
                </c:pt>
                <c:pt idx="6">
                  <c:v>3.2456612512925939E-3</c:v>
                </c:pt>
                <c:pt idx="7">
                  <c:v>2.1965091779746936E-2</c:v>
                </c:pt>
                <c:pt idx="8">
                  <c:v>-3.6067240811385091E-2</c:v>
                </c:pt>
                <c:pt idx="9">
                  <c:v>5.629522492254283E-3</c:v>
                </c:pt>
                <c:pt idx="10">
                  <c:v>4.7524549468264808E-2</c:v>
                </c:pt>
                <c:pt idx="11">
                  <c:v>5.4723777311320818E-2</c:v>
                </c:pt>
                <c:pt idx="12">
                  <c:v>2.2778952213439452E-2</c:v>
                </c:pt>
                <c:pt idx="13">
                  <c:v>1.1119162276949091E-3</c:v>
                </c:pt>
                <c:pt idx="14">
                  <c:v>-2.9330424213545703E-2</c:v>
                </c:pt>
                <c:pt idx="15">
                  <c:v>4.6974966897568957E-2</c:v>
                </c:pt>
                <c:pt idx="16">
                  <c:v>6.8794666438503731E-3</c:v>
                </c:pt>
                <c:pt idx="17">
                  <c:v>-8.9912055690330006E-2</c:v>
                </c:pt>
                <c:pt idx="18">
                  <c:v>3.4730110638643612E-2</c:v>
                </c:pt>
              </c:numCache>
            </c:numRef>
          </c:yVal>
          <c:smooth val="0"/>
        </c:ser>
        <c:dLbls>
          <c:showLegendKey val="0"/>
          <c:showVal val="0"/>
          <c:showCatName val="0"/>
          <c:showSerName val="0"/>
          <c:showPercent val="0"/>
          <c:showBubbleSize val="0"/>
        </c:dLbls>
        <c:axId val="133295488"/>
        <c:axId val="120964992"/>
      </c:scatterChart>
      <c:valAx>
        <c:axId val="133295488"/>
        <c:scaling>
          <c:orientation val="minMax"/>
          <c:max val="4500"/>
        </c:scaling>
        <c:delete val="0"/>
        <c:axPos val="b"/>
        <c:title>
          <c:tx>
            <c:rich>
              <a:bodyPr/>
              <a:lstStyle/>
              <a:p>
                <a:pPr>
                  <a:defRPr/>
                </a:pPr>
                <a:r>
                  <a:rPr lang="en-US"/>
                  <a:t>Exports</a:t>
                </a:r>
                <a:r>
                  <a:rPr lang="en-US" baseline="0"/>
                  <a:t> in 2011</a:t>
                </a:r>
                <a:r>
                  <a:rPr lang="en-US"/>
                  <a:t> ($m 2008)</a:t>
                </a:r>
              </a:p>
            </c:rich>
          </c:tx>
          <c:layout>
            <c:manualLayout>
              <c:xMode val="edge"/>
              <c:yMode val="edge"/>
              <c:x val="0.39317614380852678"/>
              <c:y val="0.88764740619723881"/>
            </c:manualLayout>
          </c:layout>
          <c:overlay val="0"/>
          <c:spPr>
            <a:ln>
              <a:noFill/>
            </a:ln>
          </c:spPr>
        </c:title>
        <c:numFmt formatCode="&quot;$&quot;###0" sourceLinked="0"/>
        <c:majorTickMark val="out"/>
        <c:minorTickMark val="none"/>
        <c:tickLblPos val="nextTo"/>
        <c:spPr>
          <a:ln>
            <a:solidFill>
              <a:sysClr val="windowText" lastClr="000000"/>
            </a:solidFill>
          </a:ln>
        </c:spPr>
        <c:crossAx val="120964992"/>
        <c:crosses val="autoZero"/>
        <c:crossBetween val="midCat"/>
      </c:valAx>
      <c:valAx>
        <c:axId val="120964992"/>
        <c:scaling>
          <c:orientation val="minMax"/>
          <c:max val="0.2"/>
          <c:min val="-0.13"/>
        </c:scaling>
        <c:delete val="0"/>
        <c:axPos val="l"/>
        <c:title>
          <c:tx>
            <c:rich>
              <a:bodyPr rot="-5400000" vert="horz"/>
              <a:lstStyle/>
              <a:p>
                <a:pPr>
                  <a:defRPr/>
                </a:pPr>
                <a:r>
                  <a:rPr lang="en-US"/>
                  <a:t>Annual Average Growth Rate (%)</a:t>
                </a:r>
              </a:p>
            </c:rich>
          </c:tx>
          <c:layout>
            <c:manualLayout>
              <c:xMode val="edge"/>
              <c:yMode val="edge"/>
              <c:x val="2.2158209616663146E-3"/>
              <c:y val="0.17799078816952396"/>
            </c:manualLayout>
          </c:layout>
          <c:overlay val="0"/>
        </c:title>
        <c:numFmt formatCode="0%" sourceLinked="0"/>
        <c:majorTickMark val="out"/>
        <c:minorTickMark val="none"/>
        <c:tickLblPos val="nextTo"/>
        <c:spPr>
          <a:ln>
            <a:solidFill>
              <a:sysClr val="windowText" lastClr="000000"/>
            </a:solidFill>
          </a:ln>
        </c:spPr>
        <c:crossAx val="133295488"/>
        <c:crosses val="autoZero"/>
        <c:crossBetween val="midCat"/>
      </c:valAx>
    </c:plotArea>
    <c:plotVisOnly val="1"/>
    <c:dispBlanksAs val="gap"/>
    <c:showDLblsOverMax val="0"/>
  </c:chart>
  <c:spPr>
    <a:noFill/>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diamond"/>
            <c:size val="7"/>
            <c:spPr>
              <a:solidFill>
                <a:srgbClr val="D46613"/>
              </a:solidFill>
              <a:ln>
                <a:solidFill>
                  <a:schemeClr val="tx1"/>
                </a:solidFill>
              </a:ln>
            </c:spPr>
          </c:marker>
          <c:xVal>
            <c:numRef>
              <c:f>Sheet1!$C$5:$C$16</c:f>
              <c:numCache>
                <c:formatCode>General</c:formatCode>
                <c:ptCount val="12"/>
                <c:pt idx="0">
                  <c:v>398.85389361329231</c:v>
                </c:pt>
                <c:pt idx="1">
                  <c:v>2037.4432242717348</c:v>
                </c:pt>
                <c:pt idx="2">
                  <c:v>157.13678808874079</c:v>
                </c:pt>
                <c:pt idx="3">
                  <c:v>445.16598902856708</c:v>
                </c:pt>
                <c:pt idx="4">
                  <c:v>853.34492237122447</c:v>
                </c:pt>
                <c:pt idx="5">
                  <c:v>238.07752574119601</c:v>
                </c:pt>
                <c:pt idx="6">
                  <c:v>304.41977172383531</c:v>
                </c:pt>
                <c:pt idx="7">
                  <c:v>418.99195199783526</c:v>
                </c:pt>
                <c:pt idx="8">
                  <c:v>503.25411802734504</c:v>
                </c:pt>
                <c:pt idx="9">
                  <c:v>172.98065966453478</c:v>
                </c:pt>
                <c:pt idx="10">
                  <c:v>775.49118154048801</c:v>
                </c:pt>
                <c:pt idx="11">
                  <c:v>1571.3491926902757</c:v>
                </c:pt>
              </c:numCache>
            </c:numRef>
          </c:xVal>
          <c:yVal>
            <c:numRef>
              <c:f>Sheet1!$F$5:$F$16</c:f>
              <c:numCache>
                <c:formatCode>0.00%</c:formatCode>
                <c:ptCount val="12"/>
                <c:pt idx="0">
                  <c:v>6.8112599165907783E-2</c:v>
                </c:pt>
                <c:pt idx="1">
                  <c:v>3.2712979248797236E-2</c:v>
                </c:pt>
                <c:pt idx="2">
                  <c:v>3.5770994769548384E-2</c:v>
                </c:pt>
                <c:pt idx="3">
                  <c:v>1.7282227838898882E-2</c:v>
                </c:pt>
                <c:pt idx="4">
                  <c:v>3.1006944216745252E-2</c:v>
                </c:pt>
                <c:pt idx="5">
                  <c:v>1.5728739786711077E-2</c:v>
                </c:pt>
                <c:pt idx="6">
                  <c:v>3.25955196618486E-2</c:v>
                </c:pt>
                <c:pt idx="7">
                  <c:v>3.3285418591136436E-2</c:v>
                </c:pt>
                <c:pt idx="8">
                  <c:v>4.1003550920686992E-2</c:v>
                </c:pt>
                <c:pt idx="9">
                  <c:v>3.7370334100633992E-2</c:v>
                </c:pt>
                <c:pt idx="10">
                  <c:v>2.8257736002134552E-2</c:v>
                </c:pt>
                <c:pt idx="11">
                  <c:v>3.7483980660126745E-2</c:v>
                </c:pt>
              </c:numCache>
            </c:numRef>
          </c:yVal>
          <c:smooth val="0"/>
        </c:ser>
        <c:dLbls>
          <c:showLegendKey val="0"/>
          <c:showVal val="0"/>
          <c:showCatName val="0"/>
          <c:showSerName val="0"/>
          <c:showPercent val="0"/>
          <c:showBubbleSize val="0"/>
        </c:dLbls>
        <c:axId val="133502080"/>
        <c:axId val="133515520"/>
      </c:scatterChart>
      <c:valAx>
        <c:axId val="133502080"/>
        <c:scaling>
          <c:orientation val="minMax"/>
          <c:max val="2500"/>
          <c:min val="0"/>
        </c:scaling>
        <c:delete val="0"/>
        <c:axPos val="b"/>
        <c:title>
          <c:tx>
            <c:rich>
              <a:bodyPr/>
              <a:lstStyle/>
              <a:p>
                <a:pPr>
                  <a:defRPr sz="1200"/>
                </a:pPr>
                <a:r>
                  <a:rPr lang="en-US" sz="1200"/>
                  <a:t>Exports in 2011 ($m 2008)</a:t>
                </a:r>
              </a:p>
            </c:rich>
          </c:tx>
          <c:overlay val="0"/>
        </c:title>
        <c:numFmt formatCode="\$###0" sourceLinked="0"/>
        <c:majorTickMark val="out"/>
        <c:minorTickMark val="none"/>
        <c:tickLblPos val="nextTo"/>
        <c:spPr>
          <a:ln>
            <a:solidFill>
              <a:sysClr val="windowText" lastClr="000000"/>
            </a:solidFill>
          </a:ln>
        </c:spPr>
        <c:txPr>
          <a:bodyPr rot="0" vert="horz"/>
          <a:lstStyle/>
          <a:p>
            <a:pPr>
              <a:defRPr sz="1000" b="0" i="0" u="none" strike="noStrike" baseline="0">
                <a:solidFill>
                  <a:srgbClr val="000000"/>
                </a:solidFill>
                <a:latin typeface="Calibri"/>
                <a:ea typeface="Calibri"/>
                <a:cs typeface="Calibri"/>
              </a:defRPr>
            </a:pPr>
            <a:endParaRPr lang="en-US"/>
          </a:p>
        </c:txPr>
        <c:crossAx val="133515520"/>
        <c:crosses val="autoZero"/>
        <c:crossBetween val="midCat"/>
        <c:majorUnit val="500"/>
        <c:minorUnit val="100"/>
      </c:valAx>
      <c:valAx>
        <c:axId val="133515520"/>
        <c:scaling>
          <c:orientation val="minMax"/>
        </c:scaling>
        <c:delete val="0"/>
        <c:axPos val="l"/>
        <c:title>
          <c:tx>
            <c:rich>
              <a:bodyPr rot="-5400000" vert="horz"/>
              <a:lstStyle/>
              <a:p>
                <a:pPr>
                  <a:defRPr sz="1200"/>
                </a:pPr>
                <a:r>
                  <a:rPr lang="en-US" sz="1200"/>
                  <a:t>Annual Average Growth Rate (%)</a:t>
                </a:r>
              </a:p>
            </c:rich>
          </c:tx>
          <c:overlay val="0"/>
        </c:title>
        <c:numFmt formatCode="0%" sourceLinked="0"/>
        <c:majorTickMark val="out"/>
        <c:minorTickMark val="none"/>
        <c:tickLblPos val="nextTo"/>
        <c:spPr>
          <a:noFill/>
          <a:ln cap="flat">
            <a:solidFill>
              <a:schemeClr val="tx1"/>
            </a:solidFill>
          </a:ln>
        </c:spPr>
        <c:crossAx val="133502080"/>
        <c:crosses val="autoZero"/>
        <c:crossBetween val="midCat"/>
      </c:valAx>
      <c:spPr>
        <a:noFill/>
        <a:ln>
          <a:noFill/>
        </a:ln>
      </c:spPr>
    </c:plotArea>
    <c:plotVisOnly val="1"/>
    <c:dispBlanksAs val="gap"/>
    <c:showDLblsOverMax val="0"/>
  </c:chart>
  <c:spPr>
    <a:noFill/>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80605053388225E-2"/>
          <c:y val="7.1122675546212002E-2"/>
          <c:w val="0.89907821006336563"/>
          <c:h val="0.69647249190938509"/>
        </c:manualLayout>
      </c:layout>
      <c:barChart>
        <c:barDir val="col"/>
        <c:grouping val="clustered"/>
        <c:varyColors val="0"/>
        <c:ser>
          <c:idx val="0"/>
          <c:order val="0"/>
          <c:tx>
            <c:strRef>
              <c:f>Sheet1!$B$51</c:f>
              <c:strCache>
                <c:ptCount val="1"/>
                <c:pt idx="0">
                  <c:v>All Vehicles</c:v>
                </c:pt>
              </c:strCache>
            </c:strRef>
          </c:tx>
          <c:spPr>
            <a:solidFill>
              <a:srgbClr val="D46613"/>
            </a:solidFill>
            <a:ln>
              <a:solidFill>
                <a:sysClr val="windowText" lastClr="000000"/>
              </a:solidFill>
            </a:ln>
          </c:spPr>
          <c:invertIfNegative val="0"/>
          <c:cat>
            <c:strRef>
              <c:f>Sheet1!$A$52:$A$65</c:f>
              <c:strCach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strCache>
            </c:strRef>
          </c:cat>
          <c:val>
            <c:numRef>
              <c:f>Sheet1!$B$52:$B$65</c:f>
              <c:numCache>
                <c:formatCode>0.00%</c:formatCode>
                <c:ptCount val="14"/>
                <c:pt idx="0">
                  <c:v>3.2000000000000042E-2</c:v>
                </c:pt>
                <c:pt idx="1">
                  <c:v>3.3000000000000002E-2</c:v>
                </c:pt>
                <c:pt idx="2">
                  <c:v>4.0000000000000114E-3</c:v>
                </c:pt>
                <c:pt idx="3">
                  <c:v>2.9000000000000001E-2</c:v>
                </c:pt>
                <c:pt idx="4">
                  <c:v>4.1000000000000002E-2</c:v>
                </c:pt>
                <c:pt idx="5">
                  <c:v>3.6999999999999998E-2</c:v>
                </c:pt>
                <c:pt idx="6">
                  <c:v>-6.0000000000000114E-3</c:v>
                </c:pt>
                <c:pt idx="7">
                  <c:v>2.1999999999999999E-2</c:v>
                </c:pt>
                <c:pt idx="8">
                  <c:v>2.7000000000000166E-2</c:v>
                </c:pt>
                <c:pt idx="9">
                  <c:v>1.7999999999999999E-2</c:v>
                </c:pt>
                <c:pt idx="10">
                  <c:v>-8.0000000000000227E-3</c:v>
                </c:pt>
                <c:pt idx="11">
                  <c:v>1.4E-2</c:v>
                </c:pt>
                <c:pt idx="12">
                  <c:v>2.1999999999999999E-2</c:v>
                </c:pt>
                <c:pt idx="13">
                  <c:v>4.3000000000000003E-2</c:v>
                </c:pt>
              </c:numCache>
            </c:numRef>
          </c:val>
        </c:ser>
        <c:ser>
          <c:idx val="1"/>
          <c:order val="1"/>
          <c:tx>
            <c:strRef>
              <c:f>Sheet1!$C$51</c:f>
              <c:strCache>
                <c:ptCount val="1"/>
                <c:pt idx="0">
                  <c:v>Trucks</c:v>
                </c:pt>
              </c:strCache>
            </c:strRef>
          </c:tx>
          <c:spPr>
            <a:solidFill>
              <a:srgbClr val="E9B189"/>
            </a:solidFill>
            <a:ln>
              <a:solidFill>
                <a:sysClr val="windowText" lastClr="000000"/>
              </a:solidFill>
            </a:ln>
          </c:spPr>
          <c:invertIfNegative val="0"/>
          <c:cat>
            <c:strRef>
              <c:f>Sheet1!$A$52:$A$65</c:f>
              <c:strCach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strCache>
            </c:strRef>
          </c:cat>
          <c:val>
            <c:numRef>
              <c:f>Sheet1!$C$52:$C$65</c:f>
              <c:numCache>
                <c:formatCode>0.00%</c:formatCode>
                <c:ptCount val="14"/>
                <c:pt idx="0">
                  <c:v>2.1000000000000012E-2</c:v>
                </c:pt>
                <c:pt idx="1">
                  <c:v>2.4E-2</c:v>
                </c:pt>
                <c:pt idx="2">
                  <c:v>-2.7000000000000166E-2</c:v>
                </c:pt>
                <c:pt idx="3">
                  <c:v>1.7000000000000001E-2</c:v>
                </c:pt>
                <c:pt idx="4">
                  <c:v>6.3E-2</c:v>
                </c:pt>
                <c:pt idx="5">
                  <c:v>2.3E-2</c:v>
                </c:pt>
                <c:pt idx="6">
                  <c:v>-3.3000000000000002E-2</c:v>
                </c:pt>
                <c:pt idx="7">
                  <c:v>1.0000000000000041E-3</c:v>
                </c:pt>
                <c:pt idx="8">
                  <c:v>1.7999999999999999E-2</c:v>
                </c:pt>
                <c:pt idx="9">
                  <c:v>1.0999999999999998E-2</c:v>
                </c:pt>
                <c:pt idx="10">
                  <c:v>-3.1000000000000052E-2</c:v>
                </c:pt>
                <c:pt idx="11">
                  <c:v>-3.0000000000000092E-3</c:v>
                </c:pt>
                <c:pt idx="12">
                  <c:v>-1.0000000000000041E-3</c:v>
                </c:pt>
                <c:pt idx="13">
                  <c:v>2.3E-2</c:v>
                </c:pt>
              </c:numCache>
            </c:numRef>
          </c:val>
        </c:ser>
        <c:dLbls>
          <c:showLegendKey val="0"/>
          <c:showVal val="0"/>
          <c:showCatName val="0"/>
          <c:showSerName val="0"/>
          <c:showPercent val="0"/>
          <c:showBubbleSize val="0"/>
        </c:dLbls>
        <c:gapWidth val="150"/>
        <c:axId val="133574016"/>
        <c:axId val="133592576"/>
      </c:barChart>
      <c:catAx>
        <c:axId val="133574016"/>
        <c:scaling>
          <c:orientation val="minMax"/>
        </c:scaling>
        <c:delete val="0"/>
        <c:axPos val="b"/>
        <c:title>
          <c:tx>
            <c:rich>
              <a:bodyPr/>
              <a:lstStyle/>
              <a:p>
                <a:pPr>
                  <a:defRPr/>
                </a:pPr>
                <a:r>
                  <a:rPr lang="en-US"/>
                  <a:t>Traffic Count Data Points</a:t>
                </a:r>
              </a:p>
            </c:rich>
          </c:tx>
          <c:layout>
            <c:manualLayout>
              <c:xMode val="edge"/>
              <c:yMode val="edge"/>
              <c:x val="0.40599788315666313"/>
              <c:y val="0.87542484428252465"/>
            </c:manualLayout>
          </c:layout>
          <c:overlay val="0"/>
        </c:title>
        <c:majorTickMark val="out"/>
        <c:minorTickMark val="none"/>
        <c:tickLblPos val="nextTo"/>
        <c:spPr>
          <a:noFill/>
          <a:ln>
            <a:solidFill>
              <a:sysClr val="windowText" lastClr="000000"/>
            </a:solidFill>
          </a:ln>
          <a:effectLst/>
        </c:spPr>
        <c:txPr>
          <a:bodyPr rot="0" vert="horz" anchor="t" anchorCtr="0"/>
          <a:lstStyle/>
          <a:p>
            <a:pPr>
              <a:defRPr sz="1000" b="0" normalizeH="0" baseline="0">
                <a:noFill/>
              </a:defRPr>
            </a:pPr>
            <a:endParaRPr lang="en-US"/>
          </a:p>
        </c:txPr>
        <c:crossAx val="133592576"/>
        <c:crosses val="autoZero"/>
        <c:auto val="1"/>
        <c:lblAlgn val="ctr"/>
        <c:lblOffset val="100"/>
        <c:noMultiLvlLbl val="0"/>
      </c:catAx>
      <c:valAx>
        <c:axId val="133592576"/>
        <c:scaling>
          <c:orientation val="minMax"/>
        </c:scaling>
        <c:delete val="0"/>
        <c:axPos val="l"/>
        <c:majorGridlines>
          <c:spPr>
            <a:ln>
              <a:solidFill>
                <a:sysClr val="windowText" lastClr="000000"/>
              </a:solidFill>
            </a:ln>
          </c:spPr>
        </c:majorGridlines>
        <c:title>
          <c:tx>
            <c:rich>
              <a:bodyPr rot="-5400000" vert="horz"/>
              <a:lstStyle/>
              <a:p>
                <a:pPr>
                  <a:defRPr sz="1000"/>
                </a:pPr>
                <a:r>
                  <a:rPr lang="en-US" sz="1000"/>
                  <a:t>Average Annual Growth rate %</a:t>
                </a:r>
              </a:p>
            </c:rich>
          </c:tx>
          <c:layout>
            <c:manualLayout>
              <c:xMode val="edge"/>
              <c:yMode val="edge"/>
              <c:x val="1.0982543290677939E-2"/>
              <c:y val="2.9645606673282476E-2"/>
            </c:manualLayout>
          </c:layout>
          <c:overlay val="0"/>
        </c:title>
        <c:numFmt formatCode="0%" sourceLinked="0"/>
        <c:majorTickMark val="out"/>
        <c:minorTickMark val="none"/>
        <c:tickLblPos val="nextTo"/>
        <c:spPr>
          <a:ln>
            <a:solidFill>
              <a:sysClr val="windowText" lastClr="000000"/>
            </a:solidFill>
          </a:ln>
        </c:spPr>
        <c:crossAx val="133574016"/>
        <c:crosses val="autoZero"/>
        <c:crossBetween val="between"/>
      </c:valAx>
      <c:spPr>
        <a:solidFill>
          <a:srgbClr val="C5C3C2"/>
        </a:solidFill>
      </c:spPr>
    </c:plotArea>
    <c:legend>
      <c:legendPos val="r"/>
      <c:legendEntry>
        <c:idx val="0"/>
        <c:txPr>
          <a:bodyPr/>
          <a:lstStyle/>
          <a:p>
            <a:pPr>
              <a:defRPr sz="800"/>
            </a:pPr>
            <a:endParaRPr lang="en-US"/>
          </a:p>
        </c:txPr>
      </c:legendEntry>
      <c:legendEntry>
        <c:idx val="1"/>
        <c:txPr>
          <a:bodyPr/>
          <a:lstStyle/>
          <a:p>
            <a:pPr>
              <a:defRPr sz="800"/>
            </a:pPr>
            <a:endParaRPr lang="en-US"/>
          </a:p>
        </c:txPr>
      </c:legendEntry>
      <c:layout>
        <c:manualLayout>
          <c:xMode val="edge"/>
          <c:yMode val="edge"/>
          <c:x val="0.28788929873088742"/>
          <c:y val="4.4668330415008834E-3"/>
          <c:w val="0.50560723692528264"/>
          <c:h val="5.9336469540948976E-2"/>
        </c:manualLayout>
      </c:layout>
      <c:overlay val="0"/>
      <c:txPr>
        <a:bodyPr/>
        <a:lstStyle/>
        <a:p>
          <a:pPr>
            <a:defRPr sz="1000"/>
          </a:pPr>
          <a:endParaRPr lang="en-US"/>
        </a:p>
      </c:txPr>
    </c:legend>
    <c:plotVisOnly val="1"/>
    <c:dispBlanksAs val="gap"/>
    <c:showDLblsOverMax val="0"/>
  </c:chart>
  <c:spPr>
    <a:noFill/>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04495378086009"/>
          <c:y val="2.4126375568692932E-2"/>
          <c:w val="0.83271431590575717"/>
          <c:h val="0.61323132546048675"/>
        </c:manualLayout>
      </c:layout>
      <c:barChart>
        <c:barDir val="col"/>
        <c:grouping val="clustered"/>
        <c:varyColors val="0"/>
        <c:ser>
          <c:idx val="0"/>
          <c:order val="0"/>
          <c:tx>
            <c:strRef>
              <c:f>Sheet2!$M$2</c:f>
              <c:strCache>
                <c:ptCount val="1"/>
                <c:pt idx="0">
                  <c:v>2005-06</c:v>
                </c:pt>
              </c:strCache>
            </c:strRef>
          </c:tx>
          <c:spPr>
            <a:solidFill>
              <a:srgbClr val="C5C3C2"/>
            </a:solidFill>
            <a:ln w="3175">
              <a:solidFill>
                <a:schemeClr val="tx1"/>
              </a:solidFill>
            </a:ln>
          </c:spPr>
          <c:invertIfNegative val="0"/>
          <c:cat>
            <c:strRef>
              <c:f>Sheet2!$L$3:$L$20</c:f>
              <c:strCache>
                <c:ptCount val="18"/>
                <c:pt idx="0">
                  <c:v>Wallan</c:v>
                </c:pt>
                <c:pt idx="1">
                  <c:v>Heathcote Junction</c:v>
                </c:pt>
                <c:pt idx="2">
                  <c:v>Kilmore East</c:v>
                </c:pt>
                <c:pt idx="3">
                  <c:v>Broadford</c:v>
                </c:pt>
                <c:pt idx="4">
                  <c:v>Tallarook</c:v>
                </c:pt>
                <c:pt idx="5">
                  <c:v>Seymour</c:v>
                </c:pt>
                <c:pt idx="6">
                  <c:v>Avenel</c:v>
                </c:pt>
                <c:pt idx="7">
                  <c:v>Euroa</c:v>
                </c:pt>
                <c:pt idx="8">
                  <c:v>Violet Town</c:v>
                </c:pt>
                <c:pt idx="9">
                  <c:v>Benalla</c:v>
                </c:pt>
                <c:pt idx="10">
                  <c:v>Wangaratta</c:v>
                </c:pt>
                <c:pt idx="11">
                  <c:v>Chiltern</c:v>
                </c:pt>
                <c:pt idx="12">
                  <c:v>Wodonga</c:v>
                </c:pt>
                <c:pt idx="13">
                  <c:v>Albury</c:v>
                </c:pt>
                <c:pt idx="14">
                  <c:v>Nagambie</c:v>
                </c:pt>
                <c:pt idx="15">
                  <c:v>Murchison East</c:v>
                </c:pt>
                <c:pt idx="16">
                  <c:v>Mooroopna</c:v>
                </c:pt>
                <c:pt idx="17">
                  <c:v>Shepparton</c:v>
                </c:pt>
              </c:strCache>
            </c:strRef>
          </c:cat>
          <c:val>
            <c:numRef>
              <c:f>Sheet2!$M$3:$M$20</c:f>
              <c:numCache>
                <c:formatCode>#,##0</c:formatCode>
                <c:ptCount val="18"/>
                <c:pt idx="0">
                  <c:v>183.66306648975382</c:v>
                </c:pt>
                <c:pt idx="1">
                  <c:v>27.026558307533527</c:v>
                </c:pt>
                <c:pt idx="2">
                  <c:v>141.52970661949001</c:v>
                </c:pt>
                <c:pt idx="3">
                  <c:v>114.40378224974202</c:v>
                </c:pt>
                <c:pt idx="4">
                  <c:v>19.553264779596091</c:v>
                </c:pt>
                <c:pt idx="5">
                  <c:v>220.99211632021346</c:v>
                </c:pt>
                <c:pt idx="6">
                  <c:v>1.5341073271413841</c:v>
                </c:pt>
                <c:pt idx="7">
                  <c:v>24.021836208167429</c:v>
                </c:pt>
                <c:pt idx="8">
                  <c:v>4.9509420610349402</c:v>
                </c:pt>
                <c:pt idx="9">
                  <c:v>69.608154209052032</c:v>
                </c:pt>
                <c:pt idx="10">
                  <c:v>116.63074893115069</c:v>
                </c:pt>
                <c:pt idx="11">
                  <c:v>5.9503869969040304</c:v>
                </c:pt>
                <c:pt idx="12">
                  <c:v>83.411649712516592</c:v>
                </c:pt>
                <c:pt idx="13">
                  <c:v>69.337654430193197</c:v>
                </c:pt>
                <c:pt idx="14">
                  <c:v>9.2979927760577912</c:v>
                </c:pt>
                <c:pt idx="15">
                  <c:v>34.130593395252838</c:v>
                </c:pt>
                <c:pt idx="16">
                  <c:v>9.1361182367683966</c:v>
                </c:pt>
                <c:pt idx="17">
                  <c:v>102.51939554769277</c:v>
                </c:pt>
              </c:numCache>
            </c:numRef>
          </c:val>
        </c:ser>
        <c:ser>
          <c:idx val="1"/>
          <c:order val="1"/>
          <c:tx>
            <c:strRef>
              <c:f>Sheet2!$N$2</c:f>
              <c:strCache>
                <c:ptCount val="1"/>
                <c:pt idx="0">
                  <c:v>2006-07</c:v>
                </c:pt>
              </c:strCache>
            </c:strRef>
          </c:tx>
          <c:spPr>
            <a:solidFill>
              <a:srgbClr val="9D9B99"/>
            </a:solidFill>
            <a:ln w="3175">
              <a:solidFill>
                <a:schemeClr val="tx1"/>
              </a:solidFill>
            </a:ln>
          </c:spPr>
          <c:invertIfNegative val="0"/>
          <c:cat>
            <c:strRef>
              <c:f>Sheet2!$L$3:$L$20</c:f>
              <c:strCache>
                <c:ptCount val="18"/>
                <c:pt idx="0">
                  <c:v>Wallan</c:v>
                </c:pt>
                <c:pt idx="1">
                  <c:v>Heathcote Junction</c:v>
                </c:pt>
                <c:pt idx="2">
                  <c:v>Kilmore East</c:v>
                </c:pt>
                <c:pt idx="3">
                  <c:v>Broadford</c:v>
                </c:pt>
                <c:pt idx="4">
                  <c:v>Tallarook</c:v>
                </c:pt>
                <c:pt idx="5">
                  <c:v>Seymour</c:v>
                </c:pt>
                <c:pt idx="6">
                  <c:v>Avenel</c:v>
                </c:pt>
                <c:pt idx="7">
                  <c:v>Euroa</c:v>
                </c:pt>
                <c:pt idx="8">
                  <c:v>Violet Town</c:v>
                </c:pt>
                <c:pt idx="9">
                  <c:v>Benalla</c:v>
                </c:pt>
                <c:pt idx="10">
                  <c:v>Wangaratta</c:v>
                </c:pt>
                <c:pt idx="11">
                  <c:v>Chiltern</c:v>
                </c:pt>
                <c:pt idx="12">
                  <c:v>Wodonga</c:v>
                </c:pt>
                <c:pt idx="13">
                  <c:v>Albury</c:v>
                </c:pt>
                <c:pt idx="14">
                  <c:v>Nagambie</c:v>
                </c:pt>
                <c:pt idx="15">
                  <c:v>Murchison East</c:v>
                </c:pt>
                <c:pt idx="16">
                  <c:v>Mooroopna</c:v>
                </c:pt>
                <c:pt idx="17">
                  <c:v>Shepparton</c:v>
                </c:pt>
              </c:strCache>
            </c:strRef>
          </c:cat>
          <c:val>
            <c:numRef>
              <c:f>Sheet2!$N$3:$N$20</c:f>
              <c:numCache>
                <c:formatCode>#,##0</c:formatCode>
                <c:ptCount val="18"/>
                <c:pt idx="0">
                  <c:v>229.58421068196606</c:v>
                </c:pt>
                <c:pt idx="1">
                  <c:v>31.196105902880589</c:v>
                </c:pt>
                <c:pt idx="2">
                  <c:v>174.76334062814098</c:v>
                </c:pt>
                <c:pt idx="3">
                  <c:v>144.28423655882187</c:v>
                </c:pt>
                <c:pt idx="4">
                  <c:v>17.966192996983345</c:v>
                </c:pt>
                <c:pt idx="5">
                  <c:v>288.74051650204029</c:v>
                </c:pt>
                <c:pt idx="6">
                  <c:v>2.9891526685199432</c:v>
                </c:pt>
                <c:pt idx="7">
                  <c:v>25.285165907612232</c:v>
                </c:pt>
                <c:pt idx="8">
                  <c:v>8.0094679718460267</c:v>
                </c:pt>
                <c:pt idx="9">
                  <c:v>74.211993552966234</c:v>
                </c:pt>
                <c:pt idx="10">
                  <c:v>114.64670920328858</c:v>
                </c:pt>
                <c:pt idx="11">
                  <c:v>9.0383524575619507</c:v>
                </c:pt>
                <c:pt idx="12">
                  <c:v>78.241228485243894</c:v>
                </c:pt>
                <c:pt idx="13">
                  <c:v>84.1434294966582</c:v>
                </c:pt>
                <c:pt idx="14">
                  <c:v>10.021099988170548</c:v>
                </c:pt>
                <c:pt idx="15">
                  <c:v>23.963251907493927</c:v>
                </c:pt>
                <c:pt idx="16">
                  <c:v>12.304998669190271</c:v>
                </c:pt>
                <c:pt idx="17">
                  <c:v>138.97410983616192</c:v>
                </c:pt>
              </c:numCache>
            </c:numRef>
          </c:val>
        </c:ser>
        <c:ser>
          <c:idx val="2"/>
          <c:order val="2"/>
          <c:tx>
            <c:strRef>
              <c:f>Sheet2!$O$2</c:f>
              <c:strCache>
                <c:ptCount val="1"/>
                <c:pt idx="0">
                  <c:v>2007-08</c:v>
                </c:pt>
              </c:strCache>
            </c:strRef>
          </c:tx>
          <c:spPr>
            <a:solidFill>
              <a:srgbClr val="3B3733"/>
            </a:solidFill>
            <a:ln w="25400">
              <a:noFill/>
            </a:ln>
          </c:spPr>
          <c:invertIfNegative val="0"/>
          <c:cat>
            <c:strRef>
              <c:f>Sheet2!$L$3:$L$20</c:f>
              <c:strCache>
                <c:ptCount val="18"/>
                <c:pt idx="0">
                  <c:v>Wallan</c:v>
                </c:pt>
                <c:pt idx="1">
                  <c:v>Heathcote Junction</c:v>
                </c:pt>
                <c:pt idx="2">
                  <c:v>Kilmore East</c:v>
                </c:pt>
                <c:pt idx="3">
                  <c:v>Broadford</c:v>
                </c:pt>
                <c:pt idx="4">
                  <c:v>Tallarook</c:v>
                </c:pt>
                <c:pt idx="5">
                  <c:v>Seymour</c:v>
                </c:pt>
                <c:pt idx="6">
                  <c:v>Avenel</c:v>
                </c:pt>
                <c:pt idx="7">
                  <c:v>Euroa</c:v>
                </c:pt>
                <c:pt idx="8">
                  <c:v>Violet Town</c:v>
                </c:pt>
                <c:pt idx="9">
                  <c:v>Benalla</c:v>
                </c:pt>
                <c:pt idx="10">
                  <c:v>Wangaratta</c:v>
                </c:pt>
                <c:pt idx="11">
                  <c:v>Chiltern</c:v>
                </c:pt>
                <c:pt idx="12">
                  <c:v>Wodonga</c:v>
                </c:pt>
                <c:pt idx="13">
                  <c:v>Albury</c:v>
                </c:pt>
                <c:pt idx="14">
                  <c:v>Nagambie</c:v>
                </c:pt>
                <c:pt idx="15">
                  <c:v>Murchison East</c:v>
                </c:pt>
                <c:pt idx="16">
                  <c:v>Mooroopna</c:v>
                </c:pt>
                <c:pt idx="17">
                  <c:v>Shepparton</c:v>
                </c:pt>
              </c:strCache>
            </c:strRef>
          </c:cat>
          <c:val>
            <c:numRef>
              <c:f>Sheet2!$O$3:$O$20</c:f>
              <c:numCache>
                <c:formatCode>#,##0</c:formatCode>
                <c:ptCount val="18"/>
                <c:pt idx="0">
                  <c:v>269.89305555555529</c:v>
                </c:pt>
                <c:pt idx="1">
                  <c:v>35.964160280970638</c:v>
                </c:pt>
                <c:pt idx="2">
                  <c:v>227.52295977011494</c:v>
                </c:pt>
                <c:pt idx="3">
                  <c:v>182.29754150702487</c:v>
                </c:pt>
                <c:pt idx="4">
                  <c:v>22.125249042145455</c:v>
                </c:pt>
                <c:pt idx="5">
                  <c:v>357.63041826309063</c:v>
                </c:pt>
                <c:pt idx="6">
                  <c:v>4.6704363558961264</c:v>
                </c:pt>
                <c:pt idx="7">
                  <c:v>25.626599616858236</c:v>
                </c:pt>
                <c:pt idx="8">
                  <c:v>9.0816411238825019</c:v>
                </c:pt>
                <c:pt idx="9">
                  <c:v>84.879942528735157</c:v>
                </c:pt>
                <c:pt idx="10">
                  <c:v>161.18720945083129</c:v>
                </c:pt>
                <c:pt idx="11">
                  <c:v>7.5182396764580677</c:v>
                </c:pt>
                <c:pt idx="12">
                  <c:v>77.880412941677307</c:v>
                </c:pt>
                <c:pt idx="13">
                  <c:v>89.036569816943384</c:v>
                </c:pt>
                <c:pt idx="14">
                  <c:v>13.302895913154536</c:v>
                </c:pt>
                <c:pt idx="15">
                  <c:v>38.806765644955313</c:v>
                </c:pt>
                <c:pt idx="16">
                  <c:v>15.7631864623244</c:v>
                </c:pt>
                <c:pt idx="17">
                  <c:v>165.75037994891525</c:v>
                </c:pt>
              </c:numCache>
            </c:numRef>
          </c:val>
        </c:ser>
        <c:ser>
          <c:idx val="3"/>
          <c:order val="3"/>
          <c:tx>
            <c:strRef>
              <c:f>Sheet2!$P$2</c:f>
              <c:strCache>
                <c:ptCount val="1"/>
                <c:pt idx="0">
                  <c:v>2008-09</c:v>
                </c:pt>
              </c:strCache>
            </c:strRef>
          </c:tx>
          <c:spPr>
            <a:solidFill>
              <a:srgbClr val="F2D1B9"/>
            </a:solidFill>
            <a:ln w="3175">
              <a:solidFill>
                <a:schemeClr val="tx1"/>
              </a:solidFill>
            </a:ln>
          </c:spPr>
          <c:invertIfNegative val="0"/>
          <c:cat>
            <c:strRef>
              <c:f>Sheet2!$L$3:$L$20</c:f>
              <c:strCache>
                <c:ptCount val="18"/>
                <c:pt idx="0">
                  <c:v>Wallan</c:v>
                </c:pt>
                <c:pt idx="1">
                  <c:v>Heathcote Junction</c:v>
                </c:pt>
                <c:pt idx="2">
                  <c:v>Kilmore East</c:v>
                </c:pt>
                <c:pt idx="3">
                  <c:v>Broadford</c:v>
                </c:pt>
                <c:pt idx="4">
                  <c:v>Tallarook</c:v>
                </c:pt>
                <c:pt idx="5">
                  <c:v>Seymour</c:v>
                </c:pt>
                <c:pt idx="6">
                  <c:v>Avenel</c:v>
                </c:pt>
                <c:pt idx="7">
                  <c:v>Euroa</c:v>
                </c:pt>
                <c:pt idx="8">
                  <c:v>Violet Town</c:v>
                </c:pt>
                <c:pt idx="9">
                  <c:v>Benalla</c:v>
                </c:pt>
                <c:pt idx="10">
                  <c:v>Wangaratta</c:v>
                </c:pt>
                <c:pt idx="11">
                  <c:v>Chiltern</c:v>
                </c:pt>
                <c:pt idx="12">
                  <c:v>Wodonga</c:v>
                </c:pt>
                <c:pt idx="13">
                  <c:v>Albury</c:v>
                </c:pt>
                <c:pt idx="14">
                  <c:v>Nagambie</c:v>
                </c:pt>
                <c:pt idx="15">
                  <c:v>Murchison East</c:v>
                </c:pt>
                <c:pt idx="16">
                  <c:v>Mooroopna</c:v>
                </c:pt>
                <c:pt idx="17">
                  <c:v>Shepparton</c:v>
                </c:pt>
              </c:strCache>
            </c:strRef>
          </c:cat>
          <c:val>
            <c:numRef>
              <c:f>Sheet2!$P$3:$P$20</c:f>
              <c:numCache>
                <c:formatCode>#,##0</c:formatCode>
                <c:ptCount val="18"/>
                <c:pt idx="0">
                  <c:v>310.41086859842966</c:v>
                </c:pt>
                <c:pt idx="1">
                  <c:v>39.058460843582793</c:v>
                </c:pt>
                <c:pt idx="2">
                  <c:v>256.91246039191202</c:v>
                </c:pt>
                <c:pt idx="3">
                  <c:v>200.56448787436594</c:v>
                </c:pt>
                <c:pt idx="4">
                  <c:v>24.134429678271129</c:v>
                </c:pt>
                <c:pt idx="5">
                  <c:v>556.88246351886653</c:v>
                </c:pt>
                <c:pt idx="6">
                  <c:v>3.5474074074074244</c:v>
                </c:pt>
                <c:pt idx="7">
                  <c:v>18.159259259259265</c:v>
                </c:pt>
                <c:pt idx="8">
                  <c:v>8.0044444444444505</c:v>
                </c:pt>
                <c:pt idx="9">
                  <c:v>65.906296296296304</c:v>
                </c:pt>
                <c:pt idx="10">
                  <c:v>161.07444444444442</c:v>
                </c:pt>
                <c:pt idx="11">
                  <c:v>2.4766666666666577</c:v>
                </c:pt>
                <c:pt idx="12">
                  <c:v>27.263333333333062</c:v>
                </c:pt>
                <c:pt idx="13">
                  <c:v>17.008148148148127</c:v>
                </c:pt>
                <c:pt idx="14">
                  <c:v>13.635752032520326</c:v>
                </c:pt>
                <c:pt idx="15">
                  <c:v>40.049064693210667</c:v>
                </c:pt>
                <c:pt idx="16">
                  <c:v>17.569415606976584</c:v>
                </c:pt>
                <c:pt idx="17">
                  <c:v>184.11465290806609</c:v>
                </c:pt>
              </c:numCache>
            </c:numRef>
          </c:val>
        </c:ser>
        <c:ser>
          <c:idx val="4"/>
          <c:order val="4"/>
          <c:tx>
            <c:strRef>
              <c:f>Sheet2!$Q$2</c:f>
              <c:strCache>
                <c:ptCount val="1"/>
                <c:pt idx="0">
                  <c:v>2009-10</c:v>
                </c:pt>
              </c:strCache>
            </c:strRef>
          </c:tx>
          <c:spPr>
            <a:solidFill>
              <a:srgbClr val="E9B189"/>
            </a:solidFill>
            <a:ln w="3175">
              <a:solidFill>
                <a:schemeClr val="tx1"/>
              </a:solidFill>
            </a:ln>
          </c:spPr>
          <c:invertIfNegative val="0"/>
          <c:cat>
            <c:strRef>
              <c:f>Sheet2!$L$3:$L$20</c:f>
              <c:strCache>
                <c:ptCount val="18"/>
                <c:pt idx="0">
                  <c:v>Wallan</c:v>
                </c:pt>
                <c:pt idx="1">
                  <c:v>Heathcote Junction</c:v>
                </c:pt>
                <c:pt idx="2">
                  <c:v>Kilmore East</c:v>
                </c:pt>
                <c:pt idx="3">
                  <c:v>Broadford</c:v>
                </c:pt>
                <c:pt idx="4">
                  <c:v>Tallarook</c:v>
                </c:pt>
                <c:pt idx="5">
                  <c:v>Seymour</c:v>
                </c:pt>
                <c:pt idx="6">
                  <c:v>Avenel</c:v>
                </c:pt>
                <c:pt idx="7">
                  <c:v>Euroa</c:v>
                </c:pt>
                <c:pt idx="8">
                  <c:v>Violet Town</c:v>
                </c:pt>
                <c:pt idx="9">
                  <c:v>Benalla</c:v>
                </c:pt>
                <c:pt idx="10">
                  <c:v>Wangaratta</c:v>
                </c:pt>
                <c:pt idx="11">
                  <c:v>Chiltern</c:v>
                </c:pt>
                <c:pt idx="12">
                  <c:v>Wodonga</c:v>
                </c:pt>
                <c:pt idx="13">
                  <c:v>Albury</c:v>
                </c:pt>
                <c:pt idx="14">
                  <c:v>Nagambie</c:v>
                </c:pt>
                <c:pt idx="15">
                  <c:v>Murchison East</c:v>
                </c:pt>
                <c:pt idx="16">
                  <c:v>Mooroopna</c:v>
                </c:pt>
                <c:pt idx="17">
                  <c:v>Shepparton</c:v>
                </c:pt>
              </c:strCache>
            </c:strRef>
          </c:cat>
          <c:val>
            <c:numRef>
              <c:f>Sheet2!$Q$3:$Q$20</c:f>
              <c:numCache>
                <c:formatCode>#,##0</c:formatCode>
                <c:ptCount val="18"/>
                <c:pt idx="0">
                  <c:v>332.75433163621847</c:v>
                </c:pt>
                <c:pt idx="1">
                  <c:v>43.450071877807403</c:v>
                </c:pt>
                <c:pt idx="2">
                  <c:v>279.71106319257223</c:v>
                </c:pt>
                <c:pt idx="3">
                  <c:v>216.21318059299111</c:v>
                </c:pt>
                <c:pt idx="4">
                  <c:v>22.807931516422091</c:v>
                </c:pt>
                <c:pt idx="5">
                  <c:v>718.86341219925748</c:v>
                </c:pt>
                <c:pt idx="6">
                  <c:v>0</c:v>
                </c:pt>
                <c:pt idx="7">
                  <c:v>0</c:v>
                </c:pt>
                <c:pt idx="8">
                  <c:v>0</c:v>
                </c:pt>
                <c:pt idx="9">
                  <c:v>0</c:v>
                </c:pt>
                <c:pt idx="10">
                  <c:v>0</c:v>
                </c:pt>
                <c:pt idx="11">
                  <c:v>0</c:v>
                </c:pt>
                <c:pt idx="12">
                  <c:v>0</c:v>
                </c:pt>
                <c:pt idx="13">
                  <c:v>0</c:v>
                </c:pt>
                <c:pt idx="14">
                  <c:v>15.113511530398323</c:v>
                </c:pt>
                <c:pt idx="15">
                  <c:v>43.225236597783812</c:v>
                </c:pt>
                <c:pt idx="16">
                  <c:v>17.862042028551429</c:v>
                </c:pt>
                <c:pt idx="17">
                  <c:v>212.01628331835875</c:v>
                </c:pt>
              </c:numCache>
            </c:numRef>
          </c:val>
        </c:ser>
        <c:ser>
          <c:idx val="5"/>
          <c:order val="5"/>
          <c:tx>
            <c:strRef>
              <c:f>Sheet2!$R$2</c:f>
              <c:strCache>
                <c:ptCount val="1"/>
                <c:pt idx="0">
                  <c:v>2010-11</c:v>
                </c:pt>
              </c:strCache>
            </c:strRef>
          </c:tx>
          <c:spPr>
            <a:solidFill>
              <a:srgbClr val="D46613"/>
            </a:solidFill>
            <a:ln w="3175">
              <a:solidFill>
                <a:schemeClr val="tx1"/>
              </a:solidFill>
            </a:ln>
          </c:spPr>
          <c:invertIfNegative val="0"/>
          <c:cat>
            <c:strRef>
              <c:f>Sheet2!$L$3:$L$20</c:f>
              <c:strCache>
                <c:ptCount val="18"/>
                <c:pt idx="0">
                  <c:v>Wallan</c:v>
                </c:pt>
                <c:pt idx="1">
                  <c:v>Heathcote Junction</c:v>
                </c:pt>
                <c:pt idx="2">
                  <c:v>Kilmore East</c:v>
                </c:pt>
                <c:pt idx="3">
                  <c:v>Broadford</c:v>
                </c:pt>
                <c:pt idx="4">
                  <c:v>Tallarook</c:v>
                </c:pt>
                <c:pt idx="5">
                  <c:v>Seymour</c:v>
                </c:pt>
                <c:pt idx="6">
                  <c:v>Avenel</c:v>
                </c:pt>
                <c:pt idx="7">
                  <c:v>Euroa</c:v>
                </c:pt>
                <c:pt idx="8">
                  <c:v>Violet Town</c:v>
                </c:pt>
                <c:pt idx="9">
                  <c:v>Benalla</c:v>
                </c:pt>
                <c:pt idx="10">
                  <c:v>Wangaratta</c:v>
                </c:pt>
                <c:pt idx="11">
                  <c:v>Chiltern</c:v>
                </c:pt>
                <c:pt idx="12">
                  <c:v>Wodonga</c:v>
                </c:pt>
                <c:pt idx="13">
                  <c:v>Albury</c:v>
                </c:pt>
                <c:pt idx="14">
                  <c:v>Nagambie</c:v>
                </c:pt>
                <c:pt idx="15">
                  <c:v>Murchison East</c:v>
                </c:pt>
                <c:pt idx="16">
                  <c:v>Mooroopna</c:v>
                </c:pt>
                <c:pt idx="17">
                  <c:v>Shepparton</c:v>
                </c:pt>
              </c:strCache>
            </c:strRef>
          </c:cat>
          <c:val>
            <c:numRef>
              <c:f>Sheet2!$R$3:$R$20</c:f>
              <c:numCache>
                <c:formatCode>#,##0</c:formatCode>
                <c:ptCount val="18"/>
                <c:pt idx="0">
                  <c:v>373.75</c:v>
                </c:pt>
                <c:pt idx="1">
                  <c:v>43.5</c:v>
                </c:pt>
                <c:pt idx="2">
                  <c:v>320.5</c:v>
                </c:pt>
                <c:pt idx="3">
                  <c:v>228.5</c:v>
                </c:pt>
                <c:pt idx="4">
                  <c:v>23.75</c:v>
                </c:pt>
                <c:pt idx="5">
                  <c:v>786</c:v>
                </c:pt>
                <c:pt idx="6">
                  <c:v>0</c:v>
                </c:pt>
                <c:pt idx="7">
                  <c:v>0</c:v>
                </c:pt>
                <c:pt idx="8">
                  <c:v>0</c:v>
                </c:pt>
                <c:pt idx="9">
                  <c:v>2</c:v>
                </c:pt>
                <c:pt idx="10">
                  <c:v>4</c:v>
                </c:pt>
                <c:pt idx="11">
                  <c:v>0</c:v>
                </c:pt>
                <c:pt idx="12">
                  <c:v>1</c:v>
                </c:pt>
                <c:pt idx="13">
                  <c:v>2</c:v>
                </c:pt>
                <c:pt idx="14">
                  <c:v>11</c:v>
                </c:pt>
                <c:pt idx="15">
                  <c:v>36</c:v>
                </c:pt>
                <c:pt idx="16">
                  <c:v>14.25</c:v>
                </c:pt>
                <c:pt idx="17">
                  <c:v>220.5</c:v>
                </c:pt>
              </c:numCache>
            </c:numRef>
          </c:val>
        </c:ser>
        <c:dLbls>
          <c:showLegendKey val="0"/>
          <c:showVal val="0"/>
          <c:showCatName val="0"/>
          <c:showSerName val="0"/>
          <c:showPercent val="0"/>
          <c:showBubbleSize val="0"/>
        </c:dLbls>
        <c:gapWidth val="150"/>
        <c:axId val="133642880"/>
        <c:axId val="133645056"/>
      </c:barChart>
      <c:catAx>
        <c:axId val="133642880"/>
        <c:scaling>
          <c:orientation val="minMax"/>
        </c:scaling>
        <c:delete val="0"/>
        <c:axPos val="b"/>
        <c:title>
          <c:tx>
            <c:rich>
              <a:bodyPr/>
              <a:lstStyle/>
              <a:p>
                <a:pPr>
                  <a:defRPr sz="1125" b="1" i="0" u="none" strike="noStrike" baseline="0">
                    <a:solidFill>
                      <a:srgbClr val="000000"/>
                    </a:solidFill>
                    <a:latin typeface="Arial"/>
                    <a:ea typeface="Arial"/>
                    <a:cs typeface="Arial"/>
                  </a:defRPr>
                </a:pPr>
                <a:r>
                  <a:rPr lang="en-AU"/>
                  <a:t>Station</a:t>
                </a:r>
              </a:p>
            </c:rich>
          </c:tx>
          <c:layout>
            <c:manualLayout>
              <c:xMode val="edge"/>
              <c:yMode val="edge"/>
              <c:x val="0.47511475420586785"/>
              <c:y val="0.864437974749027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5400000" vert="horz"/>
          <a:lstStyle/>
          <a:p>
            <a:pPr>
              <a:defRPr sz="1000" b="0" i="0" u="none" strike="noStrike" baseline="0">
                <a:solidFill>
                  <a:srgbClr val="000000"/>
                </a:solidFill>
                <a:latin typeface="Arial"/>
                <a:ea typeface="Arial"/>
                <a:cs typeface="Arial"/>
              </a:defRPr>
            </a:pPr>
            <a:endParaRPr lang="en-US"/>
          </a:p>
        </c:txPr>
        <c:crossAx val="133645056"/>
        <c:crosses val="autoZero"/>
        <c:auto val="1"/>
        <c:lblAlgn val="ctr"/>
        <c:lblOffset val="100"/>
        <c:tickLblSkip val="1"/>
        <c:tickMarkSkip val="1"/>
        <c:noMultiLvlLbl val="0"/>
      </c:catAx>
      <c:valAx>
        <c:axId val="133645056"/>
        <c:scaling>
          <c:orientation val="minMax"/>
          <c:max val="800"/>
        </c:scaling>
        <c:delete val="0"/>
        <c:axPos val="l"/>
        <c:majorGridlines>
          <c:spPr>
            <a:ln w="3175">
              <a:solidFill>
                <a:srgbClr val="C0C0C0"/>
              </a:solidFill>
              <a:prstDash val="sysDash"/>
            </a:ln>
          </c:spPr>
        </c:majorGridlines>
        <c:title>
          <c:tx>
            <c:rich>
              <a:bodyPr/>
              <a:lstStyle/>
              <a:p>
                <a:pPr>
                  <a:defRPr sz="1125" b="1" i="0" u="none" strike="noStrike" baseline="0">
                    <a:solidFill>
                      <a:srgbClr val="000000"/>
                    </a:solidFill>
                    <a:latin typeface="Arial"/>
                    <a:ea typeface="Arial"/>
                    <a:cs typeface="Arial"/>
                  </a:defRPr>
                </a:pPr>
                <a:r>
                  <a:rPr lang="en-AU"/>
                  <a:t>Patronage</a:t>
                </a:r>
              </a:p>
            </c:rich>
          </c:tx>
          <c:layout>
            <c:manualLayout>
              <c:xMode val="edge"/>
              <c:yMode val="edge"/>
              <c:x val="6.4490109468023924E-3"/>
              <c:y val="0.24803383157613862"/>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33642880"/>
        <c:crosses val="autoZero"/>
        <c:crossBetween val="between"/>
      </c:valAx>
      <c:spPr>
        <a:noFill/>
        <a:ln w="25400">
          <a:noFill/>
        </a:ln>
      </c:spPr>
    </c:plotArea>
    <c:legend>
      <c:legendPos val="r"/>
      <c:layout>
        <c:manualLayout>
          <c:xMode val="edge"/>
          <c:yMode val="edge"/>
          <c:x val="0.13672256801416718"/>
          <c:y val="0.94724541381302818"/>
          <c:w val="0.85647425897035878"/>
          <c:h val="5.0526367728585264E-2"/>
        </c:manualLayout>
      </c:layout>
      <c:overlay val="0"/>
      <c:spPr>
        <a:noFill/>
        <a:ln w="25400">
          <a:noFill/>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75" b="0" i="0" u="none" strike="noStrike" baseline="0">
          <a:solidFill>
            <a:srgbClr val="000000"/>
          </a:solidFill>
          <a:latin typeface="Arial"/>
          <a:ea typeface="Arial"/>
          <a:cs typeface="Arial"/>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0.13813</cdr:x>
      <cdr:y>0.04156</cdr:y>
    </cdr:from>
    <cdr:to>
      <cdr:x>0.39232</cdr:x>
      <cdr:y>0.27792</cdr:y>
    </cdr:to>
    <cdr:sp macro="" textlink="">
      <cdr:nvSpPr>
        <cdr:cNvPr id="21" name="TextBox 20"/>
        <cdr:cNvSpPr txBox="1"/>
      </cdr:nvSpPr>
      <cdr:spPr>
        <a:xfrm xmlns:a="http://schemas.openxmlformats.org/drawingml/2006/main">
          <a:off x="791703" y="127804"/>
          <a:ext cx="1456892" cy="726849"/>
        </a:xfrm>
        <a:prstGeom xmlns:a="http://schemas.openxmlformats.org/drawingml/2006/main" prst="roundRect">
          <a:avLst/>
        </a:prstGeom>
        <a:noFill xmlns:a="http://schemas.openxmlformats.org/drawingml/2006/main"/>
        <a:ln xmlns:a="http://schemas.openxmlformats.org/drawingml/2006/main" w="19050">
          <a:solidFill>
            <a:srgbClr val="E9B189"/>
          </a:solidFill>
        </a:ln>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wrap="square" rtlCol="0" anchor="ctr" anchorCtr="0">
          <a:noAutofit/>
        </a:bodyPr>
        <a:lstStyle xmlns:a="http://schemas.openxmlformats.org/drawingml/2006/main"/>
        <a:p xmlns:a="http://schemas.openxmlformats.org/drawingml/2006/main">
          <a:pPr algn="ctr"/>
          <a:endParaRPr lang="en-AU" sz="900" b="1">
            <a:solidFill>
              <a:srgbClr val="D46613"/>
            </a:solidFill>
            <a:latin typeface="Arial" pitchFamily="34" charset="0"/>
            <a:cs typeface="Arial" pitchFamily="34" charset="0"/>
          </a:endParaRPr>
        </a:p>
        <a:p xmlns:a="http://schemas.openxmlformats.org/drawingml/2006/main">
          <a:pPr algn="ctr"/>
          <a:r>
            <a:rPr lang="en-AU" sz="900" b="1">
              <a:solidFill>
                <a:srgbClr val="D46613"/>
              </a:solidFill>
              <a:latin typeface="Arial" pitchFamily="34" charset="0"/>
              <a:cs typeface="Arial" pitchFamily="34" charset="0"/>
            </a:rPr>
            <a:t>FASTEST ANNUAL AVERAGE</a:t>
          </a:r>
          <a:r>
            <a:rPr lang="en-AU" sz="900" b="1" baseline="0">
              <a:solidFill>
                <a:srgbClr val="D46613"/>
              </a:solidFill>
              <a:latin typeface="Arial" pitchFamily="34" charset="0"/>
              <a:cs typeface="Arial" pitchFamily="34" charset="0"/>
            </a:rPr>
            <a:t> GROWTH RATE - Exports</a:t>
          </a:r>
          <a:endParaRPr lang="en-AU" sz="900" b="1">
            <a:solidFill>
              <a:srgbClr val="D46613"/>
            </a:solidFill>
            <a:latin typeface="Arial" pitchFamily="34" charset="0"/>
            <a:cs typeface="Arial" pitchFamily="34" charset="0"/>
          </a:endParaRPr>
        </a:p>
      </cdr:txBody>
    </cdr:sp>
  </cdr:relSizeAnchor>
  <cdr:relSizeAnchor xmlns:cdr="http://schemas.openxmlformats.org/drawingml/2006/chartDrawing">
    <cdr:from>
      <cdr:x>0.83213</cdr:x>
      <cdr:y>0.37158</cdr:y>
    </cdr:from>
    <cdr:to>
      <cdr:x>0.94665</cdr:x>
      <cdr:y>0.44851</cdr:y>
    </cdr:to>
    <cdr:sp macro="" textlink="">
      <cdr:nvSpPr>
        <cdr:cNvPr id="3" name="TextBox 2"/>
        <cdr:cNvSpPr txBox="1"/>
      </cdr:nvSpPr>
      <cdr:spPr>
        <a:xfrm xmlns:a="http://schemas.openxmlformats.org/drawingml/2006/main">
          <a:off x="4769340" y="1142681"/>
          <a:ext cx="656373" cy="2365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700"/>
            <a:t>Manufacturing</a:t>
          </a:r>
        </a:p>
      </cdr:txBody>
    </cdr:sp>
  </cdr:relSizeAnchor>
  <cdr:relSizeAnchor xmlns:cdr="http://schemas.openxmlformats.org/drawingml/2006/chartDrawing">
    <cdr:from>
      <cdr:x>0.40552</cdr:x>
      <cdr:y>0.44157</cdr:y>
    </cdr:from>
    <cdr:to>
      <cdr:x>0.56086</cdr:x>
      <cdr:y>0.51849</cdr:y>
    </cdr:to>
    <cdr:sp macro="" textlink="">
      <cdr:nvSpPr>
        <cdr:cNvPr id="4" name="TextBox 1"/>
        <cdr:cNvSpPr txBox="1"/>
      </cdr:nvSpPr>
      <cdr:spPr>
        <a:xfrm xmlns:a="http://schemas.openxmlformats.org/drawingml/2006/main">
          <a:off x="2324240" y="1357910"/>
          <a:ext cx="890333" cy="23654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700"/>
            <a:t>Agriculture,</a:t>
          </a:r>
          <a:r>
            <a:rPr lang="en-AU" sz="700" baseline="0"/>
            <a:t> Forestry and Fishing</a:t>
          </a:r>
          <a:endParaRPr lang="en-AU" sz="700"/>
        </a:p>
      </cdr:txBody>
    </cdr:sp>
  </cdr:relSizeAnchor>
  <cdr:relSizeAnchor xmlns:cdr="http://schemas.openxmlformats.org/drawingml/2006/chartDrawing">
    <cdr:from>
      <cdr:x>0.13082</cdr:x>
      <cdr:y>0.04971</cdr:y>
    </cdr:from>
    <cdr:to>
      <cdr:x>0.28616</cdr:x>
      <cdr:y>0.12664</cdr:y>
    </cdr:to>
    <cdr:sp macro="" textlink="">
      <cdr:nvSpPr>
        <cdr:cNvPr id="5" name="TextBox 1"/>
        <cdr:cNvSpPr txBox="1"/>
      </cdr:nvSpPr>
      <cdr:spPr>
        <a:xfrm xmlns:a="http://schemas.openxmlformats.org/drawingml/2006/main">
          <a:off x="749778" y="152856"/>
          <a:ext cx="890332" cy="23657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700"/>
            <a:t>Administrative</a:t>
          </a:r>
          <a:r>
            <a:rPr lang="en-AU" sz="700" baseline="0"/>
            <a:t> and Support Services</a:t>
          </a:r>
          <a:endParaRPr lang="en-AU" sz="700"/>
        </a:p>
      </cdr:txBody>
    </cdr:sp>
  </cdr:relSizeAnchor>
  <cdr:relSizeAnchor xmlns:cdr="http://schemas.openxmlformats.org/drawingml/2006/chartDrawing">
    <cdr:from>
      <cdr:x>0.12205</cdr:x>
      <cdr:y>0.85328</cdr:y>
    </cdr:from>
    <cdr:to>
      <cdr:x>0.27739</cdr:x>
      <cdr:y>0.9302</cdr:y>
    </cdr:to>
    <cdr:sp macro="" textlink="">
      <cdr:nvSpPr>
        <cdr:cNvPr id="6" name="TextBox 1"/>
        <cdr:cNvSpPr txBox="1"/>
      </cdr:nvSpPr>
      <cdr:spPr>
        <a:xfrm xmlns:a="http://schemas.openxmlformats.org/drawingml/2006/main">
          <a:off x="699542" y="2623989"/>
          <a:ext cx="890332" cy="23654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700"/>
            <a:t>Arts</a:t>
          </a:r>
          <a:r>
            <a:rPr lang="en-AU" sz="700" baseline="0"/>
            <a:t> and Recreation Services</a:t>
          </a:r>
          <a:endParaRPr lang="en-AU" sz="700"/>
        </a:p>
      </cdr:txBody>
    </cdr:sp>
  </cdr:relSizeAnchor>
  <cdr:relSizeAnchor xmlns:cdr="http://schemas.openxmlformats.org/drawingml/2006/chartDrawing">
    <cdr:from>
      <cdr:x>0.12664</cdr:x>
      <cdr:y>0.77476</cdr:y>
    </cdr:from>
    <cdr:to>
      <cdr:x>0.28198</cdr:x>
      <cdr:y>0.85169</cdr:y>
    </cdr:to>
    <cdr:sp macro="" textlink="">
      <cdr:nvSpPr>
        <cdr:cNvPr id="7" name="TextBox 1"/>
        <cdr:cNvSpPr txBox="1"/>
      </cdr:nvSpPr>
      <cdr:spPr>
        <a:xfrm xmlns:a="http://schemas.openxmlformats.org/drawingml/2006/main">
          <a:off x="725862" y="2382519"/>
          <a:ext cx="890333" cy="23657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700"/>
            <a:t>Transport</a:t>
          </a:r>
          <a:r>
            <a:rPr lang="en-AU" sz="700" baseline="0"/>
            <a:t>, Postal and Warehousing</a:t>
          </a:r>
          <a:endParaRPr lang="en-AU" sz="700"/>
        </a:p>
      </cdr:txBody>
    </cdr:sp>
  </cdr:relSizeAnchor>
  <cdr:relSizeAnchor xmlns:cdr="http://schemas.openxmlformats.org/drawingml/2006/chartDrawing">
    <cdr:from>
      <cdr:x>0.12461</cdr:x>
      <cdr:y>0.67265</cdr:y>
    </cdr:from>
    <cdr:to>
      <cdr:x>0.27995</cdr:x>
      <cdr:y>0.74958</cdr:y>
    </cdr:to>
    <cdr:sp macro="" textlink="">
      <cdr:nvSpPr>
        <cdr:cNvPr id="8" name="TextBox 1"/>
        <cdr:cNvSpPr txBox="1"/>
      </cdr:nvSpPr>
      <cdr:spPr>
        <a:xfrm xmlns:a="http://schemas.openxmlformats.org/drawingml/2006/main">
          <a:off x="714226" y="2068515"/>
          <a:ext cx="890333" cy="2365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700"/>
            <a:t>Health</a:t>
          </a:r>
          <a:r>
            <a:rPr lang="en-AU" sz="700" baseline="0"/>
            <a:t> Care and Social Assistance</a:t>
          </a:r>
          <a:endParaRPr lang="en-AU" sz="700"/>
        </a:p>
      </cdr:txBody>
    </cdr:sp>
  </cdr:relSizeAnchor>
  <cdr:relSizeAnchor xmlns:cdr="http://schemas.openxmlformats.org/drawingml/2006/chartDrawing">
    <cdr:from>
      <cdr:x>0.17745</cdr:x>
      <cdr:y>0.64071</cdr:y>
    </cdr:from>
    <cdr:to>
      <cdr:x>0.33279</cdr:x>
      <cdr:y>0.71763</cdr:y>
    </cdr:to>
    <cdr:sp macro="" textlink="">
      <cdr:nvSpPr>
        <cdr:cNvPr id="9" name="TextBox 1"/>
        <cdr:cNvSpPr txBox="1"/>
      </cdr:nvSpPr>
      <cdr:spPr>
        <a:xfrm xmlns:a="http://schemas.openxmlformats.org/drawingml/2006/main">
          <a:off x="1017070" y="1970287"/>
          <a:ext cx="890333" cy="23654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700"/>
            <a:t>Public</a:t>
          </a:r>
          <a:r>
            <a:rPr lang="en-AU" sz="700" baseline="0"/>
            <a:t> Administration and Safety</a:t>
          </a:r>
          <a:endParaRPr lang="en-AU" sz="700"/>
        </a:p>
      </cdr:txBody>
    </cdr:sp>
  </cdr:relSizeAnchor>
  <cdr:relSizeAnchor xmlns:cdr="http://schemas.openxmlformats.org/drawingml/2006/chartDrawing">
    <cdr:from>
      <cdr:x>0.14212</cdr:x>
      <cdr:y>0.37084</cdr:y>
    </cdr:from>
    <cdr:to>
      <cdr:x>0.29746</cdr:x>
      <cdr:y>0.44776</cdr:y>
    </cdr:to>
    <cdr:sp macro="" textlink="">
      <cdr:nvSpPr>
        <cdr:cNvPr id="10" name="TextBox 1"/>
        <cdr:cNvSpPr txBox="1"/>
      </cdr:nvSpPr>
      <cdr:spPr>
        <a:xfrm xmlns:a="http://schemas.openxmlformats.org/drawingml/2006/main">
          <a:off x="814561" y="1140391"/>
          <a:ext cx="890333" cy="23654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700"/>
            <a:t>Mining</a:t>
          </a:r>
        </a:p>
      </cdr:txBody>
    </cdr:sp>
  </cdr:relSizeAnchor>
  <cdr:relSizeAnchor xmlns:cdr="http://schemas.openxmlformats.org/drawingml/2006/chartDrawing">
    <cdr:from>
      <cdr:x>0.15008</cdr:x>
      <cdr:y>0.40667</cdr:y>
    </cdr:from>
    <cdr:to>
      <cdr:x>0.30542</cdr:x>
      <cdr:y>0.48359</cdr:y>
    </cdr:to>
    <cdr:sp macro="" textlink="">
      <cdr:nvSpPr>
        <cdr:cNvPr id="11" name="TextBox 1"/>
        <cdr:cNvSpPr txBox="1"/>
      </cdr:nvSpPr>
      <cdr:spPr>
        <a:xfrm xmlns:a="http://schemas.openxmlformats.org/drawingml/2006/main">
          <a:off x="860174" y="1250576"/>
          <a:ext cx="890333" cy="23654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700"/>
            <a:t>Accomm.</a:t>
          </a:r>
          <a:r>
            <a:rPr lang="en-AU" sz="700" baseline="0"/>
            <a:t>and Food Services</a:t>
          </a:r>
          <a:endParaRPr lang="en-AU" sz="700"/>
        </a:p>
      </cdr:txBody>
    </cdr:sp>
  </cdr:relSizeAnchor>
  <cdr:relSizeAnchor xmlns:cdr="http://schemas.openxmlformats.org/drawingml/2006/chartDrawing">
    <cdr:from>
      <cdr:x>0.15371</cdr:x>
      <cdr:y>0.42809</cdr:y>
    </cdr:from>
    <cdr:to>
      <cdr:x>0.30905</cdr:x>
      <cdr:y>0.50501</cdr:y>
    </cdr:to>
    <cdr:sp macro="" textlink="">
      <cdr:nvSpPr>
        <cdr:cNvPr id="13" name="TextBox 1"/>
        <cdr:cNvSpPr txBox="1"/>
      </cdr:nvSpPr>
      <cdr:spPr>
        <a:xfrm xmlns:a="http://schemas.openxmlformats.org/drawingml/2006/main">
          <a:off x="880968" y="1316439"/>
          <a:ext cx="890333" cy="23654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700"/>
            <a:t>Wholesale Trade</a:t>
          </a:r>
        </a:p>
      </cdr:txBody>
    </cdr:sp>
  </cdr:relSizeAnchor>
  <cdr:relSizeAnchor xmlns:cdr="http://schemas.openxmlformats.org/drawingml/2006/chartDrawing">
    <cdr:from>
      <cdr:x>0.15238</cdr:x>
      <cdr:y>0.45423</cdr:y>
    </cdr:from>
    <cdr:to>
      <cdr:x>0.30772</cdr:x>
      <cdr:y>0.53115</cdr:y>
    </cdr:to>
    <cdr:sp macro="" textlink="">
      <cdr:nvSpPr>
        <cdr:cNvPr id="14" name="TextBox 1"/>
        <cdr:cNvSpPr txBox="1"/>
      </cdr:nvSpPr>
      <cdr:spPr>
        <a:xfrm xmlns:a="http://schemas.openxmlformats.org/drawingml/2006/main">
          <a:off x="873355" y="1396830"/>
          <a:ext cx="890333" cy="23654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700"/>
            <a:t>Education and Training</a:t>
          </a:r>
        </a:p>
      </cdr:txBody>
    </cdr:sp>
  </cdr:relSizeAnchor>
  <cdr:relSizeAnchor xmlns:cdr="http://schemas.openxmlformats.org/drawingml/2006/chartDrawing">
    <cdr:from>
      <cdr:x>0.14205</cdr:x>
      <cdr:y>0.47571</cdr:y>
    </cdr:from>
    <cdr:to>
      <cdr:x>0.29739</cdr:x>
      <cdr:y>0.55264</cdr:y>
    </cdr:to>
    <cdr:sp macro="" textlink="">
      <cdr:nvSpPr>
        <cdr:cNvPr id="15" name="TextBox 1"/>
        <cdr:cNvSpPr txBox="1"/>
      </cdr:nvSpPr>
      <cdr:spPr>
        <a:xfrm xmlns:a="http://schemas.openxmlformats.org/drawingml/2006/main">
          <a:off x="814161" y="1462882"/>
          <a:ext cx="890333" cy="23657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700"/>
            <a:t>Financial</a:t>
          </a:r>
          <a:r>
            <a:rPr lang="en-AU" sz="700" baseline="0"/>
            <a:t> and Insurance services</a:t>
          </a:r>
          <a:endParaRPr lang="en-AU" sz="700"/>
        </a:p>
      </cdr:txBody>
    </cdr:sp>
  </cdr:relSizeAnchor>
  <cdr:relSizeAnchor xmlns:cdr="http://schemas.openxmlformats.org/drawingml/2006/chartDrawing">
    <cdr:from>
      <cdr:x>0.14015</cdr:x>
      <cdr:y>0.50201</cdr:y>
    </cdr:from>
    <cdr:to>
      <cdr:x>0.29548</cdr:x>
      <cdr:y>0.58799</cdr:y>
    </cdr:to>
    <cdr:sp macro="" textlink="">
      <cdr:nvSpPr>
        <cdr:cNvPr id="17" name="TextBox 1"/>
        <cdr:cNvSpPr txBox="1"/>
      </cdr:nvSpPr>
      <cdr:spPr>
        <a:xfrm xmlns:a="http://schemas.openxmlformats.org/drawingml/2006/main">
          <a:off x="803282" y="1543757"/>
          <a:ext cx="890275" cy="26440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700"/>
            <a:t>Retail</a:t>
          </a:r>
        </a:p>
      </cdr:txBody>
    </cdr:sp>
  </cdr:relSizeAnchor>
  <cdr:relSizeAnchor xmlns:cdr="http://schemas.openxmlformats.org/drawingml/2006/chartDrawing">
    <cdr:from>
      <cdr:x>0.15911</cdr:x>
      <cdr:y>0.531</cdr:y>
    </cdr:from>
    <cdr:to>
      <cdr:x>0.31445</cdr:x>
      <cdr:y>0.60793</cdr:y>
    </cdr:to>
    <cdr:sp macro="" textlink="">
      <cdr:nvSpPr>
        <cdr:cNvPr id="18" name="TextBox 1"/>
        <cdr:cNvSpPr txBox="1"/>
      </cdr:nvSpPr>
      <cdr:spPr>
        <a:xfrm xmlns:a="http://schemas.openxmlformats.org/drawingml/2006/main">
          <a:off x="911918" y="1632914"/>
          <a:ext cx="890333" cy="23657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700"/>
            <a:t>Electricity,</a:t>
          </a:r>
          <a:r>
            <a:rPr lang="en-AU" sz="700" baseline="0"/>
            <a:t> Gas, Water</a:t>
          </a:r>
          <a:endParaRPr lang="en-AU" sz="700"/>
        </a:p>
      </cdr:txBody>
    </cdr:sp>
  </cdr:relSizeAnchor>
  <cdr:relSizeAnchor xmlns:cdr="http://schemas.openxmlformats.org/drawingml/2006/chartDrawing">
    <cdr:from>
      <cdr:x>0.38254</cdr:x>
      <cdr:y>0.35584</cdr:y>
    </cdr:from>
    <cdr:to>
      <cdr:x>0.97385</cdr:x>
      <cdr:y>0.54348</cdr:y>
    </cdr:to>
    <cdr:sp macro="" textlink="">
      <cdr:nvSpPr>
        <cdr:cNvPr id="22" name="TextBox 1"/>
        <cdr:cNvSpPr txBox="1"/>
      </cdr:nvSpPr>
      <cdr:spPr>
        <a:xfrm xmlns:a="http://schemas.openxmlformats.org/drawingml/2006/main">
          <a:off x="2192532" y="1094261"/>
          <a:ext cx="3389118" cy="577026"/>
        </a:xfrm>
        <a:prstGeom xmlns:a="http://schemas.openxmlformats.org/drawingml/2006/main" prst="roundRect">
          <a:avLst/>
        </a:prstGeom>
        <a:noFill xmlns:a="http://schemas.openxmlformats.org/drawingml/2006/main"/>
        <a:ln xmlns:a="http://schemas.openxmlformats.org/drawingml/2006/main" w="19050">
          <a:solidFill>
            <a:srgbClr val="D46613"/>
          </a:solid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wrap="square" rtlCol="0" anchor="ctr" anchorCtr="0">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AU" sz="900" b="1">
              <a:solidFill>
                <a:srgbClr val="D46613"/>
              </a:solidFill>
              <a:latin typeface="Arial" pitchFamily="34" charset="0"/>
              <a:ea typeface="+mn-ea"/>
              <a:cs typeface="Arial" pitchFamily="34" charset="0"/>
            </a:rPr>
            <a:t>LARGEST SECTORS - Exports</a:t>
          </a:r>
        </a:p>
        <a:p xmlns:a="http://schemas.openxmlformats.org/drawingml/2006/main">
          <a:pPr algn="ctr"/>
          <a:endParaRPr lang="en-AU" sz="900" b="1">
            <a:solidFill>
              <a:srgbClr val="D46613"/>
            </a:solidFill>
            <a:latin typeface="Arial" pitchFamily="34" charset="0"/>
            <a:ea typeface="+mn-ea"/>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0.6276</cdr:x>
      <cdr:y>0.39478</cdr:y>
    </cdr:from>
    <cdr:to>
      <cdr:x>0.79834</cdr:x>
      <cdr:y>0.46217</cdr:y>
    </cdr:to>
    <cdr:sp macro="" textlink="">
      <cdr:nvSpPr>
        <cdr:cNvPr id="2" name="TextBox 1"/>
        <cdr:cNvSpPr txBox="1"/>
      </cdr:nvSpPr>
      <cdr:spPr>
        <a:xfrm xmlns:a="http://schemas.openxmlformats.org/drawingml/2006/main">
          <a:off x="3597122" y="1207959"/>
          <a:ext cx="978598" cy="2062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a:t>Wodonga</a:t>
          </a:r>
        </a:p>
      </cdr:txBody>
    </cdr:sp>
  </cdr:relSizeAnchor>
  <cdr:relSizeAnchor xmlns:cdr="http://schemas.openxmlformats.org/drawingml/2006/chartDrawing">
    <cdr:from>
      <cdr:x>0.78171</cdr:x>
      <cdr:y>0.4784</cdr:y>
    </cdr:from>
    <cdr:to>
      <cdr:x>0.94046</cdr:x>
      <cdr:y>0.5458</cdr:y>
    </cdr:to>
    <cdr:sp macro="" textlink="">
      <cdr:nvSpPr>
        <cdr:cNvPr id="3" name="TextBox 1"/>
        <cdr:cNvSpPr txBox="1"/>
      </cdr:nvSpPr>
      <cdr:spPr>
        <a:xfrm xmlns:a="http://schemas.openxmlformats.org/drawingml/2006/main">
          <a:off x="4480362" y="1463840"/>
          <a:ext cx="909877" cy="2062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a:t>Shepparton</a:t>
          </a:r>
        </a:p>
      </cdr:txBody>
    </cdr:sp>
  </cdr:relSizeAnchor>
  <cdr:relSizeAnchor xmlns:cdr="http://schemas.openxmlformats.org/drawingml/2006/chartDrawing">
    <cdr:from>
      <cdr:x>0.39229</cdr:x>
      <cdr:y>0.4499</cdr:y>
    </cdr:from>
    <cdr:to>
      <cdr:x>0.56302</cdr:x>
      <cdr:y>0.5173</cdr:y>
    </cdr:to>
    <cdr:sp macro="" textlink="">
      <cdr:nvSpPr>
        <cdr:cNvPr id="4" name="TextBox 1"/>
        <cdr:cNvSpPr txBox="1"/>
      </cdr:nvSpPr>
      <cdr:spPr>
        <a:xfrm xmlns:a="http://schemas.openxmlformats.org/drawingml/2006/main">
          <a:off x="2248390" y="1376643"/>
          <a:ext cx="978541" cy="2062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a:t>Moira</a:t>
          </a:r>
        </a:p>
      </cdr:txBody>
    </cdr:sp>
  </cdr:relSizeAnchor>
  <cdr:relSizeAnchor xmlns:cdr="http://schemas.openxmlformats.org/drawingml/2006/chartDrawing">
    <cdr:from>
      <cdr:x>0.35392</cdr:x>
      <cdr:y>0.52925</cdr:y>
    </cdr:from>
    <cdr:to>
      <cdr:x>0.52465</cdr:x>
      <cdr:y>0.59664</cdr:y>
    </cdr:to>
    <cdr:sp macro="" textlink="">
      <cdr:nvSpPr>
        <cdr:cNvPr id="5" name="TextBox 1"/>
        <cdr:cNvSpPr txBox="1"/>
      </cdr:nvSpPr>
      <cdr:spPr>
        <a:xfrm xmlns:a="http://schemas.openxmlformats.org/drawingml/2006/main">
          <a:off x="2028520" y="1619444"/>
          <a:ext cx="978541" cy="2062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a:t>Wangaratta</a:t>
          </a:r>
        </a:p>
      </cdr:txBody>
    </cdr:sp>
  </cdr:relSizeAnchor>
  <cdr:relSizeAnchor xmlns:cdr="http://schemas.openxmlformats.org/drawingml/2006/chartDrawing">
    <cdr:from>
      <cdr:x>0.25179</cdr:x>
      <cdr:y>0.58128</cdr:y>
    </cdr:from>
    <cdr:to>
      <cdr:x>0.42252</cdr:x>
      <cdr:y>0.64868</cdr:y>
    </cdr:to>
    <cdr:sp macro="" textlink="">
      <cdr:nvSpPr>
        <cdr:cNvPr id="6" name="TextBox 1"/>
        <cdr:cNvSpPr txBox="1"/>
      </cdr:nvSpPr>
      <cdr:spPr>
        <a:xfrm xmlns:a="http://schemas.openxmlformats.org/drawingml/2006/main">
          <a:off x="1443137" y="1778652"/>
          <a:ext cx="978541" cy="2062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a:t>Mitchell</a:t>
          </a:r>
        </a:p>
      </cdr:txBody>
    </cdr:sp>
  </cdr:relSizeAnchor>
  <cdr:relSizeAnchor xmlns:cdr="http://schemas.openxmlformats.org/drawingml/2006/chartDrawing">
    <cdr:from>
      <cdr:x>0.10155</cdr:x>
      <cdr:y>0.45685</cdr:y>
    </cdr:from>
    <cdr:to>
      <cdr:x>0.27227</cdr:x>
      <cdr:y>0.52425</cdr:y>
    </cdr:to>
    <cdr:sp macro="" textlink="">
      <cdr:nvSpPr>
        <cdr:cNvPr id="7" name="TextBox 1"/>
        <cdr:cNvSpPr txBox="1"/>
      </cdr:nvSpPr>
      <cdr:spPr>
        <a:xfrm xmlns:a="http://schemas.openxmlformats.org/drawingml/2006/main">
          <a:off x="582008" y="1397900"/>
          <a:ext cx="978484" cy="2062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a:t>Mansfield</a:t>
          </a:r>
        </a:p>
      </cdr:txBody>
    </cdr:sp>
  </cdr:relSizeAnchor>
  <cdr:relSizeAnchor xmlns:cdr="http://schemas.openxmlformats.org/drawingml/2006/chartDrawing">
    <cdr:from>
      <cdr:x>0.27261</cdr:x>
      <cdr:y>0.35964</cdr:y>
    </cdr:from>
    <cdr:to>
      <cdr:x>0.44334</cdr:x>
      <cdr:y>0.42704</cdr:y>
    </cdr:to>
    <cdr:sp macro="" textlink="">
      <cdr:nvSpPr>
        <cdr:cNvPr id="8" name="TextBox 1"/>
        <cdr:cNvSpPr txBox="1"/>
      </cdr:nvSpPr>
      <cdr:spPr>
        <a:xfrm xmlns:a="http://schemas.openxmlformats.org/drawingml/2006/main">
          <a:off x="1562474" y="1100457"/>
          <a:ext cx="978540" cy="2062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a:t>Indigo</a:t>
          </a:r>
        </a:p>
      </cdr:txBody>
    </cdr:sp>
  </cdr:relSizeAnchor>
  <cdr:relSizeAnchor xmlns:cdr="http://schemas.openxmlformats.org/drawingml/2006/chartDrawing">
    <cdr:from>
      <cdr:x>0.2422</cdr:x>
      <cdr:y>0.42648</cdr:y>
    </cdr:from>
    <cdr:to>
      <cdr:x>0.41292</cdr:x>
      <cdr:y>0.49388</cdr:y>
    </cdr:to>
    <cdr:sp macro="" textlink="">
      <cdr:nvSpPr>
        <cdr:cNvPr id="9" name="TextBox 1"/>
        <cdr:cNvSpPr txBox="1"/>
      </cdr:nvSpPr>
      <cdr:spPr>
        <a:xfrm xmlns:a="http://schemas.openxmlformats.org/drawingml/2006/main">
          <a:off x="1388148" y="1304958"/>
          <a:ext cx="978483" cy="2062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a:t>Alpine</a:t>
          </a:r>
        </a:p>
      </cdr:txBody>
    </cdr:sp>
  </cdr:relSizeAnchor>
  <cdr:relSizeAnchor xmlns:cdr="http://schemas.openxmlformats.org/drawingml/2006/chartDrawing">
    <cdr:from>
      <cdr:x>0.23902</cdr:x>
      <cdr:y>0.10987</cdr:y>
    </cdr:from>
    <cdr:to>
      <cdr:x>0.40975</cdr:x>
      <cdr:y>0.17727</cdr:y>
    </cdr:to>
    <cdr:sp macro="" textlink="">
      <cdr:nvSpPr>
        <cdr:cNvPr id="10" name="TextBox 1"/>
        <cdr:cNvSpPr txBox="1"/>
      </cdr:nvSpPr>
      <cdr:spPr>
        <a:xfrm xmlns:a="http://schemas.openxmlformats.org/drawingml/2006/main">
          <a:off x="1369918" y="336186"/>
          <a:ext cx="978541" cy="2062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a:t>Benalla</a:t>
          </a:r>
        </a:p>
      </cdr:txBody>
    </cdr:sp>
  </cdr:relSizeAnchor>
  <cdr:relSizeAnchor xmlns:cdr="http://schemas.openxmlformats.org/drawingml/2006/chartDrawing">
    <cdr:from>
      <cdr:x>0.18244</cdr:x>
      <cdr:y>0.63285</cdr:y>
    </cdr:from>
    <cdr:to>
      <cdr:x>0.35318</cdr:x>
      <cdr:y>0.70025</cdr:y>
    </cdr:to>
    <cdr:sp macro="" textlink="">
      <cdr:nvSpPr>
        <cdr:cNvPr id="11" name="TextBox 1"/>
        <cdr:cNvSpPr txBox="1"/>
      </cdr:nvSpPr>
      <cdr:spPr>
        <a:xfrm xmlns:a="http://schemas.openxmlformats.org/drawingml/2006/main">
          <a:off x="1045649" y="1936445"/>
          <a:ext cx="978598" cy="2062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a:t>Murrindindi</a:t>
          </a:r>
        </a:p>
      </cdr:txBody>
    </cdr:sp>
  </cdr:relSizeAnchor>
  <cdr:relSizeAnchor xmlns:cdr="http://schemas.openxmlformats.org/drawingml/2006/chartDrawing">
    <cdr:from>
      <cdr:x>0.19616</cdr:x>
      <cdr:y>0.48859</cdr:y>
    </cdr:from>
    <cdr:to>
      <cdr:x>0.3669</cdr:x>
      <cdr:y>0.55599</cdr:y>
    </cdr:to>
    <cdr:sp macro="" textlink="">
      <cdr:nvSpPr>
        <cdr:cNvPr id="12" name="TextBox 1"/>
        <cdr:cNvSpPr txBox="1"/>
      </cdr:nvSpPr>
      <cdr:spPr>
        <a:xfrm xmlns:a="http://schemas.openxmlformats.org/drawingml/2006/main">
          <a:off x="1124288" y="1495032"/>
          <a:ext cx="978598" cy="20623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a:t>Strathbogie</a:t>
          </a:r>
        </a:p>
      </cdr:txBody>
    </cdr:sp>
  </cdr:relSizeAnchor>
  <cdr:relSizeAnchor xmlns:cdr="http://schemas.openxmlformats.org/drawingml/2006/chartDrawing">
    <cdr:from>
      <cdr:x>0.15491</cdr:x>
      <cdr:y>0.38239</cdr:y>
    </cdr:from>
    <cdr:to>
      <cdr:x>0.32565</cdr:x>
      <cdr:y>0.4498</cdr:y>
    </cdr:to>
    <cdr:sp macro="" textlink="">
      <cdr:nvSpPr>
        <cdr:cNvPr id="13" name="TextBox 1"/>
        <cdr:cNvSpPr txBox="1"/>
      </cdr:nvSpPr>
      <cdr:spPr>
        <a:xfrm xmlns:a="http://schemas.openxmlformats.org/drawingml/2006/main">
          <a:off x="887876" y="1170054"/>
          <a:ext cx="978598" cy="20626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a:t>Towong</a:t>
          </a:r>
        </a:p>
      </cdr:txBody>
    </cdr:sp>
  </cdr:relSizeAnchor>
</c:userShapes>
</file>

<file path=word/drawings/drawing3.xml><?xml version="1.0" encoding="utf-8"?>
<c:userShapes xmlns:c="http://schemas.openxmlformats.org/drawingml/2006/chart">
  <cdr:relSizeAnchor xmlns:cdr="http://schemas.openxmlformats.org/drawingml/2006/chartDrawing">
    <cdr:from>
      <cdr:x>0.0998</cdr:x>
      <cdr:y>0.76617</cdr:y>
    </cdr:from>
    <cdr:to>
      <cdr:x>1</cdr:x>
      <cdr:y>0.85075</cdr:y>
    </cdr:to>
    <cdr:sp macro="" textlink="">
      <cdr:nvSpPr>
        <cdr:cNvPr id="2" name="TextBox 1"/>
        <cdr:cNvSpPr txBox="1"/>
      </cdr:nvSpPr>
      <cdr:spPr>
        <a:xfrm xmlns:a="http://schemas.openxmlformats.org/drawingml/2006/main">
          <a:off x="622300" y="1955800"/>
          <a:ext cx="5613400" cy="215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200" b="1"/>
            <a:t>1.         2.        3.         4.         5.        6.        7.        8.        9.        10.</a:t>
          </a:r>
          <a:r>
            <a:rPr lang="en-AU" sz="1200" b="1" baseline="0"/>
            <a:t>      11.      12.      13.     14.</a:t>
          </a:r>
          <a:endParaRPr lang="en-AU" sz="12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3">
    <a:dk1>
      <a:srgbClr val="000000"/>
    </a:dk1>
    <a:lt1>
      <a:srgbClr val="FFFFFF"/>
    </a:lt1>
    <a:dk2>
      <a:srgbClr val="1E1C11"/>
    </a:dk2>
    <a:lt2>
      <a:srgbClr val="632523"/>
    </a:lt2>
    <a:accent1>
      <a:srgbClr val="BBE0E3"/>
    </a:accent1>
    <a:accent2>
      <a:srgbClr val="333399"/>
    </a:accent2>
    <a:accent3>
      <a:srgbClr val="0D253F"/>
    </a:accent3>
    <a:accent4>
      <a:srgbClr val="E37F02"/>
    </a:accent4>
    <a:accent5>
      <a:srgbClr val="00573D"/>
    </a:accent5>
    <a:accent6>
      <a:srgbClr val="E30B37"/>
    </a:accent6>
    <a:hlink>
      <a:srgbClr val="009999"/>
    </a:hlink>
    <a:folHlink>
      <a:srgbClr val="99CC00"/>
    </a:folHlink>
  </a:clrScheme>
  <a:fontScheme name="Blank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rgbClr val="000000"/>
    </a:dk1>
    <a:lt1>
      <a:srgbClr val="FFFFFF"/>
    </a:lt1>
    <a:dk2>
      <a:srgbClr val="1E1C11"/>
    </a:dk2>
    <a:lt2>
      <a:srgbClr val="632523"/>
    </a:lt2>
    <a:accent1>
      <a:srgbClr val="BBE0E3"/>
    </a:accent1>
    <a:accent2>
      <a:srgbClr val="333399"/>
    </a:accent2>
    <a:accent3>
      <a:srgbClr val="0D253F"/>
    </a:accent3>
    <a:accent4>
      <a:srgbClr val="E37F02"/>
    </a:accent4>
    <a:accent5>
      <a:srgbClr val="00573D"/>
    </a:accent5>
    <a:accent6>
      <a:srgbClr val="E30B37"/>
    </a:accent6>
    <a:hlink>
      <a:srgbClr val="009999"/>
    </a:hlink>
    <a:folHlink>
      <a:srgbClr val="99CC00"/>
    </a:folHlink>
  </a:clrScheme>
  <a:fontScheme name="Blank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04CC5-8A95-491B-8BEC-A62DF6E3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41931</Words>
  <Characters>239012</Characters>
  <Application>Microsoft Office Word</Application>
  <DocSecurity>4</DocSecurity>
  <Lines>1991</Lines>
  <Paragraphs>560</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280383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ss84</dc:creator>
  <cp:lastModifiedBy>Sarah Keating</cp:lastModifiedBy>
  <cp:revision>2</cp:revision>
  <cp:lastPrinted>2014-02-18T02:07:00Z</cp:lastPrinted>
  <dcterms:created xsi:type="dcterms:W3CDTF">2017-07-12T04:32:00Z</dcterms:created>
  <dcterms:modified xsi:type="dcterms:W3CDTF">2017-07-12T04:32:00Z</dcterms:modified>
</cp:coreProperties>
</file>