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7A" w:rsidRPr="0086009F" w:rsidRDefault="00396D7A" w:rsidP="00396D7A">
      <w:pPr>
        <w:keepNext/>
        <w:outlineLvl w:val="0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18"/>
          <w:szCs w:val="20"/>
          <w:lang w:eastAsia="en-US"/>
        </w:rPr>
        <w:t xml:space="preserve">         </w:t>
      </w:r>
      <w:bookmarkStart w:id="0" w:name="_GoBack"/>
      <w:bookmarkEnd w:id="0"/>
    </w:p>
    <w:p w:rsidR="002E664E" w:rsidRPr="0086009F" w:rsidRDefault="002E664E" w:rsidP="00396D7A">
      <w:pPr>
        <w:keepNext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86009F">
        <w:rPr>
          <w:rFonts w:ascii="Tahoma" w:hAnsi="Tahoma" w:cs="Tahoma"/>
          <w:b/>
          <w:bCs/>
          <w:sz w:val="22"/>
          <w:szCs w:val="22"/>
          <w:lang w:eastAsia="en-US"/>
        </w:rPr>
        <w:t>For Public Notice via Internet</w:t>
      </w:r>
    </w:p>
    <w:p w:rsidR="002E664E" w:rsidRPr="0086009F" w:rsidRDefault="002E664E" w:rsidP="002E664E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86009F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86009F" w:rsidRDefault="009E036B" w:rsidP="002E664E">
      <w:pPr>
        <w:rPr>
          <w:rFonts w:ascii="Tahoma" w:hAnsi="Tahoma" w:cs="Tahoma"/>
          <w:b/>
          <w:i/>
          <w:sz w:val="22"/>
          <w:szCs w:val="22"/>
          <w:lang w:eastAsia="en-US"/>
        </w:rPr>
      </w:pPr>
      <w:r w:rsidRPr="0086009F">
        <w:rPr>
          <w:rFonts w:ascii="Tahoma" w:hAnsi="Tahoma" w:cs="Tahoma"/>
          <w:b/>
          <w:sz w:val="22"/>
          <w:szCs w:val="22"/>
          <w:lang w:eastAsia="en-US"/>
        </w:rPr>
        <w:t xml:space="preserve">REASONS FOR </w:t>
      </w:r>
      <w:r w:rsidR="002E664E" w:rsidRPr="0086009F">
        <w:rPr>
          <w:rFonts w:ascii="Tahoma" w:hAnsi="Tahoma" w:cs="Tahoma"/>
          <w:b/>
          <w:sz w:val="22"/>
          <w:szCs w:val="22"/>
          <w:lang w:eastAsia="en-US"/>
        </w:rPr>
        <w:t xml:space="preserve">DECISION UNDER </w:t>
      </w:r>
      <w:r w:rsidR="002E664E" w:rsidRPr="0086009F">
        <w:rPr>
          <w:rFonts w:ascii="Tahoma" w:hAnsi="Tahoma" w:cs="Tahoma"/>
          <w:b/>
          <w:i/>
          <w:sz w:val="22"/>
          <w:szCs w:val="22"/>
          <w:lang w:eastAsia="en-US"/>
        </w:rPr>
        <w:t>ENVIRONMENT EFFECTS ACT 1978</w:t>
      </w:r>
    </w:p>
    <w:p w:rsidR="002E664E" w:rsidRPr="0086009F" w:rsidRDefault="002E664E" w:rsidP="002E664E">
      <w:pPr>
        <w:rPr>
          <w:rFonts w:ascii="Tahoma" w:hAnsi="Tahoma" w:cs="Tahoma"/>
          <w:b/>
          <w:i/>
          <w:sz w:val="22"/>
          <w:szCs w:val="22"/>
          <w:lang w:eastAsia="en-US"/>
        </w:rPr>
      </w:pPr>
    </w:p>
    <w:p w:rsidR="009E036B" w:rsidRPr="0086009F" w:rsidRDefault="009E036B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86009F" w:rsidRDefault="009E036B" w:rsidP="00666C2F">
      <w:pPr>
        <w:ind w:left="2880" w:hanging="2880"/>
        <w:rPr>
          <w:rFonts w:ascii="Tahoma" w:hAnsi="Tahoma" w:cs="Tahoma"/>
          <w:sz w:val="22"/>
          <w:szCs w:val="22"/>
          <w:lang w:eastAsia="en-US"/>
        </w:rPr>
      </w:pPr>
      <w:r w:rsidRPr="0086009F">
        <w:rPr>
          <w:rFonts w:ascii="Tahoma" w:hAnsi="Tahoma" w:cs="Tahoma"/>
          <w:b/>
          <w:sz w:val="22"/>
          <w:szCs w:val="22"/>
          <w:lang w:eastAsia="en-US"/>
        </w:rPr>
        <w:t>Title of Proposal:</w:t>
      </w:r>
      <w:r w:rsidR="002E664E" w:rsidRPr="0086009F">
        <w:rPr>
          <w:rFonts w:ascii="Tahoma" w:hAnsi="Tahoma" w:cs="Tahoma"/>
          <w:b/>
          <w:sz w:val="22"/>
          <w:szCs w:val="22"/>
          <w:lang w:eastAsia="en-US"/>
        </w:rPr>
        <w:tab/>
      </w:r>
      <w:r w:rsidR="00E17EA1" w:rsidRPr="0086009F">
        <w:rPr>
          <w:rFonts w:ascii="Tahoma" w:hAnsi="Tahoma" w:cs="Tahoma"/>
          <w:sz w:val="22"/>
          <w:szCs w:val="22"/>
          <w:lang w:eastAsia="en-US"/>
        </w:rPr>
        <w:t xml:space="preserve">Portarlington </w:t>
      </w:r>
      <w:r w:rsidR="00D51421" w:rsidRPr="0086009F">
        <w:rPr>
          <w:rFonts w:ascii="Tahoma" w:hAnsi="Tahoma" w:cs="Tahoma"/>
          <w:sz w:val="22"/>
          <w:szCs w:val="22"/>
          <w:lang w:eastAsia="en-US"/>
        </w:rPr>
        <w:t xml:space="preserve">Safe </w:t>
      </w:r>
      <w:r w:rsidR="00E17EA1" w:rsidRPr="0086009F">
        <w:rPr>
          <w:rFonts w:ascii="Tahoma" w:hAnsi="Tahoma" w:cs="Tahoma"/>
          <w:sz w:val="22"/>
          <w:szCs w:val="22"/>
          <w:lang w:eastAsia="en-US"/>
        </w:rPr>
        <w:t>Harbour (</w:t>
      </w:r>
      <w:r w:rsidR="00D51421" w:rsidRPr="0086009F">
        <w:rPr>
          <w:rFonts w:ascii="Tahoma" w:hAnsi="Tahoma" w:cs="Tahoma"/>
          <w:sz w:val="22"/>
          <w:szCs w:val="22"/>
          <w:lang w:eastAsia="en-US"/>
        </w:rPr>
        <w:t>S</w:t>
      </w:r>
      <w:r w:rsidR="00E17EA1" w:rsidRPr="0086009F">
        <w:rPr>
          <w:rFonts w:ascii="Tahoma" w:hAnsi="Tahoma" w:cs="Tahoma"/>
          <w:sz w:val="22"/>
          <w:szCs w:val="22"/>
          <w:lang w:eastAsia="en-US"/>
        </w:rPr>
        <w:t xml:space="preserve">tage </w:t>
      </w:r>
      <w:r w:rsidR="001762B9">
        <w:rPr>
          <w:rFonts w:ascii="Tahoma" w:hAnsi="Tahoma" w:cs="Tahoma"/>
          <w:sz w:val="22"/>
          <w:szCs w:val="22"/>
          <w:lang w:eastAsia="en-US"/>
        </w:rPr>
        <w:t>1 Harbour Works</w:t>
      </w:r>
      <w:r w:rsidR="00E17EA1" w:rsidRPr="0086009F">
        <w:rPr>
          <w:rFonts w:ascii="Tahoma" w:hAnsi="Tahoma" w:cs="Tahoma"/>
          <w:sz w:val="22"/>
          <w:szCs w:val="22"/>
          <w:lang w:eastAsia="en-US"/>
        </w:rPr>
        <w:t>)</w:t>
      </w:r>
    </w:p>
    <w:p w:rsidR="002E664E" w:rsidRPr="0086009F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86009F" w:rsidRDefault="002E664E" w:rsidP="00C737F9">
      <w:pPr>
        <w:ind w:left="2880" w:hanging="2880"/>
        <w:rPr>
          <w:rFonts w:ascii="Tahoma" w:hAnsi="Tahoma" w:cs="Tahoma"/>
          <w:sz w:val="22"/>
          <w:szCs w:val="22"/>
          <w:lang w:eastAsia="en-US"/>
        </w:rPr>
      </w:pPr>
      <w:r w:rsidRPr="0086009F">
        <w:rPr>
          <w:rFonts w:ascii="Tahoma" w:hAnsi="Tahoma" w:cs="Tahoma"/>
          <w:b/>
          <w:sz w:val="22"/>
          <w:szCs w:val="22"/>
          <w:lang w:eastAsia="en-US"/>
        </w:rPr>
        <w:t>Proponent:</w:t>
      </w:r>
      <w:r w:rsidRPr="0086009F">
        <w:rPr>
          <w:rFonts w:ascii="Tahoma" w:hAnsi="Tahoma" w:cs="Tahoma"/>
          <w:b/>
          <w:sz w:val="22"/>
          <w:szCs w:val="22"/>
          <w:lang w:eastAsia="en-US"/>
        </w:rPr>
        <w:tab/>
      </w:r>
      <w:r w:rsidR="00267EFC" w:rsidRPr="0086009F">
        <w:rPr>
          <w:rFonts w:ascii="Tahoma" w:hAnsi="Tahoma" w:cs="Tahoma"/>
          <w:sz w:val="22"/>
          <w:szCs w:val="22"/>
          <w:lang w:eastAsia="en-US"/>
        </w:rPr>
        <w:t>Parks Victoria</w:t>
      </w:r>
    </w:p>
    <w:p w:rsidR="002E664E" w:rsidRPr="0086009F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613083" w:rsidRPr="0086009F" w:rsidRDefault="00613083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86009F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  <w:r w:rsidRPr="0086009F">
        <w:rPr>
          <w:rFonts w:ascii="Tahoma" w:hAnsi="Tahoma" w:cs="Tahoma"/>
          <w:b/>
          <w:sz w:val="22"/>
          <w:szCs w:val="22"/>
          <w:lang w:eastAsia="en-US"/>
        </w:rPr>
        <w:t>Description of Project:</w:t>
      </w:r>
      <w:r w:rsidRPr="0086009F">
        <w:rPr>
          <w:rFonts w:ascii="Tahoma" w:hAnsi="Tahoma" w:cs="Tahoma"/>
          <w:b/>
          <w:sz w:val="22"/>
          <w:szCs w:val="22"/>
          <w:lang w:eastAsia="en-US"/>
        </w:rPr>
        <w:tab/>
      </w:r>
    </w:p>
    <w:p w:rsidR="002E664E" w:rsidRPr="0086009F" w:rsidRDefault="0086009F" w:rsidP="001762B9">
      <w:pPr>
        <w:spacing w:before="180"/>
        <w:jc w:val="both"/>
        <w:rPr>
          <w:rFonts w:ascii="Tahoma" w:hAnsi="Tahoma" w:cs="Tahoma"/>
          <w:sz w:val="22"/>
          <w:szCs w:val="22"/>
          <w:lang w:val="en-US"/>
        </w:rPr>
      </w:pPr>
      <w:r w:rsidRPr="0086009F">
        <w:rPr>
          <w:rFonts w:ascii="Tahoma" w:hAnsi="Tahoma" w:cs="Tahoma"/>
          <w:sz w:val="22"/>
          <w:szCs w:val="22"/>
          <w:lang w:val="en-US"/>
        </w:rPr>
        <w:t xml:space="preserve">Parks Victoria is upgrading the existing infrastructure at Portarlington to create a safe </w:t>
      </w:r>
      <w:proofErr w:type="spellStart"/>
      <w:r w:rsidRPr="0086009F">
        <w:rPr>
          <w:rFonts w:ascii="Tahoma" w:hAnsi="Tahoma" w:cs="Tahoma"/>
          <w:sz w:val="22"/>
          <w:szCs w:val="22"/>
          <w:lang w:val="en-US"/>
        </w:rPr>
        <w:t>harbo</w:t>
      </w:r>
      <w:r w:rsidR="001762B9">
        <w:rPr>
          <w:rFonts w:ascii="Tahoma" w:hAnsi="Tahoma" w:cs="Tahoma"/>
          <w:sz w:val="22"/>
          <w:szCs w:val="22"/>
          <w:lang w:val="en-US"/>
        </w:rPr>
        <w:t>u</w:t>
      </w:r>
      <w:r w:rsidRPr="0086009F">
        <w:rPr>
          <w:rFonts w:ascii="Tahoma" w:hAnsi="Tahoma" w:cs="Tahoma"/>
          <w:sz w:val="22"/>
          <w:szCs w:val="22"/>
          <w:lang w:val="en-US"/>
        </w:rPr>
        <w:t>r</w:t>
      </w:r>
      <w:proofErr w:type="spellEnd"/>
      <w:r w:rsidRPr="0086009F">
        <w:rPr>
          <w:rFonts w:ascii="Tahoma" w:hAnsi="Tahoma" w:cs="Tahoma"/>
          <w:sz w:val="22"/>
          <w:szCs w:val="22"/>
          <w:lang w:val="en-US"/>
        </w:rPr>
        <w:t xml:space="preserve"> in accordance with the 2009 Portarlington Safe </w:t>
      </w:r>
      <w:r w:rsidRPr="00506BA2">
        <w:rPr>
          <w:rFonts w:ascii="Tahoma" w:hAnsi="Tahoma" w:cs="Tahoma"/>
          <w:sz w:val="22"/>
          <w:szCs w:val="22"/>
        </w:rPr>
        <w:t>Harbour</w:t>
      </w:r>
      <w:r w:rsidRPr="0086009F">
        <w:rPr>
          <w:rFonts w:ascii="Tahoma" w:hAnsi="Tahoma" w:cs="Tahoma"/>
          <w:sz w:val="22"/>
          <w:szCs w:val="22"/>
          <w:lang w:val="en-US"/>
        </w:rPr>
        <w:t xml:space="preserve"> Master</w:t>
      </w:r>
      <w:r w:rsidR="00506BA2">
        <w:rPr>
          <w:rFonts w:ascii="Tahoma" w:hAnsi="Tahoma" w:cs="Tahoma"/>
          <w:sz w:val="22"/>
          <w:szCs w:val="22"/>
          <w:lang w:val="en-US"/>
        </w:rPr>
        <w:t xml:space="preserve"> P</w:t>
      </w:r>
      <w:r w:rsidRPr="0086009F">
        <w:rPr>
          <w:rFonts w:ascii="Tahoma" w:hAnsi="Tahoma" w:cs="Tahoma"/>
          <w:sz w:val="22"/>
          <w:szCs w:val="22"/>
          <w:lang w:val="en-US"/>
        </w:rPr>
        <w:t>lan</w:t>
      </w:r>
      <w:r>
        <w:rPr>
          <w:rFonts w:ascii="Tahoma" w:hAnsi="Tahoma" w:cs="Tahoma"/>
          <w:sz w:val="22"/>
          <w:szCs w:val="22"/>
          <w:lang w:val="en-US"/>
        </w:rPr>
        <w:t xml:space="preserve">, </w:t>
      </w:r>
      <w:r w:rsidR="00102FCD">
        <w:rPr>
          <w:rFonts w:ascii="Tahoma" w:hAnsi="Tahoma" w:cs="Tahoma"/>
          <w:sz w:val="22"/>
          <w:szCs w:val="22"/>
          <w:lang w:val="en-US"/>
        </w:rPr>
        <w:t xml:space="preserve">which </w:t>
      </w:r>
      <w:r w:rsidRPr="0086009F">
        <w:rPr>
          <w:rFonts w:ascii="Tahoma" w:hAnsi="Tahoma" w:cs="Tahoma"/>
          <w:sz w:val="22"/>
          <w:szCs w:val="22"/>
          <w:lang w:val="en-US"/>
        </w:rPr>
        <w:t>include</w:t>
      </w:r>
      <w:r w:rsidR="00102FCD">
        <w:rPr>
          <w:rFonts w:ascii="Tahoma" w:hAnsi="Tahoma" w:cs="Tahoma"/>
          <w:sz w:val="22"/>
          <w:szCs w:val="22"/>
          <w:lang w:val="en-US"/>
        </w:rPr>
        <w:t>s the following works</w:t>
      </w:r>
      <w:r w:rsidRPr="0086009F">
        <w:rPr>
          <w:rFonts w:ascii="Tahoma" w:hAnsi="Tahoma" w:cs="Tahoma"/>
          <w:sz w:val="22"/>
          <w:szCs w:val="22"/>
          <w:lang w:val="en-US"/>
        </w:rPr>
        <w:t>: an approximately 370</w:t>
      </w:r>
      <w:r w:rsidR="009C6922">
        <w:rPr>
          <w:rFonts w:ascii="Tahoma" w:hAnsi="Tahoma" w:cs="Tahoma"/>
          <w:sz w:val="22"/>
          <w:szCs w:val="22"/>
          <w:lang w:val="en-US"/>
        </w:rPr>
        <w:t xml:space="preserve"> </w:t>
      </w:r>
      <w:r w:rsidR="009C6922" w:rsidRPr="00506BA2">
        <w:rPr>
          <w:rFonts w:ascii="Tahoma" w:hAnsi="Tahoma" w:cs="Tahoma"/>
          <w:sz w:val="22"/>
          <w:szCs w:val="22"/>
        </w:rPr>
        <w:t>m</w:t>
      </w:r>
      <w:r w:rsidR="001762B9" w:rsidRPr="00506BA2">
        <w:rPr>
          <w:rFonts w:ascii="Tahoma" w:hAnsi="Tahoma" w:cs="Tahoma"/>
          <w:sz w:val="22"/>
          <w:szCs w:val="22"/>
        </w:rPr>
        <w:t>et</w:t>
      </w:r>
      <w:r w:rsidR="009C6922" w:rsidRPr="00506BA2">
        <w:rPr>
          <w:rFonts w:ascii="Tahoma" w:hAnsi="Tahoma" w:cs="Tahoma"/>
          <w:sz w:val="22"/>
          <w:szCs w:val="22"/>
        </w:rPr>
        <w:t>r</w:t>
      </w:r>
      <w:r w:rsidR="001762B9" w:rsidRPr="00506BA2">
        <w:rPr>
          <w:rFonts w:ascii="Tahoma" w:hAnsi="Tahoma" w:cs="Tahoma"/>
          <w:sz w:val="22"/>
          <w:szCs w:val="22"/>
        </w:rPr>
        <w:t>e</w:t>
      </w:r>
      <w:r w:rsidRPr="0086009F">
        <w:rPr>
          <w:rFonts w:ascii="Tahoma" w:hAnsi="Tahoma" w:cs="Tahoma"/>
          <w:sz w:val="22"/>
          <w:szCs w:val="22"/>
          <w:lang w:val="en-US"/>
        </w:rPr>
        <w:t xml:space="preserve"> extension to the existing outer (northern) rock breakwater, a new approximately 270</w:t>
      </w:r>
      <w:r w:rsidR="009C6922">
        <w:rPr>
          <w:rFonts w:ascii="Tahoma" w:hAnsi="Tahoma" w:cs="Tahoma"/>
          <w:sz w:val="22"/>
          <w:szCs w:val="22"/>
          <w:lang w:val="en-US"/>
        </w:rPr>
        <w:t xml:space="preserve"> </w:t>
      </w:r>
      <w:r w:rsidRPr="00506BA2">
        <w:rPr>
          <w:rFonts w:ascii="Tahoma" w:hAnsi="Tahoma" w:cs="Tahoma"/>
          <w:sz w:val="22"/>
          <w:szCs w:val="22"/>
        </w:rPr>
        <w:t>m</w:t>
      </w:r>
      <w:r w:rsidR="009C6922" w:rsidRPr="00506BA2">
        <w:rPr>
          <w:rFonts w:ascii="Tahoma" w:hAnsi="Tahoma" w:cs="Tahoma"/>
          <w:sz w:val="22"/>
          <w:szCs w:val="22"/>
        </w:rPr>
        <w:t>etr</w:t>
      </w:r>
      <w:r w:rsidR="001762B9" w:rsidRPr="00506BA2">
        <w:rPr>
          <w:rFonts w:ascii="Tahoma" w:hAnsi="Tahoma" w:cs="Tahoma"/>
          <w:sz w:val="22"/>
          <w:szCs w:val="22"/>
        </w:rPr>
        <w:t>e</w:t>
      </w:r>
      <w:r w:rsidRPr="0086009F">
        <w:rPr>
          <w:rFonts w:ascii="Tahoma" w:hAnsi="Tahoma" w:cs="Tahoma"/>
          <w:sz w:val="22"/>
          <w:szCs w:val="22"/>
          <w:lang w:val="en-US"/>
        </w:rPr>
        <w:t xml:space="preserve"> eastern rock breakwater to create a </w:t>
      </w:r>
      <w:proofErr w:type="spellStart"/>
      <w:r w:rsidRPr="0086009F">
        <w:rPr>
          <w:rFonts w:ascii="Tahoma" w:hAnsi="Tahoma" w:cs="Tahoma"/>
          <w:sz w:val="22"/>
          <w:szCs w:val="22"/>
          <w:lang w:val="en-US"/>
        </w:rPr>
        <w:t>harbo</w:t>
      </w:r>
      <w:r w:rsidR="001762B9">
        <w:rPr>
          <w:rFonts w:ascii="Tahoma" w:hAnsi="Tahoma" w:cs="Tahoma"/>
          <w:sz w:val="22"/>
          <w:szCs w:val="22"/>
          <w:lang w:val="en-US"/>
        </w:rPr>
        <w:t>u</w:t>
      </w:r>
      <w:r w:rsidRPr="0086009F">
        <w:rPr>
          <w:rFonts w:ascii="Tahoma" w:hAnsi="Tahoma" w:cs="Tahoma"/>
          <w:sz w:val="22"/>
          <w:szCs w:val="22"/>
          <w:lang w:val="en-US"/>
        </w:rPr>
        <w:t>r</w:t>
      </w:r>
      <w:proofErr w:type="spellEnd"/>
      <w:r w:rsidRPr="0086009F">
        <w:rPr>
          <w:rFonts w:ascii="Tahoma" w:hAnsi="Tahoma" w:cs="Tahoma"/>
          <w:sz w:val="22"/>
          <w:szCs w:val="22"/>
          <w:lang w:val="en-US"/>
        </w:rPr>
        <w:t xml:space="preserve"> configuration</w:t>
      </w:r>
      <w:r w:rsidR="00D06D64">
        <w:rPr>
          <w:rFonts w:ascii="Tahoma" w:hAnsi="Tahoma" w:cs="Tahoma"/>
          <w:sz w:val="22"/>
          <w:szCs w:val="22"/>
          <w:lang w:val="en-US"/>
        </w:rPr>
        <w:t>,</w:t>
      </w:r>
      <w:r w:rsidRPr="0086009F">
        <w:rPr>
          <w:rFonts w:ascii="Tahoma" w:hAnsi="Tahoma" w:cs="Tahoma"/>
          <w:sz w:val="22"/>
          <w:szCs w:val="22"/>
          <w:lang w:val="en-US"/>
        </w:rPr>
        <w:t xml:space="preserve"> a </w:t>
      </w:r>
      <w:r w:rsidR="009C6922">
        <w:rPr>
          <w:rFonts w:ascii="Tahoma" w:hAnsi="Tahoma" w:cs="Tahoma"/>
          <w:sz w:val="22"/>
          <w:szCs w:val="22"/>
          <w:lang w:val="en-US"/>
        </w:rPr>
        <w:t xml:space="preserve">new </w:t>
      </w:r>
      <w:r w:rsidRPr="0086009F">
        <w:rPr>
          <w:rFonts w:ascii="Tahoma" w:hAnsi="Tahoma" w:cs="Tahoma"/>
          <w:sz w:val="22"/>
          <w:szCs w:val="22"/>
          <w:lang w:val="en-US"/>
        </w:rPr>
        <w:t xml:space="preserve">wave screen along the western side of the </w:t>
      </w:r>
      <w:r w:rsidR="00D06D64">
        <w:rPr>
          <w:rFonts w:ascii="Tahoma" w:hAnsi="Tahoma" w:cs="Tahoma"/>
          <w:sz w:val="22"/>
          <w:szCs w:val="22"/>
          <w:lang w:val="en-US"/>
        </w:rPr>
        <w:t>exi</w:t>
      </w:r>
      <w:r w:rsidR="001762B9">
        <w:rPr>
          <w:rFonts w:ascii="Tahoma" w:hAnsi="Tahoma" w:cs="Tahoma"/>
          <w:sz w:val="22"/>
          <w:szCs w:val="22"/>
          <w:lang w:val="en-US"/>
        </w:rPr>
        <w:t>s</w:t>
      </w:r>
      <w:r w:rsidR="00D06D64">
        <w:rPr>
          <w:rFonts w:ascii="Tahoma" w:hAnsi="Tahoma" w:cs="Tahoma"/>
          <w:sz w:val="22"/>
          <w:szCs w:val="22"/>
          <w:lang w:val="en-US"/>
        </w:rPr>
        <w:t xml:space="preserve">ting </w:t>
      </w:r>
      <w:r w:rsidRPr="0086009F">
        <w:rPr>
          <w:rFonts w:ascii="Tahoma" w:hAnsi="Tahoma" w:cs="Tahoma"/>
          <w:sz w:val="22"/>
          <w:szCs w:val="22"/>
          <w:lang w:val="en-US"/>
        </w:rPr>
        <w:t>Portarlington Pier</w:t>
      </w:r>
      <w:r w:rsidR="00D06D64">
        <w:rPr>
          <w:rFonts w:ascii="Tahoma" w:hAnsi="Tahoma" w:cs="Tahoma"/>
          <w:sz w:val="22"/>
          <w:szCs w:val="22"/>
          <w:lang w:val="en-US"/>
        </w:rPr>
        <w:t>,</w:t>
      </w:r>
      <w:r w:rsidRPr="0086009F">
        <w:rPr>
          <w:rFonts w:ascii="Tahoma" w:hAnsi="Tahoma" w:cs="Tahoma"/>
          <w:sz w:val="22"/>
          <w:szCs w:val="22"/>
          <w:lang w:val="en-US"/>
        </w:rPr>
        <w:t xml:space="preserve"> upgrades to the existing outer jetty and reconstruction of the internal finger jetty </w:t>
      </w:r>
      <w:r w:rsidR="009C6922">
        <w:rPr>
          <w:rFonts w:ascii="Tahoma" w:hAnsi="Tahoma" w:cs="Tahoma"/>
          <w:sz w:val="22"/>
          <w:szCs w:val="22"/>
          <w:lang w:val="en-US"/>
        </w:rPr>
        <w:t xml:space="preserve">(both </w:t>
      </w:r>
      <w:r w:rsidRPr="0086009F">
        <w:rPr>
          <w:rFonts w:ascii="Tahoma" w:hAnsi="Tahoma" w:cs="Tahoma"/>
          <w:sz w:val="22"/>
          <w:szCs w:val="22"/>
          <w:lang w:val="en-US"/>
        </w:rPr>
        <w:t>to accommodate up to 45 commercial vessels</w:t>
      </w:r>
      <w:r w:rsidR="009C6922">
        <w:rPr>
          <w:rFonts w:ascii="Tahoma" w:hAnsi="Tahoma" w:cs="Tahoma"/>
          <w:sz w:val="22"/>
          <w:szCs w:val="22"/>
          <w:lang w:val="en-US"/>
        </w:rPr>
        <w:t>)</w:t>
      </w:r>
      <w:r w:rsidR="00D06D64">
        <w:rPr>
          <w:rFonts w:ascii="Tahoma" w:hAnsi="Tahoma" w:cs="Tahoma"/>
          <w:sz w:val="22"/>
          <w:szCs w:val="22"/>
          <w:lang w:val="en-US"/>
        </w:rPr>
        <w:t xml:space="preserve">, </w:t>
      </w:r>
      <w:r w:rsidRPr="0086009F">
        <w:rPr>
          <w:rFonts w:ascii="Tahoma" w:hAnsi="Tahoma" w:cs="Tahoma"/>
          <w:sz w:val="22"/>
          <w:szCs w:val="22"/>
          <w:lang w:val="en-US"/>
        </w:rPr>
        <w:t>two new loading platforms</w:t>
      </w:r>
      <w:r w:rsidR="00D06D64">
        <w:rPr>
          <w:rFonts w:ascii="Tahoma" w:hAnsi="Tahoma" w:cs="Tahoma"/>
          <w:sz w:val="22"/>
          <w:szCs w:val="22"/>
          <w:lang w:val="en-US"/>
        </w:rPr>
        <w:t xml:space="preserve">, </w:t>
      </w:r>
      <w:r w:rsidR="009C6922">
        <w:rPr>
          <w:rFonts w:ascii="Tahoma" w:hAnsi="Tahoma" w:cs="Tahoma"/>
          <w:sz w:val="22"/>
          <w:szCs w:val="22"/>
          <w:lang w:val="en-US"/>
        </w:rPr>
        <w:t xml:space="preserve">two </w:t>
      </w:r>
      <w:r w:rsidRPr="0086009F">
        <w:rPr>
          <w:rFonts w:ascii="Tahoma" w:hAnsi="Tahoma" w:cs="Tahoma"/>
          <w:sz w:val="22"/>
          <w:szCs w:val="22"/>
          <w:lang w:val="en-US"/>
        </w:rPr>
        <w:t>ferry berths</w:t>
      </w:r>
      <w:r w:rsidR="00D06D64">
        <w:rPr>
          <w:rFonts w:ascii="Tahoma" w:hAnsi="Tahoma" w:cs="Tahoma"/>
          <w:sz w:val="22"/>
          <w:szCs w:val="22"/>
          <w:lang w:val="en-US"/>
        </w:rPr>
        <w:t xml:space="preserve">, </w:t>
      </w:r>
      <w:r w:rsidRPr="0086009F">
        <w:rPr>
          <w:rFonts w:ascii="Tahoma" w:hAnsi="Tahoma" w:cs="Tahoma"/>
          <w:sz w:val="22"/>
          <w:szCs w:val="22"/>
          <w:lang w:val="en-US"/>
        </w:rPr>
        <w:t>installation of navigation aids</w:t>
      </w:r>
      <w:r w:rsidR="00D06D64">
        <w:rPr>
          <w:rFonts w:ascii="Tahoma" w:hAnsi="Tahoma" w:cs="Tahoma"/>
          <w:sz w:val="22"/>
          <w:szCs w:val="22"/>
          <w:lang w:val="en-US"/>
        </w:rPr>
        <w:t xml:space="preserve">, </w:t>
      </w:r>
      <w:r w:rsidRPr="0086009F">
        <w:rPr>
          <w:rFonts w:ascii="Tahoma" w:hAnsi="Tahoma" w:cs="Tahoma"/>
          <w:sz w:val="22"/>
          <w:szCs w:val="22"/>
          <w:lang w:val="en-US"/>
        </w:rPr>
        <w:t xml:space="preserve">sand management </w:t>
      </w:r>
      <w:r w:rsidR="00D06D64">
        <w:rPr>
          <w:rFonts w:ascii="Tahoma" w:hAnsi="Tahoma" w:cs="Tahoma"/>
          <w:sz w:val="22"/>
          <w:szCs w:val="22"/>
          <w:lang w:val="en-US"/>
        </w:rPr>
        <w:t xml:space="preserve">and bypassing </w:t>
      </w:r>
      <w:r w:rsidRPr="0086009F">
        <w:rPr>
          <w:rFonts w:ascii="Tahoma" w:hAnsi="Tahoma" w:cs="Tahoma"/>
          <w:sz w:val="22"/>
          <w:szCs w:val="22"/>
          <w:lang w:val="en-US"/>
        </w:rPr>
        <w:t>as required</w:t>
      </w:r>
      <w:r w:rsidR="001762B9">
        <w:rPr>
          <w:rFonts w:ascii="Tahoma" w:hAnsi="Tahoma" w:cs="Tahoma"/>
          <w:sz w:val="22"/>
          <w:szCs w:val="22"/>
          <w:lang w:val="en-US"/>
        </w:rPr>
        <w:t>,</w:t>
      </w:r>
      <w:r w:rsidRPr="0086009F">
        <w:rPr>
          <w:rFonts w:ascii="Tahoma" w:hAnsi="Tahoma" w:cs="Tahoma"/>
          <w:sz w:val="22"/>
          <w:szCs w:val="22"/>
          <w:lang w:val="en-US"/>
        </w:rPr>
        <w:t xml:space="preserve"> and </w:t>
      </w:r>
      <w:r w:rsidR="009C6922">
        <w:rPr>
          <w:rFonts w:ascii="Tahoma" w:hAnsi="Tahoma" w:cs="Tahoma"/>
          <w:sz w:val="22"/>
          <w:szCs w:val="22"/>
          <w:lang w:val="en-US"/>
        </w:rPr>
        <w:t xml:space="preserve">initial </w:t>
      </w:r>
      <w:r w:rsidRPr="0086009F">
        <w:rPr>
          <w:rFonts w:ascii="Tahoma" w:hAnsi="Tahoma" w:cs="Tahoma"/>
          <w:sz w:val="22"/>
          <w:szCs w:val="22"/>
          <w:lang w:val="en-US"/>
        </w:rPr>
        <w:t>dredging of up to 30,000</w:t>
      </w:r>
      <w:r w:rsidR="006675A9">
        <w:rPr>
          <w:rFonts w:ascii="Tahoma" w:hAnsi="Tahoma" w:cs="Tahoma"/>
          <w:sz w:val="22"/>
          <w:szCs w:val="22"/>
          <w:lang w:val="en-US"/>
        </w:rPr>
        <w:t xml:space="preserve"> to 48,000</w:t>
      </w:r>
      <w:r w:rsidRPr="0086009F">
        <w:rPr>
          <w:rFonts w:ascii="Tahoma" w:hAnsi="Tahoma" w:cs="Tahoma"/>
          <w:sz w:val="22"/>
          <w:szCs w:val="22"/>
          <w:lang w:val="en-US"/>
        </w:rPr>
        <w:t>m</w:t>
      </w:r>
      <w:r w:rsidRPr="00D06D64">
        <w:rPr>
          <w:rFonts w:ascii="Tahoma" w:hAnsi="Tahoma" w:cs="Tahoma"/>
          <w:sz w:val="22"/>
          <w:szCs w:val="22"/>
          <w:vertAlign w:val="superscript"/>
          <w:lang w:val="en-US"/>
        </w:rPr>
        <w:t>3</w:t>
      </w:r>
      <w:r w:rsidRPr="0086009F">
        <w:rPr>
          <w:rFonts w:ascii="Tahoma" w:hAnsi="Tahoma" w:cs="Tahoma"/>
          <w:sz w:val="22"/>
          <w:szCs w:val="22"/>
          <w:lang w:val="en-US"/>
        </w:rPr>
        <w:t xml:space="preserve"> </w:t>
      </w:r>
      <w:r w:rsidR="00332DEA">
        <w:rPr>
          <w:rFonts w:ascii="Tahoma" w:hAnsi="Tahoma" w:cs="Tahoma"/>
          <w:sz w:val="22"/>
          <w:szCs w:val="22"/>
          <w:lang w:val="en-US"/>
        </w:rPr>
        <w:t>with</w:t>
      </w:r>
      <w:r w:rsidRPr="0086009F">
        <w:rPr>
          <w:rFonts w:ascii="Tahoma" w:hAnsi="Tahoma" w:cs="Tahoma"/>
          <w:sz w:val="22"/>
          <w:szCs w:val="22"/>
          <w:lang w:val="en-US"/>
        </w:rPr>
        <w:t>in the harbo</w:t>
      </w:r>
      <w:r w:rsidR="001762B9">
        <w:rPr>
          <w:rFonts w:ascii="Tahoma" w:hAnsi="Tahoma" w:cs="Tahoma"/>
          <w:sz w:val="22"/>
          <w:szCs w:val="22"/>
          <w:lang w:val="en-US"/>
        </w:rPr>
        <w:t>u</w:t>
      </w:r>
      <w:r w:rsidRPr="0086009F">
        <w:rPr>
          <w:rFonts w:ascii="Tahoma" w:hAnsi="Tahoma" w:cs="Tahoma"/>
          <w:sz w:val="22"/>
          <w:szCs w:val="22"/>
          <w:lang w:val="en-US"/>
        </w:rPr>
        <w:t>r</w:t>
      </w:r>
      <w:r w:rsidR="00E14061" w:rsidRPr="0086009F">
        <w:rPr>
          <w:rFonts w:ascii="Tahoma" w:hAnsi="Tahoma" w:cs="Tahoma"/>
          <w:sz w:val="22"/>
          <w:szCs w:val="22"/>
          <w:lang w:val="en-US"/>
        </w:rPr>
        <w:t xml:space="preserve">.  </w:t>
      </w:r>
    </w:p>
    <w:p w:rsidR="002E664E" w:rsidRPr="0086009F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613083" w:rsidRPr="0086009F" w:rsidRDefault="00613083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86009F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  <w:r w:rsidRPr="0086009F">
        <w:rPr>
          <w:rFonts w:ascii="Tahoma" w:hAnsi="Tahoma" w:cs="Tahoma"/>
          <w:b/>
          <w:sz w:val="22"/>
          <w:szCs w:val="22"/>
          <w:lang w:eastAsia="en-US"/>
        </w:rPr>
        <w:t>Decision:</w:t>
      </w:r>
    </w:p>
    <w:p w:rsidR="00396D7A" w:rsidRPr="0086009F" w:rsidRDefault="00B90DA4" w:rsidP="00E933EB">
      <w:pPr>
        <w:spacing w:before="120"/>
        <w:jc w:val="both"/>
        <w:rPr>
          <w:rFonts w:ascii="Tahoma" w:hAnsi="Tahoma" w:cs="Tahoma"/>
          <w:sz w:val="22"/>
          <w:szCs w:val="22"/>
          <w:lang w:eastAsia="en-US"/>
        </w:rPr>
      </w:pPr>
      <w:r w:rsidRPr="0086009F">
        <w:rPr>
          <w:rFonts w:ascii="Tahoma" w:hAnsi="Tahoma" w:cs="Tahoma"/>
          <w:sz w:val="22"/>
          <w:szCs w:val="22"/>
          <w:lang w:eastAsia="en-US"/>
        </w:rPr>
        <w:t xml:space="preserve">The Minister for Planning has decided that an Environment Effects Statement (EES) </w:t>
      </w:r>
      <w:r w:rsidRPr="0086009F">
        <w:rPr>
          <w:rFonts w:ascii="Tahoma" w:hAnsi="Tahoma" w:cs="Tahoma"/>
          <w:sz w:val="22"/>
          <w:szCs w:val="22"/>
          <w:u w:val="single"/>
          <w:lang w:eastAsia="en-US"/>
        </w:rPr>
        <w:t xml:space="preserve">is </w:t>
      </w:r>
      <w:r w:rsidR="00D15E94">
        <w:rPr>
          <w:rFonts w:ascii="Tahoma" w:hAnsi="Tahoma" w:cs="Tahoma"/>
          <w:sz w:val="22"/>
          <w:szCs w:val="22"/>
          <w:u w:val="single"/>
          <w:lang w:eastAsia="en-US"/>
        </w:rPr>
        <w:t xml:space="preserve">not </w:t>
      </w:r>
      <w:r w:rsidRPr="0086009F">
        <w:rPr>
          <w:rFonts w:ascii="Tahoma" w:hAnsi="Tahoma" w:cs="Tahoma"/>
          <w:sz w:val="22"/>
          <w:szCs w:val="22"/>
          <w:u w:val="single"/>
          <w:lang w:eastAsia="en-US"/>
        </w:rPr>
        <w:t>required</w:t>
      </w:r>
      <w:r w:rsidRPr="0086009F">
        <w:rPr>
          <w:rFonts w:ascii="Tahoma" w:hAnsi="Tahoma" w:cs="Tahoma"/>
          <w:sz w:val="22"/>
          <w:szCs w:val="22"/>
          <w:lang w:eastAsia="en-US"/>
        </w:rPr>
        <w:t xml:space="preserve"> for the </w:t>
      </w:r>
      <w:r w:rsidR="00D15E94" w:rsidRPr="0086009F">
        <w:rPr>
          <w:rFonts w:ascii="Tahoma" w:hAnsi="Tahoma" w:cs="Tahoma"/>
          <w:sz w:val="22"/>
          <w:szCs w:val="22"/>
          <w:lang w:eastAsia="en-US"/>
        </w:rPr>
        <w:t>Porta</w:t>
      </w:r>
      <w:r w:rsidR="001762B9">
        <w:rPr>
          <w:rFonts w:ascii="Tahoma" w:hAnsi="Tahoma" w:cs="Tahoma"/>
          <w:sz w:val="22"/>
          <w:szCs w:val="22"/>
          <w:lang w:eastAsia="en-US"/>
        </w:rPr>
        <w:t>rlington Safe Harbour (Stage 1 Harbour Works</w:t>
      </w:r>
      <w:r w:rsidR="00D15E94" w:rsidRPr="0086009F">
        <w:rPr>
          <w:rFonts w:ascii="Tahoma" w:hAnsi="Tahoma" w:cs="Tahoma"/>
          <w:sz w:val="22"/>
          <w:szCs w:val="22"/>
          <w:lang w:eastAsia="en-US"/>
        </w:rPr>
        <w:t>)</w:t>
      </w:r>
      <w:r w:rsidR="00613083" w:rsidRPr="0086009F">
        <w:rPr>
          <w:rFonts w:ascii="Tahoma" w:hAnsi="Tahoma" w:cs="Tahoma"/>
          <w:sz w:val="22"/>
          <w:szCs w:val="22"/>
          <w:lang w:eastAsia="en-US"/>
        </w:rPr>
        <w:t>,</w:t>
      </w:r>
      <w:r w:rsidR="00461E83" w:rsidRPr="0086009F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86009F">
        <w:rPr>
          <w:rFonts w:ascii="Tahoma" w:hAnsi="Tahoma" w:cs="Tahoma"/>
          <w:sz w:val="22"/>
          <w:szCs w:val="22"/>
          <w:lang w:eastAsia="en-US"/>
        </w:rPr>
        <w:t xml:space="preserve">as described in the referral accepted on </w:t>
      </w:r>
      <w:r w:rsidR="009C0AA8">
        <w:rPr>
          <w:rFonts w:ascii="Tahoma" w:hAnsi="Tahoma" w:cs="Tahoma"/>
          <w:sz w:val="22"/>
          <w:szCs w:val="22"/>
          <w:lang w:eastAsia="en-US"/>
        </w:rPr>
        <w:t>11</w:t>
      </w:r>
      <w:r w:rsidR="00D15E94">
        <w:rPr>
          <w:rFonts w:ascii="Tahoma" w:hAnsi="Tahoma" w:cs="Tahoma"/>
          <w:sz w:val="22"/>
          <w:szCs w:val="22"/>
          <w:lang w:eastAsia="en-US"/>
        </w:rPr>
        <w:t xml:space="preserve"> September</w:t>
      </w:r>
      <w:r w:rsidR="000409EE" w:rsidRPr="0086009F">
        <w:rPr>
          <w:rFonts w:ascii="Tahoma" w:hAnsi="Tahoma" w:cs="Tahoma"/>
          <w:sz w:val="22"/>
          <w:szCs w:val="22"/>
          <w:lang w:eastAsia="en-US"/>
        </w:rPr>
        <w:t xml:space="preserve"> 2015</w:t>
      </w:r>
      <w:r w:rsidR="00396D7A" w:rsidRPr="0086009F">
        <w:rPr>
          <w:rFonts w:ascii="Tahoma" w:hAnsi="Tahoma" w:cs="Tahoma"/>
          <w:sz w:val="22"/>
          <w:szCs w:val="22"/>
          <w:lang w:eastAsia="en-US"/>
        </w:rPr>
        <w:t>.</w:t>
      </w:r>
    </w:p>
    <w:p w:rsidR="002E664E" w:rsidRPr="0086009F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86009F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86009F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  <w:r w:rsidRPr="0086009F">
        <w:rPr>
          <w:rFonts w:ascii="Tahoma" w:hAnsi="Tahoma" w:cs="Tahoma"/>
          <w:b/>
          <w:sz w:val="22"/>
          <w:szCs w:val="22"/>
          <w:lang w:eastAsia="en-US"/>
        </w:rPr>
        <w:t>Reasons for Decision:</w:t>
      </w:r>
    </w:p>
    <w:p w:rsidR="00A573EE" w:rsidRPr="0086009F" w:rsidRDefault="008370C3" w:rsidP="004B22DF">
      <w:pPr>
        <w:numPr>
          <w:ilvl w:val="0"/>
          <w:numId w:val="14"/>
        </w:numPr>
        <w:spacing w:before="180"/>
        <w:ind w:hanging="436"/>
        <w:jc w:val="both"/>
        <w:rPr>
          <w:rFonts w:ascii="Tahoma" w:hAnsi="Tahoma" w:cs="Tahoma"/>
          <w:sz w:val="22"/>
          <w:szCs w:val="22"/>
          <w:lang w:eastAsia="en-US"/>
        </w:rPr>
      </w:pPr>
      <w:r w:rsidRPr="009E783D">
        <w:rPr>
          <w:rFonts w:ascii="Arial" w:hAnsi="Arial"/>
          <w:sz w:val="22"/>
          <w:szCs w:val="20"/>
          <w:lang w:val="en-US" w:eastAsia="en-US"/>
        </w:rPr>
        <w:t xml:space="preserve">The </w:t>
      </w:r>
      <w:r>
        <w:rPr>
          <w:rFonts w:ascii="Arial" w:hAnsi="Arial"/>
          <w:sz w:val="22"/>
          <w:szCs w:val="20"/>
          <w:lang w:val="en-US" w:eastAsia="en-US"/>
        </w:rPr>
        <w:t xml:space="preserve">potential </w:t>
      </w:r>
      <w:r w:rsidRPr="0037022D">
        <w:rPr>
          <w:rFonts w:ascii="Arial" w:hAnsi="Arial"/>
          <w:sz w:val="22"/>
          <w:szCs w:val="20"/>
          <w:lang w:val="en-US" w:eastAsia="en-US"/>
        </w:rPr>
        <w:t>effects of the</w:t>
      </w:r>
      <w:r>
        <w:rPr>
          <w:rFonts w:ascii="Arial" w:hAnsi="Arial"/>
          <w:sz w:val="22"/>
          <w:szCs w:val="20"/>
          <w:lang w:val="en-US" w:eastAsia="en-US"/>
        </w:rPr>
        <w:t xml:space="preserve"> project on coastal processes, water quality, biodiversity, amenity and landscape values are largely </w:t>
      </w:r>
      <w:r w:rsidRPr="000A14A5">
        <w:rPr>
          <w:rFonts w:ascii="Arial" w:hAnsi="Arial"/>
          <w:sz w:val="22"/>
          <w:szCs w:val="20"/>
          <w:lang w:eastAsia="en-US"/>
        </w:rPr>
        <w:t>localised</w:t>
      </w:r>
      <w:r>
        <w:rPr>
          <w:rFonts w:ascii="Arial" w:hAnsi="Arial"/>
          <w:sz w:val="22"/>
          <w:szCs w:val="20"/>
          <w:lang w:eastAsia="en-US"/>
        </w:rPr>
        <w:t xml:space="preserve"> and</w:t>
      </w:r>
      <w:r>
        <w:rPr>
          <w:rFonts w:ascii="Arial" w:hAnsi="Arial"/>
          <w:sz w:val="22"/>
          <w:szCs w:val="20"/>
          <w:lang w:val="en-US" w:eastAsia="en-US"/>
        </w:rPr>
        <w:t xml:space="preserve"> </w:t>
      </w:r>
      <w:r w:rsidRPr="009E783D">
        <w:rPr>
          <w:rFonts w:ascii="Arial" w:hAnsi="Arial"/>
          <w:sz w:val="22"/>
          <w:szCs w:val="20"/>
          <w:lang w:val="en-US" w:eastAsia="en-US"/>
        </w:rPr>
        <w:t xml:space="preserve">unlikely to </w:t>
      </w:r>
      <w:r>
        <w:rPr>
          <w:rFonts w:ascii="Arial" w:hAnsi="Arial"/>
          <w:sz w:val="22"/>
          <w:szCs w:val="20"/>
          <w:lang w:val="en-US" w:eastAsia="en-US"/>
        </w:rPr>
        <w:t xml:space="preserve">be </w:t>
      </w:r>
      <w:r w:rsidRPr="009E783D">
        <w:rPr>
          <w:rFonts w:ascii="Arial" w:hAnsi="Arial"/>
          <w:sz w:val="22"/>
          <w:szCs w:val="20"/>
          <w:lang w:val="en-US" w:eastAsia="en-US"/>
        </w:rPr>
        <w:t>significant</w:t>
      </w:r>
      <w:r w:rsidR="000409EE" w:rsidRPr="0086009F">
        <w:rPr>
          <w:rFonts w:ascii="Tahoma" w:hAnsi="Tahoma" w:cs="Tahoma"/>
          <w:sz w:val="22"/>
          <w:szCs w:val="22"/>
          <w:lang w:eastAsia="en-US"/>
        </w:rPr>
        <w:t xml:space="preserve">. </w:t>
      </w:r>
    </w:p>
    <w:p w:rsidR="00A573EE" w:rsidRPr="0086009F" w:rsidRDefault="00474820" w:rsidP="004B22DF">
      <w:pPr>
        <w:numPr>
          <w:ilvl w:val="0"/>
          <w:numId w:val="14"/>
        </w:numPr>
        <w:spacing w:before="18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There is potential for significant effects on listed </w:t>
      </w:r>
      <w:r w:rsidRPr="00474820">
        <w:rPr>
          <w:rFonts w:ascii="Tahoma" w:hAnsi="Tahoma" w:cs="Tahoma"/>
          <w:sz w:val="22"/>
          <w:szCs w:val="22"/>
          <w:lang w:eastAsia="en-US"/>
        </w:rPr>
        <w:t xml:space="preserve">historic </w:t>
      </w:r>
      <w:r>
        <w:rPr>
          <w:rFonts w:ascii="Tahoma" w:hAnsi="Tahoma" w:cs="Tahoma"/>
          <w:sz w:val="22"/>
          <w:szCs w:val="22"/>
          <w:lang w:eastAsia="en-US"/>
        </w:rPr>
        <w:t xml:space="preserve">maritime </w:t>
      </w:r>
      <w:r w:rsidRPr="00474820">
        <w:rPr>
          <w:rFonts w:ascii="Tahoma" w:hAnsi="Tahoma" w:cs="Tahoma"/>
          <w:sz w:val="22"/>
          <w:szCs w:val="22"/>
          <w:lang w:eastAsia="en-US"/>
        </w:rPr>
        <w:t>cultural heritage</w:t>
      </w:r>
      <w:r w:rsidR="001762B9">
        <w:rPr>
          <w:rFonts w:ascii="Tahoma" w:hAnsi="Tahoma" w:cs="Tahoma"/>
          <w:sz w:val="22"/>
          <w:szCs w:val="22"/>
          <w:lang w:eastAsia="en-US"/>
        </w:rPr>
        <w:t xml:space="preserve"> values of </w:t>
      </w:r>
      <w:r w:rsidR="00506BA2">
        <w:rPr>
          <w:rFonts w:ascii="Tahoma" w:hAnsi="Tahoma" w:cs="Tahoma"/>
          <w:sz w:val="22"/>
          <w:szCs w:val="22"/>
          <w:lang w:eastAsia="en-US"/>
        </w:rPr>
        <w:t>s</w:t>
      </w:r>
      <w:r>
        <w:rPr>
          <w:rFonts w:ascii="Tahoma" w:hAnsi="Tahoma" w:cs="Tahoma"/>
          <w:sz w:val="22"/>
          <w:szCs w:val="22"/>
          <w:lang w:eastAsia="en-US"/>
        </w:rPr>
        <w:t xml:space="preserve">tate significance, although </w:t>
      </w:r>
      <w:r w:rsidR="002E5ED6">
        <w:rPr>
          <w:rFonts w:ascii="Tahoma" w:hAnsi="Tahoma" w:cs="Tahoma"/>
          <w:sz w:val="22"/>
          <w:szCs w:val="22"/>
          <w:lang w:eastAsia="en-US"/>
        </w:rPr>
        <w:t xml:space="preserve">appropriate </w:t>
      </w:r>
      <w:r w:rsidR="002E5ED6" w:rsidRPr="002E5ED6">
        <w:rPr>
          <w:rFonts w:ascii="Tahoma" w:hAnsi="Tahoma" w:cs="Tahoma"/>
          <w:sz w:val="22"/>
          <w:szCs w:val="22"/>
          <w:lang w:eastAsia="en-US"/>
        </w:rPr>
        <w:t xml:space="preserve">avoidance </w:t>
      </w:r>
      <w:r w:rsidR="002E5ED6">
        <w:rPr>
          <w:rFonts w:ascii="Tahoma" w:hAnsi="Tahoma" w:cs="Tahoma"/>
          <w:sz w:val="22"/>
          <w:szCs w:val="22"/>
          <w:lang w:eastAsia="en-US"/>
        </w:rPr>
        <w:t>and/</w:t>
      </w:r>
      <w:r w:rsidR="002E5ED6" w:rsidRPr="002E5ED6">
        <w:rPr>
          <w:rFonts w:ascii="Tahoma" w:hAnsi="Tahoma" w:cs="Tahoma"/>
          <w:sz w:val="22"/>
          <w:szCs w:val="22"/>
          <w:lang w:eastAsia="en-US"/>
        </w:rPr>
        <w:t>or mitigation</w:t>
      </w:r>
      <w:r w:rsidR="002E5ED6">
        <w:rPr>
          <w:rFonts w:ascii="Tahoma" w:hAnsi="Tahoma" w:cs="Tahoma"/>
          <w:sz w:val="22"/>
          <w:szCs w:val="22"/>
          <w:lang w:eastAsia="en-US"/>
        </w:rPr>
        <w:t xml:space="preserve"> of </w:t>
      </w:r>
      <w:r w:rsidR="005668B4">
        <w:rPr>
          <w:rFonts w:ascii="Tahoma" w:hAnsi="Tahoma" w:cs="Tahoma"/>
          <w:sz w:val="22"/>
          <w:szCs w:val="22"/>
          <w:lang w:eastAsia="en-US"/>
        </w:rPr>
        <w:t xml:space="preserve">these potential effects </w:t>
      </w:r>
      <w:r w:rsidR="002E5ED6">
        <w:rPr>
          <w:rFonts w:ascii="Tahoma" w:hAnsi="Tahoma" w:cs="Tahoma"/>
          <w:sz w:val="22"/>
          <w:szCs w:val="22"/>
          <w:lang w:eastAsia="en-US"/>
        </w:rPr>
        <w:t xml:space="preserve">on historic </w:t>
      </w:r>
      <w:r w:rsidR="002E5ED6" w:rsidRPr="002E5ED6">
        <w:rPr>
          <w:rFonts w:ascii="Tahoma" w:hAnsi="Tahoma" w:cs="Tahoma"/>
          <w:sz w:val="22"/>
          <w:szCs w:val="22"/>
          <w:lang w:eastAsia="en-US"/>
        </w:rPr>
        <w:t>shipwrecks</w:t>
      </w:r>
      <w:r w:rsidR="002E5ED6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C74B4">
        <w:rPr>
          <w:rFonts w:ascii="Tahoma" w:hAnsi="Tahoma" w:cs="Tahoma"/>
          <w:sz w:val="22"/>
          <w:szCs w:val="22"/>
          <w:lang w:eastAsia="en-US"/>
        </w:rPr>
        <w:t>will need</w:t>
      </w:r>
      <w:r w:rsidR="002E5ED6">
        <w:rPr>
          <w:rFonts w:ascii="Tahoma" w:hAnsi="Tahoma" w:cs="Tahoma"/>
          <w:sz w:val="22"/>
          <w:szCs w:val="22"/>
          <w:lang w:eastAsia="en-US"/>
        </w:rPr>
        <w:t xml:space="preserve"> to be addressed </w:t>
      </w:r>
      <w:r w:rsidR="005668B4">
        <w:rPr>
          <w:rFonts w:ascii="Tahoma" w:hAnsi="Tahoma" w:cs="Tahoma"/>
          <w:sz w:val="22"/>
          <w:szCs w:val="22"/>
          <w:lang w:eastAsia="en-US"/>
        </w:rPr>
        <w:t xml:space="preserve">in accordance with the requirements of the </w:t>
      </w:r>
      <w:r w:rsidR="005668B4" w:rsidRPr="005668B4">
        <w:rPr>
          <w:rFonts w:ascii="Tahoma" w:hAnsi="Tahoma" w:cs="Tahoma"/>
          <w:i/>
          <w:sz w:val="22"/>
          <w:szCs w:val="22"/>
          <w:lang w:eastAsia="en-US"/>
        </w:rPr>
        <w:t>Heritage Act 1995</w:t>
      </w:r>
      <w:r w:rsidR="005668B4">
        <w:rPr>
          <w:rFonts w:ascii="Tahoma" w:hAnsi="Tahoma" w:cs="Tahoma"/>
          <w:sz w:val="22"/>
          <w:szCs w:val="22"/>
          <w:lang w:eastAsia="en-US"/>
        </w:rPr>
        <w:t xml:space="preserve"> and </w:t>
      </w:r>
      <w:r w:rsidR="005668B4" w:rsidRPr="005668B4">
        <w:rPr>
          <w:rFonts w:ascii="Tahoma" w:hAnsi="Tahoma" w:cs="Tahoma"/>
          <w:i/>
          <w:sz w:val="22"/>
          <w:szCs w:val="22"/>
          <w:lang w:eastAsia="en-US"/>
        </w:rPr>
        <w:t>Heritage (Historic Shipwrecks) Regulations 2007</w:t>
      </w:r>
      <w:r w:rsidR="00332BB5">
        <w:rPr>
          <w:rFonts w:ascii="Tahoma" w:hAnsi="Tahoma" w:cs="Tahoma"/>
          <w:sz w:val="22"/>
          <w:szCs w:val="22"/>
          <w:lang w:eastAsia="en-US"/>
        </w:rPr>
        <w:t>, in consultation with Heritage Victoria</w:t>
      </w:r>
      <w:r w:rsidR="009C6AFC">
        <w:rPr>
          <w:rFonts w:ascii="Tahoma" w:hAnsi="Tahoma" w:cs="Tahoma"/>
          <w:sz w:val="22"/>
          <w:szCs w:val="22"/>
          <w:lang w:eastAsia="en-US"/>
        </w:rPr>
        <w:t>.</w:t>
      </w:r>
      <w:r w:rsidR="00A573EE" w:rsidRPr="0086009F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9E036B" w:rsidRPr="0086009F" w:rsidRDefault="009E036B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86009F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4B0421" w:rsidRDefault="002E664E" w:rsidP="00B76483">
      <w:pPr>
        <w:rPr>
          <w:lang w:eastAsia="en-US"/>
        </w:rPr>
      </w:pPr>
      <w:r w:rsidRPr="0086009F">
        <w:rPr>
          <w:rFonts w:ascii="Tahoma" w:hAnsi="Tahoma" w:cs="Tahoma"/>
          <w:b/>
          <w:sz w:val="22"/>
          <w:szCs w:val="22"/>
          <w:lang w:eastAsia="en-US"/>
        </w:rPr>
        <w:t>Date of Decision:</w:t>
      </w:r>
      <w:r w:rsidR="00EC4D2F" w:rsidRPr="00666E8F">
        <w:rPr>
          <w:rFonts w:ascii="Tahoma" w:hAnsi="Tahoma" w:cs="Tahoma"/>
          <w:sz w:val="22"/>
          <w:szCs w:val="22"/>
          <w:lang w:eastAsia="en-US"/>
        </w:rPr>
        <w:tab/>
      </w:r>
      <w:r w:rsidR="00666E8F" w:rsidRPr="00666E8F">
        <w:rPr>
          <w:rFonts w:ascii="Tahoma" w:hAnsi="Tahoma" w:cs="Tahoma"/>
          <w:sz w:val="22"/>
          <w:szCs w:val="22"/>
          <w:lang w:eastAsia="en-US"/>
        </w:rPr>
        <w:t xml:space="preserve"> 12 Oc</w:t>
      </w:r>
      <w:r w:rsidR="00666E8F">
        <w:rPr>
          <w:rFonts w:ascii="Tahoma" w:hAnsi="Tahoma" w:cs="Tahoma"/>
          <w:sz w:val="22"/>
          <w:szCs w:val="22"/>
          <w:lang w:eastAsia="en-US"/>
        </w:rPr>
        <w:t>t</w:t>
      </w:r>
      <w:r w:rsidR="00666E8F" w:rsidRPr="00666E8F">
        <w:rPr>
          <w:rFonts w:ascii="Tahoma" w:hAnsi="Tahoma" w:cs="Tahoma"/>
          <w:sz w:val="22"/>
          <w:szCs w:val="22"/>
          <w:lang w:eastAsia="en-US"/>
        </w:rPr>
        <w:t xml:space="preserve">ober </w:t>
      </w:r>
      <w:r w:rsidR="00666E8F">
        <w:rPr>
          <w:rFonts w:ascii="Tahoma" w:hAnsi="Tahoma" w:cs="Tahoma"/>
          <w:sz w:val="22"/>
          <w:szCs w:val="22"/>
          <w:lang w:eastAsia="en-US"/>
        </w:rPr>
        <w:t>2015</w:t>
      </w:r>
      <w:r w:rsidR="003A2B02">
        <w:rPr>
          <w:rFonts w:ascii="Tahoma" w:hAnsi="Tahoma" w:cs="Tahoma"/>
          <w:b/>
          <w:color w:val="FF0000"/>
          <w:szCs w:val="20"/>
          <w:lang w:eastAsia="en-US"/>
        </w:rPr>
        <w:t xml:space="preserve"> </w:t>
      </w: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Pr="00877176" w:rsidRDefault="00877176" w:rsidP="00A573EE">
      <w:pPr>
        <w:pStyle w:val="Particulars"/>
        <w:ind w:left="426" w:right="-45"/>
      </w:pPr>
    </w:p>
    <w:sectPr w:rsidR="00877176" w:rsidRPr="00877176" w:rsidSect="00FC4F33">
      <w:headerReference w:type="default" r:id="rId9"/>
      <w:headerReference w:type="first" r:id="rId10"/>
      <w:pgSz w:w="11907" w:h="16840" w:code="9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2D" w:rsidRDefault="00B0262D">
      <w:r>
        <w:separator/>
      </w:r>
    </w:p>
  </w:endnote>
  <w:endnote w:type="continuationSeparator" w:id="0">
    <w:p w:rsidR="00B0262D" w:rsidRDefault="00B0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2D" w:rsidRDefault="00B0262D">
      <w:r>
        <w:separator/>
      </w:r>
    </w:p>
  </w:footnote>
  <w:footnote w:type="continuationSeparator" w:id="0">
    <w:p w:rsidR="00B0262D" w:rsidRDefault="00B02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E9" w:rsidRPr="00F079DB" w:rsidRDefault="00C70D80">
    <w:pPr>
      <w:pStyle w:val="Header"/>
      <w:jc w:val="right"/>
      <w:rPr>
        <w:rFonts w:ascii="Tahoma" w:hAnsi="Tahoma" w:cs="Tahoma"/>
        <w:sz w:val="22"/>
      </w:rPr>
    </w:pPr>
    <w:r w:rsidRPr="00F079DB">
      <w:rPr>
        <w:rFonts w:ascii="Tahoma" w:hAnsi="Tahoma" w:cs="Tahoma"/>
        <w:sz w:val="22"/>
      </w:rPr>
      <w:t xml:space="preserve">REFERRAL NUMBER </w:t>
    </w:r>
    <w:r w:rsidR="000409EE">
      <w:rPr>
        <w:rFonts w:ascii="Tahoma" w:hAnsi="Tahoma" w:cs="Tahoma"/>
        <w:sz w:val="22"/>
      </w:rPr>
      <w:t>2015-01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8F" w:rsidRPr="00666E8F" w:rsidRDefault="00666E8F" w:rsidP="00666E8F">
    <w:pPr>
      <w:pStyle w:val="Header"/>
      <w:jc w:val="right"/>
      <w:rPr>
        <w:rFonts w:ascii="Tahoma" w:hAnsi="Tahoma" w:cs="Tahoma"/>
        <w:sz w:val="22"/>
      </w:rPr>
    </w:pPr>
    <w:r w:rsidRPr="00F079DB">
      <w:rPr>
        <w:rFonts w:ascii="Tahoma" w:hAnsi="Tahoma" w:cs="Tahoma"/>
        <w:sz w:val="22"/>
      </w:rPr>
      <w:t xml:space="preserve">REFERRAL NUMBER </w:t>
    </w:r>
    <w:r>
      <w:rPr>
        <w:rFonts w:ascii="Tahoma" w:hAnsi="Tahoma" w:cs="Tahoma"/>
        <w:sz w:val="22"/>
      </w:rPr>
      <w:t>2015R-03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488"/>
    <w:multiLevelType w:val="hybridMultilevel"/>
    <w:tmpl w:val="9626BA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05D2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95B7B30"/>
    <w:multiLevelType w:val="hybridMultilevel"/>
    <w:tmpl w:val="459E2E9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AD3853"/>
    <w:multiLevelType w:val="hybridMultilevel"/>
    <w:tmpl w:val="325A0D1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B90C3A"/>
    <w:multiLevelType w:val="singleLevel"/>
    <w:tmpl w:val="9D7C1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">
    <w:nsid w:val="37032D92"/>
    <w:multiLevelType w:val="hybridMultilevel"/>
    <w:tmpl w:val="E8D25B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93598"/>
    <w:multiLevelType w:val="multilevel"/>
    <w:tmpl w:val="907A1B7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>
    <w:nsid w:val="44B81191"/>
    <w:multiLevelType w:val="singleLevel"/>
    <w:tmpl w:val="9D7C1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476C3961"/>
    <w:multiLevelType w:val="multilevel"/>
    <w:tmpl w:val="4A40E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AE569F9"/>
    <w:multiLevelType w:val="singleLevel"/>
    <w:tmpl w:val="80E8B87E"/>
    <w:lvl w:ilvl="0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D36640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6872E30"/>
    <w:multiLevelType w:val="singleLevel"/>
    <w:tmpl w:val="7AF6CB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BAD467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99D7697"/>
    <w:multiLevelType w:val="hybridMultilevel"/>
    <w:tmpl w:val="9C40B7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D97A74"/>
    <w:multiLevelType w:val="hybridMultilevel"/>
    <w:tmpl w:val="4F480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31A8"/>
    <w:multiLevelType w:val="hybridMultilevel"/>
    <w:tmpl w:val="5EAEA5C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9766CC7"/>
    <w:multiLevelType w:val="singleLevel"/>
    <w:tmpl w:val="69FE8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15"/>
  </w:num>
  <w:num w:numId="6">
    <w:abstractNumId w:val="1"/>
  </w:num>
  <w:num w:numId="7">
    <w:abstractNumId w:val="11"/>
  </w:num>
  <w:num w:numId="8">
    <w:abstractNumId w:val="16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4E"/>
    <w:rsid w:val="00005D79"/>
    <w:rsid w:val="00024702"/>
    <w:rsid w:val="00025F57"/>
    <w:rsid w:val="00026458"/>
    <w:rsid w:val="000409EE"/>
    <w:rsid w:val="00050F4B"/>
    <w:rsid w:val="00055CF8"/>
    <w:rsid w:val="00071011"/>
    <w:rsid w:val="00081DA5"/>
    <w:rsid w:val="00086380"/>
    <w:rsid w:val="00093233"/>
    <w:rsid w:val="00096190"/>
    <w:rsid w:val="000C74B4"/>
    <w:rsid w:val="000D6B9F"/>
    <w:rsid w:val="00102FCD"/>
    <w:rsid w:val="00105997"/>
    <w:rsid w:val="0012303B"/>
    <w:rsid w:val="00147339"/>
    <w:rsid w:val="001762B9"/>
    <w:rsid w:val="0019050D"/>
    <w:rsid w:val="001C2202"/>
    <w:rsid w:val="001F486B"/>
    <w:rsid w:val="0020066D"/>
    <w:rsid w:val="00207FE8"/>
    <w:rsid w:val="00267EFC"/>
    <w:rsid w:val="002A063F"/>
    <w:rsid w:val="002A798E"/>
    <w:rsid w:val="002E5ED6"/>
    <w:rsid w:val="002E664E"/>
    <w:rsid w:val="002F1831"/>
    <w:rsid w:val="00310C61"/>
    <w:rsid w:val="0031652C"/>
    <w:rsid w:val="00322DA1"/>
    <w:rsid w:val="00322ED7"/>
    <w:rsid w:val="0032465E"/>
    <w:rsid w:val="00332BB5"/>
    <w:rsid w:val="00332DEA"/>
    <w:rsid w:val="00346E9D"/>
    <w:rsid w:val="003571C5"/>
    <w:rsid w:val="0038672F"/>
    <w:rsid w:val="00390623"/>
    <w:rsid w:val="00396D7A"/>
    <w:rsid w:val="003A2B02"/>
    <w:rsid w:val="003A3B1D"/>
    <w:rsid w:val="003C6208"/>
    <w:rsid w:val="003E36F8"/>
    <w:rsid w:val="00461E83"/>
    <w:rsid w:val="004632F1"/>
    <w:rsid w:val="00474820"/>
    <w:rsid w:val="0048710B"/>
    <w:rsid w:val="00487AF7"/>
    <w:rsid w:val="004B0421"/>
    <w:rsid w:val="004B22DF"/>
    <w:rsid w:val="004E20BF"/>
    <w:rsid w:val="005016E9"/>
    <w:rsid w:val="00506BA2"/>
    <w:rsid w:val="005668B4"/>
    <w:rsid w:val="0058319A"/>
    <w:rsid w:val="005916A7"/>
    <w:rsid w:val="005A3A2B"/>
    <w:rsid w:val="005B0ACD"/>
    <w:rsid w:val="00607D41"/>
    <w:rsid w:val="00613083"/>
    <w:rsid w:val="00666C2F"/>
    <w:rsid w:val="00666E8F"/>
    <w:rsid w:val="006675A9"/>
    <w:rsid w:val="00677C32"/>
    <w:rsid w:val="007B1605"/>
    <w:rsid w:val="007F51D4"/>
    <w:rsid w:val="008116B7"/>
    <w:rsid w:val="008370C3"/>
    <w:rsid w:val="0086009F"/>
    <w:rsid w:val="00877176"/>
    <w:rsid w:val="00877812"/>
    <w:rsid w:val="008A1109"/>
    <w:rsid w:val="008A3FE6"/>
    <w:rsid w:val="008A4A5C"/>
    <w:rsid w:val="008C3510"/>
    <w:rsid w:val="008F50D5"/>
    <w:rsid w:val="00903ED9"/>
    <w:rsid w:val="00904114"/>
    <w:rsid w:val="00916285"/>
    <w:rsid w:val="009319BB"/>
    <w:rsid w:val="00950B65"/>
    <w:rsid w:val="00980186"/>
    <w:rsid w:val="009C0AA8"/>
    <w:rsid w:val="009C6922"/>
    <w:rsid w:val="009C6AFC"/>
    <w:rsid w:val="009D22C5"/>
    <w:rsid w:val="009E036B"/>
    <w:rsid w:val="00A105A6"/>
    <w:rsid w:val="00A20F6A"/>
    <w:rsid w:val="00A22A76"/>
    <w:rsid w:val="00A4539D"/>
    <w:rsid w:val="00A52150"/>
    <w:rsid w:val="00A573EE"/>
    <w:rsid w:val="00A60FD7"/>
    <w:rsid w:val="00A72E7B"/>
    <w:rsid w:val="00AA29FA"/>
    <w:rsid w:val="00AC2222"/>
    <w:rsid w:val="00AD1C2D"/>
    <w:rsid w:val="00AD5BB3"/>
    <w:rsid w:val="00B0262D"/>
    <w:rsid w:val="00B45295"/>
    <w:rsid w:val="00B50488"/>
    <w:rsid w:val="00B60BF2"/>
    <w:rsid w:val="00B76483"/>
    <w:rsid w:val="00B80FA3"/>
    <w:rsid w:val="00B90DA4"/>
    <w:rsid w:val="00C0568D"/>
    <w:rsid w:val="00C26AD9"/>
    <w:rsid w:val="00C55427"/>
    <w:rsid w:val="00C70D80"/>
    <w:rsid w:val="00C737F9"/>
    <w:rsid w:val="00CB1B7D"/>
    <w:rsid w:val="00D06D64"/>
    <w:rsid w:val="00D15E94"/>
    <w:rsid w:val="00D309FB"/>
    <w:rsid w:val="00D33445"/>
    <w:rsid w:val="00D33DBE"/>
    <w:rsid w:val="00D51421"/>
    <w:rsid w:val="00DA3277"/>
    <w:rsid w:val="00DC3E46"/>
    <w:rsid w:val="00E14061"/>
    <w:rsid w:val="00E17EA1"/>
    <w:rsid w:val="00E63D7A"/>
    <w:rsid w:val="00E933EB"/>
    <w:rsid w:val="00EC2AAE"/>
    <w:rsid w:val="00EC3788"/>
    <w:rsid w:val="00EC4D2F"/>
    <w:rsid w:val="00ED3DF5"/>
    <w:rsid w:val="00F079DB"/>
    <w:rsid w:val="00F07E14"/>
    <w:rsid w:val="00F11F7D"/>
    <w:rsid w:val="00F50D84"/>
    <w:rsid w:val="00F549C6"/>
    <w:rsid w:val="00F57CDC"/>
    <w:rsid w:val="00F621C5"/>
    <w:rsid w:val="00F73BCE"/>
    <w:rsid w:val="00F87E3E"/>
    <w:rsid w:val="00F94DED"/>
    <w:rsid w:val="00FA7D55"/>
    <w:rsid w:val="00FC4F33"/>
    <w:rsid w:val="00FC6A17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E664E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664E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odyText">
    <w:name w:val="Body Text"/>
    <w:basedOn w:val="Normal"/>
    <w:rsid w:val="002E664E"/>
    <w:pPr>
      <w:spacing w:after="120"/>
    </w:pPr>
    <w:rPr>
      <w:lang w:eastAsia="en-US"/>
    </w:rPr>
  </w:style>
  <w:style w:type="paragraph" w:styleId="BodyText2">
    <w:name w:val="Body Text 2"/>
    <w:basedOn w:val="Normal"/>
    <w:rsid w:val="009D22C5"/>
    <w:pPr>
      <w:spacing w:after="120" w:line="480" w:lineRule="auto"/>
    </w:pPr>
  </w:style>
  <w:style w:type="paragraph" w:customStyle="1" w:styleId="NumberedText">
    <w:name w:val="Numbered Text"/>
    <w:basedOn w:val="Normal"/>
    <w:rsid w:val="009D22C5"/>
    <w:pPr>
      <w:numPr>
        <w:numId w:val="10"/>
      </w:numPr>
      <w:jc w:val="both"/>
    </w:pPr>
  </w:style>
  <w:style w:type="paragraph" w:styleId="Footer">
    <w:name w:val="footer"/>
    <w:basedOn w:val="Normal"/>
    <w:rsid w:val="00B76483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811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16B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16B7"/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malltext">
    <w:name w:val="Table small text"/>
    <w:basedOn w:val="Normal"/>
    <w:qFormat/>
    <w:rsid w:val="008116B7"/>
    <w:pPr>
      <w:spacing w:before="40" w:after="40" w:line="240" w:lineRule="atLeast"/>
    </w:pPr>
    <w:rPr>
      <w:rFonts w:ascii="Arial" w:hAnsi="Arial"/>
      <w:sz w:val="16"/>
      <w:lang w:eastAsia="en-US"/>
    </w:rPr>
  </w:style>
  <w:style w:type="paragraph" w:customStyle="1" w:styleId="Tablesmallheading">
    <w:name w:val="Table small heading"/>
    <w:basedOn w:val="Normal"/>
    <w:qFormat/>
    <w:rsid w:val="008116B7"/>
    <w:pPr>
      <w:keepNext/>
      <w:spacing w:before="60" w:after="60" w:line="240" w:lineRule="atLeast"/>
    </w:pPr>
    <w:rPr>
      <w:rFonts w:ascii="Arial" w:hAnsi="Arial"/>
      <w:b/>
      <w:sz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8116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16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ticulars">
    <w:name w:val="Particulars"/>
    <w:basedOn w:val="NormalIndent"/>
    <w:rsid w:val="00877176"/>
    <w:pPr>
      <w:spacing w:after="240"/>
      <w:ind w:left="1080" w:right="1080"/>
    </w:pPr>
    <w:rPr>
      <w:rFonts w:ascii="Arial" w:hAnsi="Arial"/>
      <w:sz w:val="22"/>
      <w:szCs w:val="20"/>
      <w:lang w:val="en-US" w:eastAsia="en-US"/>
    </w:rPr>
  </w:style>
  <w:style w:type="character" w:styleId="IntenseReference">
    <w:name w:val="Intense Reference"/>
    <w:uiPriority w:val="32"/>
    <w:qFormat/>
    <w:rsid w:val="00877176"/>
    <w:rPr>
      <w:b/>
      <w:bCs/>
      <w:smallCaps/>
      <w:color w:val="C0504D"/>
      <w:spacing w:val="5"/>
      <w:u w:val="single"/>
    </w:rPr>
  </w:style>
  <w:style w:type="paragraph" w:styleId="NormalIndent">
    <w:name w:val="Normal Indent"/>
    <w:basedOn w:val="Normal"/>
    <w:rsid w:val="00877176"/>
    <w:pPr>
      <w:ind w:left="720"/>
    </w:pPr>
  </w:style>
  <w:style w:type="character" w:styleId="CommentReference">
    <w:name w:val="annotation reference"/>
    <w:rsid w:val="00AD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BB3"/>
  </w:style>
  <w:style w:type="paragraph" w:styleId="CommentSubject">
    <w:name w:val="annotation subject"/>
    <w:basedOn w:val="CommentText"/>
    <w:next w:val="CommentText"/>
    <w:link w:val="CommentSubjectChar"/>
    <w:rsid w:val="00AD5BB3"/>
    <w:rPr>
      <w:b/>
      <w:bCs/>
    </w:rPr>
  </w:style>
  <w:style w:type="character" w:customStyle="1" w:styleId="CommentSubjectChar">
    <w:name w:val="Comment Subject Char"/>
    <w:link w:val="CommentSubject"/>
    <w:rsid w:val="00AD5BB3"/>
    <w:rPr>
      <w:b/>
      <w:bCs/>
    </w:rPr>
  </w:style>
  <w:style w:type="character" w:customStyle="1" w:styleId="HeaderChar">
    <w:name w:val="Header Char"/>
    <w:basedOn w:val="DefaultParagraphFont"/>
    <w:link w:val="Header"/>
    <w:rsid w:val="00666E8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E664E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664E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odyText">
    <w:name w:val="Body Text"/>
    <w:basedOn w:val="Normal"/>
    <w:rsid w:val="002E664E"/>
    <w:pPr>
      <w:spacing w:after="120"/>
    </w:pPr>
    <w:rPr>
      <w:lang w:eastAsia="en-US"/>
    </w:rPr>
  </w:style>
  <w:style w:type="paragraph" w:styleId="BodyText2">
    <w:name w:val="Body Text 2"/>
    <w:basedOn w:val="Normal"/>
    <w:rsid w:val="009D22C5"/>
    <w:pPr>
      <w:spacing w:after="120" w:line="480" w:lineRule="auto"/>
    </w:pPr>
  </w:style>
  <w:style w:type="paragraph" w:customStyle="1" w:styleId="NumberedText">
    <w:name w:val="Numbered Text"/>
    <w:basedOn w:val="Normal"/>
    <w:rsid w:val="009D22C5"/>
    <w:pPr>
      <w:numPr>
        <w:numId w:val="10"/>
      </w:numPr>
      <w:jc w:val="both"/>
    </w:pPr>
  </w:style>
  <w:style w:type="paragraph" w:styleId="Footer">
    <w:name w:val="footer"/>
    <w:basedOn w:val="Normal"/>
    <w:rsid w:val="00B76483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811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16B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16B7"/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malltext">
    <w:name w:val="Table small text"/>
    <w:basedOn w:val="Normal"/>
    <w:qFormat/>
    <w:rsid w:val="008116B7"/>
    <w:pPr>
      <w:spacing w:before="40" w:after="40" w:line="240" w:lineRule="atLeast"/>
    </w:pPr>
    <w:rPr>
      <w:rFonts w:ascii="Arial" w:hAnsi="Arial"/>
      <w:sz w:val="16"/>
      <w:lang w:eastAsia="en-US"/>
    </w:rPr>
  </w:style>
  <w:style w:type="paragraph" w:customStyle="1" w:styleId="Tablesmallheading">
    <w:name w:val="Table small heading"/>
    <w:basedOn w:val="Normal"/>
    <w:qFormat/>
    <w:rsid w:val="008116B7"/>
    <w:pPr>
      <w:keepNext/>
      <w:spacing w:before="60" w:after="60" w:line="240" w:lineRule="atLeast"/>
    </w:pPr>
    <w:rPr>
      <w:rFonts w:ascii="Arial" w:hAnsi="Arial"/>
      <w:b/>
      <w:sz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8116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16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ticulars">
    <w:name w:val="Particulars"/>
    <w:basedOn w:val="NormalIndent"/>
    <w:rsid w:val="00877176"/>
    <w:pPr>
      <w:spacing w:after="240"/>
      <w:ind w:left="1080" w:right="1080"/>
    </w:pPr>
    <w:rPr>
      <w:rFonts w:ascii="Arial" w:hAnsi="Arial"/>
      <w:sz w:val="22"/>
      <w:szCs w:val="20"/>
      <w:lang w:val="en-US" w:eastAsia="en-US"/>
    </w:rPr>
  </w:style>
  <w:style w:type="character" w:styleId="IntenseReference">
    <w:name w:val="Intense Reference"/>
    <w:uiPriority w:val="32"/>
    <w:qFormat/>
    <w:rsid w:val="00877176"/>
    <w:rPr>
      <w:b/>
      <w:bCs/>
      <w:smallCaps/>
      <w:color w:val="C0504D"/>
      <w:spacing w:val="5"/>
      <w:u w:val="single"/>
    </w:rPr>
  </w:style>
  <w:style w:type="paragraph" w:styleId="NormalIndent">
    <w:name w:val="Normal Indent"/>
    <w:basedOn w:val="Normal"/>
    <w:rsid w:val="00877176"/>
    <w:pPr>
      <w:ind w:left="720"/>
    </w:pPr>
  </w:style>
  <w:style w:type="character" w:styleId="CommentReference">
    <w:name w:val="annotation reference"/>
    <w:rsid w:val="00AD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BB3"/>
  </w:style>
  <w:style w:type="paragraph" w:styleId="CommentSubject">
    <w:name w:val="annotation subject"/>
    <w:basedOn w:val="CommentText"/>
    <w:next w:val="CommentText"/>
    <w:link w:val="CommentSubjectChar"/>
    <w:rsid w:val="00AD5BB3"/>
    <w:rPr>
      <w:b/>
      <w:bCs/>
    </w:rPr>
  </w:style>
  <w:style w:type="character" w:customStyle="1" w:styleId="CommentSubjectChar">
    <w:name w:val="Comment Subject Char"/>
    <w:link w:val="CommentSubject"/>
    <w:rsid w:val="00AD5BB3"/>
    <w:rPr>
      <w:b/>
      <w:bCs/>
    </w:rPr>
  </w:style>
  <w:style w:type="character" w:customStyle="1" w:styleId="HeaderChar">
    <w:name w:val="Header Char"/>
    <w:basedOn w:val="DefaultParagraphFont"/>
    <w:link w:val="Header"/>
    <w:rsid w:val="00666E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5AF1-A226-4512-A4B2-1EA2DCC4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DECISION ON PROJECT REFERRED UNDER ENVIRONMENT EFFECTS ACT 1978</vt:lpstr>
    </vt:vector>
  </TitlesOfParts>
  <Company>DSE/DPI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DECISION ON PROJECT REFERRED UNDER ENVIRONMENT EFFECTS ACT 1978</dc:title>
  <dc:creator>tb37</dc:creator>
  <cp:lastModifiedBy>Geoff Ralphs</cp:lastModifiedBy>
  <cp:revision>2</cp:revision>
  <cp:lastPrinted>2015-05-07T05:00:00Z</cp:lastPrinted>
  <dcterms:created xsi:type="dcterms:W3CDTF">2015-10-13T04:21:00Z</dcterms:created>
  <dcterms:modified xsi:type="dcterms:W3CDTF">2015-10-13T04:21:00Z</dcterms:modified>
</cp:coreProperties>
</file>