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3927" w14:textId="7AA73BC1" w:rsidR="00D2097C" w:rsidRPr="00BA26AD" w:rsidRDefault="00AC437C" w:rsidP="00D2097C">
      <w:pPr>
        <w:pStyle w:val="NameofAdvisoryCommittee"/>
        <w:rPr>
          <w:b/>
          <w:bCs w:val="0"/>
          <w:i w:val="0"/>
          <w:sz w:val="32"/>
          <w:szCs w:val="32"/>
        </w:rPr>
      </w:pPr>
      <w:r>
        <w:rPr>
          <w:b/>
          <w:bCs w:val="0"/>
          <w:i w:val="0"/>
          <w:sz w:val="32"/>
          <w:szCs w:val="32"/>
        </w:rPr>
        <w:t>Fingerboards Mineral Sands Project</w:t>
      </w:r>
      <w:r w:rsidR="0048197C">
        <w:rPr>
          <w:b/>
          <w:bCs w:val="0"/>
          <w:i w:val="0"/>
          <w:sz w:val="32"/>
          <w:szCs w:val="32"/>
        </w:rPr>
        <w:t xml:space="preserve"> </w:t>
      </w:r>
      <w:r w:rsidR="00D2097C" w:rsidRPr="00BA26AD">
        <w:rPr>
          <w:b/>
          <w:bCs w:val="0"/>
          <w:i w:val="0"/>
          <w:sz w:val="32"/>
          <w:szCs w:val="32"/>
        </w:rPr>
        <w:t xml:space="preserve">Inquiry and Advisory Committee </w:t>
      </w:r>
    </w:p>
    <w:p w14:paraId="492CA3FC" w14:textId="77777777" w:rsidR="007B65D5" w:rsidRPr="00E50562" w:rsidRDefault="007B65D5" w:rsidP="007B65D5">
      <w:r w:rsidRPr="00E50562">
        <w:t xml:space="preserve">Version: </w:t>
      </w:r>
      <w:r>
        <w:t>June</w:t>
      </w:r>
      <w:r w:rsidRPr="00E50562">
        <w:t xml:space="preserve"> 2020</w:t>
      </w:r>
    </w:p>
    <w:p w14:paraId="18FA876A" w14:textId="3FA85A05" w:rsidR="002C0796" w:rsidRPr="00E50562" w:rsidRDefault="002C0796" w:rsidP="00BA26AD">
      <w:pPr>
        <w:spacing w:after="200"/>
      </w:pPr>
      <w:r w:rsidRPr="00E50562">
        <w:t xml:space="preserve">The </w:t>
      </w:r>
      <w:r w:rsidR="00AC437C">
        <w:t>Fingerboards Mineral Sands Project</w:t>
      </w:r>
      <w:r w:rsidR="00BA26AD" w:rsidRPr="00E50562">
        <w:t xml:space="preserve"> I</w:t>
      </w:r>
      <w:r w:rsidRPr="00E50562">
        <w:t xml:space="preserve">nquiry and Advisory Committee (the IAC) is appointed to inquire into, and report on, the proposed </w:t>
      </w:r>
      <w:r w:rsidR="00AC437C">
        <w:t>Fingerboards Mineral Sands</w:t>
      </w:r>
      <w:r w:rsidR="00BA26AD" w:rsidRPr="00E50562">
        <w:t xml:space="preserve"> Project</w:t>
      </w:r>
      <w:r w:rsidR="00D15A25">
        <w:t xml:space="preserve"> </w:t>
      </w:r>
      <w:r w:rsidR="00DB3998">
        <w:t xml:space="preserve">(the project) </w:t>
      </w:r>
      <w:r w:rsidR="00D15A25">
        <w:t xml:space="preserve">and its environmental effects </w:t>
      </w:r>
      <w:r w:rsidRPr="00E50562">
        <w:t xml:space="preserve">in accordance with these </w:t>
      </w:r>
      <w:r w:rsidR="00105386">
        <w:t>T</w:t>
      </w:r>
      <w:r w:rsidRPr="00E50562">
        <w:t xml:space="preserve">erms of </w:t>
      </w:r>
      <w:r w:rsidR="00105386">
        <w:t>R</w:t>
      </w:r>
      <w:r w:rsidRPr="00E50562">
        <w:t xml:space="preserve">eference. </w:t>
      </w:r>
    </w:p>
    <w:p w14:paraId="5E29B19E" w14:textId="4E30395F" w:rsidR="002C0796" w:rsidRPr="00E50562" w:rsidRDefault="002C0796" w:rsidP="00DC3410">
      <w:pPr>
        <w:spacing w:after="0"/>
      </w:pPr>
      <w:r w:rsidRPr="00E50562">
        <w:t>The IAC is appointed pursuant to:</w:t>
      </w:r>
    </w:p>
    <w:p w14:paraId="008FD883" w14:textId="77777777" w:rsidR="002C0796" w:rsidRPr="00E50562" w:rsidRDefault="002C0796" w:rsidP="00BA26AD">
      <w:pPr>
        <w:pStyle w:val="ListParagraph"/>
        <w:numPr>
          <w:ilvl w:val="0"/>
          <w:numId w:val="8"/>
        </w:numPr>
        <w:spacing w:after="200"/>
        <w:ind w:left="714" w:hanging="357"/>
      </w:pPr>
      <w:r w:rsidRPr="00E50562">
        <w:t xml:space="preserve">section 9(1) of the </w:t>
      </w:r>
      <w:r w:rsidRPr="00E50562">
        <w:rPr>
          <w:i/>
        </w:rPr>
        <w:t>Environment Effects Act 1978</w:t>
      </w:r>
      <w:r w:rsidRPr="00E50562">
        <w:t xml:space="preserve"> (EE Act) as an inquiry; and </w:t>
      </w:r>
    </w:p>
    <w:p w14:paraId="2971D276" w14:textId="77777777" w:rsidR="002C0796" w:rsidRPr="00E50562" w:rsidRDefault="002C0796" w:rsidP="00BA26AD">
      <w:pPr>
        <w:pStyle w:val="ListParagraph"/>
        <w:numPr>
          <w:ilvl w:val="0"/>
          <w:numId w:val="8"/>
        </w:numPr>
        <w:spacing w:after="200"/>
        <w:ind w:left="714" w:hanging="357"/>
      </w:pPr>
      <w:r w:rsidRPr="00E50562">
        <w:t xml:space="preserve">part 7, section 151 of the </w:t>
      </w:r>
      <w:r w:rsidRPr="00E50562">
        <w:rPr>
          <w:i/>
        </w:rPr>
        <w:t>Planning and Environment Act 1987</w:t>
      </w:r>
      <w:r w:rsidRPr="00E50562">
        <w:t xml:space="preserve"> (P&amp;E Act) as an advisory committee.</w:t>
      </w:r>
    </w:p>
    <w:p w14:paraId="7E700242" w14:textId="1DDFBCD6" w:rsidR="001D632D" w:rsidRDefault="001D632D" w:rsidP="001D632D">
      <w:pPr>
        <w:spacing w:after="200"/>
      </w:pPr>
      <w:r w:rsidRPr="00E50562">
        <w:t>The IAC will provide advice that can be used to inform the Environment Protection Authority’s</w:t>
      </w:r>
      <w:r>
        <w:t xml:space="preserve"> (EPA) </w:t>
      </w:r>
      <w:r w:rsidRPr="00E50562">
        <w:t xml:space="preserve">consideration of the works approval application (WAA) prepared by the proponent for the project.  </w:t>
      </w:r>
    </w:p>
    <w:p w14:paraId="00568C2F" w14:textId="4F80EB02" w:rsidR="003D4D56" w:rsidRPr="00E429B0" w:rsidRDefault="003D4D56" w:rsidP="003D4D56">
      <w:pPr>
        <w:pStyle w:val="ToRHeading"/>
      </w:pPr>
      <w:r w:rsidRPr="00E429B0">
        <w:t>Name</w:t>
      </w:r>
    </w:p>
    <w:p w14:paraId="3E0FB9D8" w14:textId="1FB378CD" w:rsidR="006B24AB" w:rsidRDefault="006B24AB" w:rsidP="00BA26AD">
      <w:pPr>
        <w:pStyle w:val="ToRNumberedPara"/>
        <w:spacing w:after="200"/>
        <w:rPr>
          <w:rFonts w:eastAsia="Times"/>
        </w:rPr>
      </w:pPr>
      <w:r w:rsidRPr="00E429B0">
        <w:rPr>
          <w:rFonts w:eastAsia="Times"/>
        </w:rPr>
        <w:t xml:space="preserve">The </w:t>
      </w:r>
      <w:r w:rsidR="00BA26AD">
        <w:rPr>
          <w:rFonts w:eastAsia="Times"/>
        </w:rPr>
        <w:t>IAC</w:t>
      </w:r>
      <w:r w:rsidRPr="00E429B0">
        <w:rPr>
          <w:rFonts w:eastAsia="Times"/>
        </w:rPr>
        <w:t xml:space="preserve"> is to be known as the ‘</w:t>
      </w:r>
      <w:r w:rsidR="00AC437C">
        <w:t>Fingerboards Mineral Sands</w:t>
      </w:r>
      <w:r w:rsidR="004B3867" w:rsidRPr="00E429B0">
        <w:t xml:space="preserve"> Project </w:t>
      </w:r>
      <w:r w:rsidR="00E429B0" w:rsidRPr="00E429B0">
        <w:t>Inquiry and Advisory Committee’</w:t>
      </w:r>
      <w:r w:rsidRPr="00E429B0">
        <w:rPr>
          <w:rFonts w:eastAsia="Times"/>
        </w:rPr>
        <w:t xml:space="preserve">. </w:t>
      </w:r>
    </w:p>
    <w:p w14:paraId="5D17697F" w14:textId="6701BB56" w:rsidR="002271CE" w:rsidRPr="002271CE" w:rsidRDefault="002271CE" w:rsidP="002271CE">
      <w:pPr>
        <w:pStyle w:val="ToRNumberedPara"/>
        <w:numPr>
          <w:ilvl w:val="0"/>
          <w:numId w:val="0"/>
        </w:numPr>
        <w:rPr>
          <w:rFonts w:eastAsia="Times"/>
          <w:b/>
          <w:sz w:val="24"/>
        </w:rPr>
      </w:pPr>
      <w:r w:rsidRPr="002271CE">
        <w:rPr>
          <w:rFonts w:eastAsia="Times"/>
          <w:b/>
          <w:sz w:val="24"/>
        </w:rPr>
        <w:t>Skills</w:t>
      </w:r>
    </w:p>
    <w:p w14:paraId="4FC672EA" w14:textId="722DDC91" w:rsidR="00A527C1" w:rsidRPr="00A527C1" w:rsidRDefault="00A527C1" w:rsidP="00DC3410">
      <w:pPr>
        <w:pStyle w:val="ToRNumberedPara"/>
        <w:spacing w:after="0"/>
        <w:rPr>
          <w:rFonts w:eastAsia="Times"/>
        </w:rPr>
      </w:pPr>
      <w:r w:rsidRPr="00A527C1">
        <w:rPr>
          <w:rFonts w:eastAsia="Times"/>
        </w:rPr>
        <w:t xml:space="preserve">The IAC </w:t>
      </w:r>
      <w:r w:rsidRPr="00310153">
        <w:rPr>
          <w:rFonts w:eastAsia="Times"/>
        </w:rPr>
        <w:t>members should</w:t>
      </w:r>
      <w:r w:rsidRPr="00A527C1">
        <w:rPr>
          <w:rFonts w:eastAsia="Times"/>
        </w:rPr>
        <w:t xml:space="preserve"> have following </w:t>
      </w:r>
      <w:r w:rsidR="00D15A25">
        <w:rPr>
          <w:rFonts w:eastAsia="Times"/>
        </w:rPr>
        <w:t>expertise</w:t>
      </w:r>
      <w:r w:rsidRPr="00A527C1">
        <w:rPr>
          <w:rFonts w:eastAsia="Times"/>
        </w:rPr>
        <w:t>:</w:t>
      </w:r>
    </w:p>
    <w:p w14:paraId="0B335740" w14:textId="729D7EB5" w:rsidR="00A527C1" w:rsidRPr="00DC19F6" w:rsidRDefault="00AC437C" w:rsidP="00DC19F6">
      <w:pPr>
        <w:pStyle w:val="ToRAlphaPara"/>
      </w:pPr>
      <w:r w:rsidRPr="00DC19F6">
        <w:t>groundwater and surface water</w:t>
      </w:r>
      <w:r w:rsidR="00A527C1" w:rsidRPr="00DC19F6">
        <w:t>;</w:t>
      </w:r>
    </w:p>
    <w:p w14:paraId="4BA6D65D" w14:textId="1759CEB2" w:rsidR="00A527C1" w:rsidRPr="00F400BC" w:rsidRDefault="00AC437C" w:rsidP="00DC19F6">
      <w:pPr>
        <w:pStyle w:val="ToRAlphaPara"/>
      </w:pPr>
      <w:r w:rsidRPr="00DC19F6">
        <w:t>biodiversity</w:t>
      </w:r>
      <w:r w:rsidR="001F5AC0" w:rsidRPr="00DC19F6">
        <w:t xml:space="preserve"> </w:t>
      </w:r>
      <w:r w:rsidR="001F5AC0" w:rsidRPr="00F400BC">
        <w:t xml:space="preserve">and </w:t>
      </w:r>
      <w:r w:rsidR="0005074C" w:rsidRPr="00F400BC">
        <w:t>ecology</w:t>
      </w:r>
      <w:r w:rsidR="00A527C1" w:rsidRPr="00F400BC">
        <w:t>;</w:t>
      </w:r>
    </w:p>
    <w:p w14:paraId="707E118F" w14:textId="47EEBC28" w:rsidR="00AC437C" w:rsidRPr="00DC19F6" w:rsidRDefault="00AC437C" w:rsidP="00DC19F6">
      <w:pPr>
        <w:pStyle w:val="ToRAlphaPara"/>
      </w:pPr>
      <w:r w:rsidRPr="00F400BC">
        <w:t>rehabilitation of mineral sands mines, soils and erosion</w:t>
      </w:r>
      <w:r w:rsidRPr="00DC19F6">
        <w:t>;</w:t>
      </w:r>
    </w:p>
    <w:p w14:paraId="5BD7CCC9" w14:textId="1283B4EA" w:rsidR="000C6BF1" w:rsidRPr="001815E0" w:rsidRDefault="00AC437C" w:rsidP="00F400BC">
      <w:pPr>
        <w:pStyle w:val="ToRAlphaPara"/>
      </w:pPr>
      <w:r w:rsidRPr="00F400BC">
        <w:t>air quality</w:t>
      </w:r>
      <w:r w:rsidR="00CB3AAC">
        <w:t>;</w:t>
      </w:r>
      <w:r w:rsidR="00041D40">
        <w:t xml:space="preserve"> and</w:t>
      </w:r>
    </w:p>
    <w:p w14:paraId="5CE90288" w14:textId="22581CBE" w:rsidR="00A27D12" w:rsidRDefault="000C6BF1" w:rsidP="00041D40">
      <w:pPr>
        <w:pStyle w:val="ToRAlphaPara"/>
      </w:pPr>
      <w:r w:rsidRPr="0073273C">
        <w:t>statutory planning</w:t>
      </w:r>
      <w:r w:rsidR="00041D40">
        <w:t>.</w:t>
      </w:r>
    </w:p>
    <w:p w14:paraId="10126679" w14:textId="699E1361" w:rsidR="00CB1379" w:rsidRDefault="00A27D12" w:rsidP="0098647A">
      <w:pPr>
        <w:pStyle w:val="ToRNumberedPara"/>
        <w:spacing w:after="0"/>
        <w:ind w:left="357" w:hanging="357"/>
        <w:rPr>
          <w:rFonts w:eastAsia="Times"/>
        </w:rPr>
      </w:pPr>
      <w:r>
        <w:rPr>
          <w:rFonts w:eastAsia="Times"/>
        </w:rPr>
        <w:t>Where it considers it necessary, t</w:t>
      </w:r>
      <w:r w:rsidR="00A527C1" w:rsidRPr="00A527C1">
        <w:rPr>
          <w:rFonts w:eastAsia="Times"/>
        </w:rPr>
        <w:t>he IAC may seek additional specialist expert advice</w:t>
      </w:r>
      <w:r w:rsidR="008D6B23">
        <w:rPr>
          <w:rStyle w:val="FootnoteReference"/>
          <w:rFonts w:eastAsia="Times"/>
        </w:rPr>
        <w:footnoteReference w:id="1"/>
      </w:r>
      <w:r w:rsidR="009904C0">
        <w:rPr>
          <w:rFonts w:eastAsia="Times"/>
        </w:rPr>
        <w:t xml:space="preserve"> </w:t>
      </w:r>
      <w:r w:rsidR="00A527C1" w:rsidRPr="00A527C1">
        <w:rPr>
          <w:rFonts w:eastAsia="Times"/>
        </w:rPr>
        <w:t>to assist it in undertaking its role</w:t>
      </w:r>
      <w:r w:rsidR="004150B3">
        <w:rPr>
          <w:rFonts w:eastAsia="Times"/>
        </w:rPr>
        <w:t xml:space="preserve">, </w:t>
      </w:r>
      <w:proofErr w:type="gramStart"/>
      <w:r w:rsidR="002C2D0F">
        <w:rPr>
          <w:rFonts w:eastAsia="Times"/>
        </w:rPr>
        <w:t>in particular</w:t>
      </w:r>
      <w:r w:rsidR="00635CF9">
        <w:rPr>
          <w:rFonts w:eastAsia="Times"/>
        </w:rPr>
        <w:t xml:space="preserve"> </w:t>
      </w:r>
      <w:r w:rsidR="002C2D0F">
        <w:rPr>
          <w:rFonts w:eastAsia="Times"/>
        </w:rPr>
        <w:t>with</w:t>
      </w:r>
      <w:proofErr w:type="gramEnd"/>
      <w:r w:rsidR="002C2D0F">
        <w:rPr>
          <w:rFonts w:eastAsia="Times"/>
        </w:rPr>
        <w:t xml:space="preserve"> respect to</w:t>
      </w:r>
      <w:r w:rsidR="00CB1379">
        <w:rPr>
          <w:rFonts w:eastAsia="Times"/>
        </w:rPr>
        <w:t>:</w:t>
      </w:r>
    </w:p>
    <w:p w14:paraId="7EE232E6" w14:textId="2C847E8D" w:rsidR="00AC437C" w:rsidRDefault="00AC437C" w:rsidP="006E38F1">
      <w:pPr>
        <w:pStyle w:val="ToRAlphaPara"/>
      </w:pPr>
      <w:r>
        <w:t xml:space="preserve">noise </w:t>
      </w:r>
      <w:r w:rsidR="00D15A25">
        <w:t>and related impacts on amenity</w:t>
      </w:r>
      <w:r>
        <w:t>;</w:t>
      </w:r>
    </w:p>
    <w:p w14:paraId="1F797E6C" w14:textId="5A8D4092" w:rsidR="00041D40" w:rsidRDefault="00AC437C" w:rsidP="00041D40">
      <w:pPr>
        <w:pStyle w:val="ToRAlphaPara"/>
      </w:pPr>
      <w:r>
        <w:t>agriculture and rural land use;</w:t>
      </w:r>
    </w:p>
    <w:p w14:paraId="648F885A" w14:textId="7BD2FED6" w:rsidR="009006E7" w:rsidRDefault="00CA34CE" w:rsidP="00DC19F6">
      <w:pPr>
        <w:pStyle w:val="ToRAlphaPara"/>
      </w:pPr>
      <w:r w:rsidRPr="00A527C1">
        <w:t>landscape</w:t>
      </w:r>
      <w:r>
        <w:t xml:space="preserve"> and </w:t>
      </w:r>
      <w:r w:rsidRPr="00A527C1">
        <w:t>visual</w:t>
      </w:r>
      <w:r>
        <w:t xml:space="preserve"> impacts</w:t>
      </w:r>
      <w:r w:rsidR="00041D40">
        <w:t>; and</w:t>
      </w:r>
    </w:p>
    <w:p w14:paraId="68876069" w14:textId="5BAF9234" w:rsidR="00041D40" w:rsidRDefault="00041D40" w:rsidP="00DC19F6">
      <w:pPr>
        <w:pStyle w:val="ToRAlphaPara"/>
      </w:pPr>
      <w:r>
        <w:t>social impact assessment.</w:t>
      </w:r>
    </w:p>
    <w:p w14:paraId="2BCAB7BF" w14:textId="6BA41570" w:rsidR="00A527C1" w:rsidRPr="00A527C1" w:rsidRDefault="00A527C1" w:rsidP="00A527C1">
      <w:pPr>
        <w:pStyle w:val="ToRNumberedPara"/>
        <w:rPr>
          <w:rFonts w:eastAsia="Times"/>
        </w:rPr>
      </w:pPr>
      <w:r w:rsidRPr="00A527C1">
        <w:rPr>
          <w:rFonts w:eastAsia="Times"/>
        </w:rPr>
        <w:t xml:space="preserve">The IAC will comprise an appointed </w:t>
      </w:r>
      <w:r w:rsidR="004C5845">
        <w:rPr>
          <w:rFonts w:eastAsia="Times"/>
        </w:rPr>
        <w:t>C</w:t>
      </w:r>
      <w:r w:rsidR="00DC3410" w:rsidRPr="00A527C1">
        <w:rPr>
          <w:rFonts w:eastAsia="Times"/>
        </w:rPr>
        <w:t xml:space="preserve">hair </w:t>
      </w:r>
      <w:r w:rsidRPr="00A527C1">
        <w:rPr>
          <w:rFonts w:eastAsia="Times"/>
        </w:rPr>
        <w:t xml:space="preserve">(IAC Chair), a </w:t>
      </w:r>
      <w:r w:rsidR="004C5845">
        <w:rPr>
          <w:rFonts w:eastAsia="Times"/>
        </w:rPr>
        <w:t>D</w:t>
      </w:r>
      <w:r w:rsidR="00DC3410" w:rsidRPr="00A527C1">
        <w:rPr>
          <w:rFonts w:eastAsia="Times"/>
        </w:rPr>
        <w:t xml:space="preserve">eputy </w:t>
      </w:r>
      <w:r w:rsidR="004C5845">
        <w:rPr>
          <w:rFonts w:eastAsia="Times"/>
        </w:rPr>
        <w:t>C</w:t>
      </w:r>
      <w:r w:rsidR="00DC3410" w:rsidRPr="00A527C1">
        <w:rPr>
          <w:rFonts w:eastAsia="Times"/>
        </w:rPr>
        <w:t xml:space="preserve">hair </w:t>
      </w:r>
      <w:r w:rsidRPr="00A527C1">
        <w:rPr>
          <w:rFonts w:eastAsia="Times"/>
        </w:rPr>
        <w:t>and other members.</w:t>
      </w:r>
    </w:p>
    <w:p w14:paraId="375772D1" w14:textId="15C9C200" w:rsidR="009F081D" w:rsidRPr="00C54E93" w:rsidRDefault="00BE2E7A" w:rsidP="001913F7">
      <w:pPr>
        <w:pStyle w:val="ToRHeading"/>
      </w:pPr>
      <w:r w:rsidRPr="00C54E93">
        <w:t>Purpose of the IAC</w:t>
      </w:r>
    </w:p>
    <w:p w14:paraId="0F468C9F" w14:textId="6DC616DC" w:rsidR="00C2166E" w:rsidRPr="00C54E93" w:rsidRDefault="00C2166E" w:rsidP="00476324">
      <w:pPr>
        <w:pStyle w:val="ToRNumberedPara"/>
        <w:spacing w:after="0"/>
        <w:rPr>
          <w:rFonts w:eastAsia="Times"/>
        </w:rPr>
      </w:pPr>
      <w:r w:rsidRPr="00C54E93">
        <w:rPr>
          <w:rFonts w:eastAsia="Times"/>
        </w:rPr>
        <w:t>The IAC is appointed by the Minister for Planning under section 9(1) of the EE Act to hold an inquiry into the environmental effects of the project.</w:t>
      </w:r>
      <w:r w:rsidR="004B3867">
        <w:rPr>
          <w:rFonts w:eastAsia="Times"/>
        </w:rPr>
        <w:t xml:space="preserve"> </w:t>
      </w:r>
      <w:r w:rsidRPr="00C54E93">
        <w:rPr>
          <w:rFonts w:eastAsia="Times"/>
        </w:rPr>
        <w:t xml:space="preserve"> The IAC is to: </w:t>
      </w:r>
    </w:p>
    <w:p w14:paraId="208D7359" w14:textId="50F4C48C" w:rsidR="00C2166E" w:rsidRPr="00C54E93" w:rsidRDefault="00C2166E" w:rsidP="009A1E05">
      <w:pPr>
        <w:pStyle w:val="ToRAlphaPara"/>
      </w:pPr>
      <w:r w:rsidRPr="00C54E93">
        <w:t>review and consider the environment effects statement (EES)</w:t>
      </w:r>
      <w:r w:rsidR="00366027">
        <w:t xml:space="preserve">, </w:t>
      </w:r>
      <w:r w:rsidRPr="00C54E93">
        <w:t>public submissions received in relation to the environmental effects of the project</w:t>
      </w:r>
      <w:r w:rsidR="00366027">
        <w:t xml:space="preserve"> and the </w:t>
      </w:r>
      <w:r w:rsidR="00B21534">
        <w:t xml:space="preserve">reports and </w:t>
      </w:r>
      <w:r w:rsidR="00366027">
        <w:t xml:space="preserve">advice </w:t>
      </w:r>
      <w:r w:rsidR="00BD37B8">
        <w:t xml:space="preserve">from the </w:t>
      </w:r>
      <w:r w:rsidR="00501A5E">
        <w:t xml:space="preserve">appointed </w:t>
      </w:r>
      <w:r w:rsidR="00BD37B8">
        <w:t>Department of Environment, Land, Water and Planning (DELWP)</w:t>
      </w:r>
      <w:r w:rsidR="00366027">
        <w:t xml:space="preserve"> independent peer reviewers</w:t>
      </w:r>
      <w:r w:rsidR="004B3867">
        <w:t>;</w:t>
      </w:r>
    </w:p>
    <w:p w14:paraId="6D8EF106" w14:textId="766C9DB0" w:rsidR="00C2166E" w:rsidRPr="00C54E93" w:rsidRDefault="00B63846" w:rsidP="00DC19F6">
      <w:pPr>
        <w:pStyle w:val="ToRAlphaPara"/>
      </w:pPr>
      <w:r>
        <w:t>consider and report</w:t>
      </w:r>
      <w:r w:rsidR="00B40CFF">
        <w:t xml:space="preserve"> </w:t>
      </w:r>
      <w:r w:rsidR="00C2166E" w:rsidRPr="00C54E93">
        <w:t>on the poten</w:t>
      </w:r>
      <w:r w:rsidR="00C2166E" w:rsidRPr="001C4F09">
        <w:t>tial environmental effects of the project</w:t>
      </w:r>
      <w:r w:rsidR="00457F97" w:rsidRPr="001C4F09">
        <w:t>, their significance</w:t>
      </w:r>
      <w:r w:rsidR="0043319A" w:rsidRPr="001C4F09">
        <w:t xml:space="preserve"> and acceptability</w:t>
      </w:r>
      <w:r w:rsidR="00DA6719" w:rsidRPr="001C4F09">
        <w:t xml:space="preserve">, </w:t>
      </w:r>
      <w:r w:rsidR="00D15A25" w:rsidRPr="001C4F09">
        <w:t xml:space="preserve">and in doing so </w:t>
      </w:r>
      <w:r w:rsidR="00C2166E" w:rsidRPr="001C4F09">
        <w:t>hav</w:t>
      </w:r>
      <w:r w:rsidR="00D15A25" w:rsidRPr="001C4F09">
        <w:t>e</w:t>
      </w:r>
      <w:r w:rsidR="00C2166E" w:rsidRPr="001C4F09">
        <w:t xml:space="preserve"> regard to the draft evaluation objectives in the EES scoping requirements</w:t>
      </w:r>
      <w:r w:rsidR="00DA6719" w:rsidRPr="001C4F09">
        <w:t xml:space="preserve"> and relevant</w:t>
      </w:r>
      <w:r w:rsidR="00DA6719">
        <w:t xml:space="preserve"> policy and legislation</w:t>
      </w:r>
      <w:r w:rsidR="00C2166E" w:rsidRPr="00C54E93">
        <w:t>;</w:t>
      </w:r>
    </w:p>
    <w:p w14:paraId="6F76D875" w14:textId="77777777" w:rsidR="00D15A25" w:rsidRDefault="00C2166E" w:rsidP="00F400BC">
      <w:pPr>
        <w:pStyle w:val="ToRAlphaPara"/>
      </w:pPr>
      <w:r w:rsidRPr="00C54E93">
        <w:t>identify any measures it considers necessary and effective to avoid, mitigate or manage the environmental effects of the project within acceptable limits</w:t>
      </w:r>
      <w:r w:rsidR="00D15A25">
        <w:t>, including any necessary project modifications</w:t>
      </w:r>
      <w:r w:rsidRPr="00C54E93">
        <w:t xml:space="preserve">; </w:t>
      </w:r>
    </w:p>
    <w:p w14:paraId="1FC16F43" w14:textId="3518B6E8" w:rsidR="00C2166E" w:rsidRPr="00C54E93" w:rsidRDefault="00D15A25" w:rsidP="001815E0">
      <w:pPr>
        <w:pStyle w:val="ToRAlphaPara"/>
      </w:pPr>
      <w:r>
        <w:lastRenderedPageBreak/>
        <w:t xml:space="preserve">advise on </w:t>
      </w:r>
      <w:r w:rsidR="00E64F61">
        <w:t xml:space="preserve">how this relates to </w:t>
      </w:r>
      <w:r>
        <w:t xml:space="preserve">relevant </w:t>
      </w:r>
      <w:r w:rsidR="00E64F61">
        <w:t>conditions, controls and requirements that could form part of the necessary approvals and consent for the project;</w:t>
      </w:r>
    </w:p>
    <w:p w14:paraId="5AD62F63" w14:textId="7FABCC7C" w:rsidR="00C2166E" w:rsidRDefault="004B3867" w:rsidP="001815E0">
      <w:pPr>
        <w:pStyle w:val="ToRAlphaPara"/>
      </w:pPr>
      <w:r w:rsidRPr="00C54E93">
        <w:t xml:space="preserve">report </w:t>
      </w:r>
      <w:r>
        <w:t>its findings</w:t>
      </w:r>
      <w:r w:rsidR="00F8273E">
        <w:t xml:space="preserve"> and recommendations</w:t>
      </w:r>
      <w:r>
        <w:t xml:space="preserve"> to the Minister for Planning </w:t>
      </w:r>
      <w:r w:rsidR="00D15A25">
        <w:t>to inform his</w:t>
      </w:r>
      <w:r>
        <w:t xml:space="preserve"> </w:t>
      </w:r>
      <w:r w:rsidR="00D15A25">
        <w:t>assessment under the</w:t>
      </w:r>
      <w:r>
        <w:t xml:space="preserve"> </w:t>
      </w:r>
      <w:r w:rsidR="00D15A25">
        <w:t>EE Act</w:t>
      </w:r>
      <w:r w:rsidR="00041D40">
        <w:t>; and</w:t>
      </w:r>
    </w:p>
    <w:p w14:paraId="7CD0B79D" w14:textId="46F7C43A" w:rsidR="00041D40" w:rsidRPr="00C54E93" w:rsidRDefault="00041D40" w:rsidP="001815E0">
      <w:pPr>
        <w:pStyle w:val="ToRAlphaPara"/>
      </w:pPr>
      <w:r>
        <w:t xml:space="preserve">review the works approval application and relevant submissions and </w:t>
      </w:r>
      <w:r w:rsidRPr="00C54E93">
        <w:t xml:space="preserve">provide advice </w:t>
      </w:r>
      <w:r>
        <w:t>that can be used to inform</w:t>
      </w:r>
      <w:r w:rsidRPr="00C54E93">
        <w:t xml:space="preserve"> the </w:t>
      </w:r>
      <w:r>
        <w:t>EPA’s</w:t>
      </w:r>
      <w:r w:rsidRPr="00C54E93">
        <w:t xml:space="preserve"> consideration of the WAA</w:t>
      </w:r>
      <w:r>
        <w:t xml:space="preserve"> prepared by the proponent for the project.</w:t>
      </w:r>
    </w:p>
    <w:p w14:paraId="65E4BED5" w14:textId="77777777" w:rsidR="00C2166E" w:rsidRPr="006A4188" w:rsidRDefault="00C2166E" w:rsidP="005572CB">
      <w:pPr>
        <w:pStyle w:val="ToRNumberedPara"/>
        <w:spacing w:after="0"/>
        <w:ind w:left="357" w:hanging="357"/>
        <w:rPr>
          <w:rFonts w:eastAsia="Times"/>
        </w:rPr>
      </w:pPr>
      <w:r w:rsidRPr="00C54E93">
        <w:rPr>
          <w:rFonts w:eastAsia="Times"/>
        </w:rPr>
        <w:t xml:space="preserve">The IAC is </w:t>
      </w:r>
      <w:r w:rsidRPr="006A4188">
        <w:rPr>
          <w:rFonts w:eastAsia="Times"/>
        </w:rPr>
        <w:t>appointed as an advisory committee under section 151 of the P&amp;E Act to:</w:t>
      </w:r>
    </w:p>
    <w:p w14:paraId="1379D15D" w14:textId="0C045E18" w:rsidR="00C2166E" w:rsidRPr="006A4188" w:rsidRDefault="00C2166E" w:rsidP="00DC19F6">
      <w:pPr>
        <w:pStyle w:val="ToRAlphaPara"/>
      </w:pPr>
      <w:r w:rsidRPr="006A4188">
        <w:t>review draft planning scheme amendment (PSA)</w:t>
      </w:r>
      <w:r w:rsidR="001746D5" w:rsidRPr="006A4188">
        <w:t xml:space="preserve"> C</w:t>
      </w:r>
      <w:r w:rsidR="006A4188" w:rsidRPr="006A4188">
        <w:t>156</w:t>
      </w:r>
      <w:r w:rsidR="008D201A" w:rsidRPr="006A4188">
        <w:t>EGIP</w:t>
      </w:r>
      <w:r w:rsidRPr="006A4188">
        <w:t>, which ha</w:t>
      </w:r>
      <w:r w:rsidR="006A4188" w:rsidRPr="006A4188">
        <w:t>ve</w:t>
      </w:r>
      <w:r w:rsidRPr="006A4188">
        <w:t xml:space="preserve"> been prepared to facilitate the project, along with any public submissions received in relation to the draft PSA; </w:t>
      </w:r>
    </w:p>
    <w:p w14:paraId="4361AA69" w14:textId="5081B1C9" w:rsidR="00C2166E" w:rsidRPr="00C54E93" w:rsidRDefault="00C2166E" w:rsidP="00F400BC">
      <w:pPr>
        <w:pStyle w:val="ToRAlphaPara"/>
      </w:pPr>
      <w:r w:rsidRPr="00C54E93">
        <w:t>provide a report to the Minister for Planning as to whether the draft PSA contains provisions and controls that are appropriate for the project; and</w:t>
      </w:r>
    </w:p>
    <w:p w14:paraId="14D35EE1" w14:textId="79551D5B" w:rsidR="00C2166E" w:rsidRPr="00C54E93" w:rsidRDefault="00C2166E" w:rsidP="001815E0">
      <w:pPr>
        <w:pStyle w:val="ToRAlphaPara"/>
      </w:pPr>
      <w:r w:rsidRPr="00C54E93">
        <w:t>recommend any changes to the draft PSA that it considers necessary.</w:t>
      </w:r>
    </w:p>
    <w:p w14:paraId="167653E4" w14:textId="4B68416B" w:rsidR="009F081D" w:rsidRPr="00721522" w:rsidRDefault="009F081D" w:rsidP="001913F7">
      <w:pPr>
        <w:pStyle w:val="ToRHeading"/>
      </w:pPr>
      <w:r w:rsidRPr="00721522">
        <w:t xml:space="preserve">Background </w:t>
      </w:r>
    </w:p>
    <w:p w14:paraId="7CE953DB" w14:textId="634F6FBC" w:rsidR="001960BF" w:rsidRPr="00721522" w:rsidRDefault="001960BF" w:rsidP="001960BF">
      <w:pPr>
        <w:spacing w:after="120"/>
        <w:rPr>
          <w:rFonts w:asciiTheme="minorHAnsi" w:hAnsiTheme="minorHAnsi" w:cstheme="minorHAnsi"/>
          <w:b/>
          <w:i/>
          <w:sz w:val="24"/>
        </w:rPr>
      </w:pPr>
      <w:r w:rsidRPr="00721522">
        <w:rPr>
          <w:rFonts w:asciiTheme="minorHAnsi" w:hAnsiTheme="minorHAnsi" w:cstheme="minorHAnsi"/>
          <w:b/>
          <w:i/>
          <w:sz w:val="24"/>
        </w:rPr>
        <w:t>Project outline</w:t>
      </w:r>
    </w:p>
    <w:p w14:paraId="147486F4" w14:textId="3AE177F1" w:rsidR="00721522" w:rsidRPr="00507FFC" w:rsidRDefault="00721522" w:rsidP="009F3581">
      <w:pPr>
        <w:pStyle w:val="ToRNumberedPara"/>
        <w:spacing w:after="0"/>
        <w:rPr>
          <w:rFonts w:eastAsia="Times"/>
        </w:rPr>
      </w:pPr>
      <w:r w:rsidRPr="00507FFC">
        <w:rPr>
          <w:rFonts w:eastAsia="Times"/>
        </w:rPr>
        <w:t xml:space="preserve">The project </w:t>
      </w:r>
      <w:r w:rsidR="00507FFC" w:rsidRPr="00507FFC">
        <w:rPr>
          <w:rFonts w:eastAsia="Times"/>
        </w:rPr>
        <w:t>proposes to develop the Fingerboards Mineral Sands Project which has an approximate area of 1,675 hectares and is located approximately 20 kilometres north-west of Bairnsdale in East Gippsland, Victoria.</w:t>
      </w:r>
      <w:r w:rsidR="00F63B73">
        <w:rPr>
          <w:rFonts w:eastAsia="Times"/>
        </w:rPr>
        <w:t xml:space="preserve">  </w:t>
      </w:r>
      <w:r w:rsidR="00F63B73" w:rsidRPr="00F63B73">
        <w:rPr>
          <w:rFonts w:eastAsia="Times"/>
        </w:rPr>
        <w:t xml:space="preserve">The proposed mining methods involve open pit mining to extract approximately 170 </w:t>
      </w:r>
      <w:r w:rsidR="008D201A">
        <w:rPr>
          <w:rFonts w:eastAsia="Times"/>
        </w:rPr>
        <w:t>m</w:t>
      </w:r>
      <w:r w:rsidR="000138EA">
        <w:rPr>
          <w:rFonts w:eastAsia="Times"/>
        </w:rPr>
        <w:t xml:space="preserve">illion </w:t>
      </w:r>
      <w:r w:rsidR="008D201A">
        <w:rPr>
          <w:rFonts w:eastAsia="Times"/>
        </w:rPr>
        <w:t>t</w:t>
      </w:r>
      <w:r w:rsidR="000138EA">
        <w:rPr>
          <w:rFonts w:eastAsia="Times"/>
        </w:rPr>
        <w:t>onnes (Mt)</w:t>
      </w:r>
      <w:r w:rsidR="000138EA" w:rsidRPr="00F63B73">
        <w:rPr>
          <w:rFonts w:eastAsia="Times"/>
        </w:rPr>
        <w:t xml:space="preserve"> </w:t>
      </w:r>
      <w:r w:rsidR="00F63B73" w:rsidRPr="00F63B73">
        <w:rPr>
          <w:rFonts w:eastAsia="Times"/>
        </w:rPr>
        <w:t>of ore over a projected mine life of 20 years to produce approximately 8 Mt of mineral concentrate.</w:t>
      </w:r>
      <w:r w:rsidR="00105386">
        <w:rPr>
          <w:rFonts w:eastAsia="Times"/>
        </w:rPr>
        <w:t xml:space="preserve"> </w:t>
      </w:r>
      <w:r w:rsidR="00F63B73" w:rsidRPr="00F63B73">
        <w:rPr>
          <w:rFonts w:eastAsia="Times"/>
        </w:rPr>
        <w:t xml:space="preserve"> Mine products are proposed to be transported via road or by rail for export overseas</w:t>
      </w:r>
      <w:r w:rsidR="00F63B73">
        <w:rPr>
          <w:rFonts w:eastAsia="Times"/>
        </w:rPr>
        <w:t>.</w:t>
      </w:r>
      <w:r w:rsidRPr="00507FFC">
        <w:rPr>
          <w:rFonts w:eastAsia="Times"/>
        </w:rPr>
        <w:t xml:space="preserve">  The project </w:t>
      </w:r>
      <w:r w:rsidR="00507FFC" w:rsidRPr="00507FFC">
        <w:rPr>
          <w:rFonts w:eastAsia="Times"/>
        </w:rPr>
        <w:t>include</w:t>
      </w:r>
      <w:r w:rsidR="00F63B73">
        <w:rPr>
          <w:rFonts w:eastAsia="Times"/>
        </w:rPr>
        <w:t>s</w:t>
      </w:r>
      <w:r w:rsidR="00507FFC" w:rsidRPr="00507FFC">
        <w:rPr>
          <w:rFonts w:eastAsia="Times"/>
        </w:rPr>
        <w:t xml:space="preserve"> the following</w:t>
      </w:r>
      <w:r w:rsidRPr="00507FFC">
        <w:rPr>
          <w:rFonts w:eastAsia="Times"/>
        </w:rPr>
        <w:t xml:space="preserve"> elements:</w:t>
      </w:r>
    </w:p>
    <w:p w14:paraId="79A7ED1A" w14:textId="4D66141B" w:rsidR="00507FFC" w:rsidRPr="00507FFC" w:rsidRDefault="00507FFC" w:rsidP="00DC19F6">
      <w:pPr>
        <w:pStyle w:val="ToRAlphaPara"/>
        <w:rPr>
          <w:lang w:val="en"/>
        </w:rPr>
      </w:pPr>
      <w:r w:rsidRPr="00507FFC">
        <w:rPr>
          <w:lang w:val="en"/>
        </w:rPr>
        <w:t>the development of a mineral sands mine;</w:t>
      </w:r>
    </w:p>
    <w:p w14:paraId="3A3FEF5D" w14:textId="45F11C9C" w:rsidR="00507FFC" w:rsidRPr="00507FFC" w:rsidRDefault="00507FFC" w:rsidP="00F400BC">
      <w:pPr>
        <w:pStyle w:val="ToRAlphaPara"/>
        <w:rPr>
          <w:lang w:val="en"/>
        </w:rPr>
      </w:pPr>
      <w:r w:rsidRPr="00507FFC">
        <w:rPr>
          <w:lang w:val="en"/>
        </w:rPr>
        <w:t>two mining unit plants;</w:t>
      </w:r>
    </w:p>
    <w:p w14:paraId="41CE926F" w14:textId="5B4A6618" w:rsidR="00507FFC" w:rsidRPr="00507FFC" w:rsidRDefault="00507FFC" w:rsidP="001815E0">
      <w:pPr>
        <w:pStyle w:val="ToRAlphaPara"/>
        <w:rPr>
          <w:lang w:val="en"/>
        </w:rPr>
      </w:pPr>
      <w:r w:rsidRPr="00507FFC">
        <w:rPr>
          <w:lang w:val="en"/>
        </w:rPr>
        <w:t>wet concentrator plant (comprising mineral separation processing and tailings thickening and disposal plant);</w:t>
      </w:r>
    </w:p>
    <w:p w14:paraId="2CD48963" w14:textId="6FD31A04" w:rsidR="00507FFC" w:rsidRPr="00507FFC" w:rsidRDefault="00507FFC" w:rsidP="001815E0">
      <w:pPr>
        <w:pStyle w:val="ToRAlphaPara"/>
        <w:rPr>
          <w:lang w:val="en"/>
        </w:rPr>
      </w:pPr>
      <w:r w:rsidRPr="00507FFC">
        <w:rPr>
          <w:lang w:val="en"/>
        </w:rPr>
        <w:t>water supply infrastructure;</w:t>
      </w:r>
    </w:p>
    <w:p w14:paraId="70A7655E" w14:textId="5F19D0BA" w:rsidR="00507FFC" w:rsidRPr="00507FFC" w:rsidRDefault="00507FFC" w:rsidP="001815E0">
      <w:pPr>
        <w:pStyle w:val="ToRAlphaPara"/>
        <w:rPr>
          <w:lang w:val="en"/>
        </w:rPr>
      </w:pPr>
      <w:r w:rsidRPr="00507FFC">
        <w:rPr>
          <w:lang w:val="en"/>
        </w:rPr>
        <w:t>tailings storage facility;</w:t>
      </w:r>
    </w:p>
    <w:p w14:paraId="1D10FC39" w14:textId="60E8AF26" w:rsidR="00721522" w:rsidRPr="00507FFC" w:rsidRDefault="00507FFC" w:rsidP="001815E0">
      <w:pPr>
        <w:pStyle w:val="ToRAlphaPara"/>
      </w:pPr>
      <w:r w:rsidRPr="00507FFC">
        <w:rPr>
          <w:lang w:val="en"/>
        </w:rPr>
        <w:t>additional site facilities, such as a site office, warehouse, workshop, loading facilities and fuel storage.</w:t>
      </w:r>
    </w:p>
    <w:p w14:paraId="7C131FB4" w14:textId="2F617891" w:rsidR="00721522" w:rsidRPr="00BC1899" w:rsidRDefault="00721522" w:rsidP="00721522">
      <w:pPr>
        <w:pStyle w:val="ToRNumberedPara"/>
        <w:rPr>
          <w:rFonts w:eastAsia="Times"/>
        </w:rPr>
      </w:pPr>
      <w:r w:rsidRPr="00BC1899">
        <w:rPr>
          <w:rFonts w:eastAsia="Times"/>
        </w:rPr>
        <w:t xml:space="preserve">The </w:t>
      </w:r>
      <w:r w:rsidR="00394C6E" w:rsidRPr="00BC1899">
        <w:rPr>
          <w:rFonts w:eastAsia="Times"/>
        </w:rPr>
        <w:t>project</w:t>
      </w:r>
      <w:r w:rsidR="000A2999" w:rsidRPr="00A76AC4">
        <w:rPr>
          <w:rFonts w:eastAsia="Times"/>
        </w:rPr>
        <w:t>’s</w:t>
      </w:r>
      <w:r w:rsidR="00394C6E" w:rsidRPr="00A76AC4">
        <w:rPr>
          <w:rFonts w:eastAsia="Times"/>
        </w:rPr>
        <w:t xml:space="preserve"> </w:t>
      </w:r>
      <w:r w:rsidRPr="00A76AC4">
        <w:rPr>
          <w:rFonts w:eastAsia="Times"/>
        </w:rPr>
        <w:t xml:space="preserve">proponent </w:t>
      </w:r>
      <w:r w:rsidR="00507FFC" w:rsidRPr="008270CA">
        <w:rPr>
          <w:rFonts w:eastAsia="Times"/>
        </w:rPr>
        <w:t>is</w:t>
      </w:r>
      <w:r w:rsidR="000A2999" w:rsidRPr="008270CA">
        <w:rPr>
          <w:rFonts w:eastAsia="Times"/>
        </w:rPr>
        <w:t xml:space="preserve"> </w:t>
      </w:r>
      <w:r w:rsidR="00507FFC" w:rsidRPr="00F51724">
        <w:rPr>
          <w:rFonts w:eastAsia="Times"/>
        </w:rPr>
        <w:t>Kalbar Opera</w:t>
      </w:r>
      <w:r w:rsidR="00507FFC" w:rsidRPr="00BC1899">
        <w:rPr>
          <w:rFonts w:eastAsia="Times"/>
        </w:rPr>
        <w:t>tions Pty. Ltd</w:t>
      </w:r>
      <w:r w:rsidR="00105386" w:rsidRPr="00BC1899">
        <w:rPr>
          <w:rFonts w:eastAsia="Times"/>
        </w:rPr>
        <w:t xml:space="preserve">, who </w:t>
      </w:r>
      <w:r w:rsidR="00507FFC" w:rsidRPr="00A76AC4">
        <w:rPr>
          <w:rFonts w:eastAsia="Times"/>
        </w:rPr>
        <w:t>is</w:t>
      </w:r>
      <w:r w:rsidRPr="00A76AC4">
        <w:rPr>
          <w:rFonts w:eastAsia="Times"/>
        </w:rPr>
        <w:t xml:space="preserve"> responsible for preparing technical studies, consulting with the public and stakeholders and preparing an EES.</w:t>
      </w:r>
    </w:p>
    <w:p w14:paraId="45CD5730" w14:textId="03B8DCEF" w:rsidR="007523CA" w:rsidRPr="00AC4EB9" w:rsidRDefault="001119EF" w:rsidP="007523CA">
      <w:pPr>
        <w:pStyle w:val="Normalnum"/>
        <w:numPr>
          <w:ilvl w:val="0"/>
          <w:numId w:val="0"/>
        </w:numPr>
        <w:spacing w:after="120"/>
        <w:rPr>
          <w:rFonts w:asciiTheme="minorHAnsi" w:hAnsiTheme="minorHAnsi" w:cstheme="minorHAnsi"/>
          <w:b/>
          <w:i/>
          <w:sz w:val="24"/>
          <w:szCs w:val="24"/>
        </w:rPr>
      </w:pPr>
      <w:r w:rsidRPr="00AC4EB9">
        <w:rPr>
          <w:rFonts w:asciiTheme="minorHAnsi" w:hAnsiTheme="minorHAnsi" w:cstheme="minorHAnsi"/>
          <w:b/>
          <w:i/>
          <w:sz w:val="24"/>
          <w:szCs w:val="24"/>
        </w:rPr>
        <w:t>E</w:t>
      </w:r>
      <w:r w:rsidR="007523CA" w:rsidRPr="00AC4EB9">
        <w:rPr>
          <w:rFonts w:asciiTheme="minorHAnsi" w:hAnsiTheme="minorHAnsi" w:cstheme="minorHAnsi"/>
          <w:b/>
          <w:i/>
          <w:sz w:val="24"/>
          <w:szCs w:val="24"/>
        </w:rPr>
        <w:t>ES assessment process</w:t>
      </w:r>
    </w:p>
    <w:p w14:paraId="59C93459" w14:textId="1C7E29F6" w:rsidR="00E97182" w:rsidRDefault="00E97182" w:rsidP="00E97182">
      <w:pPr>
        <w:pStyle w:val="ToRNumberedPara"/>
        <w:rPr>
          <w:rFonts w:eastAsia="Times"/>
        </w:rPr>
      </w:pPr>
      <w:r w:rsidRPr="00AC4EB9">
        <w:rPr>
          <w:rFonts w:eastAsia="Times"/>
        </w:rPr>
        <w:t>In response to</w:t>
      </w:r>
      <w:r w:rsidR="00445365">
        <w:rPr>
          <w:rFonts w:eastAsia="Times"/>
        </w:rPr>
        <w:t xml:space="preserve"> a</w:t>
      </w:r>
      <w:r w:rsidRPr="00AC4EB9">
        <w:rPr>
          <w:rFonts w:eastAsia="Times"/>
        </w:rPr>
        <w:t xml:space="preserve"> referral under the EE Act from the proponent, the Minister for Planning </w:t>
      </w:r>
      <w:r w:rsidR="009C2C21" w:rsidRPr="00AC4EB9">
        <w:rPr>
          <w:rFonts w:eastAsia="Times"/>
        </w:rPr>
        <w:t xml:space="preserve">determined on </w:t>
      </w:r>
      <w:r w:rsidR="00F63B73">
        <w:rPr>
          <w:rFonts w:eastAsia="Times"/>
        </w:rPr>
        <w:t>1</w:t>
      </w:r>
      <w:r w:rsidR="00EA0848">
        <w:rPr>
          <w:rFonts w:eastAsia="Times"/>
        </w:rPr>
        <w:t>8</w:t>
      </w:r>
      <w:r w:rsidRPr="00AC4EB9">
        <w:rPr>
          <w:rFonts w:eastAsia="Times"/>
        </w:rPr>
        <w:t xml:space="preserve"> </w:t>
      </w:r>
      <w:r w:rsidR="00F63B73">
        <w:rPr>
          <w:rFonts w:eastAsia="Times"/>
        </w:rPr>
        <w:t>Decem</w:t>
      </w:r>
      <w:r w:rsidRPr="00AC4EB9">
        <w:rPr>
          <w:rFonts w:eastAsia="Times"/>
        </w:rPr>
        <w:t>ber 201</w:t>
      </w:r>
      <w:r w:rsidR="00F63B73">
        <w:rPr>
          <w:rFonts w:eastAsia="Times"/>
        </w:rPr>
        <w:t>6</w:t>
      </w:r>
      <w:r w:rsidRPr="00AC4EB9">
        <w:rPr>
          <w:rFonts w:eastAsia="Times"/>
        </w:rPr>
        <w:t xml:space="preserve"> that an EES is required for the project</w:t>
      </w:r>
      <w:r w:rsidR="009C2C21" w:rsidRPr="00AC4EB9">
        <w:rPr>
          <w:rFonts w:eastAsia="Times"/>
        </w:rPr>
        <w:t xml:space="preserve"> and issued his decision with p</w:t>
      </w:r>
      <w:r w:rsidRPr="00AC4EB9">
        <w:rPr>
          <w:rFonts w:eastAsia="Times"/>
        </w:rPr>
        <w:t xml:space="preserve">rocedures and requirements </w:t>
      </w:r>
      <w:r w:rsidR="009C2C21" w:rsidRPr="00AC4EB9">
        <w:rPr>
          <w:rFonts w:eastAsia="Times"/>
        </w:rPr>
        <w:t xml:space="preserve">for the preparation of the EES as </w:t>
      </w:r>
      <w:r w:rsidRPr="00AC4EB9">
        <w:rPr>
          <w:rFonts w:eastAsia="Times"/>
        </w:rPr>
        <w:t xml:space="preserve">specified in </w:t>
      </w:r>
      <w:r w:rsidRPr="00AC4EB9">
        <w:rPr>
          <w:rFonts w:eastAsia="Times"/>
          <w:b/>
        </w:rPr>
        <w:t>Attachment 1</w:t>
      </w:r>
      <w:r w:rsidRPr="00AC4EB9">
        <w:rPr>
          <w:rFonts w:eastAsia="Times"/>
        </w:rPr>
        <w:t>.</w:t>
      </w:r>
    </w:p>
    <w:p w14:paraId="16EA2110" w14:textId="5B02BB69" w:rsidR="00E97182" w:rsidRPr="00EC4873" w:rsidRDefault="00E97182" w:rsidP="00E97182">
      <w:pPr>
        <w:pStyle w:val="ToRNumberedPara"/>
        <w:rPr>
          <w:rFonts w:eastAsia="Times"/>
        </w:rPr>
      </w:pPr>
      <w:r w:rsidRPr="00E97182">
        <w:rPr>
          <w:rFonts w:eastAsia="Times"/>
        </w:rPr>
        <w:t xml:space="preserve">The EES has been prepared by the proponent in response to the EES scoping requirements issued by </w:t>
      </w:r>
      <w:r w:rsidRPr="00EC4873">
        <w:rPr>
          <w:rFonts w:eastAsia="Times"/>
        </w:rPr>
        <w:t xml:space="preserve">the Minister for Planning in </w:t>
      </w:r>
      <w:r w:rsidR="00F63B73">
        <w:rPr>
          <w:rFonts w:eastAsia="Times"/>
        </w:rPr>
        <w:t>April 2018</w:t>
      </w:r>
      <w:r w:rsidRPr="00EC4873">
        <w:rPr>
          <w:rFonts w:eastAsia="Times"/>
        </w:rPr>
        <w:t>.</w:t>
      </w:r>
    </w:p>
    <w:p w14:paraId="1BC709E1" w14:textId="741585F0" w:rsidR="00EA0848" w:rsidRDefault="00E97182" w:rsidP="00EA0848">
      <w:pPr>
        <w:pStyle w:val="ToRNumberedPara"/>
        <w:rPr>
          <w:rFonts w:eastAsia="Times"/>
        </w:rPr>
      </w:pPr>
      <w:r w:rsidRPr="001746D5">
        <w:rPr>
          <w:rFonts w:eastAsia="Times"/>
        </w:rPr>
        <w:t xml:space="preserve">The EES </w:t>
      </w:r>
      <w:r w:rsidR="00105386">
        <w:rPr>
          <w:rFonts w:eastAsia="Times"/>
        </w:rPr>
        <w:t>will</w:t>
      </w:r>
      <w:r w:rsidRPr="001746D5">
        <w:rPr>
          <w:rFonts w:eastAsia="Times"/>
        </w:rPr>
        <w:t xml:space="preserve"> be placed on public exhibition </w:t>
      </w:r>
      <w:r w:rsidR="00713964">
        <w:rPr>
          <w:rFonts w:eastAsia="Times"/>
        </w:rPr>
        <w:t>for forty (40) business days</w:t>
      </w:r>
      <w:r w:rsidRPr="001746D5">
        <w:rPr>
          <w:rFonts w:eastAsia="Times"/>
        </w:rPr>
        <w:t>, together with the WAA</w:t>
      </w:r>
      <w:r w:rsidR="00F63B73">
        <w:rPr>
          <w:rFonts w:eastAsia="Times"/>
        </w:rPr>
        <w:t xml:space="preserve"> and</w:t>
      </w:r>
      <w:r w:rsidRPr="001746D5">
        <w:rPr>
          <w:rFonts w:eastAsia="Times"/>
        </w:rPr>
        <w:t xml:space="preserve"> draft </w:t>
      </w:r>
      <w:r w:rsidRPr="006A4188">
        <w:rPr>
          <w:rFonts w:eastAsia="Times"/>
        </w:rPr>
        <w:t xml:space="preserve">PSA. </w:t>
      </w:r>
      <w:r w:rsidR="00105386">
        <w:rPr>
          <w:rFonts w:eastAsia="Times"/>
        </w:rPr>
        <w:t xml:space="preserve"> </w:t>
      </w:r>
      <w:r w:rsidR="00735662">
        <w:rPr>
          <w:rFonts w:eastAsia="Times"/>
        </w:rPr>
        <w:t>DELWP will be responsible for giving notice.</w:t>
      </w:r>
    </w:p>
    <w:p w14:paraId="67932A98" w14:textId="6BDD16F8" w:rsidR="00B03D2C" w:rsidRPr="00EA0848" w:rsidRDefault="00B03D2C" w:rsidP="00EA0848">
      <w:pPr>
        <w:pStyle w:val="ToRNumberedPara"/>
        <w:rPr>
          <w:rFonts w:eastAsia="Times"/>
        </w:rPr>
      </w:pPr>
      <w:r w:rsidRPr="00EA0848">
        <w:rPr>
          <w:rFonts w:eastAsia="Times"/>
        </w:rPr>
        <w:t>DELWP must liaise with</w:t>
      </w:r>
      <w:r w:rsidR="00A76AC4" w:rsidRPr="00EA0848">
        <w:rPr>
          <w:rFonts w:eastAsia="Times"/>
        </w:rPr>
        <w:t xml:space="preserve"> </w:t>
      </w:r>
      <w:r w:rsidR="00105386" w:rsidRPr="00EA0848">
        <w:rPr>
          <w:rFonts w:eastAsia="Times"/>
        </w:rPr>
        <w:t>the office of Planning Panels Victoria</w:t>
      </w:r>
      <w:r w:rsidRPr="00EA0848">
        <w:rPr>
          <w:rFonts w:eastAsia="Times"/>
        </w:rPr>
        <w:t xml:space="preserve"> </w:t>
      </w:r>
      <w:r w:rsidR="00FA23F8" w:rsidRPr="00EA0848">
        <w:rPr>
          <w:rFonts w:eastAsia="Times"/>
        </w:rPr>
        <w:t xml:space="preserve">(PPV) </w:t>
      </w:r>
      <w:r w:rsidRPr="00EA0848">
        <w:rPr>
          <w:rFonts w:eastAsia="Times"/>
        </w:rPr>
        <w:t xml:space="preserve">to agree on the Directions Hearing and Hearing dates, </w:t>
      </w:r>
      <w:r w:rsidR="00105386" w:rsidRPr="00EA0848">
        <w:rPr>
          <w:rFonts w:eastAsia="Times"/>
        </w:rPr>
        <w:t>which</w:t>
      </w:r>
      <w:r w:rsidRPr="00EA0848">
        <w:rPr>
          <w:rFonts w:eastAsia="Times"/>
        </w:rPr>
        <w:t xml:space="preserve"> are to be included on all notices.</w:t>
      </w:r>
    </w:p>
    <w:p w14:paraId="5EF44549" w14:textId="0307B97B" w:rsidR="00B11063" w:rsidRPr="00B969EF" w:rsidRDefault="00B11063" w:rsidP="005572CB">
      <w:pPr>
        <w:pStyle w:val="Parah0number"/>
        <w:tabs>
          <w:tab w:val="clear" w:pos="357"/>
          <w:tab w:val="left" w:pos="1080"/>
        </w:tabs>
        <w:spacing w:before="120" w:after="120"/>
        <w:ind w:left="0" w:firstLine="0"/>
        <w:jc w:val="both"/>
        <w:rPr>
          <w:rFonts w:asciiTheme="minorHAnsi" w:hAnsiTheme="minorHAnsi" w:cstheme="minorHAnsi"/>
          <w:b/>
          <w:i/>
          <w:sz w:val="24"/>
          <w:szCs w:val="24"/>
        </w:rPr>
      </w:pPr>
      <w:r w:rsidRPr="00B969EF">
        <w:rPr>
          <w:rFonts w:asciiTheme="minorHAnsi" w:hAnsiTheme="minorHAnsi" w:cstheme="minorHAnsi"/>
          <w:b/>
          <w:i/>
          <w:sz w:val="24"/>
          <w:szCs w:val="24"/>
        </w:rPr>
        <w:t>Commonwealth assessment process</w:t>
      </w:r>
    </w:p>
    <w:p w14:paraId="7E6E4015" w14:textId="71E7873A" w:rsidR="00163EEE" w:rsidRPr="00163EEE" w:rsidRDefault="00163EEE" w:rsidP="00163EEE">
      <w:pPr>
        <w:pStyle w:val="ToRNumberedPara"/>
        <w:rPr>
          <w:rFonts w:eastAsia="Times"/>
        </w:rPr>
      </w:pPr>
      <w:r w:rsidRPr="00163EEE">
        <w:rPr>
          <w:rFonts w:eastAsia="Times"/>
        </w:rPr>
        <w:t xml:space="preserve">Because of its potential impacts on matters of national environmental significance, the project was determined to be a controlled action for the purposes of the </w:t>
      </w:r>
      <w:r w:rsidRPr="00163EEE">
        <w:rPr>
          <w:rFonts w:eastAsia="Times"/>
          <w:i/>
        </w:rPr>
        <w:t>Environment Protection and Biodiversity Conservation Act 1999</w:t>
      </w:r>
      <w:r w:rsidRPr="00163EEE">
        <w:rPr>
          <w:rFonts w:eastAsia="Times"/>
        </w:rPr>
        <w:t xml:space="preserve"> (</w:t>
      </w:r>
      <w:proofErr w:type="spellStart"/>
      <w:r w:rsidRPr="00163EEE">
        <w:rPr>
          <w:rFonts w:eastAsia="Times"/>
        </w:rPr>
        <w:t>Cth</w:t>
      </w:r>
      <w:proofErr w:type="spellEnd"/>
      <w:r w:rsidRPr="00163EEE">
        <w:rPr>
          <w:rFonts w:eastAsia="Times"/>
        </w:rPr>
        <w:t xml:space="preserve">) (EPBC Act) on </w:t>
      </w:r>
      <w:r w:rsidR="00F63B73">
        <w:rPr>
          <w:rFonts w:eastAsia="Times"/>
        </w:rPr>
        <w:t>6 July 2017</w:t>
      </w:r>
      <w:r w:rsidR="00445365">
        <w:rPr>
          <w:rFonts w:eastAsia="Times"/>
        </w:rPr>
        <w:t xml:space="preserve">. </w:t>
      </w:r>
      <w:r w:rsidRPr="00163EEE">
        <w:rPr>
          <w:rFonts w:eastAsia="Times"/>
        </w:rPr>
        <w:t xml:space="preserve"> The relevant controlling provisions under the EPBC Act relate to </w:t>
      </w:r>
      <w:r w:rsidR="00F63B73">
        <w:rPr>
          <w:rFonts w:eastAsia="Times"/>
        </w:rPr>
        <w:t xml:space="preserve">Ramsar wetlands (sections 16 and 17B); </w:t>
      </w:r>
      <w:r w:rsidRPr="00163EEE">
        <w:rPr>
          <w:rFonts w:eastAsia="Times"/>
        </w:rPr>
        <w:t xml:space="preserve">listed threatened species and communities </w:t>
      </w:r>
      <w:r w:rsidRPr="00163EEE">
        <w:rPr>
          <w:rFonts w:eastAsia="Times"/>
        </w:rPr>
        <w:lastRenderedPageBreak/>
        <w:t>(sections 18 and 18A)</w:t>
      </w:r>
      <w:r w:rsidR="00F63B73">
        <w:rPr>
          <w:rFonts w:eastAsia="Times"/>
        </w:rPr>
        <w:t>;</w:t>
      </w:r>
      <w:r w:rsidRPr="00163EEE">
        <w:rPr>
          <w:rFonts w:eastAsia="Times"/>
        </w:rPr>
        <w:t xml:space="preserve"> listed migratory species (sections 20 and 20A)</w:t>
      </w:r>
      <w:r w:rsidR="00F63B73">
        <w:rPr>
          <w:rFonts w:eastAsia="Times"/>
        </w:rPr>
        <w:t>; and nuclear actions (section 21 and 22A)</w:t>
      </w:r>
      <w:r w:rsidRPr="00163EEE">
        <w:rPr>
          <w:rFonts w:eastAsia="Times"/>
        </w:rPr>
        <w:t xml:space="preserve">.  </w:t>
      </w:r>
    </w:p>
    <w:p w14:paraId="669D52F2" w14:textId="5DE9CE8C" w:rsidR="00163EEE" w:rsidRPr="00163EEE" w:rsidRDefault="00163EEE" w:rsidP="00163EEE">
      <w:pPr>
        <w:pStyle w:val="ToRNumberedPara"/>
        <w:rPr>
          <w:rFonts w:eastAsia="Times"/>
        </w:rPr>
      </w:pPr>
      <w:r w:rsidRPr="00163EEE">
        <w:rPr>
          <w:rFonts w:eastAsia="Times"/>
        </w:rPr>
        <w:t xml:space="preserve">Under the bilateral agreement between the Australian and Victorian </w:t>
      </w:r>
      <w:r w:rsidR="00C526FE" w:rsidRPr="00163EEE">
        <w:rPr>
          <w:rFonts w:eastAsia="Times"/>
        </w:rPr>
        <w:t>Governments</w:t>
      </w:r>
      <w:r w:rsidRPr="00163EEE">
        <w:rPr>
          <w:rFonts w:eastAsia="Times"/>
        </w:rPr>
        <w:t xml:space="preserve">, the Victorian EES </w:t>
      </w:r>
      <w:r w:rsidRPr="00811347">
        <w:rPr>
          <w:rFonts w:eastAsia="Times"/>
        </w:rPr>
        <w:t>process</w:t>
      </w:r>
      <w:r w:rsidRPr="00163EEE">
        <w:rPr>
          <w:rFonts w:eastAsia="Times"/>
        </w:rPr>
        <w:t xml:space="preserve"> is serving as the accredited process for the assessment purposes of the EPBC Act.  The assessment of environmental effects to be made by the Victorian Minister for Planning will be provided to </w:t>
      </w:r>
      <w:r w:rsidRPr="00811347">
        <w:rPr>
          <w:rFonts w:eastAsia="Times"/>
        </w:rPr>
        <w:t>the Commonwealth Minister for the Environment to inform the approval</w:t>
      </w:r>
      <w:r w:rsidR="00F63B73">
        <w:rPr>
          <w:rFonts w:eastAsia="Times"/>
        </w:rPr>
        <w:t>s</w:t>
      </w:r>
      <w:r w:rsidRPr="00811347">
        <w:rPr>
          <w:rFonts w:eastAsia="Times"/>
        </w:rPr>
        <w:t xml:space="preserve"> decision under the EPBC Act.</w:t>
      </w:r>
      <w:r w:rsidRPr="00163EEE">
        <w:rPr>
          <w:rFonts w:eastAsia="Times"/>
        </w:rPr>
        <w:t xml:space="preserve"> </w:t>
      </w:r>
      <w:r w:rsidR="00445365">
        <w:rPr>
          <w:rFonts w:eastAsia="Times"/>
        </w:rPr>
        <w:t xml:space="preserve"> </w:t>
      </w:r>
      <w:r w:rsidR="00AF49E3">
        <w:rPr>
          <w:rFonts w:eastAsia="Times"/>
        </w:rPr>
        <w:t>T</w:t>
      </w:r>
      <w:r w:rsidRPr="00163EEE">
        <w:rPr>
          <w:rFonts w:eastAsia="Times"/>
        </w:rPr>
        <w:t xml:space="preserve">o assist the Minister in making his assessment, the IAC should specifically identify its advice relevant to matters of national environmental significance that may be affected respectively by the project. </w:t>
      </w:r>
    </w:p>
    <w:p w14:paraId="5A9B6871" w14:textId="498B4C6E" w:rsidR="00B11063" w:rsidRDefault="00B11063" w:rsidP="00B11063">
      <w:pPr>
        <w:pStyle w:val="Parah0number"/>
        <w:tabs>
          <w:tab w:val="clear" w:pos="357"/>
          <w:tab w:val="left" w:pos="1080"/>
        </w:tabs>
        <w:spacing w:before="120" w:after="120"/>
        <w:ind w:left="0" w:firstLine="0"/>
        <w:jc w:val="both"/>
        <w:rPr>
          <w:rFonts w:asciiTheme="minorHAnsi" w:hAnsiTheme="minorHAnsi" w:cstheme="minorHAnsi"/>
          <w:b/>
          <w:i/>
          <w:sz w:val="24"/>
          <w:szCs w:val="24"/>
        </w:rPr>
      </w:pPr>
      <w:r w:rsidRPr="00BE3818">
        <w:rPr>
          <w:rFonts w:asciiTheme="minorHAnsi" w:hAnsiTheme="minorHAnsi" w:cstheme="minorHAnsi"/>
          <w:b/>
          <w:i/>
          <w:sz w:val="24"/>
          <w:szCs w:val="24"/>
        </w:rPr>
        <w:t>Planning approval process</w:t>
      </w:r>
    </w:p>
    <w:p w14:paraId="1395E9C8" w14:textId="30A41D91" w:rsidR="00542FAF" w:rsidRPr="005572CB" w:rsidRDefault="00542FAF" w:rsidP="00542FAF">
      <w:pPr>
        <w:pStyle w:val="ToRNumberedPara"/>
        <w:rPr>
          <w:rFonts w:eastAsia="Times"/>
        </w:rPr>
      </w:pPr>
      <w:r w:rsidRPr="005572CB">
        <w:rPr>
          <w:rFonts w:eastAsia="Times"/>
        </w:rPr>
        <w:t xml:space="preserve">The IAC is to consider and provide advice on draft </w:t>
      </w:r>
      <w:r w:rsidRPr="006A4188">
        <w:rPr>
          <w:rFonts w:eastAsia="Times"/>
        </w:rPr>
        <w:t>PSA</w:t>
      </w:r>
      <w:r w:rsidR="008C3EA5" w:rsidRPr="006A4188">
        <w:rPr>
          <w:rFonts w:eastAsia="Times"/>
        </w:rPr>
        <w:t xml:space="preserve"> C</w:t>
      </w:r>
      <w:r w:rsidR="006A4188" w:rsidRPr="006A4188">
        <w:rPr>
          <w:rFonts w:eastAsia="Times"/>
        </w:rPr>
        <w:t>156egip</w:t>
      </w:r>
      <w:r w:rsidRPr="006A4188">
        <w:rPr>
          <w:rFonts w:eastAsia="Times"/>
        </w:rPr>
        <w:t xml:space="preserve"> </w:t>
      </w:r>
      <w:r w:rsidR="006717B6" w:rsidRPr="006A4188">
        <w:rPr>
          <w:rFonts w:eastAsia="Times"/>
        </w:rPr>
        <w:t>that</w:t>
      </w:r>
      <w:r w:rsidR="006717B6" w:rsidRPr="005572CB">
        <w:rPr>
          <w:rFonts w:eastAsia="Times"/>
        </w:rPr>
        <w:t xml:space="preserve"> </w:t>
      </w:r>
      <w:r w:rsidRPr="005572CB">
        <w:rPr>
          <w:rFonts w:eastAsia="Times"/>
        </w:rPr>
        <w:t xml:space="preserve">proposes planning controls and provisions for the </w:t>
      </w:r>
      <w:r w:rsidR="006A4188">
        <w:rPr>
          <w:rFonts w:eastAsia="Times"/>
        </w:rPr>
        <w:t>various works and activities outside of the mining licence area</w:t>
      </w:r>
      <w:r w:rsidR="00680DA1" w:rsidRPr="005572CB">
        <w:rPr>
          <w:rFonts w:eastAsia="Times"/>
        </w:rPr>
        <w:t xml:space="preserve">. </w:t>
      </w:r>
      <w:r w:rsidRPr="005572CB">
        <w:rPr>
          <w:rFonts w:eastAsia="Times"/>
        </w:rPr>
        <w:t xml:space="preserve"> </w:t>
      </w:r>
      <w:r w:rsidR="00B90C0C" w:rsidRPr="005572CB">
        <w:rPr>
          <w:rFonts w:eastAsia="Times"/>
        </w:rPr>
        <w:t xml:space="preserve">The PSA, </w:t>
      </w:r>
      <w:r w:rsidRPr="005572CB">
        <w:rPr>
          <w:rFonts w:eastAsia="Times"/>
        </w:rPr>
        <w:t xml:space="preserve">in conjunction with other required approvals will regulate the use and development of the project in accordance with an incorporated document which is proposed to be included in </w:t>
      </w:r>
      <w:r w:rsidRPr="006A4188">
        <w:rPr>
          <w:rFonts w:eastAsia="Times"/>
        </w:rPr>
        <w:t xml:space="preserve">the </w:t>
      </w:r>
      <w:r w:rsidR="006A4188" w:rsidRPr="006A4188">
        <w:rPr>
          <w:rFonts w:eastAsia="Times"/>
        </w:rPr>
        <w:t>East Gippsland</w:t>
      </w:r>
      <w:r w:rsidRPr="006A4188">
        <w:rPr>
          <w:rFonts w:eastAsia="Times"/>
        </w:rPr>
        <w:t xml:space="preserve"> Planning Scheme.</w:t>
      </w:r>
      <w:r w:rsidRPr="005572CB">
        <w:rPr>
          <w:rFonts w:eastAsia="Times"/>
        </w:rPr>
        <w:t xml:space="preserve"> </w:t>
      </w:r>
    </w:p>
    <w:p w14:paraId="425F447B" w14:textId="5DF999A6" w:rsidR="00B11063" w:rsidRDefault="00B11063" w:rsidP="00B11063">
      <w:pPr>
        <w:pStyle w:val="Heading4"/>
        <w:spacing w:before="120" w:after="120"/>
        <w:rPr>
          <w:rFonts w:asciiTheme="minorHAnsi" w:eastAsia="Times New Roman" w:hAnsiTheme="minorHAnsi" w:cstheme="minorHAnsi"/>
          <w:b/>
          <w:iCs w:val="0"/>
          <w:color w:val="auto"/>
          <w:sz w:val="24"/>
          <w:szCs w:val="24"/>
          <w:lang w:eastAsia="en-US"/>
        </w:rPr>
      </w:pPr>
      <w:r w:rsidRPr="00F17AB3">
        <w:rPr>
          <w:rFonts w:asciiTheme="minorHAnsi" w:eastAsia="Times New Roman" w:hAnsiTheme="minorHAnsi" w:cstheme="minorHAnsi"/>
          <w:b/>
          <w:iCs w:val="0"/>
          <w:color w:val="auto"/>
          <w:sz w:val="24"/>
          <w:szCs w:val="24"/>
          <w:lang w:eastAsia="en-US"/>
        </w:rPr>
        <w:t>Works approval process</w:t>
      </w:r>
    </w:p>
    <w:p w14:paraId="1673E127" w14:textId="0BE9B2B4" w:rsidR="00C5606A" w:rsidRPr="00C5606A" w:rsidRDefault="00C5606A" w:rsidP="00C5606A">
      <w:pPr>
        <w:pStyle w:val="ToRNumberedPara"/>
        <w:rPr>
          <w:rFonts w:eastAsia="Times"/>
        </w:rPr>
      </w:pPr>
      <w:r w:rsidRPr="00C5606A">
        <w:rPr>
          <w:rFonts w:eastAsia="Times"/>
        </w:rPr>
        <w:t xml:space="preserve">A WAA for the project has been prepared in accordance with the provisions of the </w:t>
      </w:r>
      <w:r w:rsidRPr="004D75E5">
        <w:rPr>
          <w:rFonts w:eastAsia="Times"/>
          <w:i/>
        </w:rPr>
        <w:t xml:space="preserve">Environment Protection Act 1970 </w:t>
      </w:r>
      <w:r w:rsidRPr="00C5606A">
        <w:rPr>
          <w:rFonts w:eastAsia="Times"/>
        </w:rPr>
        <w:t>(EP Act).</w:t>
      </w:r>
      <w:r w:rsidR="00C6767C">
        <w:rPr>
          <w:rFonts w:eastAsia="Times"/>
        </w:rPr>
        <w:t xml:space="preserve"> </w:t>
      </w:r>
      <w:r w:rsidRPr="00C5606A">
        <w:rPr>
          <w:rFonts w:eastAsia="Times"/>
        </w:rPr>
        <w:t xml:space="preserve"> The works approval application will be jointly advertised with the EES, in accordance with section 20AA of the EP Act.</w:t>
      </w:r>
    </w:p>
    <w:p w14:paraId="76914724" w14:textId="304D51B7" w:rsidR="00C5606A" w:rsidRPr="00C5606A" w:rsidRDefault="00C5606A" w:rsidP="00C5606A">
      <w:pPr>
        <w:pStyle w:val="ToRNumberedPara"/>
        <w:rPr>
          <w:rFonts w:eastAsia="Times"/>
        </w:rPr>
      </w:pPr>
      <w:r w:rsidRPr="00C5606A">
        <w:rPr>
          <w:rFonts w:eastAsia="Times"/>
        </w:rPr>
        <w:t xml:space="preserve">Section 19B(3)(b) of the EP Act provides that: </w:t>
      </w:r>
      <w:r w:rsidRPr="004D75E5">
        <w:rPr>
          <w:rFonts w:eastAsia="Times"/>
          <w:i/>
        </w:rPr>
        <w:t>if an application for a works approval is to be jointly advertised under section 20AA with a notice relating to the same proposal under the Environment Effects Act 1978… comments by any person or body interested in the application must be made as a submission on the environment effects statement or be included in any submission on the environment effects statement</w:t>
      </w:r>
      <w:r w:rsidRPr="009F7E58">
        <w:rPr>
          <w:rFonts w:eastAsia="Times"/>
          <w:iCs/>
        </w:rPr>
        <w:t xml:space="preserve">. </w:t>
      </w:r>
      <w:r w:rsidR="00260D63" w:rsidRPr="009F7E58">
        <w:rPr>
          <w:rFonts w:eastAsia="Times"/>
          <w:iCs/>
        </w:rPr>
        <w:t xml:space="preserve"> </w:t>
      </w:r>
      <w:r w:rsidRPr="00C5606A">
        <w:rPr>
          <w:rFonts w:eastAsia="Times"/>
        </w:rPr>
        <w:t xml:space="preserve">In addition, the </w:t>
      </w:r>
      <w:r w:rsidR="00FA23F8">
        <w:rPr>
          <w:rFonts w:eastAsia="Times"/>
        </w:rPr>
        <w:t>EPA</w:t>
      </w:r>
      <w:r w:rsidRPr="00C5606A">
        <w:rPr>
          <w:rFonts w:eastAsia="Times"/>
        </w:rPr>
        <w:t xml:space="preserve"> can no longer decide under section 19</w:t>
      </w:r>
      <w:proofErr w:type="gramStart"/>
      <w:r w:rsidRPr="00C5606A">
        <w:rPr>
          <w:rFonts w:eastAsia="Times"/>
        </w:rPr>
        <w:t>B(</w:t>
      </w:r>
      <w:proofErr w:type="gramEnd"/>
      <w:r w:rsidRPr="00C5606A">
        <w:rPr>
          <w:rFonts w:eastAsia="Times"/>
        </w:rPr>
        <w:t xml:space="preserve">6) to hold a section 20B conference. </w:t>
      </w:r>
    </w:p>
    <w:p w14:paraId="3E633633" w14:textId="1D601E61" w:rsidR="00C5606A" w:rsidRPr="00C5606A" w:rsidRDefault="00C5606A" w:rsidP="00C5606A">
      <w:pPr>
        <w:pStyle w:val="ToRNumberedPara"/>
        <w:rPr>
          <w:rFonts w:eastAsia="Times"/>
        </w:rPr>
      </w:pPr>
      <w:r w:rsidRPr="00C5606A">
        <w:rPr>
          <w:rFonts w:eastAsia="Times"/>
        </w:rPr>
        <w:t xml:space="preserve">The IAC is to provide advice that can be used to inform the </w:t>
      </w:r>
      <w:r w:rsidR="00105386">
        <w:rPr>
          <w:rFonts w:eastAsia="Times"/>
        </w:rPr>
        <w:t>EPA</w:t>
      </w:r>
      <w:r w:rsidR="00FA23F8">
        <w:rPr>
          <w:rFonts w:eastAsia="Times"/>
        </w:rPr>
        <w:t>’s</w:t>
      </w:r>
      <w:r w:rsidRPr="00C5606A">
        <w:rPr>
          <w:rFonts w:eastAsia="Times"/>
        </w:rPr>
        <w:t xml:space="preserve"> consideration of the WAA prepared by the proponent. </w:t>
      </w:r>
      <w:r w:rsidR="00013223">
        <w:rPr>
          <w:rFonts w:eastAsia="Times"/>
        </w:rPr>
        <w:t xml:space="preserve"> </w:t>
      </w:r>
      <w:r w:rsidRPr="00C5606A">
        <w:rPr>
          <w:rFonts w:eastAsia="Times"/>
        </w:rPr>
        <w:t xml:space="preserve">The IAC may request any further information from the proponent that it considers necessary to assist it to provide that advice. </w:t>
      </w:r>
      <w:r w:rsidR="00013223">
        <w:rPr>
          <w:rFonts w:eastAsia="Times"/>
        </w:rPr>
        <w:t xml:space="preserve"> </w:t>
      </w:r>
      <w:r w:rsidRPr="00C5606A">
        <w:rPr>
          <w:rFonts w:eastAsia="Times"/>
        </w:rPr>
        <w:t>The advice should recommend avoidance, mitigation or management measures that the IAC considers are necessary to ensure compliance with any relevant legislation and/or policy.</w:t>
      </w:r>
    </w:p>
    <w:p w14:paraId="01D30A83" w14:textId="73A35906" w:rsidR="00C5606A" w:rsidRDefault="00C5606A" w:rsidP="00C5606A">
      <w:pPr>
        <w:pStyle w:val="Heading4"/>
        <w:spacing w:before="120" w:after="120"/>
        <w:rPr>
          <w:rFonts w:asciiTheme="minorHAnsi" w:eastAsia="Times New Roman" w:hAnsiTheme="minorHAnsi" w:cstheme="minorHAnsi"/>
          <w:b/>
          <w:iCs w:val="0"/>
          <w:color w:val="auto"/>
          <w:sz w:val="24"/>
          <w:szCs w:val="24"/>
          <w:lang w:eastAsia="en-US"/>
        </w:rPr>
      </w:pPr>
      <w:r w:rsidRPr="00C5606A">
        <w:rPr>
          <w:rFonts w:asciiTheme="minorHAnsi" w:eastAsia="Times New Roman" w:hAnsiTheme="minorHAnsi" w:cstheme="minorHAnsi"/>
          <w:b/>
          <w:iCs w:val="0"/>
          <w:color w:val="auto"/>
          <w:sz w:val="24"/>
          <w:szCs w:val="24"/>
          <w:lang w:eastAsia="en-US"/>
        </w:rPr>
        <w:t>Other approvals</w:t>
      </w:r>
    </w:p>
    <w:p w14:paraId="55E257A4" w14:textId="646565AC" w:rsidR="00E3337F" w:rsidRPr="00E3337F" w:rsidRDefault="00E3337F" w:rsidP="009F3581">
      <w:pPr>
        <w:pStyle w:val="ToRNumberedPara"/>
        <w:spacing w:after="0"/>
        <w:rPr>
          <w:rFonts w:eastAsia="Times"/>
        </w:rPr>
      </w:pPr>
      <w:r w:rsidRPr="00E3337F">
        <w:rPr>
          <w:rFonts w:eastAsia="Times"/>
        </w:rPr>
        <w:t xml:space="preserve">The </w:t>
      </w:r>
      <w:r w:rsidR="008D201A" w:rsidRPr="00E3337F">
        <w:rPr>
          <w:rFonts w:eastAsia="Times"/>
        </w:rPr>
        <w:t xml:space="preserve">project </w:t>
      </w:r>
      <w:r w:rsidRPr="00E3337F">
        <w:rPr>
          <w:rFonts w:eastAsia="Times"/>
        </w:rPr>
        <w:t>may require several other statutory approvals and/or consents, as outlined in the EES, includ</w:t>
      </w:r>
      <w:r w:rsidR="00986CBA">
        <w:rPr>
          <w:rFonts w:eastAsia="Times"/>
        </w:rPr>
        <w:t>ing</w:t>
      </w:r>
      <w:r w:rsidRPr="00E3337F">
        <w:rPr>
          <w:rFonts w:eastAsia="Times"/>
        </w:rPr>
        <w:t>:</w:t>
      </w:r>
    </w:p>
    <w:p w14:paraId="2609F441" w14:textId="18BBB87B" w:rsidR="007A7D47" w:rsidRDefault="007A7D47" w:rsidP="00DC19F6">
      <w:pPr>
        <w:pStyle w:val="ToRAlphaPara"/>
      </w:pPr>
      <w:r>
        <w:t xml:space="preserve">a mining licence and approved work plan under the </w:t>
      </w:r>
      <w:r w:rsidRPr="008D201A">
        <w:rPr>
          <w:i/>
          <w:iCs/>
        </w:rPr>
        <w:t>Mineral Resources (Sustainable Development) Act 1990</w:t>
      </w:r>
      <w:r w:rsidR="00B40E7D" w:rsidRPr="008D201A">
        <w:rPr>
          <w:i/>
          <w:iCs/>
        </w:rPr>
        <w:t xml:space="preserve"> </w:t>
      </w:r>
      <w:r w:rsidR="00B40E7D">
        <w:t>(MRSD Act)</w:t>
      </w:r>
      <w:r>
        <w:t>;</w:t>
      </w:r>
    </w:p>
    <w:p w14:paraId="0B0C25DC" w14:textId="257BD380" w:rsidR="007A7D47" w:rsidRDefault="007A7D47" w:rsidP="00F400BC">
      <w:pPr>
        <w:pStyle w:val="ToRAlphaPara"/>
      </w:pPr>
      <w:r>
        <w:t>approval under the EPBC Act;</w:t>
      </w:r>
    </w:p>
    <w:p w14:paraId="7D435D04" w14:textId="51CE412A" w:rsidR="005C508D" w:rsidRDefault="00E3337F" w:rsidP="001815E0">
      <w:pPr>
        <w:pStyle w:val="ToRAlphaPara"/>
      </w:pPr>
      <w:r w:rsidRPr="00FA7656">
        <w:t xml:space="preserve">approved </w:t>
      </w:r>
      <w:r w:rsidR="0025153D">
        <w:t>C</w:t>
      </w:r>
      <w:r w:rsidR="00013223" w:rsidRPr="00FA7656">
        <w:t xml:space="preserve">ultural </w:t>
      </w:r>
      <w:r w:rsidR="0025153D">
        <w:t>H</w:t>
      </w:r>
      <w:r w:rsidR="00013223" w:rsidRPr="00FA7656">
        <w:t xml:space="preserve">eritage </w:t>
      </w:r>
      <w:r w:rsidR="0025153D">
        <w:t>M</w:t>
      </w:r>
      <w:r w:rsidR="00013223" w:rsidRPr="00FA7656">
        <w:t xml:space="preserve">anagement </w:t>
      </w:r>
      <w:r w:rsidR="0025153D">
        <w:t>P</w:t>
      </w:r>
      <w:r w:rsidR="00013223" w:rsidRPr="00FA7656">
        <w:t>lan</w:t>
      </w:r>
      <w:r w:rsidR="00013223">
        <w:t>s</w:t>
      </w:r>
      <w:r w:rsidR="00013223" w:rsidRPr="00FA7656">
        <w:t xml:space="preserve"> </w:t>
      </w:r>
      <w:r w:rsidRPr="00FA7656">
        <w:t xml:space="preserve">under the </w:t>
      </w:r>
      <w:r w:rsidRPr="00F55EE6">
        <w:rPr>
          <w:i/>
        </w:rPr>
        <w:t xml:space="preserve">Aboriginal Heritage Act 2006 </w:t>
      </w:r>
      <w:r w:rsidRPr="00FA7656">
        <w:t xml:space="preserve">to manage works in areas of cultural heritage sensitivity; </w:t>
      </w:r>
    </w:p>
    <w:p w14:paraId="400C04E0" w14:textId="1872B7F6" w:rsidR="007A7D47" w:rsidRDefault="007A7D47" w:rsidP="000138EA">
      <w:pPr>
        <w:pStyle w:val="ToRAlphaPara"/>
      </w:pPr>
      <w:r>
        <w:t xml:space="preserve">approvals under the </w:t>
      </w:r>
      <w:r w:rsidRPr="00E366A1">
        <w:rPr>
          <w:i/>
          <w:iCs/>
        </w:rPr>
        <w:t>Water Act 1989</w:t>
      </w:r>
      <w:r>
        <w:t xml:space="preserve"> for extraction of surface and/or groundwater;</w:t>
      </w:r>
    </w:p>
    <w:p w14:paraId="0408246C" w14:textId="41A2F0B5" w:rsidR="007A7D47" w:rsidRPr="00FA7656" w:rsidRDefault="007A7D47" w:rsidP="000138EA">
      <w:pPr>
        <w:pStyle w:val="ToRAlphaPara"/>
      </w:pPr>
      <w:r>
        <w:t xml:space="preserve">approvals under the </w:t>
      </w:r>
      <w:r w:rsidRPr="008875CF">
        <w:rPr>
          <w:i/>
          <w:iCs/>
        </w:rPr>
        <w:t>Radiation Act 2005</w:t>
      </w:r>
    </w:p>
    <w:p w14:paraId="00AFC6C4" w14:textId="77777777" w:rsidR="00E3337F" w:rsidRPr="00416971" w:rsidRDefault="00E3337F" w:rsidP="00514928">
      <w:pPr>
        <w:pStyle w:val="ToRAlphaPara"/>
      </w:pPr>
      <w:r w:rsidRPr="00416971">
        <w:t xml:space="preserve">a permit to remove listed flora and fauna under the </w:t>
      </w:r>
      <w:r w:rsidRPr="00F55EE6">
        <w:rPr>
          <w:i/>
        </w:rPr>
        <w:t>Flora and Fauna Guarantee Act 1988</w:t>
      </w:r>
      <w:r w:rsidRPr="00416971">
        <w:t>;</w:t>
      </w:r>
    </w:p>
    <w:p w14:paraId="7268F7C2" w14:textId="77777777" w:rsidR="00E3337F" w:rsidRPr="00416971" w:rsidRDefault="00E3337F" w:rsidP="002B3804">
      <w:pPr>
        <w:pStyle w:val="ToRAlphaPara"/>
      </w:pPr>
      <w:r w:rsidRPr="00416971">
        <w:t xml:space="preserve">an authority to take or disturb wildlife under the </w:t>
      </w:r>
      <w:r w:rsidRPr="00F55EE6">
        <w:rPr>
          <w:i/>
        </w:rPr>
        <w:t>Wildlife Act 1975</w:t>
      </w:r>
      <w:r w:rsidRPr="00416971">
        <w:t>;</w:t>
      </w:r>
      <w:r>
        <w:t xml:space="preserve"> and</w:t>
      </w:r>
    </w:p>
    <w:p w14:paraId="3FF5D446" w14:textId="26ADF4AF" w:rsidR="00E3337F" w:rsidRDefault="00E3337F" w:rsidP="00521F31">
      <w:pPr>
        <w:pStyle w:val="ToRAlphaPara"/>
      </w:pPr>
      <w:r w:rsidRPr="00416971">
        <w:t xml:space="preserve">consents for works on, over or under waterways under the </w:t>
      </w:r>
      <w:r w:rsidRPr="00F55EE6">
        <w:rPr>
          <w:i/>
        </w:rPr>
        <w:t>Water Act 1989</w:t>
      </w:r>
      <w:r w:rsidRPr="00416971">
        <w:t>.</w:t>
      </w:r>
    </w:p>
    <w:p w14:paraId="1E493ED5" w14:textId="717F1430" w:rsidR="009834FB" w:rsidRPr="00442AB6" w:rsidRDefault="009834FB" w:rsidP="001913F7">
      <w:pPr>
        <w:pStyle w:val="ToRHeading"/>
      </w:pPr>
      <w:r w:rsidRPr="00442AB6">
        <w:lastRenderedPageBreak/>
        <w:t xml:space="preserve">Process </w:t>
      </w:r>
    </w:p>
    <w:p w14:paraId="57EFD4FD" w14:textId="6231263D" w:rsidR="00695215" w:rsidRPr="0098551C" w:rsidRDefault="009834FB" w:rsidP="001913F7">
      <w:pPr>
        <w:pStyle w:val="ToRHeading"/>
      </w:pPr>
      <w:r w:rsidRPr="0098551C">
        <w:t xml:space="preserve">Stage 1 </w:t>
      </w:r>
      <w:r w:rsidR="00476324">
        <w:t>–</w:t>
      </w:r>
      <w:r w:rsidRPr="0098551C">
        <w:t xml:space="preserve"> </w:t>
      </w:r>
      <w:r w:rsidR="00D33A55" w:rsidRPr="0098551C">
        <w:t>Submissions</w:t>
      </w:r>
    </w:p>
    <w:p w14:paraId="2DF2F9CF" w14:textId="22F80C7D" w:rsidR="00EE6235" w:rsidRPr="008453E5" w:rsidRDefault="003732D5" w:rsidP="00EE6235">
      <w:pPr>
        <w:pStyle w:val="ToRNumberedPara"/>
        <w:rPr>
          <w:rFonts w:eastAsia="Times"/>
        </w:rPr>
      </w:pPr>
      <w:r w:rsidRPr="0098551C">
        <w:rPr>
          <w:rFonts w:eastAsia="Times"/>
        </w:rPr>
        <w:t>S</w:t>
      </w:r>
      <w:r w:rsidR="00EE6235" w:rsidRPr="0098551C">
        <w:rPr>
          <w:rFonts w:eastAsia="Times"/>
        </w:rPr>
        <w:t>ubmissions on the EES, draft PSA</w:t>
      </w:r>
      <w:r w:rsidR="005C508D">
        <w:rPr>
          <w:rFonts w:eastAsia="Times"/>
        </w:rPr>
        <w:t xml:space="preserve"> and</w:t>
      </w:r>
      <w:r w:rsidR="00EE6235" w:rsidRPr="0098551C">
        <w:rPr>
          <w:rFonts w:eastAsia="Times"/>
        </w:rPr>
        <w:t xml:space="preserve"> WAA</w:t>
      </w:r>
      <w:r w:rsidR="00AC0DBA">
        <w:rPr>
          <w:rFonts w:eastAsia="Times"/>
        </w:rPr>
        <w:t xml:space="preserve"> </w:t>
      </w:r>
      <w:r w:rsidRPr="0098551C">
        <w:rPr>
          <w:rFonts w:eastAsia="Times"/>
        </w:rPr>
        <w:t xml:space="preserve">will be collected by </w:t>
      </w:r>
      <w:r w:rsidR="005D51CB" w:rsidRPr="0098551C">
        <w:rPr>
          <w:rFonts w:eastAsia="Times"/>
        </w:rPr>
        <w:t xml:space="preserve">PPV </w:t>
      </w:r>
      <w:r w:rsidR="00EE6235" w:rsidRPr="0098551C">
        <w:rPr>
          <w:rFonts w:eastAsia="Times"/>
        </w:rPr>
        <w:t xml:space="preserve">in accordance with </w:t>
      </w:r>
      <w:r w:rsidR="00DF47E5" w:rsidRPr="0098551C">
        <w:rPr>
          <w:rFonts w:eastAsia="Times"/>
        </w:rPr>
        <w:t>the ‘G</w:t>
      </w:r>
      <w:r w:rsidR="00EE6235" w:rsidRPr="0098551C">
        <w:rPr>
          <w:rFonts w:eastAsia="Times"/>
        </w:rPr>
        <w:t xml:space="preserve">uide to </w:t>
      </w:r>
      <w:r w:rsidR="00DF47E5" w:rsidRPr="0098551C">
        <w:rPr>
          <w:rFonts w:eastAsia="Times"/>
        </w:rPr>
        <w:t>P</w:t>
      </w:r>
      <w:r w:rsidR="00EE6235" w:rsidRPr="0098551C">
        <w:rPr>
          <w:rFonts w:eastAsia="Times"/>
        </w:rPr>
        <w:t>rivacy</w:t>
      </w:r>
      <w:r w:rsidR="00D34281" w:rsidRPr="0098551C">
        <w:rPr>
          <w:rFonts w:eastAsia="Times"/>
        </w:rPr>
        <w:t xml:space="preserve"> </w:t>
      </w:r>
      <w:r w:rsidR="00DF47E5" w:rsidRPr="0098551C">
        <w:rPr>
          <w:rFonts w:eastAsia="Times"/>
        </w:rPr>
        <w:t xml:space="preserve">at PPV </w:t>
      </w:r>
      <w:r w:rsidR="00D34281" w:rsidRPr="0098551C">
        <w:rPr>
          <w:rFonts w:eastAsia="Times"/>
        </w:rPr>
        <w:t xml:space="preserve">through the </w:t>
      </w:r>
      <w:r w:rsidR="00DF47E5" w:rsidRPr="0098551C">
        <w:rPr>
          <w:rFonts w:eastAsia="Times"/>
        </w:rPr>
        <w:t>Engage Victoria Website</w:t>
      </w:r>
      <w:r w:rsidR="00EE6235" w:rsidRPr="0098551C">
        <w:rPr>
          <w:rFonts w:eastAsia="Times"/>
        </w:rPr>
        <w:t>.</w:t>
      </w:r>
      <w:r w:rsidR="00013223">
        <w:rPr>
          <w:rFonts w:eastAsia="Times"/>
        </w:rPr>
        <w:t xml:space="preserve"> </w:t>
      </w:r>
      <w:r w:rsidR="00EE6235" w:rsidRPr="0098551C">
        <w:rPr>
          <w:rFonts w:eastAsia="Times"/>
        </w:rPr>
        <w:t xml:space="preserve"> All written submissions or other supporting documentation should be published on</w:t>
      </w:r>
      <w:r w:rsidR="00AE1ABF">
        <w:rPr>
          <w:rFonts w:eastAsia="Times"/>
        </w:rPr>
        <w:t>-line</w:t>
      </w:r>
      <w:r w:rsidR="00EE6235" w:rsidRPr="0098551C">
        <w:rPr>
          <w:rFonts w:eastAsia="Times"/>
        </w:rPr>
        <w:t xml:space="preserve">, unless submitters request that their submission not be publicly available, or where the IAC specifically directs that the submission </w:t>
      </w:r>
      <w:r w:rsidR="00EE6235" w:rsidRPr="008453E5">
        <w:rPr>
          <w:rFonts w:eastAsia="Times"/>
        </w:rPr>
        <w:t>or part of it is to remain confidential.</w:t>
      </w:r>
    </w:p>
    <w:p w14:paraId="5D66528A" w14:textId="58E79E6C" w:rsidR="00EE6235" w:rsidRPr="008453E5" w:rsidRDefault="00EE6235" w:rsidP="001D5DCA">
      <w:pPr>
        <w:pStyle w:val="ToRNumberedPara"/>
        <w:rPr>
          <w:rFonts w:eastAsia="Times"/>
        </w:rPr>
      </w:pPr>
      <w:r w:rsidRPr="008453E5">
        <w:rPr>
          <w:rFonts w:eastAsia="Times"/>
        </w:rPr>
        <w:t xml:space="preserve">Electronic copies of submissions on the EES, </w:t>
      </w:r>
      <w:r w:rsidRPr="006A4188">
        <w:rPr>
          <w:rFonts w:eastAsia="Times"/>
        </w:rPr>
        <w:t>draft PSA</w:t>
      </w:r>
      <w:r w:rsidR="005C508D" w:rsidRPr="006A4188">
        <w:rPr>
          <w:rFonts w:eastAsia="Times"/>
        </w:rPr>
        <w:t xml:space="preserve"> </w:t>
      </w:r>
      <w:r w:rsidRPr="006A4188">
        <w:rPr>
          <w:rFonts w:eastAsia="Times"/>
        </w:rPr>
        <w:t>and</w:t>
      </w:r>
      <w:r w:rsidRPr="008453E5">
        <w:rPr>
          <w:rFonts w:eastAsia="Times"/>
        </w:rPr>
        <w:t xml:space="preserve"> WAA should be provided to the</w:t>
      </w:r>
      <w:r w:rsidR="00935E49" w:rsidRPr="008453E5">
        <w:rPr>
          <w:rFonts w:eastAsia="Times"/>
        </w:rPr>
        <w:t xml:space="preserve"> </w:t>
      </w:r>
      <w:r w:rsidR="008475DD" w:rsidRPr="008453E5">
        <w:rPr>
          <w:rFonts w:eastAsia="Times"/>
        </w:rPr>
        <w:t>p</w:t>
      </w:r>
      <w:r w:rsidR="00935E49" w:rsidRPr="008453E5">
        <w:rPr>
          <w:rFonts w:eastAsia="Times"/>
        </w:rPr>
        <w:t>rop</w:t>
      </w:r>
      <w:r w:rsidR="005508C7" w:rsidRPr="008453E5">
        <w:rPr>
          <w:rFonts w:eastAsia="Times"/>
        </w:rPr>
        <w:t xml:space="preserve">onent, </w:t>
      </w:r>
      <w:r w:rsidR="005C508D" w:rsidRPr="00151541">
        <w:rPr>
          <w:rFonts w:eastAsia="Times"/>
        </w:rPr>
        <w:t>East Gippsland Shire Council</w:t>
      </w:r>
      <w:r w:rsidR="008453E5" w:rsidRPr="00151541">
        <w:rPr>
          <w:rFonts w:eastAsia="Times"/>
        </w:rPr>
        <w:t xml:space="preserve">, </w:t>
      </w:r>
      <w:r w:rsidR="005C508D" w:rsidRPr="00151541">
        <w:rPr>
          <w:rFonts w:eastAsia="Times"/>
        </w:rPr>
        <w:t>Wellington</w:t>
      </w:r>
      <w:r w:rsidR="00052C0C" w:rsidRPr="00151541">
        <w:rPr>
          <w:rFonts w:eastAsia="Times"/>
        </w:rPr>
        <w:t xml:space="preserve"> Shire Council,</w:t>
      </w:r>
      <w:r w:rsidR="00052C0C" w:rsidRPr="008453E5">
        <w:rPr>
          <w:rFonts w:eastAsia="Times"/>
        </w:rPr>
        <w:t xml:space="preserve"> </w:t>
      </w:r>
      <w:r w:rsidR="00BF441A" w:rsidRPr="008453E5">
        <w:rPr>
          <w:rFonts w:eastAsia="Times"/>
        </w:rPr>
        <w:t>the</w:t>
      </w:r>
      <w:r w:rsidRPr="008453E5">
        <w:rPr>
          <w:rFonts w:eastAsia="Times"/>
        </w:rPr>
        <w:t xml:space="preserve"> </w:t>
      </w:r>
      <w:r w:rsidR="00F90CE5">
        <w:rPr>
          <w:rFonts w:eastAsia="Times"/>
        </w:rPr>
        <w:t>DELWP</w:t>
      </w:r>
      <w:r w:rsidR="00BF441A" w:rsidRPr="008453E5">
        <w:rPr>
          <w:rFonts w:eastAsia="Times"/>
        </w:rPr>
        <w:t xml:space="preserve"> and </w:t>
      </w:r>
      <w:r w:rsidR="00F90CE5">
        <w:rPr>
          <w:rFonts w:eastAsia="Times"/>
        </w:rPr>
        <w:t>EPA</w:t>
      </w:r>
      <w:r w:rsidRPr="008453E5">
        <w:rPr>
          <w:rFonts w:eastAsia="Times"/>
        </w:rPr>
        <w:t>.</w:t>
      </w:r>
    </w:p>
    <w:p w14:paraId="397957E4" w14:textId="77777777" w:rsidR="00EE6235" w:rsidRPr="007E34C4" w:rsidRDefault="00EE6235" w:rsidP="001D5DCA">
      <w:pPr>
        <w:pStyle w:val="ToRNumberedPara"/>
        <w:rPr>
          <w:rFonts w:eastAsia="Times"/>
        </w:rPr>
      </w:pPr>
      <w:r w:rsidRPr="007E34C4">
        <w:rPr>
          <w:rFonts w:eastAsia="Times"/>
        </w:rPr>
        <w:t>Petitions will be treated as a single submission, and only the first name to appear on the first page of the submission should receive correspondence in relation to the IAC.</w:t>
      </w:r>
    </w:p>
    <w:p w14:paraId="7F2DA4E9" w14:textId="6A35DDB3" w:rsidR="00EE6235" w:rsidRPr="007E34C4" w:rsidRDefault="00EE6235" w:rsidP="001D5DCA">
      <w:pPr>
        <w:pStyle w:val="ToRNumberedPara"/>
        <w:rPr>
          <w:rFonts w:eastAsia="Times"/>
        </w:rPr>
      </w:pPr>
      <w:r w:rsidRPr="007E34C4">
        <w:rPr>
          <w:rFonts w:eastAsia="Times"/>
        </w:rPr>
        <w:t>Any written material or evidence provided to the IAC during the public hearing should be published on</w:t>
      </w:r>
      <w:r w:rsidR="00AE1ABF">
        <w:rPr>
          <w:rFonts w:eastAsia="Times"/>
        </w:rPr>
        <w:t>-line</w:t>
      </w:r>
      <w:r w:rsidRPr="007E34C4">
        <w:rPr>
          <w:rFonts w:eastAsia="Times"/>
        </w:rPr>
        <w:t xml:space="preserve">, unless the IAC specifically directs that the material is to remain confidential. </w:t>
      </w:r>
    </w:p>
    <w:p w14:paraId="7E5E1D7A" w14:textId="3816A901" w:rsidR="00EE6235" w:rsidRPr="007E34C4" w:rsidRDefault="00FA23F8" w:rsidP="001D5DCA">
      <w:pPr>
        <w:pStyle w:val="ToRNumberedPara"/>
        <w:rPr>
          <w:rFonts w:eastAsia="Times"/>
        </w:rPr>
      </w:pPr>
      <w:r>
        <w:rPr>
          <w:rFonts w:eastAsia="Times"/>
        </w:rPr>
        <w:t>PPV</w:t>
      </w:r>
      <w:r w:rsidR="00EE6235" w:rsidRPr="007E34C4">
        <w:rPr>
          <w:rFonts w:eastAsia="Times"/>
        </w:rPr>
        <w:t xml:space="preserve"> will retain any written submissions and other documentation provided to the IAC for a period of five years after the time of the appointment of the IAC.</w:t>
      </w:r>
    </w:p>
    <w:p w14:paraId="75A06453" w14:textId="3FC46FF2" w:rsidR="00504750" w:rsidRPr="00FA1CA5" w:rsidRDefault="002D5005" w:rsidP="001913F7">
      <w:pPr>
        <w:pStyle w:val="ToRHeading"/>
      </w:pPr>
      <w:r w:rsidRPr="00FA1CA5">
        <w:t xml:space="preserve">Stage 2 – Public hearing </w:t>
      </w:r>
    </w:p>
    <w:p w14:paraId="66727126" w14:textId="77777777" w:rsidR="00867D99" w:rsidRPr="00FA1CA5" w:rsidRDefault="00867D99" w:rsidP="00867D99">
      <w:pPr>
        <w:pStyle w:val="ToRNumberedPara"/>
        <w:rPr>
          <w:rFonts w:eastAsia="Times"/>
        </w:rPr>
      </w:pPr>
      <w:r w:rsidRPr="00FA1CA5">
        <w:rPr>
          <w:rFonts w:eastAsia="Times"/>
        </w:rPr>
        <w:t>The IAC must hold a public hearing and may make other such enquiries as are relevant to undertaking its role.</w:t>
      </w:r>
    </w:p>
    <w:p w14:paraId="4F6B9F89" w14:textId="77777777" w:rsidR="00867D99" w:rsidRPr="00FA1CA5" w:rsidRDefault="00867D99" w:rsidP="00867D99">
      <w:pPr>
        <w:pStyle w:val="ToRNumberedPara"/>
        <w:rPr>
          <w:rFonts w:eastAsia="Times"/>
        </w:rPr>
      </w:pPr>
      <w:r w:rsidRPr="00FA1CA5">
        <w:rPr>
          <w:rFonts w:eastAsia="Times"/>
        </w:rPr>
        <w:t>When it conducts a public hearing, the IAC has all the powers of an advisory committee that are specified in section 152(2) of the P&amp;E Act.</w:t>
      </w:r>
    </w:p>
    <w:p w14:paraId="4E1A8687" w14:textId="77777777" w:rsidR="00BD1D30" w:rsidRPr="00F132C1" w:rsidDel="00094571" w:rsidRDefault="00BD1D30" w:rsidP="00BD1D30">
      <w:pPr>
        <w:pStyle w:val="ToRNumberedPara"/>
        <w:rPr>
          <w:rFonts w:eastAsia="Times"/>
        </w:rPr>
      </w:pPr>
      <w:r w:rsidRPr="00F132C1" w:rsidDel="00094571">
        <w:rPr>
          <w:rFonts w:eastAsia="Times"/>
        </w:rPr>
        <w:t xml:space="preserve">Prior to the commencement of the public hearing, the IAC must hold a </w:t>
      </w:r>
      <w:proofErr w:type="gramStart"/>
      <w:r w:rsidRPr="00F132C1" w:rsidDel="00094571">
        <w:rPr>
          <w:rFonts w:eastAsia="Times"/>
        </w:rPr>
        <w:t>directions</w:t>
      </w:r>
      <w:proofErr w:type="gramEnd"/>
      <w:r w:rsidRPr="00F132C1" w:rsidDel="00094571">
        <w:rPr>
          <w:rFonts w:eastAsia="Times"/>
        </w:rPr>
        <w:t xml:space="preserve"> hearing in order to make any directions it considers necessary or appropriate as to the conduct, scope or scheduling of the public hearing.</w:t>
      </w:r>
    </w:p>
    <w:p w14:paraId="6ED437B6" w14:textId="77777777" w:rsidR="00867D99" w:rsidRPr="00FA1CA5" w:rsidRDefault="00867D99" w:rsidP="004423C3">
      <w:pPr>
        <w:pStyle w:val="ToRNumberedPara"/>
        <w:spacing w:after="0"/>
        <w:rPr>
          <w:rFonts w:eastAsia="Times"/>
        </w:rPr>
      </w:pPr>
      <w:r w:rsidRPr="00FA1CA5">
        <w:rPr>
          <w:rFonts w:eastAsia="Times"/>
        </w:rPr>
        <w:t>The IAC may inform itself in any way it sees fit, but must review and consider:</w:t>
      </w:r>
    </w:p>
    <w:p w14:paraId="5E6A455D" w14:textId="53EEF14F" w:rsidR="00867D99" w:rsidRPr="00FA1CA5" w:rsidRDefault="00867D99" w:rsidP="00DC19F6">
      <w:pPr>
        <w:pStyle w:val="ToRAlphaPara"/>
      </w:pPr>
      <w:r w:rsidRPr="00FA1CA5">
        <w:t>the exhibited EES, draft PSA</w:t>
      </w:r>
      <w:r w:rsidRPr="006A4188">
        <w:t xml:space="preserve"> and</w:t>
      </w:r>
      <w:r w:rsidRPr="00FA1CA5">
        <w:t xml:space="preserve"> WAA;</w:t>
      </w:r>
    </w:p>
    <w:p w14:paraId="2DF3F18E" w14:textId="2F11560A" w:rsidR="00867D99" w:rsidRDefault="00867D99" w:rsidP="00F400BC">
      <w:pPr>
        <w:pStyle w:val="ToRAlphaPara"/>
      </w:pPr>
      <w:r w:rsidRPr="00FA1CA5">
        <w:t>all public submissions, and all submissions and evidence provided to the IAC by the proponent, state agencies, local councils and the public;</w:t>
      </w:r>
      <w:r w:rsidRPr="00FA1CA5" w:rsidDel="001D6E73">
        <w:t xml:space="preserve"> </w:t>
      </w:r>
    </w:p>
    <w:p w14:paraId="471E7D06" w14:textId="69A63FD0" w:rsidR="00E1096D" w:rsidRPr="00FA1CA5" w:rsidRDefault="00E1096D" w:rsidP="001815E0">
      <w:pPr>
        <w:pStyle w:val="ToRAlphaPara"/>
      </w:pPr>
      <w:r w:rsidRPr="00E1096D">
        <w:t xml:space="preserve">the </w:t>
      </w:r>
      <w:r>
        <w:t xml:space="preserve">reports and </w:t>
      </w:r>
      <w:r w:rsidRPr="00E1096D">
        <w:t xml:space="preserve">advice of </w:t>
      </w:r>
      <w:r>
        <w:t xml:space="preserve">three </w:t>
      </w:r>
      <w:r w:rsidRPr="00E1096D">
        <w:t>independent peer reviewers appointed by DELWP</w:t>
      </w:r>
      <w:r w:rsidR="00882C99">
        <w:t>;</w:t>
      </w:r>
    </w:p>
    <w:p w14:paraId="0286963A" w14:textId="77777777" w:rsidR="00867D99" w:rsidRPr="00F132C1" w:rsidRDefault="00867D99" w:rsidP="000138EA">
      <w:pPr>
        <w:pStyle w:val="ToRAlphaPara"/>
      </w:pPr>
      <w:r w:rsidRPr="00F132C1">
        <w:t>any information provided by the proponent that responds to submissions; and</w:t>
      </w:r>
    </w:p>
    <w:p w14:paraId="003DE70C" w14:textId="77777777" w:rsidR="00867D99" w:rsidRPr="00F132C1" w:rsidRDefault="00867D99" w:rsidP="00514928">
      <w:pPr>
        <w:pStyle w:val="ToRAlphaPara"/>
      </w:pPr>
      <w:r w:rsidRPr="00F132C1">
        <w:t>any other relevant information that is provided to, or obtained by, the IAC.</w:t>
      </w:r>
    </w:p>
    <w:p w14:paraId="51A1B13B" w14:textId="77777777" w:rsidR="00867D99" w:rsidRPr="00E065CD" w:rsidRDefault="00867D99" w:rsidP="004423C3">
      <w:pPr>
        <w:pStyle w:val="ToRNumberedPara"/>
        <w:spacing w:after="0"/>
        <w:rPr>
          <w:rFonts w:eastAsia="Times"/>
        </w:rPr>
      </w:pPr>
      <w:r w:rsidRPr="00E065CD">
        <w:rPr>
          <w:rFonts w:eastAsia="Times"/>
        </w:rPr>
        <w:t>The IAC must conduct its public hearing in accordance with the following principles:</w:t>
      </w:r>
    </w:p>
    <w:p w14:paraId="4319162D" w14:textId="01AD780F" w:rsidR="00867D99" w:rsidRPr="00E065CD" w:rsidRDefault="00867D99" w:rsidP="00DC19F6">
      <w:pPr>
        <w:pStyle w:val="ToRAlphaPara"/>
      </w:pPr>
      <w:r w:rsidRPr="00E065CD">
        <w:t>the public hearing will be conducted in an open, orderly and equitable manner, in accordance with the principles of natural justice, with a minimum of formality and without legal representation</w:t>
      </w:r>
      <w:r w:rsidR="001A4F44">
        <w:t xml:space="preserve"> being necessary for</w:t>
      </w:r>
      <w:r w:rsidR="001A4534">
        <w:t xml:space="preserve"> parties to be effective participants</w:t>
      </w:r>
      <w:r w:rsidRPr="00E065CD">
        <w:t>; and</w:t>
      </w:r>
    </w:p>
    <w:p w14:paraId="34748BD9" w14:textId="3F405334" w:rsidR="00867D99" w:rsidRPr="00E065CD" w:rsidRDefault="00867D99" w:rsidP="00F400BC">
      <w:pPr>
        <w:pStyle w:val="ToRAlphaPara"/>
      </w:pPr>
      <w:r w:rsidRPr="00E065CD">
        <w:t>the IAC process is to be exploratory and constructive with adversarial behaviour minimised and with cross-examination controlled by the IAC Chair.</w:t>
      </w:r>
    </w:p>
    <w:p w14:paraId="7625D2F4" w14:textId="77777777" w:rsidR="00867D99" w:rsidRPr="00B478DC" w:rsidRDefault="00867D99" w:rsidP="00867D99">
      <w:pPr>
        <w:pStyle w:val="ToRNumberedPara"/>
        <w:rPr>
          <w:rFonts w:eastAsia="Times"/>
        </w:rPr>
      </w:pPr>
      <w:r w:rsidRPr="00B478DC">
        <w:rPr>
          <w:rFonts w:eastAsia="Times"/>
        </w:rPr>
        <w:t>The IAC may limit the time of parties appearing before it.</w:t>
      </w:r>
    </w:p>
    <w:p w14:paraId="273F02D6" w14:textId="2D6453BE" w:rsidR="00867D99" w:rsidRPr="0069234E" w:rsidRDefault="00867D99" w:rsidP="00867D99">
      <w:pPr>
        <w:pStyle w:val="ToRNumberedPara"/>
        <w:rPr>
          <w:rFonts w:eastAsia="Times"/>
        </w:rPr>
      </w:pPr>
      <w:r w:rsidRPr="0069234E">
        <w:rPr>
          <w:rFonts w:eastAsia="Times"/>
        </w:rPr>
        <w:t xml:space="preserve">The IAC may conduct a public hearing when there is a quorum of at least </w:t>
      </w:r>
      <w:r w:rsidR="00424F1A">
        <w:rPr>
          <w:rFonts w:eastAsia="Times"/>
        </w:rPr>
        <w:t>two</w:t>
      </w:r>
      <w:r w:rsidRPr="0069234E">
        <w:rPr>
          <w:rFonts w:eastAsia="Times"/>
        </w:rPr>
        <w:t xml:space="preserve"> of its members present</w:t>
      </w:r>
      <w:r w:rsidR="009B7DA8">
        <w:rPr>
          <w:rFonts w:eastAsia="Times"/>
        </w:rPr>
        <w:t xml:space="preserve"> or </w:t>
      </w:r>
      <w:r w:rsidR="00394A76">
        <w:rPr>
          <w:rFonts w:eastAsia="Times"/>
        </w:rPr>
        <w:t xml:space="preserve">participating through </w:t>
      </w:r>
      <w:r w:rsidR="00562B2C" w:rsidRPr="006C4398">
        <w:rPr>
          <w:rFonts w:eastAsia="Times"/>
        </w:rPr>
        <w:t>electronic means in line with Atta</w:t>
      </w:r>
      <w:r w:rsidR="00EB69AC" w:rsidRPr="006C4398">
        <w:rPr>
          <w:rFonts w:eastAsia="Times"/>
        </w:rPr>
        <w:t>c</w:t>
      </w:r>
      <w:r w:rsidR="00562B2C" w:rsidRPr="006C4398">
        <w:rPr>
          <w:rFonts w:eastAsia="Times"/>
        </w:rPr>
        <w:t>hment 2</w:t>
      </w:r>
      <w:r w:rsidRPr="006C4398">
        <w:rPr>
          <w:rFonts w:eastAsia="Times"/>
        </w:rPr>
        <w:t>,</w:t>
      </w:r>
      <w:r w:rsidRPr="0069234E">
        <w:rPr>
          <w:rFonts w:eastAsia="Times"/>
        </w:rPr>
        <w:t xml:space="preserve"> one of whom must be the IAC Chair or </w:t>
      </w:r>
      <w:r w:rsidR="001C0994" w:rsidRPr="0069234E">
        <w:rPr>
          <w:rFonts w:eastAsia="Times"/>
        </w:rPr>
        <w:t>D</w:t>
      </w:r>
      <w:r w:rsidRPr="0069234E">
        <w:rPr>
          <w:rFonts w:eastAsia="Times"/>
        </w:rPr>
        <w:t xml:space="preserve">eputy </w:t>
      </w:r>
      <w:r w:rsidR="001C0994" w:rsidRPr="0069234E">
        <w:rPr>
          <w:rFonts w:eastAsia="Times"/>
        </w:rPr>
        <w:t>C</w:t>
      </w:r>
      <w:r w:rsidRPr="0069234E">
        <w:rPr>
          <w:rFonts w:eastAsia="Times"/>
        </w:rPr>
        <w:t>hair.</w:t>
      </w:r>
      <w:r w:rsidR="006C4398">
        <w:rPr>
          <w:rFonts w:eastAsia="Times"/>
        </w:rPr>
        <w:t xml:space="preserve"> </w:t>
      </w:r>
      <w:r w:rsidR="008D201A">
        <w:rPr>
          <w:rFonts w:eastAsia="Times"/>
        </w:rPr>
        <w:t xml:space="preserve"> </w:t>
      </w:r>
      <w:r w:rsidR="006C4398">
        <w:rPr>
          <w:rFonts w:eastAsia="Times"/>
        </w:rPr>
        <w:t>If the IAC is made up of four members then a quorum of at least three of its members is required.</w:t>
      </w:r>
    </w:p>
    <w:p w14:paraId="375C983F" w14:textId="4FD9ADF5" w:rsidR="00867D99" w:rsidRPr="00A00BF5" w:rsidRDefault="00867D99" w:rsidP="00867D99">
      <w:pPr>
        <w:pStyle w:val="ToRNumberedPara"/>
        <w:rPr>
          <w:rFonts w:eastAsia="Times"/>
        </w:rPr>
      </w:pPr>
      <w:r w:rsidRPr="00A00BF5">
        <w:rPr>
          <w:rFonts w:eastAsia="Times"/>
        </w:rPr>
        <w:t xml:space="preserve">Recording of the hearing </w:t>
      </w:r>
      <w:r w:rsidR="00FA23F8">
        <w:rPr>
          <w:rFonts w:eastAsia="Times"/>
        </w:rPr>
        <w:t>must</w:t>
      </w:r>
      <w:r w:rsidR="00EE5E0E" w:rsidRPr="00A00BF5">
        <w:rPr>
          <w:rFonts w:eastAsia="Times"/>
        </w:rPr>
        <w:t xml:space="preserve"> </w:t>
      </w:r>
      <w:r w:rsidRPr="00A00BF5">
        <w:rPr>
          <w:rFonts w:eastAsia="Times"/>
        </w:rPr>
        <w:t xml:space="preserve">be </w:t>
      </w:r>
      <w:r w:rsidR="00837C3A" w:rsidRPr="00A00BF5">
        <w:rPr>
          <w:rFonts w:eastAsia="Times"/>
        </w:rPr>
        <w:t xml:space="preserve">undertaken </w:t>
      </w:r>
      <w:r w:rsidRPr="00A00BF5">
        <w:rPr>
          <w:rFonts w:eastAsia="Times"/>
        </w:rPr>
        <w:t xml:space="preserve">by </w:t>
      </w:r>
      <w:r w:rsidR="000F728E" w:rsidRPr="00A00BF5">
        <w:rPr>
          <w:rFonts w:eastAsia="Times"/>
        </w:rPr>
        <w:t xml:space="preserve">the </w:t>
      </w:r>
      <w:r w:rsidR="008475DD" w:rsidRPr="00A00BF5">
        <w:rPr>
          <w:rFonts w:eastAsia="Times"/>
        </w:rPr>
        <w:t>p</w:t>
      </w:r>
      <w:r w:rsidR="000F728E" w:rsidRPr="00A00BF5">
        <w:rPr>
          <w:rFonts w:eastAsia="Times"/>
        </w:rPr>
        <w:t>roponent</w:t>
      </w:r>
      <w:r w:rsidR="00EE5E0E" w:rsidRPr="00A00BF5">
        <w:rPr>
          <w:rFonts w:eastAsia="Times"/>
        </w:rPr>
        <w:t xml:space="preserve"> if </w:t>
      </w:r>
      <w:r w:rsidR="00FA23F8">
        <w:rPr>
          <w:rFonts w:eastAsia="Times"/>
        </w:rPr>
        <w:t xml:space="preserve">as </w:t>
      </w:r>
      <w:r w:rsidR="00EE5E0E" w:rsidRPr="00A00BF5">
        <w:rPr>
          <w:rFonts w:eastAsia="Times"/>
        </w:rPr>
        <w:t>directed</w:t>
      </w:r>
      <w:r w:rsidRPr="00A00BF5">
        <w:rPr>
          <w:rFonts w:eastAsia="Times"/>
        </w:rPr>
        <w:t xml:space="preserve"> by the IAC Chair. </w:t>
      </w:r>
      <w:r w:rsidR="00710A2D" w:rsidRPr="00A00BF5">
        <w:rPr>
          <w:rFonts w:eastAsia="Times"/>
        </w:rPr>
        <w:t xml:space="preserve"> </w:t>
      </w:r>
      <w:r w:rsidR="00A00BF5" w:rsidRPr="00A00BF5">
        <w:rPr>
          <w:rFonts w:eastAsia="Times"/>
        </w:rPr>
        <w:t>If the hear</w:t>
      </w:r>
      <w:r w:rsidR="00C74D3A">
        <w:rPr>
          <w:rFonts w:eastAsia="Times"/>
        </w:rPr>
        <w:t>i</w:t>
      </w:r>
      <w:r w:rsidR="00A00BF5" w:rsidRPr="00A00BF5">
        <w:rPr>
          <w:rFonts w:eastAsia="Times"/>
        </w:rPr>
        <w:t>ng is recorded, t</w:t>
      </w:r>
      <w:r w:rsidRPr="00A00BF5">
        <w:rPr>
          <w:rFonts w:eastAsia="Times"/>
        </w:rPr>
        <w:t xml:space="preserve">he audio recording </w:t>
      </w:r>
      <w:r w:rsidR="00A00BF5" w:rsidRPr="00A00BF5">
        <w:rPr>
          <w:rFonts w:eastAsia="Times"/>
        </w:rPr>
        <w:t>will</w:t>
      </w:r>
      <w:r w:rsidR="000A3D44" w:rsidRPr="00A00BF5">
        <w:rPr>
          <w:rFonts w:eastAsia="Times"/>
        </w:rPr>
        <w:t xml:space="preserve"> be provided </w:t>
      </w:r>
      <w:r w:rsidR="002438FA" w:rsidRPr="00A00BF5">
        <w:rPr>
          <w:rFonts w:eastAsia="Times"/>
        </w:rPr>
        <w:t xml:space="preserve">to </w:t>
      </w:r>
      <w:r w:rsidR="00FA23F8">
        <w:rPr>
          <w:rFonts w:eastAsia="Times"/>
        </w:rPr>
        <w:t>PPV</w:t>
      </w:r>
      <w:r w:rsidR="002438FA" w:rsidRPr="00A00BF5">
        <w:rPr>
          <w:rFonts w:eastAsia="Times"/>
        </w:rPr>
        <w:t xml:space="preserve"> </w:t>
      </w:r>
      <w:r w:rsidR="001E71A9" w:rsidRPr="00A00BF5">
        <w:rPr>
          <w:rFonts w:eastAsia="Times"/>
        </w:rPr>
        <w:t>as</w:t>
      </w:r>
      <w:r w:rsidR="002438FA" w:rsidRPr="00A00BF5">
        <w:rPr>
          <w:rFonts w:eastAsia="Times"/>
        </w:rPr>
        <w:t xml:space="preserve"> a</w:t>
      </w:r>
      <w:r w:rsidR="00031597" w:rsidRPr="00A00BF5">
        <w:rPr>
          <w:rFonts w:eastAsia="Times"/>
        </w:rPr>
        <w:t xml:space="preserve"> weblink</w:t>
      </w:r>
      <w:r w:rsidR="00A00BF5" w:rsidRPr="00A00BF5">
        <w:rPr>
          <w:rFonts w:eastAsia="Times"/>
        </w:rPr>
        <w:t xml:space="preserve"> and </w:t>
      </w:r>
      <w:r w:rsidR="00A00BF5" w:rsidRPr="00A00BF5">
        <w:t>would be</w:t>
      </w:r>
      <w:r w:rsidRPr="00A00BF5">
        <w:rPr>
          <w:rFonts w:eastAsia="Times"/>
        </w:rPr>
        <w:t xml:space="preserve"> made </w:t>
      </w:r>
      <w:r w:rsidRPr="00A00BF5">
        <w:rPr>
          <w:rFonts w:eastAsia="Times"/>
        </w:rPr>
        <w:lastRenderedPageBreak/>
        <w:t xml:space="preserve">publicly available as soon as practicable after the conclusion of each day of the hearing, or otherwise as directed by the IAC Chair.  </w:t>
      </w:r>
    </w:p>
    <w:p w14:paraId="76496DD1" w14:textId="77777777" w:rsidR="00867D99" w:rsidRPr="00962CF4" w:rsidRDefault="00867D99" w:rsidP="00867D99">
      <w:pPr>
        <w:pStyle w:val="ToRNumberedPara"/>
        <w:rPr>
          <w:rFonts w:eastAsia="Times"/>
        </w:rPr>
      </w:pPr>
      <w:r w:rsidRPr="00962CF4">
        <w:rPr>
          <w:rFonts w:eastAsia="Times"/>
        </w:rPr>
        <w:t>Any other audio or video recording of the hearing by any other person or organisation may only occur with the prior consent of, and strictly in accordance with, the directions of the IAC Chair.</w:t>
      </w:r>
    </w:p>
    <w:p w14:paraId="06C87B37" w14:textId="0A218AC2" w:rsidR="006B4ECC" w:rsidRPr="00BD0725" w:rsidRDefault="006B4ECC" w:rsidP="001913F7">
      <w:pPr>
        <w:pStyle w:val="ToRHeading"/>
      </w:pPr>
      <w:r w:rsidRPr="00BD0725">
        <w:t xml:space="preserve">Stage 3 – Report </w:t>
      </w:r>
    </w:p>
    <w:p w14:paraId="533A9743" w14:textId="77777777" w:rsidR="00FB7D72" w:rsidRPr="00BD0725" w:rsidRDefault="00FB7D72" w:rsidP="004423C3">
      <w:pPr>
        <w:pStyle w:val="ToRNumberedPara"/>
        <w:spacing w:after="0"/>
        <w:rPr>
          <w:rFonts w:eastAsia="Times"/>
        </w:rPr>
      </w:pPr>
      <w:r w:rsidRPr="00BD0725">
        <w:rPr>
          <w:rFonts w:eastAsia="Times"/>
        </w:rPr>
        <w:t>The IAC must produce a written report for the Minister for Planning containing the IAC’s:</w:t>
      </w:r>
    </w:p>
    <w:p w14:paraId="09C9BF7B" w14:textId="7CE5C4AF" w:rsidR="00FB7D72" w:rsidRPr="001C4F09" w:rsidRDefault="00713964" w:rsidP="00DC19F6">
      <w:pPr>
        <w:pStyle w:val="ToRAlphaPara"/>
      </w:pPr>
      <w:r>
        <w:t>conclusions</w:t>
      </w:r>
      <w:r w:rsidRPr="00BD0725">
        <w:t xml:space="preserve"> </w:t>
      </w:r>
      <w:r w:rsidR="00FB7D72" w:rsidRPr="00BD0725">
        <w:t>with respect to the environmental effects of the project</w:t>
      </w:r>
      <w:r w:rsidR="0046607B">
        <w:t xml:space="preserve"> and their </w:t>
      </w:r>
      <w:r w:rsidR="0046607B" w:rsidRPr="001C4F09">
        <w:t>significance</w:t>
      </w:r>
      <w:r w:rsidRPr="001C4F09">
        <w:t xml:space="preserve"> and acceptability</w:t>
      </w:r>
      <w:r w:rsidR="00FB7D72" w:rsidRPr="001C4F09">
        <w:t>;</w:t>
      </w:r>
    </w:p>
    <w:p w14:paraId="1BC398DE" w14:textId="498F4E9C" w:rsidR="00FB7D72" w:rsidRPr="00416971" w:rsidRDefault="00FB7D72" w:rsidP="00F400BC">
      <w:pPr>
        <w:pStyle w:val="ToRAlphaPara"/>
      </w:pPr>
      <w:r w:rsidRPr="00416971">
        <w:t xml:space="preserve">findings </w:t>
      </w:r>
      <w:r w:rsidR="0039641D">
        <w:t xml:space="preserve">on </w:t>
      </w:r>
      <w:r w:rsidR="0046607B">
        <w:t>whether</w:t>
      </w:r>
      <w:r w:rsidR="0039641D">
        <w:t xml:space="preserve"> </w:t>
      </w:r>
      <w:r w:rsidRPr="00416971">
        <w:t xml:space="preserve">acceptable environmental outcomes </w:t>
      </w:r>
      <w:r w:rsidR="00F9250D">
        <w:t xml:space="preserve">can </w:t>
      </w:r>
      <w:r w:rsidR="0046607B">
        <w:t>be a</w:t>
      </w:r>
      <w:r w:rsidR="00DD2649">
        <w:t xml:space="preserve">chieved, </w:t>
      </w:r>
      <w:r w:rsidRPr="00416971">
        <w:t>having regard to legislation, policy, best practice, and the principles and objectives of ecologically sustainable development;</w:t>
      </w:r>
    </w:p>
    <w:p w14:paraId="22F9C239" w14:textId="69F2218D" w:rsidR="00977631" w:rsidRDefault="00977631" w:rsidP="001815E0">
      <w:pPr>
        <w:pStyle w:val="ToRAlphaPara"/>
      </w:pPr>
      <w:r w:rsidRPr="00416971">
        <w:t xml:space="preserve">recommendations and/or specific measures that it considers necessary and appropriate to prevent, mitigate or offset adverse environmental effects </w:t>
      </w:r>
      <w:r w:rsidR="00E92F36">
        <w:t xml:space="preserve">to acceptable </w:t>
      </w:r>
      <w:r w:rsidR="008C5AE3">
        <w:t>environmental outcomes</w:t>
      </w:r>
      <w:r w:rsidR="00E92F36">
        <w:t xml:space="preserve">, </w:t>
      </w:r>
      <w:r w:rsidRPr="00416971">
        <w:t>having regard to legislation, policy, best practice, and the principles and objectives of ecologically sustainable development</w:t>
      </w:r>
      <w:r w:rsidR="00BF7A59">
        <w:t>;</w:t>
      </w:r>
    </w:p>
    <w:p w14:paraId="39CC458E" w14:textId="5645C882" w:rsidR="00FB7D72" w:rsidRPr="00416971" w:rsidRDefault="00FB7D72" w:rsidP="000138EA">
      <w:pPr>
        <w:pStyle w:val="ToRAlphaPara"/>
      </w:pPr>
      <w:r w:rsidRPr="00416971">
        <w:t xml:space="preserve">recommendations as to any feasible modifications to the </w:t>
      </w:r>
      <w:r w:rsidR="0085376F">
        <w:t xml:space="preserve">project (e.g. extent, </w:t>
      </w:r>
      <w:r w:rsidRPr="00416971">
        <w:t>design</w:t>
      </w:r>
      <w:r w:rsidR="0085376F">
        <w:t>, alternative configurations,</w:t>
      </w:r>
      <w:r w:rsidRPr="00416971">
        <w:t xml:space="preserve"> </w:t>
      </w:r>
      <w:r>
        <w:t xml:space="preserve">or </w:t>
      </w:r>
      <w:r w:rsidR="00260523">
        <w:t xml:space="preserve">environmental </w:t>
      </w:r>
      <w:r>
        <w:t>management</w:t>
      </w:r>
      <w:r w:rsidR="00260523">
        <w:t>)</w:t>
      </w:r>
      <w:r>
        <w:t xml:space="preserve"> </w:t>
      </w:r>
      <w:r w:rsidRPr="00416971">
        <w:t xml:space="preserve">that would </w:t>
      </w:r>
      <w:r w:rsidR="000210E9">
        <w:t>enable more appropriate</w:t>
      </w:r>
      <w:r w:rsidRPr="00416971">
        <w:t xml:space="preserve"> </w:t>
      </w:r>
      <w:r w:rsidR="000210E9">
        <w:t xml:space="preserve">environmental </w:t>
      </w:r>
      <w:r w:rsidRPr="00416971">
        <w:t xml:space="preserve">outcomes; </w:t>
      </w:r>
    </w:p>
    <w:p w14:paraId="0FA62318" w14:textId="5F904E16" w:rsidR="008642C6" w:rsidRPr="005D11F7" w:rsidRDefault="00FB7D72" w:rsidP="00514928">
      <w:pPr>
        <w:pStyle w:val="ToRAlphaPara"/>
      </w:pPr>
      <w:r w:rsidRPr="00416971">
        <w:t xml:space="preserve">recommendations </w:t>
      </w:r>
      <w:r w:rsidRPr="005D11F7">
        <w:t xml:space="preserve">for any appropriate conditions that may be lawfully imposed on any approval for the project, </w:t>
      </w:r>
      <w:r w:rsidR="00B635CB" w:rsidRPr="005D11F7">
        <w:t xml:space="preserve">including </w:t>
      </w:r>
      <w:r w:rsidR="00760D4D" w:rsidRPr="005D11F7">
        <w:t xml:space="preserve">with </w:t>
      </w:r>
      <w:r w:rsidR="00B635CB" w:rsidRPr="005D11F7">
        <w:t>respect to the content of the draft work plan</w:t>
      </w:r>
      <w:r w:rsidR="008642C6" w:rsidRPr="005D11F7">
        <w:t xml:space="preserve"> or</w:t>
      </w:r>
      <w:r w:rsidR="00B635CB" w:rsidRPr="005D11F7">
        <w:t xml:space="preserve"> conditions that might appropriately be attached to </w:t>
      </w:r>
      <w:r w:rsidR="008642C6" w:rsidRPr="005D11F7">
        <w:t xml:space="preserve">approval of </w:t>
      </w:r>
      <w:r w:rsidR="00B635CB" w:rsidRPr="005D11F7">
        <w:t xml:space="preserve">a work plan if issued </w:t>
      </w:r>
      <w:r w:rsidR="008642C6" w:rsidRPr="005D11F7">
        <w:t>under the MRSD Act</w:t>
      </w:r>
      <w:r w:rsidR="00205D69" w:rsidRPr="005D11F7">
        <w:t>;</w:t>
      </w:r>
    </w:p>
    <w:p w14:paraId="313842BB" w14:textId="602DC341" w:rsidR="00FB7D72" w:rsidRPr="00416971" w:rsidRDefault="00205D69" w:rsidP="002B3804">
      <w:pPr>
        <w:pStyle w:val="ToRAlphaPara"/>
      </w:pPr>
      <w:r>
        <w:t xml:space="preserve">recommendation on </w:t>
      </w:r>
      <w:r w:rsidR="00FB7D72" w:rsidRPr="00416971">
        <w:t>changes</w:t>
      </w:r>
      <w:r w:rsidR="008D6B23">
        <w:t>, including to the structure and content,</w:t>
      </w:r>
      <w:r w:rsidR="00FB7D72" w:rsidRPr="00416971">
        <w:t xml:space="preserve"> that should be made to the draft </w:t>
      </w:r>
      <w:r w:rsidR="00FB7D72" w:rsidRPr="00EF13F6">
        <w:t>PSA in</w:t>
      </w:r>
      <w:r w:rsidR="00FB7D72" w:rsidRPr="00416971">
        <w:t xml:space="preserve"> order to ensure that the environmental effects of the </w:t>
      </w:r>
      <w:r w:rsidR="00FB7D72">
        <w:t>p</w:t>
      </w:r>
      <w:r w:rsidR="00FB7D72" w:rsidRPr="00416971">
        <w:t>roject are acceptable having regard to legislation, policy, best practice, and the principles and objectives of ecologically sustainable development;</w:t>
      </w:r>
    </w:p>
    <w:p w14:paraId="6A5B4291" w14:textId="7BD68EDE" w:rsidR="00200F2A" w:rsidRPr="005D11F7" w:rsidRDefault="00FB7D72" w:rsidP="00521F31">
      <w:pPr>
        <w:pStyle w:val="ToRAlphaPara"/>
      </w:pPr>
      <w:r w:rsidRPr="00416971">
        <w:t>recommendations as to the structure and content of the proposed environmental management framework</w:t>
      </w:r>
      <w:r>
        <w:t>, including with respect to monitoring of environmental effects, contingency plans and site rehabilitation</w:t>
      </w:r>
      <w:r w:rsidRPr="00416971">
        <w:t xml:space="preserve">; </w:t>
      </w:r>
    </w:p>
    <w:p w14:paraId="79012BC2" w14:textId="77777777" w:rsidR="00FB7D72" w:rsidRPr="001C4F09" w:rsidRDefault="00FB7D72" w:rsidP="00521F31">
      <w:pPr>
        <w:pStyle w:val="ToRAlphaPara"/>
      </w:pPr>
      <w:r>
        <w:t xml:space="preserve">recommendations with respect to the WAA, including recommendations about conditions that </w:t>
      </w:r>
      <w:r w:rsidRPr="001C4F09">
        <w:t>might appropriately be attached to a works approval if issued; and</w:t>
      </w:r>
    </w:p>
    <w:p w14:paraId="3CF8B7D3" w14:textId="2BA6A002" w:rsidR="00FB7D72" w:rsidRPr="001C4F09" w:rsidRDefault="00FB7D72" w:rsidP="00521F31">
      <w:pPr>
        <w:pStyle w:val="ToRAlphaPara"/>
      </w:pPr>
      <w:r w:rsidRPr="001C4F09">
        <w:t xml:space="preserve">specific findings and recommendations about the </w:t>
      </w:r>
      <w:r w:rsidR="00661331" w:rsidRPr="001C4F09">
        <w:t xml:space="preserve">predicted impacts </w:t>
      </w:r>
      <w:r w:rsidR="0037583C" w:rsidRPr="001C4F09">
        <w:t xml:space="preserve">and residual risks for </w:t>
      </w:r>
      <w:r w:rsidR="00661331" w:rsidRPr="001C4F09">
        <w:t xml:space="preserve">matters of national environmental significance and their </w:t>
      </w:r>
      <w:r w:rsidRPr="001C4F09">
        <w:t>acceptability</w:t>
      </w:r>
      <w:r w:rsidR="00661331" w:rsidRPr="001C4F09">
        <w:t xml:space="preserve">, including </w:t>
      </w:r>
      <w:r w:rsidRPr="001C4F09">
        <w:t>appropriate control</w:t>
      </w:r>
      <w:r w:rsidR="00661331" w:rsidRPr="001C4F09">
        <w:t>s</w:t>
      </w:r>
      <w:r w:rsidRPr="001C4F09">
        <w:t xml:space="preserve"> and </w:t>
      </w:r>
      <w:r w:rsidR="00661331" w:rsidRPr="001C4F09">
        <w:t xml:space="preserve">environmental </w:t>
      </w:r>
      <w:r w:rsidRPr="001C4F09">
        <w:t>management.</w:t>
      </w:r>
    </w:p>
    <w:p w14:paraId="74A7B8FF" w14:textId="77777777" w:rsidR="00CF7F54" w:rsidRPr="00301D2E" w:rsidRDefault="00CF7F54" w:rsidP="004423C3">
      <w:pPr>
        <w:pStyle w:val="ToRNumberedPara"/>
        <w:spacing w:after="0"/>
        <w:rPr>
          <w:rFonts w:eastAsia="Times"/>
        </w:rPr>
      </w:pPr>
      <w:r w:rsidRPr="00301D2E">
        <w:rPr>
          <w:rFonts w:eastAsia="Times"/>
        </w:rPr>
        <w:t>The report should include:</w:t>
      </w:r>
    </w:p>
    <w:p w14:paraId="61711103" w14:textId="77777777" w:rsidR="00CF7F54" w:rsidRPr="00301D2E" w:rsidRDefault="00CF7F54" w:rsidP="00DC19F6">
      <w:pPr>
        <w:pStyle w:val="ToRAlphaPara"/>
      </w:pPr>
      <w:r w:rsidRPr="00301D2E">
        <w:t>information and analysis in support of the IAC’s findings and recommendations;</w:t>
      </w:r>
    </w:p>
    <w:p w14:paraId="67E27AF5" w14:textId="129E69D3" w:rsidR="0063004F" w:rsidRPr="00301D2E" w:rsidRDefault="0063004F" w:rsidP="00F400BC">
      <w:pPr>
        <w:pStyle w:val="ToRAlphaPara"/>
      </w:pPr>
      <w:r w:rsidRPr="00301D2E">
        <w:t xml:space="preserve">a list of all recommendations, including cross-references to relevant discussions in the report; </w:t>
      </w:r>
    </w:p>
    <w:p w14:paraId="12F0ED84" w14:textId="77777777" w:rsidR="00CF7F54" w:rsidRPr="00301D2E" w:rsidRDefault="00CF7F54" w:rsidP="001815E0">
      <w:pPr>
        <w:pStyle w:val="ToRAlphaPara"/>
      </w:pPr>
      <w:r w:rsidRPr="00301D2E">
        <w:t xml:space="preserve">a description of the public hearing conducted by the IAC, and a list of those persons consulted with or heard by the IAC; </w:t>
      </w:r>
    </w:p>
    <w:p w14:paraId="5FD078CA" w14:textId="51088EB4" w:rsidR="00C75B59" w:rsidRPr="00301D2E" w:rsidRDefault="00C75B59" w:rsidP="000138EA">
      <w:pPr>
        <w:pStyle w:val="ToRAlphaPara"/>
      </w:pPr>
      <w:r w:rsidRPr="00301D2E">
        <w:t>a list of all submitters in response to the exhibited EES;</w:t>
      </w:r>
      <w:r w:rsidR="006F6749" w:rsidRPr="00301D2E">
        <w:t xml:space="preserve"> and</w:t>
      </w:r>
    </w:p>
    <w:p w14:paraId="593252ED" w14:textId="77777777" w:rsidR="00CF7F54" w:rsidRPr="00301D2E" w:rsidRDefault="00CF7F54" w:rsidP="00514928">
      <w:pPr>
        <w:pStyle w:val="ToRAlphaPara"/>
      </w:pPr>
      <w:r w:rsidRPr="00301D2E">
        <w:t>a list of the documents tabled during the public hearing.</w:t>
      </w:r>
    </w:p>
    <w:p w14:paraId="76C9239F" w14:textId="77777777" w:rsidR="009F081D" w:rsidRPr="001C7B8B" w:rsidRDefault="009F081D" w:rsidP="001913F7">
      <w:pPr>
        <w:pStyle w:val="ToRHeading"/>
      </w:pPr>
      <w:r w:rsidRPr="001C7B8B">
        <w:t>Timing</w:t>
      </w:r>
    </w:p>
    <w:p w14:paraId="52838C18" w14:textId="65F1EF68" w:rsidR="00740F34" w:rsidRPr="001C7B8B" w:rsidRDefault="00740F34" w:rsidP="00740F34">
      <w:pPr>
        <w:pStyle w:val="ToRNumberedPara"/>
        <w:rPr>
          <w:rFonts w:eastAsia="Times"/>
        </w:rPr>
      </w:pPr>
      <w:r w:rsidRPr="001C7B8B">
        <w:rPr>
          <w:rFonts w:eastAsia="Times"/>
        </w:rPr>
        <w:t xml:space="preserve">The IAC should </w:t>
      </w:r>
      <w:r w:rsidR="00FA23F8">
        <w:rPr>
          <w:rFonts w:eastAsia="Times"/>
        </w:rPr>
        <w:t>commence</w:t>
      </w:r>
      <w:r w:rsidR="00FA23F8" w:rsidRPr="001C7B8B">
        <w:rPr>
          <w:rFonts w:eastAsia="Times"/>
        </w:rPr>
        <w:t xml:space="preserve"> </w:t>
      </w:r>
      <w:r w:rsidRPr="001C7B8B">
        <w:rPr>
          <w:rFonts w:eastAsia="Times"/>
        </w:rPr>
        <w:t xml:space="preserve">its </w:t>
      </w:r>
      <w:r w:rsidR="003E0824">
        <w:rPr>
          <w:rFonts w:eastAsia="Times"/>
        </w:rPr>
        <w:t>main</w:t>
      </w:r>
      <w:r w:rsidR="003E0824" w:rsidRPr="001C7B8B">
        <w:rPr>
          <w:rFonts w:eastAsia="Times"/>
        </w:rPr>
        <w:t xml:space="preserve"> </w:t>
      </w:r>
      <w:r w:rsidRPr="001C7B8B">
        <w:rPr>
          <w:rFonts w:eastAsia="Times"/>
        </w:rPr>
        <w:t xml:space="preserve">public hearing no later than </w:t>
      </w:r>
      <w:r w:rsidR="004108B5" w:rsidRPr="001C7B8B">
        <w:rPr>
          <w:rFonts w:eastAsia="Times"/>
        </w:rPr>
        <w:t xml:space="preserve">40 </w:t>
      </w:r>
      <w:r w:rsidRPr="001C7B8B">
        <w:rPr>
          <w:rFonts w:eastAsia="Times"/>
        </w:rPr>
        <w:t>business days from the final date of the exhibition period, or as otherwise agreed by the Minister for Planning.</w:t>
      </w:r>
    </w:p>
    <w:p w14:paraId="1BA24F76" w14:textId="1BD6116E" w:rsidR="00740F34" w:rsidRPr="001C7B8B" w:rsidRDefault="00740F34" w:rsidP="00740F34">
      <w:pPr>
        <w:pStyle w:val="ToRNumberedPara"/>
        <w:rPr>
          <w:rFonts w:eastAsia="Times"/>
        </w:rPr>
      </w:pPr>
      <w:r w:rsidRPr="001C7B8B">
        <w:rPr>
          <w:rFonts w:eastAsia="Times"/>
        </w:rPr>
        <w:t xml:space="preserve">The IAC must submit its report in writing to the Minister for Planning within </w:t>
      </w:r>
      <w:r w:rsidR="00FA23F8">
        <w:rPr>
          <w:rFonts w:eastAsia="Times"/>
        </w:rPr>
        <w:t>40</w:t>
      </w:r>
      <w:r w:rsidR="00FA23F8" w:rsidRPr="001C7B8B">
        <w:rPr>
          <w:rFonts w:eastAsia="Times"/>
        </w:rPr>
        <w:t xml:space="preserve"> </w:t>
      </w:r>
      <w:r w:rsidRPr="001C7B8B">
        <w:rPr>
          <w:rFonts w:eastAsia="Times"/>
        </w:rPr>
        <w:t>business days from its last hearing date.</w:t>
      </w:r>
    </w:p>
    <w:p w14:paraId="008C8322" w14:textId="1F11A1F2" w:rsidR="00FC58B7" w:rsidRPr="000F63B4" w:rsidRDefault="00FC58B7" w:rsidP="001913F7">
      <w:pPr>
        <w:pStyle w:val="ToRHeading"/>
      </w:pPr>
      <w:r w:rsidRPr="000F63B4">
        <w:lastRenderedPageBreak/>
        <w:t xml:space="preserve">Minister’s </w:t>
      </w:r>
      <w:r w:rsidR="00476324" w:rsidRPr="000F63B4">
        <w:t xml:space="preserve">assessment </w:t>
      </w:r>
    </w:p>
    <w:p w14:paraId="7ED9E9B3" w14:textId="77777777" w:rsidR="009A3C5D" w:rsidRPr="000F63B4" w:rsidRDefault="00FC58B7" w:rsidP="009A3C5D">
      <w:pPr>
        <w:pStyle w:val="ToRNumberedPara"/>
        <w:rPr>
          <w:rFonts w:eastAsia="Times"/>
        </w:rPr>
      </w:pPr>
      <w:r w:rsidRPr="000F63B4">
        <w:t xml:space="preserve"> </w:t>
      </w:r>
      <w:r w:rsidR="009A3C5D" w:rsidRPr="000F63B4">
        <w:rPr>
          <w:rFonts w:eastAsia="Times"/>
        </w:rPr>
        <w:t>The Minister for Planning will make his assessment of the environmental effects of the project after considering the IAC’s report as well as the EES, submissions and any other relevant matters.</w:t>
      </w:r>
    </w:p>
    <w:p w14:paraId="2E55E95D" w14:textId="40137E7A" w:rsidR="00E60070" w:rsidRPr="000F63B4" w:rsidRDefault="00FA23F8" w:rsidP="00E60070">
      <w:pPr>
        <w:pStyle w:val="ToRNumberedPara"/>
        <w:rPr>
          <w:rFonts w:eastAsia="Times"/>
        </w:rPr>
      </w:pPr>
      <w:r>
        <w:rPr>
          <w:rFonts w:eastAsia="Times"/>
        </w:rPr>
        <w:t>PPV</w:t>
      </w:r>
      <w:r w:rsidR="00E60070" w:rsidRPr="000F63B4">
        <w:rPr>
          <w:rFonts w:eastAsia="Times"/>
        </w:rPr>
        <w:t xml:space="preserve"> will notify submitters of the release of the Minister for Planning's assessment and IAC report.</w:t>
      </w:r>
    </w:p>
    <w:p w14:paraId="05408446" w14:textId="3430F2D8" w:rsidR="009F081D" w:rsidRPr="00AE587D" w:rsidRDefault="009F081D" w:rsidP="001913F7">
      <w:pPr>
        <w:pStyle w:val="ToRHeading"/>
      </w:pPr>
      <w:r w:rsidRPr="00AE587D">
        <w:t>Fee</w:t>
      </w:r>
    </w:p>
    <w:p w14:paraId="2D8FFDE3" w14:textId="49B270B6" w:rsidR="00A03598" w:rsidRPr="00AE587D" w:rsidRDefault="00A03598" w:rsidP="00C21D8A">
      <w:pPr>
        <w:pStyle w:val="ToRNumberedPara"/>
        <w:rPr>
          <w:rFonts w:eastAsia="Times"/>
        </w:rPr>
      </w:pPr>
      <w:r w:rsidRPr="00AE587D">
        <w:rPr>
          <w:rFonts w:eastAsia="Times"/>
        </w:rPr>
        <w:t xml:space="preserve">The </w:t>
      </w:r>
      <w:r w:rsidR="0030653A" w:rsidRPr="00AE587D">
        <w:rPr>
          <w:rFonts w:eastAsia="Times"/>
        </w:rPr>
        <w:t>fee</w:t>
      </w:r>
      <w:r w:rsidR="00E02663">
        <w:rPr>
          <w:rFonts w:eastAsia="Times"/>
        </w:rPr>
        <w:t>s</w:t>
      </w:r>
      <w:r w:rsidR="0030653A" w:rsidRPr="00AE587D">
        <w:rPr>
          <w:rFonts w:eastAsia="Times"/>
        </w:rPr>
        <w:t xml:space="preserve"> for the </w:t>
      </w:r>
      <w:r w:rsidRPr="00AE587D">
        <w:rPr>
          <w:rFonts w:eastAsia="Times"/>
        </w:rPr>
        <w:t xml:space="preserve">members of the IAC </w:t>
      </w:r>
      <w:r w:rsidR="001A1DF2" w:rsidRPr="00AE587D">
        <w:rPr>
          <w:rFonts w:eastAsia="Times"/>
        </w:rPr>
        <w:t xml:space="preserve">will be set at the </w:t>
      </w:r>
      <w:r w:rsidR="00DB2A67" w:rsidRPr="00AE587D">
        <w:rPr>
          <w:rFonts w:eastAsia="Times"/>
        </w:rPr>
        <w:t>current</w:t>
      </w:r>
      <w:r w:rsidR="001A1DF2" w:rsidRPr="00AE587D">
        <w:rPr>
          <w:rFonts w:eastAsia="Times"/>
        </w:rPr>
        <w:t xml:space="preserve"> rate for a panel </w:t>
      </w:r>
      <w:r w:rsidRPr="00AE587D">
        <w:rPr>
          <w:rFonts w:eastAsia="Times"/>
        </w:rPr>
        <w:t>appointed under part 8 of the P&amp;E Act.</w:t>
      </w:r>
    </w:p>
    <w:p w14:paraId="080BB686" w14:textId="40B8A3B6" w:rsidR="00A03598" w:rsidRPr="00AC3F6F" w:rsidRDefault="00A03598" w:rsidP="00C21D8A">
      <w:pPr>
        <w:pStyle w:val="ToRNumberedPara"/>
        <w:rPr>
          <w:rFonts w:eastAsia="Times"/>
        </w:rPr>
      </w:pPr>
      <w:r w:rsidRPr="00AC3F6F">
        <w:rPr>
          <w:rFonts w:eastAsia="Times"/>
        </w:rPr>
        <w:t>All costs of the IAC, including the costs of obtaining any expert advice, technical administration and legal support, venue hire, accommodation, recording proceedings and other costs must be met by the proponent.</w:t>
      </w:r>
      <w:r w:rsidRPr="00AC3F6F" w:rsidDel="001D6E73">
        <w:rPr>
          <w:rFonts w:eastAsia="Times"/>
        </w:rPr>
        <w:t xml:space="preserve"> </w:t>
      </w:r>
    </w:p>
    <w:p w14:paraId="4843CC15" w14:textId="77777777" w:rsidR="00C21D8A" w:rsidRPr="00D06D75" w:rsidRDefault="00C21D8A" w:rsidP="00C21D8A">
      <w:pPr>
        <w:pStyle w:val="ToRHeading"/>
        <w:rPr>
          <w:rFonts w:eastAsia="Times"/>
        </w:rPr>
      </w:pPr>
      <w:r w:rsidRPr="00D06D75">
        <w:rPr>
          <w:rFonts w:eastAsia="Times"/>
        </w:rPr>
        <w:t>Miscellaneous</w:t>
      </w:r>
    </w:p>
    <w:p w14:paraId="6BF91878" w14:textId="27EE994A" w:rsidR="00C21D8A" w:rsidRDefault="00C21D8A" w:rsidP="00C21D8A">
      <w:pPr>
        <w:pStyle w:val="ToRNumberedPara"/>
        <w:rPr>
          <w:rFonts w:eastAsia="Times"/>
        </w:rPr>
      </w:pPr>
      <w:r w:rsidRPr="00D06D75">
        <w:rPr>
          <w:rFonts w:eastAsia="Times"/>
        </w:rPr>
        <w:t>The IAC may apply to the Minister for Planning to vary these terms of reference in writing, at any time prior to submission of its report.</w:t>
      </w:r>
    </w:p>
    <w:p w14:paraId="1FCE4A0D" w14:textId="03A79602" w:rsidR="00FB4F73" w:rsidRDefault="00FB4F73" w:rsidP="00FB4F73">
      <w:pPr>
        <w:pStyle w:val="ToRNumberedPara"/>
        <w:spacing w:before="120" w:after="0" w:line="240" w:lineRule="auto"/>
        <w:rPr>
          <w:rFonts w:eastAsia="Times"/>
        </w:rPr>
      </w:pPr>
      <w:r w:rsidRPr="00D06D75">
        <w:rPr>
          <w:rFonts w:eastAsia="Times"/>
        </w:rPr>
        <w:t>The IAC may retain legal counsel to assist it in undertaking its role.</w:t>
      </w:r>
    </w:p>
    <w:p w14:paraId="213A2A9E" w14:textId="66077E2B" w:rsidR="00C21D8A" w:rsidRDefault="00FA23F8" w:rsidP="00C21D8A">
      <w:pPr>
        <w:pStyle w:val="ToRNumberedPara"/>
        <w:spacing w:before="120" w:after="0" w:line="240" w:lineRule="auto"/>
        <w:rPr>
          <w:rFonts w:eastAsia="Times"/>
        </w:rPr>
      </w:pPr>
      <w:r>
        <w:rPr>
          <w:rFonts w:eastAsia="Times"/>
        </w:rPr>
        <w:t>PPV</w:t>
      </w:r>
      <w:r w:rsidR="00C21D8A" w:rsidRPr="00FB4F73">
        <w:rPr>
          <w:rFonts w:eastAsia="Times"/>
        </w:rPr>
        <w:t xml:space="preserve"> is to provide any necessary administrative support to the IAC.</w:t>
      </w:r>
    </w:p>
    <w:p w14:paraId="4F81BC93" w14:textId="68ED8E79" w:rsidR="00C21D8A" w:rsidRPr="0067143D" w:rsidRDefault="00C21D8A" w:rsidP="00C21D8A">
      <w:pPr>
        <w:pStyle w:val="ToRNumberedPara"/>
        <w:spacing w:before="120" w:after="0" w:line="240" w:lineRule="auto"/>
        <w:rPr>
          <w:rFonts w:eastAsia="Times"/>
        </w:rPr>
      </w:pPr>
      <w:r w:rsidRPr="0067143D">
        <w:rPr>
          <w:rFonts w:eastAsia="Times"/>
        </w:rPr>
        <w:t>The IAC may engage addition</w:t>
      </w:r>
      <w:bookmarkStart w:id="0" w:name="_GoBack"/>
      <w:bookmarkEnd w:id="0"/>
      <w:r w:rsidRPr="0067143D">
        <w:rPr>
          <w:rFonts w:eastAsia="Times"/>
        </w:rPr>
        <w:t>al technical and administrative support</w:t>
      </w:r>
      <w:r w:rsidR="001B6146">
        <w:rPr>
          <w:rFonts w:eastAsia="Times"/>
        </w:rPr>
        <w:t xml:space="preserve"> or </w:t>
      </w:r>
      <w:r w:rsidRPr="0067143D">
        <w:rPr>
          <w:rFonts w:eastAsia="Times"/>
        </w:rPr>
        <w:t>as required</w:t>
      </w:r>
      <w:r w:rsidR="006132DF" w:rsidRPr="0067143D">
        <w:rPr>
          <w:rFonts w:eastAsia="Times"/>
        </w:rPr>
        <w:t xml:space="preserve"> </w:t>
      </w:r>
      <w:r w:rsidR="003352EB" w:rsidRPr="0067143D">
        <w:rPr>
          <w:rFonts w:eastAsia="Times"/>
        </w:rPr>
        <w:t>direct questions to</w:t>
      </w:r>
      <w:r w:rsidR="008D6B23" w:rsidRPr="0067143D">
        <w:rPr>
          <w:rFonts w:eastAsia="Times"/>
        </w:rPr>
        <w:t xml:space="preserve"> the independent peer reviewers appointed by DELWP</w:t>
      </w:r>
      <w:r w:rsidRPr="0067143D">
        <w:rPr>
          <w:rFonts w:eastAsia="Times"/>
        </w:rPr>
        <w:t>.</w:t>
      </w:r>
    </w:p>
    <w:p w14:paraId="2DEDDCF9" w14:textId="77777777" w:rsidR="009F081D" w:rsidRPr="00907E95" w:rsidRDefault="009F081D" w:rsidP="00533149">
      <w:pPr>
        <w:rPr>
          <w:highlight w:val="yellow"/>
        </w:rPr>
      </w:pPr>
    </w:p>
    <w:p w14:paraId="194306CA" w14:textId="69F825CC" w:rsidR="009F081D" w:rsidRDefault="009F081D" w:rsidP="00533149"/>
    <w:p w14:paraId="6FCEE09E" w14:textId="77777777" w:rsidR="008D201A" w:rsidRPr="00D06D75" w:rsidRDefault="008D201A" w:rsidP="00533149"/>
    <w:p w14:paraId="3B682E0D" w14:textId="7AB07084" w:rsidR="009F081D" w:rsidRPr="00D06D75" w:rsidRDefault="00481B2B" w:rsidP="00533149">
      <w:r>
        <w:rPr>
          <w:noProof/>
        </w:rPr>
        <w:drawing>
          <wp:inline distT="0" distB="0" distL="0" distR="0" wp14:anchorId="5DD968A5" wp14:editId="4765C1E6">
            <wp:extent cx="1962150" cy="1798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18" t="24459" r="84711" b="46296"/>
                    <a:stretch/>
                  </pic:blipFill>
                  <pic:spPr bwMode="auto">
                    <a:xfrm>
                      <a:off x="0" y="0"/>
                      <a:ext cx="1976813" cy="1812079"/>
                    </a:xfrm>
                    <a:prstGeom prst="rect">
                      <a:avLst/>
                    </a:prstGeom>
                    <a:ln>
                      <a:noFill/>
                    </a:ln>
                    <a:extLst>
                      <a:ext uri="{53640926-AAD7-44D8-BBD7-CCE9431645EC}">
                        <a14:shadowObscured xmlns:a14="http://schemas.microsoft.com/office/drawing/2010/main"/>
                      </a:ext>
                    </a:extLst>
                  </pic:spPr>
                </pic:pic>
              </a:graphicData>
            </a:graphic>
          </wp:inline>
        </w:drawing>
      </w:r>
    </w:p>
    <w:p w14:paraId="26BB8B2E" w14:textId="77777777" w:rsidR="00EB2222" w:rsidRPr="00D06D75" w:rsidRDefault="00EB2222" w:rsidP="00533149">
      <w:pPr>
        <w:rPr>
          <w:b/>
        </w:rPr>
      </w:pPr>
    </w:p>
    <w:p w14:paraId="70E916E0" w14:textId="77777777" w:rsidR="00B11A87" w:rsidRPr="00907E95" w:rsidRDefault="00B11A87" w:rsidP="00533149">
      <w:pPr>
        <w:rPr>
          <w:highlight w:val="yellow"/>
        </w:rPr>
      </w:pPr>
      <w:r w:rsidRPr="00907E95">
        <w:rPr>
          <w:highlight w:val="yellow"/>
        </w:rPr>
        <w:br w:type="page"/>
      </w:r>
    </w:p>
    <w:p w14:paraId="391F7787" w14:textId="77777777" w:rsidR="00F95E21" w:rsidRPr="00D06D75" w:rsidRDefault="00F95E21" w:rsidP="00533149">
      <w:r w:rsidRPr="00D06D75">
        <w:lastRenderedPageBreak/>
        <w:t>The following information does not form part the Terms of Reference.</w:t>
      </w:r>
    </w:p>
    <w:p w14:paraId="07393C1B" w14:textId="77777777" w:rsidR="00C351CA" w:rsidRPr="00907E95" w:rsidRDefault="00C351CA" w:rsidP="00533149">
      <w:pPr>
        <w:rPr>
          <w:highlight w:val="yellow"/>
        </w:rPr>
      </w:pPr>
    </w:p>
    <w:p w14:paraId="39C384EB" w14:textId="77777777" w:rsidR="00C351CA" w:rsidRPr="00EA3FE6" w:rsidRDefault="00C351CA" w:rsidP="001913F7">
      <w:pPr>
        <w:pStyle w:val="ToRHeading"/>
      </w:pPr>
      <w:r w:rsidRPr="00EA3FE6">
        <w:t>Project Management</w:t>
      </w:r>
    </w:p>
    <w:p w14:paraId="78ACFDFD" w14:textId="5CF92EDB" w:rsidR="00110060" w:rsidRPr="00EA3FE6" w:rsidRDefault="00110060" w:rsidP="00877932">
      <w:pPr>
        <w:pStyle w:val="ToRNumberedPara"/>
        <w:numPr>
          <w:ilvl w:val="0"/>
          <w:numId w:val="11"/>
        </w:numPr>
        <w:rPr>
          <w:rFonts w:eastAsia="Times"/>
        </w:rPr>
      </w:pPr>
      <w:r w:rsidRPr="00EA3FE6">
        <w:rPr>
          <w:rFonts w:eastAsia="Times"/>
        </w:rPr>
        <w:t xml:space="preserve">For matters regarding the IAC process, please contact </w:t>
      </w:r>
      <w:r w:rsidR="00A73BFF">
        <w:rPr>
          <w:rFonts w:eastAsia="Times"/>
        </w:rPr>
        <w:t>Amy Selvaraj, Senior Project Officer,</w:t>
      </w:r>
      <w:r w:rsidR="00A73BFF" w:rsidRPr="00EA3FE6">
        <w:rPr>
          <w:rFonts w:eastAsia="Times"/>
        </w:rPr>
        <w:t xml:space="preserve"> </w:t>
      </w:r>
      <w:r w:rsidRPr="00EA3FE6">
        <w:rPr>
          <w:rFonts w:eastAsia="Times"/>
        </w:rPr>
        <w:t xml:space="preserve">of Planning Panels Victoria, by phone (03) </w:t>
      </w:r>
      <w:r w:rsidR="00A73BFF">
        <w:rPr>
          <w:rFonts w:eastAsia="Times"/>
        </w:rPr>
        <w:t>8392 5120</w:t>
      </w:r>
      <w:r w:rsidR="00A73BFF" w:rsidRPr="00EA3FE6">
        <w:rPr>
          <w:rFonts w:eastAsia="Times"/>
        </w:rPr>
        <w:t xml:space="preserve"> </w:t>
      </w:r>
      <w:r w:rsidRPr="00EA3FE6">
        <w:rPr>
          <w:rFonts w:eastAsia="Times"/>
        </w:rPr>
        <w:t xml:space="preserve">or email </w:t>
      </w:r>
      <w:hyperlink r:id="rId9" w:history="1">
        <w:r w:rsidR="000F476B" w:rsidRPr="00EA3FE6">
          <w:rPr>
            <w:rStyle w:val="Hyperlink"/>
            <w:rFonts w:eastAsia="Times"/>
          </w:rPr>
          <w:t>Planning.Panels@delwp.vic.gov.au</w:t>
        </w:r>
      </w:hyperlink>
      <w:hyperlink r:id="rId10" w:history="1"/>
      <w:r w:rsidR="00F72C94" w:rsidRPr="00EA3FE6">
        <w:rPr>
          <w:rFonts w:eastAsia="Times"/>
        </w:rPr>
        <w:t xml:space="preserve">. </w:t>
      </w:r>
      <w:r w:rsidR="009207D4" w:rsidRPr="00EA3FE6">
        <w:rPr>
          <w:rFonts w:eastAsia="Times"/>
        </w:rPr>
        <w:t xml:space="preserve">  </w:t>
      </w:r>
    </w:p>
    <w:p w14:paraId="1F98C9E6" w14:textId="1AEE84A5" w:rsidR="00110060" w:rsidRPr="00EA3FE6" w:rsidRDefault="00110060" w:rsidP="009207D4">
      <w:pPr>
        <w:pStyle w:val="ToRNumberedPara"/>
        <w:rPr>
          <w:rFonts w:eastAsia="Times"/>
        </w:rPr>
      </w:pPr>
      <w:r w:rsidRPr="00EA3FE6">
        <w:rPr>
          <w:rFonts w:eastAsia="Times"/>
        </w:rPr>
        <w:t xml:space="preserve">For matters regarding the EES process please contact the Impact Assessment Unit in DELWP by phone (03) 8392 5503 or email </w:t>
      </w:r>
      <w:hyperlink r:id="rId11" w:history="1">
        <w:r w:rsidR="00DD5BA5" w:rsidRPr="00EA3FE6">
          <w:rPr>
            <w:rStyle w:val="Hyperlink"/>
            <w:rFonts w:eastAsia="Times"/>
          </w:rPr>
          <w:t>environment.assessment@delwp.vic.gov.au</w:t>
        </w:r>
      </w:hyperlink>
      <w:r w:rsidRPr="00EA3FE6">
        <w:rPr>
          <w:rFonts w:eastAsia="Times"/>
        </w:rPr>
        <w:t>.</w:t>
      </w:r>
    </w:p>
    <w:p w14:paraId="266C6C06" w14:textId="2F1FEB10" w:rsidR="00AC2457" w:rsidRPr="00EA3FE6" w:rsidRDefault="00AC2457">
      <w:pPr>
        <w:rPr>
          <w:rFonts w:eastAsia="Times"/>
        </w:rPr>
      </w:pPr>
      <w:r w:rsidRPr="00EA3FE6">
        <w:rPr>
          <w:rFonts w:eastAsia="Times"/>
        </w:rPr>
        <w:br w:type="page"/>
      </w:r>
    </w:p>
    <w:p w14:paraId="22C8D3C1" w14:textId="2BA0072C" w:rsidR="00AC2457" w:rsidRPr="00260D63" w:rsidRDefault="00AC2457" w:rsidP="00260D63">
      <w:pPr>
        <w:jc w:val="both"/>
        <w:rPr>
          <w:b/>
          <w:szCs w:val="22"/>
          <w:lang w:eastAsia="en-US"/>
        </w:rPr>
      </w:pPr>
      <w:r w:rsidRPr="00260D63">
        <w:rPr>
          <w:b/>
          <w:szCs w:val="22"/>
          <w:u w:val="single"/>
          <w:lang w:eastAsia="en-US"/>
        </w:rPr>
        <w:lastRenderedPageBreak/>
        <w:t>Attachment 1</w:t>
      </w:r>
    </w:p>
    <w:p w14:paraId="1AC4DC21" w14:textId="77777777" w:rsidR="00260D63" w:rsidRPr="00141731" w:rsidRDefault="00260D63" w:rsidP="00260D63">
      <w:pPr>
        <w:jc w:val="both"/>
        <w:rPr>
          <w:b/>
        </w:rPr>
      </w:pPr>
      <w:r w:rsidRPr="00141731">
        <w:rPr>
          <w:b/>
        </w:rPr>
        <w:t>Procedures and requirements under section 8</w:t>
      </w:r>
      <w:proofErr w:type="gramStart"/>
      <w:r w:rsidRPr="00141731">
        <w:rPr>
          <w:b/>
        </w:rPr>
        <w:t>B(</w:t>
      </w:r>
      <w:proofErr w:type="gramEnd"/>
      <w:r w:rsidRPr="00141731">
        <w:rPr>
          <w:b/>
        </w:rPr>
        <w:t xml:space="preserve">5) of the </w:t>
      </w:r>
      <w:r w:rsidRPr="00141731">
        <w:rPr>
          <w:b/>
          <w:i/>
        </w:rPr>
        <w:t>Environment Effects Act 1978</w:t>
      </w:r>
    </w:p>
    <w:p w14:paraId="107B2141" w14:textId="77777777" w:rsidR="00CC5C88" w:rsidRPr="00141731" w:rsidRDefault="00CC5C88" w:rsidP="00CC5C88">
      <w:pPr>
        <w:jc w:val="both"/>
        <w:rPr>
          <w:lang w:eastAsia="en-US"/>
        </w:rPr>
      </w:pPr>
      <w:r w:rsidRPr="00141731">
        <w:rPr>
          <w:lang w:eastAsia="en-US"/>
        </w:rPr>
        <w:t>The procedures and requirements applying to the EES process, in accordance with both section 8</w:t>
      </w:r>
      <w:proofErr w:type="gramStart"/>
      <w:r w:rsidRPr="00141731">
        <w:rPr>
          <w:lang w:eastAsia="en-US"/>
        </w:rPr>
        <w:t>B(</w:t>
      </w:r>
      <w:proofErr w:type="gramEnd"/>
      <w:r w:rsidRPr="00141731">
        <w:rPr>
          <w:lang w:eastAsia="en-US"/>
        </w:rPr>
        <w:t xml:space="preserve">5) and the </w:t>
      </w:r>
      <w:r w:rsidRPr="00141731">
        <w:rPr>
          <w:i/>
          <w:lang w:eastAsia="en-US"/>
        </w:rPr>
        <w:t>Ministerial guidelines for assessment of environmental effects under the Environment Effects Act 1978</w:t>
      </w:r>
      <w:r w:rsidRPr="00141731">
        <w:rPr>
          <w:lang w:eastAsia="en-US"/>
        </w:rPr>
        <w:t xml:space="preserve"> (Ministerial Guidelines), are as follows: </w:t>
      </w:r>
    </w:p>
    <w:p w14:paraId="5EB7792D"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The EES is to document the investigation and avoidance of potential environmental effects of the proposed project, including for any relevant alternatives (such as for the mining extent, methods for mining and processing, water supply and transport of mining outputs), as well as associated environmental mitigation and management measures.  </w:t>
      </w:r>
      <w:proofErr w:type="gramStart"/>
      <w:r w:rsidRPr="00141731">
        <w:rPr>
          <w:lang w:eastAsia="en-US"/>
        </w:rPr>
        <w:t>In particular the</w:t>
      </w:r>
      <w:proofErr w:type="gramEnd"/>
      <w:r w:rsidRPr="00141731">
        <w:rPr>
          <w:lang w:eastAsia="en-US"/>
        </w:rPr>
        <w:t xml:space="preserve"> EES should address: </w:t>
      </w:r>
    </w:p>
    <w:p w14:paraId="3FB0A6E3"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 xml:space="preserve">Effects on biodiversity and ecological values within and near the site, and associated with adjacent road reserves and riparian areas, </w:t>
      </w:r>
      <w:proofErr w:type="gramStart"/>
      <w:r w:rsidRPr="00141731">
        <w:rPr>
          <w:lang w:eastAsia="en-US"/>
        </w:rPr>
        <w:t>including:</w:t>
      </w:r>
      <w:proofErr w:type="gramEnd"/>
      <w:r w:rsidRPr="00141731">
        <w:rPr>
          <w:lang w:eastAsia="en-US"/>
        </w:rPr>
        <w:t xml:space="preserve"> native vegetation; listed threatened ecological communities and species of flora and fauna; and other habitats values;</w:t>
      </w:r>
    </w:p>
    <w:p w14:paraId="76FF2FBF"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 xml:space="preserve">Effects on surface water environments, including downstream wetlands, and groundwater resources (hydrology, quality, uses and dependent ecosystems); </w:t>
      </w:r>
    </w:p>
    <w:p w14:paraId="36D7B80F"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 xml:space="preserve">Effects on the land uses and landscape values of the site and surrounding areas, including the implications for agricultural productivity and nearby </w:t>
      </w:r>
      <w:r>
        <w:rPr>
          <w:lang w:eastAsia="en-US"/>
        </w:rPr>
        <w:t>C</w:t>
      </w:r>
      <w:r w:rsidRPr="00141731">
        <w:rPr>
          <w:lang w:eastAsia="en-US"/>
        </w:rPr>
        <w:t xml:space="preserve">rown land, such as the Mitchell River National Park; </w:t>
      </w:r>
    </w:p>
    <w:p w14:paraId="0CBCF317"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Effects on land stability, erosion and soil productivity associated with the construction and operation of the project, including rehabilitation works;</w:t>
      </w:r>
    </w:p>
    <w:p w14:paraId="47C67273"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 xml:space="preserve">Effects on Aboriginal and non-Aboriginal cultural heritage values; </w:t>
      </w:r>
    </w:p>
    <w:p w14:paraId="23218F5A"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Effects of project construction and operation on air quality and noise on nearby sensitive receptors (</w:t>
      </w:r>
      <w:proofErr w:type="gramStart"/>
      <w:r w:rsidRPr="00141731">
        <w:rPr>
          <w:lang w:eastAsia="en-US"/>
        </w:rPr>
        <w:t>in particular residences</w:t>
      </w:r>
      <w:proofErr w:type="gramEnd"/>
      <w:r w:rsidRPr="00141731">
        <w:rPr>
          <w:lang w:eastAsia="en-US"/>
        </w:rPr>
        <w:t>);</w:t>
      </w:r>
    </w:p>
    <w:p w14:paraId="598546E9"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Both positive and adverse socio-economic effects, at local and regional scales, potentially generated by the project, including indirect effects of the project construction workforce on the capacity of local community infrastructure; and</w:t>
      </w:r>
    </w:p>
    <w:p w14:paraId="68FE42F7" w14:textId="77777777" w:rsidR="00CC5C88" w:rsidRPr="00141731" w:rsidRDefault="00CC5C88" w:rsidP="00CC5C88">
      <w:pPr>
        <w:numPr>
          <w:ilvl w:val="0"/>
          <w:numId w:val="31"/>
        </w:numPr>
        <w:tabs>
          <w:tab w:val="clear" w:pos="1800"/>
          <w:tab w:val="num" w:pos="1276"/>
        </w:tabs>
        <w:spacing w:before="120" w:after="0" w:line="240" w:lineRule="auto"/>
        <w:ind w:left="1276" w:hanging="567"/>
        <w:jc w:val="both"/>
        <w:rPr>
          <w:lang w:eastAsia="en-US"/>
        </w:rPr>
      </w:pPr>
      <w:r w:rsidRPr="00141731">
        <w:rPr>
          <w:lang w:eastAsia="en-US"/>
        </w:rPr>
        <w:t>Solid and liquid waste that might be generated by the project during construction and operation.</w:t>
      </w:r>
    </w:p>
    <w:p w14:paraId="7D5BF443"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The matters to be investigated and documented in the EES will be set out in detail in scoping requirements prepared by the Department of Environment, Land, Water and Planning (the department).  Draft scoping requirements will be exhibited for 15 business days for public comment, before being finalised and then issued by the Minister for Planning.</w:t>
      </w:r>
    </w:p>
    <w:p w14:paraId="4BB6BC2E"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The level of detail of investigation for the EES studies should be consistent with the scoping requirements issued for this project and be adequate to inform an assessment of the potential environmental effects (and their acceptability) of the project and any relevant alternatives, in the context of the Ministerial Guidelines.</w:t>
      </w:r>
    </w:p>
    <w:p w14:paraId="3C5E04B5"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The proponent is to prepare and submit to the department a draft EES study program to inform the preparation of scoping requirements. </w:t>
      </w:r>
    </w:p>
    <w:p w14:paraId="7DE75EFA"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The department is to convene an inter-agency Technical Reference Group (TRG) to advise the proponent and the department, as appropriate, on scoping and adequacy of the EES studies during the preparation of the EES, as well as coordination with statutory approval processes.</w:t>
      </w:r>
    </w:p>
    <w:p w14:paraId="3033AB1C"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The proponent is to prepare and submit to the department its’ proposed EES Consultation Plan for consulting the public and engaging with stakeholders during the preparation of the EES.  Once completed to the satisfaction of the department, the EES Consultation Plan is to be implemented by the proponent, having regard to advice from the department and the TRG. </w:t>
      </w:r>
    </w:p>
    <w:p w14:paraId="4938289D"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The proponent is also to prepare and submit to the department its proposed schedule for the studies, preparation and exhibition of the EES, following confirmation of draft scoping requirements.  This is to enable effective management of the EES process </w:t>
      </w:r>
      <w:proofErr w:type="gramStart"/>
      <w:r w:rsidRPr="00141731">
        <w:rPr>
          <w:lang w:eastAsia="en-US"/>
        </w:rPr>
        <w:t>on the basis of</w:t>
      </w:r>
      <w:proofErr w:type="gramEnd"/>
      <w:r w:rsidRPr="00141731">
        <w:rPr>
          <w:lang w:eastAsia="en-US"/>
        </w:rPr>
        <w:t xml:space="preserve"> an agreed alignment of the </w:t>
      </w:r>
      <w:r w:rsidRPr="00141731">
        <w:rPr>
          <w:lang w:eastAsia="en-US"/>
        </w:rPr>
        <w:lastRenderedPageBreak/>
        <w:t>proponent’s and department’s schedules, including for TRG review of technical investigations and the EES documentation.</w:t>
      </w:r>
    </w:p>
    <w:p w14:paraId="0A7AE7E7"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The proponent is to apply appropriate peer review and quality management procedures to enable the completion of EES studies and documentation to </w:t>
      </w:r>
      <w:proofErr w:type="spellStart"/>
      <w:proofErr w:type="gramStart"/>
      <w:r w:rsidRPr="00141731">
        <w:rPr>
          <w:lang w:eastAsia="en-US"/>
        </w:rPr>
        <w:t>a</w:t>
      </w:r>
      <w:proofErr w:type="spellEnd"/>
      <w:proofErr w:type="gramEnd"/>
      <w:r w:rsidRPr="00141731">
        <w:rPr>
          <w:lang w:eastAsia="en-US"/>
        </w:rPr>
        <w:t xml:space="preserve"> acceptable standard.</w:t>
      </w:r>
    </w:p>
    <w:p w14:paraId="281F4CBB" w14:textId="4AA2149D"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The EES is to be exhibited for a period of 30 business days</w:t>
      </w:r>
      <w:r>
        <w:rPr>
          <w:rStyle w:val="FootnoteReference"/>
          <w:lang w:eastAsia="en-US"/>
        </w:rPr>
        <w:footnoteReference w:id="2"/>
      </w:r>
      <w:r w:rsidRPr="00141731">
        <w:rPr>
          <w:lang w:eastAsia="en-US"/>
        </w:rPr>
        <w:t xml:space="preserve"> for public comment, unless the exhibition period spans the Christmas–New Year period, in which case 40 business days will apply.</w:t>
      </w:r>
    </w:p>
    <w:p w14:paraId="53CF642B" w14:textId="77777777" w:rsidR="00CC5C88" w:rsidRPr="00141731" w:rsidRDefault="00CC5C88" w:rsidP="00CC5C88">
      <w:pPr>
        <w:numPr>
          <w:ilvl w:val="0"/>
          <w:numId w:val="30"/>
        </w:numPr>
        <w:spacing w:before="120" w:after="0" w:line="240" w:lineRule="auto"/>
        <w:ind w:hanging="540"/>
        <w:jc w:val="both"/>
        <w:rPr>
          <w:lang w:eastAsia="en-US"/>
        </w:rPr>
      </w:pPr>
      <w:r w:rsidRPr="00141731">
        <w:rPr>
          <w:lang w:eastAsia="en-US"/>
        </w:rPr>
        <w:t xml:space="preserve">An inquiry will be appointed under the </w:t>
      </w:r>
      <w:r w:rsidRPr="00141731">
        <w:rPr>
          <w:i/>
          <w:lang w:eastAsia="en-US"/>
        </w:rPr>
        <w:t xml:space="preserve">Environment Effects Act 1978 </w:t>
      </w:r>
      <w:r w:rsidRPr="00141731">
        <w:rPr>
          <w:lang w:eastAsia="en-US"/>
        </w:rPr>
        <w:t>to consider and report on the environmental effects of the proposal.</w:t>
      </w:r>
    </w:p>
    <w:p w14:paraId="5642B557" w14:textId="77777777" w:rsidR="00CC5C88" w:rsidRPr="00141731" w:rsidRDefault="00CC5C88" w:rsidP="00CC5C88">
      <w:pPr>
        <w:spacing w:before="120"/>
        <w:jc w:val="both"/>
        <w:rPr>
          <w:lang w:eastAsia="en-US"/>
        </w:rPr>
      </w:pPr>
    </w:p>
    <w:p w14:paraId="58339DC6" w14:textId="77777777" w:rsidR="00CC5C88" w:rsidRPr="00141731" w:rsidRDefault="00CC5C88" w:rsidP="00CC5C88">
      <w:pPr>
        <w:spacing w:after="120"/>
        <w:jc w:val="both"/>
        <w:rPr>
          <w:lang w:eastAsia="en-US"/>
        </w:rPr>
      </w:pPr>
      <w:r w:rsidRPr="00141731">
        <w:rPr>
          <w:b/>
          <w:lang w:eastAsia="en-US"/>
        </w:rPr>
        <w:t>Notification</w:t>
      </w:r>
    </w:p>
    <w:p w14:paraId="4F38A698" w14:textId="77777777" w:rsidR="00CC5C88" w:rsidRPr="00141731" w:rsidRDefault="00CC5C88" w:rsidP="00CC5C88">
      <w:pPr>
        <w:jc w:val="both"/>
        <w:rPr>
          <w:lang w:eastAsia="en-US"/>
        </w:rPr>
      </w:pPr>
      <w:r w:rsidRPr="00141731">
        <w:rPr>
          <w:lang w:eastAsia="en-US"/>
        </w:rPr>
        <w:t>The following parties (proponent and relevant decision-makers) are to be notified of this decision in accordance with sections 8A and 8B(4)(a)(</w:t>
      </w:r>
      <w:proofErr w:type="spellStart"/>
      <w:r w:rsidRPr="00141731">
        <w:rPr>
          <w:lang w:eastAsia="en-US"/>
        </w:rPr>
        <w:t>i</w:t>
      </w:r>
      <w:proofErr w:type="spellEnd"/>
      <w:r w:rsidRPr="00141731">
        <w:rPr>
          <w:lang w:eastAsia="en-US"/>
        </w:rPr>
        <w:t xml:space="preserve">) of the </w:t>
      </w:r>
      <w:r w:rsidRPr="00141731">
        <w:rPr>
          <w:i/>
          <w:lang w:eastAsia="en-US"/>
        </w:rPr>
        <w:t>Environment Effects Act 1978</w:t>
      </w:r>
      <w:r w:rsidRPr="00141731">
        <w:rPr>
          <w:lang w:eastAsia="en-US"/>
        </w:rPr>
        <w:t>:</w:t>
      </w:r>
    </w:p>
    <w:p w14:paraId="4B5C041D"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Kalbar Resources Ltd (proponent)</w:t>
      </w:r>
    </w:p>
    <w:p w14:paraId="24169FC8"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Minister for Resources</w:t>
      </w:r>
    </w:p>
    <w:p w14:paraId="12FC8DEE"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Minister for Environment, Climate Change and Energy</w:t>
      </w:r>
    </w:p>
    <w:p w14:paraId="7DDDA7DE" w14:textId="77777777" w:rsidR="00CC5C88" w:rsidRPr="00141731" w:rsidRDefault="00CC5C88" w:rsidP="00CC5C88">
      <w:pPr>
        <w:numPr>
          <w:ilvl w:val="0"/>
          <w:numId w:val="38"/>
        </w:numPr>
        <w:spacing w:before="120" w:after="0" w:line="240" w:lineRule="auto"/>
        <w:ind w:left="1077" w:hanging="357"/>
        <w:jc w:val="both"/>
        <w:rPr>
          <w:lang w:eastAsia="en-US"/>
        </w:rPr>
      </w:pPr>
      <w:proofErr w:type="spellStart"/>
      <w:r w:rsidRPr="00141731">
        <w:rPr>
          <w:lang w:eastAsia="en-US"/>
        </w:rPr>
        <w:t>Gunaikurnai</w:t>
      </w:r>
      <w:proofErr w:type="spellEnd"/>
      <w:r w:rsidRPr="00141731">
        <w:rPr>
          <w:lang w:eastAsia="en-US"/>
        </w:rPr>
        <w:t xml:space="preserve"> Land and Water Aboriginal Corporation (the Registered Aboriginal Party)</w:t>
      </w:r>
    </w:p>
    <w:p w14:paraId="3B7DE9A2"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Executive Director of Aboriginal Victoria</w:t>
      </w:r>
    </w:p>
    <w:p w14:paraId="6878BA99"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Executive Director of Heritage Victoria</w:t>
      </w:r>
    </w:p>
    <w:p w14:paraId="7A9B7C1C"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East Gippsland Shire</w:t>
      </w:r>
      <w:r w:rsidRPr="00141731">
        <w:t xml:space="preserve"> </w:t>
      </w:r>
    </w:p>
    <w:p w14:paraId="39F53A07"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t xml:space="preserve">Wellington </w:t>
      </w:r>
      <w:r w:rsidRPr="00141731">
        <w:rPr>
          <w:lang w:eastAsia="en-US"/>
        </w:rPr>
        <w:t>Shire</w:t>
      </w:r>
    </w:p>
    <w:p w14:paraId="0FC00220"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East Gippsland Water</w:t>
      </w:r>
    </w:p>
    <w:p w14:paraId="541E4876" w14:textId="77777777" w:rsidR="00CC5C88" w:rsidRPr="00141731" w:rsidRDefault="00CC5C88" w:rsidP="00CC5C88">
      <w:pPr>
        <w:numPr>
          <w:ilvl w:val="0"/>
          <w:numId w:val="38"/>
        </w:numPr>
        <w:spacing w:before="120" w:after="0" w:line="240" w:lineRule="auto"/>
        <w:ind w:left="1077" w:hanging="357"/>
        <w:jc w:val="both"/>
        <w:rPr>
          <w:lang w:eastAsia="en-US"/>
        </w:rPr>
      </w:pPr>
      <w:r w:rsidRPr="00141731">
        <w:rPr>
          <w:lang w:eastAsia="en-US"/>
        </w:rPr>
        <w:t>Southern Rural Water</w:t>
      </w:r>
    </w:p>
    <w:p w14:paraId="57A8A254" w14:textId="20098029" w:rsidR="00CC5C88" w:rsidRDefault="00CC5C88" w:rsidP="00CC5C88">
      <w:pPr>
        <w:numPr>
          <w:ilvl w:val="0"/>
          <w:numId w:val="38"/>
        </w:numPr>
        <w:spacing w:before="120" w:after="0" w:line="240" w:lineRule="auto"/>
        <w:ind w:left="1077" w:hanging="357"/>
        <w:jc w:val="both"/>
        <w:rPr>
          <w:lang w:eastAsia="en-US"/>
        </w:rPr>
      </w:pPr>
      <w:r w:rsidRPr="00141731">
        <w:rPr>
          <w:lang w:eastAsia="en-US"/>
        </w:rPr>
        <w:t>East Gippsland Catchment Management Authorit</w:t>
      </w:r>
      <w:r w:rsidR="00FA23F8">
        <w:rPr>
          <w:lang w:eastAsia="en-US"/>
        </w:rPr>
        <w:t>y</w:t>
      </w:r>
    </w:p>
    <w:p w14:paraId="7005C04C" w14:textId="77777777" w:rsidR="00CC5C88" w:rsidRPr="00141731" w:rsidRDefault="00CC5C88" w:rsidP="00CC5C88">
      <w:pPr>
        <w:jc w:val="both"/>
        <w:rPr>
          <w:lang w:eastAsia="en-US"/>
        </w:rPr>
      </w:pPr>
    </w:p>
    <w:p w14:paraId="27AF0C23" w14:textId="77777777" w:rsidR="00CC5C88" w:rsidRPr="00141731" w:rsidRDefault="00CC5C88" w:rsidP="00CC5C88">
      <w:pPr>
        <w:jc w:val="both"/>
        <w:rPr>
          <w:lang w:eastAsia="en-US"/>
        </w:rPr>
      </w:pPr>
    </w:p>
    <w:p w14:paraId="01715D2E" w14:textId="77777777" w:rsidR="00CC5C88" w:rsidRPr="00141731" w:rsidRDefault="00CC5C88" w:rsidP="00CC5C88">
      <w:pPr>
        <w:jc w:val="both"/>
        <w:rPr>
          <w:b/>
          <w:lang w:eastAsia="en-US"/>
        </w:rPr>
      </w:pPr>
      <w:r w:rsidRPr="00141731">
        <w:rPr>
          <w:b/>
          <w:lang w:eastAsia="en-US"/>
        </w:rPr>
        <w:t>RICHARD WYNNE MP</w:t>
      </w:r>
    </w:p>
    <w:p w14:paraId="7510659B" w14:textId="77777777" w:rsidR="00CC5C88" w:rsidRPr="00141731" w:rsidRDefault="00CC5C88" w:rsidP="00CC5C88">
      <w:pPr>
        <w:jc w:val="both"/>
        <w:rPr>
          <w:lang w:eastAsia="en-US"/>
        </w:rPr>
      </w:pPr>
      <w:r w:rsidRPr="00141731">
        <w:rPr>
          <w:lang w:eastAsia="en-US"/>
        </w:rPr>
        <w:t>Minister for Planning</w:t>
      </w:r>
    </w:p>
    <w:p w14:paraId="1116D87C" w14:textId="77777777" w:rsidR="00CC5C88" w:rsidRPr="00141731" w:rsidRDefault="00CC5C88" w:rsidP="00CC5C88">
      <w:pPr>
        <w:jc w:val="both"/>
        <w:rPr>
          <w:lang w:eastAsia="en-US"/>
        </w:rPr>
      </w:pPr>
    </w:p>
    <w:p w14:paraId="347BBEBA" w14:textId="77777777" w:rsidR="00CC5C88" w:rsidRPr="00141731" w:rsidRDefault="00CC5C88" w:rsidP="00CC5C88">
      <w:pPr>
        <w:jc w:val="both"/>
      </w:pPr>
      <w:r w:rsidRPr="00141731">
        <w:rPr>
          <w:lang w:eastAsia="en-US"/>
        </w:rPr>
        <w:t>Date:</w:t>
      </w:r>
    </w:p>
    <w:p w14:paraId="76898399" w14:textId="77777777" w:rsidR="00AC2457" w:rsidRPr="00BB30D1" w:rsidRDefault="00AC2457" w:rsidP="00260D63">
      <w:pPr>
        <w:pStyle w:val="ToRNumberedPara"/>
        <w:numPr>
          <w:ilvl w:val="0"/>
          <w:numId w:val="0"/>
        </w:numPr>
        <w:ind w:left="360"/>
        <w:rPr>
          <w:rFonts w:eastAsia="Times"/>
        </w:rPr>
      </w:pPr>
    </w:p>
    <w:p w14:paraId="1C574C8B" w14:textId="7568422A" w:rsidR="00AE1ABF" w:rsidRDefault="00AE1ABF">
      <w:pPr>
        <w:spacing w:after="0" w:line="240" w:lineRule="auto"/>
      </w:pPr>
      <w:r>
        <w:br w:type="page"/>
      </w:r>
    </w:p>
    <w:p w14:paraId="3BBF4862" w14:textId="57253642" w:rsidR="00A24431" w:rsidRPr="00260D63" w:rsidRDefault="00AE1ABF" w:rsidP="00260D63">
      <w:pPr>
        <w:jc w:val="both"/>
        <w:rPr>
          <w:b/>
          <w:szCs w:val="22"/>
          <w:u w:val="single"/>
          <w:lang w:eastAsia="en-US"/>
        </w:rPr>
      </w:pPr>
      <w:r w:rsidRPr="00260D63">
        <w:rPr>
          <w:b/>
          <w:szCs w:val="22"/>
          <w:u w:val="single"/>
          <w:lang w:eastAsia="en-US"/>
        </w:rPr>
        <w:lastRenderedPageBreak/>
        <w:t>Attachment 2</w:t>
      </w:r>
    </w:p>
    <w:p w14:paraId="14C6B894" w14:textId="77777777" w:rsidR="00260D63" w:rsidRPr="00260D63" w:rsidRDefault="00260D63" w:rsidP="00260D63">
      <w:pPr>
        <w:pStyle w:val="NormalWeb"/>
        <w:spacing w:before="0" w:beforeAutospacing="0" w:after="160" w:afterAutospacing="0" w:line="259" w:lineRule="auto"/>
        <w:rPr>
          <w:rFonts w:ascii="Arial" w:hAnsi="Arial" w:cs="Arial"/>
          <w:b/>
          <w:bCs/>
          <w:sz w:val="20"/>
          <w:szCs w:val="20"/>
        </w:rPr>
      </w:pPr>
      <w:r w:rsidRPr="00260D63">
        <w:rPr>
          <w:rFonts w:ascii="Arial" w:hAnsi="Arial" w:cs="Arial"/>
          <w:b/>
          <w:bCs/>
          <w:sz w:val="20"/>
          <w:szCs w:val="20"/>
        </w:rPr>
        <w:t>Amended procedures and requirements under section 8</w:t>
      </w:r>
      <w:proofErr w:type="gramStart"/>
      <w:r w:rsidRPr="00260D63">
        <w:rPr>
          <w:rFonts w:ascii="Arial" w:hAnsi="Arial" w:cs="Arial"/>
          <w:b/>
          <w:bCs/>
          <w:sz w:val="20"/>
          <w:szCs w:val="20"/>
        </w:rPr>
        <w:t>B(</w:t>
      </w:r>
      <w:proofErr w:type="gramEnd"/>
      <w:r w:rsidRPr="00260D63">
        <w:rPr>
          <w:rFonts w:ascii="Arial" w:hAnsi="Arial" w:cs="Arial"/>
          <w:b/>
          <w:bCs/>
          <w:sz w:val="20"/>
          <w:szCs w:val="20"/>
        </w:rPr>
        <w:t xml:space="preserve">5) of the </w:t>
      </w:r>
      <w:r w:rsidRPr="00260D63">
        <w:rPr>
          <w:rFonts w:ascii="Arial" w:hAnsi="Arial" w:cs="Arial"/>
          <w:b/>
          <w:bCs/>
          <w:i/>
          <w:iCs/>
          <w:sz w:val="20"/>
          <w:szCs w:val="20"/>
        </w:rPr>
        <w:t>Environment Effects Act 1978</w:t>
      </w:r>
      <w:r w:rsidRPr="00260D63">
        <w:rPr>
          <w:rFonts w:ascii="Arial" w:hAnsi="Arial" w:cs="Arial"/>
          <w:b/>
          <w:bCs/>
          <w:sz w:val="20"/>
          <w:szCs w:val="20"/>
        </w:rPr>
        <w:t xml:space="preserve">. </w:t>
      </w:r>
    </w:p>
    <w:p w14:paraId="30C20F3E" w14:textId="77777777" w:rsidR="004506A8" w:rsidRPr="00481B2B" w:rsidRDefault="004506A8" w:rsidP="004506A8">
      <w:pPr>
        <w:pStyle w:val="NormalWeb"/>
        <w:rPr>
          <w:rFonts w:ascii="Arial" w:hAnsi="Arial" w:cs="Arial"/>
          <w:sz w:val="20"/>
          <w:szCs w:val="20"/>
        </w:rPr>
      </w:pPr>
      <w:r w:rsidRPr="00481B2B">
        <w:rPr>
          <w:rFonts w:ascii="Arial" w:hAnsi="Arial" w:cs="Arial"/>
          <w:sz w:val="20"/>
          <w:szCs w:val="20"/>
        </w:rPr>
        <w:t>Under the declared state of emergency in response to the coronavirus pandemic, conventional exhibition of environment effects statements (EES) is not possible.  Physical display of printed copies of the EES in public places cannot occur.  Similarly, arrangements with respect to formal hearings of inquiries under the Environment Effects Act will also differ, if restrictions are still in force at the time of an inquiry.</w:t>
      </w:r>
    </w:p>
    <w:p w14:paraId="1FCF7E0A" w14:textId="77777777" w:rsidR="004506A8" w:rsidRPr="00481B2B" w:rsidRDefault="004506A8" w:rsidP="004506A8">
      <w:pPr>
        <w:pStyle w:val="NormalWeb"/>
        <w:rPr>
          <w:rFonts w:ascii="Arial" w:hAnsi="Arial" w:cs="Arial"/>
          <w:sz w:val="20"/>
          <w:szCs w:val="20"/>
        </w:rPr>
      </w:pPr>
      <w:r w:rsidRPr="00481B2B">
        <w:rPr>
          <w:rFonts w:ascii="Arial" w:hAnsi="Arial" w:cs="Arial"/>
          <w:sz w:val="20"/>
          <w:szCs w:val="20"/>
        </w:rPr>
        <w:t>Accordingly, the procedures and requirements applying to the EES, issued on 18 December 2016 in accordance with section 8</w:t>
      </w:r>
      <w:proofErr w:type="gramStart"/>
      <w:r w:rsidRPr="00481B2B">
        <w:rPr>
          <w:rFonts w:ascii="Arial" w:hAnsi="Arial" w:cs="Arial"/>
          <w:sz w:val="20"/>
          <w:szCs w:val="20"/>
        </w:rPr>
        <w:t>B(</w:t>
      </w:r>
      <w:proofErr w:type="gramEnd"/>
      <w:r w:rsidRPr="00481B2B">
        <w:rPr>
          <w:rFonts w:ascii="Arial" w:hAnsi="Arial" w:cs="Arial"/>
          <w:sz w:val="20"/>
          <w:szCs w:val="20"/>
        </w:rPr>
        <w:t xml:space="preserve">5) of the Act and the </w:t>
      </w:r>
      <w:r w:rsidRPr="00481B2B">
        <w:rPr>
          <w:rFonts w:ascii="Arial" w:hAnsi="Arial" w:cs="Arial"/>
          <w:i/>
          <w:iCs/>
          <w:sz w:val="20"/>
          <w:szCs w:val="20"/>
        </w:rPr>
        <w:t>Ministerial guidelines for assessment of environmental effects under the Environment Effects Act 1978</w:t>
      </w:r>
      <w:r w:rsidRPr="00481B2B">
        <w:rPr>
          <w:rFonts w:ascii="Arial" w:hAnsi="Arial" w:cs="Arial"/>
          <w:sz w:val="20"/>
          <w:szCs w:val="20"/>
        </w:rPr>
        <w:t xml:space="preserve">, are amended as follows. </w:t>
      </w:r>
    </w:p>
    <w:p w14:paraId="7623082B"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 xml:space="preserve">The EES is to be exhibited for a period of 40 business days for public comment, or such other period as the Minister may subsequently direct in writing. </w:t>
      </w:r>
    </w:p>
    <w:p w14:paraId="38FD3EDA"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No less than two weeks before the first day of the public exhibition period, the proponent must place notices in newspapers and on-line, as well as communicate with known interested parties, to:</w:t>
      </w:r>
    </w:p>
    <w:p w14:paraId="6660F3F4" w14:textId="77777777" w:rsidR="004506A8" w:rsidRPr="00481B2B" w:rsidRDefault="004506A8" w:rsidP="004506A8">
      <w:pPr>
        <w:pStyle w:val="NormalWeb"/>
        <w:numPr>
          <w:ilvl w:val="1"/>
          <w:numId w:val="33"/>
        </w:numPr>
        <w:spacing w:after="240" w:afterAutospacing="0"/>
        <w:ind w:left="714" w:hanging="357"/>
        <w:rPr>
          <w:rFonts w:ascii="Arial" w:hAnsi="Arial" w:cs="Arial"/>
          <w:sz w:val="20"/>
          <w:szCs w:val="20"/>
        </w:rPr>
      </w:pPr>
      <w:r w:rsidRPr="00481B2B">
        <w:rPr>
          <w:rFonts w:ascii="Arial" w:hAnsi="Arial" w:cs="Arial"/>
          <w:sz w:val="20"/>
          <w:szCs w:val="20"/>
        </w:rPr>
        <w:t>foreshadow the intention to commence formal exhibition;</w:t>
      </w:r>
    </w:p>
    <w:p w14:paraId="307BD1C6" w14:textId="77777777" w:rsidR="004506A8" w:rsidRPr="00481B2B" w:rsidRDefault="004506A8" w:rsidP="004506A8">
      <w:pPr>
        <w:pStyle w:val="NormalWeb"/>
        <w:numPr>
          <w:ilvl w:val="1"/>
          <w:numId w:val="33"/>
        </w:numPr>
        <w:spacing w:after="240" w:afterAutospacing="0"/>
        <w:ind w:left="714" w:hanging="357"/>
        <w:rPr>
          <w:rFonts w:ascii="Arial" w:hAnsi="Arial" w:cs="Arial"/>
          <w:sz w:val="20"/>
          <w:szCs w:val="20"/>
        </w:rPr>
      </w:pPr>
      <w:r w:rsidRPr="00481B2B">
        <w:rPr>
          <w:rFonts w:ascii="Arial" w:hAnsi="Arial" w:cs="Arial"/>
          <w:sz w:val="20"/>
          <w:szCs w:val="20"/>
        </w:rPr>
        <w:t>note the impossibility of providing exhibition copies for physical inspection at public exhibition places;</w:t>
      </w:r>
    </w:p>
    <w:p w14:paraId="192B759E" w14:textId="77777777" w:rsidR="004506A8" w:rsidRPr="00481B2B" w:rsidRDefault="004506A8" w:rsidP="004506A8">
      <w:pPr>
        <w:pStyle w:val="NormalWeb"/>
        <w:numPr>
          <w:ilvl w:val="1"/>
          <w:numId w:val="33"/>
        </w:numPr>
        <w:spacing w:after="240" w:afterAutospacing="0"/>
        <w:ind w:left="714" w:hanging="357"/>
        <w:rPr>
          <w:rFonts w:ascii="Arial" w:hAnsi="Arial" w:cs="Arial"/>
          <w:sz w:val="20"/>
          <w:szCs w:val="20"/>
        </w:rPr>
      </w:pPr>
      <w:r w:rsidRPr="00481B2B">
        <w:rPr>
          <w:rFonts w:ascii="Arial" w:hAnsi="Arial" w:cs="Arial"/>
          <w:sz w:val="20"/>
          <w:szCs w:val="20"/>
        </w:rPr>
        <w:t>describe intended on-line availability of the EES and related documentation for exhibition purposes; and</w:t>
      </w:r>
    </w:p>
    <w:p w14:paraId="334BFC53" w14:textId="77777777" w:rsidR="004506A8" w:rsidRPr="00481B2B" w:rsidRDefault="004506A8" w:rsidP="004506A8">
      <w:pPr>
        <w:pStyle w:val="NormalWeb"/>
        <w:numPr>
          <w:ilvl w:val="1"/>
          <w:numId w:val="33"/>
        </w:numPr>
        <w:spacing w:after="240" w:afterAutospacing="0"/>
        <w:ind w:left="714" w:hanging="357"/>
        <w:rPr>
          <w:rFonts w:ascii="Arial" w:hAnsi="Arial" w:cs="Arial"/>
          <w:sz w:val="20"/>
          <w:szCs w:val="20"/>
        </w:rPr>
      </w:pPr>
      <w:r w:rsidRPr="00481B2B">
        <w:rPr>
          <w:rFonts w:ascii="Arial" w:hAnsi="Arial" w:cs="Arial"/>
          <w:sz w:val="20"/>
          <w:szCs w:val="20"/>
        </w:rPr>
        <w:t>invite any potential submitters to register to receive EES documents on USB, or other electronic media, and for those who may have accessibility issues or, where electronic options are impracticable, in hard copy.</w:t>
      </w:r>
    </w:p>
    <w:p w14:paraId="051BD266"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Where hard copy documents are reasonably requested, the proponent must provide hard copies of:</w:t>
      </w:r>
    </w:p>
    <w:p w14:paraId="17634928" w14:textId="77777777" w:rsidR="004506A8" w:rsidRPr="00481B2B" w:rsidRDefault="004506A8" w:rsidP="004506A8">
      <w:pPr>
        <w:pStyle w:val="NormalWeb"/>
        <w:numPr>
          <w:ilvl w:val="1"/>
          <w:numId w:val="35"/>
        </w:numPr>
        <w:spacing w:after="240" w:afterAutospacing="0"/>
        <w:ind w:left="714" w:hanging="357"/>
        <w:rPr>
          <w:rFonts w:ascii="Arial" w:hAnsi="Arial" w:cs="Arial"/>
          <w:sz w:val="20"/>
          <w:szCs w:val="20"/>
        </w:rPr>
      </w:pPr>
      <w:r w:rsidRPr="00481B2B">
        <w:rPr>
          <w:rFonts w:ascii="Arial" w:hAnsi="Arial" w:cs="Arial"/>
          <w:sz w:val="20"/>
          <w:szCs w:val="20"/>
        </w:rPr>
        <w:t xml:space="preserve">the EES summary document and </w:t>
      </w:r>
      <w:proofErr w:type="spellStart"/>
      <w:r w:rsidRPr="00481B2B">
        <w:rPr>
          <w:rFonts w:ascii="Arial" w:hAnsi="Arial" w:cs="Arial"/>
          <w:sz w:val="20"/>
          <w:szCs w:val="20"/>
        </w:rPr>
        <w:t>mapbook</w:t>
      </w:r>
      <w:proofErr w:type="spellEnd"/>
      <w:r w:rsidRPr="00481B2B">
        <w:rPr>
          <w:rFonts w:ascii="Arial" w:hAnsi="Arial" w:cs="Arial"/>
          <w:sz w:val="20"/>
          <w:szCs w:val="20"/>
        </w:rPr>
        <w:t xml:space="preserve"> free of charge, and the EES Main Report for a modest charge aligned with postage costs, unless instructed otherwise by the Department of Environment, Land, Water and Planning’s (DELWP) Director Impact Assessment;</w:t>
      </w:r>
    </w:p>
    <w:p w14:paraId="56FA3C8D" w14:textId="77777777" w:rsidR="004506A8" w:rsidRPr="00481B2B" w:rsidRDefault="004506A8" w:rsidP="004506A8">
      <w:pPr>
        <w:pStyle w:val="NormalWeb"/>
        <w:numPr>
          <w:ilvl w:val="1"/>
          <w:numId w:val="35"/>
        </w:numPr>
        <w:spacing w:after="240" w:afterAutospacing="0"/>
        <w:ind w:left="714" w:hanging="357"/>
        <w:rPr>
          <w:rFonts w:ascii="Arial" w:hAnsi="Arial" w:cs="Arial"/>
          <w:sz w:val="20"/>
          <w:szCs w:val="20"/>
        </w:rPr>
      </w:pPr>
      <w:r w:rsidRPr="00481B2B">
        <w:rPr>
          <w:rFonts w:ascii="Arial" w:hAnsi="Arial" w:cs="Arial"/>
          <w:sz w:val="20"/>
          <w:szCs w:val="20"/>
        </w:rPr>
        <w:t>other EES attachments or EES technical appendices, subject to payment of an appropriate fee, having regard to costs of printing and postage and the circumstances of the request, unless instructed otherwise by DELWP’s Director Impact Assessment; and</w:t>
      </w:r>
    </w:p>
    <w:p w14:paraId="58F1CFD4" w14:textId="77777777" w:rsidR="004506A8" w:rsidRPr="00481B2B" w:rsidRDefault="004506A8" w:rsidP="004506A8">
      <w:pPr>
        <w:pStyle w:val="NormalWeb"/>
        <w:numPr>
          <w:ilvl w:val="1"/>
          <w:numId w:val="35"/>
        </w:numPr>
        <w:spacing w:after="240" w:afterAutospacing="0"/>
        <w:ind w:left="714" w:hanging="357"/>
        <w:rPr>
          <w:rFonts w:ascii="Arial" w:hAnsi="Arial" w:cs="Arial"/>
          <w:sz w:val="20"/>
          <w:szCs w:val="20"/>
        </w:rPr>
      </w:pPr>
      <w:r w:rsidRPr="00481B2B">
        <w:rPr>
          <w:rFonts w:ascii="Arial" w:hAnsi="Arial" w:cs="Arial"/>
          <w:sz w:val="20"/>
          <w:szCs w:val="20"/>
        </w:rPr>
        <w:t xml:space="preserve">the </w:t>
      </w:r>
      <w:r w:rsidRPr="00481B2B">
        <w:rPr>
          <w:rFonts w:ascii="Arial" w:hAnsi="Arial" w:cs="Arial"/>
          <w:i/>
          <w:iCs/>
          <w:sz w:val="20"/>
          <w:szCs w:val="20"/>
        </w:rPr>
        <w:t>Environment Protection Act 1970</w:t>
      </w:r>
      <w:r w:rsidRPr="00481B2B">
        <w:rPr>
          <w:rFonts w:ascii="Arial" w:hAnsi="Arial" w:cs="Arial"/>
          <w:sz w:val="20"/>
          <w:szCs w:val="20"/>
        </w:rPr>
        <w:t xml:space="preserve"> works approval application, unless instructed otherwise</w:t>
      </w:r>
      <w:r w:rsidRPr="00481B2B" w:rsidDel="00F56A5D">
        <w:rPr>
          <w:rFonts w:ascii="Arial" w:hAnsi="Arial" w:cs="Arial"/>
          <w:sz w:val="20"/>
          <w:szCs w:val="20"/>
        </w:rPr>
        <w:t xml:space="preserve"> </w:t>
      </w:r>
      <w:r w:rsidRPr="00481B2B">
        <w:rPr>
          <w:rFonts w:ascii="Arial" w:hAnsi="Arial" w:cs="Arial"/>
          <w:sz w:val="20"/>
          <w:szCs w:val="20"/>
        </w:rPr>
        <w:t>by the Environment Protection Authority.</w:t>
      </w:r>
    </w:p>
    <w:p w14:paraId="4FBED35A"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The proponent must dispatch requested electronic media and hard copies to registered addresses within a week of receipt of each registration (and payment, where relevant) or in time for the commencement of the exhibition period, whichever is the later.</w:t>
      </w:r>
    </w:p>
    <w:p w14:paraId="66BF0DA4"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 xml:space="preserve">The inquiry that I will appoint under the Environment Effects Act, subject to the approval of the Governor in Council, to consider the environmental effects of the proposal is to be conducted by formal hearing in the most practicable manner available under the prevailing circumstances.  That might, if necessary, include the use of video conferencing or other comparable technology. </w:t>
      </w:r>
    </w:p>
    <w:p w14:paraId="4A7B46A3" w14:textId="77777777" w:rsidR="004506A8" w:rsidRPr="00481B2B" w:rsidRDefault="004506A8" w:rsidP="004506A8">
      <w:pPr>
        <w:pStyle w:val="NormalWeb"/>
        <w:numPr>
          <w:ilvl w:val="0"/>
          <w:numId w:val="32"/>
        </w:numPr>
        <w:spacing w:after="240" w:afterAutospacing="0"/>
        <w:ind w:left="357" w:hanging="357"/>
        <w:rPr>
          <w:rFonts w:ascii="Arial" w:hAnsi="Arial" w:cs="Arial"/>
          <w:sz w:val="20"/>
          <w:szCs w:val="20"/>
        </w:rPr>
      </w:pPr>
      <w:r w:rsidRPr="00481B2B">
        <w:rPr>
          <w:rFonts w:ascii="Arial" w:hAnsi="Arial" w:cs="Arial"/>
          <w:sz w:val="20"/>
          <w:szCs w:val="20"/>
        </w:rPr>
        <w:t xml:space="preserve">The proponent must arrange for recordings to be made of formal hearings of the inquiry, whether held conventionally or remotely, subject to any directions from the inquiry chair, and must cause recordings to be posted on-line as quickly as practicable.  The proponent must post links to the recordings on its </w:t>
      </w:r>
      <w:r w:rsidRPr="00481B2B">
        <w:rPr>
          <w:rFonts w:ascii="Arial" w:hAnsi="Arial" w:cs="Arial"/>
          <w:sz w:val="20"/>
          <w:szCs w:val="20"/>
        </w:rPr>
        <w:lastRenderedPageBreak/>
        <w:t>project website as soon as practicable after each day of hearings.  DELWP must post links to the recordings on its relevant web pages as soon as practicable after each day of hearings.</w:t>
      </w:r>
    </w:p>
    <w:p w14:paraId="7651B0EE" w14:textId="77777777" w:rsidR="004506A8" w:rsidRPr="00481B2B" w:rsidRDefault="004506A8" w:rsidP="004506A8">
      <w:pPr>
        <w:pStyle w:val="NormalWeb"/>
        <w:rPr>
          <w:rFonts w:ascii="Arial" w:hAnsi="Arial" w:cs="Arial"/>
          <w:b/>
          <w:bCs/>
          <w:sz w:val="20"/>
          <w:szCs w:val="20"/>
        </w:rPr>
      </w:pPr>
      <w:r w:rsidRPr="00481B2B">
        <w:rPr>
          <w:rFonts w:ascii="Arial" w:hAnsi="Arial" w:cs="Arial"/>
          <w:b/>
          <w:bCs/>
          <w:sz w:val="20"/>
          <w:szCs w:val="20"/>
        </w:rPr>
        <w:t xml:space="preserve">Notification </w:t>
      </w:r>
    </w:p>
    <w:p w14:paraId="36FD92DF" w14:textId="77777777" w:rsidR="004506A8" w:rsidRPr="00481B2B" w:rsidRDefault="004506A8" w:rsidP="004506A8">
      <w:pPr>
        <w:pStyle w:val="NormalWeb"/>
        <w:spacing w:after="120" w:afterAutospacing="0"/>
        <w:rPr>
          <w:rFonts w:ascii="Arial" w:hAnsi="Arial" w:cs="Arial"/>
          <w:sz w:val="20"/>
          <w:szCs w:val="20"/>
        </w:rPr>
      </w:pPr>
      <w:r w:rsidRPr="00481B2B">
        <w:rPr>
          <w:rFonts w:ascii="Arial" w:hAnsi="Arial" w:cs="Arial"/>
          <w:sz w:val="20"/>
          <w:szCs w:val="20"/>
        </w:rPr>
        <w:t>The following parties (proponent and relevant decision-makers) are to be notified of these amended procedures and requirements in accordance with section 8B(4)(a)(</w:t>
      </w:r>
      <w:proofErr w:type="spellStart"/>
      <w:r w:rsidRPr="00481B2B">
        <w:rPr>
          <w:rFonts w:ascii="Arial" w:hAnsi="Arial" w:cs="Arial"/>
          <w:sz w:val="20"/>
          <w:szCs w:val="20"/>
        </w:rPr>
        <w:t>i</w:t>
      </w:r>
      <w:proofErr w:type="spellEnd"/>
      <w:r w:rsidRPr="00481B2B">
        <w:rPr>
          <w:rFonts w:ascii="Arial" w:hAnsi="Arial" w:cs="Arial"/>
          <w:sz w:val="20"/>
          <w:szCs w:val="20"/>
        </w:rPr>
        <w:t>) and 8</w:t>
      </w:r>
      <w:proofErr w:type="gramStart"/>
      <w:r w:rsidRPr="00481B2B">
        <w:rPr>
          <w:rFonts w:ascii="Arial" w:hAnsi="Arial" w:cs="Arial"/>
          <w:sz w:val="20"/>
          <w:szCs w:val="20"/>
        </w:rPr>
        <w:t>B(</w:t>
      </w:r>
      <w:proofErr w:type="gramEnd"/>
      <w:r w:rsidRPr="00481B2B">
        <w:rPr>
          <w:rFonts w:ascii="Arial" w:hAnsi="Arial" w:cs="Arial"/>
          <w:sz w:val="20"/>
          <w:szCs w:val="20"/>
        </w:rPr>
        <w:t xml:space="preserve">5) of the Environment Effects Act: </w:t>
      </w:r>
    </w:p>
    <w:p w14:paraId="38F84AF5"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Kalbar Operations Pty Ltd (proponent);</w:t>
      </w:r>
    </w:p>
    <w:p w14:paraId="28605998"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Minister for Resources;</w:t>
      </w:r>
    </w:p>
    <w:p w14:paraId="1359E5BA"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Minister for Environment, Climate Change and Energy;</w:t>
      </w:r>
    </w:p>
    <w:p w14:paraId="7ACECB50"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proofErr w:type="spellStart"/>
      <w:r w:rsidRPr="00481B2B">
        <w:rPr>
          <w:rFonts w:ascii="Arial" w:hAnsi="Arial" w:cs="Arial"/>
          <w:sz w:val="20"/>
          <w:szCs w:val="20"/>
        </w:rPr>
        <w:t>Gunaikurnai</w:t>
      </w:r>
      <w:proofErr w:type="spellEnd"/>
      <w:r w:rsidRPr="00481B2B">
        <w:rPr>
          <w:rFonts w:ascii="Arial" w:hAnsi="Arial" w:cs="Arial"/>
          <w:sz w:val="20"/>
          <w:szCs w:val="20"/>
        </w:rPr>
        <w:t xml:space="preserve"> Land and Water Aboriginal Corporation;</w:t>
      </w:r>
    </w:p>
    <w:p w14:paraId="6A5AA57C"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Secretary of Department of Health and Human Services;</w:t>
      </w:r>
    </w:p>
    <w:p w14:paraId="328B75C4"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Executive Director of Aboriginal Victoria;</w:t>
      </w:r>
    </w:p>
    <w:p w14:paraId="2B31B360"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Executive Director of Heritage Victoria;</w:t>
      </w:r>
    </w:p>
    <w:p w14:paraId="2CBB352E"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 xml:space="preserve">East Gippsland Shire; </w:t>
      </w:r>
    </w:p>
    <w:p w14:paraId="24F3EE3E"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Wellington Shire;</w:t>
      </w:r>
    </w:p>
    <w:p w14:paraId="3D0793C5"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East Gippsland Water;</w:t>
      </w:r>
    </w:p>
    <w:p w14:paraId="66BCBED6"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Southern Rural Water; and</w:t>
      </w:r>
    </w:p>
    <w:p w14:paraId="71F20283" w14:textId="77777777" w:rsidR="004506A8" w:rsidRPr="00481B2B" w:rsidRDefault="004506A8" w:rsidP="004506A8">
      <w:pPr>
        <w:pStyle w:val="NormalWeb"/>
        <w:numPr>
          <w:ilvl w:val="0"/>
          <w:numId w:val="34"/>
        </w:numPr>
        <w:spacing w:before="0" w:beforeAutospacing="0" w:after="120" w:afterAutospacing="0"/>
        <w:rPr>
          <w:rFonts w:ascii="Arial" w:hAnsi="Arial" w:cs="Arial"/>
          <w:sz w:val="20"/>
          <w:szCs w:val="20"/>
        </w:rPr>
      </w:pPr>
      <w:r w:rsidRPr="00481B2B">
        <w:rPr>
          <w:rFonts w:ascii="Arial" w:hAnsi="Arial" w:cs="Arial"/>
          <w:sz w:val="20"/>
          <w:szCs w:val="20"/>
        </w:rPr>
        <w:t>East Gippsland Catchment Management Authority.</w:t>
      </w:r>
    </w:p>
    <w:p w14:paraId="6C575592" w14:textId="77777777" w:rsidR="004506A8" w:rsidRPr="00481B2B" w:rsidRDefault="004506A8" w:rsidP="004506A8"/>
    <w:p w14:paraId="6D7AB726" w14:textId="77777777" w:rsidR="004506A8" w:rsidRPr="00481B2B" w:rsidRDefault="004506A8" w:rsidP="004506A8">
      <w:pPr>
        <w:rPr>
          <w:b/>
          <w:bCs/>
        </w:rPr>
      </w:pPr>
      <w:r w:rsidRPr="00481B2B">
        <w:rPr>
          <w:b/>
          <w:bCs/>
        </w:rPr>
        <w:t>HON RICHARD WYNNE MP</w:t>
      </w:r>
      <w:r w:rsidRPr="00481B2B">
        <w:rPr>
          <w:b/>
          <w:bCs/>
        </w:rPr>
        <w:br/>
        <w:t xml:space="preserve">Minister for Planning </w:t>
      </w:r>
    </w:p>
    <w:p w14:paraId="17D1296A" w14:textId="77777777" w:rsidR="004506A8" w:rsidRPr="00481B2B" w:rsidRDefault="004506A8" w:rsidP="004506A8">
      <w:pPr>
        <w:rPr>
          <w:b/>
          <w:bCs/>
        </w:rPr>
      </w:pPr>
    </w:p>
    <w:p w14:paraId="4E2E7DAE" w14:textId="77777777" w:rsidR="004506A8" w:rsidRPr="00481B2B" w:rsidRDefault="004506A8" w:rsidP="004506A8">
      <w:r w:rsidRPr="00481B2B">
        <w:rPr>
          <w:b/>
          <w:bCs/>
        </w:rPr>
        <w:t>Date:</w:t>
      </w:r>
      <w:r w:rsidRPr="00481B2B">
        <w:t xml:space="preserve"> </w:t>
      </w:r>
    </w:p>
    <w:p w14:paraId="33E3296D" w14:textId="158880CE" w:rsidR="008D201A" w:rsidRPr="00533149" w:rsidRDefault="008D201A" w:rsidP="004506A8">
      <w:pPr>
        <w:pStyle w:val="NormalWeb"/>
      </w:pPr>
    </w:p>
    <w:sectPr w:rsidR="008D201A" w:rsidRPr="00533149" w:rsidSect="00BE560B">
      <w:headerReference w:type="default" r:id="rId12"/>
      <w:footerReference w:type="default" r:id="rId13"/>
      <w:headerReference w:type="first" r:id="rId14"/>
      <w:footerReference w:type="first" r:id="rId15"/>
      <w:type w:val="continuous"/>
      <w:pgSz w:w="11906" w:h="16838"/>
      <w:pgMar w:top="1790" w:right="1134" w:bottom="1560" w:left="1134" w:header="720" w:footer="691"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29D2A" w14:textId="77777777" w:rsidR="00556003" w:rsidRDefault="00556003" w:rsidP="00533149">
      <w:r>
        <w:separator/>
      </w:r>
    </w:p>
    <w:p w14:paraId="341420E9" w14:textId="77777777" w:rsidR="00556003" w:rsidRDefault="00556003" w:rsidP="00533149"/>
  </w:endnote>
  <w:endnote w:type="continuationSeparator" w:id="0">
    <w:p w14:paraId="30F366BF" w14:textId="77777777" w:rsidR="00556003" w:rsidRDefault="00556003" w:rsidP="00533149">
      <w:r>
        <w:continuationSeparator/>
      </w:r>
    </w:p>
    <w:p w14:paraId="04B98668" w14:textId="77777777" w:rsidR="00556003" w:rsidRDefault="00556003" w:rsidP="00533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IN-Regular">
    <w:altName w:val="Lucida Sans Typewriter"/>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084654"/>
      <w:docPartObj>
        <w:docPartGallery w:val="Page Numbers (Bottom of Page)"/>
        <w:docPartUnique/>
      </w:docPartObj>
    </w:sdtPr>
    <w:sdtEndPr/>
    <w:sdtContent>
      <w:p w14:paraId="67520230" w14:textId="5C8B4F3B" w:rsidR="00D15A25" w:rsidRDefault="006F358A" w:rsidP="009F3581">
        <w:pPr>
          <w:pStyle w:val="Footer"/>
          <w:jc w:val="center"/>
        </w:pPr>
        <w:sdt>
          <w:sdtPr>
            <w:id w:val="98381352"/>
            <w:docPartObj>
              <w:docPartGallery w:val="Page Numbers (Top of Page)"/>
              <w:docPartUnique/>
            </w:docPartObj>
          </w:sdtPr>
          <w:sdtEndPr/>
          <w:sdtContent>
            <w:r w:rsidR="00D15A25" w:rsidRPr="001913F7">
              <w:rPr>
                <w:sz w:val="16"/>
                <w:szCs w:val="16"/>
              </w:rPr>
              <w:fldChar w:fldCharType="begin"/>
            </w:r>
            <w:r w:rsidR="00D15A25" w:rsidRPr="001913F7">
              <w:rPr>
                <w:sz w:val="16"/>
                <w:szCs w:val="16"/>
              </w:rPr>
              <w:instrText xml:space="preserve"> PAGE </w:instrText>
            </w:r>
            <w:r w:rsidR="00D15A25" w:rsidRPr="001913F7">
              <w:rPr>
                <w:sz w:val="16"/>
                <w:szCs w:val="16"/>
              </w:rPr>
              <w:fldChar w:fldCharType="separate"/>
            </w:r>
            <w:r w:rsidR="00D15A25">
              <w:rPr>
                <w:noProof/>
                <w:sz w:val="16"/>
                <w:szCs w:val="16"/>
              </w:rPr>
              <w:t>3</w:t>
            </w:r>
            <w:r w:rsidR="00D15A25" w:rsidRPr="001913F7">
              <w:rPr>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5E11" w14:textId="77777777" w:rsidR="00D15A25" w:rsidRPr="004809ED" w:rsidRDefault="00D15A25" w:rsidP="00533149">
    <w:pPr>
      <w:pStyle w:val="Footer"/>
      <w:rPr>
        <w:szCs w:val="18"/>
      </w:rPr>
    </w:pPr>
    <w:r>
      <w:rPr>
        <w:noProof/>
      </w:rPr>
      <w:drawing>
        <wp:anchor distT="0" distB="0" distL="114300" distR="114300" simplePos="0" relativeHeight="251665408" behindDoc="1" locked="1" layoutInCell="1" allowOverlap="1" wp14:anchorId="6F77C10A" wp14:editId="60358575">
          <wp:simplePos x="0" y="0"/>
          <wp:positionH relativeFrom="page">
            <wp:posOffset>5138420</wp:posOffset>
          </wp:positionH>
          <wp:positionV relativeFrom="page">
            <wp:posOffset>9705340</wp:posOffset>
          </wp:positionV>
          <wp:extent cx="2422525" cy="108331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89935" w14:textId="04C2C082" w:rsidR="00556003" w:rsidRDefault="00556003" w:rsidP="008D201A">
      <w:pPr>
        <w:spacing w:after="0"/>
      </w:pPr>
      <w:r>
        <w:separator/>
      </w:r>
    </w:p>
  </w:footnote>
  <w:footnote w:type="continuationSeparator" w:id="0">
    <w:p w14:paraId="240AEAED" w14:textId="77777777" w:rsidR="00556003" w:rsidRDefault="00556003" w:rsidP="00533149">
      <w:r>
        <w:continuationSeparator/>
      </w:r>
    </w:p>
    <w:p w14:paraId="51E35047" w14:textId="77777777" w:rsidR="00556003" w:rsidRDefault="00556003" w:rsidP="00533149"/>
  </w:footnote>
  <w:footnote w:id="1">
    <w:p w14:paraId="6A06DD8F" w14:textId="6A05B2BB" w:rsidR="008D6B23" w:rsidRDefault="008D6B23" w:rsidP="00855585">
      <w:pPr>
        <w:pStyle w:val="FootnoteText"/>
        <w:spacing w:after="0"/>
      </w:pPr>
      <w:r>
        <w:rPr>
          <w:rStyle w:val="FootnoteReference"/>
        </w:rPr>
        <w:footnoteRef/>
      </w:r>
      <w:r>
        <w:t xml:space="preserve"> </w:t>
      </w:r>
      <w:r w:rsidRPr="003446D0">
        <w:rPr>
          <w:sz w:val="16"/>
          <w:szCs w:val="16"/>
        </w:rPr>
        <w:t xml:space="preserve">The IAC may also </w:t>
      </w:r>
      <w:r w:rsidR="003352EB" w:rsidRPr="003446D0">
        <w:rPr>
          <w:sz w:val="16"/>
          <w:szCs w:val="16"/>
        </w:rPr>
        <w:t>direct questions to</w:t>
      </w:r>
      <w:r w:rsidRPr="003446D0">
        <w:rPr>
          <w:sz w:val="16"/>
          <w:szCs w:val="16"/>
        </w:rPr>
        <w:t xml:space="preserve"> the independent peer reviewers appointed by </w:t>
      </w:r>
      <w:r w:rsidR="003446D0">
        <w:rPr>
          <w:sz w:val="16"/>
          <w:szCs w:val="16"/>
        </w:rPr>
        <w:t xml:space="preserve">the </w:t>
      </w:r>
      <w:r w:rsidRPr="003446D0">
        <w:rPr>
          <w:sz w:val="16"/>
          <w:szCs w:val="16"/>
        </w:rPr>
        <w:t>D</w:t>
      </w:r>
      <w:r w:rsidR="003446D0">
        <w:rPr>
          <w:sz w:val="16"/>
          <w:szCs w:val="16"/>
        </w:rPr>
        <w:t xml:space="preserve">epartment, </w:t>
      </w:r>
      <w:r w:rsidRPr="003446D0">
        <w:rPr>
          <w:sz w:val="16"/>
          <w:szCs w:val="16"/>
        </w:rPr>
        <w:t>E</w:t>
      </w:r>
      <w:r w:rsidR="003446D0">
        <w:rPr>
          <w:sz w:val="16"/>
          <w:szCs w:val="16"/>
        </w:rPr>
        <w:t xml:space="preserve">nvironment, </w:t>
      </w:r>
      <w:r w:rsidRPr="003446D0">
        <w:rPr>
          <w:sz w:val="16"/>
          <w:szCs w:val="16"/>
        </w:rPr>
        <w:t>L</w:t>
      </w:r>
      <w:r w:rsidR="003446D0">
        <w:rPr>
          <w:sz w:val="16"/>
          <w:szCs w:val="16"/>
        </w:rPr>
        <w:t xml:space="preserve">and, </w:t>
      </w:r>
      <w:r w:rsidRPr="003446D0">
        <w:rPr>
          <w:sz w:val="16"/>
          <w:szCs w:val="16"/>
        </w:rPr>
        <w:t>W</w:t>
      </w:r>
      <w:r w:rsidR="003446D0">
        <w:rPr>
          <w:sz w:val="16"/>
          <w:szCs w:val="16"/>
        </w:rPr>
        <w:t xml:space="preserve">ater and </w:t>
      </w:r>
      <w:r w:rsidRPr="003446D0">
        <w:rPr>
          <w:sz w:val="16"/>
          <w:szCs w:val="16"/>
        </w:rPr>
        <w:t>P</w:t>
      </w:r>
      <w:r w:rsidR="003446D0">
        <w:rPr>
          <w:sz w:val="16"/>
          <w:szCs w:val="16"/>
        </w:rPr>
        <w:t>lanning (DELWP)</w:t>
      </w:r>
      <w:r w:rsidRPr="003446D0">
        <w:rPr>
          <w:sz w:val="16"/>
          <w:szCs w:val="16"/>
        </w:rPr>
        <w:t xml:space="preserve"> for the water, air quality and rehabilitation technical studies.</w:t>
      </w:r>
    </w:p>
  </w:footnote>
  <w:footnote w:id="2">
    <w:p w14:paraId="46FD9E21" w14:textId="3C8DA5C8" w:rsidR="00CC5C88" w:rsidRDefault="00CC5C88" w:rsidP="00855585">
      <w:pPr>
        <w:pStyle w:val="FootnoteText"/>
        <w:spacing w:after="0"/>
      </w:pPr>
      <w:r>
        <w:rPr>
          <w:rStyle w:val="FootnoteReference"/>
        </w:rPr>
        <w:footnoteRef/>
      </w:r>
      <w:r>
        <w:t xml:space="preserve"> The Minister for Planning decided to extend public exhibition of the EES to 40 business days for this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651C" w14:textId="033BB2BE" w:rsidR="00D15A25" w:rsidRPr="001913F7" w:rsidRDefault="00D15A25" w:rsidP="00476324">
    <w:pPr>
      <w:pStyle w:val="Header"/>
      <w:pBdr>
        <w:bottom w:val="single" w:sz="4" w:space="1" w:color="auto"/>
      </w:pBdr>
      <w:jc w:val="center"/>
      <w:rPr>
        <w:sz w:val="18"/>
        <w:szCs w:val="18"/>
      </w:rPr>
    </w:pPr>
    <w:r w:rsidRPr="001913F7">
      <w:rPr>
        <w:sz w:val="18"/>
        <w:szCs w:val="18"/>
      </w:rPr>
      <w:t>Terms of Reference</w:t>
    </w:r>
    <w:r>
      <w:rPr>
        <w:sz w:val="18"/>
        <w:szCs w:val="18"/>
      </w:rPr>
      <w:br/>
    </w:r>
    <w:r w:rsidRPr="001913F7">
      <w:rPr>
        <w:sz w:val="18"/>
        <w:szCs w:val="18"/>
      </w:rPr>
      <w:fldChar w:fldCharType="begin"/>
    </w:r>
    <w:r w:rsidRPr="001913F7">
      <w:rPr>
        <w:sz w:val="18"/>
        <w:szCs w:val="18"/>
      </w:rPr>
      <w:instrText xml:space="preserve"> STYLEREF  "Name of Advisory Committee"  \* MERGEFORMAT </w:instrText>
    </w:r>
    <w:r w:rsidRPr="001913F7">
      <w:rPr>
        <w:sz w:val="18"/>
        <w:szCs w:val="18"/>
      </w:rPr>
      <w:fldChar w:fldCharType="separate"/>
    </w:r>
    <w:r w:rsidR="006F358A">
      <w:rPr>
        <w:noProof/>
        <w:sz w:val="18"/>
        <w:szCs w:val="18"/>
      </w:rPr>
      <w:t>Fingerboards Mineral Sands Project Inquiry and Advisory Committee</w:t>
    </w:r>
    <w:r w:rsidRPr="001913F7">
      <w:rPr>
        <w:sz w:val="18"/>
        <w:szCs w:val="18"/>
      </w:rPr>
      <w:fldChar w:fldCharType="end"/>
    </w:r>
  </w:p>
  <w:p w14:paraId="6A4A43BF" w14:textId="77777777" w:rsidR="00D15A25" w:rsidRDefault="00D15A25" w:rsidP="00476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5347" w14:textId="77777777" w:rsidR="00D15A25" w:rsidRPr="00570CA1" w:rsidRDefault="00D15A25" w:rsidP="00BA02C9">
    <w:pPr>
      <w:pStyle w:val="Header"/>
      <w:spacing w:before="180"/>
      <w:jc w:val="center"/>
    </w:pPr>
    <w:r>
      <w:rPr>
        <w:noProof/>
      </w:rPr>
      <mc:AlternateContent>
        <mc:Choice Requires="wps">
          <w:drawing>
            <wp:anchor distT="0" distB="0" distL="114300" distR="114300" simplePos="0" relativeHeight="251663360" behindDoc="1" locked="0" layoutInCell="1" allowOverlap="1" wp14:anchorId="479AF026" wp14:editId="1DFBC83C">
              <wp:simplePos x="0" y="0"/>
              <wp:positionH relativeFrom="page">
                <wp:posOffset>720090</wp:posOffset>
              </wp:positionH>
              <wp:positionV relativeFrom="page">
                <wp:posOffset>236855</wp:posOffset>
              </wp:positionV>
              <wp:extent cx="864235" cy="899795"/>
              <wp:effectExtent l="5715" t="8255" r="635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864000 w 1339"/>
                          <a:gd name="T1" fmla="*/ 900000 h 1419"/>
                          <a:gd name="T2" fmla="*/ 431677 w 1339"/>
                          <a:gd name="T3" fmla="*/ 0 h 1419"/>
                          <a:gd name="T4" fmla="*/ 0 w 1339"/>
                          <a:gd name="T5" fmla="*/ 900000 h 1419"/>
                          <a:gd name="T6" fmla="*/ 864000 w 1339"/>
                          <a:gd name="T7" fmla="*/ 90000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9">
                            <a:moveTo>
                              <a:pt x="1339" y="1419"/>
                            </a:moveTo>
                            <a:lnTo>
                              <a:pt x="669" y="0"/>
                            </a:lnTo>
                            <a:lnTo>
                              <a:pt x="0" y="1419"/>
                            </a:lnTo>
                            <a:lnTo>
                              <a:pt x="1339" y="1419"/>
                            </a:lnTo>
                            <a:close/>
                          </a:path>
                        </a:pathLst>
                      </a:custGeom>
                      <a:solidFill>
                        <a:srgbClr val="201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97BC1" id="Freeform 4" o:spid="_x0000_s1026" style="position:absolute;margin-left:56.7pt;margin-top:18.65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" path="m1339,1419l669,,,1419r1339,xe" fillcolor="#201547" stroked="f">
              <v:path arrowok="t" o:connecttype="custom" o:connectlocs="557654249,570694503;278618650,0;0,570694503;557654249,570694503" o:connectangles="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F3D64E3" wp14:editId="5154300E">
              <wp:simplePos x="0" y="0"/>
              <wp:positionH relativeFrom="page">
                <wp:posOffset>288290</wp:posOffset>
              </wp:positionH>
              <wp:positionV relativeFrom="page">
                <wp:posOffset>236855</wp:posOffset>
              </wp:positionV>
              <wp:extent cx="864235" cy="899795"/>
              <wp:effectExtent l="2540" t="8255" r="0" b="63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430705 w 1334"/>
                          <a:gd name="T3" fmla="*/ 900000 h 1419"/>
                          <a:gd name="T4" fmla="*/ 864000 w 1334"/>
                          <a:gd name="T5" fmla="*/ 0 h 1419"/>
                          <a:gd name="T6" fmla="*/ 0 w 1334"/>
                          <a:gd name="T7" fmla="*/ 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4" h="1419">
                            <a:moveTo>
                              <a:pt x="0" y="0"/>
                            </a:moveTo>
                            <a:lnTo>
                              <a:pt x="665" y="1419"/>
                            </a:lnTo>
                            <a:lnTo>
                              <a:pt x="1334" y="0"/>
                            </a:lnTo>
                            <a:lnTo>
                              <a:pt x="0" y="0"/>
                            </a:lnTo>
                            <a:close/>
                          </a:path>
                        </a:pathLst>
                      </a:custGeom>
                      <a:solidFill>
                        <a:srgbClr val="7973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BC9CB" id="Freeform 3" o:spid="_x0000_s1026" style="position:absolute;margin-left:22.7pt;margin-top:18.65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" path="m,l665,1419,1334,,,xe" fillcolor="#797391" stroked="f">
              <v:path arrowok="t" o:connecttype="custom" o:connectlocs="0,0;279033235,570694503;559744408,0;0,0"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5C46FE4" wp14:editId="7C053965">
              <wp:simplePos x="0" y="0"/>
              <wp:positionH relativeFrom="page">
                <wp:posOffset>288290</wp:posOffset>
              </wp:positionH>
              <wp:positionV relativeFrom="page">
                <wp:posOffset>236855</wp:posOffset>
              </wp:positionV>
              <wp:extent cx="7019925" cy="899795"/>
              <wp:effectExtent l="254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386CA5" id="Rectangle 2" o:spid="_x0000_s1026" style="position:absolute;margin-left:22.7pt;margin-top:18.65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" fillcolor="#00b2a9" stroked="f">
              <w10:wrap anchorx="page" anchory="page"/>
            </v:rect>
          </w:pict>
        </mc:Fallback>
      </mc:AlternateContent>
    </w:r>
    <w:r>
      <w:rPr>
        <w:color w:val="FFFFFF" w:themeColor="background1"/>
        <w:spacing w:val="-10"/>
        <w:sz w:val="40"/>
        <w:szCs w:val="40"/>
      </w:rPr>
      <w:t>Terms of Reference</w:t>
    </w:r>
  </w:p>
  <w:p w14:paraId="5105C6B9" w14:textId="77777777" w:rsidR="00D15A25" w:rsidRPr="00D6140A" w:rsidRDefault="00D15A25" w:rsidP="0053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4F81BD" w:themeColor="accent1"/>
      </w:rPr>
    </w:lvl>
    <w:lvl w:ilvl="5" w:tplc="B7E4163A">
      <w:start w:val="1"/>
      <w:numFmt w:val="lowerRoman"/>
      <w:lvlText w:val="%6)"/>
      <w:lvlJc w:val="left"/>
      <w:pPr>
        <w:ind w:left="1145" w:hanging="720"/>
      </w:pPr>
      <w:rPr>
        <w:rFonts w:hint="default"/>
        <w:color w:val="4F81BD"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 w15:restartNumberingAfterBreak="0">
    <w:nsid w:val="193A7C06"/>
    <w:multiLevelType w:val="hybridMultilevel"/>
    <w:tmpl w:val="7D1C11A2"/>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684FB1"/>
    <w:multiLevelType w:val="hybridMultilevel"/>
    <w:tmpl w:val="10AA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D37A4D"/>
    <w:multiLevelType w:val="hybridMultilevel"/>
    <w:tmpl w:val="37342B9C"/>
    <w:lvl w:ilvl="0" w:tplc="30B26FA6">
      <w:start w:val="1"/>
      <w:numFmt w:val="bullet"/>
      <w:pStyle w:val="FormtextBullet"/>
      <w:lvlText w:val=""/>
      <w:lvlJc w:val="left"/>
      <w:pPr>
        <w:tabs>
          <w:tab w:val="num" w:pos="363"/>
        </w:tabs>
        <w:ind w:left="0" w:firstLine="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22991302"/>
    <w:multiLevelType w:val="multilevel"/>
    <w:tmpl w:val="E47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7677"/>
    <w:multiLevelType w:val="hybridMultilevel"/>
    <w:tmpl w:val="FAAE83C8"/>
    <w:lvl w:ilvl="0" w:tplc="6128980C">
      <w:start w:val="1"/>
      <w:numFmt w:val="decimal"/>
      <w:lvlText w:val="%1."/>
      <w:lvlJc w:val="left"/>
      <w:pPr>
        <w:ind w:left="1797" w:hanging="360"/>
      </w:pPr>
      <w:rPr>
        <w:rFonts w:hint="default"/>
      </w:rPr>
    </w:lvl>
    <w:lvl w:ilvl="1" w:tplc="497EC87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DE1E47"/>
    <w:multiLevelType w:val="hybridMultilevel"/>
    <w:tmpl w:val="FD8A5518"/>
    <w:lvl w:ilvl="0" w:tplc="0C090001">
      <w:start w:val="1"/>
      <w:numFmt w:val="bullet"/>
      <w:pStyle w:val="Checkbox"/>
      <w:lvlText w:val=""/>
      <w:lvlJc w:val="left"/>
      <w:pPr>
        <w:tabs>
          <w:tab w:val="num" w:pos="720"/>
        </w:tabs>
        <w:ind w:left="720" w:hanging="360"/>
      </w:pPr>
      <w:rPr>
        <w:rFonts w:ascii="ZapfDingbats" w:hAnsi="ZapfDingba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1E4667"/>
    <w:multiLevelType w:val="hybridMultilevel"/>
    <w:tmpl w:val="C3484196"/>
    <w:lvl w:ilvl="0" w:tplc="0C1CCC3A">
      <w:start w:val="1"/>
      <w:numFmt w:val="bullet"/>
      <w:pStyle w:val="Normalnumbul"/>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0345E"/>
    <w:multiLevelType w:val="hybridMultilevel"/>
    <w:tmpl w:val="AB50BEAE"/>
    <w:lvl w:ilvl="0" w:tplc="0722E744">
      <w:start w:val="1"/>
      <w:numFmt w:val="lowerLetter"/>
      <w:lvlText w:val="%1."/>
      <w:lvlJc w:val="left"/>
      <w:pPr>
        <w:tabs>
          <w:tab w:val="num" w:pos="1800"/>
        </w:tabs>
        <w:ind w:left="1800" w:hanging="360"/>
      </w:pPr>
      <w:rPr>
        <w:rFonts w:ascii="Arial" w:hAnsi="Arial" w:hint="default"/>
        <w:b w:val="0"/>
        <w:i w:val="0"/>
        <w:sz w:val="20"/>
        <w:szCs w:val="22"/>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7797DAC"/>
    <w:multiLevelType w:val="hybridMultilevel"/>
    <w:tmpl w:val="3468FC0A"/>
    <w:lvl w:ilvl="0" w:tplc="266EA1CE">
      <w:start w:val="1"/>
      <w:numFmt w:val="decimal"/>
      <w:pStyle w:val="ToRNumberedPara"/>
      <w:lvlText w:val="%1."/>
      <w:lvlJc w:val="left"/>
      <w:pPr>
        <w:ind w:left="360" w:hanging="360"/>
      </w:pPr>
    </w:lvl>
    <w:lvl w:ilvl="1" w:tplc="CD5A7FC6">
      <w:start w:val="1"/>
      <w:numFmt w:val="lowerLetter"/>
      <w:pStyle w:val="ToRAlphaPara"/>
      <w:lvlText w:val="%2."/>
      <w:lvlJc w:val="left"/>
      <w:pPr>
        <w:ind w:left="1353"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BA92CB2"/>
    <w:multiLevelType w:val="hybridMultilevel"/>
    <w:tmpl w:val="15DCE93E"/>
    <w:lvl w:ilvl="0" w:tplc="819E0D9A">
      <w:start w:val="1"/>
      <w:numFmt w:val="lowerLetter"/>
      <w:lvlText w:val="(%1)"/>
      <w:lvlJc w:val="left"/>
      <w:pPr>
        <w:ind w:left="420" w:hanging="360"/>
      </w:pPr>
      <w:rPr>
        <w:rFonts w:hint="default"/>
      </w:rPr>
    </w:lvl>
    <w:lvl w:ilvl="1" w:tplc="0C090019">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15:restartNumberingAfterBreak="0">
    <w:nsid w:val="61055AD2"/>
    <w:multiLevelType w:val="hybridMultilevel"/>
    <w:tmpl w:val="A43E7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1A3890"/>
    <w:multiLevelType w:val="hybridMultilevel"/>
    <w:tmpl w:val="C2BAEFC0"/>
    <w:lvl w:ilvl="0" w:tplc="819E0D9A">
      <w:start w:val="1"/>
      <w:numFmt w:val="lowerLetter"/>
      <w:lvlText w:val="(%1)"/>
      <w:lvlJc w:val="left"/>
      <w:pPr>
        <w:ind w:left="420" w:hanging="360"/>
      </w:pPr>
      <w:rPr>
        <w:rFonts w:hint="default"/>
      </w:rPr>
    </w:lvl>
    <w:lvl w:ilvl="1" w:tplc="DCE27EE0">
      <w:start w:val="1"/>
      <w:numFmt w:val="decimal"/>
      <w:lvlText w:val="%2."/>
      <w:lvlJc w:val="left"/>
      <w:pPr>
        <w:ind w:left="1140" w:hanging="36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15:restartNumberingAfterBreak="0">
    <w:nsid w:val="67E75F0F"/>
    <w:multiLevelType w:val="hybridMultilevel"/>
    <w:tmpl w:val="54A810C0"/>
    <w:lvl w:ilvl="0" w:tplc="9898659A">
      <w:start w:val="1"/>
      <w:numFmt w:val="bullet"/>
      <w:pStyle w:val="Bullet1"/>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9937CB"/>
    <w:multiLevelType w:val="multilevel"/>
    <w:tmpl w:val="A9D26638"/>
    <w:lvl w:ilvl="0">
      <w:start w:val="1"/>
      <w:numFmt w:val="decimal"/>
      <w:lvlText w:val="%1."/>
      <w:lvlJc w:val="left"/>
      <w:pPr>
        <w:ind w:left="1440" w:hanging="360"/>
      </w:pPr>
      <w:rPr>
        <w:rFonts w:hint="default"/>
      </w:rPr>
    </w:lvl>
    <w:lvl w:ilvl="1">
      <w:start w:val="1"/>
      <w:numFmt w:val="lowerLetter"/>
      <w:lvlText w:val="%2."/>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6CDF6A83"/>
    <w:multiLevelType w:val="hybridMultilevel"/>
    <w:tmpl w:val="AE1AB970"/>
    <w:lvl w:ilvl="0" w:tplc="EE36471E">
      <w:start w:val="1"/>
      <w:numFmt w:val="bullet"/>
      <w:pStyle w:val="Bullettscheck"/>
      <w:lvlText w:val=""/>
      <w:lvlJc w:val="left"/>
      <w:pPr>
        <w:tabs>
          <w:tab w:val="num" w:pos="927"/>
        </w:tabs>
        <w:ind w:left="927" w:hanging="360"/>
      </w:pPr>
      <w:rPr>
        <w:rFonts w:ascii="ZapfDingbats" w:hAnsi="ZapfDingba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BB60FD"/>
    <w:multiLevelType w:val="hybridMultilevel"/>
    <w:tmpl w:val="0F0CBA28"/>
    <w:lvl w:ilvl="0" w:tplc="929A92E4">
      <w:start w:val="1"/>
      <w:numFmt w:val="bullet"/>
      <w:pStyle w:val="Bulletts"/>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8" w15:restartNumberingAfterBreak="0">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7775247F"/>
    <w:multiLevelType w:val="multilevel"/>
    <w:tmpl w:val="68BC4DE0"/>
    <w:lvl w:ilvl="0">
      <w:start w:val="1"/>
      <w:numFmt w:val="decimal"/>
      <w:lvlText w:val="%1."/>
      <w:lvlJc w:val="left"/>
      <w:pPr>
        <w:ind w:left="1440" w:hanging="360"/>
      </w:pPr>
      <w:rPr>
        <w:rFonts w:hint="default"/>
      </w:rPr>
    </w:lvl>
    <w:lvl w:ilvl="1">
      <w:start w:val="1"/>
      <w:numFmt w:val="lowerLetter"/>
      <w:pStyle w:val="Subbulletnum"/>
      <w:lvlText w:val="%2."/>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3"/>
  </w:num>
  <w:num w:numId="2">
    <w:abstractNumId w:val="3"/>
  </w:num>
  <w:num w:numId="3">
    <w:abstractNumId w:val="15"/>
  </w:num>
  <w:num w:numId="4">
    <w:abstractNumId w:val="6"/>
  </w:num>
  <w:num w:numId="5">
    <w:abstractNumId w:val="7"/>
  </w:num>
  <w:num w:numId="6">
    <w:abstractNumId w:val="16"/>
  </w:num>
  <w:num w:numId="7">
    <w:abstractNumId w:val="9"/>
  </w:num>
  <w:num w:numId="8">
    <w:abstractNumId w:val="11"/>
  </w:num>
  <w:num w:numId="9">
    <w:abstractNumId w:val="19"/>
  </w:num>
  <w:num w:numId="10">
    <w:abstractNumId w:val="0"/>
  </w:num>
  <w:num w:numId="11">
    <w:abstractNumId w:val="9"/>
    <w:lvlOverride w:ilvl="0">
      <w:startOverride w:val="1"/>
    </w:lvlOverride>
  </w:num>
  <w:num w:numId="12">
    <w:abstractNumId w:val="9"/>
    <w:lvlOverride w:ilvl="0">
      <w:startOverride w:val="1"/>
    </w:lvlOverride>
  </w:num>
  <w:num w:numId="13">
    <w:abstractNumId w:val="9"/>
  </w:num>
  <w:num w:numId="14">
    <w:abstractNumId w:val="9"/>
    <w:lvlOverride w:ilvl="0">
      <w:startOverride w:val="1"/>
    </w:lvlOverride>
  </w:num>
  <w:num w:numId="15">
    <w:abstractNumId w:val="9"/>
  </w:num>
  <w:num w:numId="16">
    <w:abstractNumId w:val="9"/>
    <w:lvlOverride w:ilvl="0">
      <w:startOverride w:val="1"/>
    </w:lvlOverride>
  </w:num>
  <w:num w:numId="17">
    <w:abstractNumId w:val="9"/>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
  </w:num>
  <w:num w:numId="30">
    <w:abstractNumId w:val="18"/>
  </w:num>
  <w:num w:numId="31">
    <w:abstractNumId w:val="8"/>
  </w:num>
  <w:num w:numId="32">
    <w:abstractNumId w:val="10"/>
  </w:num>
  <w:num w:numId="33">
    <w:abstractNumId w:val="12"/>
  </w:num>
  <w:num w:numId="34">
    <w:abstractNumId w:val="2"/>
  </w:num>
  <w:num w:numId="35">
    <w:abstractNumId w:val="5"/>
  </w:num>
  <w:num w:numId="36">
    <w:abstractNumId w:val="4"/>
  </w:num>
  <w:num w:numId="37">
    <w:abstractNumId w:val="9"/>
  </w:num>
  <w:num w:numId="3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C7E"/>
    <w:rsid w:val="0000162D"/>
    <w:rsid w:val="00005004"/>
    <w:rsid w:val="00013223"/>
    <w:rsid w:val="000138EA"/>
    <w:rsid w:val="00014F1A"/>
    <w:rsid w:val="000210E9"/>
    <w:rsid w:val="000224E3"/>
    <w:rsid w:val="00022DD6"/>
    <w:rsid w:val="000232E0"/>
    <w:rsid w:val="00024960"/>
    <w:rsid w:val="0002652D"/>
    <w:rsid w:val="00031597"/>
    <w:rsid w:val="000326B2"/>
    <w:rsid w:val="000328C6"/>
    <w:rsid w:val="0003572E"/>
    <w:rsid w:val="00035D09"/>
    <w:rsid w:val="000402A2"/>
    <w:rsid w:val="00041D40"/>
    <w:rsid w:val="00042418"/>
    <w:rsid w:val="0004299D"/>
    <w:rsid w:val="00043420"/>
    <w:rsid w:val="00044D7A"/>
    <w:rsid w:val="00047678"/>
    <w:rsid w:val="00047B08"/>
    <w:rsid w:val="00050083"/>
    <w:rsid w:val="0005074C"/>
    <w:rsid w:val="000524A3"/>
    <w:rsid w:val="00052C0C"/>
    <w:rsid w:val="00053578"/>
    <w:rsid w:val="00056BDA"/>
    <w:rsid w:val="000570EE"/>
    <w:rsid w:val="0006120B"/>
    <w:rsid w:val="0006338C"/>
    <w:rsid w:val="00063DFA"/>
    <w:rsid w:val="00070284"/>
    <w:rsid w:val="00071096"/>
    <w:rsid w:val="00071B01"/>
    <w:rsid w:val="00074AAC"/>
    <w:rsid w:val="00076C0D"/>
    <w:rsid w:val="00077263"/>
    <w:rsid w:val="0008055E"/>
    <w:rsid w:val="0008157E"/>
    <w:rsid w:val="00082677"/>
    <w:rsid w:val="00084B0E"/>
    <w:rsid w:val="000855EE"/>
    <w:rsid w:val="00085DC7"/>
    <w:rsid w:val="00085E58"/>
    <w:rsid w:val="00094571"/>
    <w:rsid w:val="00094E70"/>
    <w:rsid w:val="00097075"/>
    <w:rsid w:val="00097D8F"/>
    <w:rsid w:val="00097F9F"/>
    <w:rsid w:val="000A174E"/>
    <w:rsid w:val="000A1C36"/>
    <w:rsid w:val="000A2999"/>
    <w:rsid w:val="000A3D44"/>
    <w:rsid w:val="000B0269"/>
    <w:rsid w:val="000B0A27"/>
    <w:rsid w:val="000B10A8"/>
    <w:rsid w:val="000B69E3"/>
    <w:rsid w:val="000B7620"/>
    <w:rsid w:val="000B7CB2"/>
    <w:rsid w:val="000C251E"/>
    <w:rsid w:val="000C6BF1"/>
    <w:rsid w:val="000D0F42"/>
    <w:rsid w:val="000D3599"/>
    <w:rsid w:val="000D6626"/>
    <w:rsid w:val="000D6859"/>
    <w:rsid w:val="000D76AE"/>
    <w:rsid w:val="000E1B27"/>
    <w:rsid w:val="000E3A38"/>
    <w:rsid w:val="000E45EF"/>
    <w:rsid w:val="000E5052"/>
    <w:rsid w:val="000E5065"/>
    <w:rsid w:val="000E5833"/>
    <w:rsid w:val="000F0124"/>
    <w:rsid w:val="000F2095"/>
    <w:rsid w:val="000F324A"/>
    <w:rsid w:val="000F476B"/>
    <w:rsid w:val="000F63B4"/>
    <w:rsid w:val="000F728E"/>
    <w:rsid w:val="00100B9B"/>
    <w:rsid w:val="0010180A"/>
    <w:rsid w:val="00105386"/>
    <w:rsid w:val="00106DB7"/>
    <w:rsid w:val="00110060"/>
    <w:rsid w:val="001119EF"/>
    <w:rsid w:val="00112B10"/>
    <w:rsid w:val="00115ADD"/>
    <w:rsid w:val="0011646A"/>
    <w:rsid w:val="001176DA"/>
    <w:rsid w:val="001179E1"/>
    <w:rsid w:val="00117DBC"/>
    <w:rsid w:val="0012183F"/>
    <w:rsid w:val="001219C3"/>
    <w:rsid w:val="001238CB"/>
    <w:rsid w:val="0012551F"/>
    <w:rsid w:val="001360EB"/>
    <w:rsid w:val="001368DF"/>
    <w:rsid w:val="00137110"/>
    <w:rsid w:val="0014135D"/>
    <w:rsid w:val="00146E9F"/>
    <w:rsid w:val="00147F27"/>
    <w:rsid w:val="001500F6"/>
    <w:rsid w:val="001506F2"/>
    <w:rsid w:val="0015122E"/>
    <w:rsid w:val="00151541"/>
    <w:rsid w:val="00153A95"/>
    <w:rsid w:val="00153B0D"/>
    <w:rsid w:val="0016004E"/>
    <w:rsid w:val="00161240"/>
    <w:rsid w:val="00161508"/>
    <w:rsid w:val="00163EEE"/>
    <w:rsid w:val="001664D2"/>
    <w:rsid w:val="001676CE"/>
    <w:rsid w:val="00170B22"/>
    <w:rsid w:val="00173062"/>
    <w:rsid w:val="001746D5"/>
    <w:rsid w:val="00175510"/>
    <w:rsid w:val="001802A7"/>
    <w:rsid w:val="0018132B"/>
    <w:rsid w:val="001814A2"/>
    <w:rsid w:val="001815E0"/>
    <w:rsid w:val="00183F7E"/>
    <w:rsid w:val="00184349"/>
    <w:rsid w:val="00185B6F"/>
    <w:rsid w:val="00186C22"/>
    <w:rsid w:val="00186F44"/>
    <w:rsid w:val="001913F7"/>
    <w:rsid w:val="0019478A"/>
    <w:rsid w:val="00195F78"/>
    <w:rsid w:val="001960BF"/>
    <w:rsid w:val="00196408"/>
    <w:rsid w:val="00197B0C"/>
    <w:rsid w:val="001A0221"/>
    <w:rsid w:val="001A12E9"/>
    <w:rsid w:val="001A1DF2"/>
    <w:rsid w:val="001A30B2"/>
    <w:rsid w:val="001A4534"/>
    <w:rsid w:val="001A4F44"/>
    <w:rsid w:val="001A58F1"/>
    <w:rsid w:val="001A5CBC"/>
    <w:rsid w:val="001A6D1C"/>
    <w:rsid w:val="001B2A43"/>
    <w:rsid w:val="001B3796"/>
    <w:rsid w:val="001B50FF"/>
    <w:rsid w:val="001B6146"/>
    <w:rsid w:val="001C0872"/>
    <w:rsid w:val="001C0994"/>
    <w:rsid w:val="001C0ACF"/>
    <w:rsid w:val="001C14F6"/>
    <w:rsid w:val="001C4F09"/>
    <w:rsid w:val="001C61BF"/>
    <w:rsid w:val="001C6DE8"/>
    <w:rsid w:val="001C7175"/>
    <w:rsid w:val="001C79AA"/>
    <w:rsid w:val="001C7B8B"/>
    <w:rsid w:val="001D00CF"/>
    <w:rsid w:val="001D17A5"/>
    <w:rsid w:val="001D17E5"/>
    <w:rsid w:val="001D2686"/>
    <w:rsid w:val="001D2947"/>
    <w:rsid w:val="001D5306"/>
    <w:rsid w:val="001D5DCA"/>
    <w:rsid w:val="001D5DE0"/>
    <w:rsid w:val="001D632D"/>
    <w:rsid w:val="001D69D4"/>
    <w:rsid w:val="001E013F"/>
    <w:rsid w:val="001E0146"/>
    <w:rsid w:val="001E1C0C"/>
    <w:rsid w:val="001E35D1"/>
    <w:rsid w:val="001E71A9"/>
    <w:rsid w:val="001F225B"/>
    <w:rsid w:val="001F56F8"/>
    <w:rsid w:val="001F5AC0"/>
    <w:rsid w:val="002003A1"/>
    <w:rsid w:val="00200F2A"/>
    <w:rsid w:val="002022EB"/>
    <w:rsid w:val="00202525"/>
    <w:rsid w:val="0020288F"/>
    <w:rsid w:val="0020345E"/>
    <w:rsid w:val="00205162"/>
    <w:rsid w:val="00205D69"/>
    <w:rsid w:val="002063DB"/>
    <w:rsid w:val="00212E54"/>
    <w:rsid w:val="002155DA"/>
    <w:rsid w:val="00215A1C"/>
    <w:rsid w:val="00216739"/>
    <w:rsid w:val="002218B4"/>
    <w:rsid w:val="00221A40"/>
    <w:rsid w:val="0022274D"/>
    <w:rsid w:val="002271CE"/>
    <w:rsid w:val="002335EA"/>
    <w:rsid w:val="002340FC"/>
    <w:rsid w:val="002410A3"/>
    <w:rsid w:val="002411EF"/>
    <w:rsid w:val="002412A5"/>
    <w:rsid w:val="002438FA"/>
    <w:rsid w:val="0024714C"/>
    <w:rsid w:val="0025153D"/>
    <w:rsid w:val="00253487"/>
    <w:rsid w:val="00257A52"/>
    <w:rsid w:val="00260523"/>
    <w:rsid w:val="0026080D"/>
    <w:rsid w:val="00260D63"/>
    <w:rsid w:val="002661D5"/>
    <w:rsid w:val="00266985"/>
    <w:rsid w:val="00266CC6"/>
    <w:rsid w:val="00271625"/>
    <w:rsid w:val="00271C72"/>
    <w:rsid w:val="00272B35"/>
    <w:rsid w:val="00274350"/>
    <w:rsid w:val="00274E9E"/>
    <w:rsid w:val="002767AF"/>
    <w:rsid w:val="00277FD1"/>
    <w:rsid w:val="002854AC"/>
    <w:rsid w:val="00286974"/>
    <w:rsid w:val="00287EF3"/>
    <w:rsid w:val="00290809"/>
    <w:rsid w:val="0029177C"/>
    <w:rsid w:val="00291DD5"/>
    <w:rsid w:val="00295D4F"/>
    <w:rsid w:val="002A586C"/>
    <w:rsid w:val="002A5F2E"/>
    <w:rsid w:val="002A6E4D"/>
    <w:rsid w:val="002B3804"/>
    <w:rsid w:val="002B3F20"/>
    <w:rsid w:val="002B5E37"/>
    <w:rsid w:val="002C0796"/>
    <w:rsid w:val="002C2D0F"/>
    <w:rsid w:val="002C379B"/>
    <w:rsid w:val="002C4086"/>
    <w:rsid w:val="002C4C86"/>
    <w:rsid w:val="002C54B7"/>
    <w:rsid w:val="002C5CFD"/>
    <w:rsid w:val="002C5E3C"/>
    <w:rsid w:val="002D24F1"/>
    <w:rsid w:val="002D3EF0"/>
    <w:rsid w:val="002D5005"/>
    <w:rsid w:val="002D69CD"/>
    <w:rsid w:val="002D7BB3"/>
    <w:rsid w:val="002E0549"/>
    <w:rsid w:val="002E06C5"/>
    <w:rsid w:val="002E4158"/>
    <w:rsid w:val="002E6969"/>
    <w:rsid w:val="002E7BE4"/>
    <w:rsid w:val="002E7F78"/>
    <w:rsid w:val="00300DFF"/>
    <w:rsid w:val="00301A0C"/>
    <w:rsid w:val="00301D2E"/>
    <w:rsid w:val="00305DF4"/>
    <w:rsid w:val="0030653A"/>
    <w:rsid w:val="00306E43"/>
    <w:rsid w:val="00310153"/>
    <w:rsid w:val="00314907"/>
    <w:rsid w:val="003160EC"/>
    <w:rsid w:val="00316AAD"/>
    <w:rsid w:val="003173F7"/>
    <w:rsid w:val="00317F4D"/>
    <w:rsid w:val="0032141C"/>
    <w:rsid w:val="003227CE"/>
    <w:rsid w:val="00324FC5"/>
    <w:rsid w:val="0033182D"/>
    <w:rsid w:val="00332F54"/>
    <w:rsid w:val="00333ACF"/>
    <w:rsid w:val="003352EB"/>
    <w:rsid w:val="00335EAE"/>
    <w:rsid w:val="003365CB"/>
    <w:rsid w:val="00340A90"/>
    <w:rsid w:val="003446D0"/>
    <w:rsid w:val="00344F11"/>
    <w:rsid w:val="00346429"/>
    <w:rsid w:val="00350728"/>
    <w:rsid w:val="00350F90"/>
    <w:rsid w:val="0035120E"/>
    <w:rsid w:val="003546BF"/>
    <w:rsid w:val="003574C9"/>
    <w:rsid w:val="0036330A"/>
    <w:rsid w:val="00366027"/>
    <w:rsid w:val="003678C6"/>
    <w:rsid w:val="00371516"/>
    <w:rsid w:val="00371B7D"/>
    <w:rsid w:val="003723DC"/>
    <w:rsid w:val="003732D5"/>
    <w:rsid w:val="003740BA"/>
    <w:rsid w:val="00374146"/>
    <w:rsid w:val="0037583C"/>
    <w:rsid w:val="00376F74"/>
    <w:rsid w:val="003770B6"/>
    <w:rsid w:val="0038120D"/>
    <w:rsid w:val="00381582"/>
    <w:rsid w:val="00381685"/>
    <w:rsid w:val="00382F2A"/>
    <w:rsid w:val="003858AD"/>
    <w:rsid w:val="00386C4A"/>
    <w:rsid w:val="00386EAC"/>
    <w:rsid w:val="003918CE"/>
    <w:rsid w:val="003926C2"/>
    <w:rsid w:val="00392DC2"/>
    <w:rsid w:val="00394A76"/>
    <w:rsid w:val="00394C6E"/>
    <w:rsid w:val="0039641D"/>
    <w:rsid w:val="003972F3"/>
    <w:rsid w:val="003A1A87"/>
    <w:rsid w:val="003A3CA4"/>
    <w:rsid w:val="003A4583"/>
    <w:rsid w:val="003A633B"/>
    <w:rsid w:val="003B20C2"/>
    <w:rsid w:val="003B27FC"/>
    <w:rsid w:val="003B29A6"/>
    <w:rsid w:val="003B2CAE"/>
    <w:rsid w:val="003B6BCA"/>
    <w:rsid w:val="003C0219"/>
    <w:rsid w:val="003C6C5A"/>
    <w:rsid w:val="003C71E2"/>
    <w:rsid w:val="003D1598"/>
    <w:rsid w:val="003D1DA5"/>
    <w:rsid w:val="003D33B0"/>
    <w:rsid w:val="003D4D56"/>
    <w:rsid w:val="003D5603"/>
    <w:rsid w:val="003E0824"/>
    <w:rsid w:val="003E2D85"/>
    <w:rsid w:val="003E47BD"/>
    <w:rsid w:val="003E72FE"/>
    <w:rsid w:val="003E7CD0"/>
    <w:rsid w:val="003E7F2C"/>
    <w:rsid w:val="003F45D7"/>
    <w:rsid w:val="003F6565"/>
    <w:rsid w:val="003F74CE"/>
    <w:rsid w:val="003F7CC3"/>
    <w:rsid w:val="003F7DCC"/>
    <w:rsid w:val="0040150B"/>
    <w:rsid w:val="0040263D"/>
    <w:rsid w:val="00405565"/>
    <w:rsid w:val="00407517"/>
    <w:rsid w:val="00407D18"/>
    <w:rsid w:val="00410327"/>
    <w:rsid w:val="004108B5"/>
    <w:rsid w:val="0041273A"/>
    <w:rsid w:val="00414F34"/>
    <w:rsid w:val="004150B3"/>
    <w:rsid w:val="00415316"/>
    <w:rsid w:val="00415354"/>
    <w:rsid w:val="004160D6"/>
    <w:rsid w:val="0041636F"/>
    <w:rsid w:val="00416443"/>
    <w:rsid w:val="00416893"/>
    <w:rsid w:val="00424F1A"/>
    <w:rsid w:val="00425EFC"/>
    <w:rsid w:val="004313FF"/>
    <w:rsid w:val="00431595"/>
    <w:rsid w:val="00431FB7"/>
    <w:rsid w:val="0043319A"/>
    <w:rsid w:val="00433879"/>
    <w:rsid w:val="004342AA"/>
    <w:rsid w:val="00434D07"/>
    <w:rsid w:val="00435A1A"/>
    <w:rsid w:val="00437D21"/>
    <w:rsid w:val="004421EF"/>
    <w:rsid w:val="004423C3"/>
    <w:rsid w:val="004428F9"/>
    <w:rsid w:val="00442AB6"/>
    <w:rsid w:val="00443437"/>
    <w:rsid w:val="00443A52"/>
    <w:rsid w:val="00445365"/>
    <w:rsid w:val="00445AFE"/>
    <w:rsid w:val="0044701C"/>
    <w:rsid w:val="004473EE"/>
    <w:rsid w:val="004506A8"/>
    <w:rsid w:val="00454893"/>
    <w:rsid w:val="00457F97"/>
    <w:rsid w:val="004609E2"/>
    <w:rsid w:val="004628D3"/>
    <w:rsid w:val="004635EE"/>
    <w:rsid w:val="00465DE7"/>
    <w:rsid w:val="0046607B"/>
    <w:rsid w:val="00467590"/>
    <w:rsid w:val="00467D65"/>
    <w:rsid w:val="00472CB3"/>
    <w:rsid w:val="004733FF"/>
    <w:rsid w:val="0047493E"/>
    <w:rsid w:val="00474FE9"/>
    <w:rsid w:val="00476324"/>
    <w:rsid w:val="004768FB"/>
    <w:rsid w:val="004770E2"/>
    <w:rsid w:val="00480714"/>
    <w:rsid w:val="004809ED"/>
    <w:rsid w:val="00480D5A"/>
    <w:rsid w:val="004816B0"/>
    <w:rsid w:val="0048197C"/>
    <w:rsid w:val="00481B2B"/>
    <w:rsid w:val="00481DC8"/>
    <w:rsid w:val="0048258D"/>
    <w:rsid w:val="004826CB"/>
    <w:rsid w:val="004851A8"/>
    <w:rsid w:val="0049137A"/>
    <w:rsid w:val="00493BA1"/>
    <w:rsid w:val="00496BBF"/>
    <w:rsid w:val="004A68E6"/>
    <w:rsid w:val="004B0487"/>
    <w:rsid w:val="004B193A"/>
    <w:rsid w:val="004B3867"/>
    <w:rsid w:val="004B7A72"/>
    <w:rsid w:val="004C08FA"/>
    <w:rsid w:val="004C0B37"/>
    <w:rsid w:val="004C1626"/>
    <w:rsid w:val="004C19DB"/>
    <w:rsid w:val="004C19FF"/>
    <w:rsid w:val="004C55AC"/>
    <w:rsid w:val="004C5845"/>
    <w:rsid w:val="004C7B8C"/>
    <w:rsid w:val="004D4C40"/>
    <w:rsid w:val="004D4ED1"/>
    <w:rsid w:val="004D75E5"/>
    <w:rsid w:val="004E28E5"/>
    <w:rsid w:val="004E6501"/>
    <w:rsid w:val="004F4FC9"/>
    <w:rsid w:val="00500FFB"/>
    <w:rsid w:val="00501827"/>
    <w:rsid w:val="00501A5E"/>
    <w:rsid w:val="00502D8B"/>
    <w:rsid w:val="00503F1C"/>
    <w:rsid w:val="00503FEA"/>
    <w:rsid w:val="0050446D"/>
    <w:rsid w:val="0050471E"/>
    <w:rsid w:val="00504750"/>
    <w:rsid w:val="00504BC2"/>
    <w:rsid w:val="00505F1D"/>
    <w:rsid w:val="00506384"/>
    <w:rsid w:val="00507606"/>
    <w:rsid w:val="00507FFC"/>
    <w:rsid w:val="00510CBA"/>
    <w:rsid w:val="0051305D"/>
    <w:rsid w:val="00514103"/>
    <w:rsid w:val="00514928"/>
    <w:rsid w:val="00516B1F"/>
    <w:rsid w:val="00517B81"/>
    <w:rsid w:val="00521BE7"/>
    <w:rsid w:val="00521F31"/>
    <w:rsid w:val="00522C7B"/>
    <w:rsid w:val="005254FD"/>
    <w:rsid w:val="00531A5A"/>
    <w:rsid w:val="00533149"/>
    <w:rsid w:val="00535497"/>
    <w:rsid w:val="00536652"/>
    <w:rsid w:val="005377C7"/>
    <w:rsid w:val="00537D76"/>
    <w:rsid w:val="00537E10"/>
    <w:rsid w:val="00541427"/>
    <w:rsid w:val="005414C6"/>
    <w:rsid w:val="00542426"/>
    <w:rsid w:val="00542FAF"/>
    <w:rsid w:val="005508C7"/>
    <w:rsid w:val="00551551"/>
    <w:rsid w:val="005522F1"/>
    <w:rsid w:val="0055232F"/>
    <w:rsid w:val="0055257F"/>
    <w:rsid w:val="00556003"/>
    <w:rsid w:val="005572CB"/>
    <w:rsid w:val="005615C4"/>
    <w:rsid w:val="00562B2C"/>
    <w:rsid w:val="00563B13"/>
    <w:rsid w:val="005669C9"/>
    <w:rsid w:val="00567023"/>
    <w:rsid w:val="00572096"/>
    <w:rsid w:val="00573E32"/>
    <w:rsid w:val="00575958"/>
    <w:rsid w:val="005762A4"/>
    <w:rsid w:val="00580169"/>
    <w:rsid w:val="00583476"/>
    <w:rsid w:val="00583901"/>
    <w:rsid w:val="00585232"/>
    <w:rsid w:val="005879C3"/>
    <w:rsid w:val="0059771B"/>
    <w:rsid w:val="00597BD1"/>
    <w:rsid w:val="005A1E6D"/>
    <w:rsid w:val="005B2332"/>
    <w:rsid w:val="005B36F1"/>
    <w:rsid w:val="005B403F"/>
    <w:rsid w:val="005B6B96"/>
    <w:rsid w:val="005B764E"/>
    <w:rsid w:val="005C141F"/>
    <w:rsid w:val="005C39E3"/>
    <w:rsid w:val="005C508D"/>
    <w:rsid w:val="005C66DB"/>
    <w:rsid w:val="005C73A9"/>
    <w:rsid w:val="005D11F7"/>
    <w:rsid w:val="005D44E1"/>
    <w:rsid w:val="005D4807"/>
    <w:rsid w:val="005D51CB"/>
    <w:rsid w:val="005E02F6"/>
    <w:rsid w:val="005E1F00"/>
    <w:rsid w:val="005E44EA"/>
    <w:rsid w:val="005E4E6A"/>
    <w:rsid w:val="005E58CD"/>
    <w:rsid w:val="005F2A59"/>
    <w:rsid w:val="005F3EA9"/>
    <w:rsid w:val="005F5485"/>
    <w:rsid w:val="005F72AA"/>
    <w:rsid w:val="00600081"/>
    <w:rsid w:val="00601FEC"/>
    <w:rsid w:val="00602C9E"/>
    <w:rsid w:val="00603588"/>
    <w:rsid w:val="00603795"/>
    <w:rsid w:val="00603AC9"/>
    <w:rsid w:val="00605BCA"/>
    <w:rsid w:val="00605E3B"/>
    <w:rsid w:val="00610207"/>
    <w:rsid w:val="0061207E"/>
    <w:rsid w:val="006132DF"/>
    <w:rsid w:val="00615664"/>
    <w:rsid w:val="006158B6"/>
    <w:rsid w:val="0061634A"/>
    <w:rsid w:val="00623AA4"/>
    <w:rsid w:val="00623FB6"/>
    <w:rsid w:val="00624793"/>
    <w:rsid w:val="006257DD"/>
    <w:rsid w:val="00626371"/>
    <w:rsid w:val="0063004F"/>
    <w:rsid w:val="006351DD"/>
    <w:rsid w:val="00635CF9"/>
    <w:rsid w:val="00636126"/>
    <w:rsid w:val="006407B4"/>
    <w:rsid w:val="006428FA"/>
    <w:rsid w:val="00645A3F"/>
    <w:rsid w:val="00645B2F"/>
    <w:rsid w:val="00650D81"/>
    <w:rsid w:val="006531BC"/>
    <w:rsid w:val="00653292"/>
    <w:rsid w:val="006545A2"/>
    <w:rsid w:val="006608E6"/>
    <w:rsid w:val="00661331"/>
    <w:rsid w:val="00661C4C"/>
    <w:rsid w:val="006632B3"/>
    <w:rsid w:val="006648AD"/>
    <w:rsid w:val="00664ABC"/>
    <w:rsid w:val="006663B9"/>
    <w:rsid w:val="00667CEA"/>
    <w:rsid w:val="0067143D"/>
    <w:rsid w:val="00671519"/>
    <w:rsid w:val="006717B6"/>
    <w:rsid w:val="006719B6"/>
    <w:rsid w:val="00672ACA"/>
    <w:rsid w:val="00676978"/>
    <w:rsid w:val="00677AC0"/>
    <w:rsid w:val="00680DA1"/>
    <w:rsid w:val="00682458"/>
    <w:rsid w:val="00683C50"/>
    <w:rsid w:val="00684C63"/>
    <w:rsid w:val="006853F9"/>
    <w:rsid w:val="00690EC4"/>
    <w:rsid w:val="006914DE"/>
    <w:rsid w:val="00691A41"/>
    <w:rsid w:val="006921D0"/>
    <w:rsid w:val="00692299"/>
    <w:rsid w:val="0069234E"/>
    <w:rsid w:val="00693F31"/>
    <w:rsid w:val="00695215"/>
    <w:rsid w:val="0069601D"/>
    <w:rsid w:val="0069611E"/>
    <w:rsid w:val="00696548"/>
    <w:rsid w:val="00697A70"/>
    <w:rsid w:val="006A1114"/>
    <w:rsid w:val="006A30D9"/>
    <w:rsid w:val="006A4188"/>
    <w:rsid w:val="006A5512"/>
    <w:rsid w:val="006A7D50"/>
    <w:rsid w:val="006B24AB"/>
    <w:rsid w:val="006B3AE0"/>
    <w:rsid w:val="006B3AFB"/>
    <w:rsid w:val="006B4ECC"/>
    <w:rsid w:val="006B5992"/>
    <w:rsid w:val="006B69E5"/>
    <w:rsid w:val="006B729B"/>
    <w:rsid w:val="006B7F23"/>
    <w:rsid w:val="006C4398"/>
    <w:rsid w:val="006C4637"/>
    <w:rsid w:val="006C6349"/>
    <w:rsid w:val="006E38F1"/>
    <w:rsid w:val="006E65D1"/>
    <w:rsid w:val="006E6728"/>
    <w:rsid w:val="006E6AE9"/>
    <w:rsid w:val="006F1189"/>
    <w:rsid w:val="006F3428"/>
    <w:rsid w:val="006F358A"/>
    <w:rsid w:val="006F4EF2"/>
    <w:rsid w:val="006F6749"/>
    <w:rsid w:val="007002D4"/>
    <w:rsid w:val="00705C67"/>
    <w:rsid w:val="007066F7"/>
    <w:rsid w:val="00706AB2"/>
    <w:rsid w:val="00706E57"/>
    <w:rsid w:val="00710A2D"/>
    <w:rsid w:val="00713295"/>
    <w:rsid w:val="00713964"/>
    <w:rsid w:val="007139CB"/>
    <w:rsid w:val="007145FE"/>
    <w:rsid w:val="00716112"/>
    <w:rsid w:val="00717E2E"/>
    <w:rsid w:val="00717E39"/>
    <w:rsid w:val="00721522"/>
    <w:rsid w:val="00722E36"/>
    <w:rsid w:val="007260B9"/>
    <w:rsid w:val="0073273C"/>
    <w:rsid w:val="00735662"/>
    <w:rsid w:val="00735CA5"/>
    <w:rsid w:val="00736B74"/>
    <w:rsid w:val="00740F34"/>
    <w:rsid w:val="0074170A"/>
    <w:rsid w:val="0074259E"/>
    <w:rsid w:val="00743014"/>
    <w:rsid w:val="0074398A"/>
    <w:rsid w:val="00744FE4"/>
    <w:rsid w:val="00745088"/>
    <w:rsid w:val="00745DA6"/>
    <w:rsid w:val="00750282"/>
    <w:rsid w:val="00752119"/>
    <w:rsid w:val="007523CA"/>
    <w:rsid w:val="0075262C"/>
    <w:rsid w:val="00754C69"/>
    <w:rsid w:val="00760A36"/>
    <w:rsid w:val="00760D4D"/>
    <w:rsid w:val="007615B2"/>
    <w:rsid w:val="00764167"/>
    <w:rsid w:val="00764FE4"/>
    <w:rsid w:val="00765A96"/>
    <w:rsid w:val="00767A60"/>
    <w:rsid w:val="00767C52"/>
    <w:rsid w:val="00770A25"/>
    <w:rsid w:val="00770C03"/>
    <w:rsid w:val="0077173D"/>
    <w:rsid w:val="00775E40"/>
    <w:rsid w:val="00777056"/>
    <w:rsid w:val="00777A90"/>
    <w:rsid w:val="00780FE6"/>
    <w:rsid w:val="00781C16"/>
    <w:rsid w:val="00781E40"/>
    <w:rsid w:val="00782943"/>
    <w:rsid w:val="0078321C"/>
    <w:rsid w:val="0079450B"/>
    <w:rsid w:val="007A1041"/>
    <w:rsid w:val="007A251D"/>
    <w:rsid w:val="007A64D6"/>
    <w:rsid w:val="007A7952"/>
    <w:rsid w:val="007A7D47"/>
    <w:rsid w:val="007B0502"/>
    <w:rsid w:val="007B220E"/>
    <w:rsid w:val="007B2616"/>
    <w:rsid w:val="007B2E43"/>
    <w:rsid w:val="007B2F50"/>
    <w:rsid w:val="007B65D5"/>
    <w:rsid w:val="007B6998"/>
    <w:rsid w:val="007B786C"/>
    <w:rsid w:val="007B7CA2"/>
    <w:rsid w:val="007C09C6"/>
    <w:rsid w:val="007C22BA"/>
    <w:rsid w:val="007C4658"/>
    <w:rsid w:val="007C49AD"/>
    <w:rsid w:val="007C5017"/>
    <w:rsid w:val="007C6CD8"/>
    <w:rsid w:val="007D0411"/>
    <w:rsid w:val="007D70DD"/>
    <w:rsid w:val="007D7AAA"/>
    <w:rsid w:val="007E0D77"/>
    <w:rsid w:val="007E34C4"/>
    <w:rsid w:val="007E375E"/>
    <w:rsid w:val="007E3F5C"/>
    <w:rsid w:val="007E3F78"/>
    <w:rsid w:val="007E68B2"/>
    <w:rsid w:val="007F00C6"/>
    <w:rsid w:val="007F1645"/>
    <w:rsid w:val="007F2656"/>
    <w:rsid w:val="007F6EFE"/>
    <w:rsid w:val="00801628"/>
    <w:rsid w:val="008041EE"/>
    <w:rsid w:val="0080489A"/>
    <w:rsid w:val="00807906"/>
    <w:rsid w:val="008101A0"/>
    <w:rsid w:val="00810230"/>
    <w:rsid w:val="00811250"/>
    <w:rsid w:val="00811347"/>
    <w:rsid w:val="00814A42"/>
    <w:rsid w:val="00814C3A"/>
    <w:rsid w:val="00820A31"/>
    <w:rsid w:val="00821223"/>
    <w:rsid w:val="00825747"/>
    <w:rsid w:val="008270CA"/>
    <w:rsid w:val="008305D8"/>
    <w:rsid w:val="00832146"/>
    <w:rsid w:val="008337A4"/>
    <w:rsid w:val="00837466"/>
    <w:rsid w:val="00837C3A"/>
    <w:rsid w:val="00841325"/>
    <w:rsid w:val="00843C50"/>
    <w:rsid w:val="008453E5"/>
    <w:rsid w:val="008475DD"/>
    <w:rsid w:val="00850714"/>
    <w:rsid w:val="0085376F"/>
    <w:rsid w:val="0085436B"/>
    <w:rsid w:val="00855585"/>
    <w:rsid w:val="00855DED"/>
    <w:rsid w:val="008642C6"/>
    <w:rsid w:val="00864C7E"/>
    <w:rsid w:val="00864E79"/>
    <w:rsid w:val="00867D99"/>
    <w:rsid w:val="008740FC"/>
    <w:rsid w:val="0087467E"/>
    <w:rsid w:val="00874CA9"/>
    <w:rsid w:val="008755B9"/>
    <w:rsid w:val="00875E45"/>
    <w:rsid w:val="00877932"/>
    <w:rsid w:val="008802C2"/>
    <w:rsid w:val="008827D8"/>
    <w:rsid w:val="00882C99"/>
    <w:rsid w:val="00884F3F"/>
    <w:rsid w:val="00886477"/>
    <w:rsid w:val="00887BCD"/>
    <w:rsid w:val="00890676"/>
    <w:rsid w:val="00895494"/>
    <w:rsid w:val="00896FC3"/>
    <w:rsid w:val="008A2468"/>
    <w:rsid w:val="008A766A"/>
    <w:rsid w:val="008A7C8B"/>
    <w:rsid w:val="008B01A5"/>
    <w:rsid w:val="008B09B7"/>
    <w:rsid w:val="008B3CF9"/>
    <w:rsid w:val="008B428D"/>
    <w:rsid w:val="008B4D08"/>
    <w:rsid w:val="008B5704"/>
    <w:rsid w:val="008B6716"/>
    <w:rsid w:val="008C0C2B"/>
    <w:rsid w:val="008C3EA5"/>
    <w:rsid w:val="008C44F0"/>
    <w:rsid w:val="008C592D"/>
    <w:rsid w:val="008C5AE3"/>
    <w:rsid w:val="008D05EC"/>
    <w:rsid w:val="008D0A2A"/>
    <w:rsid w:val="008D127D"/>
    <w:rsid w:val="008D201A"/>
    <w:rsid w:val="008D6B23"/>
    <w:rsid w:val="008E12AD"/>
    <w:rsid w:val="008E1956"/>
    <w:rsid w:val="008E1CED"/>
    <w:rsid w:val="008E37FF"/>
    <w:rsid w:val="008E60E7"/>
    <w:rsid w:val="008F1DB6"/>
    <w:rsid w:val="008F3C7A"/>
    <w:rsid w:val="008F51F5"/>
    <w:rsid w:val="008F54A1"/>
    <w:rsid w:val="008F69CD"/>
    <w:rsid w:val="008F6F01"/>
    <w:rsid w:val="00900135"/>
    <w:rsid w:val="009006E7"/>
    <w:rsid w:val="00901E4A"/>
    <w:rsid w:val="00901EDF"/>
    <w:rsid w:val="00903BAD"/>
    <w:rsid w:val="00904D1C"/>
    <w:rsid w:val="00907E95"/>
    <w:rsid w:val="009102BD"/>
    <w:rsid w:val="00915D3D"/>
    <w:rsid w:val="0091651C"/>
    <w:rsid w:val="0091775B"/>
    <w:rsid w:val="009207D4"/>
    <w:rsid w:val="00925668"/>
    <w:rsid w:val="00926681"/>
    <w:rsid w:val="00935E49"/>
    <w:rsid w:val="00937688"/>
    <w:rsid w:val="00941237"/>
    <w:rsid w:val="00942C12"/>
    <w:rsid w:val="009453D1"/>
    <w:rsid w:val="00946FCD"/>
    <w:rsid w:val="009475BC"/>
    <w:rsid w:val="00952DC0"/>
    <w:rsid w:val="00953C5C"/>
    <w:rsid w:val="0095687B"/>
    <w:rsid w:val="00960405"/>
    <w:rsid w:val="00960E34"/>
    <w:rsid w:val="00960F22"/>
    <w:rsid w:val="00962CF4"/>
    <w:rsid w:val="0096324A"/>
    <w:rsid w:val="00967FC6"/>
    <w:rsid w:val="00974413"/>
    <w:rsid w:val="00976409"/>
    <w:rsid w:val="00976B81"/>
    <w:rsid w:val="00977631"/>
    <w:rsid w:val="009800BC"/>
    <w:rsid w:val="00980556"/>
    <w:rsid w:val="00982065"/>
    <w:rsid w:val="009834FB"/>
    <w:rsid w:val="0098374D"/>
    <w:rsid w:val="0098551C"/>
    <w:rsid w:val="0098647A"/>
    <w:rsid w:val="00986CBA"/>
    <w:rsid w:val="009904C0"/>
    <w:rsid w:val="00990B7B"/>
    <w:rsid w:val="00991D0B"/>
    <w:rsid w:val="0099531E"/>
    <w:rsid w:val="009977C9"/>
    <w:rsid w:val="009A101F"/>
    <w:rsid w:val="009A186C"/>
    <w:rsid w:val="009A1E05"/>
    <w:rsid w:val="009A2393"/>
    <w:rsid w:val="009A3C5D"/>
    <w:rsid w:val="009A429B"/>
    <w:rsid w:val="009A45A4"/>
    <w:rsid w:val="009B43CB"/>
    <w:rsid w:val="009B5C2C"/>
    <w:rsid w:val="009B7561"/>
    <w:rsid w:val="009B7DA8"/>
    <w:rsid w:val="009C2C21"/>
    <w:rsid w:val="009C337F"/>
    <w:rsid w:val="009C4870"/>
    <w:rsid w:val="009C5A23"/>
    <w:rsid w:val="009D1683"/>
    <w:rsid w:val="009D2B97"/>
    <w:rsid w:val="009D3BF7"/>
    <w:rsid w:val="009D4752"/>
    <w:rsid w:val="009D5A1C"/>
    <w:rsid w:val="009D69F4"/>
    <w:rsid w:val="009E2FFA"/>
    <w:rsid w:val="009E4DBF"/>
    <w:rsid w:val="009E55A1"/>
    <w:rsid w:val="009F05DF"/>
    <w:rsid w:val="009F081D"/>
    <w:rsid w:val="009F1D38"/>
    <w:rsid w:val="009F3581"/>
    <w:rsid w:val="009F6CC6"/>
    <w:rsid w:val="009F7E58"/>
    <w:rsid w:val="00A00BF5"/>
    <w:rsid w:val="00A01C46"/>
    <w:rsid w:val="00A03598"/>
    <w:rsid w:val="00A05507"/>
    <w:rsid w:val="00A06ED3"/>
    <w:rsid w:val="00A10398"/>
    <w:rsid w:val="00A12158"/>
    <w:rsid w:val="00A1251D"/>
    <w:rsid w:val="00A12C1D"/>
    <w:rsid w:val="00A130BD"/>
    <w:rsid w:val="00A215F8"/>
    <w:rsid w:val="00A24431"/>
    <w:rsid w:val="00A255BD"/>
    <w:rsid w:val="00A27D12"/>
    <w:rsid w:val="00A32EE9"/>
    <w:rsid w:val="00A33198"/>
    <w:rsid w:val="00A344C9"/>
    <w:rsid w:val="00A370FC"/>
    <w:rsid w:val="00A42C26"/>
    <w:rsid w:val="00A45059"/>
    <w:rsid w:val="00A47907"/>
    <w:rsid w:val="00A50D8A"/>
    <w:rsid w:val="00A527C1"/>
    <w:rsid w:val="00A60EBC"/>
    <w:rsid w:val="00A63A49"/>
    <w:rsid w:val="00A6766A"/>
    <w:rsid w:val="00A67751"/>
    <w:rsid w:val="00A70964"/>
    <w:rsid w:val="00A70BC4"/>
    <w:rsid w:val="00A7107E"/>
    <w:rsid w:val="00A73BFF"/>
    <w:rsid w:val="00A74CD8"/>
    <w:rsid w:val="00A74D62"/>
    <w:rsid w:val="00A75B27"/>
    <w:rsid w:val="00A769D5"/>
    <w:rsid w:val="00A76AC4"/>
    <w:rsid w:val="00A81BD5"/>
    <w:rsid w:val="00A839F8"/>
    <w:rsid w:val="00A83A74"/>
    <w:rsid w:val="00A83CF3"/>
    <w:rsid w:val="00A84925"/>
    <w:rsid w:val="00A85945"/>
    <w:rsid w:val="00A85F55"/>
    <w:rsid w:val="00A905E5"/>
    <w:rsid w:val="00A91DBE"/>
    <w:rsid w:val="00A9354E"/>
    <w:rsid w:val="00A94BBD"/>
    <w:rsid w:val="00A950C6"/>
    <w:rsid w:val="00A96360"/>
    <w:rsid w:val="00A96F63"/>
    <w:rsid w:val="00AA1DD0"/>
    <w:rsid w:val="00AA2080"/>
    <w:rsid w:val="00AA32DF"/>
    <w:rsid w:val="00AA6540"/>
    <w:rsid w:val="00AB0994"/>
    <w:rsid w:val="00AB36D4"/>
    <w:rsid w:val="00AB4A17"/>
    <w:rsid w:val="00AB563F"/>
    <w:rsid w:val="00AC0217"/>
    <w:rsid w:val="00AC0DBA"/>
    <w:rsid w:val="00AC1BCD"/>
    <w:rsid w:val="00AC2457"/>
    <w:rsid w:val="00AC3F6F"/>
    <w:rsid w:val="00AC437C"/>
    <w:rsid w:val="00AC47B4"/>
    <w:rsid w:val="00AC4EB9"/>
    <w:rsid w:val="00AC74CB"/>
    <w:rsid w:val="00AC7ABC"/>
    <w:rsid w:val="00AD4029"/>
    <w:rsid w:val="00AD444A"/>
    <w:rsid w:val="00AD4503"/>
    <w:rsid w:val="00AD6C95"/>
    <w:rsid w:val="00AD7825"/>
    <w:rsid w:val="00AE1ABF"/>
    <w:rsid w:val="00AE2175"/>
    <w:rsid w:val="00AE32F5"/>
    <w:rsid w:val="00AE340B"/>
    <w:rsid w:val="00AE41CF"/>
    <w:rsid w:val="00AE41EE"/>
    <w:rsid w:val="00AE587D"/>
    <w:rsid w:val="00AF315F"/>
    <w:rsid w:val="00AF3208"/>
    <w:rsid w:val="00AF411D"/>
    <w:rsid w:val="00AF49E3"/>
    <w:rsid w:val="00AF6658"/>
    <w:rsid w:val="00B00D31"/>
    <w:rsid w:val="00B011D4"/>
    <w:rsid w:val="00B039F4"/>
    <w:rsid w:val="00B03D2C"/>
    <w:rsid w:val="00B0402E"/>
    <w:rsid w:val="00B06C17"/>
    <w:rsid w:val="00B07BD8"/>
    <w:rsid w:val="00B10152"/>
    <w:rsid w:val="00B11063"/>
    <w:rsid w:val="00B11A87"/>
    <w:rsid w:val="00B13A94"/>
    <w:rsid w:val="00B1479D"/>
    <w:rsid w:val="00B14B4E"/>
    <w:rsid w:val="00B16733"/>
    <w:rsid w:val="00B21146"/>
    <w:rsid w:val="00B212F9"/>
    <w:rsid w:val="00B21534"/>
    <w:rsid w:val="00B24314"/>
    <w:rsid w:val="00B24BD6"/>
    <w:rsid w:val="00B2585E"/>
    <w:rsid w:val="00B259BA"/>
    <w:rsid w:val="00B31905"/>
    <w:rsid w:val="00B32EBD"/>
    <w:rsid w:val="00B36DFF"/>
    <w:rsid w:val="00B37E22"/>
    <w:rsid w:val="00B40CFF"/>
    <w:rsid w:val="00B40E7D"/>
    <w:rsid w:val="00B41BEC"/>
    <w:rsid w:val="00B4364D"/>
    <w:rsid w:val="00B478DC"/>
    <w:rsid w:val="00B502AC"/>
    <w:rsid w:val="00B5035A"/>
    <w:rsid w:val="00B50A20"/>
    <w:rsid w:val="00B5558A"/>
    <w:rsid w:val="00B5641B"/>
    <w:rsid w:val="00B571CF"/>
    <w:rsid w:val="00B605A3"/>
    <w:rsid w:val="00B635CB"/>
    <w:rsid w:val="00B6370D"/>
    <w:rsid w:val="00B63846"/>
    <w:rsid w:val="00B64C17"/>
    <w:rsid w:val="00B67E2B"/>
    <w:rsid w:val="00B71EB8"/>
    <w:rsid w:val="00B72228"/>
    <w:rsid w:val="00B73915"/>
    <w:rsid w:val="00B80C7A"/>
    <w:rsid w:val="00B81396"/>
    <w:rsid w:val="00B816B7"/>
    <w:rsid w:val="00B824F2"/>
    <w:rsid w:val="00B82548"/>
    <w:rsid w:val="00B83F51"/>
    <w:rsid w:val="00B848E6"/>
    <w:rsid w:val="00B87DA8"/>
    <w:rsid w:val="00B90C0C"/>
    <w:rsid w:val="00B90F8B"/>
    <w:rsid w:val="00B9141C"/>
    <w:rsid w:val="00B921FD"/>
    <w:rsid w:val="00B945AA"/>
    <w:rsid w:val="00B9653C"/>
    <w:rsid w:val="00B969EF"/>
    <w:rsid w:val="00BA02C9"/>
    <w:rsid w:val="00BA26AD"/>
    <w:rsid w:val="00BA432D"/>
    <w:rsid w:val="00BA49F3"/>
    <w:rsid w:val="00BA578C"/>
    <w:rsid w:val="00BB10C9"/>
    <w:rsid w:val="00BB48AD"/>
    <w:rsid w:val="00BC05B2"/>
    <w:rsid w:val="00BC139F"/>
    <w:rsid w:val="00BC14B3"/>
    <w:rsid w:val="00BC1899"/>
    <w:rsid w:val="00BC3945"/>
    <w:rsid w:val="00BC4543"/>
    <w:rsid w:val="00BC5F4B"/>
    <w:rsid w:val="00BD0725"/>
    <w:rsid w:val="00BD1D30"/>
    <w:rsid w:val="00BD37B8"/>
    <w:rsid w:val="00BD3DA1"/>
    <w:rsid w:val="00BD4AE9"/>
    <w:rsid w:val="00BD5BA2"/>
    <w:rsid w:val="00BD6B9C"/>
    <w:rsid w:val="00BD77C5"/>
    <w:rsid w:val="00BD7C51"/>
    <w:rsid w:val="00BE1C2F"/>
    <w:rsid w:val="00BE2E7A"/>
    <w:rsid w:val="00BE337B"/>
    <w:rsid w:val="00BE3818"/>
    <w:rsid w:val="00BE4D09"/>
    <w:rsid w:val="00BE560B"/>
    <w:rsid w:val="00BE5CFD"/>
    <w:rsid w:val="00BF0E58"/>
    <w:rsid w:val="00BF1FA3"/>
    <w:rsid w:val="00BF2ACC"/>
    <w:rsid w:val="00BF441A"/>
    <w:rsid w:val="00BF4725"/>
    <w:rsid w:val="00BF7A59"/>
    <w:rsid w:val="00C0005D"/>
    <w:rsid w:val="00C00151"/>
    <w:rsid w:val="00C02A1E"/>
    <w:rsid w:val="00C052BB"/>
    <w:rsid w:val="00C061F4"/>
    <w:rsid w:val="00C0718E"/>
    <w:rsid w:val="00C07C72"/>
    <w:rsid w:val="00C1007C"/>
    <w:rsid w:val="00C1052A"/>
    <w:rsid w:val="00C11547"/>
    <w:rsid w:val="00C12737"/>
    <w:rsid w:val="00C1363D"/>
    <w:rsid w:val="00C13AA2"/>
    <w:rsid w:val="00C156AF"/>
    <w:rsid w:val="00C2019D"/>
    <w:rsid w:val="00C2083B"/>
    <w:rsid w:val="00C2166E"/>
    <w:rsid w:val="00C21D8A"/>
    <w:rsid w:val="00C2492A"/>
    <w:rsid w:val="00C26B4D"/>
    <w:rsid w:val="00C31A83"/>
    <w:rsid w:val="00C34427"/>
    <w:rsid w:val="00C34CED"/>
    <w:rsid w:val="00C351CA"/>
    <w:rsid w:val="00C417E5"/>
    <w:rsid w:val="00C42C30"/>
    <w:rsid w:val="00C436C8"/>
    <w:rsid w:val="00C45D5D"/>
    <w:rsid w:val="00C471C7"/>
    <w:rsid w:val="00C47600"/>
    <w:rsid w:val="00C47B37"/>
    <w:rsid w:val="00C47DD6"/>
    <w:rsid w:val="00C50375"/>
    <w:rsid w:val="00C52091"/>
    <w:rsid w:val="00C526FE"/>
    <w:rsid w:val="00C53A3C"/>
    <w:rsid w:val="00C54E93"/>
    <w:rsid w:val="00C5606A"/>
    <w:rsid w:val="00C56BAA"/>
    <w:rsid w:val="00C57348"/>
    <w:rsid w:val="00C60DF6"/>
    <w:rsid w:val="00C6217F"/>
    <w:rsid w:val="00C632D8"/>
    <w:rsid w:val="00C6330D"/>
    <w:rsid w:val="00C6399E"/>
    <w:rsid w:val="00C64758"/>
    <w:rsid w:val="00C652CC"/>
    <w:rsid w:val="00C66875"/>
    <w:rsid w:val="00C6767C"/>
    <w:rsid w:val="00C70EC9"/>
    <w:rsid w:val="00C7148F"/>
    <w:rsid w:val="00C74D3A"/>
    <w:rsid w:val="00C75B59"/>
    <w:rsid w:val="00C7657C"/>
    <w:rsid w:val="00C76663"/>
    <w:rsid w:val="00C81549"/>
    <w:rsid w:val="00C907C2"/>
    <w:rsid w:val="00C918AA"/>
    <w:rsid w:val="00C97692"/>
    <w:rsid w:val="00CA34CE"/>
    <w:rsid w:val="00CA37F6"/>
    <w:rsid w:val="00CA42CA"/>
    <w:rsid w:val="00CA440F"/>
    <w:rsid w:val="00CB1379"/>
    <w:rsid w:val="00CB2BFC"/>
    <w:rsid w:val="00CB3AAC"/>
    <w:rsid w:val="00CC191A"/>
    <w:rsid w:val="00CC326C"/>
    <w:rsid w:val="00CC33ED"/>
    <w:rsid w:val="00CC3490"/>
    <w:rsid w:val="00CC5C88"/>
    <w:rsid w:val="00CC644C"/>
    <w:rsid w:val="00CD4366"/>
    <w:rsid w:val="00CD7660"/>
    <w:rsid w:val="00CD7872"/>
    <w:rsid w:val="00CE2E80"/>
    <w:rsid w:val="00CE648D"/>
    <w:rsid w:val="00CF1EE0"/>
    <w:rsid w:val="00CF2A80"/>
    <w:rsid w:val="00CF434D"/>
    <w:rsid w:val="00CF58BC"/>
    <w:rsid w:val="00CF7F54"/>
    <w:rsid w:val="00D002C0"/>
    <w:rsid w:val="00D00F9F"/>
    <w:rsid w:val="00D019F9"/>
    <w:rsid w:val="00D039F2"/>
    <w:rsid w:val="00D04C7E"/>
    <w:rsid w:val="00D06D75"/>
    <w:rsid w:val="00D1082E"/>
    <w:rsid w:val="00D11F59"/>
    <w:rsid w:val="00D13EE4"/>
    <w:rsid w:val="00D15A25"/>
    <w:rsid w:val="00D16353"/>
    <w:rsid w:val="00D17354"/>
    <w:rsid w:val="00D2097C"/>
    <w:rsid w:val="00D213B2"/>
    <w:rsid w:val="00D216E3"/>
    <w:rsid w:val="00D23220"/>
    <w:rsid w:val="00D24B4D"/>
    <w:rsid w:val="00D2558B"/>
    <w:rsid w:val="00D300A1"/>
    <w:rsid w:val="00D30186"/>
    <w:rsid w:val="00D30656"/>
    <w:rsid w:val="00D32050"/>
    <w:rsid w:val="00D33A55"/>
    <w:rsid w:val="00D34281"/>
    <w:rsid w:val="00D34F36"/>
    <w:rsid w:val="00D370B4"/>
    <w:rsid w:val="00D4284C"/>
    <w:rsid w:val="00D42920"/>
    <w:rsid w:val="00D451BC"/>
    <w:rsid w:val="00D4538E"/>
    <w:rsid w:val="00D45622"/>
    <w:rsid w:val="00D456FC"/>
    <w:rsid w:val="00D45F91"/>
    <w:rsid w:val="00D46E0A"/>
    <w:rsid w:val="00D502D4"/>
    <w:rsid w:val="00D5071F"/>
    <w:rsid w:val="00D5514B"/>
    <w:rsid w:val="00D60B81"/>
    <w:rsid w:val="00D629CC"/>
    <w:rsid w:val="00D62DDD"/>
    <w:rsid w:val="00D63E86"/>
    <w:rsid w:val="00D64B78"/>
    <w:rsid w:val="00D65224"/>
    <w:rsid w:val="00D6571D"/>
    <w:rsid w:val="00D65744"/>
    <w:rsid w:val="00D702D2"/>
    <w:rsid w:val="00D7097B"/>
    <w:rsid w:val="00D710E8"/>
    <w:rsid w:val="00D71939"/>
    <w:rsid w:val="00D7358A"/>
    <w:rsid w:val="00D754C4"/>
    <w:rsid w:val="00D757A3"/>
    <w:rsid w:val="00D75C55"/>
    <w:rsid w:val="00D760A3"/>
    <w:rsid w:val="00D779FB"/>
    <w:rsid w:val="00D77C48"/>
    <w:rsid w:val="00D803E5"/>
    <w:rsid w:val="00D8323B"/>
    <w:rsid w:val="00D87BAB"/>
    <w:rsid w:val="00D9011E"/>
    <w:rsid w:val="00D908F7"/>
    <w:rsid w:val="00D93D17"/>
    <w:rsid w:val="00D96A6F"/>
    <w:rsid w:val="00DA0BA7"/>
    <w:rsid w:val="00DA5B3D"/>
    <w:rsid w:val="00DA6719"/>
    <w:rsid w:val="00DA79B0"/>
    <w:rsid w:val="00DB1204"/>
    <w:rsid w:val="00DB18BE"/>
    <w:rsid w:val="00DB221E"/>
    <w:rsid w:val="00DB2A67"/>
    <w:rsid w:val="00DB3998"/>
    <w:rsid w:val="00DB5DFB"/>
    <w:rsid w:val="00DB6ED6"/>
    <w:rsid w:val="00DC07A3"/>
    <w:rsid w:val="00DC19F6"/>
    <w:rsid w:val="00DC2EA3"/>
    <w:rsid w:val="00DC3410"/>
    <w:rsid w:val="00DC3BBA"/>
    <w:rsid w:val="00DC3FFF"/>
    <w:rsid w:val="00DC5ABC"/>
    <w:rsid w:val="00DC7E19"/>
    <w:rsid w:val="00DD0E47"/>
    <w:rsid w:val="00DD13E4"/>
    <w:rsid w:val="00DD2649"/>
    <w:rsid w:val="00DD3272"/>
    <w:rsid w:val="00DD5100"/>
    <w:rsid w:val="00DD5BA5"/>
    <w:rsid w:val="00DE5989"/>
    <w:rsid w:val="00DF085D"/>
    <w:rsid w:val="00DF2380"/>
    <w:rsid w:val="00DF2A6A"/>
    <w:rsid w:val="00DF47E5"/>
    <w:rsid w:val="00DF7329"/>
    <w:rsid w:val="00DF7533"/>
    <w:rsid w:val="00E00A30"/>
    <w:rsid w:val="00E02663"/>
    <w:rsid w:val="00E035CD"/>
    <w:rsid w:val="00E0647B"/>
    <w:rsid w:val="00E065CD"/>
    <w:rsid w:val="00E0767C"/>
    <w:rsid w:val="00E1096D"/>
    <w:rsid w:val="00E11936"/>
    <w:rsid w:val="00E11E06"/>
    <w:rsid w:val="00E1349A"/>
    <w:rsid w:val="00E144FB"/>
    <w:rsid w:val="00E15BE1"/>
    <w:rsid w:val="00E16B20"/>
    <w:rsid w:val="00E20314"/>
    <w:rsid w:val="00E26967"/>
    <w:rsid w:val="00E27CC8"/>
    <w:rsid w:val="00E3337F"/>
    <w:rsid w:val="00E361AD"/>
    <w:rsid w:val="00E41E95"/>
    <w:rsid w:val="00E429B0"/>
    <w:rsid w:val="00E43AB9"/>
    <w:rsid w:val="00E43EC7"/>
    <w:rsid w:val="00E44F95"/>
    <w:rsid w:val="00E45329"/>
    <w:rsid w:val="00E50562"/>
    <w:rsid w:val="00E51736"/>
    <w:rsid w:val="00E53109"/>
    <w:rsid w:val="00E60070"/>
    <w:rsid w:val="00E623E0"/>
    <w:rsid w:val="00E62B23"/>
    <w:rsid w:val="00E63D6A"/>
    <w:rsid w:val="00E6443F"/>
    <w:rsid w:val="00E644A2"/>
    <w:rsid w:val="00E64526"/>
    <w:rsid w:val="00E6480E"/>
    <w:rsid w:val="00E648DF"/>
    <w:rsid w:val="00E64F61"/>
    <w:rsid w:val="00E67871"/>
    <w:rsid w:val="00E766C5"/>
    <w:rsid w:val="00E77345"/>
    <w:rsid w:val="00E83F1B"/>
    <w:rsid w:val="00E90ADB"/>
    <w:rsid w:val="00E90B70"/>
    <w:rsid w:val="00E916E1"/>
    <w:rsid w:val="00E92F36"/>
    <w:rsid w:val="00E932F4"/>
    <w:rsid w:val="00E9412E"/>
    <w:rsid w:val="00E94738"/>
    <w:rsid w:val="00E95BDE"/>
    <w:rsid w:val="00E97182"/>
    <w:rsid w:val="00EA0848"/>
    <w:rsid w:val="00EA0FFF"/>
    <w:rsid w:val="00EA1450"/>
    <w:rsid w:val="00EA3F62"/>
    <w:rsid w:val="00EA3FE6"/>
    <w:rsid w:val="00EA473F"/>
    <w:rsid w:val="00EA6C1B"/>
    <w:rsid w:val="00EB2222"/>
    <w:rsid w:val="00EB4A06"/>
    <w:rsid w:val="00EB68D2"/>
    <w:rsid w:val="00EB69AC"/>
    <w:rsid w:val="00EB73F3"/>
    <w:rsid w:val="00EC0D93"/>
    <w:rsid w:val="00EC1B7A"/>
    <w:rsid w:val="00EC3022"/>
    <w:rsid w:val="00EC3BBD"/>
    <w:rsid w:val="00EC4873"/>
    <w:rsid w:val="00EC4A40"/>
    <w:rsid w:val="00EC63CF"/>
    <w:rsid w:val="00ED6D2E"/>
    <w:rsid w:val="00ED740F"/>
    <w:rsid w:val="00EE09C2"/>
    <w:rsid w:val="00EE0AF1"/>
    <w:rsid w:val="00EE0CF8"/>
    <w:rsid w:val="00EE48B8"/>
    <w:rsid w:val="00EE4D78"/>
    <w:rsid w:val="00EE5CF1"/>
    <w:rsid w:val="00EE5E0E"/>
    <w:rsid w:val="00EE6235"/>
    <w:rsid w:val="00EF08BC"/>
    <w:rsid w:val="00EF10E8"/>
    <w:rsid w:val="00EF13F6"/>
    <w:rsid w:val="00EF42C4"/>
    <w:rsid w:val="00EF6FE7"/>
    <w:rsid w:val="00EF7FCD"/>
    <w:rsid w:val="00F06704"/>
    <w:rsid w:val="00F10715"/>
    <w:rsid w:val="00F118BA"/>
    <w:rsid w:val="00F11D52"/>
    <w:rsid w:val="00F11E12"/>
    <w:rsid w:val="00F1289B"/>
    <w:rsid w:val="00F132C1"/>
    <w:rsid w:val="00F15F59"/>
    <w:rsid w:val="00F15F6D"/>
    <w:rsid w:val="00F174CC"/>
    <w:rsid w:val="00F17AB3"/>
    <w:rsid w:val="00F20D07"/>
    <w:rsid w:val="00F25716"/>
    <w:rsid w:val="00F25EE4"/>
    <w:rsid w:val="00F278FE"/>
    <w:rsid w:val="00F3236D"/>
    <w:rsid w:val="00F3528A"/>
    <w:rsid w:val="00F36C58"/>
    <w:rsid w:val="00F36FAD"/>
    <w:rsid w:val="00F400BC"/>
    <w:rsid w:val="00F43CAD"/>
    <w:rsid w:val="00F44CB5"/>
    <w:rsid w:val="00F44EA5"/>
    <w:rsid w:val="00F46A38"/>
    <w:rsid w:val="00F51706"/>
    <w:rsid w:val="00F51724"/>
    <w:rsid w:val="00F522EF"/>
    <w:rsid w:val="00F55EE6"/>
    <w:rsid w:val="00F56BDD"/>
    <w:rsid w:val="00F56C5A"/>
    <w:rsid w:val="00F62667"/>
    <w:rsid w:val="00F63B73"/>
    <w:rsid w:val="00F64225"/>
    <w:rsid w:val="00F67688"/>
    <w:rsid w:val="00F71A79"/>
    <w:rsid w:val="00F72C94"/>
    <w:rsid w:val="00F74281"/>
    <w:rsid w:val="00F7434C"/>
    <w:rsid w:val="00F74C5E"/>
    <w:rsid w:val="00F74D4C"/>
    <w:rsid w:val="00F75B36"/>
    <w:rsid w:val="00F7780D"/>
    <w:rsid w:val="00F803A5"/>
    <w:rsid w:val="00F81EB4"/>
    <w:rsid w:val="00F8273E"/>
    <w:rsid w:val="00F84F7B"/>
    <w:rsid w:val="00F86F52"/>
    <w:rsid w:val="00F9095A"/>
    <w:rsid w:val="00F90CE5"/>
    <w:rsid w:val="00F9250D"/>
    <w:rsid w:val="00F93B67"/>
    <w:rsid w:val="00F95E21"/>
    <w:rsid w:val="00F971AD"/>
    <w:rsid w:val="00FA1CA5"/>
    <w:rsid w:val="00FA23F8"/>
    <w:rsid w:val="00FA3175"/>
    <w:rsid w:val="00FA72FA"/>
    <w:rsid w:val="00FA7656"/>
    <w:rsid w:val="00FB1F30"/>
    <w:rsid w:val="00FB347E"/>
    <w:rsid w:val="00FB4F73"/>
    <w:rsid w:val="00FB78D9"/>
    <w:rsid w:val="00FB7D72"/>
    <w:rsid w:val="00FC4B76"/>
    <w:rsid w:val="00FC4C68"/>
    <w:rsid w:val="00FC58B7"/>
    <w:rsid w:val="00FC6F85"/>
    <w:rsid w:val="00FC7857"/>
    <w:rsid w:val="00FD1A18"/>
    <w:rsid w:val="00FD1C9B"/>
    <w:rsid w:val="00FD3909"/>
    <w:rsid w:val="00FD6CE8"/>
    <w:rsid w:val="00FD6FAD"/>
    <w:rsid w:val="00FD71FE"/>
    <w:rsid w:val="00FD7E63"/>
    <w:rsid w:val="00FE1423"/>
    <w:rsid w:val="00FE471A"/>
    <w:rsid w:val="00FE5BA5"/>
    <w:rsid w:val="00FE66B2"/>
    <w:rsid w:val="00FE7A99"/>
    <w:rsid w:val="00FF129C"/>
    <w:rsid w:val="00FF1FE3"/>
    <w:rsid w:val="00FF3ADA"/>
    <w:rsid w:val="00FF4EF5"/>
    <w:rsid w:val="00FF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9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3410"/>
    <w:pPr>
      <w:spacing w:after="160" w:line="259" w:lineRule="auto"/>
    </w:pPr>
    <w:rPr>
      <w:rFonts w:ascii="Arial" w:hAnsi="Arial" w:cs="Arial"/>
    </w:rPr>
  </w:style>
  <w:style w:type="paragraph" w:styleId="Heading2">
    <w:name w:val="heading 2"/>
    <w:basedOn w:val="Normal"/>
    <w:next w:val="Normal"/>
    <w:link w:val="Heading2Char"/>
    <w:rsid w:val="00271C72"/>
    <w:pPr>
      <w:keepNext/>
      <w:spacing w:before="240" w:after="60"/>
      <w:ind w:left="709" w:hanging="709"/>
      <w:outlineLvl w:val="1"/>
    </w:pPr>
    <w:rPr>
      <w:b/>
      <w:caps/>
      <w:noProof/>
      <w:snapToGrid w:val="0"/>
      <w:sz w:val="36"/>
      <w:szCs w:val="36"/>
    </w:rPr>
  </w:style>
  <w:style w:type="paragraph" w:styleId="Heading3">
    <w:name w:val="heading 3"/>
    <w:basedOn w:val="Normal"/>
    <w:next w:val="Normal"/>
    <w:link w:val="Heading3Char"/>
    <w:semiHidden/>
    <w:unhideWhenUsed/>
    <w:qFormat/>
    <w:rsid w:val="00B848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110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Bullet">
    <w:name w:val="Form text Bullet"/>
    <w:basedOn w:val="Formtext"/>
    <w:rsid w:val="006853F9"/>
    <w:pPr>
      <w:numPr>
        <w:numId w:val="2"/>
      </w:numPr>
      <w:spacing w:before="80"/>
    </w:pPr>
  </w:style>
  <w:style w:type="paragraph" w:styleId="Title">
    <w:name w:val="Title"/>
    <w:basedOn w:val="Normal"/>
    <w:link w:val="TitleChar"/>
    <w:qFormat/>
    <w:rsid w:val="007C4658"/>
    <w:pPr>
      <w:spacing w:before="240" w:after="60"/>
      <w:jc w:val="center"/>
      <w:outlineLvl w:val="0"/>
    </w:pPr>
    <w:rPr>
      <w:b/>
      <w:bCs/>
      <w:kern w:val="28"/>
      <w:sz w:val="32"/>
      <w:szCs w:val="32"/>
    </w:rPr>
  </w:style>
  <w:style w:type="paragraph" w:customStyle="1" w:styleId="FormtextTable">
    <w:name w:val="Form text Table"/>
    <w:basedOn w:val="Formtext"/>
    <w:rsid w:val="00F93B67"/>
    <w:pPr>
      <w:spacing w:before="0"/>
    </w:pPr>
  </w:style>
  <w:style w:type="paragraph" w:customStyle="1" w:styleId="Bullet1">
    <w:name w:val="Bullet 1"/>
    <w:basedOn w:val="Normal"/>
    <w:rsid w:val="00864C7E"/>
    <w:pPr>
      <w:numPr>
        <w:numId w:val="1"/>
      </w:numPr>
      <w:suppressAutoHyphens/>
      <w:autoSpaceDE w:val="0"/>
      <w:autoSpaceDN w:val="0"/>
      <w:adjustRightInd w:val="0"/>
      <w:spacing w:after="170" w:line="280" w:lineRule="atLeast"/>
      <w:textAlignment w:val="center"/>
    </w:pPr>
    <w:rPr>
      <w:rFonts w:ascii="DIN-Regular" w:hAnsi="DIN-Regular" w:cs="DIN-Regular"/>
      <w:color w:val="000000"/>
      <w:lang w:val="en-GB"/>
    </w:rPr>
  </w:style>
  <w:style w:type="paragraph" w:customStyle="1" w:styleId="BodyText1">
    <w:name w:val="Body Text1"/>
    <w:basedOn w:val="Normal"/>
    <w:rsid w:val="00864C7E"/>
    <w:pPr>
      <w:suppressAutoHyphens/>
      <w:autoSpaceDE w:val="0"/>
      <w:autoSpaceDN w:val="0"/>
      <w:adjustRightInd w:val="0"/>
      <w:spacing w:after="170" w:line="280" w:lineRule="atLeast"/>
      <w:textAlignment w:val="center"/>
    </w:pPr>
    <w:rPr>
      <w:rFonts w:ascii="DIN-Regular" w:hAnsi="DIN-Regular" w:cs="DIN-Regular"/>
      <w:color w:val="000000"/>
      <w:lang w:val="en-GB"/>
    </w:rPr>
  </w:style>
  <w:style w:type="table" w:styleId="TableGrid">
    <w:name w:val="Table Grid"/>
    <w:basedOn w:val="TableNormal"/>
    <w:uiPriority w:val="59"/>
    <w:rsid w:val="0071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921FD"/>
    <w:rPr>
      <w:sz w:val="16"/>
      <w:szCs w:val="16"/>
    </w:rPr>
  </w:style>
  <w:style w:type="paragraph" w:styleId="CommentText">
    <w:name w:val="annotation text"/>
    <w:basedOn w:val="Normal"/>
    <w:link w:val="CommentTextChar"/>
    <w:rsid w:val="00B921FD"/>
  </w:style>
  <w:style w:type="character" w:customStyle="1" w:styleId="CommentTextChar">
    <w:name w:val="Comment Text Char"/>
    <w:basedOn w:val="DefaultParagraphFont"/>
    <w:link w:val="CommentText"/>
    <w:rsid w:val="00B921FD"/>
  </w:style>
  <w:style w:type="paragraph" w:customStyle="1" w:styleId="Formtext">
    <w:name w:val="Form text"/>
    <w:basedOn w:val="BodyText1"/>
    <w:rsid w:val="00F93B67"/>
    <w:pPr>
      <w:spacing w:before="240" w:after="0" w:line="240" w:lineRule="auto"/>
    </w:pPr>
    <w:rPr>
      <w:rFonts w:ascii="Arial Narrow" w:hAnsi="Arial Narrow" w:cs="Arial"/>
      <w:color w:val="auto"/>
    </w:rPr>
  </w:style>
  <w:style w:type="paragraph" w:styleId="Header">
    <w:name w:val="header"/>
    <w:basedOn w:val="Normal"/>
    <w:link w:val="HeaderChar"/>
    <w:rsid w:val="00496BBF"/>
    <w:pPr>
      <w:tabs>
        <w:tab w:val="center" w:pos="4153"/>
        <w:tab w:val="right" w:pos="8306"/>
      </w:tabs>
    </w:pPr>
  </w:style>
  <w:style w:type="paragraph" w:styleId="Footer">
    <w:name w:val="footer"/>
    <w:basedOn w:val="Normal"/>
    <w:link w:val="FooterChar"/>
    <w:uiPriority w:val="99"/>
    <w:rsid w:val="00496BBF"/>
    <w:pPr>
      <w:tabs>
        <w:tab w:val="center" w:pos="4153"/>
        <w:tab w:val="right" w:pos="8306"/>
      </w:tabs>
    </w:pPr>
  </w:style>
  <w:style w:type="paragraph" w:styleId="CommentSubject">
    <w:name w:val="annotation subject"/>
    <w:basedOn w:val="CommentText"/>
    <w:next w:val="CommentText"/>
    <w:link w:val="CommentSubjectChar"/>
    <w:rsid w:val="00B921FD"/>
    <w:rPr>
      <w:b/>
      <w:bCs/>
    </w:rPr>
  </w:style>
  <w:style w:type="character" w:customStyle="1" w:styleId="CommentSubjectChar">
    <w:name w:val="Comment Subject Char"/>
    <w:basedOn w:val="CommentTextChar"/>
    <w:link w:val="CommentSubject"/>
    <w:rsid w:val="00B921FD"/>
    <w:rPr>
      <w:b/>
      <w:bCs/>
    </w:rPr>
  </w:style>
  <w:style w:type="paragraph" w:styleId="BalloonText">
    <w:name w:val="Balloon Text"/>
    <w:basedOn w:val="Normal"/>
    <w:link w:val="BalloonTextChar"/>
    <w:rsid w:val="00B921FD"/>
    <w:rPr>
      <w:rFonts w:ascii="Tahoma" w:hAnsi="Tahoma" w:cs="Tahoma"/>
      <w:sz w:val="16"/>
      <w:szCs w:val="16"/>
    </w:rPr>
  </w:style>
  <w:style w:type="character" w:customStyle="1" w:styleId="BalloonTextChar">
    <w:name w:val="Balloon Text Char"/>
    <w:basedOn w:val="DefaultParagraphFont"/>
    <w:link w:val="BalloonText"/>
    <w:rsid w:val="00B921FD"/>
    <w:rPr>
      <w:rFonts w:ascii="Tahoma" w:hAnsi="Tahoma" w:cs="Tahoma"/>
      <w:sz w:val="16"/>
      <w:szCs w:val="16"/>
    </w:rPr>
  </w:style>
  <w:style w:type="character" w:styleId="Hyperlink">
    <w:name w:val="Hyperlink"/>
    <w:basedOn w:val="DefaultParagraphFont"/>
    <w:rsid w:val="00D30186"/>
    <w:rPr>
      <w:color w:val="132F8A"/>
      <w:u w:val="single"/>
    </w:rPr>
  </w:style>
  <w:style w:type="character" w:customStyle="1" w:styleId="FooterChar">
    <w:name w:val="Footer Char"/>
    <w:basedOn w:val="DefaultParagraphFont"/>
    <w:link w:val="Footer"/>
    <w:uiPriority w:val="99"/>
    <w:rsid w:val="00DF7329"/>
    <w:rPr>
      <w:sz w:val="24"/>
      <w:szCs w:val="24"/>
    </w:rPr>
  </w:style>
  <w:style w:type="character" w:customStyle="1" w:styleId="Heading2Char">
    <w:name w:val="Heading 2 Char"/>
    <w:basedOn w:val="DefaultParagraphFont"/>
    <w:link w:val="Heading2"/>
    <w:rsid w:val="00271C72"/>
    <w:rPr>
      <w:rFonts w:asciiTheme="minorHAnsi" w:hAnsiTheme="minorHAnsi"/>
      <w:b/>
      <w:caps/>
      <w:noProof/>
      <w:snapToGrid w:val="0"/>
      <w:sz w:val="36"/>
      <w:szCs w:val="36"/>
    </w:rPr>
  </w:style>
  <w:style w:type="paragraph" w:customStyle="1" w:styleId="Normalnum0">
    <w:name w:val="Normal (num)"/>
    <w:basedOn w:val="Normal"/>
    <w:rsid w:val="005C39E3"/>
    <w:pPr>
      <w:spacing w:before="120"/>
      <w:ind w:left="709" w:hanging="709"/>
      <w:jc w:val="both"/>
    </w:pPr>
    <w:rPr>
      <w:rFonts w:ascii="Palatino Linotype" w:hAnsi="Palatino Linotype"/>
      <w:sz w:val="21"/>
      <w:szCs w:val="21"/>
    </w:rPr>
  </w:style>
  <w:style w:type="paragraph" w:customStyle="1" w:styleId="Bullettscheck">
    <w:name w:val="Bulletts (check)"/>
    <w:basedOn w:val="Normal"/>
    <w:rsid w:val="005C39E3"/>
    <w:pPr>
      <w:numPr>
        <w:numId w:val="3"/>
      </w:numPr>
    </w:pPr>
    <w:rPr>
      <w:rFonts w:ascii="Palatino Linotype" w:hAnsi="Palatino Linotype"/>
      <w:sz w:val="21"/>
      <w:szCs w:val="21"/>
    </w:rPr>
  </w:style>
  <w:style w:type="paragraph" w:customStyle="1" w:styleId="Checkbox">
    <w:name w:val="Checkbox"/>
    <w:basedOn w:val="Heading3"/>
    <w:rsid w:val="00B848E6"/>
    <w:pPr>
      <w:keepLines w:val="0"/>
      <w:numPr>
        <w:numId w:val="4"/>
      </w:numPr>
      <w:tabs>
        <w:tab w:val="left" w:pos="851"/>
      </w:tabs>
      <w:spacing w:before="240"/>
    </w:pPr>
    <w:rPr>
      <w:rFonts w:ascii="Arial" w:eastAsia="Times New Roman" w:hAnsi="Arial" w:cs="Times New Roman"/>
      <w:bCs w:val="0"/>
      <w:color w:val="auto"/>
    </w:rPr>
  </w:style>
  <w:style w:type="character" w:customStyle="1" w:styleId="Heading3Char">
    <w:name w:val="Heading 3 Char"/>
    <w:basedOn w:val="DefaultParagraphFont"/>
    <w:link w:val="Heading3"/>
    <w:semiHidden/>
    <w:rsid w:val="00B848E6"/>
    <w:rPr>
      <w:rFonts w:asciiTheme="majorHAnsi" w:eastAsiaTheme="majorEastAsia" w:hAnsiTheme="majorHAnsi" w:cstheme="majorBidi"/>
      <w:b/>
      <w:bCs/>
      <w:color w:val="4F81BD" w:themeColor="accent1"/>
      <w:sz w:val="24"/>
      <w:szCs w:val="24"/>
    </w:rPr>
  </w:style>
  <w:style w:type="paragraph" w:customStyle="1" w:styleId="Normalnumbul">
    <w:name w:val="Normal (num bul)"/>
    <w:basedOn w:val="Normal"/>
    <w:rsid w:val="00183F7E"/>
    <w:pPr>
      <w:numPr>
        <w:numId w:val="5"/>
      </w:numPr>
      <w:tabs>
        <w:tab w:val="clear" w:pos="720"/>
        <w:tab w:val="num" w:pos="1620"/>
      </w:tabs>
      <w:spacing w:line="260" w:lineRule="atLeast"/>
      <w:ind w:left="1620"/>
      <w:jc w:val="both"/>
    </w:pPr>
    <w:rPr>
      <w:rFonts w:ascii="Palatino Linotype" w:hAnsi="Palatino Linotype"/>
      <w:sz w:val="21"/>
      <w:szCs w:val="21"/>
    </w:rPr>
  </w:style>
  <w:style w:type="paragraph" w:customStyle="1" w:styleId="Bulletts">
    <w:name w:val="Bulletts"/>
    <w:basedOn w:val="Normal"/>
    <w:rsid w:val="00183F7E"/>
    <w:pPr>
      <w:numPr>
        <w:numId w:val="6"/>
      </w:numPr>
      <w:jc w:val="both"/>
    </w:pPr>
    <w:rPr>
      <w:rFonts w:ascii="Palatino Linotype" w:hAnsi="Palatino Linotype"/>
      <w:sz w:val="21"/>
      <w:szCs w:val="21"/>
    </w:rPr>
  </w:style>
  <w:style w:type="character" w:customStyle="1" w:styleId="HeaderChar">
    <w:name w:val="Header Char"/>
    <w:basedOn w:val="DefaultParagraphFont"/>
    <w:link w:val="Header"/>
    <w:rsid w:val="004809ED"/>
    <w:rPr>
      <w:sz w:val="24"/>
      <w:szCs w:val="24"/>
    </w:rPr>
  </w:style>
  <w:style w:type="character" w:styleId="FollowedHyperlink">
    <w:name w:val="FollowedHyperlink"/>
    <w:basedOn w:val="DefaultParagraphFont"/>
    <w:rsid w:val="004809ED"/>
    <w:rPr>
      <w:color w:val="800080" w:themeColor="followedHyperlink"/>
      <w:u w:val="single"/>
    </w:rPr>
  </w:style>
  <w:style w:type="paragraph" w:customStyle="1" w:styleId="Normalnum2">
    <w:name w:val="Normal (num2)"/>
    <w:basedOn w:val="Normal"/>
    <w:rsid w:val="00764FE4"/>
    <w:pPr>
      <w:ind w:left="1260" w:hanging="540"/>
      <w:jc w:val="both"/>
    </w:pPr>
    <w:rPr>
      <w:rFonts w:ascii="Palatino Linotype" w:hAnsi="Palatino Linotype"/>
      <w:sz w:val="21"/>
      <w:szCs w:val="21"/>
    </w:rPr>
  </w:style>
  <w:style w:type="paragraph" w:customStyle="1" w:styleId="Version">
    <w:name w:val="Version"/>
    <w:basedOn w:val="Normal"/>
    <w:rsid w:val="00FF1FE3"/>
    <w:pPr>
      <w:spacing w:before="120"/>
      <w:jc w:val="both"/>
    </w:pPr>
    <w:rPr>
      <w:rFonts w:ascii="Palatino Linotype" w:hAnsi="Palatino Linotype"/>
      <w:i/>
      <w:szCs w:val="22"/>
    </w:rPr>
  </w:style>
  <w:style w:type="paragraph" w:customStyle="1" w:styleId="Comment">
    <w:name w:val="Comment"/>
    <w:basedOn w:val="Normal"/>
    <w:rsid w:val="00271C72"/>
    <w:pPr>
      <w:spacing w:before="120"/>
      <w:ind w:left="567"/>
      <w:jc w:val="both"/>
    </w:pPr>
    <w:rPr>
      <w:szCs w:val="22"/>
    </w:rPr>
  </w:style>
  <w:style w:type="paragraph" w:styleId="ListParagraph">
    <w:name w:val="List Paragraph"/>
    <w:basedOn w:val="Normal"/>
    <w:link w:val="ListParagraphChar"/>
    <w:uiPriority w:val="34"/>
    <w:qFormat/>
    <w:rsid w:val="00FF1FE3"/>
    <w:pPr>
      <w:ind w:left="720"/>
      <w:contextualSpacing/>
    </w:pPr>
  </w:style>
  <w:style w:type="paragraph" w:customStyle="1" w:styleId="NameofAdvisoryCommittee">
    <w:name w:val="Name of Advisory Committee"/>
    <w:basedOn w:val="Title"/>
    <w:link w:val="NameofAdvisoryCommitteeChar"/>
    <w:qFormat/>
    <w:rsid w:val="00DC3410"/>
    <w:pPr>
      <w:spacing w:before="360" w:after="240"/>
      <w:jc w:val="left"/>
    </w:pPr>
    <w:rPr>
      <w:rFonts w:asciiTheme="minorHAnsi" w:hAnsiTheme="minorHAnsi" w:cstheme="minorHAnsi"/>
      <w:b w:val="0"/>
      <w:i/>
      <w:sz w:val="22"/>
      <w:szCs w:val="40"/>
    </w:rPr>
  </w:style>
  <w:style w:type="character" w:customStyle="1" w:styleId="NameofAdvisoryCommitteeChar">
    <w:name w:val="Name of Advisory Committee Char"/>
    <w:basedOn w:val="DefaultParagraphFont"/>
    <w:link w:val="NameofAdvisoryCommittee"/>
    <w:rsid w:val="00DC3410"/>
    <w:rPr>
      <w:rFonts w:asciiTheme="minorHAnsi" w:hAnsiTheme="minorHAnsi" w:cstheme="minorHAnsi"/>
      <w:bCs/>
      <w:i/>
      <w:kern w:val="28"/>
      <w:sz w:val="22"/>
      <w:szCs w:val="40"/>
    </w:rPr>
  </w:style>
  <w:style w:type="paragraph" w:customStyle="1" w:styleId="ToRNumberedPara">
    <w:name w:val="ToR Numbered Para"/>
    <w:basedOn w:val="ListParagraph"/>
    <w:link w:val="ToRNumberedParaChar"/>
    <w:rsid w:val="00DC3410"/>
    <w:pPr>
      <w:numPr>
        <w:numId w:val="7"/>
      </w:numPr>
      <w:contextualSpacing w:val="0"/>
      <w:jc w:val="both"/>
    </w:pPr>
  </w:style>
  <w:style w:type="paragraph" w:customStyle="1" w:styleId="ToRAlphaPara">
    <w:name w:val="ToR Alpha Para"/>
    <w:basedOn w:val="ToRNumberedPara"/>
    <w:link w:val="ToRAlphaParaChar"/>
    <w:qFormat/>
    <w:rsid w:val="00DC19F6"/>
    <w:pPr>
      <w:numPr>
        <w:ilvl w:val="1"/>
      </w:numPr>
      <w:ind w:left="1077" w:hanging="357"/>
      <w:contextualSpacing/>
    </w:pPr>
    <w:rPr>
      <w:rFonts w:eastAsia="Times"/>
    </w:rPr>
  </w:style>
  <w:style w:type="paragraph" w:customStyle="1" w:styleId="ToRHeading">
    <w:name w:val="ToR Heading"/>
    <w:link w:val="ToRHeadingChar"/>
    <w:qFormat/>
    <w:rsid w:val="001913F7"/>
    <w:pPr>
      <w:keepNext/>
      <w:spacing w:before="240" w:after="120"/>
    </w:pPr>
    <w:rPr>
      <w:rFonts w:ascii="Arial" w:hAnsi="Arial" w:cs="Arial"/>
      <w:b/>
      <w:noProof/>
      <w:snapToGrid w:val="0"/>
      <w:spacing w:val="-6"/>
      <w:sz w:val="24"/>
      <w:szCs w:val="24"/>
    </w:rPr>
  </w:style>
  <w:style w:type="character" w:customStyle="1" w:styleId="ListParagraphChar">
    <w:name w:val="List Paragraph Char"/>
    <w:basedOn w:val="DefaultParagraphFont"/>
    <w:link w:val="ListParagraph"/>
    <w:uiPriority w:val="34"/>
    <w:rsid w:val="00FF1FE3"/>
    <w:rPr>
      <w:sz w:val="24"/>
      <w:szCs w:val="24"/>
    </w:rPr>
  </w:style>
  <w:style w:type="character" w:customStyle="1" w:styleId="ToRNumberedParaChar">
    <w:name w:val="ToR Numbered Para Char"/>
    <w:basedOn w:val="ListParagraphChar"/>
    <w:link w:val="ToRNumberedPara"/>
    <w:rsid w:val="00DC3410"/>
    <w:rPr>
      <w:rFonts w:ascii="Arial" w:hAnsi="Arial" w:cs="Arial"/>
      <w:sz w:val="24"/>
      <w:szCs w:val="24"/>
    </w:rPr>
  </w:style>
  <w:style w:type="character" w:customStyle="1" w:styleId="ToRAlphaParaChar">
    <w:name w:val="ToR Alpha Para Char"/>
    <w:basedOn w:val="ToRNumberedParaChar"/>
    <w:link w:val="ToRAlphaPara"/>
    <w:rsid w:val="00DC19F6"/>
    <w:rPr>
      <w:rFonts w:ascii="Arial" w:eastAsia="Times" w:hAnsi="Arial" w:cs="Arial"/>
      <w:sz w:val="24"/>
      <w:szCs w:val="24"/>
    </w:rPr>
  </w:style>
  <w:style w:type="character" w:customStyle="1" w:styleId="ToRHeadingChar">
    <w:name w:val="ToR Heading Char"/>
    <w:basedOn w:val="DefaultParagraphFont"/>
    <w:link w:val="ToRHeading"/>
    <w:rsid w:val="001913F7"/>
    <w:rPr>
      <w:rFonts w:ascii="Arial" w:hAnsi="Arial" w:cs="Arial"/>
      <w:b/>
      <w:noProof/>
      <w:snapToGrid w:val="0"/>
      <w:spacing w:val="-6"/>
      <w:sz w:val="24"/>
      <w:szCs w:val="24"/>
    </w:rPr>
  </w:style>
  <w:style w:type="paragraph" w:styleId="DocumentMap">
    <w:name w:val="Document Map"/>
    <w:basedOn w:val="Normal"/>
    <w:link w:val="DocumentMapChar"/>
    <w:rsid w:val="003F6565"/>
    <w:rPr>
      <w:rFonts w:ascii="Tahoma" w:hAnsi="Tahoma" w:cs="Tahoma"/>
      <w:sz w:val="16"/>
      <w:szCs w:val="16"/>
    </w:rPr>
  </w:style>
  <w:style w:type="character" w:customStyle="1" w:styleId="DocumentMapChar">
    <w:name w:val="Document Map Char"/>
    <w:basedOn w:val="DefaultParagraphFont"/>
    <w:link w:val="DocumentMap"/>
    <w:rsid w:val="003F6565"/>
    <w:rPr>
      <w:rFonts w:ascii="Tahoma" w:hAnsi="Tahoma" w:cs="Tahoma"/>
      <w:sz w:val="16"/>
      <w:szCs w:val="16"/>
    </w:rPr>
  </w:style>
  <w:style w:type="paragraph" w:customStyle="1" w:styleId="PPVHeader">
    <w:name w:val="PPV Header"/>
    <w:basedOn w:val="Normal"/>
    <w:link w:val="PPVHeaderChar"/>
    <w:qFormat/>
    <w:rsid w:val="00BE560B"/>
    <w:pPr>
      <w:jc w:val="both"/>
    </w:pPr>
    <w:rPr>
      <w:rFonts w:cstheme="minorHAnsi"/>
      <w:b/>
      <w:noProof/>
      <w:sz w:val="48"/>
      <w:szCs w:val="48"/>
    </w:rPr>
  </w:style>
  <w:style w:type="paragraph" w:customStyle="1" w:styleId="PPVHeader2">
    <w:name w:val="PPV Header 2"/>
    <w:basedOn w:val="Normal"/>
    <w:link w:val="PPVHeader2Char"/>
    <w:qFormat/>
    <w:rsid w:val="00BE560B"/>
    <w:pPr>
      <w:jc w:val="both"/>
    </w:pPr>
    <w:rPr>
      <w:sz w:val="24"/>
    </w:rPr>
  </w:style>
  <w:style w:type="character" w:customStyle="1" w:styleId="PPVHeaderChar">
    <w:name w:val="PPV Header Char"/>
    <w:basedOn w:val="DefaultParagraphFont"/>
    <w:link w:val="PPVHeader"/>
    <w:rsid w:val="00BE560B"/>
    <w:rPr>
      <w:rFonts w:asciiTheme="minorHAnsi" w:hAnsiTheme="minorHAnsi" w:cstheme="minorHAnsi"/>
      <w:b/>
      <w:noProof/>
      <w:sz w:val="48"/>
      <w:szCs w:val="48"/>
    </w:rPr>
  </w:style>
  <w:style w:type="character" w:customStyle="1" w:styleId="PPVHeader2Char">
    <w:name w:val="PPV Header 2 Char"/>
    <w:basedOn w:val="DefaultParagraphFont"/>
    <w:link w:val="PPVHeader2"/>
    <w:rsid w:val="00BE560B"/>
    <w:rPr>
      <w:rFonts w:asciiTheme="minorHAnsi" w:hAnsiTheme="minorHAnsi"/>
      <w:sz w:val="24"/>
      <w:szCs w:val="24"/>
    </w:rPr>
  </w:style>
  <w:style w:type="paragraph" w:styleId="FootnoteText">
    <w:name w:val="footnote text"/>
    <w:basedOn w:val="Normal"/>
    <w:link w:val="FootnoteTextChar"/>
    <w:rsid w:val="005B403F"/>
  </w:style>
  <w:style w:type="character" w:customStyle="1" w:styleId="FootnoteTextChar">
    <w:name w:val="Footnote Text Char"/>
    <w:basedOn w:val="DefaultParagraphFont"/>
    <w:link w:val="FootnoteText"/>
    <w:rsid w:val="005B403F"/>
    <w:rPr>
      <w:rFonts w:asciiTheme="minorHAnsi" w:hAnsiTheme="minorHAnsi"/>
    </w:rPr>
  </w:style>
  <w:style w:type="character" w:styleId="FootnoteReference">
    <w:name w:val="footnote reference"/>
    <w:basedOn w:val="DefaultParagraphFont"/>
    <w:rsid w:val="005B403F"/>
    <w:rPr>
      <w:vertAlign w:val="superscript"/>
    </w:rPr>
  </w:style>
  <w:style w:type="character" w:customStyle="1" w:styleId="TitleChar">
    <w:name w:val="Title Char"/>
    <w:basedOn w:val="DefaultParagraphFont"/>
    <w:link w:val="Title"/>
    <w:rsid w:val="00EB2222"/>
    <w:rPr>
      <w:rFonts w:ascii="Arial" w:hAnsi="Arial" w:cs="Arial"/>
      <w:b/>
      <w:bCs/>
      <w:kern w:val="28"/>
      <w:sz w:val="32"/>
      <w:szCs w:val="32"/>
    </w:rPr>
  </w:style>
  <w:style w:type="paragraph" w:customStyle="1" w:styleId="Subbulletnum">
    <w:name w:val="Subbullet num"/>
    <w:basedOn w:val="Normal"/>
    <w:qFormat/>
    <w:rsid w:val="00D64B78"/>
    <w:pPr>
      <w:numPr>
        <w:ilvl w:val="1"/>
        <w:numId w:val="9"/>
      </w:numPr>
      <w:spacing w:before="120"/>
    </w:pPr>
    <w:rPr>
      <w:rFonts w:cs="Times New Roman"/>
      <w:sz w:val="22"/>
      <w:szCs w:val="24"/>
    </w:rPr>
  </w:style>
  <w:style w:type="paragraph" w:customStyle="1" w:styleId="Normalnum">
    <w:name w:val="Normal num"/>
    <w:basedOn w:val="Normal"/>
    <w:rsid w:val="007523CA"/>
    <w:pPr>
      <w:numPr>
        <w:numId w:val="10"/>
      </w:numPr>
      <w:spacing w:before="120"/>
      <w:jc w:val="both"/>
    </w:pPr>
    <w:rPr>
      <w:rFonts w:cs="Times New Roman"/>
      <w:sz w:val="22"/>
      <w:szCs w:val="22"/>
    </w:rPr>
  </w:style>
  <w:style w:type="paragraph" w:customStyle="1" w:styleId="Parah0letter">
    <w:name w:val="Parah 0 letter"/>
    <w:basedOn w:val="Normal"/>
    <w:rsid w:val="007523CA"/>
    <w:pPr>
      <w:numPr>
        <w:ilvl w:val="3"/>
        <w:numId w:val="10"/>
      </w:numPr>
      <w:spacing w:before="120"/>
      <w:jc w:val="both"/>
    </w:pPr>
    <w:rPr>
      <w:rFonts w:ascii="Palatino Linotype" w:hAnsi="Palatino Linotype" w:cs="Times New Roman"/>
      <w:sz w:val="22"/>
      <w:szCs w:val="22"/>
    </w:rPr>
  </w:style>
  <w:style w:type="character" w:customStyle="1" w:styleId="Heading4Char">
    <w:name w:val="Heading 4 Char"/>
    <w:basedOn w:val="DefaultParagraphFont"/>
    <w:link w:val="Heading4"/>
    <w:semiHidden/>
    <w:rsid w:val="00B11063"/>
    <w:rPr>
      <w:rFonts w:asciiTheme="majorHAnsi" w:eastAsiaTheme="majorEastAsia" w:hAnsiTheme="majorHAnsi" w:cstheme="majorBidi"/>
      <w:i/>
      <w:iCs/>
      <w:color w:val="365F91" w:themeColor="accent1" w:themeShade="BF"/>
    </w:rPr>
  </w:style>
  <w:style w:type="paragraph" w:customStyle="1" w:styleId="Parah0number">
    <w:name w:val="Parah 0 number"/>
    <w:basedOn w:val="Normal"/>
    <w:rsid w:val="00B11063"/>
    <w:pPr>
      <w:tabs>
        <w:tab w:val="num" w:pos="357"/>
      </w:tabs>
      <w:spacing w:after="60"/>
      <w:ind w:left="357" w:hanging="357"/>
    </w:pPr>
    <w:rPr>
      <w:rFonts w:cs="Times New Roman"/>
      <w:sz w:val="22"/>
      <w:szCs w:val="22"/>
      <w:lang w:eastAsia="en-US"/>
    </w:rPr>
  </w:style>
  <w:style w:type="character" w:styleId="UnresolvedMention">
    <w:name w:val="Unresolved Mention"/>
    <w:basedOn w:val="DefaultParagraphFont"/>
    <w:uiPriority w:val="99"/>
    <w:semiHidden/>
    <w:unhideWhenUsed/>
    <w:rsid w:val="00B36DFF"/>
    <w:rPr>
      <w:color w:val="605E5C"/>
      <w:shd w:val="clear" w:color="auto" w:fill="E1DFDD"/>
    </w:rPr>
  </w:style>
  <w:style w:type="character" w:styleId="Strong">
    <w:name w:val="Strong"/>
    <w:basedOn w:val="DefaultParagraphFont"/>
    <w:uiPriority w:val="22"/>
    <w:qFormat/>
    <w:rsid w:val="000D76AE"/>
    <w:rPr>
      <w:b/>
      <w:bCs/>
    </w:rPr>
  </w:style>
  <w:style w:type="paragraph" w:styleId="NormalWeb">
    <w:name w:val="Normal (Web)"/>
    <w:basedOn w:val="Normal"/>
    <w:uiPriority w:val="99"/>
    <w:unhideWhenUsed/>
    <w:rsid w:val="00260D6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ment.assessment@delwp.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anning.panels@delwp.vic.gov.au" TargetMode="External"/><Relationship Id="rId4" Type="http://schemas.openxmlformats.org/officeDocument/2006/relationships/settings" Target="settings.xml"/><Relationship Id="rId9" Type="http://schemas.openxmlformats.org/officeDocument/2006/relationships/hyperlink" Target="mailto:Planning.Panels@delwp.vic.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D066-4DA0-4C1F-8884-6C1E40AF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4107</Words>
  <Characters>21968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Links>
    <vt:vector size="18" baseType="variant">
      <vt:variant>
        <vt:i4>7405601</vt:i4>
      </vt:variant>
      <vt:variant>
        <vt:i4>18</vt:i4>
      </vt:variant>
      <vt:variant>
        <vt:i4>0</vt:i4>
      </vt:variant>
      <vt:variant>
        <vt:i4>5</vt:i4>
      </vt:variant>
      <vt:variant>
        <vt:lpwstr>http://www.dpcd.vic.gov.au/</vt:lpwstr>
      </vt:variant>
      <vt:variant>
        <vt:lpwstr/>
      </vt:variant>
      <vt:variant>
        <vt:i4>7405601</vt:i4>
      </vt:variant>
      <vt:variant>
        <vt:i4>13</vt:i4>
      </vt:variant>
      <vt:variant>
        <vt:i4>0</vt:i4>
      </vt:variant>
      <vt:variant>
        <vt:i4>5</vt:i4>
      </vt:variant>
      <vt:variant>
        <vt:lpwstr>http://www.dpcd.vic.gov.au/</vt:lpwstr>
      </vt:variant>
      <vt:variant>
        <vt:lpwstr/>
      </vt:variant>
      <vt:variant>
        <vt:i4>7340037</vt:i4>
      </vt:variant>
      <vt:variant>
        <vt:i4>4</vt:i4>
      </vt:variant>
      <vt:variant>
        <vt:i4>0</vt:i4>
      </vt:variant>
      <vt:variant>
        <vt:i4>5</vt:i4>
      </vt:variant>
      <vt:variant>
        <vt:lpwstr>mailto:planning.panels@dpcd.vic.gov.au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2020-07-29T00:24:00Z</dcterms:created>
  <dcterms:modified xsi:type="dcterms:W3CDTF">2020-07-29T00:29:00Z</dcterms:modified>
</cp:coreProperties>
</file>