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F97" w:rsidRDefault="005F5E04" w:rsidP="004C5F97">
      <w:pPr>
        <w:pStyle w:val="Title"/>
        <w:spacing w:before="100" w:beforeAutospacing="1" w:after="120"/>
        <w:rPr>
          <w:rFonts w:asciiTheme="minorHAnsi" w:hAnsiTheme="minorHAnsi" w:cstheme="minorHAnsi"/>
        </w:rPr>
      </w:pPr>
      <w:bookmarkStart w:id="0" w:name="_GoBack"/>
      <w:bookmarkEnd w:id="0"/>
      <w:r w:rsidRPr="00EA4322">
        <w:rPr>
          <w:rFonts w:asciiTheme="minorHAnsi" w:hAnsiTheme="minorHAnsi" w:cstheme="minorHAnsi"/>
        </w:rPr>
        <w:t>Regional Growth Plan</w:t>
      </w:r>
      <w:r w:rsidR="004C5F97">
        <w:rPr>
          <w:rFonts w:asciiTheme="minorHAnsi" w:hAnsiTheme="minorHAnsi" w:cstheme="minorHAnsi"/>
        </w:rPr>
        <w:t xml:space="preserve"> </w:t>
      </w:r>
    </w:p>
    <w:p w:rsidR="004C5F97" w:rsidRPr="004C5F97" w:rsidRDefault="004C5F97" w:rsidP="004C5F97">
      <w:pPr>
        <w:pStyle w:val="Title"/>
        <w:spacing w:before="100" w:beforeAutospacing="1" w:after="120"/>
        <w:rPr>
          <w:rFonts w:asciiTheme="minorHAnsi" w:hAnsiTheme="minorHAnsi" w:cstheme="minorHAnsi"/>
        </w:rPr>
      </w:pPr>
      <w:r>
        <w:rPr>
          <w:rFonts w:asciiTheme="minorHAnsi" w:hAnsiTheme="minorHAnsi" w:cstheme="minorHAnsi"/>
        </w:rPr>
        <w:t>Background Report</w:t>
      </w:r>
    </w:p>
    <w:p w:rsidR="004C5F97" w:rsidRPr="004C5F97" w:rsidRDefault="004C5F97" w:rsidP="004C5F97"/>
    <w:p w:rsidR="00595F8B" w:rsidRPr="0073453E" w:rsidRDefault="00595F8B" w:rsidP="00595F8B">
      <w:pPr>
        <w:pStyle w:val="Subtitle"/>
        <w:tabs>
          <w:tab w:val="left" w:pos="8931"/>
        </w:tabs>
        <w:spacing w:before="100" w:beforeAutospacing="1" w:after="120"/>
        <w:jc w:val="both"/>
        <w:rPr>
          <w:rFonts w:cstheme="minorHAnsi"/>
        </w:rPr>
      </w:pPr>
    </w:p>
    <w:p w:rsidR="00AE26B4" w:rsidRPr="008F1881" w:rsidRDefault="00AE26B4" w:rsidP="00BA2920">
      <w:pPr>
        <w:jc w:val="center"/>
        <w:rPr>
          <w:b/>
          <w:color w:val="943634" w:themeColor="accent2" w:themeShade="BF"/>
          <w:sz w:val="72"/>
          <w:szCs w:val="72"/>
        </w:rPr>
        <w:sectPr w:rsidR="00AE26B4" w:rsidRPr="008F1881" w:rsidSect="009048F5">
          <w:headerReference w:type="default" r:id="rId10"/>
          <w:pgSz w:w="11906" w:h="16838" w:code="9"/>
          <w:pgMar w:top="-1983" w:right="1797" w:bottom="1440" w:left="1418" w:header="709" w:footer="709" w:gutter="0"/>
          <w:cols w:space="708"/>
          <w:vAlign w:val="center"/>
          <w:docGrid w:linePitch="360"/>
        </w:sectPr>
      </w:pPr>
    </w:p>
    <w:p w:rsidR="00DF70F7" w:rsidRDefault="00DF70F7" w:rsidP="00DF70F7">
      <w:pPr>
        <w:pStyle w:val="bt"/>
      </w:pPr>
      <w:r>
        <w:lastRenderedPageBreak/>
        <w:t>Authorised and published by the Victorian Government, 1 Treasury Place, Melbourne</w:t>
      </w:r>
    </w:p>
    <w:p w:rsidR="00DF70F7" w:rsidRDefault="00DF70F7" w:rsidP="00DF70F7">
      <w:pPr>
        <w:pStyle w:val="bt"/>
      </w:pPr>
      <w:r>
        <w:t>Printed by Finsbury Green, Melbourne</w:t>
      </w:r>
    </w:p>
    <w:p w:rsidR="00DF70F7" w:rsidRPr="00116E6E" w:rsidRDefault="00DF70F7" w:rsidP="00DF70F7">
      <w:pPr>
        <w:pStyle w:val="bt"/>
        <w:rPr>
          <w:sz w:val="28"/>
          <w:szCs w:val="28"/>
        </w:rPr>
      </w:pPr>
      <w:r w:rsidRPr="00116E6E">
        <w:rPr>
          <w:sz w:val="28"/>
          <w:szCs w:val="28"/>
        </w:rPr>
        <w:t>If you would like to receive this publication in an accessible format, please telephone 1300 366 356.</w:t>
      </w:r>
    </w:p>
    <w:p w:rsidR="00DF70F7" w:rsidRDefault="00DF70F7" w:rsidP="00DF70F7">
      <w:pPr>
        <w:pStyle w:val="bt"/>
      </w:pPr>
      <w:r>
        <w:t xml:space="preserve">This document is also available in Word format at </w:t>
      </w:r>
      <w:hyperlink r:id="rId11" w:history="1">
        <w:r>
          <w:rPr>
            <w:color w:val="0000FF"/>
            <w:u w:val="single"/>
          </w:rPr>
          <w:t>www.dtpli.vic.gov.au/regionalgrowthplans</w:t>
        </w:r>
      </w:hyperlink>
    </w:p>
    <w:p w:rsidR="00DF70F7" w:rsidRDefault="00DF70F7" w:rsidP="00DF70F7">
      <w:pPr>
        <w:pStyle w:val="bt"/>
      </w:pPr>
      <w:r>
        <w:t>Unless indicated otherwise, this work is made available under the terms of the Creative Commons Attribution 3.0 Australia licence.</w:t>
      </w:r>
    </w:p>
    <w:p w:rsidR="00DF70F7" w:rsidRDefault="00DF70F7" w:rsidP="00DF70F7">
      <w:pPr>
        <w:pStyle w:val="bt"/>
      </w:pPr>
      <w:r>
        <w:t>To view a copy of the licence, visit creativecommons.org/licences/by/3.0/au</w:t>
      </w:r>
    </w:p>
    <w:p w:rsidR="00DF70F7" w:rsidRDefault="00DF70F7" w:rsidP="00DF70F7">
      <w:pPr>
        <w:pStyle w:val="bt"/>
      </w:pPr>
      <w:r>
        <w:t>It is a condition of this Creative Commons Attribution 3.0 Licence that you must give credit to the original author who is the State of Victoria.</w:t>
      </w:r>
    </w:p>
    <w:p w:rsidR="00DF70F7" w:rsidRDefault="00DF70F7" w:rsidP="00DF70F7">
      <w:pPr>
        <w:pStyle w:val="bt"/>
        <w:rPr>
          <w:b/>
          <w:bCs/>
        </w:rPr>
      </w:pPr>
      <w:r>
        <w:rPr>
          <w:b/>
          <w:bCs/>
        </w:rPr>
        <w:t>Disclaimer</w:t>
      </w:r>
    </w:p>
    <w:p w:rsidR="00DF70F7" w:rsidRDefault="00DF70F7" w:rsidP="00DF70F7">
      <w:pPr>
        <w:pStyle w:val="bt"/>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864363" w:rsidRDefault="00230C3E" w:rsidP="00DF70F7">
      <w:pPr>
        <w:pStyle w:val="bt"/>
        <w:rPr>
          <w:rFonts w:cs="Calibri"/>
          <w:bCs/>
          <w:color w:val="000000" w:themeColor="text1"/>
        </w:rPr>
      </w:pPr>
      <w:r>
        <w:rPr>
          <w:b/>
          <w:bCs/>
        </w:rPr>
        <w:t>April</w:t>
      </w:r>
      <w:r w:rsidR="00DF70F7" w:rsidRPr="00E4257C">
        <w:rPr>
          <w:b/>
          <w:bCs/>
        </w:rPr>
        <w:t xml:space="preserve"> 2014</w:t>
      </w:r>
    </w:p>
    <w:p w:rsidR="00AE26B4" w:rsidRPr="00A15037" w:rsidRDefault="00AE26B4" w:rsidP="00A15037">
      <w:pPr>
        <w:pStyle w:val="bt"/>
        <w:rPr>
          <w:sz w:val="32"/>
          <w:szCs w:val="32"/>
        </w:rPr>
        <w:sectPr w:rsidR="00AE26B4" w:rsidRPr="00A15037" w:rsidSect="00A15037">
          <w:headerReference w:type="even" r:id="rId12"/>
          <w:headerReference w:type="default" r:id="rId13"/>
          <w:footerReference w:type="default" r:id="rId14"/>
          <w:headerReference w:type="first" r:id="rId15"/>
          <w:pgSz w:w="11906" w:h="16838" w:code="9"/>
          <w:pgMar w:top="8647" w:right="1416" w:bottom="1440" w:left="1418" w:header="709" w:footer="709" w:gutter="0"/>
          <w:pgNumType w:start="1"/>
          <w:cols w:space="708"/>
          <w:docGrid w:linePitch="360"/>
        </w:sectPr>
      </w:pPr>
    </w:p>
    <w:p w:rsidR="005B01F7" w:rsidRPr="00890B20" w:rsidRDefault="005B01F7" w:rsidP="00F82A2A">
      <w:pPr>
        <w:pStyle w:val="TableofContents-heading"/>
      </w:pPr>
      <w:r w:rsidRPr="00890B20">
        <w:lastRenderedPageBreak/>
        <w:t>Table of contents</w:t>
      </w:r>
    </w:p>
    <w:p w:rsidR="00266509" w:rsidRDefault="009F388E" w:rsidP="00F82A2A">
      <w:pPr>
        <w:pStyle w:val="TOC1"/>
        <w:rPr>
          <w:rFonts w:eastAsiaTheme="minorEastAsia"/>
          <w:szCs w:val="22"/>
        </w:rPr>
      </w:pPr>
      <w:r>
        <w:rPr>
          <w:rStyle w:val="Hyperlink"/>
          <w:rFonts w:cs="Tahoma"/>
        </w:rPr>
        <w:fldChar w:fldCharType="begin"/>
      </w:r>
      <w:r w:rsidR="00A84714">
        <w:rPr>
          <w:rStyle w:val="Hyperlink"/>
          <w:rFonts w:cs="Tahoma"/>
        </w:rPr>
        <w:instrText xml:space="preserve"> TOC \o "1-2" \h \z \u \t "Sub sub heading,3" </w:instrText>
      </w:r>
      <w:r>
        <w:rPr>
          <w:rStyle w:val="Hyperlink"/>
          <w:rFonts w:cs="Tahoma"/>
        </w:rPr>
        <w:fldChar w:fldCharType="separate"/>
      </w:r>
      <w:hyperlink w:anchor="_Toc374527584" w:history="1">
        <w:r w:rsidR="00266509" w:rsidRPr="00F36B15">
          <w:rPr>
            <w:rStyle w:val="Hyperlink"/>
          </w:rPr>
          <w:t>Executive summary</w:t>
        </w:r>
        <w:r w:rsidR="00266509">
          <w:rPr>
            <w:webHidden/>
          </w:rPr>
          <w:tab/>
        </w:r>
        <w:r>
          <w:rPr>
            <w:webHidden/>
          </w:rPr>
          <w:fldChar w:fldCharType="begin"/>
        </w:r>
        <w:r w:rsidR="00266509">
          <w:rPr>
            <w:webHidden/>
          </w:rPr>
          <w:instrText xml:space="preserve"> PAGEREF _Toc374527584 \h </w:instrText>
        </w:r>
        <w:r>
          <w:rPr>
            <w:webHidden/>
          </w:rPr>
        </w:r>
        <w:r>
          <w:rPr>
            <w:webHidden/>
          </w:rPr>
          <w:fldChar w:fldCharType="separate"/>
        </w:r>
        <w:r w:rsidR="00907B42">
          <w:rPr>
            <w:webHidden/>
          </w:rPr>
          <w:t>i</w:t>
        </w:r>
        <w:r>
          <w:rPr>
            <w:webHidden/>
          </w:rPr>
          <w:fldChar w:fldCharType="end"/>
        </w:r>
      </w:hyperlink>
    </w:p>
    <w:p w:rsidR="00266509" w:rsidRDefault="00631B16" w:rsidP="00F82A2A">
      <w:pPr>
        <w:pStyle w:val="TOC1"/>
        <w:rPr>
          <w:rFonts w:eastAsiaTheme="minorEastAsia"/>
          <w:szCs w:val="22"/>
        </w:rPr>
      </w:pPr>
      <w:hyperlink w:anchor="_Toc374527585" w:history="1">
        <w:r w:rsidR="00266509" w:rsidRPr="00F36B15">
          <w:rPr>
            <w:rStyle w:val="Hyperlink"/>
          </w:rPr>
          <w:t>1.</w:t>
        </w:r>
        <w:r w:rsidR="00266509">
          <w:rPr>
            <w:rFonts w:eastAsiaTheme="minorEastAsia"/>
            <w:szCs w:val="22"/>
          </w:rPr>
          <w:tab/>
        </w:r>
        <w:r w:rsidR="00266509" w:rsidRPr="00F36B15">
          <w:rPr>
            <w:rStyle w:val="Hyperlink"/>
          </w:rPr>
          <w:t>Introduction and purpose</w:t>
        </w:r>
        <w:r w:rsidR="00266509">
          <w:rPr>
            <w:webHidden/>
          </w:rPr>
          <w:tab/>
        </w:r>
        <w:r w:rsidR="009F388E">
          <w:rPr>
            <w:webHidden/>
          </w:rPr>
          <w:fldChar w:fldCharType="begin"/>
        </w:r>
        <w:r w:rsidR="00266509">
          <w:rPr>
            <w:webHidden/>
          </w:rPr>
          <w:instrText xml:space="preserve"> PAGEREF _Toc374527585 \h </w:instrText>
        </w:r>
        <w:r w:rsidR="009F388E">
          <w:rPr>
            <w:webHidden/>
          </w:rPr>
        </w:r>
        <w:r w:rsidR="009F388E">
          <w:rPr>
            <w:webHidden/>
          </w:rPr>
          <w:fldChar w:fldCharType="separate"/>
        </w:r>
        <w:r w:rsidR="00907B42">
          <w:rPr>
            <w:webHidden/>
          </w:rPr>
          <w:t>1</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586" w:history="1">
        <w:r w:rsidR="00266509" w:rsidRPr="00F36B15">
          <w:rPr>
            <w:rStyle w:val="Hyperlink"/>
          </w:rPr>
          <w:t>1.1</w:t>
        </w:r>
        <w:r w:rsidR="00266509">
          <w:rPr>
            <w:rFonts w:eastAsiaTheme="minorEastAsia" w:cstheme="minorBidi"/>
            <w:iCs w:val="0"/>
            <w:color w:val="auto"/>
            <w:sz w:val="22"/>
            <w:szCs w:val="22"/>
          </w:rPr>
          <w:tab/>
        </w:r>
        <w:r w:rsidR="00266509" w:rsidRPr="00F36B15">
          <w:rPr>
            <w:rStyle w:val="Hyperlink"/>
          </w:rPr>
          <w:t>The Central Highlands Regional Strategic Plan</w:t>
        </w:r>
        <w:r w:rsidR="00266509">
          <w:rPr>
            <w:webHidden/>
          </w:rPr>
          <w:tab/>
        </w:r>
        <w:r w:rsidR="009F388E">
          <w:rPr>
            <w:webHidden/>
          </w:rPr>
          <w:fldChar w:fldCharType="begin"/>
        </w:r>
        <w:r w:rsidR="00266509">
          <w:rPr>
            <w:webHidden/>
          </w:rPr>
          <w:instrText xml:space="preserve"> PAGEREF _Toc374527586 \h </w:instrText>
        </w:r>
        <w:r w:rsidR="009F388E">
          <w:rPr>
            <w:webHidden/>
          </w:rPr>
        </w:r>
        <w:r w:rsidR="009F388E">
          <w:rPr>
            <w:webHidden/>
          </w:rPr>
          <w:fldChar w:fldCharType="separate"/>
        </w:r>
        <w:r w:rsidR="00907B42">
          <w:rPr>
            <w:webHidden/>
          </w:rPr>
          <w:t>2</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587" w:history="1">
        <w:r w:rsidR="00266509" w:rsidRPr="00F36B15">
          <w:rPr>
            <w:rStyle w:val="Hyperlink"/>
          </w:rPr>
          <w:t>1.2</w:t>
        </w:r>
        <w:r w:rsidR="00266509">
          <w:rPr>
            <w:rFonts w:eastAsiaTheme="minorEastAsia" w:cstheme="minorBidi"/>
            <w:iCs w:val="0"/>
            <w:color w:val="auto"/>
            <w:sz w:val="22"/>
            <w:szCs w:val="22"/>
          </w:rPr>
          <w:tab/>
        </w:r>
        <w:r w:rsidR="00266509" w:rsidRPr="00F36B15">
          <w:rPr>
            <w:rStyle w:val="Hyperlink"/>
          </w:rPr>
          <w:t>Purpose</w:t>
        </w:r>
        <w:r w:rsidR="00266509">
          <w:rPr>
            <w:webHidden/>
          </w:rPr>
          <w:tab/>
        </w:r>
        <w:r w:rsidR="009F388E">
          <w:rPr>
            <w:webHidden/>
          </w:rPr>
          <w:fldChar w:fldCharType="begin"/>
        </w:r>
        <w:r w:rsidR="00266509">
          <w:rPr>
            <w:webHidden/>
          </w:rPr>
          <w:instrText xml:space="preserve"> PAGEREF _Toc374527587 \h </w:instrText>
        </w:r>
        <w:r w:rsidR="009F388E">
          <w:rPr>
            <w:webHidden/>
          </w:rPr>
        </w:r>
        <w:r w:rsidR="009F388E">
          <w:rPr>
            <w:webHidden/>
          </w:rPr>
          <w:fldChar w:fldCharType="separate"/>
        </w:r>
        <w:r w:rsidR="00907B42">
          <w:rPr>
            <w:webHidden/>
          </w:rPr>
          <w:t>2</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588" w:history="1">
        <w:r w:rsidR="00266509" w:rsidRPr="00F36B15">
          <w:rPr>
            <w:rStyle w:val="Hyperlink"/>
          </w:rPr>
          <w:t>1.3</w:t>
        </w:r>
        <w:r w:rsidR="00266509">
          <w:rPr>
            <w:rFonts w:eastAsiaTheme="minorEastAsia" w:cstheme="minorBidi"/>
            <w:iCs w:val="0"/>
            <w:color w:val="auto"/>
            <w:sz w:val="22"/>
            <w:szCs w:val="22"/>
          </w:rPr>
          <w:tab/>
        </w:r>
        <w:r w:rsidR="00266509" w:rsidRPr="00F36B15">
          <w:rPr>
            <w:rStyle w:val="Hyperlink"/>
          </w:rPr>
          <w:t>Issues covered by this background report</w:t>
        </w:r>
        <w:r w:rsidR="00266509">
          <w:rPr>
            <w:webHidden/>
          </w:rPr>
          <w:tab/>
        </w:r>
        <w:r w:rsidR="009F388E">
          <w:rPr>
            <w:webHidden/>
          </w:rPr>
          <w:fldChar w:fldCharType="begin"/>
        </w:r>
        <w:r w:rsidR="00266509">
          <w:rPr>
            <w:webHidden/>
          </w:rPr>
          <w:instrText xml:space="preserve"> PAGEREF _Toc374527588 \h </w:instrText>
        </w:r>
        <w:r w:rsidR="009F388E">
          <w:rPr>
            <w:webHidden/>
          </w:rPr>
        </w:r>
        <w:r w:rsidR="009F388E">
          <w:rPr>
            <w:webHidden/>
          </w:rPr>
          <w:fldChar w:fldCharType="separate"/>
        </w:r>
        <w:r w:rsidR="00907B42">
          <w:rPr>
            <w:webHidden/>
          </w:rPr>
          <w:t>3</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589" w:history="1">
        <w:r w:rsidR="00266509" w:rsidRPr="00F36B15">
          <w:rPr>
            <w:rStyle w:val="Hyperlink"/>
          </w:rPr>
          <w:t>1.4</w:t>
        </w:r>
        <w:r w:rsidR="00266509">
          <w:rPr>
            <w:rFonts w:eastAsiaTheme="minorEastAsia" w:cstheme="minorBidi"/>
            <w:iCs w:val="0"/>
            <w:color w:val="auto"/>
            <w:sz w:val="22"/>
            <w:szCs w:val="22"/>
          </w:rPr>
          <w:tab/>
        </w:r>
        <w:r w:rsidR="00266509" w:rsidRPr="00F36B15">
          <w:rPr>
            <w:rStyle w:val="Hyperlink"/>
          </w:rPr>
          <w:t>Assumptions/limitations</w:t>
        </w:r>
        <w:r w:rsidR="00266509">
          <w:rPr>
            <w:webHidden/>
          </w:rPr>
          <w:tab/>
        </w:r>
        <w:r w:rsidR="009F388E">
          <w:rPr>
            <w:webHidden/>
          </w:rPr>
          <w:fldChar w:fldCharType="begin"/>
        </w:r>
        <w:r w:rsidR="00266509">
          <w:rPr>
            <w:webHidden/>
          </w:rPr>
          <w:instrText xml:space="preserve"> PAGEREF _Toc374527589 \h </w:instrText>
        </w:r>
        <w:r w:rsidR="009F388E">
          <w:rPr>
            <w:webHidden/>
          </w:rPr>
        </w:r>
        <w:r w:rsidR="009F388E">
          <w:rPr>
            <w:webHidden/>
          </w:rPr>
          <w:fldChar w:fldCharType="separate"/>
        </w:r>
        <w:r w:rsidR="00907B42">
          <w:rPr>
            <w:webHidden/>
          </w:rPr>
          <w:t>4</w:t>
        </w:r>
        <w:r w:rsidR="009F388E">
          <w:rPr>
            <w:webHidden/>
          </w:rPr>
          <w:fldChar w:fldCharType="end"/>
        </w:r>
      </w:hyperlink>
    </w:p>
    <w:p w:rsidR="00266509" w:rsidRDefault="00631B16" w:rsidP="00F82A2A">
      <w:pPr>
        <w:pStyle w:val="TOC1"/>
        <w:rPr>
          <w:rFonts w:eastAsiaTheme="minorEastAsia"/>
          <w:szCs w:val="22"/>
        </w:rPr>
      </w:pPr>
      <w:hyperlink w:anchor="_Toc374527590" w:history="1">
        <w:r w:rsidR="00266509" w:rsidRPr="00F36B15">
          <w:rPr>
            <w:rStyle w:val="Hyperlink"/>
          </w:rPr>
          <w:t>2.</w:t>
        </w:r>
        <w:r w:rsidR="00266509">
          <w:rPr>
            <w:rFonts w:eastAsiaTheme="minorEastAsia"/>
            <w:szCs w:val="22"/>
          </w:rPr>
          <w:tab/>
        </w:r>
        <w:r w:rsidR="00266509" w:rsidRPr="00F36B15">
          <w:rPr>
            <w:rStyle w:val="Hyperlink"/>
          </w:rPr>
          <w:t>Central Highlands snapshot</w:t>
        </w:r>
        <w:r w:rsidR="00266509">
          <w:rPr>
            <w:webHidden/>
          </w:rPr>
          <w:tab/>
        </w:r>
        <w:r w:rsidR="009F388E">
          <w:rPr>
            <w:webHidden/>
          </w:rPr>
          <w:fldChar w:fldCharType="begin"/>
        </w:r>
        <w:r w:rsidR="00266509">
          <w:rPr>
            <w:webHidden/>
          </w:rPr>
          <w:instrText xml:space="preserve"> PAGEREF _Toc374527590 \h </w:instrText>
        </w:r>
        <w:r w:rsidR="009F388E">
          <w:rPr>
            <w:webHidden/>
          </w:rPr>
        </w:r>
        <w:r w:rsidR="009F388E">
          <w:rPr>
            <w:webHidden/>
          </w:rPr>
          <w:fldChar w:fldCharType="separate"/>
        </w:r>
        <w:r w:rsidR="00907B42">
          <w:rPr>
            <w:webHidden/>
          </w:rPr>
          <w:t>4</w:t>
        </w:r>
        <w:r w:rsidR="009F388E">
          <w:rPr>
            <w:webHidden/>
          </w:rPr>
          <w:fldChar w:fldCharType="end"/>
        </w:r>
      </w:hyperlink>
    </w:p>
    <w:p w:rsidR="00266509" w:rsidRDefault="00631B16" w:rsidP="00F82A2A">
      <w:pPr>
        <w:pStyle w:val="TOC1"/>
        <w:rPr>
          <w:rFonts w:eastAsiaTheme="minorEastAsia"/>
          <w:szCs w:val="22"/>
        </w:rPr>
      </w:pPr>
      <w:hyperlink w:anchor="_Toc374527591" w:history="1">
        <w:r w:rsidR="00266509" w:rsidRPr="00F36B15">
          <w:rPr>
            <w:rStyle w:val="Hyperlink"/>
          </w:rPr>
          <w:t>3.</w:t>
        </w:r>
        <w:r w:rsidR="00266509">
          <w:rPr>
            <w:rFonts w:eastAsiaTheme="minorEastAsia"/>
            <w:szCs w:val="22"/>
          </w:rPr>
          <w:tab/>
        </w:r>
        <w:r w:rsidR="00266509" w:rsidRPr="00F36B15">
          <w:rPr>
            <w:rStyle w:val="Hyperlink"/>
          </w:rPr>
          <w:t>Population and settlement</w:t>
        </w:r>
        <w:r w:rsidR="00266509">
          <w:rPr>
            <w:webHidden/>
          </w:rPr>
          <w:tab/>
        </w:r>
        <w:r w:rsidR="009F388E">
          <w:rPr>
            <w:webHidden/>
          </w:rPr>
          <w:fldChar w:fldCharType="begin"/>
        </w:r>
        <w:r w:rsidR="00266509">
          <w:rPr>
            <w:webHidden/>
          </w:rPr>
          <w:instrText xml:space="preserve"> PAGEREF _Toc374527591 \h </w:instrText>
        </w:r>
        <w:r w:rsidR="009F388E">
          <w:rPr>
            <w:webHidden/>
          </w:rPr>
        </w:r>
        <w:r w:rsidR="009F388E">
          <w:rPr>
            <w:webHidden/>
          </w:rPr>
          <w:fldChar w:fldCharType="separate"/>
        </w:r>
        <w:r w:rsidR="00907B42">
          <w:rPr>
            <w:webHidden/>
          </w:rPr>
          <w:t>5</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592" w:history="1">
        <w:r w:rsidR="00266509" w:rsidRPr="00F36B15">
          <w:rPr>
            <w:rStyle w:val="Hyperlink"/>
          </w:rPr>
          <w:t>3.1</w:t>
        </w:r>
        <w:r w:rsidR="00266509">
          <w:rPr>
            <w:rFonts w:eastAsiaTheme="minorEastAsia" w:cstheme="minorBidi"/>
            <w:iCs w:val="0"/>
            <w:color w:val="auto"/>
            <w:sz w:val="22"/>
            <w:szCs w:val="22"/>
          </w:rPr>
          <w:tab/>
        </w:r>
        <w:r w:rsidR="00266509" w:rsidRPr="00F36B15">
          <w:rPr>
            <w:rStyle w:val="Hyperlink"/>
          </w:rPr>
          <w:t>Context</w:t>
        </w:r>
        <w:r w:rsidR="00266509">
          <w:rPr>
            <w:webHidden/>
          </w:rPr>
          <w:tab/>
        </w:r>
        <w:r w:rsidR="009F388E">
          <w:rPr>
            <w:webHidden/>
          </w:rPr>
          <w:fldChar w:fldCharType="begin"/>
        </w:r>
        <w:r w:rsidR="00266509">
          <w:rPr>
            <w:webHidden/>
          </w:rPr>
          <w:instrText xml:space="preserve"> PAGEREF _Toc374527592 \h </w:instrText>
        </w:r>
        <w:r w:rsidR="009F388E">
          <w:rPr>
            <w:webHidden/>
          </w:rPr>
        </w:r>
        <w:r w:rsidR="009F388E">
          <w:rPr>
            <w:webHidden/>
          </w:rPr>
          <w:fldChar w:fldCharType="separate"/>
        </w:r>
        <w:r w:rsidR="00907B42">
          <w:rPr>
            <w:webHidden/>
          </w:rPr>
          <w:t>5</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593" w:history="1">
        <w:r w:rsidR="00266509" w:rsidRPr="00F36B15">
          <w:rPr>
            <w:rStyle w:val="Hyperlink"/>
          </w:rPr>
          <w:t>3.2</w:t>
        </w:r>
        <w:r w:rsidR="00266509">
          <w:rPr>
            <w:rFonts w:eastAsiaTheme="minorEastAsia" w:cstheme="minorBidi"/>
            <w:iCs w:val="0"/>
            <w:color w:val="auto"/>
            <w:sz w:val="22"/>
            <w:szCs w:val="22"/>
          </w:rPr>
          <w:tab/>
        </w:r>
        <w:r w:rsidR="00266509" w:rsidRPr="00F36B15">
          <w:rPr>
            <w:rStyle w:val="Hyperlink"/>
          </w:rPr>
          <w:t>Preferred pattern of urban growth</w:t>
        </w:r>
        <w:r w:rsidR="00266509">
          <w:rPr>
            <w:webHidden/>
          </w:rPr>
          <w:tab/>
        </w:r>
        <w:r w:rsidR="009F388E">
          <w:rPr>
            <w:webHidden/>
          </w:rPr>
          <w:fldChar w:fldCharType="begin"/>
        </w:r>
        <w:r w:rsidR="00266509">
          <w:rPr>
            <w:webHidden/>
          </w:rPr>
          <w:instrText xml:space="preserve"> PAGEREF _Toc374527593 \h </w:instrText>
        </w:r>
        <w:r w:rsidR="009F388E">
          <w:rPr>
            <w:webHidden/>
          </w:rPr>
        </w:r>
        <w:r w:rsidR="009F388E">
          <w:rPr>
            <w:webHidden/>
          </w:rPr>
          <w:fldChar w:fldCharType="separate"/>
        </w:r>
        <w:r w:rsidR="00907B42">
          <w:rPr>
            <w:webHidden/>
          </w:rPr>
          <w:t>18</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594" w:history="1">
        <w:r w:rsidR="00266509" w:rsidRPr="00F36B15">
          <w:rPr>
            <w:rStyle w:val="Hyperlink"/>
          </w:rPr>
          <w:t>3.3</w:t>
        </w:r>
        <w:r w:rsidR="00266509">
          <w:rPr>
            <w:rFonts w:eastAsiaTheme="minorEastAsia" w:cstheme="minorBidi"/>
            <w:iCs w:val="0"/>
            <w:color w:val="auto"/>
            <w:sz w:val="22"/>
            <w:szCs w:val="22"/>
          </w:rPr>
          <w:tab/>
        </w:r>
        <w:r w:rsidR="00266509" w:rsidRPr="00F36B15">
          <w:rPr>
            <w:rStyle w:val="Hyperlink"/>
          </w:rPr>
          <w:t>Settlement network</w:t>
        </w:r>
        <w:r w:rsidR="00266509">
          <w:rPr>
            <w:webHidden/>
          </w:rPr>
          <w:tab/>
        </w:r>
        <w:r w:rsidR="009F388E">
          <w:rPr>
            <w:webHidden/>
          </w:rPr>
          <w:fldChar w:fldCharType="begin"/>
        </w:r>
        <w:r w:rsidR="00266509">
          <w:rPr>
            <w:webHidden/>
          </w:rPr>
          <w:instrText xml:space="preserve"> PAGEREF _Toc374527594 \h </w:instrText>
        </w:r>
        <w:r w:rsidR="009F388E">
          <w:rPr>
            <w:webHidden/>
          </w:rPr>
        </w:r>
        <w:r w:rsidR="009F388E">
          <w:rPr>
            <w:webHidden/>
          </w:rPr>
          <w:fldChar w:fldCharType="separate"/>
        </w:r>
        <w:r w:rsidR="00907B42">
          <w:rPr>
            <w:webHidden/>
          </w:rPr>
          <w:t>22</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595" w:history="1">
        <w:r w:rsidR="00266509" w:rsidRPr="00F36B15">
          <w:rPr>
            <w:rStyle w:val="Hyperlink"/>
          </w:rPr>
          <w:t>3.4</w:t>
        </w:r>
        <w:r w:rsidR="00266509">
          <w:rPr>
            <w:rFonts w:eastAsiaTheme="minorEastAsia" w:cstheme="minorBidi"/>
            <w:iCs w:val="0"/>
            <w:color w:val="auto"/>
            <w:sz w:val="22"/>
            <w:szCs w:val="22"/>
          </w:rPr>
          <w:tab/>
        </w:r>
        <w:r w:rsidR="00266509" w:rsidRPr="00F36B15">
          <w:rPr>
            <w:rStyle w:val="Hyperlink"/>
          </w:rPr>
          <w:t>Housing diversity and affordability</w:t>
        </w:r>
        <w:r w:rsidR="00266509">
          <w:rPr>
            <w:webHidden/>
          </w:rPr>
          <w:tab/>
        </w:r>
        <w:r w:rsidR="009F388E">
          <w:rPr>
            <w:webHidden/>
          </w:rPr>
          <w:fldChar w:fldCharType="begin"/>
        </w:r>
        <w:r w:rsidR="00266509">
          <w:rPr>
            <w:webHidden/>
          </w:rPr>
          <w:instrText xml:space="preserve"> PAGEREF _Toc374527595 \h </w:instrText>
        </w:r>
        <w:r w:rsidR="009F388E">
          <w:rPr>
            <w:webHidden/>
          </w:rPr>
        </w:r>
        <w:r w:rsidR="009F388E">
          <w:rPr>
            <w:webHidden/>
          </w:rPr>
          <w:fldChar w:fldCharType="separate"/>
        </w:r>
        <w:r w:rsidR="00907B42">
          <w:rPr>
            <w:webHidden/>
          </w:rPr>
          <w:t>25</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596" w:history="1">
        <w:r w:rsidR="00266509" w:rsidRPr="00F36B15">
          <w:rPr>
            <w:rStyle w:val="Hyperlink"/>
          </w:rPr>
          <w:t>3.5</w:t>
        </w:r>
        <w:r w:rsidR="00266509">
          <w:rPr>
            <w:rFonts w:eastAsiaTheme="minorEastAsia" w:cstheme="minorBidi"/>
            <w:iCs w:val="0"/>
            <w:color w:val="auto"/>
            <w:sz w:val="22"/>
            <w:szCs w:val="22"/>
          </w:rPr>
          <w:tab/>
        </w:r>
        <w:r w:rsidR="00266509" w:rsidRPr="00F36B15">
          <w:rPr>
            <w:rStyle w:val="Hyperlink"/>
          </w:rPr>
          <w:t>Liveability</w:t>
        </w:r>
        <w:r w:rsidR="00266509">
          <w:rPr>
            <w:webHidden/>
          </w:rPr>
          <w:tab/>
        </w:r>
        <w:r w:rsidR="009F388E">
          <w:rPr>
            <w:webHidden/>
          </w:rPr>
          <w:fldChar w:fldCharType="begin"/>
        </w:r>
        <w:r w:rsidR="00266509">
          <w:rPr>
            <w:webHidden/>
          </w:rPr>
          <w:instrText xml:space="preserve"> PAGEREF _Toc374527596 \h </w:instrText>
        </w:r>
        <w:r w:rsidR="009F388E">
          <w:rPr>
            <w:webHidden/>
          </w:rPr>
        </w:r>
        <w:r w:rsidR="009F388E">
          <w:rPr>
            <w:webHidden/>
          </w:rPr>
          <w:fldChar w:fldCharType="separate"/>
        </w:r>
        <w:r w:rsidR="00907B42">
          <w:rPr>
            <w:webHidden/>
          </w:rPr>
          <w:t>27</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597" w:history="1">
        <w:r w:rsidR="00266509" w:rsidRPr="00F36B15">
          <w:rPr>
            <w:rStyle w:val="Hyperlink"/>
          </w:rPr>
          <w:t>3.6</w:t>
        </w:r>
        <w:r w:rsidR="00266509">
          <w:rPr>
            <w:rFonts w:eastAsiaTheme="minorEastAsia" w:cstheme="minorBidi"/>
            <w:iCs w:val="0"/>
            <w:color w:val="auto"/>
            <w:sz w:val="22"/>
            <w:szCs w:val="22"/>
          </w:rPr>
          <w:tab/>
        </w:r>
        <w:r w:rsidR="00266509" w:rsidRPr="00F36B15">
          <w:rPr>
            <w:rStyle w:val="Hyperlink"/>
          </w:rPr>
          <w:t>Rural residential development and rural land use</w:t>
        </w:r>
        <w:r w:rsidR="00266509">
          <w:rPr>
            <w:webHidden/>
          </w:rPr>
          <w:tab/>
        </w:r>
        <w:r w:rsidR="009F388E">
          <w:rPr>
            <w:webHidden/>
          </w:rPr>
          <w:fldChar w:fldCharType="begin"/>
        </w:r>
        <w:r w:rsidR="00266509">
          <w:rPr>
            <w:webHidden/>
          </w:rPr>
          <w:instrText xml:space="preserve"> PAGEREF _Toc374527597 \h </w:instrText>
        </w:r>
        <w:r w:rsidR="009F388E">
          <w:rPr>
            <w:webHidden/>
          </w:rPr>
        </w:r>
        <w:r w:rsidR="009F388E">
          <w:rPr>
            <w:webHidden/>
          </w:rPr>
          <w:fldChar w:fldCharType="separate"/>
        </w:r>
        <w:r w:rsidR="00907B42">
          <w:rPr>
            <w:webHidden/>
          </w:rPr>
          <w:t>29</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598" w:history="1">
        <w:r w:rsidR="00266509" w:rsidRPr="00F36B15">
          <w:rPr>
            <w:rStyle w:val="Hyperlink"/>
          </w:rPr>
          <w:t>3.7</w:t>
        </w:r>
        <w:r w:rsidR="00266509">
          <w:rPr>
            <w:rFonts w:eastAsiaTheme="minorEastAsia" w:cstheme="minorBidi"/>
            <w:iCs w:val="0"/>
            <w:color w:val="auto"/>
            <w:sz w:val="22"/>
            <w:szCs w:val="22"/>
          </w:rPr>
          <w:tab/>
        </w:r>
        <w:r w:rsidR="00266509" w:rsidRPr="00F36B15">
          <w:rPr>
            <w:rStyle w:val="Hyperlink"/>
          </w:rPr>
          <w:t>Peri-urban relationships</w:t>
        </w:r>
        <w:r w:rsidR="00266509">
          <w:rPr>
            <w:webHidden/>
          </w:rPr>
          <w:tab/>
        </w:r>
        <w:r w:rsidR="009F388E">
          <w:rPr>
            <w:webHidden/>
          </w:rPr>
          <w:fldChar w:fldCharType="begin"/>
        </w:r>
        <w:r w:rsidR="00266509">
          <w:rPr>
            <w:webHidden/>
          </w:rPr>
          <w:instrText xml:space="preserve"> PAGEREF _Toc374527598 \h </w:instrText>
        </w:r>
        <w:r w:rsidR="009F388E">
          <w:rPr>
            <w:webHidden/>
          </w:rPr>
        </w:r>
        <w:r w:rsidR="009F388E">
          <w:rPr>
            <w:webHidden/>
          </w:rPr>
          <w:fldChar w:fldCharType="separate"/>
        </w:r>
        <w:r w:rsidR="00907B42">
          <w:rPr>
            <w:webHidden/>
          </w:rPr>
          <w:t>30</w:t>
        </w:r>
        <w:r w:rsidR="009F388E">
          <w:rPr>
            <w:webHidden/>
          </w:rPr>
          <w:fldChar w:fldCharType="end"/>
        </w:r>
      </w:hyperlink>
    </w:p>
    <w:p w:rsidR="00266509" w:rsidRDefault="00631B16" w:rsidP="00F82A2A">
      <w:pPr>
        <w:pStyle w:val="TOC1"/>
        <w:rPr>
          <w:rFonts w:eastAsiaTheme="minorEastAsia"/>
          <w:szCs w:val="22"/>
        </w:rPr>
      </w:pPr>
      <w:hyperlink w:anchor="_Toc374527599" w:history="1">
        <w:r w:rsidR="00266509" w:rsidRPr="00F36B15">
          <w:rPr>
            <w:rStyle w:val="Hyperlink"/>
          </w:rPr>
          <w:t>4.</w:t>
        </w:r>
        <w:r w:rsidR="00266509">
          <w:rPr>
            <w:rFonts w:eastAsiaTheme="minorEastAsia"/>
            <w:szCs w:val="22"/>
          </w:rPr>
          <w:tab/>
        </w:r>
        <w:r w:rsidR="00266509" w:rsidRPr="00F36B15">
          <w:rPr>
            <w:rStyle w:val="Hyperlink"/>
          </w:rPr>
          <w:t>Planning for communities</w:t>
        </w:r>
        <w:r w:rsidR="00266509">
          <w:rPr>
            <w:webHidden/>
          </w:rPr>
          <w:tab/>
        </w:r>
        <w:r w:rsidR="009F388E">
          <w:rPr>
            <w:webHidden/>
          </w:rPr>
          <w:fldChar w:fldCharType="begin"/>
        </w:r>
        <w:r w:rsidR="00266509">
          <w:rPr>
            <w:webHidden/>
          </w:rPr>
          <w:instrText xml:space="preserve"> PAGEREF _Toc374527599 \h </w:instrText>
        </w:r>
        <w:r w:rsidR="009F388E">
          <w:rPr>
            <w:webHidden/>
          </w:rPr>
        </w:r>
        <w:r w:rsidR="009F388E">
          <w:rPr>
            <w:webHidden/>
          </w:rPr>
          <w:fldChar w:fldCharType="separate"/>
        </w:r>
        <w:r w:rsidR="00907B42">
          <w:rPr>
            <w:webHidden/>
          </w:rPr>
          <w:t>35</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00" w:history="1">
        <w:r w:rsidR="00266509" w:rsidRPr="00F36B15">
          <w:rPr>
            <w:rStyle w:val="Hyperlink"/>
          </w:rPr>
          <w:t>4.1</w:t>
        </w:r>
        <w:r w:rsidR="00266509">
          <w:rPr>
            <w:rFonts w:eastAsiaTheme="minorEastAsia" w:cstheme="minorBidi"/>
            <w:iCs w:val="0"/>
            <w:color w:val="auto"/>
            <w:sz w:val="22"/>
            <w:szCs w:val="22"/>
          </w:rPr>
          <w:tab/>
        </w:r>
        <w:r w:rsidR="00266509" w:rsidRPr="00F36B15">
          <w:rPr>
            <w:rStyle w:val="Hyperlink"/>
          </w:rPr>
          <w:t>Context</w:t>
        </w:r>
        <w:r w:rsidR="00266509">
          <w:rPr>
            <w:webHidden/>
          </w:rPr>
          <w:tab/>
        </w:r>
        <w:r w:rsidR="009F388E">
          <w:rPr>
            <w:webHidden/>
          </w:rPr>
          <w:fldChar w:fldCharType="begin"/>
        </w:r>
        <w:r w:rsidR="00266509">
          <w:rPr>
            <w:webHidden/>
          </w:rPr>
          <w:instrText xml:space="preserve"> PAGEREF _Toc374527600 \h </w:instrText>
        </w:r>
        <w:r w:rsidR="009F388E">
          <w:rPr>
            <w:webHidden/>
          </w:rPr>
        </w:r>
        <w:r w:rsidR="009F388E">
          <w:rPr>
            <w:webHidden/>
          </w:rPr>
          <w:fldChar w:fldCharType="separate"/>
        </w:r>
        <w:r w:rsidR="00907B42">
          <w:rPr>
            <w:webHidden/>
          </w:rPr>
          <w:t>35</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01" w:history="1">
        <w:r w:rsidR="00266509" w:rsidRPr="00F36B15">
          <w:rPr>
            <w:rStyle w:val="Hyperlink"/>
          </w:rPr>
          <w:t>4.2</w:t>
        </w:r>
        <w:r w:rsidR="00266509">
          <w:rPr>
            <w:rFonts w:eastAsiaTheme="minorEastAsia" w:cstheme="minorBidi"/>
            <w:iCs w:val="0"/>
            <w:color w:val="auto"/>
            <w:sz w:val="22"/>
            <w:szCs w:val="22"/>
          </w:rPr>
          <w:tab/>
        </w:r>
        <w:r w:rsidR="00266509" w:rsidRPr="00F36B15">
          <w:rPr>
            <w:rStyle w:val="Hyperlink"/>
          </w:rPr>
          <w:t>Demographic change</w:t>
        </w:r>
        <w:r w:rsidR="00266509">
          <w:rPr>
            <w:webHidden/>
          </w:rPr>
          <w:tab/>
        </w:r>
        <w:r w:rsidR="009F388E">
          <w:rPr>
            <w:webHidden/>
          </w:rPr>
          <w:fldChar w:fldCharType="begin"/>
        </w:r>
        <w:r w:rsidR="00266509">
          <w:rPr>
            <w:webHidden/>
          </w:rPr>
          <w:instrText xml:space="preserve"> PAGEREF _Toc374527601 \h </w:instrText>
        </w:r>
        <w:r w:rsidR="009F388E">
          <w:rPr>
            <w:webHidden/>
          </w:rPr>
        </w:r>
        <w:r w:rsidR="009F388E">
          <w:rPr>
            <w:webHidden/>
          </w:rPr>
          <w:fldChar w:fldCharType="separate"/>
        </w:r>
        <w:r w:rsidR="00907B42">
          <w:rPr>
            <w:webHidden/>
          </w:rPr>
          <w:t>37</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02" w:history="1">
        <w:r w:rsidR="00266509" w:rsidRPr="00F36B15">
          <w:rPr>
            <w:rStyle w:val="Hyperlink"/>
          </w:rPr>
          <w:t>4.3</w:t>
        </w:r>
        <w:r w:rsidR="00266509">
          <w:rPr>
            <w:rFonts w:eastAsiaTheme="minorEastAsia" w:cstheme="minorBidi"/>
            <w:iCs w:val="0"/>
            <w:color w:val="auto"/>
            <w:sz w:val="22"/>
            <w:szCs w:val="22"/>
          </w:rPr>
          <w:tab/>
        </w:r>
        <w:r w:rsidR="00266509" w:rsidRPr="00F36B15">
          <w:rPr>
            <w:rStyle w:val="Hyperlink"/>
          </w:rPr>
          <w:t>Resilient communities</w:t>
        </w:r>
        <w:r w:rsidR="00266509">
          <w:rPr>
            <w:webHidden/>
          </w:rPr>
          <w:tab/>
        </w:r>
        <w:r w:rsidR="009F388E">
          <w:rPr>
            <w:webHidden/>
          </w:rPr>
          <w:fldChar w:fldCharType="begin"/>
        </w:r>
        <w:r w:rsidR="00266509">
          <w:rPr>
            <w:webHidden/>
          </w:rPr>
          <w:instrText xml:space="preserve"> PAGEREF _Toc374527602 \h </w:instrText>
        </w:r>
        <w:r w:rsidR="009F388E">
          <w:rPr>
            <w:webHidden/>
          </w:rPr>
        </w:r>
        <w:r w:rsidR="009F388E">
          <w:rPr>
            <w:webHidden/>
          </w:rPr>
          <w:fldChar w:fldCharType="separate"/>
        </w:r>
        <w:r w:rsidR="00907B42">
          <w:rPr>
            <w:webHidden/>
          </w:rPr>
          <w:t>40</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03" w:history="1">
        <w:r w:rsidR="00266509" w:rsidRPr="00F36B15">
          <w:rPr>
            <w:rStyle w:val="Hyperlink"/>
          </w:rPr>
          <w:t>4.4</w:t>
        </w:r>
        <w:r w:rsidR="00266509">
          <w:rPr>
            <w:rFonts w:eastAsiaTheme="minorEastAsia" w:cstheme="minorBidi"/>
            <w:iCs w:val="0"/>
            <w:color w:val="auto"/>
            <w:sz w:val="22"/>
            <w:szCs w:val="22"/>
          </w:rPr>
          <w:tab/>
        </w:r>
        <w:r w:rsidR="00266509" w:rsidRPr="00F36B15">
          <w:rPr>
            <w:rStyle w:val="Hyperlink"/>
          </w:rPr>
          <w:t>Education and skills</w:t>
        </w:r>
        <w:r w:rsidR="00266509">
          <w:rPr>
            <w:webHidden/>
          </w:rPr>
          <w:tab/>
        </w:r>
        <w:r w:rsidR="009F388E">
          <w:rPr>
            <w:webHidden/>
          </w:rPr>
          <w:fldChar w:fldCharType="begin"/>
        </w:r>
        <w:r w:rsidR="00266509">
          <w:rPr>
            <w:webHidden/>
          </w:rPr>
          <w:instrText xml:space="preserve"> PAGEREF _Toc374527603 \h </w:instrText>
        </w:r>
        <w:r w:rsidR="009F388E">
          <w:rPr>
            <w:webHidden/>
          </w:rPr>
        </w:r>
        <w:r w:rsidR="009F388E">
          <w:rPr>
            <w:webHidden/>
          </w:rPr>
          <w:fldChar w:fldCharType="separate"/>
        </w:r>
        <w:r w:rsidR="00907B42">
          <w:rPr>
            <w:webHidden/>
          </w:rPr>
          <w:t>42</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04" w:history="1">
        <w:r w:rsidR="00266509" w:rsidRPr="00F36B15">
          <w:rPr>
            <w:rStyle w:val="Hyperlink"/>
          </w:rPr>
          <w:t>4.5</w:t>
        </w:r>
        <w:r w:rsidR="00266509">
          <w:rPr>
            <w:rFonts w:eastAsiaTheme="minorEastAsia" w:cstheme="minorBidi"/>
            <w:iCs w:val="0"/>
            <w:color w:val="auto"/>
            <w:sz w:val="22"/>
            <w:szCs w:val="22"/>
          </w:rPr>
          <w:tab/>
        </w:r>
        <w:r w:rsidR="00266509" w:rsidRPr="00F36B15">
          <w:rPr>
            <w:rStyle w:val="Hyperlink"/>
          </w:rPr>
          <w:t>Health and wellbeing</w:t>
        </w:r>
        <w:r w:rsidR="00266509">
          <w:rPr>
            <w:webHidden/>
          </w:rPr>
          <w:tab/>
        </w:r>
        <w:r w:rsidR="009F388E">
          <w:rPr>
            <w:webHidden/>
          </w:rPr>
          <w:fldChar w:fldCharType="begin"/>
        </w:r>
        <w:r w:rsidR="00266509">
          <w:rPr>
            <w:webHidden/>
          </w:rPr>
          <w:instrText xml:space="preserve"> PAGEREF _Toc374527604 \h </w:instrText>
        </w:r>
        <w:r w:rsidR="009F388E">
          <w:rPr>
            <w:webHidden/>
          </w:rPr>
        </w:r>
        <w:r w:rsidR="009F388E">
          <w:rPr>
            <w:webHidden/>
          </w:rPr>
          <w:fldChar w:fldCharType="separate"/>
        </w:r>
        <w:r w:rsidR="00907B42">
          <w:rPr>
            <w:webHidden/>
          </w:rPr>
          <w:t>46</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05" w:history="1">
        <w:r w:rsidR="00266509" w:rsidRPr="00F36B15">
          <w:rPr>
            <w:rStyle w:val="Hyperlink"/>
          </w:rPr>
          <w:t>4.6</w:t>
        </w:r>
        <w:r w:rsidR="00266509">
          <w:rPr>
            <w:rFonts w:eastAsiaTheme="minorEastAsia" w:cstheme="minorBidi"/>
            <w:iCs w:val="0"/>
            <w:color w:val="auto"/>
            <w:sz w:val="22"/>
            <w:szCs w:val="22"/>
          </w:rPr>
          <w:tab/>
        </w:r>
        <w:r w:rsidR="00266509" w:rsidRPr="00F36B15">
          <w:rPr>
            <w:rStyle w:val="Hyperlink"/>
          </w:rPr>
          <w:t>Cultural heritage</w:t>
        </w:r>
        <w:r w:rsidR="00266509">
          <w:rPr>
            <w:webHidden/>
          </w:rPr>
          <w:tab/>
        </w:r>
        <w:r w:rsidR="009F388E">
          <w:rPr>
            <w:webHidden/>
          </w:rPr>
          <w:fldChar w:fldCharType="begin"/>
        </w:r>
        <w:r w:rsidR="00266509">
          <w:rPr>
            <w:webHidden/>
          </w:rPr>
          <w:instrText xml:space="preserve"> PAGEREF _Toc374527605 \h </w:instrText>
        </w:r>
        <w:r w:rsidR="009F388E">
          <w:rPr>
            <w:webHidden/>
          </w:rPr>
        </w:r>
        <w:r w:rsidR="009F388E">
          <w:rPr>
            <w:webHidden/>
          </w:rPr>
          <w:fldChar w:fldCharType="separate"/>
        </w:r>
        <w:r w:rsidR="00907B42">
          <w:rPr>
            <w:webHidden/>
          </w:rPr>
          <w:t>50</w:t>
        </w:r>
        <w:r w:rsidR="009F388E">
          <w:rPr>
            <w:webHidden/>
          </w:rPr>
          <w:fldChar w:fldCharType="end"/>
        </w:r>
      </w:hyperlink>
    </w:p>
    <w:p w:rsidR="00266509" w:rsidRDefault="00631B16" w:rsidP="00F82A2A">
      <w:pPr>
        <w:pStyle w:val="TOC1"/>
        <w:rPr>
          <w:rFonts w:eastAsiaTheme="minorEastAsia"/>
          <w:szCs w:val="22"/>
        </w:rPr>
      </w:pPr>
      <w:hyperlink w:anchor="_Toc374527606" w:history="1">
        <w:r w:rsidR="00266509" w:rsidRPr="00F36B15">
          <w:rPr>
            <w:rStyle w:val="Hyperlink"/>
          </w:rPr>
          <w:t>5.</w:t>
        </w:r>
        <w:r w:rsidR="00266509">
          <w:rPr>
            <w:rFonts w:eastAsiaTheme="minorEastAsia"/>
            <w:szCs w:val="22"/>
          </w:rPr>
          <w:tab/>
        </w:r>
        <w:r w:rsidR="00266509" w:rsidRPr="00F36B15">
          <w:rPr>
            <w:rStyle w:val="Hyperlink"/>
          </w:rPr>
          <w:t>Economic prosperity</w:t>
        </w:r>
        <w:r w:rsidR="00266509">
          <w:rPr>
            <w:webHidden/>
          </w:rPr>
          <w:tab/>
        </w:r>
        <w:r w:rsidR="009F388E">
          <w:rPr>
            <w:webHidden/>
          </w:rPr>
          <w:fldChar w:fldCharType="begin"/>
        </w:r>
        <w:r w:rsidR="00266509">
          <w:rPr>
            <w:webHidden/>
          </w:rPr>
          <w:instrText xml:space="preserve"> PAGEREF _Toc374527606 \h </w:instrText>
        </w:r>
        <w:r w:rsidR="009F388E">
          <w:rPr>
            <w:webHidden/>
          </w:rPr>
        </w:r>
        <w:r w:rsidR="009F388E">
          <w:rPr>
            <w:webHidden/>
          </w:rPr>
          <w:fldChar w:fldCharType="separate"/>
        </w:r>
        <w:r w:rsidR="00907B42">
          <w:rPr>
            <w:webHidden/>
          </w:rPr>
          <w:t>53</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07" w:history="1">
        <w:r w:rsidR="00266509" w:rsidRPr="00F36B15">
          <w:rPr>
            <w:rStyle w:val="Hyperlink"/>
          </w:rPr>
          <w:t>5.1</w:t>
        </w:r>
        <w:r w:rsidR="00266509">
          <w:rPr>
            <w:rFonts w:eastAsiaTheme="minorEastAsia" w:cstheme="minorBidi"/>
            <w:iCs w:val="0"/>
            <w:color w:val="auto"/>
            <w:sz w:val="22"/>
            <w:szCs w:val="22"/>
          </w:rPr>
          <w:tab/>
        </w:r>
        <w:r w:rsidR="00266509" w:rsidRPr="00F36B15">
          <w:rPr>
            <w:rStyle w:val="Hyperlink"/>
          </w:rPr>
          <w:t>Context</w:t>
        </w:r>
        <w:r w:rsidR="00266509">
          <w:rPr>
            <w:webHidden/>
          </w:rPr>
          <w:tab/>
        </w:r>
        <w:r w:rsidR="009F388E">
          <w:rPr>
            <w:webHidden/>
          </w:rPr>
          <w:fldChar w:fldCharType="begin"/>
        </w:r>
        <w:r w:rsidR="00266509">
          <w:rPr>
            <w:webHidden/>
          </w:rPr>
          <w:instrText xml:space="preserve"> PAGEREF _Toc374527607 \h </w:instrText>
        </w:r>
        <w:r w:rsidR="009F388E">
          <w:rPr>
            <w:webHidden/>
          </w:rPr>
        </w:r>
        <w:r w:rsidR="009F388E">
          <w:rPr>
            <w:webHidden/>
          </w:rPr>
          <w:fldChar w:fldCharType="separate"/>
        </w:r>
        <w:r w:rsidR="00907B42">
          <w:rPr>
            <w:webHidden/>
          </w:rPr>
          <w:t>53</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08" w:history="1">
        <w:r w:rsidR="00266509" w:rsidRPr="00F36B15">
          <w:rPr>
            <w:rStyle w:val="Hyperlink"/>
          </w:rPr>
          <w:t>5.2</w:t>
        </w:r>
        <w:r w:rsidR="00266509">
          <w:rPr>
            <w:rFonts w:eastAsiaTheme="minorEastAsia" w:cstheme="minorBidi"/>
            <w:iCs w:val="0"/>
            <w:color w:val="auto"/>
            <w:sz w:val="22"/>
            <w:szCs w:val="22"/>
          </w:rPr>
          <w:tab/>
        </w:r>
        <w:r w:rsidR="00266509" w:rsidRPr="00F36B15">
          <w:rPr>
            <w:rStyle w:val="Hyperlink"/>
          </w:rPr>
          <w:t>Agriculture and earth resources</w:t>
        </w:r>
        <w:r w:rsidR="00266509">
          <w:rPr>
            <w:webHidden/>
          </w:rPr>
          <w:tab/>
        </w:r>
        <w:r w:rsidR="009F388E">
          <w:rPr>
            <w:webHidden/>
          </w:rPr>
          <w:fldChar w:fldCharType="begin"/>
        </w:r>
        <w:r w:rsidR="00266509">
          <w:rPr>
            <w:webHidden/>
          </w:rPr>
          <w:instrText xml:space="preserve"> PAGEREF _Toc374527608 \h </w:instrText>
        </w:r>
        <w:r w:rsidR="009F388E">
          <w:rPr>
            <w:webHidden/>
          </w:rPr>
        </w:r>
        <w:r w:rsidR="009F388E">
          <w:rPr>
            <w:webHidden/>
          </w:rPr>
          <w:fldChar w:fldCharType="separate"/>
        </w:r>
        <w:r w:rsidR="00907B42">
          <w:rPr>
            <w:webHidden/>
          </w:rPr>
          <w:t>55</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09" w:history="1">
        <w:r w:rsidR="00266509" w:rsidRPr="00F36B15">
          <w:rPr>
            <w:rStyle w:val="Hyperlink"/>
          </w:rPr>
          <w:t>5.3</w:t>
        </w:r>
        <w:r w:rsidR="00266509">
          <w:rPr>
            <w:rFonts w:eastAsiaTheme="minorEastAsia" w:cstheme="minorBidi"/>
            <w:iCs w:val="0"/>
            <w:color w:val="auto"/>
            <w:sz w:val="22"/>
            <w:szCs w:val="22"/>
          </w:rPr>
          <w:tab/>
        </w:r>
        <w:r w:rsidR="00266509" w:rsidRPr="00F36B15">
          <w:rPr>
            <w:rStyle w:val="Hyperlink"/>
          </w:rPr>
          <w:t>Commercial development and tourism</w:t>
        </w:r>
        <w:r w:rsidR="00266509">
          <w:rPr>
            <w:webHidden/>
          </w:rPr>
          <w:tab/>
        </w:r>
        <w:r w:rsidR="009F388E">
          <w:rPr>
            <w:webHidden/>
          </w:rPr>
          <w:fldChar w:fldCharType="begin"/>
        </w:r>
        <w:r w:rsidR="00266509">
          <w:rPr>
            <w:webHidden/>
          </w:rPr>
          <w:instrText xml:space="preserve"> PAGEREF _Toc374527609 \h </w:instrText>
        </w:r>
        <w:r w:rsidR="009F388E">
          <w:rPr>
            <w:webHidden/>
          </w:rPr>
        </w:r>
        <w:r w:rsidR="009F388E">
          <w:rPr>
            <w:webHidden/>
          </w:rPr>
          <w:fldChar w:fldCharType="separate"/>
        </w:r>
        <w:r w:rsidR="00907B42">
          <w:rPr>
            <w:webHidden/>
          </w:rPr>
          <w:t>65</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10" w:history="1">
        <w:r w:rsidR="00266509" w:rsidRPr="00F36B15">
          <w:rPr>
            <w:rStyle w:val="Hyperlink"/>
          </w:rPr>
          <w:t>5.4</w:t>
        </w:r>
        <w:r w:rsidR="00266509">
          <w:rPr>
            <w:rFonts w:eastAsiaTheme="minorEastAsia" w:cstheme="minorBidi"/>
            <w:iCs w:val="0"/>
            <w:color w:val="auto"/>
            <w:sz w:val="22"/>
            <w:szCs w:val="22"/>
          </w:rPr>
          <w:tab/>
        </w:r>
        <w:r w:rsidR="00266509" w:rsidRPr="00F36B15">
          <w:rPr>
            <w:rStyle w:val="Hyperlink"/>
          </w:rPr>
          <w:t>Diversification of the regional economy</w:t>
        </w:r>
        <w:r w:rsidR="00266509">
          <w:rPr>
            <w:webHidden/>
          </w:rPr>
          <w:tab/>
        </w:r>
        <w:r w:rsidR="009F388E">
          <w:rPr>
            <w:webHidden/>
          </w:rPr>
          <w:fldChar w:fldCharType="begin"/>
        </w:r>
        <w:r w:rsidR="00266509">
          <w:rPr>
            <w:webHidden/>
          </w:rPr>
          <w:instrText xml:space="preserve"> PAGEREF _Toc374527610 \h </w:instrText>
        </w:r>
        <w:r w:rsidR="009F388E">
          <w:rPr>
            <w:webHidden/>
          </w:rPr>
        </w:r>
        <w:r w:rsidR="009F388E">
          <w:rPr>
            <w:webHidden/>
          </w:rPr>
          <w:fldChar w:fldCharType="separate"/>
        </w:r>
        <w:r w:rsidR="00907B42">
          <w:rPr>
            <w:webHidden/>
          </w:rPr>
          <w:t>66</w:t>
        </w:r>
        <w:r w:rsidR="009F388E">
          <w:rPr>
            <w:webHidden/>
          </w:rPr>
          <w:fldChar w:fldCharType="end"/>
        </w:r>
      </w:hyperlink>
    </w:p>
    <w:p w:rsidR="00266509" w:rsidRDefault="00631B16" w:rsidP="00F82A2A">
      <w:pPr>
        <w:pStyle w:val="TOC1"/>
        <w:rPr>
          <w:rFonts w:eastAsiaTheme="minorEastAsia"/>
          <w:szCs w:val="22"/>
        </w:rPr>
      </w:pPr>
      <w:hyperlink w:anchor="_Toc374527611" w:history="1">
        <w:r w:rsidR="00266509" w:rsidRPr="00F36B15">
          <w:rPr>
            <w:rStyle w:val="Hyperlink"/>
          </w:rPr>
          <w:t>6.</w:t>
        </w:r>
        <w:r w:rsidR="00266509">
          <w:rPr>
            <w:rFonts w:eastAsiaTheme="minorEastAsia"/>
            <w:szCs w:val="22"/>
          </w:rPr>
          <w:tab/>
        </w:r>
        <w:r w:rsidR="00266509" w:rsidRPr="00F36B15">
          <w:rPr>
            <w:rStyle w:val="Hyperlink"/>
          </w:rPr>
          <w:t>Transport and infrastructure</w:t>
        </w:r>
        <w:r w:rsidR="00266509">
          <w:rPr>
            <w:webHidden/>
          </w:rPr>
          <w:tab/>
        </w:r>
        <w:r w:rsidR="009F388E">
          <w:rPr>
            <w:webHidden/>
          </w:rPr>
          <w:fldChar w:fldCharType="begin"/>
        </w:r>
        <w:r w:rsidR="00266509">
          <w:rPr>
            <w:webHidden/>
          </w:rPr>
          <w:instrText xml:space="preserve"> PAGEREF _Toc374527611 \h </w:instrText>
        </w:r>
        <w:r w:rsidR="009F388E">
          <w:rPr>
            <w:webHidden/>
          </w:rPr>
        </w:r>
        <w:r w:rsidR="009F388E">
          <w:rPr>
            <w:webHidden/>
          </w:rPr>
          <w:fldChar w:fldCharType="separate"/>
        </w:r>
        <w:r w:rsidR="00907B42">
          <w:rPr>
            <w:webHidden/>
          </w:rPr>
          <w:t>74</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12" w:history="1">
        <w:r w:rsidR="00266509" w:rsidRPr="00F36B15">
          <w:rPr>
            <w:rStyle w:val="Hyperlink"/>
          </w:rPr>
          <w:t>6.1</w:t>
        </w:r>
        <w:r w:rsidR="00266509">
          <w:rPr>
            <w:rFonts w:eastAsiaTheme="minorEastAsia" w:cstheme="minorBidi"/>
            <w:iCs w:val="0"/>
            <w:color w:val="auto"/>
            <w:sz w:val="22"/>
            <w:szCs w:val="22"/>
          </w:rPr>
          <w:tab/>
        </w:r>
        <w:r w:rsidR="00266509" w:rsidRPr="00F36B15">
          <w:rPr>
            <w:rStyle w:val="Hyperlink"/>
          </w:rPr>
          <w:t>Context</w:t>
        </w:r>
        <w:r w:rsidR="00266509">
          <w:rPr>
            <w:webHidden/>
          </w:rPr>
          <w:tab/>
        </w:r>
        <w:r w:rsidR="009F388E">
          <w:rPr>
            <w:webHidden/>
          </w:rPr>
          <w:fldChar w:fldCharType="begin"/>
        </w:r>
        <w:r w:rsidR="00266509">
          <w:rPr>
            <w:webHidden/>
          </w:rPr>
          <w:instrText xml:space="preserve"> PAGEREF _Toc374527612 \h </w:instrText>
        </w:r>
        <w:r w:rsidR="009F388E">
          <w:rPr>
            <w:webHidden/>
          </w:rPr>
        </w:r>
        <w:r w:rsidR="009F388E">
          <w:rPr>
            <w:webHidden/>
          </w:rPr>
          <w:fldChar w:fldCharType="separate"/>
        </w:r>
        <w:r w:rsidR="00907B42">
          <w:rPr>
            <w:webHidden/>
          </w:rPr>
          <w:t>74</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13" w:history="1">
        <w:r w:rsidR="00266509" w:rsidRPr="00F36B15">
          <w:rPr>
            <w:rStyle w:val="Hyperlink"/>
          </w:rPr>
          <w:t>6.2</w:t>
        </w:r>
        <w:r w:rsidR="00266509">
          <w:rPr>
            <w:rFonts w:eastAsiaTheme="minorEastAsia" w:cstheme="minorBidi"/>
            <w:iCs w:val="0"/>
            <w:color w:val="auto"/>
            <w:sz w:val="22"/>
            <w:szCs w:val="22"/>
          </w:rPr>
          <w:tab/>
        </w:r>
        <w:r w:rsidR="00266509" w:rsidRPr="00F36B15">
          <w:rPr>
            <w:rStyle w:val="Hyperlink"/>
          </w:rPr>
          <w:t>Regional transport links</w:t>
        </w:r>
        <w:r w:rsidR="00266509">
          <w:rPr>
            <w:webHidden/>
          </w:rPr>
          <w:tab/>
        </w:r>
        <w:r w:rsidR="009F388E">
          <w:rPr>
            <w:webHidden/>
          </w:rPr>
          <w:fldChar w:fldCharType="begin"/>
        </w:r>
        <w:r w:rsidR="00266509">
          <w:rPr>
            <w:webHidden/>
          </w:rPr>
          <w:instrText xml:space="preserve"> PAGEREF _Toc374527613 \h </w:instrText>
        </w:r>
        <w:r w:rsidR="009F388E">
          <w:rPr>
            <w:webHidden/>
          </w:rPr>
        </w:r>
        <w:r w:rsidR="009F388E">
          <w:rPr>
            <w:webHidden/>
          </w:rPr>
          <w:fldChar w:fldCharType="separate"/>
        </w:r>
        <w:r w:rsidR="00907B42">
          <w:rPr>
            <w:webHidden/>
          </w:rPr>
          <w:t>75</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14" w:history="1">
        <w:r w:rsidR="00266509" w:rsidRPr="00F36B15">
          <w:rPr>
            <w:rStyle w:val="Hyperlink"/>
          </w:rPr>
          <w:t>6.3</w:t>
        </w:r>
        <w:r w:rsidR="00266509">
          <w:rPr>
            <w:rFonts w:eastAsiaTheme="minorEastAsia" w:cstheme="minorBidi"/>
            <w:iCs w:val="0"/>
            <w:color w:val="auto"/>
            <w:sz w:val="22"/>
            <w:szCs w:val="22"/>
          </w:rPr>
          <w:tab/>
        </w:r>
        <w:r w:rsidR="00266509" w:rsidRPr="00F36B15">
          <w:rPr>
            <w:rStyle w:val="Hyperlink"/>
          </w:rPr>
          <w:t>Freight transport</w:t>
        </w:r>
        <w:r w:rsidR="00266509">
          <w:rPr>
            <w:webHidden/>
          </w:rPr>
          <w:tab/>
        </w:r>
        <w:r w:rsidR="009F388E">
          <w:rPr>
            <w:webHidden/>
          </w:rPr>
          <w:fldChar w:fldCharType="begin"/>
        </w:r>
        <w:r w:rsidR="00266509">
          <w:rPr>
            <w:webHidden/>
          </w:rPr>
          <w:instrText xml:space="preserve"> PAGEREF _Toc374527614 \h </w:instrText>
        </w:r>
        <w:r w:rsidR="009F388E">
          <w:rPr>
            <w:webHidden/>
          </w:rPr>
        </w:r>
        <w:r w:rsidR="009F388E">
          <w:rPr>
            <w:webHidden/>
          </w:rPr>
          <w:fldChar w:fldCharType="separate"/>
        </w:r>
        <w:r w:rsidR="00907B42">
          <w:rPr>
            <w:webHidden/>
          </w:rPr>
          <w:t>88</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15" w:history="1">
        <w:r w:rsidR="00266509" w:rsidRPr="00F36B15">
          <w:rPr>
            <w:rStyle w:val="Hyperlink"/>
          </w:rPr>
          <w:t>6.4</w:t>
        </w:r>
        <w:r w:rsidR="00266509">
          <w:rPr>
            <w:rFonts w:eastAsiaTheme="minorEastAsia" w:cstheme="minorBidi"/>
            <w:iCs w:val="0"/>
            <w:color w:val="auto"/>
            <w:sz w:val="22"/>
            <w:szCs w:val="22"/>
          </w:rPr>
          <w:tab/>
        </w:r>
        <w:r w:rsidR="00266509" w:rsidRPr="00F36B15">
          <w:rPr>
            <w:rStyle w:val="Hyperlink"/>
          </w:rPr>
          <w:t>Services and infrastructure</w:t>
        </w:r>
        <w:r w:rsidR="00266509">
          <w:rPr>
            <w:webHidden/>
          </w:rPr>
          <w:tab/>
        </w:r>
        <w:r w:rsidR="009F388E">
          <w:rPr>
            <w:webHidden/>
          </w:rPr>
          <w:fldChar w:fldCharType="begin"/>
        </w:r>
        <w:r w:rsidR="00266509">
          <w:rPr>
            <w:webHidden/>
          </w:rPr>
          <w:instrText xml:space="preserve"> PAGEREF _Toc374527615 \h </w:instrText>
        </w:r>
        <w:r w:rsidR="009F388E">
          <w:rPr>
            <w:webHidden/>
          </w:rPr>
        </w:r>
        <w:r w:rsidR="009F388E">
          <w:rPr>
            <w:webHidden/>
          </w:rPr>
          <w:fldChar w:fldCharType="separate"/>
        </w:r>
        <w:r w:rsidR="00907B42">
          <w:rPr>
            <w:webHidden/>
          </w:rPr>
          <w:t>92</w:t>
        </w:r>
        <w:r w:rsidR="009F388E">
          <w:rPr>
            <w:webHidden/>
          </w:rPr>
          <w:fldChar w:fldCharType="end"/>
        </w:r>
      </w:hyperlink>
    </w:p>
    <w:p w:rsidR="00266509" w:rsidRDefault="00631B16" w:rsidP="00F82A2A">
      <w:pPr>
        <w:pStyle w:val="TOC1"/>
        <w:rPr>
          <w:rFonts w:eastAsiaTheme="minorEastAsia"/>
          <w:szCs w:val="22"/>
        </w:rPr>
      </w:pPr>
      <w:hyperlink w:anchor="_Toc374527616" w:history="1">
        <w:r w:rsidR="00266509" w:rsidRPr="00F36B15">
          <w:rPr>
            <w:rStyle w:val="Hyperlink"/>
          </w:rPr>
          <w:t>7.</w:t>
        </w:r>
        <w:r w:rsidR="00266509">
          <w:rPr>
            <w:rFonts w:eastAsiaTheme="minorEastAsia"/>
            <w:szCs w:val="22"/>
          </w:rPr>
          <w:tab/>
        </w:r>
        <w:r w:rsidR="00266509" w:rsidRPr="00F36B15">
          <w:rPr>
            <w:rStyle w:val="Hyperlink"/>
          </w:rPr>
          <w:t>Environment</w:t>
        </w:r>
        <w:r w:rsidR="00266509">
          <w:rPr>
            <w:webHidden/>
          </w:rPr>
          <w:tab/>
        </w:r>
        <w:r w:rsidR="009F388E">
          <w:rPr>
            <w:webHidden/>
          </w:rPr>
          <w:fldChar w:fldCharType="begin"/>
        </w:r>
        <w:r w:rsidR="00266509">
          <w:rPr>
            <w:webHidden/>
          </w:rPr>
          <w:instrText xml:space="preserve"> PAGEREF _Toc374527616 \h </w:instrText>
        </w:r>
        <w:r w:rsidR="009F388E">
          <w:rPr>
            <w:webHidden/>
          </w:rPr>
        </w:r>
        <w:r w:rsidR="009F388E">
          <w:rPr>
            <w:webHidden/>
          </w:rPr>
          <w:fldChar w:fldCharType="separate"/>
        </w:r>
        <w:r w:rsidR="00907B42">
          <w:rPr>
            <w:webHidden/>
          </w:rPr>
          <w:t>97</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17" w:history="1">
        <w:r w:rsidR="00266509" w:rsidRPr="00F36B15">
          <w:rPr>
            <w:rStyle w:val="Hyperlink"/>
          </w:rPr>
          <w:t>7.1</w:t>
        </w:r>
        <w:r w:rsidR="00266509">
          <w:rPr>
            <w:rFonts w:eastAsiaTheme="minorEastAsia" w:cstheme="minorBidi"/>
            <w:iCs w:val="0"/>
            <w:color w:val="auto"/>
            <w:sz w:val="22"/>
            <w:szCs w:val="22"/>
          </w:rPr>
          <w:tab/>
        </w:r>
        <w:r w:rsidR="00266509" w:rsidRPr="00F36B15">
          <w:rPr>
            <w:rStyle w:val="Hyperlink"/>
          </w:rPr>
          <w:t>Context</w:t>
        </w:r>
        <w:r w:rsidR="00266509">
          <w:rPr>
            <w:webHidden/>
          </w:rPr>
          <w:tab/>
        </w:r>
        <w:r w:rsidR="009F388E">
          <w:rPr>
            <w:webHidden/>
          </w:rPr>
          <w:fldChar w:fldCharType="begin"/>
        </w:r>
        <w:r w:rsidR="00266509">
          <w:rPr>
            <w:webHidden/>
          </w:rPr>
          <w:instrText xml:space="preserve"> PAGEREF _Toc374527617 \h </w:instrText>
        </w:r>
        <w:r w:rsidR="009F388E">
          <w:rPr>
            <w:webHidden/>
          </w:rPr>
        </w:r>
        <w:r w:rsidR="009F388E">
          <w:rPr>
            <w:webHidden/>
          </w:rPr>
          <w:fldChar w:fldCharType="separate"/>
        </w:r>
        <w:r w:rsidR="00907B42">
          <w:rPr>
            <w:webHidden/>
          </w:rPr>
          <w:t>97</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18" w:history="1">
        <w:r w:rsidR="00266509" w:rsidRPr="00F36B15">
          <w:rPr>
            <w:rStyle w:val="Hyperlink"/>
          </w:rPr>
          <w:t>7.2</w:t>
        </w:r>
        <w:r w:rsidR="00266509">
          <w:rPr>
            <w:rFonts w:eastAsiaTheme="minorEastAsia" w:cstheme="minorBidi"/>
            <w:iCs w:val="0"/>
            <w:color w:val="auto"/>
            <w:sz w:val="22"/>
            <w:szCs w:val="22"/>
          </w:rPr>
          <w:tab/>
        </w:r>
        <w:r w:rsidR="00266509" w:rsidRPr="00F36B15">
          <w:rPr>
            <w:rStyle w:val="Hyperlink"/>
          </w:rPr>
          <w:t>Natural environment</w:t>
        </w:r>
        <w:r w:rsidR="00266509">
          <w:rPr>
            <w:webHidden/>
          </w:rPr>
          <w:tab/>
        </w:r>
        <w:r w:rsidR="009F388E">
          <w:rPr>
            <w:webHidden/>
          </w:rPr>
          <w:fldChar w:fldCharType="begin"/>
        </w:r>
        <w:r w:rsidR="00266509">
          <w:rPr>
            <w:webHidden/>
          </w:rPr>
          <w:instrText xml:space="preserve"> PAGEREF _Toc374527618 \h </w:instrText>
        </w:r>
        <w:r w:rsidR="009F388E">
          <w:rPr>
            <w:webHidden/>
          </w:rPr>
        </w:r>
        <w:r w:rsidR="009F388E">
          <w:rPr>
            <w:webHidden/>
          </w:rPr>
          <w:fldChar w:fldCharType="separate"/>
        </w:r>
        <w:r w:rsidR="00907B42">
          <w:rPr>
            <w:webHidden/>
          </w:rPr>
          <w:t>99</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19" w:history="1">
        <w:r w:rsidR="00266509" w:rsidRPr="00F36B15">
          <w:rPr>
            <w:rStyle w:val="Hyperlink"/>
          </w:rPr>
          <w:t>7.3</w:t>
        </w:r>
        <w:r w:rsidR="00266509">
          <w:rPr>
            <w:rFonts w:eastAsiaTheme="minorEastAsia" w:cstheme="minorBidi"/>
            <w:iCs w:val="0"/>
            <w:color w:val="auto"/>
            <w:sz w:val="22"/>
            <w:szCs w:val="22"/>
          </w:rPr>
          <w:tab/>
        </w:r>
        <w:r w:rsidR="00266509" w:rsidRPr="00F36B15">
          <w:rPr>
            <w:rStyle w:val="Hyperlink"/>
          </w:rPr>
          <w:t>Water catchments</w:t>
        </w:r>
        <w:r w:rsidR="00266509">
          <w:rPr>
            <w:webHidden/>
          </w:rPr>
          <w:tab/>
        </w:r>
        <w:r w:rsidR="009F388E">
          <w:rPr>
            <w:webHidden/>
          </w:rPr>
          <w:fldChar w:fldCharType="begin"/>
        </w:r>
        <w:r w:rsidR="00266509">
          <w:rPr>
            <w:webHidden/>
          </w:rPr>
          <w:instrText xml:space="preserve"> PAGEREF _Toc374527619 \h </w:instrText>
        </w:r>
        <w:r w:rsidR="009F388E">
          <w:rPr>
            <w:webHidden/>
          </w:rPr>
        </w:r>
        <w:r w:rsidR="009F388E">
          <w:rPr>
            <w:webHidden/>
          </w:rPr>
          <w:fldChar w:fldCharType="separate"/>
        </w:r>
        <w:r w:rsidR="00907B42">
          <w:rPr>
            <w:webHidden/>
          </w:rPr>
          <w:t>104</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20" w:history="1">
        <w:r w:rsidR="00266509" w:rsidRPr="00F36B15">
          <w:rPr>
            <w:rStyle w:val="Hyperlink"/>
          </w:rPr>
          <w:t>7.4</w:t>
        </w:r>
        <w:r w:rsidR="00266509">
          <w:rPr>
            <w:rFonts w:eastAsiaTheme="minorEastAsia" w:cstheme="minorBidi"/>
            <w:iCs w:val="0"/>
            <w:color w:val="auto"/>
            <w:sz w:val="22"/>
            <w:szCs w:val="22"/>
          </w:rPr>
          <w:tab/>
        </w:r>
        <w:r w:rsidR="00266509" w:rsidRPr="00F36B15">
          <w:rPr>
            <w:rStyle w:val="Hyperlink"/>
          </w:rPr>
          <w:t>Natural hazards and risks</w:t>
        </w:r>
        <w:r w:rsidR="00266509">
          <w:rPr>
            <w:webHidden/>
          </w:rPr>
          <w:tab/>
        </w:r>
        <w:r w:rsidR="009F388E">
          <w:rPr>
            <w:webHidden/>
          </w:rPr>
          <w:fldChar w:fldCharType="begin"/>
        </w:r>
        <w:r w:rsidR="00266509">
          <w:rPr>
            <w:webHidden/>
          </w:rPr>
          <w:instrText xml:space="preserve"> PAGEREF _Toc374527620 \h </w:instrText>
        </w:r>
        <w:r w:rsidR="009F388E">
          <w:rPr>
            <w:webHidden/>
          </w:rPr>
        </w:r>
        <w:r w:rsidR="009F388E">
          <w:rPr>
            <w:webHidden/>
          </w:rPr>
          <w:fldChar w:fldCharType="separate"/>
        </w:r>
        <w:r w:rsidR="00907B42">
          <w:rPr>
            <w:webHidden/>
          </w:rPr>
          <w:t>106</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21" w:history="1">
        <w:r w:rsidR="00266509" w:rsidRPr="00F36B15">
          <w:rPr>
            <w:rStyle w:val="Hyperlink"/>
          </w:rPr>
          <w:t>7.5</w:t>
        </w:r>
        <w:r w:rsidR="00266509">
          <w:rPr>
            <w:rFonts w:eastAsiaTheme="minorEastAsia" w:cstheme="minorBidi"/>
            <w:iCs w:val="0"/>
            <w:color w:val="auto"/>
            <w:sz w:val="22"/>
            <w:szCs w:val="22"/>
          </w:rPr>
          <w:tab/>
        </w:r>
        <w:r w:rsidR="00266509" w:rsidRPr="00F36B15">
          <w:rPr>
            <w:rStyle w:val="Hyperlink"/>
          </w:rPr>
          <w:t>Landscape protection</w:t>
        </w:r>
        <w:r w:rsidR="00266509">
          <w:rPr>
            <w:webHidden/>
          </w:rPr>
          <w:tab/>
        </w:r>
        <w:r w:rsidR="009F388E">
          <w:rPr>
            <w:webHidden/>
          </w:rPr>
          <w:fldChar w:fldCharType="begin"/>
        </w:r>
        <w:r w:rsidR="00266509">
          <w:rPr>
            <w:webHidden/>
          </w:rPr>
          <w:instrText xml:space="preserve"> PAGEREF _Toc374527621 \h </w:instrText>
        </w:r>
        <w:r w:rsidR="009F388E">
          <w:rPr>
            <w:webHidden/>
          </w:rPr>
        </w:r>
        <w:r w:rsidR="009F388E">
          <w:rPr>
            <w:webHidden/>
          </w:rPr>
          <w:fldChar w:fldCharType="separate"/>
        </w:r>
        <w:r w:rsidR="00907B42">
          <w:rPr>
            <w:webHidden/>
          </w:rPr>
          <w:t>112</w:t>
        </w:r>
        <w:r w:rsidR="009F388E">
          <w:rPr>
            <w:webHidden/>
          </w:rPr>
          <w:fldChar w:fldCharType="end"/>
        </w:r>
      </w:hyperlink>
    </w:p>
    <w:p w:rsidR="00266509" w:rsidRDefault="00631B16" w:rsidP="00F82A2A">
      <w:pPr>
        <w:pStyle w:val="TOC1"/>
        <w:rPr>
          <w:rFonts w:eastAsiaTheme="minorEastAsia"/>
          <w:szCs w:val="22"/>
        </w:rPr>
      </w:pPr>
      <w:hyperlink w:anchor="_Toc374527622" w:history="1">
        <w:r w:rsidR="00266509" w:rsidRPr="00F36B15">
          <w:rPr>
            <w:rStyle w:val="Hyperlink"/>
          </w:rPr>
          <w:t>8.</w:t>
        </w:r>
        <w:r w:rsidR="00266509">
          <w:rPr>
            <w:rFonts w:eastAsiaTheme="minorEastAsia"/>
            <w:szCs w:val="22"/>
          </w:rPr>
          <w:tab/>
        </w:r>
        <w:r w:rsidR="00266509" w:rsidRPr="00F36B15">
          <w:rPr>
            <w:rStyle w:val="Hyperlink"/>
          </w:rPr>
          <w:t>Cross regional issues</w:t>
        </w:r>
        <w:r w:rsidR="00266509">
          <w:rPr>
            <w:webHidden/>
          </w:rPr>
          <w:tab/>
        </w:r>
        <w:r w:rsidR="009F388E">
          <w:rPr>
            <w:webHidden/>
          </w:rPr>
          <w:fldChar w:fldCharType="begin"/>
        </w:r>
        <w:r w:rsidR="00266509">
          <w:rPr>
            <w:webHidden/>
          </w:rPr>
          <w:instrText xml:space="preserve"> PAGEREF _Toc374527622 \h </w:instrText>
        </w:r>
        <w:r w:rsidR="009F388E">
          <w:rPr>
            <w:webHidden/>
          </w:rPr>
        </w:r>
        <w:r w:rsidR="009F388E">
          <w:rPr>
            <w:webHidden/>
          </w:rPr>
          <w:fldChar w:fldCharType="separate"/>
        </w:r>
        <w:r w:rsidR="00907B42">
          <w:rPr>
            <w:webHidden/>
          </w:rPr>
          <w:t>116</w:t>
        </w:r>
        <w:r w:rsidR="009F388E">
          <w:rPr>
            <w:webHidden/>
          </w:rPr>
          <w:fldChar w:fldCharType="end"/>
        </w:r>
      </w:hyperlink>
    </w:p>
    <w:p w:rsidR="00266509" w:rsidRDefault="00631B16">
      <w:pPr>
        <w:pStyle w:val="TOC2"/>
        <w:rPr>
          <w:rFonts w:eastAsiaTheme="minorEastAsia" w:cstheme="minorBidi"/>
          <w:iCs w:val="0"/>
          <w:color w:val="auto"/>
          <w:sz w:val="22"/>
          <w:szCs w:val="22"/>
        </w:rPr>
      </w:pPr>
      <w:hyperlink w:anchor="_Toc374527623" w:history="1">
        <w:r w:rsidR="00266509" w:rsidRPr="00F36B15">
          <w:rPr>
            <w:rStyle w:val="Hyperlink"/>
          </w:rPr>
          <w:t>8.1</w:t>
        </w:r>
        <w:r w:rsidR="00266509">
          <w:rPr>
            <w:rFonts w:eastAsiaTheme="minorEastAsia" w:cstheme="minorBidi"/>
            <w:iCs w:val="0"/>
            <w:color w:val="auto"/>
            <w:sz w:val="22"/>
            <w:szCs w:val="22"/>
          </w:rPr>
          <w:tab/>
        </w:r>
        <w:r w:rsidR="00266509" w:rsidRPr="00F36B15">
          <w:rPr>
            <w:rStyle w:val="Hyperlink"/>
          </w:rPr>
          <w:t>Context</w:t>
        </w:r>
        <w:r w:rsidR="00266509">
          <w:rPr>
            <w:webHidden/>
          </w:rPr>
          <w:tab/>
        </w:r>
        <w:r w:rsidR="009F388E">
          <w:rPr>
            <w:webHidden/>
          </w:rPr>
          <w:fldChar w:fldCharType="begin"/>
        </w:r>
        <w:r w:rsidR="00266509">
          <w:rPr>
            <w:webHidden/>
          </w:rPr>
          <w:instrText xml:space="preserve"> PAGEREF _Toc374527623 \h </w:instrText>
        </w:r>
        <w:r w:rsidR="009F388E">
          <w:rPr>
            <w:webHidden/>
          </w:rPr>
        </w:r>
        <w:r w:rsidR="009F388E">
          <w:rPr>
            <w:webHidden/>
          </w:rPr>
          <w:fldChar w:fldCharType="separate"/>
        </w:r>
        <w:r w:rsidR="00907B42">
          <w:rPr>
            <w:webHidden/>
          </w:rPr>
          <w:t>116</w:t>
        </w:r>
        <w:r w:rsidR="009F388E">
          <w:rPr>
            <w:webHidden/>
          </w:rPr>
          <w:fldChar w:fldCharType="end"/>
        </w:r>
      </w:hyperlink>
    </w:p>
    <w:p w:rsidR="00266509" w:rsidRDefault="00631B16" w:rsidP="00F82A2A">
      <w:pPr>
        <w:pStyle w:val="TOC1"/>
        <w:rPr>
          <w:rFonts w:eastAsiaTheme="minorEastAsia"/>
          <w:szCs w:val="22"/>
        </w:rPr>
      </w:pPr>
      <w:hyperlink w:anchor="_Toc374527624" w:history="1">
        <w:r w:rsidR="00266509" w:rsidRPr="00F36B15">
          <w:rPr>
            <w:rStyle w:val="Hyperlink"/>
          </w:rPr>
          <w:t>References</w:t>
        </w:r>
        <w:r w:rsidR="00266509">
          <w:rPr>
            <w:webHidden/>
          </w:rPr>
          <w:tab/>
        </w:r>
        <w:r w:rsidR="009F388E">
          <w:rPr>
            <w:webHidden/>
          </w:rPr>
          <w:fldChar w:fldCharType="begin"/>
        </w:r>
        <w:r w:rsidR="00266509">
          <w:rPr>
            <w:webHidden/>
          </w:rPr>
          <w:instrText xml:space="preserve"> PAGEREF _Toc374527624 \h </w:instrText>
        </w:r>
        <w:r w:rsidR="009F388E">
          <w:rPr>
            <w:webHidden/>
          </w:rPr>
        </w:r>
        <w:r w:rsidR="009F388E">
          <w:rPr>
            <w:webHidden/>
          </w:rPr>
          <w:fldChar w:fldCharType="separate"/>
        </w:r>
        <w:r w:rsidR="00907B42">
          <w:rPr>
            <w:webHidden/>
          </w:rPr>
          <w:t>117</w:t>
        </w:r>
        <w:r w:rsidR="009F388E">
          <w:rPr>
            <w:webHidden/>
          </w:rPr>
          <w:fldChar w:fldCharType="end"/>
        </w:r>
      </w:hyperlink>
    </w:p>
    <w:p w:rsidR="00266509" w:rsidRDefault="00631B16" w:rsidP="00F82A2A">
      <w:pPr>
        <w:pStyle w:val="TOC1"/>
        <w:rPr>
          <w:rStyle w:val="Hyperlink"/>
        </w:rPr>
      </w:pPr>
      <w:hyperlink w:anchor="_Toc374527625" w:history="1">
        <w:r w:rsidR="00266509" w:rsidRPr="00F36B15">
          <w:rPr>
            <w:rStyle w:val="Hyperlink"/>
          </w:rPr>
          <w:t>Appendix 1: Network of settlements table</w:t>
        </w:r>
        <w:r w:rsidR="00266509">
          <w:rPr>
            <w:webHidden/>
          </w:rPr>
          <w:tab/>
        </w:r>
        <w:r w:rsidR="009F388E">
          <w:rPr>
            <w:webHidden/>
          </w:rPr>
          <w:fldChar w:fldCharType="begin"/>
        </w:r>
        <w:r w:rsidR="00266509">
          <w:rPr>
            <w:webHidden/>
          </w:rPr>
          <w:instrText xml:space="preserve"> PAGEREF _Toc374527625 \h </w:instrText>
        </w:r>
        <w:r w:rsidR="009F388E">
          <w:rPr>
            <w:webHidden/>
          </w:rPr>
        </w:r>
        <w:r w:rsidR="009F388E">
          <w:rPr>
            <w:webHidden/>
          </w:rPr>
          <w:fldChar w:fldCharType="separate"/>
        </w:r>
        <w:r w:rsidR="00907B42">
          <w:rPr>
            <w:webHidden/>
          </w:rPr>
          <w:t>120</w:t>
        </w:r>
        <w:r w:rsidR="009F388E">
          <w:rPr>
            <w:webHidden/>
          </w:rPr>
          <w:fldChar w:fldCharType="end"/>
        </w:r>
      </w:hyperlink>
    </w:p>
    <w:p w:rsidR="00266509" w:rsidRDefault="00266509" w:rsidP="00266509">
      <w:pPr>
        <w:rPr>
          <w:rStyle w:val="Hyperlink"/>
          <w:rFonts w:asciiTheme="minorHAnsi" w:hAnsiTheme="minorHAnsi"/>
          <w:bCs/>
          <w:noProof/>
          <w:sz w:val="22"/>
          <w:szCs w:val="20"/>
        </w:rPr>
      </w:pPr>
      <w:r>
        <w:rPr>
          <w:rStyle w:val="Hyperlink"/>
          <w:noProof/>
        </w:rPr>
        <w:br w:type="page"/>
      </w:r>
    </w:p>
    <w:p w:rsidR="006D094F" w:rsidRPr="00890B20" w:rsidRDefault="009F388E" w:rsidP="00F82A2A">
      <w:pPr>
        <w:pStyle w:val="TableofContents-heading"/>
      </w:pPr>
      <w:r>
        <w:rPr>
          <w:rStyle w:val="Hyperlink"/>
          <w:rFonts w:cs="Tahoma"/>
          <w:sz w:val="28"/>
        </w:rPr>
        <w:lastRenderedPageBreak/>
        <w:fldChar w:fldCharType="end"/>
      </w:r>
      <w:r w:rsidR="005B01F7" w:rsidRPr="00890B20">
        <w:t>Figures</w:t>
      </w:r>
      <w:r w:rsidR="00DE2CDE">
        <w:t>:</w:t>
      </w:r>
    </w:p>
    <w:p w:rsidR="0060344D" w:rsidRDefault="009F388E">
      <w:pPr>
        <w:pStyle w:val="TableofFigures"/>
        <w:rPr>
          <w:rFonts w:eastAsiaTheme="minorEastAsia" w:cstheme="minorBidi"/>
          <w:noProof/>
          <w:sz w:val="22"/>
          <w:szCs w:val="22"/>
        </w:rPr>
      </w:pPr>
      <w:r>
        <w:rPr>
          <w:rStyle w:val="Hyperlink"/>
          <w:rFonts w:cs="Tahoma"/>
          <w:b/>
          <w:bCs/>
          <w:sz w:val="22"/>
        </w:rPr>
        <w:fldChar w:fldCharType="begin"/>
      </w:r>
      <w:r w:rsidR="006D094F">
        <w:rPr>
          <w:rStyle w:val="Hyperlink"/>
          <w:rFonts w:cs="Tahoma"/>
          <w:b/>
          <w:bCs/>
        </w:rPr>
        <w:instrText xml:space="preserve"> TOC \h \z \c "Figure" </w:instrText>
      </w:r>
      <w:r>
        <w:rPr>
          <w:rStyle w:val="Hyperlink"/>
          <w:rFonts w:cs="Tahoma"/>
          <w:b/>
          <w:bCs/>
          <w:sz w:val="22"/>
        </w:rPr>
        <w:fldChar w:fldCharType="separate"/>
      </w:r>
      <w:hyperlink w:anchor="_Toc381698001" w:history="1">
        <w:r w:rsidR="0060344D" w:rsidRPr="005C7950">
          <w:rPr>
            <w:rStyle w:val="Hyperlink"/>
            <w:noProof/>
          </w:rPr>
          <w:t>Figure 1: Central Highlands Regional Growth Plan area</w:t>
        </w:r>
        <w:r w:rsidR="0060344D">
          <w:rPr>
            <w:noProof/>
            <w:webHidden/>
          </w:rPr>
          <w:tab/>
        </w:r>
        <w:r>
          <w:rPr>
            <w:noProof/>
            <w:webHidden/>
          </w:rPr>
          <w:fldChar w:fldCharType="begin"/>
        </w:r>
        <w:r w:rsidR="0060344D">
          <w:rPr>
            <w:noProof/>
            <w:webHidden/>
          </w:rPr>
          <w:instrText xml:space="preserve"> PAGEREF _Toc381698001 \h </w:instrText>
        </w:r>
        <w:r>
          <w:rPr>
            <w:noProof/>
            <w:webHidden/>
          </w:rPr>
        </w:r>
        <w:r>
          <w:rPr>
            <w:noProof/>
            <w:webHidden/>
          </w:rPr>
          <w:fldChar w:fldCharType="separate"/>
        </w:r>
        <w:r w:rsidR="00907B42">
          <w:rPr>
            <w:noProof/>
            <w:webHidden/>
          </w:rPr>
          <w:t>1</w:t>
        </w:r>
        <w:r>
          <w:rPr>
            <w:noProof/>
            <w:webHidden/>
          </w:rPr>
          <w:fldChar w:fldCharType="end"/>
        </w:r>
      </w:hyperlink>
    </w:p>
    <w:p w:rsidR="0060344D" w:rsidRDefault="00631B16">
      <w:pPr>
        <w:pStyle w:val="TableofFigures"/>
        <w:rPr>
          <w:rFonts w:eastAsiaTheme="minorEastAsia" w:cstheme="minorBidi"/>
          <w:noProof/>
          <w:sz w:val="22"/>
          <w:szCs w:val="22"/>
        </w:rPr>
      </w:pPr>
      <w:hyperlink w:anchor="_Toc381698002" w:history="1">
        <w:r w:rsidR="0060344D" w:rsidRPr="005C7950">
          <w:rPr>
            <w:rStyle w:val="Hyperlink"/>
            <w:noProof/>
          </w:rPr>
          <w:t>Figure 2: Central Highlands town population changes</w:t>
        </w:r>
        <w:r w:rsidR="0060344D">
          <w:rPr>
            <w:noProof/>
            <w:webHidden/>
          </w:rPr>
          <w:tab/>
        </w:r>
        <w:r w:rsidR="009F388E">
          <w:rPr>
            <w:noProof/>
            <w:webHidden/>
          </w:rPr>
          <w:fldChar w:fldCharType="begin"/>
        </w:r>
        <w:r w:rsidR="0060344D">
          <w:rPr>
            <w:noProof/>
            <w:webHidden/>
          </w:rPr>
          <w:instrText xml:space="preserve"> PAGEREF _Toc381698002 \h </w:instrText>
        </w:r>
        <w:r w:rsidR="009F388E">
          <w:rPr>
            <w:noProof/>
            <w:webHidden/>
          </w:rPr>
        </w:r>
        <w:r w:rsidR="009F388E">
          <w:rPr>
            <w:noProof/>
            <w:webHidden/>
          </w:rPr>
          <w:fldChar w:fldCharType="separate"/>
        </w:r>
        <w:r w:rsidR="00907B42">
          <w:rPr>
            <w:noProof/>
            <w:webHidden/>
          </w:rPr>
          <w:t>6</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03" w:history="1">
        <w:r w:rsidR="0060344D" w:rsidRPr="005C7950">
          <w:rPr>
            <w:rStyle w:val="Hyperlink"/>
            <w:noProof/>
          </w:rPr>
          <w:t>Figure 3: Change in estimated residential population by statistical local area 2006 to 2011</w:t>
        </w:r>
        <w:r w:rsidR="0060344D">
          <w:rPr>
            <w:noProof/>
            <w:webHidden/>
          </w:rPr>
          <w:tab/>
        </w:r>
        <w:r w:rsidR="009F388E">
          <w:rPr>
            <w:noProof/>
            <w:webHidden/>
          </w:rPr>
          <w:fldChar w:fldCharType="begin"/>
        </w:r>
        <w:r w:rsidR="0060344D">
          <w:rPr>
            <w:noProof/>
            <w:webHidden/>
          </w:rPr>
          <w:instrText xml:space="preserve"> PAGEREF _Toc381698003 \h </w:instrText>
        </w:r>
        <w:r w:rsidR="009F388E">
          <w:rPr>
            <w:noProof/>
            <w:webHidden/>
          </w:rPr>
        </w:r>
        <w:r w:rsidR="009F388E">
          <w:rPr>
            <w:noProof/>
            <w:webHidden/>
          </w:rPr>
          <w:fldChar w:fldCharType="separate"/>
        </w:r>
        <w:r w:rsidR="00907B42">
          <w:rPr>
            <w:noProof/>
            <w:webHidden/>
          </w:rPr>
          <w:t>9</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04" w:history="1">
        <w:r w:rsidR="0060344D" w:rsidRPr="005C7950">
          <w:rPr>
            <w:rStyle w:val="Hyperlink"/>
            <w:noProof/>
          </w:rPr>
          <w:t>Figure 4: Inter-regional migration flows, Central Highlands region 2006 to 2011</w:t>
        </w:r>
        <w:r w:rsidR="0060344D">
          <w:rPr>
            <w:noProof/>
            <w:webHidden/>
          </w:rPr>
          <w:tab/>
        </w:r>
        <w:r w:rsidR="009F388E">
          <w:rPr>
            <w:noProof/>
            <w:webHidden/>
          </w:rPr>
          <w:fldChar w:fldCharType="begin"/>
        </w:r>
        <w:r w:rsidR="0060344D">
          <w:rPr>
            <w:noProof/>
            <w:webHidden/>
          </w:rPr>
          <w:instrText xml:space="preserve"> PAGEREF _Toc381698004 \h </w:instrText>
        </w:r>
        <w:r w:rsidR="009F388E">
          <w:rPr>
            <w:noProof/>
            <w:webHidden/>
          </w:rPr>
        </w:r>
        <w:r w:rsidR="009F388E">
          <w:rPr>
            <w:noProof/>
            <w:webHidden/>
          </w:rPr>
          <w:fldChar w:fldCharType="separate"/>
        </w:r>
        <w:r w:rsidR="00907B42">
          <w:rPr>
            <w:noProof/>
            <w:webHidden/>
          </w:rPr>
          <w:t>12</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05" w:history="1">
        <w:r w:rsidR="0060344D" w:rsidRPr="005C7950">
          <w:rPr>
            <w:rStyle w:val="Hyperlink"/>
            <w:noProof/>
          </w:rPr>
          <w:t>Figure 5: Projected growth of Central Highlands municipalities 2011 to 2031</w:t>
        </w:r>
        <w:r w:rsidR="0060344D">
          <w:rPr>
            <w:noProof/>
            <w:webHidden/>
          </w:rPr>
          <w:tab/>
        </w:r>
        <w:r w:rsidR="009F388E">
          <w:rPr>
            <w:noProof/>
            <w:webHidden/>
          </w:rPr>
          <w:fldChar w:fldCharType="begin"/>
        </w:r>
        <w:r w:rsidR="0060344D">
          <w:rPr>
            <w:noProof/>
            <w:webHidden/>
          </w:rPr>
          <w:instrText xml:space="preserve"> PAGEREF _Toc381698005 \h </w:instrText>
        </w:r>
        <w:r w:rsidR="009F388E">
          <w:rPr>
            <w:noProof/>
            <w:webHidden/>
          </w:rPr>
        </w:r>
        <w:r w:rsidR="009F388E">
          <w:rPr>
            <w:noProof/>
            <w:webHidden/>
          </w:rPr>
          <w:fldChar w:fldCharType="separate"/>
        </w:r>
        <w:r w:rsidR="00907B42">
          <w:rPr>
            <w:noProof/>
            <w:webHidden/>
          </w:rPr>
          <w:t>13</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06" w:history="1">
        <w:r w:rsidR="0060344D" w:rsidRPr="005C7950">
          <w:rPr>
            <w:rStyle w:val="Hyperlink"/>
            <w:noProof/>
          </w:rPr>
          <w:t>Figure 6: Change in population by age group, Central Highlands 2011 to 2031</w:t>
        </w:r>
        <w:r w:rsidR="0060344D">
          <w:rPr>
            <w:noProof/>
            <w:webHidden/>
          </w:rPr>
          <w:tab/>
        </w:r>
        <w:r w:rsidR="009F388E">
          <w:rPr>
            <w:noProof/>
            <w:webHidden/>
          </w:rPr>
          <w:fldChar w:fldCharType="begin"/>
        </w:r>
        <w:r w:rsidR="0060344D">
          <w:rPr>
            <w:noProof/>
            <w:webHidden/>
          </w:rPr>
          <w:instrText xml:space="preserve"> PAGEREF _Toc381698006 \h </w:instrText>
        </w:r>
        <w:r w:rsidR="009F388E">
          <w:rPr>
            <w:noProof/>
            <w:webHidden/>
          </w:rPr>
        </w:r>
        <w:r w:rsidR="009F388E">
          <w:rPr>
            <w:noProof/>
            <w:webHidden/>
          </w:rPr>
          <w:fldChar w:fldCharType="separate"/>
        </w:r>
        <w:r w:rsidR="00907B42">
          <w:rPr>
            <w:noProof/>
            <w:webHidden/>
          </w:rPr>
          <w:t>14</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07" w:history="1">
        <w:r w:rsidR="0060344D" w:rsidRPr="005C7950">
          <w:rPr>
            <w:rStyle w:val="Hyperlink"/>
            <w:noProof/>
          </w:rPr>
          <w:t>Figure 7: Settlement role and function map – Grampians</w:t>
        </w:r>
        <w:r w:rsidR="0060344D">
          <w:rPr>
            <w:noProof/>
            <w:webHidden/>
          </w:rPr>
          <w:tab/>
        </w:r>
        <w:r w:rsidR="009F388E">
          <w:rPr>
            <w:noProof/>
            <w:webHidden/>
          </w:rPr>
          <w:fldChar w:fldCharType="begin"/>
        </w:r>
        <w:r w:rsidR="0060344D">
          <w:rPr>
            <w:noProof/>
            <w:webHidden/>
          </w:rPr>
          <w:instrText xml:space="preserve"> PAGEREF _Toc381698007 \h </w:instrText>
        </w:r>
        <w:r w:rsidR="009F388E">
          <w:rPr>
            <w:noProof/>
            <w:webHidden/>
          </w:rPr>
        </w:r>
        <w:r w:rsidR="009F388E">
          <w:rPr>
            <w:noProof/>
            <w:webHidden/>
          </w:rPr>
          <w:fldChar w:fldCharType="separate"/>
        </w:r>
        <w:r w:rsidR="00907B42">
          <w:rPr>
            <w:noProof/>
            <w:webHidden/>
          </w:rPr>
          <w:t>17</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08" w:history="1">
        <w:r w:rsidR="0060344D" w:rsidRPr="005C7950">
          <w:rPr>
            <w:rStyle w:val="Hyperlink"/>
            <w:noProof/>
          </w:rPr>
          <w:t>Figure 8: Journeys from Central Highlands local government areas 2011</w:t>
        </w:r>
        <w:r w:rsidR="0060344D">
          <w:rPr>
            <w:noProof/>
            <w:webHidden/>
          </w:rPr>
          <w:tab/>
        </w:r>
        <w:r w:rsidR="009F388E">
          <w:rPr>
            <w:noProof/>
            <w:webHidden/>
          </w:rPr>
          <w:fldChar w:fldCharType="begin"/>
        </w:r>
        <w:r w:rsidR="0060344D">
          <w:rPr>
            <w:noProof/>
            <w:webHidden/>
          </w:rPr>
          <w:instrText xml:space="preserve"> PAGEREF _Toc381698008 \h </w:instrText>
        </w:r>
        <w:r w:rsidR="009F388E">
          <w:rPr>
            <w:noProof/>
            <w:webHidden/>
          </w:rPr>
        </w:r>
        <w:r w:rsidR="009F388E">
          <w:rPr>
            <w:noProof/>
            <w:webHidden/>
          </w:rPr>
          <w:fldChar w:fldCharType="separate"/>
        </w:r>
        <w:r w:rsidR="00907B42">
          <w:rPr>
            <w:noProof/>
            <w:webHidden/>
          </w:rPr>
          <w:t>19</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09" w:history="1">
        <w:r w:rsidR="0060344D" w:rsidRPr="005C7950">
          <w:rPr>
            <w:rStyle w:val="Hyperlink"/>
            <w:noProof/>
          </w:rPr>
          <w:t>Figure 9: Ballarat West growth area</w:t>
        </w:r>
        <w:r w:rsidR="0060344D">
          <w:rPr>
            <w:noProof/>
            <w:webHidden/>
          </w:rPr>
          <w:tab/>
        </w:r>
        <w:r w:rsidR="009F388E">
          <w:rPr>
            <w:noProof/>
            <w:webHidden/>
          </w:rPr>
          <w:fldChar w:fldCharType="begin"/>
        </w:r>
        <w:r w:rsidR="0060344D">
          <w:rPr>
            <w:noProof/>
            <w:webHidden/>
          </w:rPr>
          <w:instrText xml:space="preserve"> PAGEREF _Toc381698009 \h </w:instrText>
        </w:r>
        <w:r w:rsidR="009F388E">
          <w:rPr>
            <w:noProof/>
            <w:webHidden/>
          </w:rPr>
        </w:r>
        <w:r w:rsidR="009F388E">
          <w:rPr>
            <w:noProof/>
            <w:webHidden/>
          </w:rPr>
          <w:fldChar w:fldCharType="separate"/>
        </w:r>
        <w:r w:rsidR="00907B42">
          <w:rPr>
            <w:noProof/>
            <w:webHidden/>
          </w:rPr>
          <w:t>24</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10" w:history="1">
        <w:r w:rsidR="0060344D" w:rsidRPr="005C7950">
          <w:rPr>
            <w:rStyle w:val="Hyperlink"/>
            <w:noProof/>
          </w:rPr>
          <w:t>Figure 10: Median house prices</w:t>
        </w:r>
        <w:r w:rsidR="0060344D">
          <w:rPr>
            <w:noProof/>
            <w:webHidden/>
          </w:rPr>
          <w:tab/>
        </w:r>
        <w:r w:rsidR="009F388E">
          <w:rPr>
            <w:noProof/>
            <w:webHidden/>
          </w:rPr>
          <w:fldChar w:fldCharType="begin"/>
        </w:r>
        <w:r w:rsidR="0060344D">
          <w:rPr>
            <w:noProof/>
            <w:webHidden/>
          </w:rPr>
          <w:instrText xml:space="preserve"> PAGEREF _Toc381698010 \h </w:instrText>
        </w:r>
        <w:r w:rsidR="009F388E">
          <w:rPr>
            <w:noProof/>
            <w:webHidden/>
          </w:rPr>
        </w:r>
        <w:r w:rsidR="009F388E">
          <w:rPr>
            <w:noProof/>
            <w:webHidden/>
          </w:rPr>
          <w:fldChar w:fldCharType="separate"/>
        </w:r>
        <w:r w:rsidR="00907B42">
          <w:rPr>
            <w:noProof/>
            <w:webHidden/>
          </w:rPr>
          <w:t>26</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11" w:history="1">
        <w:r w:rsidR="0060344D" w:rsidRPr="005C7950">
          <w:rPr>
            <w:rStyle w:val="Hyperlink"/>
            <w:noProof/>
          </w:rPr>
          <w:t>Figure 11: Where buyers come from (2010)</w:t>
        </w:r>
        <w:r w:rsidR="0060344D">
          <w:rPr>
            <w:noProof/>
            <w:webHidden/>
          </w:rPr>
          <w:tab/>
        </w:r>
        <w:r w:rsidR="009F388E">
          <w:rPr>
            <w:noProof/>
            <w:webHidden/>
          </w:rPr>
          <w:fldChar w:fldCharType="begin"/>
        </w:r>
        <w:r w:rsidR="0060344D">
          <w:rPr>
            <w:noProof/>
            <w:webHidden/>
          </w:rPr>
          <w:instrText xml:space="preserve"> PAGEREF _Toc381698011 \h </w:instrText>
        </w:r>
        <w:r w:rsidR="009F388E">
          <w:rPr>
            <w:noProof/>
            <w:webHidden/>
          </w:rPr>
        </w:r>
        <w:r w:rsidR="009F388E">
          <w:rPr>
            <w:noProof/>
            <w:webHidden/>
          </w:rPr>
          <w:fldChar w:fldCharType="separate"/>
        </w:r>
        <w:r w:rsidR="00907B42">
          <w:rPr>
            <w:noProof/>
            <w:webHidden/>
          </w:rPr>
          <w:t>27</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12" w:history="1">
        <w:r w:rsidR="0060344D" w:rsidRPr="005C7950">
          <w:rPr>
            <w:rStyle w:val="Hyperlink"/>
            <w:noProof/>
          </w:rPr>
          <w:t>Figure 12: Peri-urban extent of Melbourne</w:t>
        </w:r>
        <w:r w:rsidR="0060344D">
          <w:rPr>
            <w:noProof/>
            <w:webHidden/>
          </w:rPr>
          <w:tab/>
        </w:r>
        <w:r w:rsidR="009F388E">
          <w:rPr>
            <w:noProof/>
            <w:webHidden/>
          </w:rPr>
          <w:fldChar w:fldCharType="begin"/>
        </w:r>
        <w:r w:rsidR="0060344D">
          <w:rPr>
            <w:noProof/>
            <w:webHidden/>
          </w:rPr>
          <w:instrText xml:space="preserve"> PAGEREF _Toc381698012 \h </w:instrText>
        </w:r>
        <w:r w:rsidR="009F388E">
          <w:rPr>
            <w:noProof/>
            <w:webHidden/>
          </w:rPr>
        </w:r>
        <w:r w:rsidR="009F388E">
          <w:rPr>
            <w:noProof/>
            <w:webHidden/>
          </w:rPr>
          <w:fldChar w:fldCharType="separate"/>
        </w:r>
        <w:r w:rsidR="00907B42">
          <w:rPr>
            <w:noProof/>
            <w:webHidden/>
          </w:rPr>
          <w:t>31</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13" w:history="1">
        <w:r w:rsidR="0060344D" w:rsidRPr="005C7950">
          <w:rPr>
            <w:rStyle w:val="Hyperlink"/>
            <w:noProof/>
          </w:rPr>
          <w:t>Figure 13: Population by age cohort, 2011 and 2031</w:t>
        </w:r>
        <w:r w:rsidR="0060344D">
          <w:rPr>
            <w:noProof/>
            <w:webHidden/>
          </w:rPr>
          <w:tab/>
        </w:r>
        <w:r w:rsidR="009F388E">
          <w:rPr>
            <w:noProof/>
            <w:webHidden/>
          </w:rPr>
          <w:fldChar w:fldCharType="begin"/>
        </w:r>
        <w:r w:rsidR="0060344D">
          <w:rPr>
            <w:noProof/>
            <w:webHidden/>
          </w:rPr>
          <w:instrText xml:space="preserve"> PAGEREF _Toc381698013 \h </w:instrText>
        </w:r>
        <w:r w:rsidR="009F388E">
          <w:rPr>
            <w:noProof/>
            <w:webHidden/>
          </w:rPr>
        </w:r>
        <w:r w:rsidR="009F388E">
          <w:rPr>
            <w:noProof/>
            <w:webHidden/>
          </w:rPr>
          <w:fldChar w:fldCharType="separate"/>
        </w:r>
        <w:r w:rsidR="00907B42">
          <w:rPr>
            <w:noProof/>
            <w:webHidden/>
          </w:rPr>
          <w:t>35</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14" w:history="1">
        <w:r w:rsidR="0060344D" w:rsidRPr="005C7950">
          <w:rPr>
            <w:rStyle w:val="Hyperlink"/>
            <w:noProof/>
          </w:rPr>
          <w:t>Figure 14: Relative socio-economic disadvantage</w:t>
        </w:r>
        <w:r w:rsidR="0060344D">
          <w:rPr>
            <w:noProof/>
            <w:webHidden/>
          </w:rPr>
          <w:tab/>
        </w:r>
        <w:r w:rsidR="009F388E">
          <w:rPr>
            <w:noProof/>
            <w:webHidden/>
          </w:rPr>
          <w:fldChar w:fldCharType="begin"/>
        </w:r>
        <w:r w:rsidR="0060344D">
          <w:rPr>
            <w:noProof/>
            <w:webHidden/>
          </w:rPr>
          <w:instrText xml:space="preserve"> PAGEREF _Toc381698014 \h </w:instrText>
        </w:r>
        <w:r w:rsidR="009F388E">
          <w:rPr>
            <w:noProof/>
            <w:webHidden/>
          </w:rPr>
        </w:r>
        <w:r w:rsidR="009F388E">
          <w:rPr>
            <w:noProof/>
            <w:webHidden/>
          </w:rPr>
          <w:fldChar w:fldCharType="separate"/>
        </w:r>
        <w:r w:rsidR="00907B42">
          <w:rPr>
            <w:noProof/>
            <w:webHidden/>
          </w:rPr>
          <w:t>36</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15" w:history="1">
        <w:r w:rsidR="0060344D" w:rsidRPr="005C7950">
          <w:rPr>
            <w:rStyle w:val="Hyperlink"/>
            <w:noProof/>
          </w:rPr>
          <w:t>Figure 15: Proportion of older people by Central Highlands local government areas</w:t>
        </w:r>
        <w:r w:rsidR="0060344D">
          <w:rPr>
            <w:noProof/>
            <w:webHidden/>
          </w:rPr>
          <w:tab/>
        </w:r>
        <w:r w:rsidR="009F388E">
          <w:rPr>
            <w:noProof/>
            <w:webHidden/>
          </w:rPr>
          <w:fldChar w:fldCharType="begin"/>
        </w:r>
        <w:r w:rsidR="0060344D">
          <w:rPr>
            <w:noProof/>
            <w:webHidden/>
          </w:rPr>
          <w:instrText xml:space="preserve"> PAGEREF _Toc381698015 \h </w:instrText>
        </w:r>
        <w:r w:rsidR="009F388E">
          <w:rPr>
            <w:noProof/>
            <w:webHidden/>
          </w:rPr>
        </w:r>
        <w:r w:rsidR="009F388E">
          <w:rPr>
            <w:noProof/>
            <w:webHidden/>
          </w:rPr>
          <w:fldChar w:fldCharType="separate"/>
        </w:r>
        <w:r w:rsidR="00907B42">
          <w:rPr>
            <w:noProof/>
            <w:webHidden/>
          </w:rPr>
          <w:t>38</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16" w:history="1">
        <w:r w:rsidR="0060344D" w:rsidRPr="005C7950">
          <w:rPr>
            <w:rStyle w:val="Hyperlink"/>
            <w:noProof/>
          </w:rPr>
          <w:t>Figure 16: Socio-economic indicators for Central Highlands region</w:t>
        </w:r>
        <w:r w:rsidR="0060344D">
          <w:rPr>
            <w:noProof/>
            <w:webHidden/>
          </w:rPr>
          <w:tab/>
        </w:r>
        <w:r w:rsidR="009F388E">
          <w:rPr>
            <w:noProof/>
            <w:webHidden/>
          </w:rPr>
          <w:fldChar w:fldCharType="begin"/>
        </w:r>
        <w:r w:rsidR="0060344D">
          <w:rPr>
            <w:noProof/>
            <w:webHidden/>
          </w:rPr>
          <w:instrText xml:space="preserve"> PAGEREF _Toc381698016 \h </w:instrText>
        </w:r>
        <w:r w:rsidR="009F388E">
          <w:rPr>
            <w:noProof/>
            <w:webHidden/>
          </w:rPr>
        </w:r>
        <w:r w:rsidR="009F388E">
          <w:rPr>
            <w:noProof/>
            <w:webHidden/>
          </w:rPr>
          <w:fldChar w:fldCharType="separate"/>
        </w:r>
        <w:r w:rsidR="00907B42">
          <w:rPr>
            <w:noProof/>
            <w:webHidden/>
          </w:rPr>
          <w:t>42</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17" w:history="1">
        <w:r w:rsidR="0060344D" w:rsidRPr="005C7950">
          <w:rPr>
            <w:rStyle w:val="Hyperlink"/>
            <w:noProof/>
          </w:rPr>
          <w:t>Figure 17: Projected change in school enrolments</w:t>
        </w:r>
        <w:r w:rsidR="0060344D">
          <w:rPr>
            <w:noProof/>
            <w:webHidden/>
          </w:rPr>
          <w:tab/>
        </w:r>
        <w:r w:rsidR="009F388E">
          <w:rPr>
            <w:noProof/>
            <w:webHidden/>
          </w:rPr>
          <w:fldChar w:fldCharType="begin"/>
        </w:r>
        <w:r w:rsidR="0060344D">
          <w:rPr>
            <w:noProof/>
            <w:webHidden/>
          </w:rPr>
          <w:instrText xml:space="preserve"> PAGEREF _Toc381698017 \h </w:instrText>
        </w:r>
        <w:r w:rsidR="009F388E">
          <w:rPr>
            <w:noProof/>
            <w:webHidden/>
          </w:rPr>
        </w:r>
        <w:r w:rsidR="009F388E">
          <w:rPr>
            <w:noProof/>
            <w:webHidden/>
          </w:rPr>
          <w:fldChar w:fldCharType="separate"/>
        </w:r>
        <w:r w:rsidR="00907B42">
          <w:rPr>
            <w:noProof/>
            <w:webHidden/>
          </w:rPr>
          <w:t>44</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18" w:history="1">
        <w:r w:rsidR="0060344D" w:rsidRPr="005C7950">
          <w:rPr>
            <w:rStyle w:val="Hyperlink"/>
            <w:noProof/>
          </w:rPr>
          <w:t>Figure 18: Some of the notable cultural heritage assets in the Central Highlands region</w:t>
        </w:r>
        <w:r w:rsidR="0060344D">
          <w:rPr>
            <w:noProof/>
            <w:webHidden/>
          </w:rPr>
          <w:tab/>
        </w:r>
        <w:r w:rsidR="009F388E">
          <w:rPr>
            <w:noProof/>
            <w:webHidden/>
          </w:rPr>
          <w:fldChar w:fldCharType="begin"/>
        </w:r>
        <w:r w:rsidR="0060344D">
          <w:rPr>
            <w:noProof/>
            <w:webHidden/>
          </w:rPr>
          <w:instrText xml:space="preserve"> PAGEREF _Toc381698018 \h </w:instrText>
        </w:r>
        <w:r w:rsidR="009F388E">
          <w:rPr>
            <w:noProof/>
            <w:webHidden/>
          </w:rPr>
        </w:r>
        <w:r w:rsidR="009F388E">
          <w:rPr>
            <w:noProof/>
            <w:webHidden/>
          </w:rPr>
          <w:fldChar w:fldCharType="separate"/>
        </w:r>
        <w:r w:rsidR="00907B42">
          <w:rPr>
            <w:noProof/>
            <w:webHidden/>
          </w:rPr>
          <w:t>51</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19" w:history="1">
        <w:r w:rsidR="0060344D" w:rsidRPr="005C7950">
          <w:rPr>
            <w:rStyle w:val="Hyperlink"/>
            <w:noProof/>
          </w:rPr>
          <w:t>Figure 19: Employed people by industry sector</w:t>
        </w:r>
        <w:r w:rsidR="0060344D">
          <w:rPr>
            <w:noProof/>
            <w:webHidden/>
          </w:rPr>
          <w:tab/>
        </w:r>
        <w:r w:rsidR="009F388E">
          <w:rPr>
            <w:noProof/>
            <w:webHidden/>
          </w:rPr>
          <w:fldChar w:fldCharType="begin"/>
        </w:r>
        <w:r w:rsidR="0060344D">
          <w:rPr>
            <w:noProof/>
            <w:webHidden/>
          </w:rPr>
          <w:instrText xml:space="preserve"> PAGEREF _Toc381698019 \h </w:instrText>
        </w:r>
        <w:r w:rsidR="009F388E">
          <w:rPr>
            <w:noProof/>
            <w:webHidden/>
          </w:rPr>
        </w:r>
        <w:r w:rsidR="009F388E">
          <w:rPr>
            <w:noProof/>
            <w:webHidden/>
          </w:rPr>
          <w:fldChar w:fldCharType="separate"/>
        </w:r>
        <w:r w:rsidR="00907B42">
          <w:rPr>
            <w:noProof/>
            <w:webHidden/>
          </w:rPr>
          <w:t>53</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20" w:history="1">
        <w:r w:rsidR="0060344D" w:rsidRPr="005C7950">
          <w:rPr>
            <w:rStyle w:val="Hyperlink"/>
            <w:noProof/>
          </w:rPr>
          <w:t>Figure 20: Industry output performance forecast by percentage share 2011 to 2031</w:t>
        </w:r>
        <w:r w:rsidR="0060344D">
          <w:rPr>
            <w:noProof/>
            <w:webHidden/>
          </w:rPr>
          <w:tab/>
        </w:r>
        <w:r w:rsidR="009F388E">
          <w:rPr>
            <w:noProof/>
            <w:webHidden/>
          </w:rPr>
          <w:fldChar w:fldCharType="begin"/>
        </w:r>
        <w:r w:rsidR="0060344D">
          <w:rPr>
            <w:noProof/>
            <w:webHidden/>
          </w:rPr>
          <w:instrText xml:space="preserve"> PAGEREF _Toc381698020 \h </w:instrText>
        </w:r>
        <w:r w:rsidR="009F388E">
          <w:rPr>
            <w:noProof/>
            <w:webHidden/>
          </w:rPr>
        </w:r>
        <w:r w:rsidR="009F388E">
          <w:rPr>
            <w:noProof/>
            <w:webHidden/>
          </w:rPr>
          <w:fldChar w:fldCharType="separate"/>
        </w:r>
        <w:r w:rsidR="00907B42">
          <w:rPr>
            <w:noProof/>
            <w:webHidden/>
          </w:rPr>
          <w:t>55</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21" w:history="1">
        <w:r w:rsidR="0060344D" w:rsidRPr="005C7950">
          <w:rPr>
            <w:rStyle w:val="Hyperlink"/>
            <w:noProof/>
          </w:rPr>
          <w:t>Figure 21: Agricultural land quality in Moorabool Shire</w:t>
        </w:r>
        <w:r w:rsidR="0060344D">
          <w:rPr>
            <w:noProof/>
            <w:webHidden/>
          </w:rPr>
          <w:tab/>
        </w:r>
        <w:r w:rsidR="009F388E">
          <w:rPr>
            <w:noProof/>
            <w:webHidden/>
          </w:rPr>
          <w:fldChar w:fldCharType="begin"/>
        </w:r>
        <w:r w:rsidR="0060344D">
          <w:rPr>
            <w:noProof/>
            <w:webHidden/>
          </w:rPr>
          <w:instrText xml:space="preserve"> PAGEREF _Toc381698021 \h </w:instrText>
        </w:r>
        <w:r w:rsidR="009F388E">
          <w:rPr>
            <w:noProof/>
            <w:webHidden/>
          </w:rPr>
        </w:r>
        <w:r w:rsidR="009F388E">
          <w:rPr>
            <w:noProof/>
            <w:webHidden/>
          </w:rPr>
          <w:fldChar w:fldCharType="separate"/>
        </w:r>
        <w:r w:rsidR="00907B42">
          <w:rPr>
            <w:noProof/>
            <w:webHidden/>
          </w:rPr>
          <w:t>58</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22" w:history="1">
        <w:r w:rsidR="0060344D" w:rsidRPr="005C7950">
          <w:rPr>
            <w:rStyle w:val="Hyperlink"/>
            <w:noProof/>
          </w:rPr>
          <w:t>Figure 22: Agricultural land quality in Hepburn Shire</w:t>
        </w:r>
        <w:r w:rsidR="0060344D">
          <w:rPr>
            <w:noProof/>
            <w:webHidden/>
          </w:rPr>
          <w:tab/>
        </w:r>
        <w:r w:rsidR="009F388E">
          <w:rPr>
            <w:noProof/>
            <w:webHidden/>
          </w:rPr>
          <w:fldChar w:fldCharType="begin"/>
        </w:r>
        <w:r w:rsidR="0060344D">
          <w:rPr>
            <w:noProof/>
            <w:webHidden/>
          </w:rPr>
          <w:instrText xml:space="preserve"> PAGEREF _Toc381698022 \h </w:instrText>
        </w:r>
        <w:r w:rsidR="009F388E">
          <w:rPr>
            <w:noProof/>
            <w:webHidden/>
          </w:rPr>
        </w:r>
        <w:r w:rsidR="009F388E">
          <w:rPr>
            <w:noProof/>
            <w:webHidden/>
          </w:rPr>
          <w:fldChar w:fldCharType="separate"/>
        </w:r>
        <w:r w:rsidR="00907B42">
          <w:rPr>
            <w:noProof/>
            <w:webHidden/>
          </w:rPr>
          <w:t>59</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23" w:history="1">
        <w:r w:rsidR="0060344D" w:rsidRPr="005C7950">
          <w:rPr>
            <w:rStyle w:val="Hyperlink"/>
            <w:noProof/>
          </w:rPr>
          <w:t>Figure 23: Mining and extractive industries, tenements and licences</w:t>
        </w:r>
        <w:r w:rsidR="0060344D">
          <w:rPr>
            <w:noProof/>
            <w:webHidden/>
          </w:rPr>
          <w:tab/>
        </w:r>
        <w:r w:rsidR="009F388E">
          <w:rPr>
            <w:noProof/>
            <w:webHidden/>
          </w:rPr>
          <w:fldChar w:fldCharType="begin"/>
        </w:r>
        <w:r w:rsidR="0060344D">
          <w:rPr>
            <w:noProof/>
            <w:webHidden/>
          </w:rPr>
          <w:instrText xml:space="preserve"> PAGEREF _Toc381698023 \h </w:instrText>
        </w:r>
        <w:r w:rsidR="009F388E">
          <w:rPr>
            <w:noProof/>
            <w:webHidden/>
          </w:rPr>
        </w:r>
        <w:r w:rsidR="009F388E">
          <w:rPr>
            <w:noProof/>
            <w:webHidden/>
          </w:rPr>
          <w:fldChar w:fldCharType="separate"/>
        </w:r>
        <w:r w:rsidR="00907B42">
          <w:rPr>
            <w:noProof/>
            <w:webHidden/>
          </w:rPr>
          <w:t>64</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24" w:history="1">
        <w:r w:rsidR="0060344D" w:rsidRPr="005C7950">
          <w:rPr>
            <w:rStyle w:val="Hyperlink"/>
            <w:noProof/>
          </w:rPr>
          <w:t>Figure 24: Energy in the future</w:t>
        </w:r>
        <w:r w:rsidR="0060344D">
          <w:rPr>
            <w:noProof/>
            <w:webHidden/>
          </w:rPr>
          <w:tab/>
        </w:r>
        <w:r w:rsidR="009F388E">
          <w:rPr>
            <w:noProof/>
            <w:webHidden/>
          </w:rPr>
          <w:fldChar w:fldCharType="begin"/>
        </w:r>
        <w:r w:rsidR="0060344D">
          <w:rPr>
            <w:noProof/>
            <w:webHidden/>
          </w:rPr>
          <w:instrText xml:space="preserve"> PAGEREF _Toc381698024 \h </w:instrText>
        </w:r>
        <w:r w:rsidR="009F388E">
          <w:rPr>
            <w:noProof/>
            <w:webHidden/>
          </w:rPr>
        </w:r>
        <w:r w:rsidR="009F388E">
          <w:rPr>
            <w:noProof/>
            <w:webHidden/>
          </w:rPr>
          <w:fldChar w:fldCharType="separate"/>
        </w:r>
        <w:r w:rsidR="00907B42">
          <w:rPr>
            <w:noProof/>
            <w:webHidden/>
          </w:rPr>
          <w:t>70</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25" w:history="1">
        <w:r w:rsidR="0060344D" w:rsidRPr="005C7950">
          <w:rPr>
            <w:rStyle w:val="Hyperlink"/>
            <w:noProof/>
          </w:rPr>
          <w:t>Figure 25: Industrial land supply</w:t>
        </w:r>
        <w:r w:rsidR="0060344D">
          <w:rPr>
            <w:noProof/>
            <w:webHidden/>
          </w:rPr>
          <w:tab/>
        </w:r>
        <w:r w:rsidR="009F388E">
          <w:rPr>
            <w:noProof/>
            <w:webHidden/>
          </w:rPr>
          <w:fldChar w:fldCharType="begin"/>
        </w:r>
        <w:r w:rsidR="0060344D">
          <w:rPr>
            <w:noProof/>
            <w:webHidden/>
          </w:rPr>
          <w:instrText xml:space="preserve"> PAGEREF _Toc381698025 \h </w:instrText>
        </w:r>
        <w:r w:rsidR="009F388E">
          <w:rPr>
            <w:noProof/>
            <w:webHidden/>
          </w:rPr>
        </w:r>
        <w:r w:rsidR="009F388E">
          <w:rPr>
            <w:noProof/>
            <w:webHidden/>
          </w:rPr>
          <w:fldChar w:fldCharType="separate"/>
        </w:r>
        <w:r w:rsidR="00907B42">
          <w:rPr>
            <w:noProof/>
            <w:webHidden/>
          </w:rPr>
          <w:t>71</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26" w:history="1">
        <w:r w:rsidR="0060344D" w:rsidRPr="005C7950">
          <w:rPr>
            <w:rStyle w:val="Hyperlink"/>
            <w:noProof/>
          </w:rPr>
          <w:t>Figure 26: Central Highlands transport network</w:t>
        </w:r>
        <w:r w:rsidR="0060344D">
          <w:rPr>
            <w:noProof/>
            <w:webHidden/>
          </w:rPr>
          <w:tab/>
        </w:r>
        <w:r w:rsidR="009F388E">
          <w:rPr>
            <w:noProof/>
            <w:webHidden/>
          </w:rPr>
          <w:fldChar w:fldCharType="begin"/>
        </w:r>
        <w:r w:rsidR="0060344D">
          <w:rPr>
            <w:noProof/>
            <w:webHidden/>
          </w:rPr>
          <w:instrText xml:space="preserve"> PAGEREF _Toc381698026 \h </w:instrText>
        </w:r>
        <w:r w:rsidR="009F388E">
          <w:rPr>
            <w:noProof/>
            <w:webHidden/>
          </w:rPr>
        </w:r>
        <w:r w:rsidR="009F388E">
          <w:rPr>
            <w:noProof/>
            <w:webHidden/>
          </w:rPr>
          <w:fldChar w:fldCharType="separate"/>
        </w:r>
        <w:r w:rsidR="00907B42">
          <w:rPr>
            <w:noProof/>
            <w:webHidden/>
          </w:rPr>
          <w:t>74</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27" w:history="1">
        <w:r w:rsidR="0060344D" w:rsidRPr="005C7950">
          <w:rPr>
            <w:rStyle w:val="Hyperlink"/>
            <w:noProof/>
          </w:rPr>
          <w:t>Figure 27: Journeys to Melbourne from the Central Highlands by local government area</w:t>
        </w:r>
        <w:r w:rsidR="0060344D">
          <w:rPr>
            <w:noProof/>
            <w:webHidden/>
          </w:rPr>
          <w:tab/>
        </w:r>
        <w:r w:rsidR="009F388E">
          <w:rPr>
            <w:noProof/>
            <w:webHidden/>
          </w:rPr>
          <w:fldChar w:fldCharType="begin"/>
        </w:r>
        <w:r w:rsidR="0060344D">
          <w:rPr>
            <w:noProof/>
            <w:webHidden/>
          </w:rPr>
          <w:instrText xml:space="preserve"> PAGEREF _Toc381698027 \h </w:instrText>
        </w:r>
        <w:r w:rsidR="009F388E">
          <w:rPr>
            <w:noProof/>
            <w:webHidden/>
          </w:rPr>
        </w:r>
        <w:r w:rsidR="009F388E">
          <w:rPr>
            <w:noProof/>
            <w:webHidden/>
          </w:rPr>
          <w:fldChar w:fldCharType="separate"/>
        </w:r>
        <w:r w:rsidR="00907B42">
          <w:rPr>
            <w:noProof/>
            <w:webHidden/>
          </w:rPr>
          <w:t>76</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28" w:history="1">
        <w:r w:rsidR="0060344D" w:rsidRPr="005C7950">
          <w:rPr>
            <w:rStyle w:val="Hyperlink"/>
            <w:noProof/>
          </w:rPr>
          <w:t>Figure 28: Estimated rail patronage (normal weekday) by station 2005 to 2011</w:t>
        </w:r>
        <w:r w:rsidR="0060344D">
          <w:rPr>
            <w:noProof/>
            <w:webHidden/>
          </w:rPr>
          <w:tab/>
        </w:r>
        <w:r w:rsidR="009F388E">
          <w:rPr>
            <w:noProof/>
            <w:webHidden/>
          </w:rPr>
          <w:fldChar w:fldCharType="begin"/>
        </w:r>
        <w:r w:rsidR="0060344D">
          <w:rPr>
            <w:noProof/>
            <w:webHidden/>
          </w:rPr>
          <w:instrText xml:space="preserve"> PAGEREF _Toc381698028 \h </w:instrText>
        </w:r>
        <w:r w:rsidR="009F388E">
          <w:rPr>
            <w:noProof/>
            <w:webHidden/>
          </w:rPr>
        </w:r>
        <w:r w:rsidR="009F388E">
          <w:rPr>
            <w:noProof/>
            <w:webHidden/>
          </w:rPr>
          <w:fldChar w:fldCharType="separate"/>
        </w:r>
        <w:r w:rsidR="00907B42">
          <w:rPr>
            <w:noProof/>
            <w:webHidden/>
          </w:rPr>
          <w:t>77</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29" w:history="1">
        <w:r w:rsidR="0060344D" w:rsidRPr="005C7950">
          <w:rPr>
            <w:rStyle w:val="Hyperlink"/>
            <w:noProof/>
          </w:rPr>
          <w:t>Figure 29: Journeys from urban centres to destinations within the region and to Melbourne 2011</w:t>
        </w:r>
        <w:r w:rsidR="0060344D">
          <w:rPr>
            <w:noProof/>
            <w:webHidden/>
          </w:rPr>
          <w:tab/>
        </w:r>
        <w:r w:rsidR="009F388E">
          <w:rPr>
            <w:noProof/>
            <w:webHidden/>
          </w:rPr>
          <w:fldChar w:fldCharType="begin"/>
        </w:r>
        <w:r w:rsidR="0060344D">
          <w:rPr>
            <w:noProof/>
            <w:webHidden/>
          </w:rPr>
          <w:instrText xml:space="preserve"> PAGEREF _Toc381698029 \h </w:instrText>
        </w:r>
        <w:r w:rsidR="009F388E">
          <w:rPr>
            <w:noProof/>
            <w:webHidden/>
          </w:rPr>
        </w:r>
        <w:r w:rsidR="009F388E">
          <w:rPr>
            <w:noProof/>
            <w:webHidden/>
          </w:rPr>
          <w:fldChar w:fldCharType="separate"/>
        </w:r>
        <w:r w:rsidR="00907B42">
          <w:rPr>
            <w:noProof/>
            <w:webHidden/>
          </w:rPr>
          <w:t>77</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30" w:history="1">
        <w:r w:rsidR="0060344D" w:rsidRPr="005C7950">
          <w:rPr>
            <w:rStyle w:val="Hyperlink"/>
            <w:noProof/>
          </w:rPr>
          <w:t>Figure 30: Annual average daily two-way traffic count by road transport corridor</w:t>
        </w:r>
        <w:r w:rsidR="0060344D">
          <w:rPr>
            <w:noProof/>
            <w:webHidden/>
          </w:rPr>
          <w:tab/>
        </w:r>
        <w:r w:rsidR="009F388E">
          <w:rPr>
            <w:noProof/>
            <w:webHidden/>
          </w:rPr>
          <w:fldChar w:fldCharType="begin"/>
        </w:r>
        <w:r w:rsidR="0060344D">
          <w:rPr>
            <w:noProof/>
            <w:webHidden/>
          </w:rPr>
          <w:instrText xml:space="preserve"> PAGEREF _Toc381698030 \h </w:instrText>
        </w:r>
        <w:r w:rsidR="009F388E">
          <w:rPr>
            <w:noProof/>
            <w:webHidden/>
          </w:rPr>
        </w:r>
        <w:r w:rsidR="009F388E">
          <w:rPr>
            <w:noProof/>
            <w:webHidden/>
          </w:rPr>
          <w:fldChar w:fldCharType="separate"/>
        </w:r>
        <w:r w:rsidR="00907B42">
          <w:rPr>
            <w:noProof/>
            <w:webHidden/>
          </w:rPr>
          <w:t>82</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31" w:history="1">
        <w:r w:rsidR="0060344D" w:rsidRPr="005C7950">
          <w:rPr>
            <w:rStyle w:val="Hyperlink"/>
            <w:noProof/>
          </w:rPr>
          <w:t>Figure 31: Schematic public transport network</w:t>
        </w:r>
        <w:r w:rsidR="0060344D">
          <w:rPr>
            <w:noProof/>
            <w:webHidden/>
          </w:rPr>
          <w:tab/>
        </w:r>
        <w:r w:rsidR="009F388E">
          <w:rPr>
            <w:noProof/>
            <w:webHidden/>
          </w:rPr>
          <w:fldChar w:fldCharType="begin"/>
        </w:r>
        <w:r w:rsidR="0060344D">
          <w:rPr>
            <w:noProof/>
            <w:webHidden/>
          </w:rPr>
          <w:instrText xml:space="preserve"> PAGEREF _Toc381698031 \h </w:instrText>
        </w:r>
        <w:r w:rsidR="009F388E">
          <w:rPr>
            <w:noProof/>
            <w:webHidden/>
          </w:rPr>
        </w:r>
        <w:r w:rsidR="009F388E">
          <w:rPr>
            <w:noProof/>
            <w:webHidden/>
          </w:rPr>
          <w:fldChar w:fldCharType="separate"/>
        </w:r>
        <w:r w:rsidR="00907B42">
          <w:rPr>
            <w:noProof/>
            <w:webHidden/>
          </w:rPr>
          <w:t>84</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32" w:history="1">
        <w:r w:rsidR="0060344D" w:rsidRPr="005C7950">
          <w:rPr>
            <w:rStyle w:val="Hyperlink"/>
            <w:noProof/>
          </w:rPr>
          <w:t>Figure 32: Work journeys from Ballarat 1996 to 2011</w:t>
        </w:r>
        <w:r w:rsidR="0060344D">
          <w:rPr>
            <w:noProof/>
            <w:webHidden/>
          </w:rPr>
          <w:tab/>
        </w:r>
        <w:r w:rsidR="009F388E">
          <w:rPr>
            <w:noProof/>
            <w:webHidden/>
          </w:rPr>
          <w:fldChar w:fldCharType="begin"/>
        </w:r>
        <w:r w:rsidR="0060344D">
          <w:rPr>
            <w:noProof/>
            <w:webHidden/>
          </w:rPr>
          <w:instrText xml:space="preserve"> PAGEREF _Toc381698032 \h </w:instrText>
        </w:r>
        <w:r w:rsidR="009F388E">
          <w:rPr>
            <w:noProof/>
            <w:webHidden/>
          </w:rPr>
        </w:r>
        <w:r w:rsidR="009F388E">
          <w:rPr>
            <w:noProof/>
            <w:webHidden/>
          </w:rPr>
          <w:fldChar w:fldCharType="separate"/>
        </w:r>
        <w:r w:rsidR="00907B42">
          <w:rPr>
            <w:noProof/>
            <w:webHidden/>
          </w:rPr>
          <w:t>86</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33" w:history="1">
        <w:r w:rsidR="0060344D" w:rsidRPr="005C7950">
          <w:rPr>
            <w:rStyle w:val="Hyperlink"/>
            <w:noProof/>
          </w:rPr>
          <w:t>Figure 33: Work journeys to Ballarat 1996 to 2011</w:t>
        </w:r>
        <w:r w:rsidR="0060344D">
          <w:rPr>
            <w:noProof/>
            <w:webHidden/>
          </w:rPr>
          <w:tab/>
        </w:r>
        <w:r w:rsidR="009F388E">
          <w:rPr>
            <w:noProof/>
            <w:webHidden/>
          </w:rPr>
          <w:fldChar w:fldCharType="begin"/>
        </w:r>
        <w:r w:rsidR="0060344D">
          <w:rPr>
            <w:noProof/>
            <w:webHidden/>
          </w:rPr>
          <w:instrText xml:space="preserve"> PAGEREF _Toc381698033 \h </w:instrText>
        </w:r>
        <w:r w:rsidR="009F388E">
          <w:rPr>
            <w:noProof/>
            <w:webHidden/>
          </w:rPr>
        </w:r>
        <w:r w:rsidR="009F388E">
          <w:rPr>
            <w:noProof/>
            <w:webHidden/>
          </w:rPr>
          <w:fldChar w:fldCharType="separate"/>
        </w:r>
        <w:r w:rsidR="00907B42">
          <w:rPr>
            <w:noProof/>
            <w:webHidden/>
          </w:rPr>
          <w:t>86</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34" w:history="1">
        <w:r w:rsidR="0060344D" w:rsidRPr="005C7950">
          <w:rPr>
            <w:rStyle w:val="Hyperlink"/>
            <w:noProof/>
          </w:rPr>
          <w:t>Figure 34: The Principal Freight Network - Road</w:t>
        </w:r>
        <w:r w:rsidR="0060344D">
          <w:rPr>
            <w:noProof/>
            <w:webHidden/>
          </w:rPr>
          <w:tab/>
        </w:r>
        <w:r w:rsidR="009F388E">
          <w:rPr>
            <w:noProof/>
            <w:webHidden/>
          </w:rPr>
          <w:fldChar w:fldCharType="begin"/>
        </w:r>
        <w:r w:rsidR="0060344D">
          <w:rPr>
            <w:noProof/>
            <w:webHidden/>
          </w:rPr>
          <w:instrText xml:space="preserve"> PAGEREF _Toc381698034 \h </w:instrText>
        </w:r>
        <w:r w:rsidR="009F388E">
          <w:rPr>
            <w:noProof/>
            <w:webHidden/>
          </w:rPr>
        </w:r>
        <w:r w:rsidR="009F388E">
          <w:rPr>
            <w:noProof/>
            <w:webHidden/>
          </w:rPr>
          <w:fldChar w:fldCharType="separate"/>
        </w:r>
        <w:r w:rsidR="00907B42">
          <w:rPr>
            <w:noProof/>
            <w:webHidden/>
          </w:rPr>
          <w:t>89</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35" w:history="1">
        <w:r w:rsidR="0060344D" w:rsidRPr="005C7950">
          <w:rPr>
            <w:rStyle w:val="Hyperlink"/>
            <w:noProof/>
          </w:rPr>
          <w:t>Figure 35: The Principal Freight Network - Railways</w:t>
        </w:r>
        <w:r w:rsidR="0060344D">
          <w:rPr>
            <w:noProof/>
            <w:webHidden/>
          </w:rPr>
          <w:tab/>
        </w:r>
        <w:r w:rsidR="009F388E">
          <w:rPr>
            <w:noProof/>
            <w:webHidden/>
          </w:rPr>
          <w:fldChar w:fldCharType="begin"/>
        </w:r>
        <w:r w:rsidR="0060344D">
          <w:rPr>
            <w:noProof/>
            <w:webHidden/>
          </w:rPr>
          <w:instrText xml:space="preserve"> PAGEREF _Toc381698035 \h </w:instrText>
        </w:r>
        <w:r w:rsidR="009F388E">
          <w:rPr>
            <w:noProof/>
            <w:webHidden/>
          </w:rPr>
        </w:r>
        <w:r w:rsidR="009F388E">
          <w:rPr>
            <w:noProof/>
            <w:webHidden/>
          </w:rPr>
          <w:fldChar w:fldCharType="separate"/>
        </w:r>
        <w:r w:rsidR="00907B42">
          <w:rPr>
            <w:noProof/>
            <w:webHidden/>
          </w:rPr>
          <w:t>90</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36" w:history="1">
        <w:r w:rsidR="0060344D" w:rsidRPr="005C7950">
          <w:rPr>
            <w:rStyle w:val="Hyperlink"/>
            <w:noProof/>
          </w:rPr>
          <w:t>Figure 36: Commodities and freight flows</w:t>
        </w:r>
        <w:r w:rsidR="0060344D">
          <w:rPr>
            <w:noProof/>
            <w:webHidden/>
          </w:rPr>
          <w:tab/>
        </w:r>
        <w:r w:rsidR="009F388E">
          <w:rPr>
            <w:noProof/>
            <w:webHidden/>
          </w:rPr>
          <w:fldChar w:fldCharType="begin"/>
        </w:r>
        <w:r w:rsidR="0060344D">
          <w:rPr>
            <w:noProof/>
            <w:webHidden/>
          </w:rPr>
          <w:instrText xml:space="preserve"> PAGEREF _Toc381698036 \h </w:instrText>
        </w:r>
        <w:r w:rsidR="009F388E">
          <w:rPr>
            <w:noProof/>
            <w:webHidden/>
          </w:rPr>
        </w:r>
        <w:r w:rsidR="009F388E">
          <w:rPr>
            <w:noProof/>
            <w:webHidden/>
          </w:rPr>
          <w:fldChar w:fldCharType="separate"/>
        </w:r>
        <w:r w:rsidR="00907B42">
          <w:rPr>
            <w:noProof/>
            <w:webHidden/>
          </w:rPr>
          <w:t>92</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37" w:history="1">
        <w:r w:rsidR="0060344D" w:rsidRPr="005C7950">
          <w:rPr>
            <w:rStyle w:val="Hyperlink"/>
            <w:noProof/>
          </w:rPr>
          <w:t>Figure 37: Summary of water supply demand strategy outlooks for the Central Highlands region</w:t>
        </w:r>
        <w:r w:rsidR="0060344D">
          <w:rPr>
            <w:noProof/>
            <w:webHidden/>
          </w:rPr>
          <w:tab/>
        </w:r>
        <w:r w:rsidR="009F388E">
          <w:rPr>
            <w:noProof/>
            <w:webHidden/>
          </w:rPr>
          <w:fldChar w:fldCharType="begin"/>
        </w:r>
        <w:r w:rsidR="0060344D">
          <w:rPr>
            <w:noProof/>
            <w:webHidden/>
          </w:rPr>
          <w:instrText xml:space="preserve"> PAGEREF _Toc381698037 \h </w:instrText>
        </w:r>
        <w:r w:rsidR="009F388E">
          <w:rPr>
            <w:noProof/>
            <w:webHidden/>
          </w:rPr>
        </w:r>
        <w:r w:rsidR="009F388E">
          <w:rPr>
            <w:noProof/>
            <w:webHidden/>
          </w:rPr>
          <w:fldChar w:fldCharType="separate"/>
        </w:r>
        <w:r w:rsidR="00907B42">
          <w:rPr>
            <w:noProof/>
            <w:webHidden/>
          </w:rPr>
          <w:t>94</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38" w:history="1">
        <w:r w:rsidR="0060344D" w:rsidRPr="005C7950">
          <w:rPr>
            <w:rStyle w:val="Hyperlink"/>
            <w:noProof/>
          </w:rPr>
          <w:t>Figure 38: Catchment management authority and regional growth plan boundaries</w:t>
        </w:r>
        <w:r w:rsidR="0060344D">
          <w:rPr>
            <w:noProof/>
            <w:webHidden/>
          </w:rPr>
          <w:tab/>
        </w:r>
        <w:r w:rsidR="009F388E">
          <w:rPr>
            <w:noProof/>
            <w:webHidden/>
          </w:rPr>
          <w:fldChar w:fldCharType="begin"/>
        </w:r>
        <w:r w:rsidR="0060344D">
          <w:rPr>
            <w:noProof/>
            <w:webHidden/>
          </w:rPr>
          <w:instrText xml:space="preserve"> PAGEREF _Toc381698038 \h </w:instrText>
        </w:r>
        <w:r w:rsidR="009F388E">
          <w:rPr>
            <w:noProof/>
            <w:webHidden/>
          </w:rPr>
        </w:r>
        <w:r w:rsidR="009F388E">
          <w:rPr>
            <w:noProof/>
            <w:webHidden/>
          </w:rPr>
          <w:fldChar w:fldCharType="separate"/>
        </w:r>
        <w:r w:rsidR="00907B42">
          <w:rPr>
            <w:noProof/>
            <w:webHidden/>
          </w:rPr>
          <w:t>98</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39" w:history="1">
        <w:r w:rsidR="0060344D" w:rsidRPr="005C7950">
          <w:rPr>
            <w:rStyle w:val="Hyperlink"/>
            <w:noProof/>
          </w:rPr>
          <w:t>Figure 39: Native vegetation and habitat assets</w:t>
        </w:r>
        <w:r w:rsidR="0060344D">
          <w:rPr>
            <w:noProof/>
            <w:webHidden/>
          </w:rPr>
          <w:tab/>
        </w:r>
        <w:r w:rsidR="009F388E">
          <w:rPr>
            <w:noProof/>
            <w:webHidden/>
          </w:rPr>
          <w:fldChar w:fldCharType="begin"/>
        </w:r>
        <w:r w:rsidR="0060344D">
          <w:rPr>
            <w:noProof/>
            <w:webHidden/>
          </w:rPr>
          <w:instrText xml:space="preserve"> PAGEREF _Toc381698039 \h </w:instrText>
        </w:r>
        <w:r w:rsidR="009F388E">
          <w:rPr>
            <w:noProof/>
            <w:webHidden/>
          </w:rPr>
        </w:r>
        <w:r w:rsidR="009F388E">
          <w:rPr>
            <w:noProof/>
            <w:webHidden/>
          </w:rPr>
          <w:fldChar w:fldCharType="separate"/>
        </w:r>
        <w:r w:rsidR="00907B42">
          <w:rPr>
            <w:noProof/>
            <w:webHidden/>
          </w:rPr>
          <w:t>100</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40" w:history="1">
        <w:r w:rsidR="0060344D" w:rsidRPr="005C7950">
          <w:rPr>
            <w:rStyle w:val="Hyperlink"/>
            <w:noProof/>
          </w:rPr>
          <w:t>Figure 40: Significant waterways of the region</w:t>
        </w:r>
        <w:r w:rsidR="0060344D">
          <w:rPr>
            <w:noProof/>
            <w:webHidden/>
          </w:rPr>
          <w:tab/>
        </w:r>
        <w:r w:rsidR="009F388E">
          <w:rPr>
            <w:noProof/>
            <w:webHidden/>
          </w:rPr>
          <w:fldChar w:fldCharType="begin"/>
        </w:r>
        <w:r w:rsidR="0060344D">
          <w:rPr>
            <w:noProof/>
            <w:webHidden/>
          </w:rPr>
          <w:instrText xml:space="preserve"> PAGEREF _Toc381698040 \h </w:instrText>
        </w:r>
        <w:r w:rsidR="009F388E">
          <w:rPr>
            <w:noProof/>
            <w:webHidden/>
          </w:rPr>
        </w:r>
        <w:r w:rsidR="009F388E">
          <w:rPr>
            <w:noProof/>
            <w:webHidden/>
          </w:rPr>
          <w:fldChar w:fldCharType="separate"/>
        </w:r>
        <w:r w:rsidR="00907B42">
          <w:rPr>
            <w:noProof/>
            <w:webHidden/>
          </w:rPr>
          <w:t>101</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41" w:history="1">
        <w:r w:rsidR="0060344D" w:rsidRPr="005C7950">
          <w:rPr>
            <w:rStyle w:val="Hyperlink"/>
            <w:noProof/>
          </w:rPr>
          <w:t>Figure 41: Public land within the region</w:t>
        </w:r>
        <w:r w:rsidR="0060344D">
          <w:rPr>
            <w:noProof/>
            <w:webHidden/>
          </w:rPr>
          <w:tab/>
        </w:r>
        <w:r w:rsidR="009F388E">
          <w:rPr>
            <w:noProof/>
            <w:webHidden/>
          </w:rPr>
          <w:fldChar w:fldCharType="begin"/>
        </w:r>
        <w:r w:rsidR="0060344D">
          <w:rPr>
            <w:noProof/>
            <w:webHidden/>
          </w:rPr>
          <w:instrText xml:space="preserve"> PAGEREF _Toc381698041 \h </w:instrText>
        </w:r>
        <w:r w:rsidR="009F388E">
          <w:rPr>
            <w:noProof/>
            <w:webHidden/>
          </w:rPr>
        </w:r>
        <w:r w:rsidR="009F388E">
          <w:rPr>
            <w:noProof/>
            <w:webHidden/>
          </w:rPr>
          <w:fldChar w:fldCharType="separate"/>
        </w:r>
        <w:r w:rsidR="00907B42">
          <w:rPr>
            <w:noProof/>
            <w:webHidden/>
          </w:rPr>
          <w:t>103</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42" w:history="1">
        <w:r w:rsidR="0060344D" w:rsidRPr="005C7950">
          <w:rPr>
            <w:rStyle w:val="Hyperlink"/>
            <w:noProof/>
          </w:rPr>
          <w:t>Figure 42: Declared water supply catchments in the region</w:t>
        </w:r>
        <w:r w:rsidR="0060344D">
          <w:rPr>
            <w:noProof/>
            <w:webHidden/>
          </w:rPr>
          <w:tab/>
        </w:r>
        <w:r w:rsidR="009F388E">
          <w:rPr>
            <w:noProof/>
            <w:webHidden/>
          </w:rPr>
          <w:fldChar w:fldCharType="begin"/>
        </w:r>
        <w:r w:rsidR="0060344D">
          <w:rPr>
            <w:noProof/>
            <w:webHidden/>
          </w:rPr>
          <w:instrText xml:space="preserve"> PAGEREF _Toc381698042 \h </w:instrText>
        </w:r>
        <w:r w:rsidR="009F388E">
          <w:rPr>
            <w:noProof/>
            <w:webHidden/>
          </w:rPr>
        </w:r>
        <w:r w:rsidR="009F388E">
          <w:rPr>
            <w:noProof/>
            <w:webHidden/>
          </w:rPr>
          <w:fldChar w:fldCharType="separate"/>
        </w:r>
        <w:r w:rsidR="00907B42">
          <w:rPr>
            <w:noProof/>
            <w:webHidden/>
          </w:rPr>
          <w:t>105</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43" w:history="1">
        <w:r w:rsidR="0060344D" w:rsidRPr="005C7950">
          <w:rPr>
            <w:rStyle w:val="Hyperlink"/>
            <w:noProof/>
          </w:rPr>
          <w:t>Figure 43: Extent of the Bushfire Management Overlay</w:t>
        </w:r>
        <w:r w:rsidR="0060344D">
          <w:rPr>
            <w:noProof/>
            <w:webHidden/>
          </w:rPr>
          <w:tab/>
        </w:r>
        <w:r w:rsidR="009F388E">
          <w:rPr>
            <w:noProof/>
            <w:webHidden/>
          </w:rPr>
          <w:fldChar w:fldCharType="begin"/>
        </w:r>
        <w:r w:rsidR="0060344D">
          <w:rPr>
            <w:noProof/>
            <w:webHidden/>
          </w:rPr>
          <w:instrText xml:space="preserve"> PAGEREF _Toc381698043 \h </w:instrText>
        </w:r>
        <w:r w:rsidR="009F388E">
          <w:rPr>
            <w:noProof/>
            <w:webHidden/>
          </w:rPr>
        </w:r>
        <w:r w:rsidR="009F388E">
          <w:rPr>
            <w:noProof/>
            <w:webHidden/>
          </w:rPr>
          <w:fldChar w:fldCharType="separate"/>
        </w:r>
        <w:r w:rsidR="00907B42">
          <w:rPr>
            <w:noProof/>
            <w:webHidden/>
          </w:rPr>
          <w:t>108</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44" w:history="1">
        <w:r w:rsidR="0060344D" w:rsidRPr="005C7950">
          <w:rPr>
            <w:rStyle w:val="Hyperlink"/>
            <w:noProof/>
          </w:rPr>
          <w:t>Figure 44: Extent of flood overlays</w:t>
        </w:r>
        <w:r w:rsidR="0060344D">
          <w:rPr>
            <w:noProof/>
            <w:webHidden/>
          </w:rPr>
          <w:tab/>
        </w:r>
        <w:r w:rsidR="009F388E">
          <w:rPr>
            <w:noProof/>
            <w:webHidden/>
          </w:rPr>
          <w:fldChar w:fldCharType="begin"/>
        </w:r>
        <w:r w:rsidR="0060344D">
          <w:rPr>
            <w:noProof/>
            <w:webHidden/>
          </w:rPr>
          <w:instrText xml:space="preserve"> PAGEREF _Toc381698044 \h </w:instrText>
        </w:r>
        <w:r w:rsidR="009F388E">
          <w:rPr>
            <w:noProof/>
            <w:webHidden/>
          </w:rPr>
        </w:r>
        <w:r w:rsidR="009F388E">
          <w:rPr>
            <w:noProof/>
            <w:webHidden/>
          </w:rPr>
          <w:fldChar w:fldCharType="separate"/>
        </w:r>
        <w:r w:rsidR="00907B42">
          <w:rPr>
            <w:noProof/>
            <w:webHidden/>
          </w:rPr>
          <w:t>110</w:t>
        </w:r>
        <w:r w:rsidR="009F388E">
          <w:rPr>
            <w:noProof/>
            <w:webHidden/>
          </w:rPr>
          <w:fldChar w:fldCharType="end"/>
        </w:r>
      </w:hyperlink>
    </w:p>
    <w:p w:rsidR="0060344D" w:rsidRDefault="00631B16">
      <w:pPr>
        <w:pStyle w:val="TableofFigures"/>
        <w:rPr>
          <w:rFonts w:eastAsiaTheme="minorEastAsia" w:cstheme="minorBidi"/>
          <w:noProof/>
          <w:sz w:val="22"/>
          <w:szCs w:val="22"/>
        </w:rPr>
      </w:pPr>
      <w:hyperlink w:anchor="_Toc381698045" w:history="1">
        <w:r w:rsidR="0060344D" w:rsidRPr="005C7950">
          <w:rPr>
            <w:rStyle w:val="Hyperlink"/>
            <w:noProof/>
          </w:rPr>
          <w:t>Figure 45: Significant landscapes</w:t>
        </w:r>
        <w:r w:rsidR="0060344D">
          <w:rPr>
            <w:noProof/>
            <w:webHidden/>
          </w:rPr>
          <w:tab/>
        </w:r>
        <w:r w:rsidR="009F388E">
          <w:rPr>
            <w:noProof/>
            <w:webHidden/>
          </w:rPr>
          <w:fldChar w:fldCharType="begin"/>
        </w:r>
        <w:r w:rsidR="0060344D">
          <w:rPr>
            <w:noProof/>
            <w:webHidden/>
          </w:rPr>
          <w:instrText xml:space="preserve"> PAGEREF _Toc381698045 \h </w:instrText>
        </w:r>
        <w:r w:rsidR="009F388E">
          <w:rPr>
            <w:noProof/>
            <w:webHidden/>
          </w:rPr>
        </w:r>
        <w:r w:rsidR="009F388E">
          <w:rPr>
            <w:noProof/>
            <w:webHidden/>
          </w:rPr>
          <w:fldChar w:fldCharType="separate"/>
        </w:r>
        <w:r w:rsidR="00907B42">
          <w:rPr>
            <w:noProof/>
            <w:webHidden/>
          </w:rPr>
          <w:t>114</w:t>
        </w:r>
        <w:r w:rsidR="009F388E">
          <w:rPr>
            <w:noProof/>
            <w:webHidden/>
          </w:rPr>
          <w:fldChar w:fldCharType="end"/>
        </w:r>
      </w:hyperlink>
    </w:p>
    <w:p w:rsidR="006D094F" w:rsidRPr="00A84714" w:rsidRDefault="009F388E" w:rsidP="00F82A2A">
      <w:pPr>
        <w:pStyle w:val="TableofFigures"/>
        <w:rPr>
          <w:sz w:val="32"/>
          <w:szCs w:val="32"/>
        </w:rPr>
        <w:sectPr w:rsidR="006D094F" w:rsidRPr="00A84714" w:rsidSect="00B54F63">
          <w:headerReference w:type="default" r:id="rId16"/>
          <w:footerReference w:type="default" r:id="rId17"/>
          <w:pgSz w:w="11906" w:h="16838" w:code="9"/>
          <w:pgMar w:top="851" w:right="1274" w:bottom="284" w:left="1797" w:header="709" w:footer="9" w:gutter="0"/>
          <w:pgNumType w:start="1"/>
          <w:cols w:space="708"/>
          <w:docGrid w:linePitch="360"/>
        </w:sectPr>
      </w:pPr>
      <w:r>
        <w:rPr>
          <w:rStyle w:val="Hyperlink"/>
          <w:rFonts w:cs="Tahoma"/>
          <w:b/>
          <w:bCs/>
        </w:rPr>
        <w:fldChar w:fldCharType="end"/>
      </w:r>
    </w:p>
    <w:p w:rsidR="00AE26B4" w:rsidRPr="005B01F7" w:rsidRDefault="00AE26B4" w:rsidP="005B01F7">
      <w:pPr>
        <w:pStyle w:val="Heading1"/>
      </w:pPr>
      <w:bookmarkStart w:id="1" w:name="_Toc356999814"/>
      <w:bookmarkStart w:id="2" w:name="_Toc356999901"/>
      <w:bookmarkStart w:id="3" w:name="_Toc357067276"/>
      <w:bookmarkStart w:id="4" w:name="_Toc300065556"/>
      <w:bookmarkStart w:id="5" w:name="_Toc349557688"/>
      <w:bookmarkStart w:id="6" w:name="_Toc370460943"/>
      <w:bookmarkStart w:id="7" w:name="_Toc374527584"/>
      <w:bookmarkEnd w:id="1"/>
      <w:bookmarkEnd w:id="2"/>
      <w:bookmarkEnd w:id="3"/>
      <w:r w:rsidRPr="005B01F7">
        <w:lastRenderedPageBreak/>
        <w:t xml:space="preserve">Executive </w:t>
      </w:r>
      <w:r w:rsidR="00EB1C46" w:rsidRPr="005B01F7">
        <w:t>s</w:t>
      </w:r>
      <w:r w:rsidRPr="005B01F7">
        <w:t>ummary</w:t>
      </w:r>
      <w:bookmarkEnd w:id="4"/>
      <w:bookmarkEnd w:id="5"/>
      <w:bookmarkEnd w:id="6"/>
      <w:bookmarkEnd w:id="7"/>
    </w:p>
    <w:p w:rsidR="00EC4C7A" w:rsidRPr="002651E6" w:rsidRDefault="00AD133E" w:rsidP="00DF59B4">
      <w:pPr>
        <w:pStyle w:val="bt"/>
      </w:pPr>
      <w:r w:rsidRPr="002651E6">
        <w:t xml:space="preserve">This </w:t>
      </w:r>
      <w:r w:rsidR="00EB1C46" w:rsidRPr="002651E6">
        <w:t xml:space="preserve">Central Highlands Regional Growth Plan </w:t>
      </w:r>
      <w:r w:rsidR="003D0D6E" w:rsidRPr="002651E6">
        <w:t>b</w:t>
      </w:r>
      <w:r w:rsidR="00786553" w:rsidRPr="002651E6">
        <w:t xml:space="preserve">ackground </w:t>
      </w:r>
      <w:r w:rsidR="003D0D6E" w:rsidRPr="002651E6">
        <w:t>r</w:t>
      </w:r>
      <w:r w:rsidR="00E10B33" w:rsidRPr="002651E6">
        <w:t>eport</w:t>
      </w:r>
      <w:r w:rsidR="00786553" w:rsidRPr="002651E6">
        <w:t xml:space="preserve"> has been </w:t>
      </w:r>
      <w:r w:rsidR="009C3CEA" w:rsidRPr="002651E6">
        <w:t>prepared</w:t>
      </w:r>
      <w:r w:rsidR="00786553" w:rsidRPr="002651E6">
        <w:t xml:space="preserve"> concurrently with the </w:t>
      </w:r>
      <w:r w:rsidR="00EB1C46" w:rsidRPr="002651E6">
        <w:t>Central Highlands Regional Growth Plan</w:t>
      </w:r>
      <w:r w:rsidR="00786553" w:rsidRPr="002651E6">
        <w:t xml:space="preserve">. </w:t>
      </w:r>
      <w:r w:rsidRPr="002651E6">
        <w:t xml:space="preserve">The background report has been developed from a </w:t>
      </w:r>
      <w:r w:rsidRPr="00DF59B4">
        <w:t>draft</w:t>
      </w:r>
      <w:r w:rsidRPr="002651E6">
        <w:t xml:space="preserve"> issues paper prepared in June 2012. It provides a summary of research and evidence about existing conditions and trends in the Central Highlands region. </w:t>
      </w:r>
      <w:r w:rsidR="00786553" w:rsidRPr="002651E6">
        <w:t xml:space="preserve">It allows readers to further explore the basis of strategies contained in the </w:t>
      </w:r>
      <w:r w:rsidR="00F37D25" w:rsidRPr="002651E6">
        <w:t>plan</w:t>
      </w:r>
      <w:r w:rsidR="00786553" w:rsidRPr="002651E6">
        <w:t>.</w:t>
      </w:r>
    </w:p>
    <w:p w:rsidR="00EC4C7A" w:rsidRPr="002651E6" w:rsidRDefault="005C7835" w:rsidP="002651E6">
      <w:pPr>
        <w:pStyle w:val="bt"/>
      </w:pPr>
      <w:r w:rsidRPr="002651E6">
        <w:t>In summary</w:t>
      </w:r>
      <w:r w:rsidR="004D3F5D" w:rsidRPr="002651E6">
        <w:t xml:space="preserve"> </w:t>
      </w:r>
      <w:r w:rsidRPr="002651E6">
        <w:t>this background report covers the following issues:</w:t>
      </w:r>
    </w:p>
    <w:p w:rsidR="00EC4C7A" w:rsidRDefault="00AA1C91">
      <w:pPr>
        <w:pStyle w:val="bt"/>
        <w:spacing w:before="0"/>
        <w:rPr>
          <w:rStyle w:val="Strong"/>
          <w:rFonts w:asciiTheme="minorHAnsi" w:hAnsiTheme="minorHAnsi" w:cstheme="minorHAnsi"/>
        </w:rPr>
      </w:pPr>
      <w:r w:rsidRPr="00AA1C91">
        <w:rPr>
          <w:rStyle w:val="Strong"/>
          <w:rFonts w:asciiTheme="minorHAnsi" w:hAnsiTheme="minorHAnsi" w:cstheme="minorHAnsi"/>
        </w:rPr>
        <w:t xml:space="preserve">Chapter </w:t>
      </w:r>
      <w:r w:rsidR="009F388E">
        <w:rPr>
          <w:rStyle w:val="Strong"/>
          <w:rFonts w:asciiTheme="minorHAnsi" w:hAnsiTheme="minorHAnsi" w:cstheme="minorHAnsi"/>
        </w:rPr>
        <w:fldChar w:fldCharType="begin"/>
      </w:r>
      <w:r w:rsidR="006F704A">
        <w:rPr>
          <w:rStyle w:val="Strong"/>
          <w:rFonts w:asciiTheme="minorHAnsi" w:hAnsiTheme="minorHAnsi" w:cstheme="minorHAnsi"/>
        </w:rPr>
        <w:instrText xml:space="preserve"> REF _Ref370377083 \r \h </w:instrText>
      </w:r>
      <w:r w:rsidR="009F388E">
        <w:rPr>
          <w:rStyle w:val="Strong"/>
          <w:rFonts w:asciiTheme="minorHAnsi" w:hAnsiTheme="minorHAnsi" w:cstheme="minorHAnsi"/>
        </w:rPr>
      </w:r>
      <w:r w:rsidR="009F388E">
        <w:rPr>
          <w:rStyle w:val="Strong"/>
          <w:rFonts w:asciiTheme="minorHAnsi" w:hAnsiTheme="minorHAnsi" w:cstheme="minorHAnsi"/>
        </w:rPr>
        <w:fldChar w:fldCharType="separate"/>
      </w:r>
      <w:r w:rsidR="00907B42">
        <w:rPr>
          <w:rStyle w:val="Strong"/>
          <w:rFonts w:asciiTheme="minorHAnsi" w:hAnsiTheme="minorHAnsi" w:cstheme="minorHAnsi"/>
        </w:rPr>
        <w:t>1</w:t>
      </w:r>
      <w:r w:rsidR="009F388E">
        <w:rPr>
          <w:rStyle w:val="Strong"/>
          <w:rFonts w:asciiTheme="minorHAnsi" w:hAnsiTheme="minorHAnsi" w:cstheme="minorHAnsi"/>
        </w:rPr>
        <w:fldChar w:fldCharType="end"/>
      </w:r>
      <w:r w:rsidRPr="00AA1C91">
        <w:rPr>
          <w:rStyle w:val="Strong"/>
          <w:rFonts w:asciiTheme="minorHAnsi" w:hAnsiTheme="minorHAnsi" w:cstheme="minorHAnsi"/>
        </w:rPr>
        <w:t>: Introduction and purpose</w:t>
      </w:r>
    </w:p>
    <w:p w:rsidR="00EC4C7A" w:rsidRDefault="006F704A">
      <w:pPr>
        <w:pStyle w:val="bt"/>
        <w:spacing w:before="0" w:after="0"/>
        <w:rPr>
          <w:rStyle w:val="Strong"/>
          <w:rFonts w:asciiTheme="minorHAnsi" w:hAnsiTheme="minorHAnsi" w:cstheme="minorHAnsi"/>
        </w:rPr>
      </w:pPr>
      <w:r>
        <w:rPr>
          <w:rStyle w:val="Strong"/>
          <w:rFonts w:asciiTheme="minorHAnsi" w:hAnsiTheme="minorHAnsi" w:cstheme="minorHAnsi"/>
        </w:rPr>
        <w:t xml:space="preserve">Chapter </w:t>
      </w:r>
      <w:r w:rsidR="009F388E">
        <w:rPr>
          <w:rStyle w:val="Strong"/>
          <w:rFonts w:asciiTheme="minorHAnsi" w:hAnsiTheme="minorHAnsi" w:cstheme="minorHAnsi"/>
        </w:rPr>
        <w:fldChar w:fldCharType="begin"/>
      </w:r>
      <w:r>
        <w:rPr>
          <w:rStyle w:val="Strong"/>
          <w:rFonts w:asciiTheme="minorHAnsi" w:hAnsiTheme="minorHAnsi" w:cstheme="minorHAnsi"/>
        </w:rPr>
        <w:instrText xml:space="preserve"> REF _Ref370377068 \r \h </w:instrText>
      </w:r>
      <w:r w:rsidR="009F388E">
        <w:rPr>
          <w:rStyle w:val="Strong"/>
          <w:rFonts w:asciiTheme="minorHAnsi" w:hAnsiTheme="minorHAnsi" w:cstheme="minorHAnsi"/>
        </w:rPr>
      </w:r>
      <w:r w:rsidR="009F388E">
        <w:rPr>
          <w:rStyle w:val="Strong"/>
          <w:rFonts w:asciiTheme="minorHAnsi" w:hAnsiTheme="minorHAnsi" w:cstheme="minorHAnsi"/>
        </w:rPr>
        <w:fldChar w:fldCharType="separate"/>
      </w:r>
      <w:r w:rsidR="00907B42">
        <w:rPr>
          <w:rStyle w:val="Strong"/>
          <w:rFonts w:asciiTheme="minorHAnsi" w:hAnsiTheme="minorHAnsi" w:cstheme="minorHAnsi"/>
        </w:rPr>
        <w:t>2</w:t>
      </w:r>
      <w:r w:rsidR="009F388E">
        <w:rPr>
          <w:rStyle w:val="Strong"/>
          <w:rFonts w:asciiTheme="minorHAnsi" w:hAnsiTheme="minorHAnsi" w:cstheme="minorHAnsi"/>
        </w:rPr>
        <w:fldChar w:fldCharType="end"/>
      </w:r>
      <w:r w:rsidR="00AA1C91" w:rsidRPr="00AA1C91">
        <w:rPr>
          <w:rStyle w:val="Strong"/>
          <w:rFonts w:asciiTheme="minorHAnsi" w:hAnsiTheme="minorHAnsi" w:cstheme="minorHAnsi"/>
        </w:rPr>
        <w:t>: Central Highlands snapshot</w:t>
      </w:r>
    </w:p>
    <w:p w:rsidR="00EC4C7A" w:rsidRDefault="00183825">
      <w:pPr>
        <w:pStyle w:val="ListBullet"/>
        <w:spacing w:after="240"/>
        <w:rPr>
          <w:rFonts w:cstheme="minorHAnsi"/>
        </w:rPr>
      </w:pPr>
      <w:r w:rsidRPr="00003239">
        <w:rPr>
          <w:rFonts w:cstheme="minorHAnsi"/>
        </w:rPr>
        <w:t>Providing a brief overview of the region’s key social, economic and environmental assets.</w:t>
      </w:r>
    </w:p>
    <w:p w:rsidR="00EC4C7A" w:rsidRDefault="006F704A">
      <w:pPr>
        <w:pStyle w:val="bt"/>
        <w:spacing w:before="0" w:after="0"/>
        <w:rPr>
          <w:rStyle w:val="Strong"/>
          <w:rFonts w:asciiTheme="minorHAnsi" w:hAnsiTheme="minorHAnsi" w:cstheme="minorHAnsi"/>
        </w:rPr>
      </w:pPr>
      <w:r>
        <w:rPr>
          <w:rStyle w:val="Strong"/>
          <w:rFonts w:asciiTheme="minorHAnsi" w:hAnsiTheme="minorHAnsi" w:cstheme="minorHAnsi"/>
        </w:rPr>
        <w:t xml:space="preserve">Chapter </w:t>
      </w:r>
      <w:r w:rsidR="009F388E">
        <w:rPr>
          <w:rStyle w:val="Strong"/>
          <w:rFonts w:asciiTheme="minorHAnsi" w:hAnsiTheme="minorHAnsi" w:cstheme="minorHAnsi"/>
        </w:rPr>
        <w:fldChar w:fldCharType="begin"/>
      </w:r>
      <w:r>
        <w:rPr>
          <w:rStyle w:val="Strong"/>
          <w:rFonts w:asciiTheme="minorHAnsi" w:hAnsiTheme="minorHAnsi" w:cstheme="minorHAnsi"/>
        </w:rPr>
        <w:instrText xml:space="preserve"> REF _Ref370377040 \r \h </w:instrText>
      </w:r>
      <w:r w:rsidR="009F388E">
        <w:rPr>
          <w:rStyle w:val="Strong"/>
          <w:rFonts w:asciiTheme="minorHAnsi" w:hAnsiTheme="minorHAnsi" w:cstheme="minorHAnsi"/>
        </w:rPr>
      </w:r>
      <w:r w:rsidR="009F388E">
        <w:rPr>
          <w:rStyle w:val="Strong"/>
          <w:rFonts w:asciiTheme="minorHAnsi" w:hAnsiTheme="minorHAnsi" w:cstheme="minorHAnsi"/>
        </w:rPr>
        <w:fldChar w:fldCharType="separate"/>
      </w:r>
      <w:r w:rsidR="00907B42">
        <w:rPr>
          <w:rStyle w:val="Strong"/>
          <w:rFonts w:asciiTheme="minorHAnsi" w:hAnsiTheme="minorHAnsi" w:cstheme="minorHAnsi"/>
        </w:rPr>
        <w:t>3</w:t>
      </w:r>
      <w:r w:rsidR="009F388E">
        <w:rPr>
          <w:rStyle w:val="Strong"/>
          <w:rFonts w:asciiTheme="minorHAnsi" w:hAnsiTheme="minorHAnsi" w:cstheme="minorHAnsi"/>
        </w:rPr>
        <w:fldChar w:fldCharType="end"/>
      </w:r>
      <w:r w:rsidR="00AA1C91" w:rsidRPr="00AA1C91">
        <w:rPr>
          <w:rStyle w:val="Strong"/>
          <w:rFonts w:asciiTheme="minorHAnsi" w:hAnsiTheme="minorHAnsi" w:cstheme="minorHAnsi"/>
        </w:rPr>
        <w:t>: Population and settlement</w:t>
      </w:r>
    </w:p>
    <w:p w:rsidR="00EC4C7A" w:rsidRDefault="00183825">
      <w:pPr>
        <w:pStyle w:val="ListBullet"/>
        <w:rPr>
          <w:rFonts w:cstheme="minorHAnsi"/>
        </w:rPr>
      </w:pPr>
      <w:r w:rsidRPr="00003239">
        <w:rPr>
          <w:rFonts w:cstheme="minorHAnsi"/>
        </w:rPr>
        <w:t>Outlining key population and demographic attributes of the region.</w:t>
      </w:r>
    </w:p>
    <w:p w:rsidR="00EC4C7A" w:rsidRDefault="00AA1C91">
      <w:pPr>
        <w:pStyle w:val="ListBullet"/>
        <w:rPr>
          <w:rFonts w:cstheme="minorHAnsi"/>
        </w:rPr>
      </w:pPr>
      <w:r w:rsidRPr="00AA1C91">
        <w:rPr>
          <w:rFonts w:cstheme="minorHAnsi"/>
        </w:rPr>
        <w:t>Identifying a preferred long-term future settlement pattern for the region to extend beyond existing planned growth.</w:t>
      </w:r>
    </w:p>
    <w:p w:rsidR="00EC4C7A" w:rsidRDefault="00905FE8">
      <w:pPr>
        <w:pStyle w:val="ListBullet"/>
        <w:rPr>
          <w:rFonts w:cstheme="minorHAnsi"/>
        </w:rPr>
      </w:pPr>
      <w:r>
        <w:rPr>
          <w:rFonts w:cstheme="minorHAnsi"/>
        </w:rPr>
        <w:t>U</w:t>
      </w:r>
      <w:r w:rsidR="00AA1C91" w:rsidRPr="00AA1C91">
        <w:rPr>
          <w:rFonts w:cstheme="minorHAnsi"/>
        </w:rPr>
        <w:t>nderstand</w:t>
      </w:r>
      <w:r>
        <w:rPr>
          <w:rFonts w:cstheme="minorHAnsi"/>
        </w:rPr>
        <w:t>ing</w:t>
      </w:r>
      <w:r w:rsidR="00AA1C91" w:rsidRPr="00AA1C91">
        <w:rPr>
          <w:rFonts w:cstheme="minorHAnsi"/>
        </w:rPr>
        <w:t xml:space="preserve"> housing demand and supply of various housing types.</w:t>
      </w:r>
    </w:p>
    <w:p w:rsidR="00EC4C7A" w:rsidRDefault="00AA1C91">
      <w:pPr>
        <w:pStyle w:val="ListBullet"/>
        <w:rPr>
          <w:rFonts w:cstheme="minorHAnsi"/>
        </w:rPr>
      </w:pPr>
      <w:r w:rsidRPr="00AA1C91">
        <w:rPr>
          <w:rFonts w:cstheme="minorHAnsi"/>
        </w:rPr>
        <w:t>Considering the implications of current trends relating to the development of housing in rural areas and identifying regional considerations related to rural residential development.</w:t>
      </w:r>
    </w:p>
    <w:p w:rsidR="00EC4C7A" w:rsidRDefault="00AA1C91">
      <w:pPr>
        <w:pStyle w:val="ListBullet"/>
        <w:rPr>
          <w:rFonts w:cstheme="minorHAnsi"/>
        </w:rPr>
      </w:pPr>
      <w:r w:rsidRPr="00AA1C91">
        <w:rPr>
          <w:rFonts w:cstheme="minorHAnsi"/>
        </w:rPr>
        <w:t xml:space="preserve">Identifying significant attributes of towns that create a sense of place, or enhance liveability, and should be protected. </w:t>
      </w:r>
    </w:p>
    <w:p w:rsidR="00EC4C7A" w:rsidRDefault="00AA1C91">
      <w:pPr>
        <w:pStyle w:val="ListBullet"/>
        <w:spacing w:after="240"/>
        <w:rPr>
          <w:rFonts w:cstheme="minorHAnsi"/>
        </w:rPr>
      </w:pPr>
      <w:r w:rsidRPr="00AA1C91">
        <w:rPr>
          <w:rFonts w:cstheme="minorHAnsi"/>
        </w:rPr>
        <w:t>Recognising the environmental, economic and settlement relationships between Melbourne and the peri-urban areas of the Central Highlands region.</w:t>
      </w:r>
    </w:p>
    <w:p w:rsidR="00EC4C7A" w:rsidRDefault="00AA1C91">
      <w:pPr>
        <w:pStyle w:val="bt"/>
        <w:spacing w:before="0" w:after="0"/>
        <w:rPr>
          <w:rStyle w:val="Strong"/>
          <w:rFonts w:asciiTheme="minorHAnsi" w:hAnsiTheme="minorHAnsi" w:cstheme="minorHAnsi"/>
        </w:rPr>
      </w:pPr>
      <w:r w:rsidRPr="00AA1C91">
        <w:rPr>
          <w:rStyle w:val="Strong"/>
          <w:rFonts w:asciiTheme="minorHAnsi" w:hAnsiTheme="minorHAnsi" w:cstheme="minorHAnsi"/>
        </w:rPr>
        <w:t xml:space="preserve">Chapter </w:t>
      </w:r>
      <w:r w:rsidR="00631B16">
        <w:fldChar w:fldCharType="begin"/>
      </w:r>
      <w:r w:rsidR="00631B16">
        <w:instrText xml:space="preserve"> REF _Ref349558671 \r \h  \* MERGEFORMAT </w:instrText>
      </w:r>
      <w:r w:rsidR="00631B16">
        <w:fldChar w:fldCharType="separate"/>
      </w:r>
      <w:r w:rsidR="00907B42">
        <w:t>4</w:t>
      </w:r>
      <w:r w:rsidR="00631B16">
        <w:fldChar w:fldCharType="end"/>
      </w:r>
      <w:r w:rsidRPr="00AA1C91">
        <w:rPr>
          <w:rStyle w:val="Strong"/>
          <w:rFonts w:asciiTheme="minorHAnsi" w:hAnsiTheme="minorHAnsi" w:cstheme="minorHAnsi"/>
        </w:rPr>
        <w:t>: Planning for communities</w:t>
      </w:r>
    </w:p>
    <w:p w:rsidR="00EC4C7A" w:rsidRDefault="00AE26B4">
      <w:pPr>
        <w:pStyle w:val="ListBullet"/>
        <w:rPr>
          <w:rFonts w:cstheme="minorHAnsi"/>
        </w:rPr>
      </w:pPr>
      <w:r w:rsidRPr="00003239">
        <w:rPr>
          <w:rFonts w:cstheme="minorHAnsi"/>
        </w:rPr>
        <w:t>Understanding the spatial implications of demographic change, particularly the uneven population growth and ageing population, for p</w:t>
      </w:r>
      <w:r w:rsidR="00AA1C91" w:rsidRPr="00AA1C91">
        <w:rPr>
          <w:rFonts w:cstheme="minorHAnsi"/>
        </w:rPr>
        <w:t xml:space="preserve">rovision of services and accommodation of new development. </w:t>
      </w:r>
    </w:p>
    <w:p w:rsidR="00EC4C7A" w:rsidRDefault="00AA1C91">
      <w:pPr>
        <w:pStyle w:val="ListBullet"/>
        <w:rPr>
          <w:rFonts w:cstheme="minorHAnsi"/>
        </w:rPr>
      </w:pPr>
      <w:r w:rsidRPr="00AA1C91">
        <w:rPr>
          <w:rFonts w:cstheme="minorHAnsi"/>
        </w:rPr>
        <w:t>Seeking patterns of growth that support sustainable and resilient communities.</w:t>
      </w:r>
    </w:p>
    <w:p w:rsidR="00EC4C7A" w:rsidRDefault="00AA1C91">
      <w:pPr>
        <w:pStyle w:val="ListBullet"/>
        <w:rPr>
          <w:rFonts w:cstheme="minorHAnsi"/>
        </w:rPr>
      </w:pPr>
      <w:r w:rsidRPr="00AA1C91">
        <w:rPr>
          <w:rFonts w:cstheme="minorHAnsi"/>
        </w:rPr>
        <w:t>Supporting education and skills development by planning for future education facilities in accordance with patterns of growth and change, and ensuring appropriate links are made to the regional university.</w:t>
      </w:r>
    </w:p>
    <w:p w:rsidR="00EC4C7A" w:rsidRDefault="00AA1C91">
      <w:pPr>
        <w:pStyle w:val="ListBullet"/>
        <w:rPr>
          <w:rFonts w:cstheme="minorHAnsi"/>
        </w:rPr>
      </w:pPr>
      <w:r w:rsidRPr="00AA1C91">
        <w:rPr>
          <w:rFonts w:cstheme="minorHAnsi"/>
        </w:rPr>
        <w:t>Creating a healthy community by supporting appropriate infrastructure, developing healthy built environments and undertaking measures to address disadvantage.</w:t>
      </w:r>
    </w:p>
    <w:p w:rsidR="00EC4C7A" w:rsidRDefault="00AA1C91">
      <w:pPr>
        <w:pStyle w:val="ListBullet"/>
        <w:spacing w:after="240"/>
        <w:rPr>
          <w:rFonts w:cstheme="minorHAnsi"/>
        </w:rPr>
      </w:pPr>
      <w:r w:rsidRPr="00AA1C91">
        <w:rPr>
          <w:rFonts w:cstheme="minorHAnsi"/>
        </w:rPr>
        <w:t>Considering the cultural heritage assets of the region.</w:t>
      </w:r>
    </w:p>
    <w:p w:rsidR="00EC4C7A" w:rsidRDefault="00AA1C91">
      <w:pPr>
        <w:pStyle w:val="bt"/>
        <w:spacing w:before="0" w:after="0"/>
        <w:rPr>
          <w:rStyle w:val="Strong"/>
          <w:rFonts w:asciiTheme="minorHAnsi" w:hAnsiTheme="minorHAnsi" w:cstheme="minorHAnsi"/>
        </w:rPr>
      </w:pPr>
      <w:r w:rsidRPr="00AA1C91">
        <w:rPr>
          <w:rStyle w:val="Strong"/>
          <w:rFonts w:asciiTheme="minorHAnsi" w:hAnsiTheme="minorHAnsi" w:cstheme="minorHAnsi"/>
        </w:rPr>
        <w:t xml:space="preserve">Chapter </w:t>
      </w:r>
      <w:r w:rsidR="00631B16">
        <w:fldChar w:fldCharType="begin"/>
      </w:r>
      <w:r w:rsidR="00631B16">
        <w:instrText xml:space="preserve"> REF _Ref349558672 \r \h  \* MERGEFORMAT </w:instrText>
      </w:r>
      <w:r w:rsidR="00631B16">
        <w:fldChar w:fldCharType="separate"/>
      </w:r>
      <w:r w:rsidR="00907B42">
        <w:t>5</w:t>
      </w:r>
      <w:r w:rsidR="00631B16">
        <w:fldChar w:fldCharType="end"/>
      </w:r>
      <w:r w:rsidRPr="00AA1C91">
        <w:rPr>
          <w:rStyle w:val="Strong"/>
          <w:rFonts w:asciiTheme="minorHAnsi" w:hAnsiTheme="minorHAnsi" w:cstheme="minorHAnsi"/>
        </w:rPr>
        <w:t>: Economic prosperity</w:t>
      </w:r>
    </w:p>
    <w:p w:rsidR="00EC4C7A" w:rsidRDefault="00E54FF2">
      <w:pPr>
        <w:pStyle w:val="ListBullet"/>
        <w:rPr>
          <w:rFonts w:cstheme="minorHAnsi"/>
        </w:rPr>
      </w:pPr>
      <w:r w:rsidRPr="00003239">
        <w:rPr>
          <w:rFonts w:cstheme="minorHAnsi"/>
        </w:rPr>
        <w:t>Identifying overall strengths of the regional economy.</w:t>
      </w:r>
    </w:p>
    <w:p w:rsidR="00EC4C7A" w:rsidRDefault="00AA1C91">
      <w:pPr>
        <w:pStyle w:val="ListBullet"/>
        <w:rPr>
          <w:rFonts w:cstheme="minorHAnsi"/>
        </w:rPr>
      </w:pPr>
      <w:r w:rsidRPr="00AA1C91">
        <w:rPr>
          <w:rFonts w:cstheme="minorHAnsi"/>
        </w:rPr>
        <w:t xml:space="preserve">Identifying strategic considerations related to agriculture and rural land use. </w:t>
      </w:r>
    </w:p>
    <w:p w:rsidR="00EC4C7A" w:rsidRDefault="00AA1C91">
      <w:pPr>
        <w:pStyle w:val="ListBullet"/>
        <w:rPr>
          <w:rFonts w:cstheme="minorHAnsi"/>
        </w:rPr>
      </w:pPr>
      <w:r w:rsidRPr="00AA1C91">
        <w:rPr>
          <w:rFonts w:cstheme="minorHAnsi"/>
        </w:rPr>
        <w:t>Ensuring a sufficient supply of industrial land in strategic locations throughout the region.</w:t>
      </w:r>
    </w:p>
    <w:p w:rsidR="00EC4C7A" w:rsidRDefault="00AA1C91">
      <w:pPr>
        <w:pStyle w:val="ListBullet"/>
        <w:rPr>
          <w:rFonts w:cstheme="minorHAnsi"/>
        </w:rPr>
      </w:pPr>
      <w:r w:rsidRPr="00AA1C91">
        <w:rPr>
          <w:rFonts w:cstheme="minorHAnsi"/>
        </w:rPr>
        <w:t>Protecting key tourism assets and ensuring these can be built on by complementary activities.</w:t>
      </w:r>
    </w:p>
    <w:p w:rsidR="00EC4C7A" w:rsidRDefault="00AA1C91">
      <w:pPr>
        <w:pStyle w:val="ListBullet"/>
        <w:rPr>
          <w:rFonts w:cstheme="minorHAnsi"/>
        </w:rPr>
      </w:pPr>
      <w:r w:rsidRPr="00AA1C91">
        <w:rPr>
          <w:rFonts w:cstheme="minorHAnsi"/>
        </w:rPr>
        <w:t>Protecting and enhancing the region’s comparative economic advantages to assist in diversifying the regional economy, such as identifying preferred locations for renewable energy infrastructure.</w:t>
      </w:r>
    </w:p>
    <w:p w:rsidR="00977170" w:rsidRPr="00003239" w:rsidRDefault="00AA1C91" w:rsidP="00977170">
      <w:pPr>
        <w:pStyle w:val="ListBullet"/>
        <w:rPr>
          <w:rFonts w:cstheme="minorHAnsi"/>
        </w:rPr>
      </w:pPr>
      <w:r w:rsidRPr="00AA1C91">
        <w:rPr>
          <w:rFonts w:cstheme="minorHAnsi"/>
        </w:rPr>
        <w:t>Identifying commercial and retail needs for the region.</w:t>
      </w:r>
    </w:p>
    <w:p w:rsidR="00EC4C7A" w:rsidRDefault="00977170">
      <w:pPr>
        <w:spacing w:after="200" w:line="276" w:lineRule="auto"/>
        <w:jc w:val="left"/>
        <w:rPr>
          <w:rFonts w:asciiTheme="minorHAnsi" w:eastAsiaTheme="minorEastAsia" w:hAnsiTheme="minorHAnsi" w:cstheme="minorHAnsi"/>
        </w:rPr>
      </w:pPr>
      <w:r w:rsidRPr="00003239">
        <w:rPr>
          <w:rFonts w:asciiTheme="minorHAnsi" w:hAnsiTheme="minorHAnsi" w:cstheme="minorHAnsi"/>
        </w:rPr>
        <w:br w:type="page"/>
      </w:r>
    </w:p>
    <w:p w:rsidR="00EC4C7A" w:rsidRDefault="00AA1C91" w:rsidP="008048B5">
      <w:pPr>
        <w:pStyle w:val="ListBullet"/>
        <w:numPr>
          <w:ilvl w:val="0"/>
          <w:numId w:val="0"/>
        </w:numPr>
        <w:rPr>
          <w:rStyle w:val="Strong"/>
          <w:rFonts w:asciiTheme="minorHAnsi" w:hAnsiTheme="minorHAnsi" w:cstheme="minorHAnsi"/>
        </w:rPr>
      </w:pPr>
      <w:r w:rsidRPr="00AA1C91">
        <w:rPr>
          <w:rStyle w:val="Strong"/>
          <w:rFonts w:asciiTheme="minorHAnsi" w:hAnsiTheme="minorHAnsi" w:cstheme="minorHAnsi"/>
        </w:rPr>
        <w:lastRenderedPageBreak/>
        <w:t xml:space="preserve">Chapter </w:t>
      </w:r>
      <w:r w:rsidR="009F388E">
        <w:fldChar w:fldCharType="begin"/>
      </w:r>
      <w:r w:rsidR="004C5F97">
        <w:rPr>
          <w:rStyle w:val="Strong"/>
          <w:rFonts w:asciiTheme="minorHAnsi" w:hAnsiTheme="minorHAnsi" w:cstheme="minorHAnsi"/>
        </w:rPr>
        <w:instrText xml:space="preserve"> REF _Ref370377007 \r \h </w:instrText>
      </w:r>
      <w:r w:rsidR="009F388E">
        <w:fldChar w:fldCharType="separate"/>
      </w:r>
      <w:r w:rsidR="00907B42">
        <w:rPr>
          <w:rStyle w:val="Strong"/>
          <w:rFonts w:asciiTheme="minorHAnsi" w:hAnsiTheme="minorHAnsi" w:cstheme="minorHAnsi"/>
        </w:rPr>
        <w:t>6</w:t>
      </w:r>
      <w:r w:rsidR="009F388E">
        <w:fldChar w:fldCharType="end"/>
      </w:r>
      <w:r w:rsidRPr="00AA1C91">
        <w:rPr>
          <w:rStyle w:val="Strong"/>
          <w:rFonts w:asciiTheme="minorHAnsi" w:hAnsiTheme="minorHAnsi" w:cstheme="minorHAnsi"/>
        </w:rPr>
        <w:t>: Transport and infrastructure</w:t>
      </w:r>
    </w:p>
    <w:p w:rsidR="00EC4C7A" w:rsidRDefault="00AE26B4">
      <w:pPr>
        <w:pStyle w:val="ListBullet"/>
        <w:rPr>
          <w:rFonts w:cstheme="minorHAnsi"/>
        </w:rPr>
      </w:pPr>
      <w:r w:rsidRPr="00003239">
        <w:rPr>
          <w:rFonts w:cstheme="minorHAnsi"/>
        </w:rPr>
        <w:t>Providing for improved regional and inter-regional connectivity to stimulate growth and provide access between communities.</w:t>
      </w:r>
    </w:p>
    <w:p w:rsidR="00EC4C7A" w:rsidRDefault="00AA1C91">
      <w:pPr>
        <w:pStyle w:val="ListBullet"/>
        <w:rPr>
          <w:rFonts w:cstheme="minorHAnsi"/>
        </w:rPr>
      </w:pPr>
      <w:r w:rsidRPr="00AA1C91">
        <w:rPr>
          <w:rFonts w:cstheme="minorHAnsi"/>
        </w:rPr>
        <w:t xml:space="preserve">Considering the impacts of enhanced communications technology for future land use and settlement. </w:t>
      </w:r>
    </w:p>
    <w:p w:rsidR="00EC4C7A" w:rsidRDefault="00AA1C91">
      <w:pPr>
        <w:pStyle w:val="ListBullet"/>
        <w:rPr>
          <w:rFonts w:cstheme="minorHAnsi"/>
        </w:rPr>
      </w:pPr>
      <w:r w:rsidRPr="00AA1C91">
        <w:rPr>
          <w:rFonts w:cstheme="minorHAnsi"/>
        </w:rPr>
        <w:t>Identifying infrastructure required to transport freight and maintain liveability.</w:t>
      </w:r>
    </w:p>
    <w:p w:rsidR="00EC4C7A" w:rsidRDefault="00AA1C91">
      <w:pPr>
        <w:pStyle w:val="ListBullet"/>
        <w:spacing w:after="240"/>
        <w:rPr>
          <w:rFonts w:cstheme="minorHAnsi"/>
        </w:rPr>
      </w:pPr>
      <w:r w:rsidRPr="00AA1C91">
        <w:rPr>
          <w:rFonts w:cstheme="minorHAnsi"/>
        </w:rPr>
        <w:t>Setting out key infrastructure issues and needs related to the region’s economic and population growth.</w:t>
      </w:r>
    </w:p>
    <w:p w:rsidR="00EC4C7A" w:rsidRDefault="00AA1C91">
      <w:pPr>
        <w:pStyle w:val="bt"/>
        <w:spacing w:before="0" w:after="0"/>
        <w:rPr>
          <w:rStyle w:val="Strong"/>
          <w:rFonts w:asciiTheme="minorHAnsi" w:hAnsiTheme="minorHAnsi" w:cstheme="minorHAnsi"/>
        </w:rPr>
      </w:pPr>
      <w:r w:rsidRPr="00AA1C91">
        <w:rPr>
          <w:rStyle w:val="Strong"/>
          <w:rFonts w:asciiTheme="minorHAnsi" w:hAnsiTheme="minorHAnsi" w:cstheme="minorHAnsi"/>
        </w:rPr>
        <w:t xml:space="preserve">Chapter </w:t>
      </w:r>
      <w:r w:rsidR="00631B16">
        <w:fldChar w:fldCharType="begin"/>
      </w:r>
      <w:r w:rsidR="00631B16">
        <w:instrText xml:space="preserve"> REF _Ref349558674 \r \h  \* MERGEFORMAT </w:instrText>
      </w:r>
      <w:r w:rsidR="00631B16">
        <w:fldChar w:fldCharType="separate"/>
      </w:r>
      <w:r w:rsidR="00907B42">
        <w:t>7</w:t>
      </w:r>
      <w:r w:rsidR="00631B16">
        <w:fldChar w:fldCharType="end"/>
      </w:r>
      <w:r w:rsidRPr="00AA1C91">
        <w:rPr>
          <w:rStyle w:val="Strong"/>
          <w:rFonts w:asciiTheme="minorHAnsi" w:hAnsiTheme="minorHAnsi" w:cstheme="minorHAnsi"/>
        </w:rPr>
        <w:t>: Environment</w:t>
      </w:r>
    </w:p>
    <w:p w:rsidR="00EC4C7A" w:rsidRDefault="00AE26B4">
      <w:pPr>
        <w:pStyle w:val="ListBullet"/>
        <w:rPr>
          <w:rFonts w:cstheme="minorHAnsi"/>
        </w:rPr>
      </w:pPr>
      <w:r w:rsidRPr="00003239">
        <w:rPr>
          <w:rFonts w:cstheme="minorHAnsi"/>
        </w:rPr>
        <w:t xml:space="preserve">Protecting significant environmental </w:t>
      </w:r>
      <w:r w:rsidR="006A1379" w:rsidRPr="00003239">
        <w:rPr>
          <w:rFonts w:cstheme="minorHAnsi"/>
        </w:rPr>
        <w:t>assets</w:t>
      </w:r>
      <w:r w:rsidR="001D260A" w:rsidRPr="00003239">
        <w:rPr>
          <w:rFonts w:cstheme="minorHAnsi"/>
        </w:rPr>
        <w:t>.</w:t>
      </w:r>
    </w:p>
    <w:p w:rsidR="00EC4C7A" w:rsidRDefault="00AA1C91">
      <w:pPr>
        <w:pStyle w:val="ListBullet"/>
        <w:rPr>
          <w:rFonts w:cstheme="minorHAnsi"/>
        </w:rPr>
      </w:pPr>
      <w:r w:rsidRPr="00AA1C91">
        <w:rPr>
          <w:rFonts w:cstheme="minorHAnsi"/>
        </w:rPr>
        <w:t>Identifying key natural hazards.</w:t>
      </w:r>
    </w:p>
    <w:p w:rsidR="00EC4C7A" w:rsidRDefault="00AA1C91">
      <w:pPr>
        <w:pStyle w:val="ListBullet"/>
        <w:rPr>
          <w:rFonts w:cstheme="minorHAnsi"/>
        </w:rPr>
      </w:pPr>
      <w:r w:rsidRPr="00AA1C91">
        <w:rPr>
          <w:rFonts w:cstheme="minorHAnsi"/>
        </w:rPr>
        <w:t xml:space="preserve">Identifying the impacts of a changing climate and how the region’s environmental, economic and settlement characteristics may need to change to take advantage of, </w:t>
      </w:r>
      <w:r w:rsidR="007C05BD">
        <w:rPr>
          <w:rFonts w:cstheme="minorHAnsi"/>
        </w:rPr>
        <w:t>or ameliorate the impacts of, a changing</w:t>
      </w:r>
      <w:r w:rsidRPr="00AA1C91">
        <w:rPr>
          <w:rFonts w:cstheme="minorHAnsi"/>
        </w:rPr>
        <w:t xml:space="preserve"> climate.</w:t>
      </w:r>
    </w:p>
    <w:p w:rsidR="00EC4C7A" w:rsidRDefault="00AA1C91">
      <w:pPr>
        <w:pStyle w:val="ListBullet"/>
        <w:rPr>
          <w:rFonts w:cstheme="minorHAnsi"/>
        </w:rPr>
      </w:pPr>
      <w:r w:rsidRPr="00AA1C91">
        <w:rPr>
          <w:rFonts w:cstheme="minorHAnsi"/>
        </w:rPr>
        <w:t>Protecting regionally-significant landscapes.</w:t>
      </w:r>
    </w:p>
    <w:p w:rsidR="00EC4C7A" w:rsidRDefault="00AA1C91">
      <w:pPr>
        <w:pStyle w:val="ListBullet"/>
        <w:spacing w:after="240"/>
        <w:rPr>
          <w:rFonts w:cstheme="minorHAnsi"/>
        </w:rPr>
      </w:pPr>
      <w:r w:rsidRPr="00AA1C91">
        <w:rPr>
          <w:rFonts w:cstheme="minorHAnsi"/>
        </w:rPr>
        <w:t>Ensuring growth in the region maintains the health of water catchments and can access a reliable water supply.</w:t>
      </w:r>
    </w:p>
    <w:p w:rsidR="00EC4C7A" w:rsidRDefault="00AA1C91">
      <w:pPr>
        <w:pStyle w:val="bt"/>
        <w:spacing w:before="0" w:after="0"/>
        <w:rPr>
          <w:rStyle w:val="Strong"/>
          <w:rFonts w:asciiTheme="minorHAnsi" w:hAnsiTheme="minorHAnsi" w:cstheme="minorHAnsi"/>
        </w:rPr>
      </w:pPr>
      <w:r w:rsidRPr="00AA1C91">
        <w:rPr>
          <w:rStyle w:val="Strong"/>
          <w:rFonts w:asciiTheme="minorHAnsi" w:hAnsiTheme="minorHAnsi" w:cstheme="minorHAnsi"/>
        </w:rPr>
        <w:t xml:space="preserve">Chapter </w:t>
      </w:r>
      <w:r w:rsidR="00631B16">
        <w:fldChar w:fldCharType="begin"/>
      </w:r>
      <w:r w:rsidR="00631B16">
        <w:instrText xml:space="preserve"> REF _Ref349558675 \r \h  \* MERGEFORMAT </w:instrText>
      </w:r>
      <w:r w:rsidR="00631B16">
        <w:fldChar w:fldCharType="separate"/>
      </w:r>
      <w:r w:rsidR="00907B42">
        <w:t>8</w:t>
      </w:r>
      <w:r w:rsidR="00631B16">
        <w:fldChar w:fldCharType="end"/>
      </w:r>
      <w:r w:rsidRPr="00AA1C91">
        <w:rPr>
          <w:rStyle w:val="Strong"/>
          <w:rFonts w:asciiTheme="minorHAnsi" w:hAnsiTheme="minorHAnsi" w:cstheme="minorHAnsi"/>
        </w:rPr>
        <w:t>: Cross-regional issues</w:t>
      </w:r>
    </w:p>
    <w:p w:rsidR="00EC4C7A" w:rsidRDefault="00172D23">
      <w:pPr>
        <w:pStyle w:val="ListBullet"/>
        <w:rPr>
          <w:rFonts w:cstheme="minorHAnsi"/>
        </w:rPr>
      </w:pPr>
      <w:r w:rsidRPr="00003239">
        <w:rPr>
          <w:rFonts w:cstheme="minorHAnsi"/>
        </w:rPr>
        <w:t>Summaris</w:t>
      </w:r>
      <w:r w:rsidR="00905FE8">
        <w:rPr>
          <w:rFonts w:cstheme="minorHAnsi"/>
        </w:rPr>
        <w:t>ing</w:t>
      </w:r>
      <w:r w:rsidRPr="00003239">
        <w:rPr>
          <w:rFonts w:cstheme="minorHAnsi"/>
        </w:rPr>
        <w:t xml:space="preserve"> the relationships between the Central Highlands and neighbouring regions</w:t>
      </w:r>
      <w:r w:rsidR="00D46D8A" w:rsidRPr="00003239">
        <w:rPr>
          <w:rFonts w:cstheme="minorHAnsi"/>
        </w:rPr>
        <w:t>.</w:t>
      </w:r>
    </w:p>
    <w:p w:rsidR="00977170" w:rsidRPr="00003239" w:rsidRDefault="00977170">
      <w:pPr>
        <w:spacing w:after="200" w:line="276" w:lineRule="auto"/>
        <w:jc w:val="left"/>
        <w:rPr>
          <w:rFonts w:asciiTheme="minorHAnsi" w:hAnsiTheme="minorHAnsi" w:cstheme="minorHAnsi"/>
        </w:rPr>
        <w:sectPr w:rsidR="00977170" w:rsidRPr="00003239" w:rsidSect="00B54F63">
          <w:headerReference w:type="default" r:id="rId18"/>
          <w:footerReference w:type="default" r:id="rId19"/>
          <w:pgSz w:w="11906" w:h="16838" w:code="9"/>
          <w:pgMar w:top="1440" w:right="1282" w:bottom="993" w:left="1800" w:header="706" w:footer="706" w:gutter="0"/>
          <w:pgNumType w:fmt="lowerRoman" w:start="1"/>
          <w:cols w:space="708"/>
          <w:docGrid w:linePitch="360"/>
        </w:sectPr>
      </w:pPr>
    </w:p>
    <w:p w:rsidR="00EC4C7A" w:rsidRDefault="00AE26B4" w:rsidP="007649C1">
      <w:pPr>
        <w:pStyle w:val="Heading11"/>
      </w:pPr>
      <w:bookmarkStart w:id="8" w:name="_Toc356988188"/>
      <w:bookmarkStart w:id="9" w:name="_Toc356988344"/>
      <w:bookmarkStart w:id="10" w:name="_Toc356999643"/>
      <w:bookmarkStart w:id="11" w:name="_Toc356999729"/>
      <w:bookmarkStart w:id="12" w:name="_Toc356999816"/>
      <w:bookmarkStart w:id="13" w:name="_Toc356999903"/>
      <w:bookmarkStart w:id="14" w:name="_Toc357067278"/>
      <w:bookmarkStart w:id="15" w:name="_Toc349557690"/>
      <w:bookmarkStart w:id="16" w:name="_Ref370377083"/>
      <w:bookmarkStart w:id="17" w:name="_Toc374527585"/>
      <w:bookmarkEnd w:id="8"/>
      <w:bookmarkEnd w:id="9"/>
      <w:bookmarkEnd w:id="10"/>
      <w:bookmarkEnd w:id="11"/>
      <w:bookmarkEnd w:id="12"/>
      <w:bookmarkEnd w:id="13"/>
      <w:bookmarkEnd w:id="14"/>
      <w:r w:rsidRPr="00003239">
        <w:lastRenderedPageBreak/>
        <w:t>Introduction and purpose</w:t>
      </w:r>
      <w:bookmarkEnd w:id="15"/>
      <w:bookmarkEnd w:id="16"/>
      <w:bookmarkEnd w:id="17"/>
    </w:p>
    <w:p w:rsidR="00EC4C7A" w:rsidRDefault="00AE26B4">
      <w:pPr>
        <w:pStyle w:val="bt"/>
        <w:rPr>
          <w:rFonts w:cstheme="minorHAnsi"/>
        </w:rPr>
      </w:pPr>
      <w:r w:rsidRPr="00003239">
        <w:rPr>
          <w:rFonts w:cstheme="minorHAnsi"/>
        </w:rPr>
        <w:t>The Central Highlands Regional Growth Plan</w:t>
      </w:r>
      <w:r w:rsidR="003541F6" w:rsidRPr="00003239">
        <w:rPr>
          <w:rFonts w:cstheme="minorHAnsi"/>
        </w:rPr>
        <w:t xml:space="preserve"> </w:t>
      </w:r>
      <w:r w:rsidR="00764708" w:rsidRPr="00003239">
        <w:rPr>
          <w:rFonts w:cstheme="minorHAnsi"/>
        </w:rPr>
        <w:t xml:space="preserve">has been </w:t>
      </w:r>
      <w:r w:rsidRPr="00003239">
        <w:rPr>
          <w:rFonts w:cstheme="minorHAnsi"/>
        </w:rPr>
        <w:t xml:space="preserve">developed </w:t>
      </w:r>
      <w:r w:rsidR="00764708" w:rsidRPr="00003239">
        <w:rPr>
          <w:rFonts w:cstheme="minorHAnsi"/>
        </w:rPr>
        <w:t xml:space="preserve">in partnership between local government and </w:t>
      </w:r>
      <w:r w:rsidR="002A3F97">
        <w:rPr>
          <w:rFonts w:cstheme="minorHAnsi"/>
        </w:rPr>
        <w:t>s</w:t>
      </w:r>
      <w:r w:rsidR="00D815C1">
        <w:rPr>
          <w:rFonts w:cstheme="minorHAnsi"/>
        </w:rPr>
        <w:t>tate government</w:t>
      </w:r>
      <w:r w:rsidRPr="00003239">
        <w:rPr>
          <w:rFonts w:cstheme="minorHAnsi"/>
        </w:rPr>
        <w:t xml:space="preserve"> </w:t>
      </w:r>
      <w:r w:rsidR="00764708" w:rsidRPr="00003239">
        <w:rPr>
          <w:rFonts w:cstheme="minorHAnsi"/>
        </w:rPr>
        <w:t>agencies and authorities</w:t>
      </w:r>
      <w:r w:rsidRPr="00003239">
        <w:rPr>
          <w:rFonts w:cstheme="minorHAnsi"/>
        </w:rPr>
        <w:t>. It provide</w:t>
      </w:r>
      <w:r w:rsidR="00764708" w:rsidRPr="00003239">
        <w:rPr>
          <w:rFonts w:cstheme="minorHAnsi"/>
        </w:rPr>
        <w:t>s</w:t>
      </w:r>
      <w:r w:rsidRPr="00003239">
        <w:rPr>
          <w:rFonts w:cstheme="minorHAnsi"/>
        </w:rPr>
        <w:t xml:space="preserve"> </w:t>
      </w:r>
      <w:r w:rsidR="00401721" w:rsidRPr="00003239">
        <w:rPr>
          <w:rFonts w:cstheme="minorHAnsi"/>
        </w:rPr>
        <w:t xml:space="preserve">regional </w:t>
      </w:r>
      <w:r w:rsidRPr="00003239">
        <w:rPr>
          <w:rFonts w:cstheme="minorHAnsi"/>
        </w:rPr>
        <w:t xml:space="preserve">land use planning responses to the strategic aspirations and directions </w:t>
      </w:r>
      <w:r w:rsidR="00764708" w:rsidRPr="00003239">
        <w:rPr>
          <w:rFonts w:cstheme="minorHAnsi"/>
        </w:rPr>
        <w:t xml:space="preserve">identified in the </w:t>
      </w:r>
      <w:r w:rsidR="0069443A" w:rsidRPr="000B40E8">
        <w:rPr>
          <w:rFonts w:cstheme="minorHAnsi"/>
        </w:rPr>
        <w:t>Central Highlands Regional Strategic Plan</w:t>
      </w:r>
      <w:r w:rsidR="00D71F6B" w:rsidRPr="000B40E8">
        <w:rPr>
          <w:rFonts w:cstheme="minorHAnsi"/>
        </w:rPr>
        <w:t xml:space="preserve"> 2010</w:t>
      </w:r>
      <w:r w:rsidRPr="00003239">
        <w:rPr>
          <w:rFonts w:cstheme="minorHAnsi"/>
        </w:rPr>
        <w:t xml:space="preserve">. The </w:t>
      </w:r>
      <w:r w:rsidR="006F61DF" w:rsidRPr="00003239">
        <w:rPr>
          <w:rFonts w:cstheme="minorHAnsi"/>
        </w:rPr>
        <w:t>plan</w:t>
      </w:r>
      <w:r w:rsidR="00764708" w:rsidRPr="00003239">
        <w:rPr>
          <w:rFonts w:cstheme="minorHAnsi"/>
        </w:rPr>
        <w:t xml:space="preserve"> </w:t>
      </w:r>
      <w:r w:rsidRPr="00003239">
        <w:rPr>
          <w:rFonts w:cstheme="minorHAnsi"/>
        </w:rPr>
        <w:t>take</w:t>
      </w:r>
      <w:r w:rsidR="00764708" w:rsidRPr="00003239">
        <w:rPr>
          <w:rFonts w:cstheme="minorHAnsi"/>
        </w:rPr>
        <w:t>s</w:t>
      </w:r>
      <w:r w:rsidRPr="00003239">
        <w:rPr>
          <w:rFonts w:cstheme="minorHAnsi"/>
        </w:rPr>
        <w:t xml:space="preserve"> a 30</w:t>
      </w:r>
      <w:r w:rsidR="00764708" w:rsidRPr="00003239">
        <w:rPr>
          <w:rFonts w:cstheme="minorHAnsi"/>
        </w:rPr>
        <w:t>-</w:t>
      </w:r>
      <w:r w:rsidRPr="00003239">
        <w:rPr>
          <w:rFonts w:cstheme="minorHAnsi"/>
        </w:rPr>
        <w:t>year strategic view of future planning for the region.</w:t>
      </w:r>
    </w:p>
    <w:p w:rsidR="00EC4C7A" w:rsidRDefault="00AE26B4">
      <w:pPr>
        <w:pStyle w:val="bt"/>
        <w:rPr>
          <w:rFonts w:cstheme="minorHAnsi"/>
        </w:rPr>
      </w:pPr>
      <w:r w:rsidRPr="00003239">
        <w:rPr>
          <w:rFonts w:cstheme="minorHAnsi"/>
        </w:rPr>
        <w:t xml:space="preserve">The Central Highlands </w:t>
      </w:r>
      <w:r w:rsidR="006A1379" w:rsidRPr="00003239">
        <w:rPr>
          <w:rFonts w:cstheme="minorHAnsi"/>
        </w:rPr>
        <w:t>r</w:t>
      </w:r>
      <w:r w:rsidRPr="00003239">
        <w:rPr>
          <w:rFonts w:cstheme="minorHAnsi"/>
        </w:rPr>
        <w:t>egion is located in the west of Victoria, comprising almost 1</w:t>
      </w:r>
      <w:r w:rsidR="00B412B0">
        <w:rPr>
          <w:rFonts w:cstheme="minorHAnsi"/>
        </w:rPr>
        <w:t>3</w:t>
      </w:r>
      <w:r w:rsidRPr="00003239">
        <w:rPr>
          <w:rFonts w:cstheme="minorHAnsi"/>
        </w:rPr>
        <w:t>,9</w:t>
      </w:r>
      <w:r w:rsidR="00B412B0">
        <w:rPr>
          <w:rFonts w:cstheme="minorHAnsi"/>
        </w:rPr>
        <w:t>00</w:t>
      </w:r>
      <w:r w:rsidRPr="00003239">
        <w:rPr>
          <w:rFonts w:cstheme="minorHAnsi"/>
        </w:rPr>
        <w:t xml:space="preserve"> square kilometres (</w:t>
      </w:r>
      <w:r w:rsidR="000D49BF">
        <w:rPr>
          <w:rFonts w:cstheme="minorHAnsi"/>
        </w:rPr>
        <w:t>Australian Bureau of Statistics</w:t>
      </w:r>
      <w:r w:rsidRPr="00003239">
        <w:rPr>
          <w:rFonts w:cstheme="minorHAnsi"/>
        </w:rPr>
        <w:t xml:space="preserve"> 2006). </w:t>
      </w:r>
      <w:r w:rsidR="00764708" w:rsidRPr="00003239">
        <w:rPr>
          <w:rFonts w:cstheme="minorHAnsi"/>
        </w:rPr>
        <w:t xml:space="preserve">It </w:t>
      </w:r>
      <w:r w:rsidRPr="00003239">
        <w:rPr>
          <w:rFonts w:cstheme="minorHAnsi"/>
        </w:rPr>
        <w:t xml:space="preserve">extends from Bacchus Marsh </w:t>
      </w:r>
      <w:r w:rsidR="003541F6" w:rsidRPr="00003239">
        <w:rPr>
          <w:rFonts w:cstheme="minorHAnsi"/>
        </w:rPr>
        <w:t>(Moorabool Shire</w:t>
      </w:r>
      <w:r w:rsidR="00815025">
        <w:rPr>
          <w:rFonts w:cstheme="minorHAnsi"/>
        </w:rPr>
        <w:t xml:space="preserve"> Council</w:t>
      </w:r>
      <w:r w:rsidR="003541F6" w:rsidRPr="00003239">
        <w:rPr>
          <w:rFonts w:cstheme="minorHAnsi"/>
        </w:rPr>
        <w:t xml:space="preserve">) </w:t>
      </w:r>
      <w:r w:rsidRPr="00003239">
        <w:rPr>
          <w:rFonts w:cstheme="minorHAnsi"/>
        </w:rPr>
        <w:t>in the east to Pomonal</w:t>
      </w:r>
      <w:r w:rsidR="003541F6" w:rsidRPr="00003239">
        <w:rPr>
          <w:rFonts w:cstheme="minorHAnsi"/>
        </w:rPr>
        <w:t xml:space="preserve"> (</w:t>
      </w:r>
      <w:r w:rsidR="00815025">
        <w:rPr>
          <w:rFonts w:cstheme="minorHAnsi"/>
        </w:rPr>
        <w:t xml:space="preserve">Ararat </w:t>
      </w:r>
      <w:r w:rsidR="003541F6" w:rsidRPr="00003239">
        <w:rPr>
          <w:rFonts w:cstheme="minorHAnsi"/>
        </w:rPr>
        <w:t xml:space="preserve">Rural City </w:t>
      </w:r>
      <w:r w:rsidR="00815025">
        <w:rPr>
          <w:rFonts w:cstheme="minorHAnsi"/>
        </w:rPr>
        <w:t>Council</w:t>
      </w:r>
      <w:r w:rsidR="003541F6" w:rsidRPr="00003239">
        <w:rPr>
          <w:rFonts w:cstheme="minorHAnsi"/>
        </w:rPr>
        <w:t>)</w:t>
      </w:r>
      <w:r w:rsidRPr="00003239">
        <w:rPr>
          <w:rFonts w:cstheme="minorHAnsi"/>
        </w:rPr>
        <w:t xml:space="preserve"> in the north</w:t>
      </w:r>
      <w:r w:rsidR="00D46D8A" w:rsidRPr="00003239">
        <w:rPr>
          <w:rFonts w:cstheme="minorHAnsi"/>
        </w:rPr>
        <w:t>-</w:t>
      </w:r>
      <w:r w:rsidRPr="00003239">
        <w:rPr>
          <w:rFonts w:cstheme="minorHAnsi"/>
        </w:rPr>
        <w:t>west of the region</w:t>
      </w:r>
      <w:r w:rsidR="0026317B" w:rsidRPr="00003239">
        <w:rPr>
          <w:rFonts w:cstheme="minorHAnsi"/>
        </w:rPr>
        <w:t xml:space="preserve"> </w:t>
      </w:r>
      <w:r w:rsidR="000A44A6" w:rsidRPr="00003239">
        <w:rPr>
          <w:rFonts w:cstheme="minorHAnsi"/>
        </w:rPr>
        <w:t>(refer to</w:t>
      </w:r>
      <w:r w:rsidR="0026317B" w:rsidRPr="00003239">
        <w:rPr>
          <w:rFonts w:cstheme="minorHAnsi"/>
        </w:rPr>
        <w:t xml:space="preserve"> </w:t>
      </w:r>
      <w:r w:rsidR="009F388E">
        <w:rPr>
          <w:rFonts w:cstheme="minorHAnsi"/>
        </w:rPr>
        <w:fldChar w:fldCharType="begin"/>
      </w:r>
      <w:r w:rsidR="00433BBA">
        <w:rPr>
          <w:rFonts w:cstheme="minorHAnsi"/>
        </w:rPr>
        <w:instrText xml:space="preserve"> REF _Ref357171490 \h </w:instrText>
      </w:r>
      <w:r w:rsidR="009F388E">
        <w:rPr>
          <w:rFonts w:cstheme="minorHAnsi"/>
        </w:rPr>
      </w:r>
      <w:r w:rsidR="009F388E">
        <w:rPr>
          <w:rFonts w:cstheme="minorHAnsi"/>
        </w:rPr>
        <w:fldChar w:fldCharType="separate"/>
      </w:r>
      <w:r w:rsidR="00907B42" w:rsidRPr="00D42DE9">
        <w:t xml:space="preserve">Figure </w:t>
      </w:r>
      <w:r w:rsidR="00907B42">
        <w:rPr>
          <w:noProof/>
        </w:rPr>
        <w:t>1</w:t>
      </w:r>
      <w:r w:rsidR="009F388E">
        <w:rPr>
          <w:rFonts w:cstheme="minorHAnsi"/>
        </w:rPr>
        <w:fldChar w:fldCharType="end"/>
      </w:r>
      <w:r w:rsidR="0004684A" w:rsidRPr="00003239">
        <w:rPr>
          <w:rFonts w:cstheme="minorHAnsi"/>
        </w:rPr>
        <w:t>)</w:t>
      </w:r>
      <w:r w:rsidRPr="00003239">
        <w:rPr>
          <w:rFonts w:cstheme="minorHAnsi"/>
        </w:rPr>
        <w:t>.</w:t>
      </w:r>
    </w:p>
    <w:p w:rsidR="00C820C0" w:rsidRDefault="00684BB6">
      <w:pPr>
        <w:pStyle w:val="Caption"/>
      </w:pPr>
      <w:bookmarkStart w:id="18" w:name="_Ref357171490"/>
      <w:r>
        <w:rPr>
          <w:noProof/>
        </w:rPr>
        <w:drawing>
          <wp:anchor distT="0" distB="0" distL="114300" distR="114300" simplePos="0" relativeHeight="251717632" behindDoc="0" locked="0" layoutInCell="1" allowOverlap="1">
            <wp:simplePos x="0" y="0"/>
            <wp:positionH relativeFrom="column">
              <wp:posOffset>-6350</wp:posOffset>
            </wp:positionH>
            <wp:positionV relativeFrom="paragraph">
              <wp:posOffset>238125</wp:posOffset>
            </wp:positionV>
            <wp:extent cx="4324350" cy="5095240"/>
            <wp:effectExtent l="19050" t="0" r="0" b="0"/>
            <wp:wrapTopAndBottom/>
            <wp:docPr id="22" name="Picture 1" descr="Map of Central Highlands Regional Growth Pl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DPCD Permanent All Staff\Regional Growth Plans\Phase 5 CH RGP Products\CH Background Report\Replacement maps\Map01_Pg1_CH Regional growth plan area_29August2013.jpg"/>
                    <pic:cNvPicPr>
                      <a:picLocks noChangeAspect="1" noChangeArrowheads="1"/>
                    </pic:cNvPicPr>
                  </pic:nvPicPr>
                  <pic:blipFill>
                    <a:blip r:embed="rId20" cstate="email"/>
                    <a:srcRect/>
                    <a:stretch>
                      <a:fillRect/>
                    </a:stretch>
                  </pic:blipFill>
                  <pic:spPr bwMode="auto">
                    <a:xfrm>
                      <a:off x="0" y="0"/>
                      <a:ext cx="4324350" cy="5095240"/>
                    </a:xfrm>
                    <a:prstGeom prst="rect">
                      <a:avLst/>
                    </a:prstGeom>
                    <a:noFill/>
                    <a:ln w="9525">
                      <a:noFill/>
                      <a:miter lim="800000"/>
                      <a:headEnd/>
                      <a:tailEnd/>
                    </a:ln>
                  </pic:spPr>
                </pic:pic>
              </a:graphicData>
            </a:graphic>
          </wp:anchor>
        </w:drawing>
      </w:r>
      <w:bookmarkStart w:id="19" w:name="_Toc381698001"/>
      <w:r w:rsidR="006D094F" w:rsidRPr="00D42DE9">
        <w:t xml:space="preserve">Figure </w:t>
      </w:r>
      <w:r w:rsidR="009F388E">
        <w:fldChar w:fldCharType="begin"/>
      </w:r>
      <w:r w:rsidR="00821C7F">
        <w:instrText xml:space="preserve"> SEQ Figure \* ARABIC </w:instrText>
      </w:r>
      <w:r w:rsidR="009F388E">
        <w:fldChar w:fldCharType="separate"/>
      </w:r>
      <w:r w:rsidR="00907B42">
        <w:rPr>
          <w:noProof/>
        </w:rPr>
        <w:t>1</w:t>
      </w:r>
      <w:r w:rsidR="009F388E">
        <w:fldChar w:fldCharType="end"/>
      </w:r>
      <w:bookmarkEnd w:id="18"/>
      <w:r w:rsidR="0060344D">
        <w:t xml:space="preserve">: </w:t>
      </w:r>
      <w:r w:rsidR="006D094F" w:rsidRPr="00D42DE9">
        <w:t>Central Highlands Regional Growth Plan area</w:t>
      </w:r>
      <w:bookmarkEnd w:id="19"/>
    </w:p>
    <w:p w:rsidR="00C820C0" w:rsidRDefault="00E23E23" w:rsidP="00D62DCF">
      <w:pPr>
        <w:pStyle w:val="Source0"/>
      </w:pPr>
      <w:r>
        <w:t xml:space="preserve">Source: </w:t>
      </w:r>
      <w:r w:rsidR="009D6C50">
        <w:t xml:space="preserve">Department of Transport, Planning </w:t>
      </w:r>
      <w:r w:rsidR="006A57C2">
        <w:t>and</w:t>
      </w:r>
      <w:r w:rsidR="009D6C50">
        <w:t xml:space="preserve"> Local Infrastructure</w:t>
      </w:r>
    </w:p>
    <w:p w:rsidR="003B4546" w:rsidRPr="00003239" w:rsidRDefault="00E00909" w:rsidP="00977170">
      <w:pPr>
        <w:pStyle w:val="bt"/>
        <w:rPr>
          <w:rFonts w:cstheme="minorHAnsi"/>
        </w:rPr>
      </w:pPr>
      <w:r w:rsidRPr="00003239">
        <w:rPr>
          <w:rFonts w:cstheme="minorHAnsi"/>
        </w:rPr>
        <w:t>F</w:t>
      </w:r>
      <w:r w:rsidR="00AE26B4" w:rsidRPr="00003239">
        <w:rPr>
          <w:rFonts w:cstheme="minorHAnsi"/>
        </w:rPr>
        <w:t xml:space="preserve">or the purposes of the </w:t>
      </w:r>
      <w:r w:rsidR="003541F6" w:rsidRPr="00003239">
        <w:rPr>
          <w:rFonts w:cstheme="minorHAnsi"/>
        </w:rPr>
        <w:t>plan</w:t>
      </w:r>
      <w:r w:rsidRPr="00003239">
        <w:rPr>
          <w:rFonts w:cstheme="minorHAnsi"/>
        </w:rPr>
        <w:t>, the Central Highlands region</w:t>
      </w:r>
      <w:r w:rsidR="00AE26B4" w:rsidRPr="00003239">
        <w:rPr>
          <w:rFonts w:cstheme="minorHAnsi"/>
        </w:rPr>
        <w:t xml:space="preserve"> includes the northern portion of Golden Plains and all of the Ararat, Ballarat, Hepburn, Moorabool and Pyrenees local government areas. </w:t>
      </w:r>
      <w:r w:rsidR="0026317B" w:rsidRPr="00003239">
        <w:rPr>
          <w:rFonts w:cstheme="minorHAnsi"/>
        </w:rPr>
        <w:t>The</w:t>
      </w:r>
      <w:r w:rsidR="00AE26B4" w:rsidRPr="00003239">
        <w:rPr>
          <w:rFonts w:cstheme="minorHAnsi"/>
        </w:rPr>
        <w:t xml:space="preserve"> Central Goldfields and Northern Grampians local government areas</w:t>
      </w:r>
      <w:r w:rsidR="001B20FF" w:rsidRPr="00003239">
        <w:rPr>
          <w:rFonts w:cstheme="minorHAnsi"/>
        </w:rPr>
        <w:t xml:space="preserve"> have a strong relationship with the Central Highlands</w:t>
      </w:r>
      <w:r w:rsidR="0026317B" w:rsidRPr="00003239">
        <w:rPr>
          <w:rFonts w:cstheme="minorHAnsi"/>
        </w:rPr>
        <w:t xml:space="preserve"> region. As such, issues from these neighbouring shires</w:t>
      </w:r>
      <w:r w:rsidR="001B20FF" w:rsidRPr="00003239">
        <w:rPr>
          <w:rFonts w:cstheme="minorHAnsi"/>
        </w:rPr>
        <w:t xml:space="preserve">, </w:t>
      </w:r>
      <w:r w:rsidR="00AE26B4" w:rsidRPr="00003239">
        <w:rPr>
          <w:rFonts w:cstheme="minorHAnsi"/>
        </w:rPr>
        <w:t xml:space="preserve">particularly those </w:t>
      </w:r>
      <w:r w:rsidR="001B20FF" w:rsidRPr="00003239">
        <w:rPr>
          <w:rFonts w:cstheme="minorHAnsi"/>
        </w:rPr>
        <w:t>relevan</w:t>
      </w:r>
      <w:r w:rsidR="00D46D8A" w:rsidRPr="00003239">
        <w:rPr>
          <w:rFonts w:cstheme="minorHAnsi"/>
        </w:rPr>
        <w:t xml:space="preserve">t </w:t>
      </w:r>
      <w:r w:rsidR="00AE26B4" w:rsidRPr="00003239">
        <w:rPr>
          <w:rFonts w:cstheme="minorHAnsi"/>
        </w:rPr>
        <w:t xml:space="preserve">to the wider Central Highlands </w:t>
      </w:r>
      <w:r w:rsidRPr="00003239">
        <w:rPr>
          <w:rFonts w:cstheme="minorHAnsi"/>
        </w:rPr>
        <w:t>r</w:t>
      </w:r>
      <w:r w:rsidR="00AE26B4" w:rsidRPr="00003239">
        <w:rPr>
          <w:rFonts w:cstheme="minorHAnsi"/>
        </w:rPr>
        <w:t xml:space="preserve">egion, </w:t>
      </w:r>
      <w:r w:rsidR="00401721" w:rsidRPr="00003239">
        <w:rPr>
          <w:rFonts w:cstheme="minorHAnsi"/>
        </w:rPr>
        <w:t xml:space="preserve">are also discussed </w:t>
      </w:r>
      <w:r w:rsidR="00AE26B4" w:rsidRPr="00003239">
        <w:rPr>
          <w:rFonts w:cstheme="minorHAnsi"/>
        </w:rPr>
        <w:t xml:space="preserve">in this </w:t>
      </w:r>
      <w:r w:rsidR="00401721" w:rsidRPr="00003239">
        <w:rPr>
          <w:rFonts w:cstheme="minorHAnsi"/>
        </w:rPr>
        <w:t xml:space="preserve">background </w:t>
      </w:r>
      <w:r w:rsidR="00E10B33" w:rsidRPr="00003239">
        <w:rPr>
          <w:rFonts w:cstheme="minorHAnsi"/>
        </w:rPr>
        <w:t>report</w:t>
      </w:r>
      <w:r w:rsidR="00AE26B4" w:rsidRPr="00003239">
        <w:rPr>
          <w:rFonts w:cstheme="minorHAnsi"/>
        </w:rPr>
        <w:t xml:space="preserve">. The southern portion of the Golden Plains local government area is included in the </w:t>
      </w:r>
      <w:r w:rsidR="001F619E" w:rsidRPr="000B40E8">
        <w:rPr>
          <w:rFonts w:cstheme="minorHAnsi"/>
        </w:rPr>
        <w:t>G21 Regional Growth Plan</w:t>
      </w:r>
      <w:r w:rsidR="00AE26B4" w:rsidRPr="00003239">
        <w:rPr>
          <w:rFonts w:cstheme="minorHAnsi"/>
        </w:rPr>
        <w:t xml:space="preserve"> area. The Northern Grampians Shire </w:t>
      </w:r>
      <w:r w:rsidR="0026317B" w:rsidRPr="00003239">
        <w:rPr>
          <w:rFonts w:cstheme="minorHAnsi"/>
        </w:rPr>
        <w:t xml:space="preserve">is included in the </w:t>
      </w:r>
      <w:r w:rsidR="001F619E" w:rsidRPr="000B40E8">
        <w:rPr>
          <w:rFonts w:cstheme="minorHAnsi"/>
        </w:rPr>
        <w:t>Wimmera Southern Mallee Regional Growth Plan</w:t>
      </w:r>
      <w:r w:rsidR="003B4546" w:rsidRPr="00003239">
        <w:rPr>
          <w:rFonts w:cstheme="minorHAnsi"/>
        </w:rPr>
        <w:t xml:space="preserve"> and the </w:t>
      </w:r>
      <w:r w:rsidR="00B3228C" w:rsidRPr="00003239">
        <w:rPr>
          <w:rFonts w:cstheme="minorHAnsi"/>
        </w:rPr>
        <w:t>Central Goldf</w:t>
      </w:r>
      <w:r w:rsidR="00317702" w:rsidRPr="00003239">
        <w:rPr>
          <w:rFonts w:cstheme="minorHAnsi"/>
        </w:rPr>
        <w:t>i</w:t>
      </w:r>
      <w:r w:rsidR="00B3228C" w:rsidRPr="00003239">
        <w:rPr>
          <w:rFonts w:cstheme="minorHAnsi"/>
        </w:rPr>
        <w:t xml:space="preserve">elds Shire </w:t>
      </w:r>
      <w:r w:rsidR="003B4546" w:rsidRPr="00003239">
        <w:rPr>
          <w:rFonts w:cstheme="minorHAnsi"/>
        </w:rPr>
        <w:t>is included in</w:t>
      </w:r>
      <w:r w:rsidR="00B3228C" w:rsidRPr="00003239">
        <w:rPr>
          <w:rFonts w:cstheme="minorHAnsi"/>
        </w:rPr>
        <w:t xml:space="preserve"> the </w:t>
      </w:r>
      <w:r w:rsidR="001F619E" w:rsidRPr="000B40E8">
        <w:rPr>
          <w:rFonts w:cstheme="minorHAnsi"/>
        </w:rPr>
        <w:t>Loddon Mallee South Regional Growth Plan</w:t>
      </w:r>
      <w:r w:rsidR="003B4546" w:rsidRPr="00003239">
        <w:rPr>
          <w:rFonts w:cstheme="minorHAnsi"/>
        </w:rPr>
        <w:t>.</w:t>
      </w:r>
      <w:r w:rsidR="00B3228C" w:rsidRPr="00003239">
        <w:rPr>
          <w:rFonts w:cstheme="minorHAnsi"/>
        </w:rPr>
        <w:t xml:space="preserve"> </w:t>
      </w:r>
    </w:p>
    <w:p w:rsidR="00AE26B4" w:rsidRPr="00003239" w:rsidRDefault="00AE26B4" w:rsidP="00977170">
      <w:pPr>
        <w:pStyle w:val="bt"/>
        <w:rPr>
          <w:rFonts w:cstheme="minorHAnsi"/>
          <w:szCs w:val="20"/>
        </w:rPr>
      </w:pPr>
      <w:r w:rsidRPr="00003239">
        <w:rPr>
          <w:rFonts w:cstheme="minorHAnsi"/>
          <w:szCs w:val="20"/>
        </w:rPr>
        <w:lastRenderedPageBreak/>
        <w:t>Strategic planning projects and development frameworks already undertaken by councils</w:t>
      </w:r>
      <w:r w:rsidR="003B4546" w:rsidRPr="00003239">
        <w:rPr>
          <w:rFonts w:cstheme="minorHAnsi"/>
          <w:szCs w:val="20"/>
        </w:rPr>
        <w:t xml:space="preserve"> </w:t>
      </w:r>
      <w:r w:rsidR="006A1379" w:rsidRPr="00003239">
        <w:rPr>
          <w:rFonts w:cstheme="minorHAnsi"/>
          <w:szCs w:val="20"/>
        </w:rPr>
        <w:t>have</w:t>
      </w:r>
      <w:r w:rsidR="003B4546" w:rsidRPr="00003239">
        <w:rPr>
          <w:rFonts w:cstheme="minorHAnsi"/>
          <w:szCs w:val="20"/>
        </w:rPr>
        <w:t xml:space="preserve"> contributed to </w:t>
      </w:r>
      <w:r w:rsidRPr="00003239">
        <w:rPr>
          <w:rFonts w:cstheme="minorHAnsi"/>
          <w:szCs w:val="20"/>
        </w:rPr>
        <w:t xml:space="preserve">the </w:t>
      </w:r>
      <w:r w:rsidR="006A1379" w:rsidRPr="00003239">
        <w:rPr>
          <w:rFonts w:cstheme="minorHAnsi"/>
          <w:szCs w:val="20"/>
        </w:rPr>
        <w:t xml:space="preserve">development of the </w:t>
      </w:r>
      <w:r w:rsidR="003541F6" w:rsidRPr="00003239">
        <w:rPr>
          <w:rFonts w:cstheme="minorHAnsi"/>
          <w:szCs w:val="20"/>
        </w:rPr>
        <w:t>p</w:t>
      </w:r>
      <w:r w:rsidR="004E3C99" w:rsidRPr="00003239">
        <w:rPr>
          <w:rFonts w:cstheme="minorHAnsi"/>
          <w:szCs w:val="20"/>
        </w:rPr>
        <w:t>lan</w:t>
      </w:r>
      <w:r w:rsidRPr="00003239">
        <w:rPr>
          <w:rFonts w:cstheme="minorHAnsi"/>
          <w:szCs w:val="20"/>
        </w:rPr>
        <w:t>. By building on</w:t>
      </w:r>
      <w:r w:rsidR="003B4546" w:rsidRPr="00003239">
        <w:rPr>
          <w:rFonts w:cstheme="minorHAnsi"/>
          <w:szCs w:val="20"/>
        </w:rPr>
        <w:t xml:space="preserve"> and adapting</w:t>
      </w:r>
      <w:r w:rsidRPr="00003239">
        <w:rPr>
          <w:rFonts w:cstheme="minorHAnsi"/>
          <w:szCs w:val="20"/>
        </w:rPr>
        <w:t xml:space="preserve"> existing</w:t>
      </w:r>
      <w:r w:rsidR="003B4546" w:rsidRPr="00003239">
        <w:rPr>
          <w:rFonts w:cstheme="minorHAnsi"/>
          <w:szCs w:val="20"/>
        </w:rPr>
        <w:t xml:space="preserve"> local</w:t>
      </w:r>
      <w:r w:rsidRPr="00003239">
        <w:rPr>
          <w:rFonts w:cstheme="minorHAnsi"/>
          <w:szCs w:val="20"/>
        </w:rPr>
        <w:t xml:space="preserve"> knowledge</w:t>
      </w:r>
      <w:r w:rsidR="003B4546" w:rsidRPr="00003239">
        <w:rPr>
          <w:rFonts w:cstheme="minorHAnsi"/>
          <w:szCs w:val="20"/>
        </w:rPr>
        <w:t xml:space="preserve"> </w:t>
      </w:r>
      <w:r w:rsidR="005A5947" w:rsidRPr="00003239">
        <w:rPr>
          <w:rFonts w:cstheme="minorHAnsi"/>
          <w:szCs w:val="20"/>
        </w:rPr>
        <w:t>and</w:t>
      </w:r>
      <w:r w:rsidR="003B4546" w:rsidRPr="00003239">
        <w:rPr>
          <w:rFonts w:cstheme="minorHAnsi"/>
          <w:szCs w:val="20"/>
        </w:rPr>
        <w:t xml:space="preserve"> apply</w:t>
      </w:r>
      <w:r w:rsidR="005A5947" w:rsidRPr="00003239">
        <w:rPr>
          <w:rFonts w:cstheme="minorHAnsi"/>
          <w:szCs w:val="20"/>
        </w:rPr>
        <w:t>ing it</w:t>
      </w:r>
      <w:r w:rsidR="003B4546" w:rsidRPr="00003239">
        <w:rPr>
          <w:rFonts w:cstheme="minorHAnsi"/>
          <w:szCs w:val="20"/>
        </w:rPr>
        <w:t xml:space="preserve"> at a regional level,</w:t>
      </w:r>
      <w:r w:rsidRPr="00003239">
        <w:rPr>
          <w:rFonts w:cstheme="minorHAnsi"/>
          <w:szCs w:val="20"/>
        </w:rPr>
        <w:t xml:space="preserve"> the </w:t>
      </w:r>
      <w:r w:rsidR="006F61DF" w:rsidRPr="00003239">
        <w:rPr>
          <w:rFonts w:cstheme="minorHAnsi"/>
          <w:szCs w:val="20"/>
        </w:rPr>
        <w:t>plan</w:t>
      </w:r>
      <w:r w:rsidR="004E3C99" w:rsidRPr="00003239">
        <w:rPr>
          <w:rFonts w:cstheme="minorHAnsi"/>
          <w:szCs w:val="20"/>
        </w:rPr>
        <w:t xml:space="preserve"> </w:t>
      </w:r>
      <w:r w:rsidRPr="00003239">
        <w:rPr>
          <w:rFonts w:cstheme="minorHAnsi"/>
          <w:szCs w:val="20"/>
        </w:rPr>
        <w:t>inform</w:t>
      </w:r>
      <w:r w:rsidR="004E3C99" w:rsidRPr="00003239">
        <w:rPr>
          <w:rFonts w:cstheme="minorHAnsi"/>
          <w:szCs w:val="20"/>
        </w:rPr>
        <w:t>s</w:t>
      </w:r>
      <w:r w:rsidRPr="00003239">
        <w:rPr>
          <w:rFonts w:cstheme="minorHAnsi"/>
          <w:szCs w:val="20"/>
        </w:rPr>
        <w:t xml:space="preserve"> short</w:t>
      </w:r>
      <w:r w:rsidR="004E3C99" w:rsidRPr="00003239">
        <w:rPr>
          <w:rFonts w:cstheme="minorHAnsi"/>
          <w:szCs w:val="20"/>
        </w:rPr>
        <w:t>-</w:t>
      </w:r>
      <w:r w:rsidRPr="00003239">
        <w:rPr>
          <w:rFonts w:cstheme="minorHAnsi"/>
          <w:szCs w:val="20"/>
        </w:rPr>
        <w:t>term regional actions and articulate</w:t>
      </w:r>
      <w:r w:rsidR="004E3C99" w:rsidRPr="00003239">
        <w:rPr>
          <w:rFonts w:cstheme="minorHAnsi"/>
          <w:szCs w:val="20"/>
        </w:rPr>
        <w:t>s</w:t>
      </w:r>
      <w:r w:rsidRPr="00003239">
        <w:rPr>
          <w:rFonts w:cstheme="minorHAnsi"/>
          <w:szCs w:val="20"/>
        </w:rPr>
        <w:t xml:space="preserve"> longer term direction for the region over the next 30 years.</w:t>
      </w:r>
    </w:p>
    <w:p w:rsidR="00AE26B4" w:rsidRPr="00003239" w:rsidRDefault="00AE26B4" w:rsidP="00977170">
      <w:pPr>
        <w:pStyle w:val="bt"/>
        <w:rPr>
          <w:rFonts w:cstheme="minorHAnsi"/>
          <w:szCs w:val="20"/>
        </w:rPr>
      </w:pPr>
      <w:r w:rsidRPr="00003239">
        <w:rPr>
          <w:rFonts w:cstheme="minorHAnsi"/>
          <w:szCs w:val="20"/>
        </w:rPr>
        <w:t xml:space="preserve">The </w:t>
      </w:r>
      <w:r w:rsidR="00363461" w:rsidRPr="00003239">
        <w:rPr>
          <w:rFonts w:cstheme="minorHAnsi"/>
          <w:szCs w:val="20"/>
        </w:rPr>
        <w:t>plan</w:t>
      </w:r>
      <w:r w:rsidRPr="00003239">
        <w:rPr>
          <w:rFonts w:cstheme="minorHAnsi"/>
          <w:szCs w:val="20"/>
        </w:rPr>
        <w:t xml:space="preserve"> inform</w:t>
      </w:r>
      <w:r w:rsidR="00A249FB" w:rsidRPr="00003239">
        <w:rPr>
          <w:rFonts w:cstheme="minorHAnsi"/>
          <w:szCs w:val="20"/>
        </w:rPr>
        <w:t>s</w:t>
      </w:r>
      <w:r w:rsidRPr="00003239">
        <w:rPr>
          <w:rFonts w:cstheme="minorHAnsi"/>
          <w:szCs w:val="20"/>
        </w:rPr>
        <w:t xml:space="preserve"> local strategic planning and future public and private investment. The </w:t>
      </w:r>
      <w:r w:rsidR="00F37D25" w:rsidRPr="00003239">
        <w:rPr>
          <w:rFonts w:cstheme="minorHAnsi"/>
          <w:szCs w:val="20"/>
        </w:rPr>
        <w:t>plan</w:t>
      </w:r>
      <w:r w:rsidR="00317702" w:rsidRPr="00003239">
        <w:rPr>
          <w:rFonts w:cstheme="minorHAnsi"/>
          <w:szCs w:val="20"/>
        </w:rPr>
        <w:t xml:space="preserve"> </w:t>
      </w:r>
      <w:r w:rsidRPr="00003239">
        <w:rPr>
          <w:rFonts w:cstheme="minorHAnsi"/>
          <w:szCs w:val="20"/>
        </w:rPr>
        <w:t xml:space="preserve">is one of eight regional growth plans being prepared across the state to provide a whole-of regional Victoria view. </w:t>
      </w:r>
    </w:p>
    <w:p w:rsidR="000F1C50" w:rsidRPr="005B01F7" w:rsidRDefault="009F09AE" w:rsidP="005B01F7">
      <w:pPr>
        <w:pStyle w:val="Heading2"/>
      </w:pPr>
      <w:bookmarkStart w:id="20" w:name="_Toc374527586"/>
      <w:bookmarkStart w:id="21" w:name="_Toc299369800"/>
      <w:r w:rsidRPr="005B01F7">
        <w:t xml:space="preserve">The </w:t>
      </w:r>
      <w:r w:rsidR="0069443A" w:rsidRPr="005B01F7">
        <w:t>Central Highlands Regional Strategic Plan</w:t>
      </w:r>
      <w:bookmarkEnd w:id="20"/>
    </w:p>
    <w:p w:rsidR="00487977" w:rsidRPr="00003239" w:rsidRDefault="00487977" w:rsidP="00977170">
      <w:pPr>
        <w:pStyle w:val="bt"/>
        <w:rPr>
          <w:rFonts w:cstheme="minorHAnsi"/>
        </w:rPr>
      </w:pPr>
      <w:r w:rsidRPr="00003239">
        <w:rPr>
          <w:rFonts w:cstheme="minorHAnsi"/>
        </w:rPr>
        <w:t xml:space="preserve">The purpose of the </w:t>
      </w:r>
      <w:r w:rsidR="00D01FF4">
        <w:rPr>
          <w:rFonts w:cstheme="minorHAnsi"/>
        </w:rPr>
        <w:t xml:space="preserve">regional growth </w:t>
      </w:r>
      <w:r w:rsidR="00D71F6B" w:rsidRPr="00003239">
        <w:rPr>
          <w:rFonts w:cstheme="minorHAnsi"/>
        </w:rPr>
        <w:t xml:space="preserve">plan </w:t>
      </w:r>
      <w:r w:rsidRPr="00003239">
        <w:rPr>
          <w:rFonts w:cstheme="minorHAnsi"/>
        </w:rPr>
        <w:t xml:space="preserve">is to provide land use planning responses to strategic directions established in the </w:t>
      </w:r>
      <w:r w:rsidR="0069443A" w:rsidRPr="000B40E8">
        <w:rPr>
          <w:rFonts w:cstheme="minorHAnsi"/>
        </w:rPr>
        <w:t>Central Highlands Regional Strategic Plan</w:t>
      </w:r>
      <w:r w:rsidR="00D71F6B" w:rsidRPr="000B40E8">
        <w:rPr>
          <w:rFonts w:cstheme="minorHAnsi"/>
        </w:rPr>
        <w:t>.</w:t>
      </w:r>
      <w:r w:rsidR="00D71F6B" w:rsidRPr="00003239" w:rsidDel="00D71F6B">
        <w:rPr>
          <w:rFonts w:cstheme="minorHAnsi"/>
        </w:rPr>
        <w:t xml:space="preserve"> </w:t>
      </w:r>
    </w:p>
    <w:p w:rsidR="00AE26B4" w:rsidRPr="00003239" w:rsidRDefault="00AE26B4" w:rsidP="00977170">
      <w:pPr>
        <w:pStyle w:val="bt"/>
        <w:rPr>
          <w:rFonts w:cstheme="minorHAnsi"/>
        </w:rPr>
      </w:pPr>
      <w:r w:rsidRPr="00003239">
        <w:rPr>
          <w:rFonts w:cstheme="minorHAnsi"/>
        </w:rPr>
        <w:t xml:space="preserve">The overall goal of the </w:t>
      </w:r>
      <w:r w:rsidR="0069443A" w:rsidRPr="000B40E8">
        <w:rPr>
          <w:rFonts w:cstheme="minorHAnsi"/>
        </w:rPr>
        <w:t>Central Highlands Regional Strategic Plan</w:t>
      </w:r>
      <w:r w:rsidR="00317702" w:rsidRPr="00003239">
        <w:rPr>
          <w:rFonts w:cstheme="minorHAnsi"/>
        </w:rPr>
        <w:t xml:space="preserve"> </w:t>
      </w:r>
      <w:r w:rsidRPr="00003239">
        <w:rPr>
          <w:rFonts w:cstheme="minorHAnsi"/>
        </w:rPr>
        <w:t>is to position the region to provide a productive, sustainable and liveable region for its people</w:t>
      </w:r>
      <w:r w:rsidR="00E26714" w:rsidRPr="00003239">
        <w:rPr>
          <w:rFonts w:cstheme="minorHAnsi"/>
        </w:rPr>
        <w:t xml:space="preserve"> to 2030 and beyond</w:t>
      </w:r>
      <w:r w:rsidRPr="00003239">
        <w:rPr>
          <w:rFonts w:cstheme="minorHAnsi"/>
        </w:rPr>
        <w:t>.</w:t>
      </w:r>
    </w:p>
    <w:p w:rsidR="0004684A" w:rsidRPr="00003239" w:rsidRDefault="0004684A" w:rsidP="00977170">
      <w:pPr>
        <w:pStyle w:val="bt"/>
        <w:rPr>
          <w:rFonts w:cstheme="minorHAnsi"/>
          <w:b/>
        </w:rPr>
      </w:pPr>
      <w:r w:rsidRPr="00003239">
        <w:rPr>
          <w:rFonts w:cstheme="minorHAnsi"/>
        </w:rPr>
        <w:t xml:space="preserve">The </w:t>
      </w:r>
      <w:r w:rsidR="0069443A" w:rsidRPr="000B40E8">
        <w:rPr>
          <w:rFonts w:cstheme="minorHAnsi"/>
        </w:rPr>
        <w:t>Central Highlands Regional Strategic Plan</w:t>
      </w:r>
      <w:r w:rsidRPr="00003239">
        <w:rPr>
          <w:rFonts w:cstheme="minorHAnsi"/>
        </w:rPr>
        <w:t xml:space="preserve"> was published in 2010 and sets </w:t>
      </w:r>
      <w:r w:rsidR="00D71F6B" w:rsidRPr="00003239">
        <w:rPr>
          <w:rFonts w:cstheme="minorHAnsi"/>
        </w:rPr>
        <w:t xml:space="preserve">out </w:t>
      </w:r>
      <w:r w:rsidRPr="00003239">
        <w:rPr>
          <w:rFonts w:cstheme="minorHAnsi"/>
        </w:rPr>
        <w:t xml:space="preserve">a framework to deliver on the collective aspirations of communities across the region. In 2012 the </w:t>
      </w:r>
      <w:r w:rsidR="0069443A" w:rsidRPr="000B40E8">
        <w:rPr>
          <w:rFonts w:cstheme="minorHAnsi"/>
        </w:rPr>
        <w:t>Central Highlands Regional Strategic Plan</w:t>
      </w:r>
      <w:r w:rsidRPr="00003239">
        <w:rPr>
          <w:rFonts w:cstheme="minorHAnsi"/>
        </w:rPr>
        <w:t xml:space="preserve"> was updated </w:t>
      </w:r>
      <w:r w:rsidR="00D71F6B" w:rsidRPr="00003239">
        <w:rPr>
          <w:rFonts w:cstheme="minorHAnsi"/>
        </w:rPr>
        <w:t xml:space="preserve">as a </w:t>
      </w:r>
      <w:r w:rsidRPr="00003239">
        <w:rPr>
          <w:rFonts w:cstheme="minorHAnsi"/>
        </w:rPr>
        <w:t>shorter summary document. It identifies the following strategic directions for the region:</w:t>
      </w:r>
    </w:p>
    <w:p w:rsidR="00AE26B4" w:rsidRPr="008F1881" w:rsidRDefault="00497538" w:rsidP="00977170">
      <w:pPr>
        <w:pStyle w:val="ListBullet"/>
      </w:pPr>
      <w:r>
        <w:t>P</w:t>
      </w:r>
      <w:r w:rsidR="00AE26B4" w:rsidRPr="008F1881">
        <w:t>lan for growth</w:t>
      </w:r>
      <w:r w:rsidR="00980D64">
        <w:t>.</w:t>
      </w:r>
    </w:p>
    <w:p w:rsidR="00AE26B4" w:rsidRPr="008F1881" w:rsidRDefault="00497538" w:rsidP="00977170">
      <w:pPr>
        <w:pStyle w:val="ListBullet"/>
      </w:pPr>
      <w:r>
        <w:t>I</w:t>
      </w:r>
      <w:r w:rsidR="00AE26B4" w:rsidRPr="008F1881">
        <w:t>mprove transport infrastructure and services</w:t>
      </w:r>
      <w:r w:rsidR="00980D64">
        <w:t>.</w:t>
      </w:r>
    </w:p>
    <w:p w:rsidR="00AE26B4" w:rsidRPr="008F1881" w:rsidRDefault="00497538" w:rsidP="00977170">
      <w:pPr>
        <w:pStyle w:val="ListBullet"/>
      </w:pPr>
      <w:r>
        <w:t>R</w:t>
      </w:r>
      <w:r w:rsidR="00AE26B4" w:rsidRPr="008F1881">
        <w:t>aise the region’s profile as a tourist and heritage destination</w:t>
      </w:r>
      <w:r w:rsidR="00980D64">
        <w:t>.</w:t>
      </w:r>
    </w:p>
    <w:p w:rsidR="00AE26B4" w:rsidRPr="008F1881" w:rsidRDefault="00497538" w:rsidP="00977170">
      <w:pPr>
        <w:pStyle w:val="ListBullet"/>
      </w:pPr>
      <w:r>
        <w:t>U</w:t>
      </w:r>
      <w:r w:rsidR="00AE26B4" w:rsidRPr="008F1881">
        <w:t xml:space="preserve">tilise the region’s strength in </w:t>
      </w:r>
      <w:r w:rsidR="002A3F97">
        <w:t>information and communications technology</w:t>
      </w:r>
      <w:r w:rsidR="002A3F97" w:rsidRPr="008F1881">
        <w:t xml:space="preserve"> </w:t>
      </w:r>
      <w:r w:rsidR="00AE26B4" w:rsidRPr="008F1881">
        <w:t>to provide better services to business and communities</w:t>
      </w:r>
      <w:r w:rsidR="00980D64">
        <w:t>.</w:t>
      </w:r>
    </w:p>
    <w:p w:rsidR="00AE26B4" w:rsidRPr="008F1881" w:rsidRDefault="00497538" w:rsidP="00977170">
      <w:pPr>
        <w:pStyle w:val="ListBullet"/>
      </w:pPr>
      <w:r>
        <w:t>I</w:t>
      </w:r>
      <w:r w:rsidR="00AE26B4" w:rsidRPr="008F1881">
        <w:t xml:space="preserve">mprove access to health </w:t>
      </w:r>
      <w:r w:rsidR="00830B3D" w:rsidRPr="008F1881">
        <w:t xml:space="preserve">services </w:t>
      </w:r>
      <w:r w:rsidR="00AE26B4" w:rsidRPr="008F1881">
        <w:t xml:space="preserve">and tackle </w:t>
      </w:r>
      <w:r w:rsidR="00830B3D" w:rsidRPr="008F1881">
        <w:t xml:space="preserve">health </w:t>
      </w:r>
      <w:r w:rsidR="00AE26B4" w:rsidRPr="008F1881">
        <w:t>inequality</w:t>
      </w:r>
      <w:r w:rsidR="00980D64">
        <w:t>.</w:t>
      </w:r>
    </w:p>
    <w:p w:rsidR="00AE26B4" w:rsidRPr="008F1881" w:rsidRDefault="00497538" w:rsidP="00977170">
      <w:pPr>
        <w:pStyle w:val="ListBullet"/>
      </w:pPr>
      <w:r>
        <w:t>P</w:t>
      </w:r>
      <w:r w:rsidR="00AE26B4" w:rsidRPr="008F1881">
        <w:t>rovide better access to education and training</w:t>
      </w:r>
      <w:r w:rsidR="00980D64">
        <w:t>.</w:t>
      </w:r>
    </w:p>
    <w:p w:rsidR="00AE26B4" w:rsidRPr="008F1881" w:rsidRDefault="00497538" w:rsidP="00977170">
      <w:pPr>
        <w:pStyle w:val="ListBullet"/>
      </w:pPr>
      <w:r>
        <w:t>C</w:t>
      </w:r>
      <w:r w:rsidR="00AE26B4" w:rsidRPr="008F1881">
        <w:t xml:space="preserve">ontinue to foster leadership capacity </w:t>
      </w:r>
      <w:r w:rsidR="00830B3D" w:rsidRPr="008F1881">
        <w:t>with</w:t>
      </w:r>
      <w:r w:rsidR="00AE26B4" w:rsidRPr="008F1881">
        <w:t>in the region</w:t>
      </w:r>
      <w:r w:rsidR="00980D64">
        <w:t>.</w:t>
      </w:r>
    </w:p>
    <w:p w:rsidR="00AE26B4" w:rsidRPr="008F1881" w:rsidRDefault="005F4DB0" w:rsidP="00977170">
      <w:pPr>
        <w:pStyle w:val="ListBullet"/>
      </w:pPr>
      <w:r>
        <w:t xml:space="preserve">A </w:t>
      </w:r>
      <w:r w:rsidR="00830B3D" w:rsidRPr="008F1881">
        <w:t>p</w:t>
      </w:r>
      <w:r w:rsidR="00AE26B4" w:rsidRPr="008F1881">
        <w:t>roductive and resilient landscape</w:t>
      </w:r>
      <w:r w:rsidR="00497538">
        <w:t xml:space="preserve"> management</w:t>
      </w:r>
      <w:r w:rsidR="00D71F6B">
        <w:t>.</w:t>
      </w:r>
    </w:p>
    <w:p w:rsidR="0004684A" w:rsidRPr="008F1881" w:rsidRDefault="0004684A" w:rsidP="00977170">
      <w:pPr>
        <w:pStyle w:val="bt"/>
      </w:pPr>
      <w:r w:rsidRPr="0004684A">
        <w:t xml:space="preserve">The </w:t>
      </w:r>
      <w:r w:rsidR="009E7685">
        <w:t>strategic directions</w:t>
      </w:r>
      <w:r w:rsidRPr="0004684A">
        <w:t xml:space="preserve"> have been used as the basis for </w:t>
      </w:r>
      <w:r>
        <w:t xml:space="preserve">developing </w:t>
      </w:r>
      <w:r w:rsidRPr="0004684A">
        <w:t>the principles of</w:t>
      </w:r>
      <w:r>
        <w:t xml:space="preserve"> the</w:t>
      </w:r>
      <w:r w:rsidRPr="0004684A">
        <w:t xml:space="preserve"> </w:t>
      </w:r>
      <w:r w:rsidR="00977170">
        <w:t>plan.</w:t>
      </w:r>
    </w:p>
    <w:p w:rsidR="000F1C50" w:rsidRPr="005B01F7" w:rsidRDefault="009F09AE" w:rsidP="005B01F7">
      <w:pPr>
        <w:pStyle w:val="Heading2"/>
      </w:pPr>
      <w:bookmarkStart w:id="22" w:name="_Toc374527587"/>
      <w:r w:rsidRPr="005B01F7">
        <w:t>Purpose</w:t>
      </w:r>
      <w:bookmarkEnd w:id="21"/>
      <w:bookmarkEnd w:id="22"/>
    </w:p>
    <w:p w:rsidR="00AE26B4" w:rsidRPr="008F1881" w:rsidRDefault="00AE26B4" w:rsidP="00977170">
      <w:pPr>
        <w:pStyle w:val="bt"/>
      </w:pPr>
      <w:r w:rsidRPr="008F1881">
        <w:t xml:space="preserve">The purpose of this </w:t>
      </w:r>
      <w:r w:rsidR="000F5179" w:rsidRPr="008F1881">
        <w:t>background</w:t>
      </w:r>
      <w:r w:rsidRPr="008F1881">
        <w:t xml:space="preserve"> </w:t>
      </w:r>
      <w:r w:rsidR="00E10B33" w:rsidRPr="008F1881">
        <w:t>report</w:t>
      </w:r>
      <w:r w:rsidRPr="008F1881">
        <w:t xml:space="preserve"> is to </w:t>
      </w:r>
      <w:r w:rsidR="000F5179" w:rsidRPr="008F1881">
        <w:t>document</w:t>
      </w:r>
      <w:r w:rsidRPr="008F1881">
        <w:t>:</w:t>
      </w:r>
    </w:p>
    <w:p w:rsidR="000F5179" w:rsidRPr="008F1881" w:rsidRDefault="000F5179" w:rsidP="00977170">
      <w:pPr>
        <w:pStyle w:val="ListBullet"/>
      </w:pPr>
      <w:r w:rsidRPr="008F1881">
        <w:t>i</w:t>
      </w:r>
      <w:r w:rsidR="00AE26B4" w:rsidRPr="008F1881">
        <w:t>ssues</w:t>
      </w:r>
      <w:r w:rsidRPr="008F1881">
        <w:t>, opportunities and challenges facing the region</w:t>
      </w:r>
    </w:p>
    <w:p w:rsidR="00AE26B4" w:rsidRPr="008F1881" w:rsidRDefault="000F5179" w:rsidP="00977170">
      <w:pPr>
        <w:pStyle w:val="ListBullet"/>
      </w:pPr>
      <w:r w:rsidRPr="008F1881">
        <w:t>issues</w:t>
      </w:r>
      <w:r w:rsidR="00AE26B4" w:rsidRPr="008F1881">
        <w:t xml:space="preserve"> in the </w:t>
      </w:r>
      <w:r w:rsidR="0069443A" w:rsidRPr="000B40E8">
        <w:t>Central Highlands Regional Strategic Plan</w:t>
      </w:r>
      <w:r w:rsidR="00AE26B4" w:rsidRPr="008F1881">
        <w:t xml:space="preserve"> that influence growth and land use</w:t>
      </w:r>
    </w:p>
    <w:p w:rsidR="00AE26B4" w:rsidRPr="008F1881" w:rsidRDefault="00C247D9" w:rsidP="00977170">
      <w:pPr>
        <w:pStyle w:val="ListBullet"/>
      </w:pPr>
      <w:r w:rsidRPr="008F1881">
        <w:t>l</w:t>
      </w:r>
      <w:r w:rsidR="000F5179" w:rsidRPr="008F1881">
        <w:t xml:space="preserve">ocal and </w:t>
      </w:r>
      <w:r w:rsidR="00D815C1">
        <w:t>s</w:t>
      </w:r>
      <w:r w:rsidR="000F5179" w:rsidRPr="008F1881">
        <w:t xml:space="preserve">tate </w:t>
      </w:r>
      <w:r w:rsidR="00D815C1">
        <w:t>g</w:t>
      </w:r>
      <w:r w:rsidR="000F5179" w:rsidRPr="008F1881">
        <w:t xml:space="preserve">overnment </w:t>
      </w:r>
      <w:r w:rsidR="00AE26B4" w:rsidRPr="008F1881">
        <w:t>policy directions</w:t>
      </w:r>
    </w:p>
    <w:p w:rsidR="00AE26B4" w:rsidRPr="008F1881" w:rsidRDefault="000F5179" w:rsidP="00977170">
      <w:pPr>
        <w:pStyle w:val="ListBullet"/>
      </w:pPr>
      <w:r w:rsidRPr="008F1881">
        <w:t>drivers of change over coming decades</w:t>
      </w:r>
      <w:r w:rsidR="00AE26B4" w:rsidRPr="008F1881">
        <w:t>.</w:t>
      </w:r>
    </w:p>
    <w:p w:rsidR="000F5179" w:rsidRPr="008F1881" w:rsidRDefault="00C247D9" w:rsidP="00977170">
      <w:pPr>
        <w:pStyle w:val="bt"/>
      </w:pPr>
      <w:r w:rsidRPr="008F1881">
        <w:t xml:space="preserve">The issues identified in this background </w:t>
      </w:r>
      <w:r w:rsidR="00E10B33" w:rsidRPr="008F1881">
        <w:t>report</w:t>
      </w:r>
      <w:r w:rsidRPr="008F1881">
        <w:t xml:space="preserve"> have formed the primary basis for the directions proposed by the </w:t>
      </w:r>
      <w:r w:rsidR="006F61DF" w:rsidRPr="008F1881">
        <w:t>plan</w:t>
      </w:r>
      <w:r w:rsidRPr="008F1881">
        <w:t>.</w:t>
      </w:r>
    </w:p>
    <w:p w:rsidR="000F1C50" w:rsidRPr="005B01F7" w:rsidRDefault="00AE26B4" w:rsidP="001F66D6">
      <w:pPr>
        <w:pStyle w:val="Heading2"/>
        <w:spacing w:before="240" w:after="120"/>
      </w:pPr>
      <w:bookmarkStart w:id="23" w:name="_Toc299369801"/>
      <w:r w:rsidRPr="005B01F7">
        <w:br w:type="page"/>
      </w:r>
      <w:bookmarkStart w:id="24" w:name="_Toc374527588"/>
      <w:r w:rsidR="009F09AE" w:rsidRPr="005B01F7">
        <w:lastRenderedPageBreak/>
        <w:t>Issues covered by this background report</w:t>
      </w:r>
      <w:bookmarkEnd w:id="24"/>
    </w:p>
    <w:tbl>
      <w:tblPr>
        <w:tblStyle w:val="TableGrid"/>
        <w:tblW w:w="9640" w:type="dxa"/>
        <w:tblLook w:val="00A0" w:firstRow="1" w:lastRow="0" w:firstColumn="1" w:lastColumn="0" w:noHBand="0" w:noVBand="0"/>
      </w:tblPr>
      <w:tblGrid>
        <w:gridCol w:w="3343"/>
        <w:gridCol w:w="6297"/>
      </w:tblGrid>
      <w:tr w:rsidR="00D815C1" w:rsidRPr="00655E45" w:rsidTr="00CA5858">
        <w:trPr>
          <w:cantSplit/>
          <w:trHeight w:val="327"/>
        </w:trPr>
        <w:tc>
          <w:tcPr>
            <w:tcW w:w="9640" w:type="dxa"/>
            <w:gridSpan w:val="2"/>
            <w:tcBorders>
              <w:bottom w:val="single" w:sz="4" w:space="0" w:color="FFFFFF" w:themeColor="background1"/>
            </w:tcBorders>
            <w:shd w:val="clear" w:color="auto" w:fill="BF1259"/>
          </w:tcPr>
          <w:p w:rsidR="00D815C1" w:rsidRPr="001710B9" w:rsidRDefault="00D815C1" w:rsidP="000C3475">
            <w:pPr>
              <w:pStyle w:val="TableText0"/>
              <w:spacing w:before="20" w:after="20"/>
              <w:rPr>
                <w:b/>
                <w:color w:val="FFFFFF" w:themeColor="background1"/>
              </w:rPr>
            </w:pPr>
            <w:r>
              <w:rPr>
                <w:b/>
                <w:color w:val="FFFFFF" w:themeColor="background1"/>
              </w:rPr>
              <w:t>Chapter 1: Introduction and purpose</w:t>
            </w:r>
          </w:p>
        </w:tc>
      </w:tr>
      <w:tr w:rsidR="00D815C1" w:rsidRPr="00655E45" w:rsidTr="00CA5858">
        <w:trPr>
          <w:cantSplit/>
          <w:trHeight w:val="327"/>
        </w:trPr>
        <w:tc>
          <w:tcPr>
            <w:tcW w:w="9640" w:type="dxa"/>
            <w:gridSpan w:val="2"/>
            <w:tcBorders>
              <w:top w:val="single" w:sz="4" w:space="0" w:color="FFFFFF" w:themeColor="background1"/>
              <w:bottom w:val="single" w:sz="4" w:space="0" w:color="FFFFFF" w:themeColor="background1"/>
            </w:tcBorders>
            <w:shd w:val="clear" w:color="auto" w:fill="BF1259"/>
          </w:tcPr>
          <w:p w:rsidR="00D815C1" w:rsidRPr="001710B9" w:rsidRDefault="00D815C1" w:rsidP="000C3475">
            <w:pPr>
              <w:pStyle w:val="TableText0"/>
              <w:spacing w:before="20" w:after="20"/>
              <w:rPr>
                <w:b/>
                <w:color w:val="FFFFFF" w:themeColor="background1"/>
              </w:rPr>
            </w:pPr>
            <w:r>
              <w:rPr>
                <w:b/>
                <w:color w:val="FFFFFF" w:themeColor="background1"/>
              </w:rPr>
              <w:t>Chapter 2: Central Highlands snapshot</w:t>
            </w:r>
          </w:p>
        </w:tc>
      </w:tr>
      <w:tr w:rsidR="00D815C1" w:rsidRPr="00655E45" w:rsidTr="00CA5858">
        <w:trPr>
          <w:cantSplit/>
          <w:trHeight w:val="327"/>
        </w:trPr>
        <w:tc>
          <w:tcPr>
            <w:tcW w:w="9640" w:type="dxa"/>
            <w:gridSpan w:val="2"/>
            <w:tcBorders>
              <w:top w:val="single" w:sz="4" w:space="0" w:color="FFFFFF" w:themeColor="background1"/>
              <w:bottom w:val="single" w:sz="4" w:space="0" w:color="FFFFFF" w:themeColor="background1"/>
            </w:tcBorders>
            <w:shd w:val="clear" w:color="auto" w:fill="BF1259"/>
          </w:tcPr>
          <w:p w:rsidR="00D815C1" w:rsidRPr="001710B9" w:rsidRDefault="00D815C1" w:rsidP="000C3475">
            <w:pPr>
              <w:pStyle w:val="TableText0"/>
              <w:spacing w:before="20" w:after="20"/>
              <w:rPr>
                <w:b/>
                <w:color w:val="FFFFFF" w:themeColor="background1"/>
              </w:rPr>
            </w:pPr>
            <w:r>
              <w:rPr>
                <w:b/>
                <w:color w:val="FFFFFF" w:themeColor="background1"/>
              </w:rPr>
              <w:t>Chapter 3: Population and settlement</w:t>
            </w:r>
          </w:p>
        </w:tc>
      </w:tr>
      <w:tr w:rsidR="00B84F75"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EDB9CC"/>
          </w:tcPr>
          <w:p w:rsidR="00B84F75" w:rsidRPr="008F1881" w:rsidRDefault="00B84F75" w:rsidP="000C3475">
            <w:pPr>
              <w:pStyle w:val="TableText0"/>
              <w:spacing w:before="20" w:after="20"/>
            </w:pPr>
            <w:r w:rsidRPr="008F1881">
              <w:t>Preferred pattern of urban growth</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EDB9CC"/>
          </w:tcPr>
          <w:p w:rsidR="00B84F75" w:rsidRPr="008F1881" w:rsidRDefault="00B84F75" w:rsidP="000C3475">
            <w:pPr>
              <w:pStyle w:val="TableText0"/>
              <w:spacing w:before="20" w:after="20"/>
            </w:pPr>
            <w:r w:rsidRPr="008F1881">
              <w:t>Identifying the desired spatial configuration for growth</w:t>
            </w:r>
          </w:p>
        </w:tc>
      </w:tr>
      <w:tr w:rsidR="00B84F75" w:rsidRPr="008F1881" w:rsidTr="00CA5858">
        <w:trPr>
          <w:cantSplit/>
          <w:trHeight w:val="632"/>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DA7398"/>
          </w:tcPr>
          <w:p w:rsidR="00B84F75" w:rsidRPr="008F1881" w:rsidRDefault="00B84F75" w:rsidP="000C3475">
            <w:pPr>
              <w:pStyle w:val="TableText0"/>
              <w:spacing w:before="20" w:after="20"/>
            </w:pPr>
            <w:r w:rsidRPr="008F1881">
              <w:t xml:space="preserve">Settlement </w:t>
            </w:r>
            <w:r w:rsidR="00E54FF2">
              <w:t>network</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DA7398"/>
          </w:tcPr>
          <w:p w:rsidR="00B84F75" w:rsidRPr="008F1881" w:rsidRDefault="00B84F75" w:rsidP="000C3475">
            <w:pPr>
              <w:pStyle w:val="TableText0"/>
              <w:spacing w:before="20" w:after="20"/>
            </w:pPr>
            <w:r w:rsidRPr="008F1881">
              <w:t>Settlement roles and relationships, small towns, managing growth and decline and land supply</w:t>
            </w:r>
          </w:p>
        </w:tc>
      </w:tr>
      <w:tr w:rsidR="00B84F75"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EDB9CC"/>
          </w:tcPr>
          <w:p w:rsidR="00B84F75" w:rsidRPr="008F1881" w:rsidRDefault="00B84F75" w:rsidP="000C3475">
            <w:pPr>
              <w:pStyle w:val="TableText0"/>
              <w:spacing w:before="20" w:after="20"/>
            </w:pPr>
            <w:r w:rsidRPr="008F1881">
              <w:t>Housing diversity and affordability</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EDB9CC"/>
          </w:tcPr>
          <w:p w:rsidR="00B84F75" w:rsidRPr="008F1881" w:rsidRDefault="00B84F75" w:rsidP="000C3475">
            <w:pPr>
              <w:pStyle w:val="TableText0"/>
              <w:spacing w:before="20" w:after="20"/>
            </w:pPr>
            <w:r w:rsidRPr="008F1881">
              <w:t>The mix and type of housing available including social housing</w:t>
            </w:r>
          </w:p>
        </w:tc>
      </w:tr>
      <w:tr w:rsidR="00B84F75"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DA7398"/>
          </w:tcPr>
          <w:p w:rsidR="00B84F75" w:rsidRPr="008F1881" w:rsidRDefault="00B84F75" w:rsidP="000C3475">
            <w:pPr>
              <w:pStyle w:val="TableText0"/>
              <w:spacing w:before="20" w:after="20"/>
            </w:pPr>
            <w:r w:rsidRPr="008F1881">
              <w:t>Liveability</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DA7398"/>
          </w:tcPr>
          <w:p w:rsidR="00B84F75" w:rsidRPr="008F1881" w:rsidRDefault="00B84F75" w:rsidP="000C3475">
            <w:pPr>
              <w:pStyle w:val="TableText0"/>
              <w:spacing w:before="20" w:after="20"/>
            </w:pPr>
            <w:r w:rsidRPr="008F1881">
              <w:t>Settlement character, identity and urban design</w:t>
            </w:r>
          </w:p>
        </w:tc>
      </w:tr>
      <w:tr w:rsidR="00B84F75"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EDB9CC"/>
          </w:tcPr>
          <w:p w:rsidR="00B84F75" w:rsidRPr="008F1881" w:rsidRDefault="00B84F75" w:rsidP="000C3475">
            <w:pPr>
              <w:pStyle w:val="TableText0"/>
              <w:spacing w:before="20" w:after="20"/>
            </w:pPr>
            <w:r w:rsidRPr="008F1881">
              <w:t>Rural settlement</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EDB9CC"/>
          </w:tcPr>
          <w:p w:rsidR="00B84F75" w:rsidRPr="008F1881" w:rsidRDefault="00B84F75" w:rsidP="000C3475">
            <w:pPr>
              <w:pStyle w:val="TableText0"/>
              <w:spacing w:before="20" w:after="20"/>
            </w:pPr>
            <w:r w:rsidRPr="008F1881">
              <w:t>Rural</w:t>
            </w:r>
            <w:r w:rsidR="00D01FF4">
              <w:t xml:space="preserve"> </w:t>
            </w:r>
            <w:r w:rsidRPr="008F1881">
              <w:t>residential housing and subdivision</w:t>
            </w:r>
          </w:p>
        </w:tc>
      </w:tr>
      <w:tr w:rsidR="00B84F75"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DA7398"/>
          </w:tcPr>
          <w:p w:rsidR="00B84F75" w:rsidRPr="008F1881" w:rsidRDefault="00B84F75" w:rsidP="000C3475">
            <w:pPr>
              <w:pStyle w:val="TableText0"/>
              <w:spacing w:before="20" w:after="20"/>
            </w:pPr>
            <w:r w:rsidRPr="008F1881">
              <w:t>Peri</w:t>
            </w:r>
            <w:r w:rsidR="005A5947" w:rsidRPr="008F1881">
              <w:t>-</w:t>
            </w:r>
            <w:r w:rsidRPr="008F1881">
              <w:t>urban relationships</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DA7398"/>
          </w:tcPr>
          <w:p w:rsidR="00B84F75" w:rsidRPr="008F1881" w:rsidRDefault="00B84F75" w:rsidP="000C3475">
            <w:pPr>
              <w:pStyle w:val="TableText0"/>
              <w:spacing w:before="20" w:after="20"/>
            </w:pPr>
            <w:r w:rsidRPr="008F1881">
              <w:t xml:space="preserve">The interrelationship of the Central Highlands </w:t>
            </w:r>
            <w:r w:rsidR="00E44C67">
              <w:t xml:space="preserve">region </w:t>
            </w:r>
            <w:r w:rsidRPr="008F1881">
              <w:t>with Melbourne</w:t>
            </w:r>
          </w:p>
        </w:tc>
      </w:tr>
      <w:tr w:rsidR="00B84F75" w:rsidRPr="008F1881" w:rsidTr="00CA5858">
        <w:trPr>
          <w:cantSplit/>
          <w:trHeight w:val="327"/>
        </w:trPr>
        <w:tc>
          <w:tcPr>
            <w:tcW w:w="9640" w:type="dxa"/>
            <w:gridSpan w:val="2"/>
            <w:tcBorders>
              <w:top w:val="single" w:sz="4" w:space="0" w:color="FFFFFF" w:themeColor="background1"/>
              <w:bottom w:val="single" w:sz="4" w:space="0" w:color="FFFFFF" w:themeColor="background1"/>
            </w:tcBorders>
            <w:shd w:val="clear" w:color="auto" w:fill="BF1259"/>
          </w:tcPr>
          <w:p w:rsidR="00B84F75" w:rsidRPr="001710B9" w:rsidRDefault="00B84F75" w:rsidP="000C3475">
            <w:pPr>
              <w:pStyle w:val="TableText0"/>
              <w:spacing w:before="20" w:after="20"/>
              <w:rPr>
                <w:b/>
                <w:color w:val="FFFFFF" w:themeColor="background1"/>
              </w:rPr>
            </w:pPr>
            <w:r w:rsidRPr="001710B9">
              <w:rPr>
                <w:b/>
                <w:color w:val="FFFFFF" w:themeColor="background1"/>
              </w:rPr>
              <w:t xml:space="preserve">Chapter </w:t>
            </w:r>
            <w:r w:rsidR="000C3475">
              <w:rPr>
                <w:b/>
                <w:color w:val="FFFFFF" w:themeColor="background1"/>
              </w:rPr>
              <w:t>4</w:t>
            </w:r>
            <w:r w:rsidR="00E44C67" w:rsidRPr="001710B9">
              <w:rPr>
                <w:b/>
                <w:color w:val="FFFFFF" w:themeColor="background1"/>
              </w:rPr>
              <w:t>:</w:t>
            </w:r>
            <w:r w:rsidRPr="001710B9">
              <w:rPr>
                <w:b/>
                <w:color w:val="FFFFFF" w:themeColor="background1"/>
              </w:rPr>
              <w:t xml:space="preserve"> Planning for communities</w:t>
            </w:r>
          </w:p>
        </w:tc>
      </w:tr>
      <w:tr w:rsidR="00B84F75" w:rsidRPr="008F1881" w:rsidTr="00CA5858">
        <w:trPr>
          <w:cantSplit/>
          <w:trHeight w:val="610"/>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EDB9CC"/>
          </w:tcPr>
          <w:p w:rsidR="00B84F75" w:rsidRPr="008F1881" w:rsidRDefault="00B84F75" w:rsidP="000C3475">
            <w:pPr>
              <w:pStyle w:val="TableText0"/>
              <w:spacing w:before="20" w:after="20"/>
            </w:pPr>
            <w:r w:rsidRPr="008F1881">
              <w:t>Demographic change</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EDB9CC"/>
          </w:tcPr>
          <w:p w:rsidR="00B84F75" w:rsidRPr="008F1881" w:rsidRDefault="00B84F75" w:rsidP="000C3475">
            <w:pPr>
              <w:pStyle w:val="TableText0"/>
              <w:spacing w:before="20" w:after="20"/>
            </w:pPr>
            <w:r w:rsidRPr="008F1881">
              <w:t>Demographic trends including an ageing population and youth out-migration and the implications for services and settlement</w:t>
            </w:r>
          </w:p>
        </w:tc>
      </w:tr>
      <w:tr w:rsidR="00B84F75"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DA7398"/>
          </w:tcPr>
          <w:p w:rsidR="00B84F75" w:rsidRPr="008F1881" w:rsidRDefault="00B84F75" w:rsidP="000C3475">
            <w:pPr>
              <w:pStyle w:val="TableText0"/>
              <w:spacing w:before="20" w:after="20"/>
            </w:pPr>
            <w:r w:rsidRPr="008F1881">
              <w:t>Resilient communities</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DA7398"/>
          </w:tcPr>
          <w:p w:rsidR="00B84F75" w:rsidRPr="008F1881" w:rsidRDefault="00B84F75" w:rsidP="000C3475">
            <w:pPr>
              <w:pStyle w:val="TableText0"/>
              <w:spacing w:before="20" w:after="20"/>
            </w:pPr>
            <w:r w:rsidRPr="008F1881">
              <w:t>Access to services to retain viable communities</w:t>
            </w:r>
            <w:r w:rsidR="00E44C67">
              <w:t>.</w:t>
            </w:r>
          </w:p>
        </w:tc>
      </w:tr>
      <w:tr w:rsidR="00B84F75"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EDB9CC"/>
          </w:tcPr>
          <w:p w:rsidR="00B84F75" w:rsidRPr="008F1881" w:rsidRDefault="00B84F75" w:rsidP="000C3475">
            <w:pPr>
              <w:pStyle w:val="TableText0"/>
              <w:spacing w:before="20" w:after="20"/>
            </w:pPr>
            <w:r w:rsidRPr="008F1881">
              <w:t>Education and skills</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EDB9CC"/>
          </w:tcPr>
          <w:p w:rsidR="00B84F75" w:rsidRPr="008F1881" w:rsidRDefault="00B84F75" w:rsidP="000C3475">
            <w:pPr>
              <w:pStyle w:val="TableText0"/>
              <w:spacing w:before="20" w:after="20"/>
            </w:pPr>
            <w:r w:rsidRPr="008F1881">
              <w:t>Access to education and attracting skilled workers</w:t>
            </w:r>
          </w:p>
        </w:tc>
      </w:tr>
      <w:tr w:rsidR="00B84F75" w:rsidRPr="008F1881" w:rsidTr="00CA5858">
        <w:trPr>
          <w:cantSplit/>
          <w:trHeight w:val="632"/>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DA7398"/>
          </w:tcPr>
          <w:p w:rsidR="00B84F75" w:rsidRPr="008F1881" w:rsidRDefault="00B84F75" w:rsidP="000C3475">
            <w:pPr>
              <w:pStyle w:val="TableText0"/>
              <w:spacing w:before="20" w:after="20"/>
            </w:pPr>
            <w:r w:rsidRPr="008F1881">
              <w:t>Health and well being</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DA7398"/>
          </w:tcPr>
          <w:p w:rsidR="00B84F75" w:rsidRPr="008F1881" w:rsidRDefault="00B84F75" w:rsidP="000C3475">
            <w:pPr>
              <w:pStyle w:val="TableText0"/>
              <w:spacing w:before="20" w:after="20"/>
            </w:pPr>
            <w:r w:rsidRPr="008F1881">
              <w:t xml:space="preserve">Planning for health, </w:t>
            </w:r>
            <w:r w:rsidR="00E44C67">
              <w:t>Aboriginal</w:t>
            </w:r>
            <w:r w:rsidR="007C05BD">
              <w:rPr>
                <w:rStyle w:val="FootnoteReference"/>
              </w:rPr>
              <w:footnoteReference w:id="1"/>
            </w:r>
            <w:r w:rsidR="00E44C67">
              <w:t xml:space="preserve"> </w:t>
            </w:r>
            <w:r w:rsidRPr="008F1881">
              <w:t>health, disadvantage and the social impacts of climate change</w:t>
            </w:r>
          </w:p>
        </w:tc>
      </w:tr>
      <w:tr w:rsidR="00E54FF2"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EDB9CC"/>
          </w:tcPr>
          <w:p w:rsidR="00E54FF2" w:rsidRPr="008F1881" w:rsidRDefault="00E54FF2" w:rsidP="000C3475">
            <w:pPr>
              <w:pStyle w:val="TableText0"/>
              <w:spacing w:before="20" w:after="20"/>
            </w:pPr>
            <w:r>
              <w:t>Cultural heritage</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EDB9CC"/>
          </w:tcPr>
          <w:p w:rsidR="00E54FF2" w:rsidRPr="008F1881" w:rsidRDefault="00E54FF2" w:rsidP="000C3475">
            <w:pPr>
              <w:pStyle w:val="TableText0"/>
              <w:spacing w:before="20" w:after="20"/>
            </w:pPr>
            <w:r>
              <w:t xml:space="preserve">Key </w:t>
            </w:r>
            <w:r w:rsidR="00AE0AFD">
              <w:t>Aboriginal</w:t>
            </w:r>
            <w:r>
              <w:t xml:space="preserve"> </w:t>
            </w:r>
            <w:r w:rsidR="00AE0AFD">
              <w:t xml:space="preserve">cultural heritage </w:t>
            </w:r>
            <w:r>
              <w:t xml:space="preserve">and </w:t>
            </w:r>
            <w:r w:rsidR="00AE0AFD">
              <w:t xml:space="preserve">historic </w:t>
            </w:r>
            <w:r>
              <w:t>heritage assets</w:t>
            </w:r>
          </w:p>
        </w:tc>
      </w:tr>
      <w:tr w:rsidR="00B84F75" w:rsidRPr="00655E45" w:rsidTr="00CA5858">
        <w:trPr>
          <w:cantSplit/>
          <w:trHeight w:val="327"/>
        </w:trPr>
        <w:tc>
          <w:tcPr>
            <w:tcW w:w="9640" w:type="dxa"/>
            <w:gridSpan w:val="2"/>
            <w:tcBorders>
              <w:top w:val="single" w:sz="4" w:space="0" w:color="FFFFFF" w:themeColor="background1"/>
              <w:bottom w:val="single" w:sz="4" w:space="0" w:color="FFFFFF" w:themeColor="background1"/>
            </w:tcBorders>
            <w:shd w:val="clear" w:color="auto" w:fill="BF1259"/>
          </w:tcPr>
          <w:p w:rsidR="00B84F75" w:rsidRPr="001710B9" w:rsidRDefault="003A56CC" w:rsidP="000C3475">
            <w:pPr>
              <w:pStyle w:val="TableText0"/>
              <w:spacing w:before="20" w:after="20"/>
              <w:rPr>
                <w:b/>
                <w:color w:val="FFFFFF" w:themeColor="background1"/>
              </w:rPr>
            </w:pPr>
            <w:r w:rsidRPr="001710B9">
              <w:rPr>
                <w:b/>
                <w:color w:val="FFFFFF" w:themeColor="background1"/>
              </w:rPr>
              <w:t xml:space="preserve">Chapter </w:t>
            </w:r>
            <w:r w:rsidR="000C3475">
              <w:rPr>
                <w:b/>
                <w:color w:val="FFFFFF" w:themeColor="background1"/>
              </w:rPr>
              <w:t>5</w:t>
            </w:r>
            <w:r w:rsidR="00E44C67" w:rsidRPr="001710B9">
              <w:rPr>
                <w:b/>
                <w:color w:val="FFFFFF" w:themeColor="background1"/>
              </w:rPr>
              <w:t>:</w:t>
            </w:r>
            <w:r w:rsidRPr="001710B9">
              <w:rPr>
                <w:b/>
                <w:color w:val="FFFFFF" w:themeColor="background1"/>
              </w:rPr>
              <w:t xml:space="preserve"> Economic prosperity</w:t>
            </w:r>
          </w:p>
        </w:tc>
      </w:tr>
      <w:tr w:rsidR="00B84F75" w:rsidRPr="008F1881" w:rsidTr="00CA5858">
        <w:trPr>
          <w:cantSplit/>
          <w:trHeight w:val="632"/>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DA7398"/>
          </w:tcPr>
          <w:p w:rsidR="00B84F75" w:rsidRPr="008F1881" w:rsidRDefault="00E54FF2" w:rsidP="000C3475">
            <w:pPr>
              <w:pStyle w:val="TableText0"/>
              <w:spacing w:before="20" w:after="20"/>
            </w:pPr>
            <w:r>
              <w:t>Agriculture and earth resources</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DA7398"/>
          </w:tcPr>
          <w:p w:rsidR="00B84F75" w:rsidRPr="008F1881" w:rsidRDefault="003A56CC" w:rsidP="000C3475">
            <w:pPr>
              <w:pStyle w:val="TableText0"/>
              <w:spacing w:before="20" w:after="20"/>
            </w:pPr>
            <w:r w:rsidRPr="008F1881">
              <w:t xml:space="preserve">Key </w:t>
            </w:r>
            <w:r w:rsidR="004935DA">
              <w:t>t</w:t>
            </w:r>
            <w:r w:rsidR="00524CC0">
              <w:t>r</w:t>
            </w:r>
            <w:r w:rsidR="004935DA">
              <w:t>ends</w:t>
            </w:r>
            <w:r w:rsidR="00E54FF2">
              <w:t xml:space="preserve"> issues and opportunities related to the primary resource base of the region</w:t>
            </w:r>
          </w:p>
        </w:tc>
      </w:tr>
      <w:tr w:rsidR="00B84F75"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EDB9CC"/>
          </w:tcPr>
          <w:p w:rsidR="00B84F75" w:rsidRPr="008F1881" w:rsidRDefault="003A56CC" w:rsidP="000C3475">
            <w:pPr>
              <w:pStyle w:val="TableText0"/>
              <w:spacing w:before="20" w:after="20"/>
            </w:pPr>
            <w:r w:rsidRPr="008F1881">
              <w:t>Commercial development and tourism</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EDB9CC"/>
          </w:tcPr>
          <w:p w:rsidR="00B84F75" w:rsidRPr="008F1881" w:rsidRDefault="00E54FF2" w:rsidP="000C3475">
            <w:pPr>
              <w:pStyle w:val="TableText0"/>
              <w:spacing w:before="20" w:after="20"/>
            </w:pPr>
            <w:r>
              <w:t>C</w:t>
            </w:r>
            <w:r w:rsidR="003A56CC" w:rsidRPr="008F1881">
              <w:t>ommercial land needs as well as opportunities for tourism</w:t>
            </w:r>
          </w:p>
        </w:tc>
      </w:tr>
      <w:tr w:rsidR="003A56CC" w:rsidRPr="008F1881" w:rsidTr="00CA5858">
        <w:trPr>
          <w:cantSplit/>
          <w:trHeight w:val="915"/>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DA7398"/>
          </w:tcPr>
          <w:p w:rsidR="003A56CC" w:rsidRPr="008F1881" w:rsidRDefault="003A56CC" w:rsidP="000C3475">
            <w:pPr>
              <w:pStyle w:val="TableText0"/>
              <w:spacing w:before="20" w:after="20"/>
            </w:pPr>
            <w:r w:rsidRPr="008F1881">
              <w:t xml:space="preserve">Diversification of </w:t>
            </w:r>
            <w:r w:rsidR="00456880">
              <w:t xml:space="preserve">the </w:t>
            </w:r>
            <w:r w:rsidRPr="008F1881">
              <w:t>regional economy</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DA7398"/>
          </w:tcPr>
          <w:p w:rsidR="003A56CC" w:rsidRPr="008F1881" w:rsidRDefault="003A56CC" w:rsidP="000C3475">
            <w:pPr>
              <w:pStyle w:val="TableText0"/>
              <w:spacing w:before="20" w:after="20"/>
            </w:pPr>
            <w:r w:rsidRPr="008F1881">
              <w:t>The region’s comparative advantages, industrial land supply, the carbon economy, renewable energy and the importance of Ballarat as a regional economic hub</w:t>
            </w:r>
          </w:p>
        </w:tc>
      </w:tr>
      <w:tr w:rsidR="003A56CC" w:rsidRPr="00655E45" w:rsidTr="00CA5858">
        <w:trPr>
          <w:cantSplit/>
          <w:trHeight w:val="327"/>
        </w:trPr>
        <w:tc>
          <w:tcPr>
            <w:tcW w:w="9640" w:type="dxa"/>
            <w:gridSpan w:val="2"/>
            <w:tcBorders>
              <w:top w:val="single" w:sz="4" w:space="0" w:color="FFFFFF" w:themeColor="background1"/>
              <w:bottom w:val="single" w:sz="4" w:space="0" w:color="FFFFFF" w:themeColor="background1"/>
            </w:tcBorders>
            <w:shd w:val="clear" w:color="auto" w:fill="BF1259"/>
          </w:tcPr>
          <w:p w:rsidR="003A56CC" w:rsidRPr="001710B9" w:rsidRDefault="003A56CC" w:rsidP="000C3475">
            <w:pPr>
              <w:pStyle w:val="TableText0"/>
              <w:spacing w:before="20" w:after="20"/>
              <w:rPr>
                <w:b/>
                <w:color w:val="FFFFFF" w:themeColor="background1"/>
              </w:rPr>
            </w:pPr>
            <w:r w:rsidRPr="001710B9">
              <w:rPr>
                <w:b/>
                <w:color w:val="FFFFFF" w:themeColor="background1"/>
              </w:rPr>
              <w:t xml:space="preserve">Chapter </w:t>
            </w:r>
            <w:r w:rsidR="000C3475">
              <w:rPr>
                <w:b/>
                <w:color w:val="FFFFFF" w:themeColor="background1"/>
              </w:rPr>
              <w:t>6</w:t>
            </w:r>
            <w:r w:rsidR="00E44C67" w:rsidRPr="001710B9">
              <w:rPr>
                <w:b/>
                <w:color w:val="FFFFFF" w:themeColor="background1"/>
              </w:rPr>
              <w:t>:</w:t>
            </w:r>
            <w:r w:rsidRPr="001710B9">
              <w:rPr>
                <w:b/>
                <w:color w:val="FFFFFF" w:themeColor="background1"/>
              </w:rPr>
              <w:t xml:space="preserve"> Transport and infrastructure</w:t>
            </w:r>
          </w:p>
        </w:tc>
      </w:tr>
      <w:tr w:rsidR="003A56CC"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DA7398"/>
          </w:tcPr>
          <w:p w:rsidR="003A56CC" w:rsidRPr="008F1881" w:rsidRDefault="003A56CC" w:rsidP="000C3475">
            <w:pPr>
              <w:pStyle w:val="TableText0"/>
              <w:spacing w:before="20" w:after="20"/>
            </w:pPr>
            <w:r w:rsidRPr="008F1881">
              <w:t>Regional transport links</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DA7398"/>
          </w:tcPr>
          <w:p w:rsidR="003A56CC" w:rsidRPr="008F1881" w:rsidRDefault="003A56CC" w:rsidP="000C3475">
            <w:pPr>
              <w:pStyle w:val="TableText0"/>
              <w:spacing w:before="20" w:after="20"/>
            </w:pPr>
            <w:r w:rsidRPr="008F1881">
              <w:t>Linking communities and accessing Melbourne and other parts of the state</w:t>
            </w:r>
          </w:p>
        </w:tc>
      </w:tr>
      <w:tr w:rsidR="003A56CC" w:rsidRPr="008F1881" w:rsidTr="00CA5858">
        <w:trPr>
          <w:cantSplit/>
          <w:trHeight w:val="632"/>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EDB9CC"/>
          </w:tcPr>
          <w:p w:rsidR="003A56CC" w:rsidRPr="008F1881" w:rsidRDefault="003A56CC" w:rsidP="000C3475">
            <w:pPr>
              <w:pStyle w:val="TableText0"/>
              <w:spacing w:before="20" w:after="20"/>
            </w:pPr>
            <w:r w:rsidRPr="008F1881">
              <w:t>Freight transport</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EDB9CC"/>
          </w:tcPr>
          <w:p w:rsidR="003A56CC" w:rsidRPr="008F1881" w:rsidRDefault="003A56CC" w:rsidP="000C3475">
            <w:pPr>
              <w:pStyle w:val="TableText0"/>
              <w:spacing w:before="20" w:after="20"/>
            </w:pPr>
            <w:r w:rsidRPr="008F1881">
              <w:t>Freight connections including road and rail, changing freight demand, and infrastructure</w:t>
            </w:r>
          </w:p>
        </w:tc>
      </w:tr>
      <w:tr w:rsidR="003A56CC"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DA7398"/>
          </w:tcPr>
          <w:p w:rsidR="003A56CC" w:rsidRPr="008F1881" w:rsidRDefault="003A56CC" w:rsidP="000C3475">
            <w:pPr>
              <w:pStyle w:val="TableText0"/>
              <w:spacing w:before="20" w:after="20"/>
            </w:pPr>
            <w:r w:rsidRPr="008F1881">
              <w:t>Services and infrastructure</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DA7398"/>
          </w:tcPr>
          <w:p w:rsidR="003A56CC" w:rsidRPr="008F1881" w:rsidRDefault="003A56CC" w:rsidP="000C3475">
            <w:pPr>
              <w:pStyle w:val="TableText0"/>
              <w:spacing w:before="20" w:after="20"/>
            </w:pPr>
            <w:r w:rsidRPr="008F1881">
              <w:t>Water, gas, sewer and telecommunications</w:t>
            </w:r>
          </w:p>
        </w:tc>
      </w:tr>
      <w:tr w:rsidR="003A56CC" w:rsidRPr="00655E45" w:rsidTr="00CA5858">
        <w:trPr>
          <w:cantSplit/>
          <w:trHeight w:val="327"/>
        </w:trPr>
        <w:tc>
          <w:tcPr>
            <w:tcW w:w="9640" w:type="dxa"/>
            <w:gridSpan w:val="2"/>
            <w:tcBorders>
              <w:top w:val="single" w:sz="4" w:space="0" w:color="FFFFFF" w:themeColor="background1"/>
              <w:bottom w:val="single" w:sz="4" w:space="0" w:color="FFFFFF" w:themeColor="background1"/>
            </w:tcBorders>
            <w:shd w:val="clear" w:color="auto" w:fill="BF1259"/>
          </w:tcPr>
          <w:p w:rsidR="003A56CC" w:rsidRPr="001710B9" w:rsidRDefault="003A56CC" w:rsidP="000C3475">
            <w:pPr>
              <w:pStyle w:val="TableText0"/>
              <w:spacing w:before="20" w:after="20"/>
              <w:rPr>
                <w:b/>
                <w:color w:val="FFFFFF" w:themeColor="background1"/>
              </w:rPr>
            </w:pPr>
            <w:r w:rsidRPr="001710B9">
              <w:rPr>
                <w:b/>
                <w:color w:val="FFFFFF" w:themeColor="background1"/>
              </w:rPr>
              <w:t xml:space="preserve">Chapter </w:t>
            </w:r>
            <w:r w:rsidR="000C3475">
              <w:rPr>
                <w:b/>
                <w:color w:val="FFFFFF" w:themeColor="background1"/>
              </w:rPr>
              <w:t>7</w:t>
            </w:r>
            <w:r w:rsidR="00E44C67" w:rsidRPr="001710B9">
              <w:rPr>
                <w:b/>
                <w:color w:val="FFFFFF" w:themeColor="background1"/>
              </w:rPr>
              <w:t>:</w:t>
            </w:r>
            <w:r w:rsidRPr="001710B9">
              <w:rPr>
                <w:b/>
                <w:color w:val="FFFFFF" w:themeColor="background1"/>
              </w:rPr>
              <w:t xml:space="preserve"> Environment</w:t>
            </w:r>
          </w:p>
        </w:tc>
      </w:tr>
      <w:tr w:rsidR="003A56CC"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DA7398"/>
          </w:tcPr>
          <w:p w:rsidR="003A56CC" w:rsidRPr="008F1881" w:rsidRDefault="0079030C" w:rsidP="000C3475">
            <w:pPr>
              <w:pStyle w:val="TableText0"/>
              <w:spacing w:before="20" w:after="20"/>
            </w:pPr>
            <w:r w:rsidRPr="008F1881">
              <w:t>Natural environment</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DA7398"/>
          </w:tcPr>
          <w:p w:rsidR="003A56CC" w:rsidRPr="008F1881" w:rsidRDefault="006A1379" w:rsidP="000C3475">
            <w:pPr>
              <w:pStyle w:val="TableText0"/>
              <w:spacing w:before="20" w:after="20"/>
            </w:pPr>
            <w:r>
              <w:t>Key</w:t>
            </w:r>
            <w:r w:rsidR="0079030C" w:rsidRPr="008F1881">
              <w:t xml:space="preserve"> environmental assets and potential for </w:t>
            </w:r>
            <w:r>
              <w:t xml:space="preserve">their </w:t>
            </w:r>
            <w:r w:rsidR="0079030C" w:rsidRPr="008F1881">
              <w:t>enhancement and protection</w:t>
            </w:r>
          </w:p>
        </w:tc>
      </w:tr>
      <w:tr w:rsidR="00E54FF2"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EDB9CC"/>
          </w:tcPr>
          <w:p w:rsidR="00E54FF2" w:rsidRPr="008F1881" w:rsidRDefault="00E54FF2" w:rsidP="000C3475">
            <w:pPr>
              <w:pStyle w:val="TableText0"/>
              <w:spacing w:before="20" w:after="20"/>
            </w:pPr>
            <w:r w:rsidRPr="008F1881">
              <w:t xml:space="preserve">Water </w:t>
            </w:r>
            <w:r>
              <w:t>catchments</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EDB9CC"/>
          </w:tcPr>
          <w:p w:rsidR="00E54FF2" w:rsidRPr="008F1881" w:rsidRDefault="00E54FF2" w:rsidP="000C3475">
            <w:pPr>
              <w:pStyle w:val="TableText0"/>
              <w:spacing w:before="20" w:after="20"/>
            </w:pPr>
            <w:r>
              <w:t>Protecting a key regional asset</w:t>
            </w:r>
          </w:p>
        </w:tc>
      </w:tr>
      <w:tr w:rsidR="003A56CC"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DA7398"/>
          </w:tcPr>
          <w:p w:rsidR="003A56CC" w:rsidRPr="008F1881" w:rsidRDefault="00CB224C" w:rsidP="000C3475">
            <w:pPr>
              <w:pStyle w:val="TableText0"/>
              <w:spacing w:before="20" w:after="20"/>
            </w:pPr>
            <w:r>
              <w:t>Natural</w:t>
            </w:r>
            <w:r w:rsidR="0079030C" w:rsidRPr="008F1881">
              <w:t xml:space="preserve"> </w:t>
            </w:r>
            <w:r w:rsidR="00655E45">
              <w:t>hazards</w:t>
            </w:r>
            <w:r>
              <w:t xml:space="preserve"> and risks</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DA7398"/>
          </w:tcPr>
          <w:p w:rsidR="003A56CC" w:rsidRPr="008F1881" w:rsidRDefault="0079030C" w:rsidP="000C3475">
            <w:pPr>
              <w:pStyle w:val="TableText0"/>
              <w:spacing w:before="20" w:after="20"/>
            </w:pPr>
            <w:r w:rsidRPr="008F1881">
              <w:t>Bushfire, flood, salinity and climate change</w:t>
            </w:r>
          </w:p>
        </w:tc>
      </w:tr>
      <w:tr w:rsidR="0079030C" w:rsidRPr="008F1881" w:rsidTr="00CA5858">
        <w:trPr>
          <w:cantSplit/>
          <w:trHeight w:val="327"/>
        </w:trPr>
        <w:tc>
          <w:tcPr>
            <w:tcW w:w="3343" w:type="dxa"/>
            <w:tcBorders>
              <w:top w:val="single" w:sz="4" w:space="0" w:color="FFFFFF" w:themeColor="background1"/>
              <w:bottom w:val="single" w:sz="4" w:space="0" w:color="FFFFFF" w:themeColor="background1"/>
              <w:right w:val="single" w:sz="4" w:space="0" w:color="FFFFFF" w:themeColor="background1"/>
            </w:tcBorders>
            <w:shd w:val="clear" w:color="auto" w:fill="EDB9CC"/>
          </w:tcPr>
          <w:p w:rsidR="0079030C" w:rsidRPr="008F1881" w:rsidRDefault="0079030C" w:rsidP="000C3475">
            <w:pPr>
              <w:pStyle w:val="TableText0"/>
              <w:spacing w:before="20" w:after="20"/>
            </w:pPr>
            <w:r w:rsidRPr="008F1881">
              <w:t>Landscape protection</w:t>
            </w:r>
          </w:p>
        </w:tc>
        <w:tc>
          <w:tcPr>
            <w:tcW w:w="6297" w:type="dxa"/>
            <w:tcBorders>
              <w:top w:val="single" w:sz="4" w:space="0" w:color="FFFFFF" w:themeColor="background1"/>
              <w:left w:val="single" w:sz="4" w:space="0" w:color="FFFFFF" w:themeColor="background1"/>
              <w:bottom w:val="single" w:sz="4" w:space="0" w:color="FFFFFF" w:themeColor="background1"/>
            </w:tcBorders>
            <w:shd w:val="clear" w:color="auto" w:fill="EDB9CC"/>
          </w:tcPr>
          <w:p w:rsidR="0079030C" w:rsidRPr="008F1881" w:rsidRDefault="0079030C" w:rsidP="000C3475">
            <w:pPr>
              <w:pStyle w:val="TableText0"/>
              <w:spacing w:before="20" w:after="20"/>
            </w:pPr>
            <w:r w:rsidRPr="008F1881">
              <w:t>Protecting regionally-significant landscapes</w:t>
            </w:r>
          </w:p>
        </w:tc>
      </w:tr>
      <w:tr w:rsidR="00941F1A" w:rsidRPr="008F1881" w:rsidTr="00CA5858">
        <w:trPr>
          <w:cantSplit/>
          <w:trHeight w:val="349"/>
        </w:trPr>
        <w:tc>
          <w:tcPr>
            <w:tcW w:w="9640" w:type="dxa"/>
            <w:gridSpan w:val="2"/>
            <w:tcBorders>
              <w:top w:val="single" w:sz="4" w:space="0" w:color="FFFFFF" w:themeColor="background1"/>
            </w:tcBorders>
            <w:shd w:val="clear" w:color="auto" w:fill="BF1259"/>
          </w:tcPr>
          <w:p w:rsidR="00941F1A" w:rsidRPr="001710B9" w:rsidRDefault="00941F1A" w:rsidP="000C3475">
            <w:pPr>
              <w:pStyle w:val="TableText0"/>
              <w:spacing w:before="20" w:after="20"/>
              <w:rPr>
                <w:b/>
                <w:color w:val="FFFFFF" w:themeColor="background1"/>
              </w:rPr>
            </w:pPr>
            <w:r w:rsidRPr="001710B9">
              <w:rPr>
                <w:b/>
                <w:color w:val="FFFFFF" w:themeColor="background1"/>
              </w:rPr>
              <w:t xml:space="preserve">Chapter </w:t>
            </w:r>
            <w:r w:rsidR="000C3475">
              <w:rPr>
                <w:b/>
                <w:color w:val="FFFFFF" w:themeColor="background1"/>
              </w:rPr>
              <w:t>8</w:t>
            </w:r>
            <w:r w:rsidR="00E44C67" w:rsidRPr="001710B9">
              <w:rPr>
                <w:b/>
                <w:color w:val="FFFFFF" w:themeColor="background1"/>
              </w:rPr>
              <w:t>:</w:t>
            </w:r>
            <w:r w:rsidRPr="001710B9">
              <w:rPr>
                <w:b/>
                <w:color w:val="FFFFFF" w:themeColor="background1"/>
              </w:rPr>
              <w:t xml:space="preserve"> Cross-regional issues</w:t>
            </w:r>
          </w:p>
        </w:tc>
      </w:tr>
    </w:tbl>
    <w:p w:rsidR="000F1C50" w:rsidRPr="005B01F7" w:rsidRDefault="009F09AE" w:rsidP="005B01F7">
      <w:pPr>
        <w:pStyle w:val="Heading2"/>
      </w:pPr>
      <w:bookmarkStart w:id="25" w:name="_Toc372623200"/>
      <w:bookmarkStart w:id="26" w:name="_Toc374527589"/>
      <w:r w:rsidRPr="005B01F7">
        <w:lastRenderedPageBreak/>
        <w:t>Assumptions/</w:t>
      </w:r>
      <w:r w:rsidR="00E44C67" w:rsidRPr="005B01F7">
        <w:t>l</w:t>
      </w:r>
      <w:r w:rsidRPr="005B01F7">
        <w:t>imitations</w:t>
      </w:r>
      <w:bookmarkEnd w:id="23"/>
      <w:bookmarkEnd w:id="25"/>
      <w:bookmarkEnd w:id="26"/>
    </w:p>
    <w:p w:rsidR="00C312BA" w:rsidRPr="00695948" w:rsidRDefault="00AE26B4" w:rsidP="00695948">
      <w:pPr>
        <w:pStyle w:val="bt"/>
      </w:pPr>
      <w:r w:rsidRPr="008F1881">
        <w:t xml:space="preserve">The population trends and growth rates identified in this </w:t>
      </w:r>
      <w:r w:rsidR="00941F1A" w:rsidRPr="008F1881">
        <w:t xml:space="preserve">background </w:t>
      </w:r>
      <w:r w:rsidR="00E10B33" w:rsidRPr="008F1881">
        <w:t>report</w:t>
      </w:r>
      <w:r w:rsidRPr="008F1881">
        <w:t xml:space="preserve"> are predomina</w:t>
      </w:r>
      <w:r w:rsidR="00234522">
        <w:t>ntly</w:t>
      </w:r>
      <w:r w:rsidRPr="008F1881">
        <w:t xml:space="preserve"> based on 20</w:t>
      </w:r>
      <w:r w:rsidR="005A5947" w:rsidRPr="008F1881">
        <w:t>11</w:t>
      </w:r>
      <w:r w:rsidRPr="008F1881">
        <w:t xml:space="preserve"> </w:t>
      </w:r>
      <w:r w:rsidR="00941F1A" w:rsidRPr="008F1881">
        <w:t xml:space="preserve">and earlier </w:t>
      </w:r>
      <w:r w:rsidR="00234522">
        <w:t>C</w:t>
      </w:r>
      <w:r w:rsidRPr="008F1881">
        <w:t xml:space="preserve">ensus data and </w:t>
      </w:r>
      <w:r w:rsidRPr="000B40E8">
        <w:t>Victoria in Future</w:t>
      </w:r>
      <w:r w:rsidR="009E6139" w:rsidRPr="000B40E8">
        <w:t xml:space="preserve"> </w:t>
      </w:r>
      <w:r w:rsidR="001F619E" w:rsidRPr="000B40E8">
        <w:t>2012</w:t>
      </w:r>
      <w:r w:rsidR="00941F1A" w:rsidRPr="008F1881">
        <w:t xml:space="preserve"> data. Different geographic areas were used for the 2011 </w:t>
      </w:r>
      <w:r w:rsidR="00234522">
        <w:t>C</w:t>
      </w:r>
      <w:r w:rsidR="00941F1A" w:rsidRPr="008F1881">
        <w:t xml:space="preserve">ensus data and therefore population trends are not </w:t>
      </w:r>
      <w:r w:rsidR="005A5947" w:rsidRPr="008F1881">
        <w:t xml:space="preserve">always </w:t>
      </w:r>
      <w:r w:rsidR="00941F1A" w:rsidRPr="008F1881">
        <w:t xml:space="preserve">informed by this most recent </w:t>
      </w:r>
      <w:r w:rsidR="00234522">
        <w:t>C</w:t>
      </w:r>
      <w:r w:rsidR="00941F1A" w:rsidRPr="008F1881">
        <w:t>ensus</w:t>
      </w:r>
      <w:r w:rsidR="00E44C67">
        <w:t>,</w:t>
      </w:r>
      <w:r w:rsidR="00941F1A" w:rsidRPr="008F1881">
        <w:t xml:space="preserve"> as the data is not directly comparable.</w:t>
      </w:r>
      <w:r w:rsidR="005A5947" w:rsidRPr="008F1881">
        <w:t xml:space="preserve"> In such cases 2006 </w:t>
      </w:r>
      <w:r w:rsidR="00234522">
        <w:t>C</w:t>
      </w:r>
      <w:r w:rsidR="005A5947" w:rsidRPr="008F1881">
        <w:t>ensus data has been used as a basis for comparison</w:t>
      </w:r>
      <w:r w:rsidR="0004684A">
        <w:t>.</w:t>
      </w:r>
    </w:p>
    <w:p w:rsidR="00AD133E" w:rsidRDefault="00AD133E" w:rsidP="007649C1">
      <w:pPr>
        <w:pStyle w:val="Heading11"/>
      </w:pPr>
      <w:bookmarkStart w:id="27" w:name="_Toc353806244"/>
      <w:bookmarkStart w:id="28" w:name="_Toc353806490"/>
      <w:bookmarkStart w:id="29" w:name="_Ref370377068"/>
      <w:bookmarkStart w:id="30" w:name="_Toc374527590"/>
      <w:bookmarkStart w:id="31" w:name="_Toc349557691"/>
      <w:bookmarkStart w:id="32" w:name="_Ref349558670"/>
      <w:bookmarkEnd w:id="27"/>
      <w:bookmarkEnd w:id="28"/>
      <w:r w:rsidRPr="008F1881">
        <w:t>Central Highlands snapshot</w:t>
      </w:r>
      <w:bookmarkEnd w:id="29"/>
      <w:bookmarkEnd w:id="30"/>
    </w:p>
    <w:p w:rsidR="00AD133E" w:rsidRPr="008F1881" w:rsidRDefault="00AD133E" w:rsidP="00406DF1">
      <w:pPr>
        <w:pStyle w:val="bt"/>
        <w:rPr>
          <w:rFonts w:cs="Tahoma"/>
        </w:rPr>
      </w:pPr>
      <w:r w:rsidRPr="008F1881">
        <w:t>The Central Highlands</w:t>
      </w:r>
      <w:r w:rsidR="00183825">
        <w:t xml:space="preserve"> region</w:t>
      </w:r>
      <w:r w:rsidRPr="008F1881">
        <w:t xml:space="preserve"> has three distinct parts, each with </w:t>
      </w:r>
      <w:r w:rsidR="00BB7705">
        <w:t xml:space="preserve">its </w:t>
      </w:r>
      <w:r w:rsidRPr="008F1881">
        <w:t>own particular issues and opportunities:</w:t>
      </w:r>
    </w:p>
    <w:p w:rsidR="00AD133E" w:rsidRPr="008F1881" w:rsidRDefault="00AD133E" w:rsidP="00406DF1">
      <w:pPr>
        <w:pStyle w:val="ListBullet"/>
      </w:pPr>
      <w:r w:rsidRPr="008F1881">
        <w:t>Ballarat</w:t>
      </w:r>
      <w:r>
        <w:t>, which</w:t>
      </w:r>
      <w:r w:rsidRPr="008F1881">
        <w:t xml:space="preserve"> as the largest city</w:t>
      </w:r>
      <w:r w:rsidR="00BB7705">
        <w:t>,</w:t>
      </w:r>
      <w:r w:rsidRPr="008F1881">
        <w:t xml:space="preserve"> influences development and growth in its hinterland.</w:t>
      </w:r>
    </w:p>
    <w:p w:rsidR="00AD133E" w:rsidRPr="008F1881" w:rsidRDefault="00AD133E" w:rsidP="00406DF1">
      <w:pPr>
        <w:pStyle w:val="ListBullet"/>
      </w:pPr>
      <w:r w:rsidRPr="008F1881">
        <w:t>The eastern area</w:t>
      </w:r>
      <w:r w:rsidR="00BB7705">
        <w:t>,</w:t>
      </w:r>
      <w:r w:rsidRPr="008F1881">
        <w:t xml:space="preserve"> which is within Melbourne’s peri-urban hinterland</w:t>
      </w:r>
      <w:r w:rsidR="00BB7705">
        <w:t>,</w:t>
      </w:r>
      <w:r w:rsidRPr="008F1881">
        <w:t xml:space="preserve"> has particular pressures around population growth in areas with significant landscapes, agricultural, waterway and other environmental assets. Many residents in this area commute to Melbourne for employment and to access higher order services</w:t>
      </w:r>
      <w:r w:rsidR="00BB7705">
        <w:t>.</w:t>
      </w:r>
      <w:r w:rsidRPr="008F1881">
        <w:t xml:space="preserve"> </w:t>
      </w:r>
    </w:p>
    <w:p w:rsidR="00AD133E" w:rsidRPr="008F1881" w:rsidRDefault="00AD133E" w:rsidP="00406DF1">
      <w:pPr>
        <w:pStyle w:val="ListBullet"/>
      </w:pPr>
      <w:r w:rsidRPr="008F1881">
        <w:t xml:space="preserve">The western area, predominantly comprising rural areas and established settlements, with relatively low population growth. </w:t>
      </w:r>
    </w:p>
    <w:p w:rsidR="00AD133E" w:rsidRPr="008F1881" w:rsidRDefault="00AD133E" w:rsidP="00406DF1">
      <w:pPr>
        <w:pStyle w:val="bt"/>
      </w:pPr>
      <w:r w:rsidRPr="008F1881">
        <w:t>The Western Highway</w:t>
      </w:r>
      <w:r w:rsidR="00BB7705">
        <w:t>,</w:t>
      </w:r>
      <w:r w:rsidRPr="008F1881">
        <w:t xml:space="preserve"> </w:t>
      </w:r>
      <w:r w:rsidR="00BB7705">
        <w:t xml:space="preserve">the </w:t>
      </w:r>
      <w:r w:rsidRPr="008F1881">
        <w:t>Melbourne</w:t>
      </w:r>
      <w:r w:rsidR="00BB7705">
        <w:t>-</w:t>
      </w:r>
      <w:r w:rsidRPr="008F1881">
        <w:t xml:space="preserve">Adelaide </w:t>
      </w:r>
      <w:r w:rsidR="00BB7705">
        <w:t xml:space="preserve">railway line </w:t>
      </w:r>
      <w:r w:rsidRPr="008F1881">
        <w:t xml:space="preserve">and </w:t>
      </w:r>
      <w:r w:rsidR="00BB7705">
        <w:t xml:space="preserve">the </w:t>
      </w:r>
      <w:r w:rsidRPr="008F1881">
        <w:t>Ararat</w:t>
      </w:r>
      <w:r w:rsidR="00BB7705">
        <w:t>-</w:t>
      </w:r>
      <w:r w:rsidRPr="008F1881">
        <w:t xml:space="preserve">Melbourne railway </w:t>
      </w:r>
      <w:r w:rsidR="00BB7705">
        <w:t>line</w:t>
      </w:r>
      <w:r w:rsidRPr="008F1881">
        <w:t xml:space="preserve"> are key east</w:t>
      </w:r>
      <w:r w:rsidR="00BB7705">
        <w:t>-</w:t>
      </w:r>
      <w:r w:rsidRPr="008F1881">
        <w:t>west transport assets providing links acr</w:t>
      </w:r>
      <w:r w:rsidR="00A70AFD">
        <w:t>oss the region to major centres</w:t>
      </w:r>
      <w:r w:rsidRPr="008F1881">
        <w:t>.</w:t>
      </w:r>
    </w:p>
    <w:p w:rsidR="00AD133E" w:rsidRPr="008F1881" w:rsidRDefault="00AD133E" w:rsidP="00406DF1">
      <w:pPr>
        <w:pStyle w:val="bt"/>
      </w:pPr>
      <w:r w:rsidRPr="008F1881">
        <w:t>The region contains highly productive agricultural and horticultural areas used for broadacre grazing and cropping</w:t>
      </w:r>
      <w:r w:rsidR="00AE37C3">
        <w:t>,</w:t>
      </w:r>
      <w:r w:rsidRPr="008F1881">
        <w:t xml:space="preserve"> with some areas of intensive agriculture, including horticulture, viticulture and poultry.</w:t>
      </w:r>
    </w:p>
    <w:p w:rsidR="00AD133E" w:rsidRPr="008F1881" w:rsidRDefault="00AD133E" w:rsidP="00406DF1">
      <w:pPr>
        <w:pStyle w:val="bt"/>
      </w:pPr>
      <w:r w:rsidRPr="008F1881">
        <w:t>The region’s goldmining and cultural heritage and diverse landscapes attract many visitors and residents. Environmental features of the region include the Grampians National Park at the western end of the region and forests along the Great Dividing Range that make up a large proportion of the north</w:t>
      </w:r>
      <w:r w:rsidR="00AE37C3">
        <w:t>-</w:t>
      </w:r>
      <w:r w:rsidRPr="008F1881">
        <w:t xml:space="preserve">east parts of the region. </w:t>
      </w:r>
      <w:r w:rsidR="00AE37C3">
        <w:t>Regional n</w:t>
      </w:r>
      <w:r w:rsidRPr="008F1881">
        <w:t xml:space="preserve">atural resources support industries such as agriculture and nature based-tourism, supply urban water needs and provide important habitat for flora and fauna.  </w:t>
      </w:r>
    </w:p>
    <w:p w:rsidR="00AD133E" w:rsidRPr="008F1881" w:rsidRDefault="00AD133E" w:rsidP="00406DF1">
      <w:pPr>
        <w:pStyle w:val="bt"/>
      </w:pPr>
      <w:r w:rsidRPr="008F1881">
        <w:t xml:space="preserve">The estimated population of the Central Highlands </w:t>
      </w:r>
      <w:r w:rsidR="00AE37C3">
        <w:t xml:space="preserve">region </w:t>
      </w:r>
      <w:r w:rsidRPr="008F1881">
        <w:t>in 2011 was approximately 169,300</w:t>
      </w:r>
      <w:r w:rsidR="00AE37C3">
        <w:t xml:space="preserve"> people</w:t>
      </w:r>
      <w:r w:rsidRPr="008F1881">
        <w:t xml:space="preserve"> (</w:t>
      </w:r>
      <w:r w:rsidR="001F619E" w:rsidRPr="000B40E8">
        <w:t>Victoria in Future 2012</w:t>
      </w:r>
      <w:r w:rsidR="00406DF1">
        <w:t>).</w:t>
      </w:r>
    </w:p>
    <w:p w:rsidR="00CB74D7" w:rsidRDefault="00AD133E" w:rsidP="00406DF1">
      <w:pPr>
        <w:pStyle w:val="bt"/>
      </w:pPr>
      <w:r w:rsidRPr="008F1881">
        <w:t>Ballarat is the dominant settlement and provides higher order services and employment to a wide hinterland area. There are also a number of larger towns which provide services to surround</w:t>
      </w:r>
      <w:r w:rsidR="00AE37C3">
        <w:t>ing districts</w:t>
      </w:r>
      <w:r w:rsidRPr="008F1881">
        <w:t>, including Ararat, Bacchus Marsh and Daylesford</w:t>
      </w:r>
      <w:r w:rsidR="00AE37C3">
        <w:t>,</w:t>
      </w:r>
      <w:r w:rsidRPr="008F1881">
        <w:t xml:space="preserve"> and a range of smaller settlements. Bacchus Marsh also has strong links to Melbourne.</w:t>
      </w:r>
    </w:p>
    <w:p w:rsidR="00CB74D7" w:rsidRDefault="00CB74D7">
      <w:pPr>
        <w:spacing w:after="200" w:line="276" w:lineRule="auto"/>
        <w:jc w:val="left"/>
        <w:rPr>
          <w:rFonts w:ascii="Calibri" w:eastAsiaTheme="minorEastAsia" w:hAnsi="Calibri" w:cstheme="minorBidi"/>
        </w:rPr>
      </w:pPr>
      <w:r>
        <w:br w:type="page"/>
      </w:r>
    </w:p>
    <w:p w:rsidR="00F93A5F" w:rsidRPr="00DA6342" w:rsidRDefault="00B8069E" w:rsidP="007649C1">
      <w:pPr>
        <w:pStyle w:val="Heading11"/>
      </w:pPr>
      <w:bookmarkStart w:id="33" w:name="_Ref370377040"/>
      <w:bookmarkStart w:id="34" w:name="_Toc374527591"/>
      <w:r w:rsidRPr="00DA6342">
        <w:lastRenderedPageBreak/>
        <w:t>Population and s</w:t>
      </w:r>
      <w:r w:rsidR="00740FDC" w:rsidRPr="00DA6342">
        <w:t>ettlement</w:t>
      </w:r>
      <w:bookmarkEnd w:id="31"/>
      <w:bookmarkEnd w:id="32"/>
      <w:bookmarkEnd w:id="33"/>
      <w:bookmarkEnd w:id="34"/>
      <w:r w:rsidR="00740FDC" w:rsidRPr="00DA6342">
        <w:t xml:space="preserve"> </w:t>
      </w:r>
    </w:p>
    <w:p w:rsidR="00F93A5F" w:rsidRPr="005B01F7" w:rsidRDefault="00740FDC" w:rsidP="005B01F7">
      <w:pPr>
        <w:pStyle w:val="Heading2"/>
      </w:pPr>
      <w:bookmarkStart w:id="35" w:name="_Toc300065558"/>
      <w:bookmarkStart w:id="36" w:name="_Toc349557692"/>
      <w:bookmarkStart w:id="37" w:name="_Toc374527592"/>
      <w:r w:rsidRPr="005B01F7">
        <w:t>Context</w:t>
      </w:r>
      <w:bookmarkEnd w:id="35"/>
      <w:bookmarkEnd w:id="36"/>
      <w:bookmarkEnd w:id="37"/>
    </w:p>
    <w:p w:rsidR="00740FDC" w:rsidRPr="008F1881" w:rsidRDefault="00740FDC" w:rsidP="00DA6342">
      <w:pPr>
        <w:pStyle w:val="bt"/>
      </w:pPr>
      <w:r w:rsidRPr="008F1881">
        <w:t xml:space="preserve">The </w:t>
      </w:r>
      <w:r w:rsidR="0069443A" w:rsidRPr="000B40E8">
        <w:t>Central Highlands Regional Strategic Plan</w:t>
      </w:r>
      <w:r w:rsidRPr="000B40E8">
        <w:t xml:space="preserve"> Discussion Paper</w:t>
      </w:r>
      <w:r w:rsidR="00DA0677" w:rsidRPr="000B40E8">
        <w:t xml:space="preserve"> </w:t>
      </w:r>
      <w:r w:rsidR="00803716">
        <w:t>(P</w:t>
      </w:r>
      <w:r w:rsidR="00203156">
        <w:t xml:space="preserve">arsons </w:t>
      </w:r>
      <w:r w:rsidR="00803716">
        <w:t>B</w:t>
      </w:r>
      <w:r w:rsidR="00203156">
        <w:t>rinckerhoff</w:t>
      </w:r>
      <w:r w:rsidR="00803716">
        <w:t xml:space="preserve">, 2010a) </w:t>
      </w:r>
      <w:r w:rsidRPr="008F1881">
        <w:t>identified some of the key attributes of the region’s population and demographic profile</w:t>
      </w:r>
      <w:r w:rsidR="007712A3" w:rsidRPr="008F1881">
        <w:t>, including</w:t>
      </w:r>
      <w:r w:rsidRPr="008F1881">
        <w:t>:</w:t>
      </w:r>
    </w:p>
    <w:p w:rsidR="00740FDC" w:rsidRPr="008F1881" w:rsidRDefault="00740FDC" w:rsidP="00DA6342">
      <w:pPr>
        <w:pStyle w:val="ListBullet"/>
      </w:pPr>
      <w:r w:rsidRPr="008F1881">
        <w:t>shifting populations from rural areas to Ballarat and Melbourne and to a lesser extent from rural areas to regional centres and community service hubs such as Ararat, Bannockburn, Stawell and Beaufort</w:t>
      </w:r>
    </w:p>
    <w:p w:rsidR="00740FDC" w:rsidRPr="008F1881" w:rsidRDefault="00740FDC" w:rsidP="00DA6342">
      <w:pPr>
        <w:pStyle w:val="ListBullet"/>
      </w:pPr>
      <w:r w:rsidRPr="008F1881">
        <w:t>strong population growth in Ballarat and the peri-urban municipalities of Golden Plains and Moorabool associated with affordable living or lifestyle considerations in close proximity to Melbourne</w:t>
      </w:r>
    </w:p>
    <w:p w:rsidR="00740FDC" w:rsidRPr="008F1881" w:rsidRDefault="00740FDC" w:rsidP="00DA6342">
      <w:pPr>
        <w:pStyle w:val="ListBullet"/>
      </w:pPr>
      <w:r w:rsidRPr="008F1881">
        <w:t>an ageing population in rural areas and in Ballarat</w:t>
      </w:r>
    </w:p>
    <w:p w:rsidR="00740FDC" w:rsidRPr="008F1881" w:rsidRDefault="00740FDC" w:rsidP="00DA6342">
      <w:pPr>
        <w:pStyle w:val="ListBullet"/>
      </w:pPr>
      <w:r w:rsidRPr="008F1881">
        <w:t xml:space="preserve">loss of youth from rural areas to Ballarat and Melbourne for education, and often </w:t>
      </w:r>
      <w:r w:rsidR="00AE37C3">
        <w:t>when</w:t>
      </w:r>
      <w:r w:rsidRPr="008F1881">
        <w:t xml:space="preserve"> tertiary study is complete, from Ballarat to Melbourne</w:t>
      </w:r>
    </w:p>
    <w:p w:rsidR="00740FDC" w:rsidRPr="008F1881" w:rsidRDefault="00740FDC" w:rsidP="00DA6342">
      <w:pPr>
        <w:pStyle w:val="ListBullet"/>
      </w:pPr>
      <w:r w:rsidRPr="008F1881">
        <w:t xml:space="preserve">limited in-migration concentrating </w:t>
      </w:r>
      <w:r w:rsidR="00AE37C3">
        <w:t>on</w:t>
      </w:r>
      <w:r w:rsidRPr="008F1881">
        <w:t xml:space="preserve"> urban areas, notably Ballarat.</w:t>
      </w:r>
    </w:p>
    <w:p w:rsidR="00695948" w:rsidRDefault="00740FDC" w:rsidP="00DA6342">
      <w:pPr>
        <w:pStyle w:val="bt"/>
      </w:pPr>
      <w:r w:rsidRPr="00DA6342">
        <w:t>The 20</w:t>
      </w:r>
      <w:r w:rsidR="007712A3" w:rsidRPr="00DA6342">
        <w:t>11</w:t>
      </w:r>
      <w:r w:rsidRPr="00DA6342">
        <w:t xml:space="preserve"> </w:t>
      </w:r>
      <w:r w:rsidR="007712A3" w:rsidRPr="00DA6342">
        <w:t xml:space="preserve">estimated </w:t>
      </w:r>
      <w:r w:rsidRPr="00DA6342">
        <w:t xml:space="preserve">resident population of the Central Highlands region </w:t>
      </w:r>
      <w:r w:rsidR="009E3409" w:rsidRPr="00DA6342">
        <w:t xml:space="preserve">(excluding </w:t>
      </w:r>
      <w:r w:rsidRPr="00DA6342">
        <w:t>Northern Grampians and Central Goldfields shires</w:t>
      </w:r>
      <w:r w:rsidR="009E3409" w:rsidRPr="00DA6342">
        <w:t>)</w:t>
      </w:r>
      <w:r w:rsidRPr="00DA6342">
        <w:t xml:space="preserve"> was </w:t>
      </w:r>
      <w:r w:rsidR="000D5CE6" w:rsidRPr="00DA6342">
        <w:t>169,300</w:t>
      </w:r>
      <w:r w:rsidR="00AE37C3" w:rsidRPr="00DA6342">
        <w:t xml:space="preserve"> people</w:t>
      </w:r>
      <w:r w:rsidR="00FB0179" w:rsidRPr="00DA6342">
        <w:t xml:space="preserve">. </w:t>
      </w:r>
      <w:r w:rsidR="00631B16">
        <w:fldChar w:fldCharType="begin"/>
      </w:r>
      <w:r w:rsidR="00631B16">
        <w:instrText xml:space="preserve"> REF</w:instrText>
      </w:r>
      <w:r w:rsidR="00631B16">
        <w:instrText xml:space="preserve"> _Ref353802113 \h  \* MERGEFORMAT </w:instrText>
      </w:r>
      <w:r w:rsidR="00631B16">
        <w:fldChar w:fldCharType="separate"/>
      </w:r>
      <w:r w:rsidR="00907B42" w:rsidRPr="00AE7AEB">
        <w:t>Figure</w:t>
      </w:r>
      <w:r w:rsidR="00907B42" w:rsidRPr="00D42DE9">
        <w:t xml:space="preserve"> </w:t>
      </w:r>
      <w:r w:rsidR="00907B42">
        <w:t>2</w:t>
      </w:r>
      <w:r w:rsidR="00631B16">
        <w:fldChar w:fldCharType="end"/>
      </w:r>
      <w:r w:rsidR="00D06A85" w:rsidRPr="00DA6342">
        <w:t xml:space="preserve"> show</w:t>
      </w:r>
      <w:r w:rsidR="00BC5C41" w:rsidRPr="00DA6342">
        <w:t>s</w:t>
      </w:r>
      <w:r w:rsidR="00D06A85" w:rsidRPr="00DA6342">
        <w:t xml:space="preserve"> how strongly th</w:t>
      </w:r>
      <w:r w:rsidR="00E11A2B" w:rsidRPr="00DA6342">
        <w:t>is</w:t>
      </w:r>
      <w:r w:rsidR="00D06A85" w:rsidRPr="00DA6342">
        <w:t xml:space="preserve"> population is focused around the larger urban centres an</w:t>
      </w:r>
      <w:r w:rsidR="005328D1" w:rsidRPr="00DA6342">
        <w:t>d</w:t>
      </w:r>
      <w:r w:rsidR="00D06A85" w:rsidRPr="00DA6342">
        <w:t xml:space="preserve"> how </w:t>
      </w:r>
      <w:r w:rsidR="00E11A2B" w:rsidRPr="00DA6342">
        <w:t>significant</w:t>
      </w:r>
      <w:r w:rsidR="00D06A85" w:rsidRPr="00DA6342">
        <w:t xml:space="preserve"> growth has been </w:t>
      </w:r>
      <w:r w:rsidR="00AE37C3" w:rsidRPr="00DA6342">
        <w:t xml:space="preserve">mostly </w:t>
      </w:r>
      <w:r w:rsidR="00D06A85" w:rsidRPr="00DA6342">
        <w:t>focused in the region’s east.</w:t>
      </w:r>
      <w:r w:rsidR="005328D1" w:rsidRPr="00DA6342">
        <w:t xml:space="preserve"> </w:t>
      </w:r>
      <w:r w:rsidR="00E11A2B" w:rsidRPr="00DA6342">
        <w:t>Notable growth includes settlements where there has been a large increase in population numbers, for example Bacchus Marsh and Ballarat, and those where there has been a large proportional increase in population, such as Smythesdale and Ballan. Both situations can put pressure on services and infrastructure. In contrast</w:t>
      </w:r>
      <w:r w:rsidR="00AE37C3" w:rsidRPr="00DA6342">
        <w:t>,</w:t>
      </w:r>
      <w:r w:rsidR="00E11A2B" w:rsidRPr="00DA6342">
        <w:t xml:space="preserve"> many settlements in the western part of the region have had relatively s</w:t>
      </w:r>
      <w:r w:rsidR="00DA6342">
        <w:t>table or declining populations.</w:t>
      </w:r>
    </w:p>
    <w:p w:rsidR="001B05A0" w:rsidRDefault="001B05A0" w:rsidP="00DA6342">
      <w:pPr>
        <w:pStyle w:val="bt"/>
        <w:sectPr w:rsidR="001B05A0" w:rsidSect="007B70BC">
          <w:footerReference w:type="default" r:id="rId21"/>
          <w:pgSz w:w="11906" w:h="16838" w:code="9"/>
          <w:pgMar w:top="1440" w:right="1282" w:bottom="993" w:left="1800" w:header="706" w:footer="706" w:gutter="0"/>
          <w:pgNumType w:start="1"/>
          <w:cols w:space="708"/>
          <w:docGrid w:linePitch="360"/>
        </w:sectPr>
      </w:pPr>
    </w:p>
    <w:p w:rsidR="00740FDC" w:rsidRDefault="00067BC4" w:rsidP="00D42DE9">
      <w:pPr>
        <w:pStyle w:val="Caption"/>
      </w:pPr>
      <w:bookmarkStart w:id="38" w:name="_Ref353802113"/>
      <w:bookmarkStart w:id="39" w:name="_Ref350155955"/>
      <w:bookmarkStart w:id="40" w:name="_Toc381698002"/>
      <w:r w:rsidRPr="00AE7AEB">
        <w:lastRenderedPageBreak/>
        <w:t>Figure</w:t>
      </w:r>
      <w:r w:rsidRPr="00D42DE9">
        <w:t xml:space="preserve"> </w:t>
      </w:r>
      <w:r w:rsidR="009F388E">
        <w:fldChar w:fldCharType="begin"/>
      </w:r>
      <w:r w:rsidR="00821C7F">
        <w:instrText xml:space="preserve"> SEQ Figure \* ARABIC </w:instrText>
      </w:r>
      <w:r w:rsidR="009F388E">
        <w:fldChar w:fldCharType="separate"/>
      </w:r>
      <w:r w:rsidR="00907B42">
        <w:rPr>
          <w:noProof/>
        </w:rPr>
        <w:t>2</w:t>
      </w:r>
      <w:r w:rsidR="009F388E">
        <w:fldChar w:fldCharType="end"/>
      </w:r>
      <w:bookmarkEnd w:id="38"/>
      <w:r w:rsidR="00AE37C3" w:rsidRPr="00D42DE9">
        <w:t>:</w:t>
      </w:r>
      <w:r w:rsidR="00740FDC" w:rsidRPr="00D42DE9">
        <w:t xml:space="preserve"> Central Highlands </w:t>
      </w:r>
      <w:r w:rsidR="00BD549B" w:rsidRPr="00BD549B">
        <w:t>town population changes</w:t>
      </w:r>
      <w:bookmarkEnd w:id="39"/>
      <w:bookmarkEnd w:id="40"/>
    </w:p>
    <w:p w:rsidR="001A6ABA" w:rsidRPr="00F45508" w:rsidRDefault="00785BB0" w:rsidP="002D3DAD">
      <w:pPr>
        <w:pStyle w:val="bt"/>
        <w:rPr>
          <w:b/>
          <w:szCs w:val="20"/>
        </w:rPr>
      </w:pPr>
      <w:r w:rsidRPr="00F45508">
        <w:rPr>
          <w:b/>
          <w:szCs w:val="20"/>
        </w:rPr>
        <w:t xml:space="preserve">a) </w:t>
      </w:r>
      <w:r w:rsidR="001A6ABA" w:rsidRPr="00F45508">
        <w:rPr>
          <w:b/>
          <w:szCs w:val="20"/>
        </w:rPr>
        <w:t>Population change 2001 – 2011</w:t>
      </w:r>
    </w:p>
    <w:p w:rsidR="001A6ABA" w:rsidRPr="00F45508" w:rsidRDefault="001A6ABA" w:rsidP="002D3DAD">
      <w:pPr>
        <w:pStyle w:val="bt"/>
        <w:rPr>
          <w:b/>
          <w:szCs w:val="20"/>
        </w:rPr>
      </w:pPr>
      <w:r w:rsidRPr="00F45508">
        <w:rPr>
          <w:b/>
          <w:szCs w:val="20"/>
        </w:rPr>
        <w:t xml:space="preserve">LGA – Ballarat </w:t>
      </w:r>
    </w:p>
    <w:p w:rsidR="001A6ABA" w:rsidRPr="00F45508" w:rsidRDefault="001A6ABA" w:rsidP="001A6ABA">
      <w:pPr>
        <w:pStyle w:val="bt"/>
        <w:numPr>
          <w:ilvl w:val="0"/>
          <w:numId w:val="28"/>
        </w:numPr>
        <w:rPr>
          <w:szCs w:val="20"/>
        </w:rPr>
      </w:pPr>
      <w:r w:rsidRPr="00F45508">
        <w:rPr>
          <w:szCs w:val="20"/>
        </w:rPr>
        <w:t>Town – Ballarat</w:t>
      </w:r>
    </w:p>
    <w:p w:rsidR="001A6ABA" w:rsidRPr="00F45508" w:rsidRDefault="001A6ABA" w:rsidP="001A6ABA">
      <w:pPr>
        <w:pStyle w:val="bt"/>
        <w:numPr>
          <w:ilvl w:val="0"/>
          <w:numId w:val="29"/>
        </w:numPr>
        <w:ind w:left="1134"/>
        <w:rPr>
          <w:szCs w:val="20"/>
        </w:rPr>
      </w:pPr>
      <w:r w:rsidRPr="00F45508">
        <w:rPr>
          <w:szCs w:val="20"/>
        </w:rPr>
        <w:t>2001 population – 72,280</w:t>
      </w:r>
    </w:p>
    <w:p w:rsidR="001A6ABA" w:rsidRPr="00F45508" w:rsidRDefault="001A6ABA" w:rsidP="001A6ABA">
      <w:pPr>
        <w:pStyle w:val="bt"/>
        <w:numPr>
          <w:ilvl w:val="0"/>
          <w:numId w:val="29"/>
        </w:numPr>
        <w:ind w:left="1134"/>
        <w:rPr>
          <w:szCs w:val="20"/>
        </w:rPr>
      </w:pPr>
      <w:r w:rsidRPr="00F45508">
        <w:rPr>
          <w:szCs w:val="20"/>
        </w:rPr>
        <w:t>2011 population – 85,314</w:t>
      </w:r>
    </w:p>
    <w:p w:rsidR="001A6ABA" w:rsidRPr="00F45508" w:rsidRDefault="001A6ABA" w:rsidP="001A6ABA">
      <w:pPr>
        <w:pStyle w:val="bt"/>
        <w:rPr>
          <w:b/>
          <w:szCs w:val="20"/>
        </w:rPr>
      </w:pPr>
      <w:r w:rsidRPr="00F45508">
        <w:rPr>
          <w:b/>
          <w:szCs w:val="20"/>
        </w:rPr>
        <w:t xml:space="preserve">LGA – </w:t>
      </w:r>
      <w:r w:rsidRPr="00F45508">
        <w:rPr>
          <w:b/>
          <w:noProof/>
          <w:szCs w:val="20"/>
        </w:rPr>
        <w:t>Moorabool</w:t>
      </w:r>
    </w:p>
    <w:p w:rsidR="001A6ABA" w:rsidRPr="00F45508" w:rsidRDefault="001A6ABA" w:rsidP="001A6ABA">
      <w:pPr>
        <w:pStyle w:val="bt"/>
        <w:numPr>
          <w:ilvl w:val="0"/>
          <w:numId w:val="28"/>
        </w:numPr>
        <w:rPr>
          <w:szCs w:val="20"/>
        </w:rPr>
      </w:pPr>
      <w:r w:rsidRPr="00F45508">
        <w:rPr>
          <w:szCs w:val="20"/>
        </w:rPr>
        <w:t xml:space="preserve">Town – </w:t>
      </w:r>
      <w:r w:rsidRPr="00F45508">
        <w:rPr>
          <w:noProof/>
          <w:szCs w:val="20"/>
        </w:rPr>
        <w:t>Bacchus Marsh</w:t>
      </w:r>
    </w:p>
    <w:p w:rsidR="001A6ABA" w:rsidRPr="00F45508" w:rsidRDefault="001A6ABA" w:rsidP="001A6ABA">
      <w:pPr>
        <w:pStyle w:val="bt"/>
        <w:numPr>
          <w:ilvl w:val="0"/>
          <w:numId w:val="29"/>
        </w:numPr>
        <w:ind w:left="1134"/>
        <w:rPr>
          <w:szCs w:val="20"/>
        </w:rPr>
      </w:pPr>
      <w:r w:rsidRPr="00F45508">
        <w:rPr>
          <w:szCs w:val="20"/>
        </w:rPr>
        <w:t>2001 population – 12,152</w:t>
      </w:r>
    </w:p>
    <w:p w:rsidR="001A6ABA" w:rsidRPr="00F45508" w:rsidRDefault="001A6ABA" w:rsidP="001A6ABA">
      <w:pPr>
        <w:pStyle w:val="bt"/>
        <w:numPr>
          <w:ilvl w:val="0"/>
          <w:numId w:val="29"/>
        </w:numPr>
        <w:ind w:left="1134"/>
        <w:rPr>
          <w:szCs w:val="20"/>
        </w:rPr>
      </w:pPr>
      <w:r w:rsidRPr="00F45508">
        <w:rPr>
          <w:szCs w:val="20"/>
        </w:rPr>
        <w:t>2011 population – 14,779</w:t>
      </w:r>
    </w:p>
    <w:p w:rsidR="001A6ABA" w:rsidRPr="00F45508" w:rsidRDefault="001A6ABA" w:rsidP="001A6ABA">
      <w:pPr>
        <w:pStyle w:val="bt"/>
        <w:numPr>
          <w:ilvl w:val="0"/>
          <w:numId w:val="28"/>
        </w:numPr>
        <w:rPr>
          <w:szCs w:val="20"/>
        </w:rPr>
      </w:pPr>
      <w:r w:rsidRPr="00F45508">
        <w:rPr>
          <w:szCs w:val="20"/>
        </w:rPr>
        <w:t xml:space="preserve">Town – </w:t>
      </w:r>
      <w:r w:rsidRPr="00F45508">
        <w:rPr>
          <w:noProof/>
          <w:szCs w:val="20"/>
        </w:rPr>
        <w:t>Ballan</w:t>
      </w:r>
    </w:p>
    <w:p w:rsidR="001A6ABA" w:rsidRPr="00F45508" w:rsidRDefault="001A6ABA" w:rsidP="001A6ABA">
      <w:pPr>
        <w:pStyle w:val="bt"/>
        <w:numPr>
          <w:ilvl w:val="0"/>
          <w:numId w:val="29"/>
        </w:numPr>
        <w:ind w:left="1134"/>
        <w:rPr>
          <w:szCs w:val="20"/>
        </w:rPr>
      </w:pPr>
      <w:r w:rsidRPr="00F45508">
        <w:rPr>
          <w:szCs w:val="20"/>
        </w:rPr>
        <w:t>2001 population – 1766</w:t>
      </w:r>
    </w:p>
    <w:p w:rsidR="001A6ABA" w:rsidRPr="00F45508" w:rsidRDefault="001A6ABA" w:rsidP="001A6ABA">
      <w:pPr>
        <w:pStyle w:val="bt"/>
        <w:numPr>
          <w:ilvl w:val="0"/>
          <w:numId w:val="29"/>
        </w:numPr>
        <w:ind w:left="1134"/>
        <w:rPr>
          <w:szCs w:val="20"/>
        </w:rPr>
      </w:pPr>
      <w:r w:rsidRPr="00F45508">
        <w:rPr>
          <w:szCs w:val="20"/>
        </w:rPr>
        <w:t>2011 population – 2008</w:t>
      </w:r>
    </w:p>
    <w:p w:rsidR="001A6ABA" w:rsidRPr="00F45508" w:rsidRDefault="001A6ABA" w:rsidP="001A6ABA">
      <w:pPr>
        <w:pStyle w:val="bt"/>
        <w:numPr>
          <w:ilvl w:val="0"/>
          <w:numId w:val="28"/>
        </w:numPr>
        <w:rPr>
          <w:szCs w:val="20"/>
        </w:rPr>
      </w:pPr>
      <w:r w:rsidRPr="00F45508">
        <w:rPr>
          <w:szCs w:val="20"/>
        </w:rPr>
        <w:t xml:space="preserve">Town – </w:t>
      </w:r>
      <w:r w:rsidRPr="00F45508">
        <w:rPr>
          <w:noProof/>
          <w:szCs w:val="20"/>
        </w:rPr>
        <w:t>Gordon</w:t>
      </w:r>
    </w:p>
    <w:p w:rsidR="001A6ABA" w:rsidRPr="00F45508" w:rsidRDefault="001A6ABA" w:rsidP="001A6ABA">
      <w:pPr>
        <w:pStyle w:val="bt"/>
        <w:numPr>
          <w:ilvl w:val="0"/>
          <w:numId w:val="29"/>
        </w:numPr>
        <w:ind w:left="1134"/>
        <w:rPr>
          <w:szCs w:val="20"/>
        </w:rPr>
      </w:pPr>
      <w:r w:rsidRPr="00F45508">
        <w:rPr>
          <w:szCs w:val="20"/>
        </w:rPr>
        <w:t>2001 population – 407</w:t>
      </w:r>
    </w:p>
    <w:p w:rsidR="001A6ABA" w:rsidRPr="00F45508" w:rsidRDefault="001A6ABA" w:rsidP="001A6ABA">
      <w:pPr>
        <w:pStyle w:val="bt"/>
        <w:numPr>
          <w:ilvl w:val="0"/>
          <w:numId w:val="29"/>
        </w:numPr>
        <w:ind w:left="1134"/>
        <w:rPr>
          <w:szCs w:val="20"/>
        </w:rPr>
      </w:pPr>
      <w:r w:rsidRPr="00F45508">
        <w:rPr>
          <w:szCs w:val="20"/>
        </w:rPr>
        <w:t>2011 population – 378</w:t>
      </w:r>
    </w:p>
    <w:p w:rsidR="001A6ABA" w:rsidRPr="00F45508" w:rsidRDefault="001A6ABA" w:rsidP="001A6ABA">
      <w:pPr>
        <w:pStyle w:val="bt"/>
        <w:numPr>
          <w:ilvl w:val="0"/>
          <w:numId w:val="28"/>
        </w:numPr>
        <w:rPr>
          <w:szCs w:val="20"/>
        </w:rPr>
      </w:pPr>
      <w:r w:rsidRPr="00F45508">
        <w:rPr>
          <w:szCs w:val="20"/>
        </w:rPr>
        <w:t xml:space="preserve">Town – </w:t>
      </w:r>
      <w:r w:rsidRPr="00F45508">
        <w:rPr>
          <w:noProof/>
          <w:szCs w:val="20"/>
        </w:rPr>
        <w:t>Blackwood</w:t>
      </w:r>
    </w:p>
    <w:p w:rsidR="001A6ABA" w:rsidRPr="00F45508" w:rsidRDefault="001A6ABA" w:rsidP="001A6ABA">
      <w:pPr>
        <w:pStyle w:val="bt"/>
        <w:numPr>
          <w:ilvl w:val="0"/>
          <w:numId w:val="29"/>
        </w:numPr>
        <w:ind w:left="1134"/>
        <w:rPr>
          <w:szCs w:val="20"/>
        </w:rPr>
      </w:pPr>
      <w:r w:rsidRPr="00F45508">
        <w:rPr>
          <w:szCs w:val="20"/>
        </w:rPr>
        <w:t>2001 population – 300</w:t>
      </w:r>
    </w:p>
    <w:p w:rsidR="001A6ABA" w:rsidRPr="00F45508" w:rsidRDefault="001A6ABA" w:rsidP="001A6ABA">
      <w:pPr>
        <w:pStyle w:val="bt"/>
        <w:numPr>
          <w:ilvl w:val="0"/>
          <w:numId w:val="29"/>
        </w:numPr>
        <w:ind w:left="1134"/>
        <w:rPr>
          <w:szCs w:val="20"/>
        </w:rPr>
      </w:pPr>
      <w:r w:rsidRPr="00F45508">
        <w:rPr>
          <w:szCs w:val="20"/>
        </w:rPr>
        <w:t>2011 population – 295</w:t>
      </w:r>
    </w:p>
    <w:p w:rsidR="001A6ABA" w:rsidRPr="00F45508" w:rsidRDefault="001A6ABA" w:rsidP="001A6ABA">
      <w:pPr>
        <w:pStyle w:val="bt"/>
        <w:rPr>
          <w:b/>
          <w:szCs w:val="20"/>
        </w:rPr>
      </w:pPr>
      <w:r w:rsidRPr="00F45508">
        <w:rPr>
          <w:b/>
          <w:szCs w:val="20"/>
        </w:rPr>
        <w:t xml:space="preserve">LGA – </w:t>
      </w:r>
      <w:r w:rsidRPr="00F45508">
        <w:rPr>
          <w:b/>
          <w:noProof/>
          <w:szCs w:val="20"/>
        </w:rPr>
        <w:t>Ararat</w:t>
      </w:r>
    </w:p>
    <w:p w:rsidR="001A6ABA" w:rsidRPr="00F45508" w:rsidRDefault="001A6ABA" w:rsidP="001A6ABA">
      <w:pPr>
        <w:pStyle w:val="bt"/>
        <w:numPr>
          <w:ilvl w:val="0"/>
          <w:numId w:val="28"/>
        </w:numPr>
        <w:rPr>
          <w:szCs w:val="20"/>
        </w:rPr>
      </w:pPr>
      <w:r w:rsidRPr="00F45508">
        <w:rPr>
          <w:szCs w:val="20"/>
        </w:rPr>
        <w:t xml:space="preserve">Town – </w:t>
      </w:r>
      <w:r w:rsidRPr="00F45508">
        <w:rPr>
          <w:noProof/>
          <w:szCs w:val="20"/>
        </w:rPr>
        <w:t>Ararat</w:t>
      </w:r>
    </w:p>
    <w:p w:rsidR="001A6ABA" w:rsidRPr="00F45508" w:rsidRDefault="001A6ABA" w:rsidP="001A6ABA">
      <w:pPr>
        <w:pStyle w:val="bt"/>
        <w:numPr>
          <w:ilvl w:val="0"/>
          <w:numId w:val="29"/>
        </w:numPr>
        <w:ind w:left="1134"/>
        <w:rPr>
          <w:szCs w:val="20"/>
        </w:rPr>
      </w:pPr>
      <w:r w:rsidRPr="00F45508">
        <w:rPr>
          <w:szCs w:val="20"/>
        </w:rPr>
        <w:t>2001 population – 7068</w:t>
      </w:r>
    </w:p>
    <w:p w:rsidR="001A6ABA" w:rsidRPr="00F45508" w:rsidRDefault="001A6ABA" w:rsidP="001A6ABA">
      <w:pPr>
        <w:pStyle w:val="bt"/>
        <w:numPr>
          <w:ilvl w:val="0"/>
          <w:numId w:val="29"/>
        </w:numPr>
        <w:ind w:left="1134"/>
        <w:rPr>
          <w:szCs w:val="20"/>
        </w:rPr>
      </w:pPr>
      <w:r w:rsidRPr="00F45508">
        <w:rPr>
          <w:szCs w:val="20"/>
        </w:rPr>
        <w:t>2011 population – 6906</w:t>
      </w:r>
    </w:p>
    <w:p w:rsidR="001A6ABA" w:rsidRPr="00F45508" w:rsidRDefault="001A6ABA" w:rsidP="001A6ABA">
      <w:pPr>
        <w:pStyle w:val="bt"/>
        <w:numPr>
          <w:ilvl w:val="0"/>
          <w:numId w:val="28"/>
        </w:numPr>
        <w:rPr>
          <w:szCs w:val="20"/>
        </w:rPr>
      </w:pPr>
      <w:r w:rsidRPr="00F45508">
        <w:rPr>
          <w:szCs w:val="20"/>
        </w:rPr>
        <w:t xml:space="preserve">Town – </w:t>
      </w:r>
      <w:r w:rsidRPr="00F45508">
        <w:rPr>
          <w:noProof/>
          <w:szCs w:val="20"/>
        </w:rPr>
        <w:t>Willaura</w:t>
      </w:r>
    </w:p>
    <w:p w:rsidR="001A6ABA" w:rsidRPr="00F45508" w:rsidRDefault="001A6ABA" w:rsidP="001A6ABA">
      <w:pPr>
        <w:pStyle w:val="bt"/>
        <w:numPr>
          <w:ilvl w:val="0"/>
          <w:numId w:val="29"/>
        </w:numPr>
        <w:ind w:left="1134"/>
        <w:rPr>
          <w:szCs w:val="20"/>
        </w:rPr>
      </w:pPr>
      <w:r w:rsidRPr="00F45508">
        <w:rPr>
          <w:szCs w:val="20"/>
        </w:rPr>
        <w:t>2001 population – 288</w:t>
      </w:r>
    </w:p>
    <w:p w:rsidR="001A6ABA" w:rsidRPr="00F45508" w:rsidRDefault="001A6ABA" w:rsidP="001A6ABA">
      <w:pPr>
        <w:pStyle w:val="bt"/>
        <w:numPr>
          <w:ilvl w:val="0"/>
          <w:numId w:val="29"/>
        </w:numPr>
        <w:ind w:left="1134"/>
        <w:rPr>
          <w:szCs w:val="20"/>
        </w:rPr>
      </w:pPr>
      <w:r w:rsidRPr="00F45508">
        <w:rPr>
          <w:szCs w:val="20"/>
        </w:rPr>
        <w:t>2011 population – 256</w:t>
      </w:r>
    </w:p>
    <w:p w:rsidR="001A6ABA" w:rsidRPr="00F45508" w:rsidRDefault="001A6ABA" w:rsidP="001A6ABA">
      <w:pPr>
        <w:pStyle w:val="bt"/>
        <w:rPr>
          <w:b/>
          <w:szCs w:val="20"/>
        </w:rPr>
      </w:pPr>
      <w:r w:rsidRPr="00F45508">
        <w:rPr>
          <w:b/>
          <w:szCs w:val="20"/>
        </w:rPr>
        <w:t xml:space="preserve">LGA – </w:t>
      </w:r>
      <w:r w:rsidRPr="00F45508">
        <w:rPr>
          <w:b/>
          <w:noProof/>
          <w:szCs w:val="20"/>
        </w:rPr>
        <w:t>Hepburn</w:t>
      </w:r>
    </w:p>
    <w:p w:rsidR="001A6ABA" w:rsidRPr="00F45508" w:rsidRDefault="001A6ABA" w:rsidP="001A6ABA">
      <w:pPr>
        <w:pStyle w:val="bt"/>
        <w:numPr>
          <w:ilvl w:val="0"/>
          <w:numId w:val="28"/>
        </w:numPr>
        <w:rPr>
          <w:szCs w:val="20"/>
        </w:rPr>
      </w:pPr>
      <w:r w:rsidRPr="00F45508">
        <w:rPr>
          <w:szCs w:val="20"/>
        </w:rPr>
        <w:lastRenderedPageBreak/>
        <w:t xml:space="preserve">Town – </w:t>
      </w:r>
      <w:r w:rsidRPr="00F45508">
        <w:rPr>
          <w:noProof/>
          <w:szCs w:val="20"/>
        </w:rPr>
        <w:t>Daylesford</w:t>
      </w:r>
    </w:p>
    <w:p w:rsidR="001A6ABA" w:rsidRPr="00F45508" w:rsidRDefault="001A6ABA" w:rsidP="001A6ABA">
      <w:pPr>
        <w:pStyle w:val="bt"/>
        <w:numPr>
          <w:ilvl w:val="0"/>
          <w:numId w:val="29"/>
        </w:numPr>
        <w:ind w:left="1134"/>
        <w:rPr>
          <w:szCs w:val="20"/>
        </w:rPr>
      </w:pPr>
      <w:r w:rsidRPr="00F45508">
        <w:rPr>
          <w:szCs w:val="20"/>
        </w:rPr>
        <w:t>2001 population – 3382</w:t>
      </w:r>
    </w:p>
    <w:p w:rsidR="001A6ABA" w:rsidRPr="00F45508" w:rsidRDefault="001A6ABA" w:rsidP="001A6ABA">
      <w:pPr>
        <w:pStyle w:val="bt"/>
        <w:numPr>
          <w:ilvl w:val="0"/>
          <w:numId w:val="29"/>
        </w:numPr>
        <w:ind w:left="1134"/>
        <w:rPr>
          <w:szCs w:val="20"/>
        </w:rPr>
      </w:pPr>
      <w:r w:rsidRPr="00F45508">
        <w:rPr>
          <w:szCs w:val="20"/>
        </w:rPr>
        <w:t>2011 population – 3294</w:t>
      </w:r>
    </w:p>
    <w:p w:rsidR="001A6ABA" w:rsidRPr="00F45508" w:rsidRDefault="001A6ABA" w:rsidP="001A6ABA">
      <w:pPr>
        <w:pStyle w:val="bt"/>
        <w:numPr>
          <w:ilvl w:val="0"/>
          <w:numId w:val="28"/>
        </w:numPr>
        <w:rPr>
          <w:szCs w:val="20"/>
        </w:rPr>
      </w:pPr>
      <w:r w:rsidRPr="00F45508">
        <w:rPr>
          <w:szCs w:val="20"/>
        </w:rPr>
        <w:t xml:space="preserve">Town – </w:t>
      </w:r>
      <w:r w:rsidRPr="00F45508">
        <w:rPr>
          <w:noProof/>
          <w:szCs w:val="20"/>
        </w:rPr>
        <w:t>Creswick</w:t>
      </w:r>
    </w:p>
    <w:p w:rsidR="001A6ABA" w:rsidRPr="00F45508" w:rsidRDefault="001A6ABA" w:rsidP="001A6ABA">
      <w:pPr>
        <w:pStyle w:val="bt"/>
        <w:numPr>
          <w:ilvl w:val="0"/>
          <w:numId w:val="29"/>
        </w:numPr>
        <w:ind w:left="1134"/>
        <w:rPr>
          <w:szCs w:val="20"/>
        </w:rPr>
      </w:pPr>
      <w:r w:rsidRPr="00F45508">
        <w:rPr>
          <w:szCs w:val="20"/>
        </w:rPr>
        <w:t>2001 population – 2448</w:t>
      </w:r>
    </w:p>
    <w:p w:rsidR="001A6ABA" w:rsidRPr="00F45508" w:rsidRDefault="001A6ABA" w:rsidP="001A6ABA">
      <w:pPr>
        <w:pStyle w:val="bt"/>
        <w:numPr>
          <w:ilvl w:val="0"/>
          <w:numId w:val="29"/>
        </w:numPr>
        <w:ind w:left="1134"/>
        <w:rPr>
          <w:szCs w:val="20"/>
        </w:rPr>
      </w:pPr>
      <w:r w:rsidRPr="00F45508">
        <w:rPr>
          <w:szCs w:val="20"/>
        </w:rPr>
        <w:t>2011 population – 2582</w:t>
      </w:r>
    </w:p>
    <w:p w:rsidR="001A6ABA" w:rsidRPr="00F45508" w:rsidRDefault="001A6ABA" w:rsidP="001A6ABA">
      <w:pPr>
        <w:pStyle w:val="bt"/>
        <w:numPr>
          <w:ilvl w:val="0"/>
          <w:numId w:val="28"/>
        </w:numPr>
        <w:rPr>
          <w:szCs w:val="20"/>
        </w:rPr>
      </w:pPr>
      <w:r w:rsidRPr="00F45508">
        <w:rPr>
          <w:szCs w:val="20"/>
        </w:rPr>
        <w:t xml:space="preserve">Town – </w:t>
      </w:r>
      <w:r w:rsidRPr="00F45508">
        <w:rPr>
          <w:noProof/>
          <w:szCs w:val="20"/>
        </w:rPr>
        <w:t>Clunes</w:t>
      </w:r>
    </w:p>
    <w:p w:rsidR="001A6ABA" w:rsidRPr="00F45508" w:rsidRDefault="001A6ABA" w:rsidP="001A6ABA">
      <w:pPr>
        <w:pStyle w:val="bt"/>
        <w:numPr>
          <w:ilvl w:val="0"/>
          <w:numId w:val="29"/>
        </w:numPr>
        <w:ind w:left="1134"/>
        <w:rPr>
          <w:szCs w:val="20"/>
        </w:rPr>
      </w:pPr>
      <w:r w:rsidRPr="00F45508">
        <w:rPr>
          <w:szCs w:val="20"/>
        </w:rPr>
        <w:t>2001 population – 1091</w:t>
      </w:r>
    </w:p>
    <w:p w:rsidR="001A6ABA" w:rsidRPr="00F45508" w:rsidRDefault="001A6ABA" w:rsidP="001A6ABA">
      <w:pPr>
        <w:pStyle w:val="bt"/>
        <w:numPr>
          <w:ilvl w:val="0"/>
          <w:numId w:val="29"/>
        </w:numPr>
        <w:ind w:left="1134"/>
        <w:rPr>
          <w:szCs w:val="20"/>
        </w:rPr>
      </w:pPr>
      <w:r w:rsidRPr="00F45508">
        <w:rPr>
          <w:szCs w:val="20"/>
        </w:rPr>
        <w:t>2011 population – 1393</w:t>
      </w:r>
    </w:p>
    <w:p w:rsidR="001A6ABA" w:rsidRPr="00F45508" w:rsidRDefault="001A6ABA" w:rsidP="001A6ABA">
      <w:pPr>
        <w:pStyle w:val="bt"/>
        <w:numPr>
          <w:ilvl w:val="0"/>
          <w:numId w:val="28"/>
        </w:numPr>
        <w:rPr>
          <w:szCs w:val="20"/>
        </w:rPr>
      </w:pPr>
      <w:r w:rsidRPr="00F45508">
        <w:rPr>
          <w:szCs w:val="20"/>
        </w:rPr>
        <w:t xml:space="preserve">Town – </w:t>
      </w:r>
      <w:r w:rsidRPr="00F45508">
        <w:rPr>
          <w:noProof/>
          <w:szCs w:val="20"/>
        </w:rPr>
        <w:t>Trentham</w:t>
      </w:r>
    </w:p>
    <w:p w:rsidR="001A6ABA" w:rsidRPr="00F45508" w:rsidRDefault="001A6ABA" w:rsidP="001A6ABA">
      <w:pPr>
        <w:pStyle w:val="bt"/>
        <w:numPr>
          <w:ilvl w:val="0"/>
          <w:numId w:val="29"/>
        </w:numPr>
        <w:ind w:left="1134"/>
        <w:rPr>
          <w:szCs w:val="20"/>
        </w:rPr>
      </w:pPr>
      <w:r w:rsidRPr="00F45508">
        <w:rPr>
          <w:szCs w:val="20"/>
        </w:rPr>
        <w:t>2001 population – 697</w:t>
      </w:r>
    </w:p>
    <w:p w:rsidR="001A6ABA" w:rsidRPr="00F45508" w:rsidRDefault="001A6ABA" w:rsidP="001A6ABA">
      <w:pPr>
        <w:pStyle w:val="bt"/>
        <w:numPr>
          <w:ilvl w:val="0"/>
          <w:numId w:val="29"/>
        </w:numPr>
        <w:ind w:left="1134"/>
        <w:rPr>
          <w:szCs w:val="20"/>
        </w:rPr>
      </w:pPr>
      <w:r w:rsidRPr="00F45508">
        <w:rPr>
          <w:szCs w:val="20"/>
        </w:rPr>
        <w:t>2011 population – 682</w:t>
      </w:r>
    </w:p>
    <w:p w:rsidR="00F45508" w:rsidRPr="00F45508" w:rsidRDefault="00F45508" w:rsidP="00F45508">
      <w:pPr>
        <w:pStyle w:val="bt"/>
        <w:rPr>
          <w:b/>
          <w:szCs w:val="20"/>
        </w:rPr>
      </w:pPr>
      <w:r w:rsidRPr="00F45508">
        <w:rPr>
          <w:b/>
          <w:szCs w:val="20"/>
        </w:rPr>
        <w:t xml:space="preserve">LGA – </w:t>
      </w:r>
      <w:r w:rsidRPr="00F45508">
        <w:rPr>
          <w:b/>
          <w:noProof/>
          <w:szCs w:val="20"/>
        </w:rPr>
        <w:t>Pyrenees</w:t>
      </w:r>
    </w:p>
    <w:p w:rsidR="00F45508" w:rsidRPr="00F45508" w:rsidRDefault="00F45508" w:rsidP="00F45508">
      <w:pPr>
        <w:pStyle w:val="bt"/>
        <w:numPr>
          <w:ilvl w:val="0"/>
          <w:numId w:val="28"/>
        </w:numPr>
        <w:rPr>
          <w:szCs w:val="20"/>
        </w:rPr>
      </w:pPr>
      <w:r w:rsidRPr="00F45508">
        <w:rPr>
          <w:szCs w:val="20"/>
        </w:rPr>
        <w:t xml:space="preserve">Town – </w:t>
      </w:r>
      <w:r w:rsidRPr="00F45508">
        <w:rPr>
          <w:noProof/>
          <w:szCs w:val="20"/>
        </w:rPr>
        <w:t>Beaufort</w:t>
      </w:r>
    </w:p>
    <w:p w:rsidR="00F45508" w:rsidRPr="00F45508" w:rsidRDefault="00F45508" w:rsidP="00F45508">
      <w:pPr>
        <w:pStyle w:val="bt"/>
        <w:numPr>
          <w:ilvl w:val="0"/>
          <w:numId w:val="29"/>
        </w:numPr>
        <w:ind w:left="1134"/>
        <w:rPr>
          <w:szCs w:val="20"/>
        </w:rPr>
      </w:pPr>
      <w:r w:rsidRPr="00F45508">
        <w:rPr>
          <w:szCs w:val="20"/>
        </w:rPr>
        <w:t>2001 population – 987</w:t>
      </w:r>
    </w:p>
    <w:p w:rsidR="00F45508" w:rsidRPr="00F45508" w:rsidRDefault="00F45508" w:rsidP="00F45508">
      <w:pPr>
        <w:pStyle w:val="bt"/>
        <w:numPr>
          <w:ilvl w:val="0"/>
          <w:numId w:val="29"/>
        </w:numPr>
        <w:ind w:left="1134"/>
        <w:rPr>
          <w:szCs w:val="20"/>
        </w:rPr>
      </w:pPr>
      <w:r w:rsidRPr="00F45508">
        <w:rPr>
          <w:szCs w:val="20"/>
        </w:rPr>
        <w:t>2011 population – 983</w:t>
      </w:r>
    </w:p>
    <w:p w:rsidR="00F45508" w:rsidRPr="00F45508" w:rsidRDefault="00F45508" w:rsidP="00F45508">
      <w:pPr>
        <w:pStyle w:val="bt"/>
        <w:numPr>
          <w:ilvl w:val="0"/>
          <w:numId w:val="28"/>
        </w:numPr>
        <w:rPr>
          <w:szCs w:val="20"/>
        </w:rPr>
      </w:pPr>
      <w:r w:rsidRPr="00F45508">
        <w:rPr>
          <w:szCs w:val="20"/>
        </w:rPr>
        <w:t xml:space="preserve">Town – </w:t>
      </w:r>
      <w:r w:rsidRPr="00F45508">
        <w:rPr>
          <w:noProof/>
          <w:szCs w:val="20"/>
        </w:rPr>
        <w:t>Avoca</w:t>
      </w:r>
    </w:p>
    <w:p w:rsidR="00F45508" w:rsidRPr="00F45508" w:rsidRDefault="00F45508" w:rsidP="00F45508">
      <w:pPr>
        <w:pStyle w:val="bt"/>
        <w:numPr>
          <w:ilvl w:val="0"/>
          <w:numId w:val="29"/>
        </w:numPr>
        <w:ind w:left="1134"/>
        <w:rPr>
          <w:szCs w:val="20"/>
        </w:rPr>
      </w:pPr>
      <w:r w:rsidRPr="00F45508">
        <w:rPr>
          <w:szCs w:val="20"/>
        </w:rPr>
        <w:t>2001 population – 957</w:t>
      </w:r>
    </w:p>
    <w:p w:rsidR="00F45508" w:rsidRPr="00F45508" w:rsidRDefault="00F45508" w:rsidP="00F45508">
      <w:pPr>
        <w:pStyle w:val="bt"/>
        <w:numPr>
          <w:ilvl w:val="0"/>
          <w:numId w:val="29"/>
        </w:numPr>
        <w:ind w:left="1134"/>
        <w:rPr>
          <w:szCs w:val="20"/>
        </w:rPr>
      </w:pPr>
      <w:r w:rsidRPr="00F45508">
        <w:rPr>
          <w:szCs w:val="20"/>
        </w:rPr>
        <w:t>2011 population – 945</w:t>
      </w:r>
    </w:p>
    <w:p w:rsidR="00F45508" w:rsidRPr="00F45508" w:rsidRDefault="00F45508" w:rsidP="00F45508">
      <w:pPr>
        <w:pStyle w:val="bt"/>
        <w:numPr>
          <w:ilvl w:val="0"/>
          <w:numId w:val="28"/>
        </w:numPr>
        <w:rPr>
          <w:szCs w:val="20"/>
        </w:rPr>
      </w:pPr>
      <w:r w:rsidRPr="00F45508">
        <w:rPr>
          <w:szCs w:val="20"/>
        </w:rPr>
        <w:t xml:space="preserve">Town – </w:t>
      </w:r>
      <w:r w:rsidRPr="00F45508">
        <w:rPr>
          <w:noProof/>
          <w:szCs w:val="20"/>
        </w:rPr>
        <w:t>Snake Valley</w:t>
      </w:r>
    </w:p>
    <w:p w:rsidR="00F45508" w:rsidRPr="00F45508" w:rsidRDefault="00F45508" w:rsidP="00F45508">
      <w:pPr>
        <w:pStyle w:val="bt"/>
        <w:numPr>
          <w:ilvl w:val="0"/>
          <w:numId w:val="29"/>
        </w:numPr>
        <w:ind w:left="1134"/>
        <w:rPr>
          <w:szCs w:val="20"/>
        </w:rPr>
      </w:pPr>
      <w:r w:rsidRPr="00F45508">
        <w:rPr>
          <w:szCs w:val="20"/>
        </w:rPr>
        <w:t>2001 population – 311</w:t>
      </w:r>
    </w:p>
    <w:p w:rsidR="001A6ABA" w:rsidRPr="00CE7EB3" w:rsidRDefault="00F45508" w:rsidP="00CE7EB3">
      <w:pPr>
        <w:pStyle w:val="bt"/>
        <w:numPr>
          <w:ilvl w:val="0"/>
          <w:numId w:val="29"/>
        </w:numPr>
        <w:ind w:left="1134"/>
        <w:rPr>
          <w:szCs w:val="20"/>
        </w:rPr>
      </w:pPr>
      <w:r w:rsidRPr="00F45508">
        <w:rPr>
          <w:szCs w:val="20"/>
        </w:rPr>
        <w:t>2011 population – 292</w:t>
      </w:r>
    </w:p>
    <w:p w:rsidR="00F45508" w:rsidRPr="00F45508" w:rsidRDefault="00F45508" w:rsidP="00F45508">
      <w:pPr>
        <w:pStyle w:val="bt"/>
        <w:rPr>
          <w:b/>
          <w:szCs w:val="20"/>
        </w:rPr>
      </w:pPr>
      <w:r w:rsidRPr="00F45508">
        <w:rPr>
          <w:b/>
          <w:szCs w:val="20"/>
        </w:rPr>
        <w:t xml:space="preserve">LGA – </w:t>
      </w:r>
      <w:r w:rsidRPr="00F45508">
        <w:rPr>
          <w:b/>
          <w:noProof/>
          <w:szCs w:val="20"/>
        </w:rPr>
        <w:t>Golden Plains</w:t>
      </w:r>
    </w:p>
    <w:p w:rsidR="00F45508" w:rsidRPr="00F45508" w:rsidRDefault="00F45508" w:rsidP="00F45508">
      <w:pPr>
        <w:pStyle w:val="bt"/>
        <w:numPr>
          <w:ilvl w:val="0"/>
          <w:numId w:val="28"/>
        </w:numPr>
        <w:rPr>
          <w:szCs w:val="20"/>
        </w:rPr>
      </w:pPr>
      <w:r w:rsidRPr="00F45508">
        <w:rPr>
          <w:szCs w:val="20"/>
        </w:rPr>
        <w:t xml:space="preserve">Town – </w:t>
      </w:r>
      <w:r w:rsidRPr="00F45508">
        <w:rPr>
          <w:noProof/>
          <w:szCs w:val="20"/>
        </w:rPr>
        <w:t>Smythesdale</w:t>
      </w:r>
    </w:p>
    <w:p w:rsidR="00F45508" w:rsidRPr="00F45508" w:rsidRDefault="00F45508" w:rsidP="00F45508">
      <w:pPr>
        <w:pStyle w:val="bt"/>
        <w:numPr>
          <w:ilvl w:val="0"/>
          <w:numId w:val="29"/>
        </w:numPr>
        <w:ind w:left="1134"/>
        <w:rPr>
          <w:szCs w:val="20"/>
        </w:rPr>
      </w:pPr>
      <w:r w:rsidRPr="00F45508">
        <w:rPr>
          <w:szCs w:val="20"/>
        </w:rPr>
        <w:t>2001 population – 312</w:t>
      </w:r>
    </w:p>
    <w:p w:rsidR="00F45508" w:rsidRPr="00F45508" w:rsidRDefault="00F45508" w:rsidP="00F45508">
      <w:pPr>
        <w:pStyle w:val="bt"/>
        <w:numPr>
          <w:ilvl w:val="0"/>
          <w:numId w:val="29"/>
        </w:numPr>
        <w:ind w:left="1134"/>
        <w:rPr>
          <w:szCs w:val="20"/>
        </w:rPr>
      </w:pPr>
      <w:r w:rsidRPr="00F45508">
        <w:rPr>
          <w:szCs w:val="20"/>
        </w:rPr>
        <w:t>2011 population – 479</w:t>
      </w:r>
    </w:p>
    <w:p w:rsidR="00F45508" w:rsidRPr="00F45508" w:rsidRDefault="00F45508" w:rsidP="00F45508">
      <w:pPr>
        <w:pStyle w:val="bt"/>
        <w:numPr>
          <w:ilvl w:val="0"/>
          <w:numId w:val="28"/>
        </w:numPr>
        <w:rPr>
          <w:szCs w:val="20"/>
        </w:rPr>
      </w:pPr>
      <w:r w:rsidRPr="00F45508">
        <w:rPr>
          <w:szCs w:val="20"/>
        </w:rPr>
        <w:t xml:space="preserve">Town – </w:t>
      </w:r>
      <w:r w:rsidRPr="00F45508">
        <w:rPr>
          <w:noProof/>
          <w:szCs w:val="20"/>
        </w:rPr>
        <w:t>Linton</w:t>
      </w:r>
    </w:p>
    <w:p w:rsidR="00F45508" w:rsidRPr="00F45508" w:rsidRDefault="00F45508" w:rsidP="00F45508">
      <w:pPr>
        <w:pStyle w:val="bt"/>
        <w:numPr>
          <w:ilvl w:val="0"/>
          <w:numId w:val="29"/>
        </w:numPr>
        <w:ind w:left="1134"/>
        <w:rPr>
          <w:szCs w:val="20"/>
        </w:rPr>
      </w:pPr>
      <w:r w:rsidRPr="00F45508">
        <w:rPr>
          <w:szCs w:val="20"/>
        </w:rPr>
        <w:lastRenderedPageBreak/>
        <w:t>2001 population – 342</w:t>
      </w:r>
    </w:p>
    <w:p w:rsidR="00F45508" w:rsidRPr="00F45508" w:rsidRDefault="00F45508" w:rsidP="00F45508">
      <w:pPr>
        <w:pStyle w:val="bt"/>
        <w:numPr>
          <w:ilvl w:val="0"/>
          <w:numId w:val="29"/>
        </w:numPr>
        <w:ind w:left="1134"/>
        <w:rPr>
          <w:szCs w:val="20"/>
        </w:rPr>
      </w:pPr>
      <w:r w:rsidRPr="00F45508">
        <w:rPr>
          <w:szCs w:val="20"/>
        </w:rPr>
        <w:t>2011 population – 351</w:t>
      </w:r>
    </w:p>
    <w:p w:rsidR="00F45508" w:rsidRPr="00F45508" w:rsidRDefault="00F45508" w:rsidP="00F45508">
      <w:pPr>
        <w:pStyle w:val="bt"/>
        <w:numPr>
          <w:ilvl w:val="0"/>
          <w:numId w:val="28"/>
        </w:numPr>
        <w:rPr>
          <w:szCs w:val="20"/>
        </w:rPr>
      </w:pPr>
      <w:r w:rsidRPr="00F45508">
        <w:rPr>
          <w:szCs w:val="20"/>
        </w:rPr>
        <w:t xml:space="preserve">Town – </w:t>
      </w:r>
      <w:r w:rsidRPr="00F45508">
        <w:rPr>
          <w:noProof/>
          <w:szCs w:val="20"/>
        </w:rPr>
        <w:t>Meredith</w:t>
      </w:r>
    </w:p>
    <w:p w:rsidR="00F45508" w:rsidRPr="00F45508" w:rsidRDefault="00F45508" w:rsidP="00F45508">
      <w:pPr>
        <w:pStyle w:val="bt"/>
        <w:numPr>
          <w:ilvl w:val="0"/>
          <w:numId w:val="29"/>
        </w:numPr>
        <w:ind w:left="1134"/>
        <w:rPr>
          <w:szCs w:val="20"/>
        </w:rPr>
      </w:pPr>
      <w:r w:rsidRPr="00F45508">
        <w:rPr>
          <w:szCs w:val="20"/>
        </w:rPr>
        <w:t>2001 population – 308</w:t>
      </w:r>
    </w:p>
    <w:p w:rsidR="001A6ABA" w:rsidRPr="00F45508" w:rsidRDefault="00F45508" w:rsidP="001A6ABA">
      <w:pPr>
        <w:pStyle w:val="bt"/>
        <w:numPr>
          <w:ilvl w:val="0"/>
          <w:numId w:val="29"/>
        </w:numPr>
        <w:ind w:left="1134"/>
        <w:rPr>
          <w:szCs w:val="20"/>
        </w:rPr>
      </w:pPr>
      <w:r w:rsidRPr="00F45508">
        <w:rPr>
          <w:szCs w:val="20"/>
        </w:rPr>
        <w:t>2011 population – 369</w:t>
      </w:r>
    </w:p>
    <w:p w:rsidR="002D3DAD" w:rsidRPr="00F45508" w:rsidRDefault="001A6ABA" w:rsidP="002D3DAD">
      <w:pPr>
        <w:pStyle w:val="bt"/>
        <w:rPr>
          <w:b/>
          <w:szCs w:val="20"/>
        </w:rPr>
      </w:pPr>
      <w:r w:rsidRPr="00F45508">
        <w:rPr>
          <w:b/>
          <w:noProof/>
          <w:szCs w:val="20"/>
        </w:rPr>
        <w:drawing>
          <wp:anchor distT="0" distB="0" distL="114300" distR="114300" simplePos="0" relativeHeight="251661312" behindDoc="1" locked="0" layoutInCell="1" allowOverlap="0">
            <wp:simplePos x="0" y="0"/>
            <wp:positionH relativeFrom="page">
              <wp:posOffset>1036955</wp:posOffset>
            </wp:positionH>
            <wp:positionV relativeFrom="paragraph">
              <wp:posOffset>484505</wp:posOffset>
            </wp:positionV>
            <wp:extent cx="6220460" cy="4192270"/>
            <wp:effectExtent l="19050" t="0" r="8890" b="0"/>
            <wp:wrapTopAndBottom/>
            <wp:docPr id="3" name="Picture 1" descr="Map showing population change in Central Highlands region from 1981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entral Highlands Drafts\Central Highlands new BR figures\ADD TO FIGURE 2 ALONG WITH TABLE        CH_Background Report_TownsInTime2011_A4_21May2013.jpg"/>
                    <pic:cNvPicPr>
                      <a:picLocks noChangeAspect="1" noChangeArrowheads="1"/>
                    </pic:cNvPicPr>
                  </pic:nvPicPr>
                  <pic:blipFill>
                    <a:blip r:embed="rId22" cstate="email"/>
                    <a:stretch>
                      <a:fillRect/>
                    </a:stretch>
                  </pic:blipFill>
                  <pic:spPr bwMode="auto">
                    <a:xfrm>
                      <a:off x="0" y="0"/>
                      <a:ext cx="6220460" cy="4192270"/>
                    </a:xfrm>
                    <a:prstGeom prst="rect">
                      <a:avLst/>
                    </a:prstGeom>
                    <a:noFill/>
                    <a:ln w="9525">
                      <a:noFill/>
                      <a:miter lim="800000"/>
                      <a:headEnd/>
                      <a:tailEnd/>
                    </a:ln>
                  </pic:spPr>
                </pic:pic>
              </a:graphicData>
            </a:graphic>
          </wp:anchor>
        </w:drawing>
      </w:r>
      <w:r w:rsidR="00785BB0" w:rsidRPr="00F45508">
        <w:rPr>
          <w:b/>
          <w:szCs w:val="20"/>
        </w:rPr>
        <w:t>b) P</w:t>
      </w:r>
      <w:r w:rsidR="00D62DCF" w:rsidRPr="00F45508">
        <w:rPr>
          <w:b/>
          <w:szCs w:val="20"/>
        </w:rPr>
        <w:t>opulation change 1981 - 2011</w:t>
      </w:r>
    </w:p>
    <w:p w:rsidR="005F64AF" w:rsidRDefault="00D62DCF" w:rsidP="00D62DCF">
      <w:pPr>
        <w:pStyle w:val="Source0"/>
        <w:sectPr w:rsidR="005F64AF" w:rsidSect="001A6ABA">
          <w:pgSz w:w="11906" w:h="16838" w:code="9"/>
          <w:pgMar w:top="1440" w:right="993" w:bottom="1440" w:left="1560" w:header="706" w:footer="706" w:gutter="0"/>
          <w:cols w:space="708"/>
          <w:docGrid w:linePitch="360"/>
        </w:sectPr>
      </w:pPr>
      <w:r>
        <w:br w:type="textWrapping" w:clear="all"/>
      </w:r>
      <w:r w:rsidR="007549B2" w:rsidRPr="00695948">
        <w:t xml:space="preserve">Source: </w:t>
      </w:r>
      <w:r w:rsidR="000D49BF">
        <w:t>Australian Bureau of Statistics</w:t>
      </w:r>
      <w:r w:rsidR="007549B2" w:rsidRPr="00695948">
        <w:t xml:space="preserve"> censuses and </w:t>
      </w:r>
      <w:r w:rsidR="007549B2">
        <w:t xml:space="preserve">Department of Planning and Community Development </w:t>
      </w:r>
      <w:r w:rsidR="007549B2" w:rsidRPr="00695948">
        <w:t>Towns in Time</w:t>
      </w:r>
      <w:r w:rsidR="007549B2" w:rsidRPr="0057086D">
        <w:rPr>
          <w:rStyle w:val="FootnoteReference"/>
        </w:rPr>
        <w:footnoteReference w:id="2"/>
      </w:r>
    </w:p>
    <w:p w:rsidR="00BF262D" w:rsidRDefault="00406ADA" w:rsidP="00821C7F">
      <w:pPr>
        <w:pStyle w:val="bt"/>
        <w:rPr>
          <w:noProof/>
        </w:rPr>
      </w:pPr>
      <w:r>
        <w:lastRenderedPageBreak/>
        <w:t>R</w:t>
      </w:r>
      <w:r w:rsidR="00E339BE" w:rsidRPr="008F1881">
        <w:t>ecent population estimates (</w:t>
      </w:r>
      <w:r w:rsidR="009F388E">
        <w:fldChar w:fldCharType="begin"/>
      </w:r>
      <w:r w:rsidR="008E2420">
        <w:instrText xml:space="preserve"> REF _Ref365971492 \h </w:instrText>
      </w:r>
      <w:r w:rsidR="009F388E">
        <w:fldChar w:fldCharType="separate"/>
      </w:r>
      <w:r w:rsidR="00907B42">
        <w:t xml:space="preserve">Figure </w:t>
      </w:r>
      <w:r w:rsidR="00907B42">
        <w:rPr>
          <w:noProof/>
        </w:rPr>
        <w:t>3</w:t>
      </w:r>
      <w:r w:rsidR="009F388E">
        <w:fldChar w:fldCharType="end"/>
      </w:r>
      <w:r w:rsidR="008E2420">
        <w:t>)</w:t>
      </w:r>
      <w:r w:rsidR="00E845DD">
        <w:t xml:space="preserve"> </w:t>
      </w:r>
      <w:r w:rsidR="00E339BE" w:rsidRPr="008F1881">
        <w:t>show</w:t>
      </w:r>
      <w:r w:rsidR="009964DF">
        <w:t>s</w:t>
      </w:r>
      <w:r w:rsidR="00E339BE" w:rsidRPr="008F1881">
        <w:t xml:space="preserve"> that all of the Central Highlands local government areas have been growing, with the exception of Northern Grampians Shire. Nevertheless, the disparity in growth between west and east remains, with significant levels of growth</w:t>
      </w:r>
      <w:r w:rsidR="0084160E" w:rsidRPr="0084160E">
        <w:t xml:space="preserve"> </w:t>
      </w:r>
      <w:r w:rsidR="0084160E" w:rsidRPr="008F1881">
        <w:t>recorded for Bacchus Marsh and Ballarat</w:t>
      </w:r>
      <w:r w:rsidR="00E339BE" w:rsidRPr="008F1881">
        <w:t>, in both absolute and proportional terms.</w:t>
      </w:r>
      <w:bookmarkStart w:id="41" w:name="_Ref349206566"/>
    </w:p>
    <w:p w:rsidR="00D91477" w:rsidRDefault="00821C7F" w:rsidP="00D91477">
      <w:pPr>
        <w:pStyle w:val="Caption"/>
      </w:pPr>
      <w:bookmarkStart w:id="42" w:name="_Ref365971492"/>
      <w:bookmarkStart w:id="43" w:name="_Toc381698003"/>
      <w:r>
        <w:t xml:space="preserve">Figure </w:t>
      </w:r>
      <w:r w:rsidR="009F388E">
        <w:fldChar w:fldCharType="begin"/>
      </w:r>
      <w:r w:rsidR="00174FF5">
        <w:instrText xml:space="preserve"> SEQ Figure \* ARABIC </w:instrText>
      </w:r>
      <w:r w:rsidR="009F388E">
        <w:fldChar w:fldCharType="separate"/>
      </w:r>
      <w:r w:rsidR="00907B42">
        <w:rPr>
          <w:noProof/>
        </w:rPr>
        <w:t>3</w:t>
      </w:r>
      <w:r w:rsidR="009F388E">
        <w:rPr>
          <w:noProof/>
        </w:rPr>
        <w:fldChar w:fldCharType="end"/>
      </w:r>
      <w:bookmarkEnd w:id="42"/>
      <w:r>
        <w:t xml:space="preserve">: </w:t>
      </w:r>
      <w:r w:rsidRPr="005D41C6">
        <w:t>Change in estimated residential population by statistical local area 2006 to 2011</w:t>
      </w:r>
      <w:bookmarkEnd w:id="43"/>
    </w:p>
    <w:p w:rsidR="00F45508" w:rsidRDefault="00F45508" w:rsidP="00F45508">
      <w:pPr>
        <w:pStyle w:val="bt"/>
        <w:spacing w:after="120"/>
        <w:rPr>
          <w:rFonts w:eastAsia="Times New Roman"/>
        </w:rPr>
      </w:pPr>
      <w:r w:rsidRPr="00FB0468">
        <w:rPr>
          <w:rFonts w:eastAsia="Times New Roman"/>
        </w:rPr>
        <w:t>Ararat (RC)</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11,660</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12,070</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410</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3.52</w:t>
      </w:r>
    </w:p>
    <w:p w:rsidR="00F45508" w:rsidRDefault="00F45508" w:rsidP="00F45508">
      <w:pPr>
        <w:pStyle w:val="bt"/>
        <w:spacing w:after="120"/>
        <w:rPr>
          <w:rFonts w:eastAsia="Times New Roman"/>
        </w:rPr>
      </w:pPr>
      <w:r>
        <w:rPr>
          <w:rFonts w:eastAsia="Times New Roman"/>
        </w:rPr>
        <w:t>Ballarat (C) - Central</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34,230</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36,036</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1806</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5.28</w:t>
      </w:r>
    </w:p>
    <w:p w:rsidR="00F45508" w:rsidRDefault="00F45508" w:rsidP="00F45508">
      <w:pPr>
        <w:pStyle w:val="bt"/>
        <w:spacing w:after="120"/>
        <w:rPr>
          <w:rFonts w:eastAsia="Times New Roman"/>
        </w:rPr>
      </w:pPr>
      <w:r>
        <w:rPr>
          <w:rFonts w:eastAsia="Times New Roman"/>
        </w:rPr>
        <w:t>Ballarat (C) – Inner North</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29,981</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34,081</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4100</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13.68</w:t>
      </w:r>
    </w:p>
    <w:p w:rsidR="00F45508" w:rsidRDefault="00F45508" w:rsidP="00F45508">
      <w:pPr>
        <w:pStyle w:val="bt"/>
        <w:spacing w:after="120"/>
        <w:rPr>
          <w:rFonts w:eastAsia="Times New Roman"/>
        </w:rPr>
      </w:pPr>
      <w:r>
        <w:rPr>
          <w:rFonts w:eastAsia="Times New Roman"/>
        </w:rPr>
        <w:t>Ballarat (C) – North</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004A57BE" w:rsidRPr="00FB0468">
        <w:rPr>
          <w:rFonts w:eastAsia="Times New Roman"/>
        </w:rPr>
        <w:t>1016</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004A57BE" w:rsidRPr="00FB0468">
        <w:rPr>
          <w:rFonts w:eastAsia="Times New Roman"/>
        </w:rPr>
        <w:t>1045</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004A57BE" w:rsidRPr="00FB0468">
        <w:rPr>
          <w:rFonts w:eastAsia="Times New Roman"/>
        </w:rPr>
        <w:t>29</w:t>
      </w:r>
    </w:p>
    <w:p w:rsidR="00F45508" w:rsidRPr="00F45508" w:rsidRDefault="00F45508" w:rsidP="00F45508">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004A57BE" w:rsidRPr="00FB0468">
        <w:rPr>
          <w:rFonts w:eastAsia="Times New Roman"/>
        </w:rPr>
        <w:t>2.85</w:t>
      </w:r>
    </w:p>
    <w:p w:rsidR="004A57BE" w:rsidRDefault="004A57BE" w:rsidP="004A57BE">
      <w:pPr>
        <w:pStyle w:val="bt"/>
        <w:spacing w:after="120"/>
        <w:rPr>
          <w:rFonts w:eastAsia="Times New Roman"/>
        </w:rPr>
      </w:pPr>
      <w:r>
        <w:rPr>
          <w:rFonts w:eastAsia="Times New Roman"/>
        </w:rPr>
        <w:t>Ballarat (C) – South</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23,224</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26,648</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3424</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14.74</w:t>
      </w:r>
    </w:p>
    <w:p w:rsidR="004A57BE" w:rsidRDefault="004A57BE" w:rsidP="004A57BE">
      <w:pPr>
        <w:pStyle w:val="bt"/>
        <w:spacing w:after="120"/>
        <w:rPr>
          <w:rFonts w:eastAsia="Times New Roman"/>
        </w:rPr>
      </w:pPr>
      <w:r>
        <w:rPr>
          <w:rFonts w:eastAsia="Times New Roman"/>
        </w:rPr>
        <w:t>Golden Plains (S) - North-West</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7697</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8213</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516</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6.70</w:t>
      </w:r>
    </w:p>
    <w:p w:rsidR="004A57BE" w:rsidRDefault="004A57BE" w:rsidP="004A57BE">
      <w:pPr>
        <w:pStyle w:val="bt"/>
        <w:spacing w:after="120"/>
        <w:rPr>
          <w:rFonts w:eastAsia="Times New Roman"/>
        </w:rPr>
      </w:pPr>
      <w:r>
        <w:rPr>
          <w:rFonts w:eastAsia="Times New Roman"/>
        </w:rPr>
        <w:t>Hepburn (S) - East</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lastRenderedPageBreak/>
        <w:t>Estimated residential pop 2006</w:t>
      </w:r>
      <w:r>
        <w:rPr>
          <w:rFonts w:eastAsia="Times New Roman"/>
          <w:szCs w:val="20"/>
        </w:rPr>
        <w:t xml:space="preserve"> – </w:t>
      </w:r>
      <w:r w:rsidRPr="00FB0468">
        <w:rPr>
          <w:rFonts w:eastAsia="Times New Roman"/>
        </w:rPr>
        <w:t>7486</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8016</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530</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7.08</w:t>
      </w:r>
    </w:p>
    <w:p w:rsidR="004A57BE" w:rsidRDefault="004A57BE" w:rsidP="004A57BE">
      <w:pPr>
        <w:pStyle w:val="bt"/>
        <w:spacing w:after="120"/>
        <w:rPr>
          <w:rFonts w:eastAsia="Times New Roman"/>
        </w:rPr>
      </w:pPr>
      <w:r>
        <w:rPr>
          <w:rFonts w:eastAsia="Times New Roman"/>
        </w:rPr>
        <w:t>Hepburn (S) - West</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6730</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7004</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274</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4.07</w:t>
      </w:r>
    </w:p>
    <w:p w:rsidR="004A57BE" w:rsidRDefault="004A57BE" w:rsidP="004A57BE">
      <w:pPr>
        <w:pStyle w:val="bt"/>
        <w:spacing w:after="120"/>
        <w:rPr>
          <w:rFonts w:eastAsia="Times New Roman"/>
        </w:rPr>
      </w:pPr>
      <w:r w:rsidRPr="00FB0468">
        <w:rPr>
          <w:rFonts w:eastAsia="Times New Roman"/>
        </w:rPr>
        <w:t>Moorabool (S) - Bacchus Marsh</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16,628</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18,953</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2325</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13.98</w:t>
      </w:r>
    </w:p>
    <w:p w:rsidR="004A57BE" w:rsidRDefault="004A57BE" w:rsidP="004A57BE">
      <w:pPr>
        <w:pStyle w:val="bt"/>
        <w:spacing w:after="120"/>
        <w:rPr>
          <w:rFonts w:eastAsia="Times New Roman"/>
        </w:rPr>
      </w:pPr>
      <w:r w:rsidRPr="00FB0468">
        <w:rPr>
          <w:rFonts w:eastAsia="Times New Roman"/>
        </w:rPr>
        <w:t>Moorabool (S) - Ballan</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6198</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6708</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510</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8.23</w:t>
      </w:r>
    </w:p>
    <w:p w:rsidR="004A57BE" w:rsidRDefault="004A57BE" w:rsidP="004A57BE">
      <w:pPr>
        <w:pStyle w:val="bt"/>
        <w:spacing w:after="120"/>
        <w:rPr>
          <w:rFonts w:eastAsia="Times New Roman"/>
        </w:rPr>
      </w:pPr>
      <w:r w:rsidRPr="00FB0468">
        <w:rPr>
          <w:rFonts w:eastAsia="Times New Roman"/>
        </w:rPr>
        <w:t xml:space="preserve">Moorabool (S) - </w:t>
      </w:r>
      <w:r>
        <w:rPr>
          <w:rFonts w:eastAsia="Times New Roman"/>
        </w:rPr>
        <w:t>West</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3628</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3748</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120</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3.31</w:t>
      </w:r>
    </w:p>
    <w:p w:rsidR="004A57BE" w:rsidRDefault="004A57BE" w:rsidP="004A57BE">
      <w:pPr>
        <w:pStyle w:val="bt"/>
        <w:spacing w:after="120"/>
        <w:rPr>
          <w:rFonts w:eastAsia="Times New Roman"/>
        </w:rPr>
      </w:pPr>
      <w:r w:rsidRPr="00FB0468">
        <w:rPr>
          <w:rFonts w:eastAsia="Times New Roman"/>
        </w:rPr>
        <w:t>Pyrenees (S) - North</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3401</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3477</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76</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2.23</w:t>
      </w:r>
    </w:p>
    <w:p w:rsidR="004A57BE" w:rsidRDefault="004A57BE" w:rsidP="004A57BE">
      <w:pPr>
        <w:pStyle w:val="bt"/>
        <w:spacing w:after="120"/>
        <w:rPr>
          <w:rFonts w:eastAsia="Times New Roman"/>
        </w:rPr>
      </w:pPr>
      <w:r w:rsidRPr="00FB0468">
        <w:rPr>
          <w:rFonts w:eastAsia="Times New Roman"/>
        </w:rPr>
        <w:t xml:space="preserve">Pyrenees (S) - </w:t>
      </w:r>
      <w:r>
        <w:rPr>
          <w:rFonts w:eastAsia="Times New Roman"/>
        </w:rPr>
        <w:t>South</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3385</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3446</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61</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1.80</w:t>
      </w:r>
    </w:p>
    <w:p w:rsidR="004A57BE" w:rsidRDefault="004A57BE" w:rsidP="004A57BE">
      <w:pPr>
        <w:pStyle w:val="bt"/>
        <w:spacing w:after="120"/>
        <w:rPr>
          <w:rFonts w:eastAsia="Times New Roman"/>
        </w:rPr>
      </w:pPr>
      <w:r w:rsidRPr="00FB0468">
        <w:rPr>
          <w:rFonts w:eastAsia="Times New Roman"/>
        </w:rPr>
        <w:t>C. Goldfields (S) - Maryborough</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lastRenderedPageBreak/>
        <w:t>Estimated residential pop 2006</w:t>
      </w:r>
      <w:r>
        <w:rPr>
          <w:rFonts w:eastAsia="Times New Roman"/>
          <w:szCs w:val="20"/>
        </w:rPr>
        <w:t xml:space="preserve"> – </w:t>
      </w:r>
      <w:r w:rsidRPr="00FB0468">
        <w:rPr>
          <w:rFonts w:eastAsia="Times New Roman"/>
        </w:rPr>
        <w:t>7574</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7629</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55</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0.73</w:t>
      </w:r>
    </w:p>
    <w:p w:rsidR="004A57BE" w:rsidRDefault="004A57BE" w:rsidP="004A57BE">
      <w:pPr>
        <w:pStyle w:val="bt"/>
        <w:spacing w:after="120"/>
        <w:rPr>
          <w:rFonts w:eastAsia="Times New Roman"/>
        </w:rPr>
      </w:pPr>
      <w:r w:rsidRPr="00FB0468">
        <w:rPr>
          <w:rFonts w:eastAsia="Times New Roman"/>
        </w:rPr>
        <w:t xml:space="preserve">C. Goldfields (S) - </w:t>
      </w:r>
      <w:r>
        <w:rPr>
          <w:rFonts w:eastAsia="Times New Roman"/>
        </w:rPr>
        <w:t>Bal</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5118</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5163</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45</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0.88</w:t>
      </w:r>
    </w:p>
    <w:p w:rsidR="004A57BE" w:rsidRDefault="004A57BE" w:rsidP="004A57BE">
      <w:pPr>
        <w:pStyle w:val="bt"/>
        <w:spacing w:after="120"/>
        <w:rPr>
          <w:rFonts w:eastAsia="Times New Roman"/>
        </w:rPr>
      </w:pPr>
      <w:r w:rsidRPr="00FB0468">
        <w:rPr>
          <w:rFonts w:eastAsia="Times New Roman"/>
        </w:rPr>
        <w:t>N. Grampians (S) - St Arnaud</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3528</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3478</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-50</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-1.42</w:t>
      </w:r>
    </w:p>
    <w:p w:rsidR="004A57BE" w:rsidRDefault="004A57BE" w:rsidP="004A57BE">
      <w:pPr>
        <w:pStyle w:val="bt"/>
        <w:tabs>
          <w:tab w:val="left" w:pos="3681"/>
        </w:tabs>
        <w:spacing w:after="120"/>
        <w:rPr>
          <w:rFonts w:eastAsia="Times New Roman"/>
        </w:rPr>
      </w:pPr>
      <w:r>
        <w:rPr>
          <w:rFonts w:eastAsia="Times New Roman"/>
        </w:rPr>
        <w:t>N. Grampians (S) - Stawell</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2006</w:t>
      </w:r>
      <w:r>
        <w:rPr>
          <w:rFonts w:eastAsia="Times New Roman"/>
          <w:szCs w:val="20"/>
        </w:rPr>
        <w:t xml:space="preserve"> – </w:t>
      </w:r>
      <w:r w:rsidRPr="00FB0468">
        <w:rPr>
          <w:rFonts w:eastAsia="Times New Roman"/>
        </w:rPr>
        <w:t>8819</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Estimated residential pop 2011</w:t>
      </w:r>
      <w:r>
        <w:rPr>
          <w:rFonts w:eastAsia="Times New Roman"/>
          <w:szCs w:val="20"/>
        </w:rPr>
        <w:t xml:space="preserve"> – </w:t>
      </w:r>
      <w:r w:rsidRPr="00FB0468">
        <w:rPr>
          <w:rFonts w:eastAsia="Times New Roman"/>
        </w:rPr>
        <w:t>8718</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w:t>
      </w:r>
      <w:r>
        <w:rPr>
          <w:rFonts w:eastAsia="Times New Roman"/>
          <w:szCs w:val="20"/>
        </w:rPr>
        <w:t xml:space="preserve"> – </w:t>
      </w:r>
      <w:r w:rsidRPr="00FB0468">
        <w:rPr>
          <w:rFonts w:eastAsia="Times New Roman"/>
        </w:rPr>
        <w:t>-101</w:t>
      </w:r>
    </w:p>
    <w:p w:rsidR="004A57BE" w:rsidRPr="00F45508" w:rsidRDefault="004A57BE" w:rsidP="004A57BE">
      <w:pPr>
        <w:pStyle w:val="bt"/>
        <w:numPr>
          <w:ilvl w:val="0"/>
          <w:numId w:val="30"/>
        </w:numPr>
        <w:spacing w:before="120" w:after="120"/>
        <w:ind w:left="714" w:hanging="357"/>
        <w:rPr>
          <w:rFonts w:eastAsia="Times New Roman"/>
          <w:szCs w:val="20"/>
        </w:rPr>
      </w:pPr>
      <w:r w:rsidRPr="00F45508">
        <w:rPr>
          <w:rFonts w:eastAsia="Times New Roman"/>
          <w:szCs w:val="20"/>
        </w:rPr>
        <w:t>Change percent</w:t>
      </w:r>
      <w:r>
        <w:rPr>
          <w:rFonts w:eastAsia="Times New Roman"/>
          <w:szCs w:val="20"/>
        </w:rPr>
        <w:t xml:space="preserve"> – </w:t>
      </w:r>
      <w:r w:rsidRPr="00FB0468">
        <w:rPr>
          <w:rFonts w:eastAsia="Times New Roman"/>
        </w:rPr>
        <w:t>-1.15</w:t>
      </w:r>
    </w:p>
    <w:bookmarkEnd w:id="41"/>
    <w:p w:rsidR="00C820C0" w:rsidRDefault="00DA6342" w:rsidP="00070916">
      <w:pPr>
        <w:pStyle w:val="Source0"/>
        <w:rPr>
          <w:szCs w:val="20"/>
        </w:rPr>
      </w:pPr>
      <w:r w:rsidRPr="00444E59">
        <w:t xml:space="preserve">Source: </w:t>
      </w:r>
      <w:r w:rsidR="009D6C50">
        <w:t>Department of Transport, Planning an</w:t>
      </w:r>
      <w:r w:rsidR="00C820C0">
        <w:t>d</w:t>
      </w:r>
      <w:r w:rsidR="009D6C50">
        <w:t xml:space="preserve"> Local Infrastructure</w:t>
      </w:r>
    </w:p>
    <w:p w:rsidR="00007D04" w:rsidRDefault="00BA2570" w:rsidP="00797D24">
      <w:pPr>
        <w:pStyle w:val="bt"/>
      </w:pPr>
      <w:r w:rsidRPr="008F1881">
        <w:t xml:space="preserve">One of the reasons for the region’s </w:t>
      </w:r>
      <w:r w:rsidR="0057086D">
        <w:t xml:space="preserve">recent </w:t>
      </w:r>
      <w:r w:rsidRPr="008F1881">
        <w:t>population growth has been inter-regional migration flows to the Central Highlands from outside the region. These are illustrated in</w:t>
      </w:r>
      <w:r w:rsidR="004B6A97">
        <w:t xml:space="preserve"> </w:t>
      </w:r>
      <w:r w:rsidR="009F388E">
        <w:fldChar w:fldCharType="begin"/>
      </w:r>
      <w:r w:rsidR="004B6A97">
        <w:instrText xml:space="preserve"> REF _Ref357171455 \h </w:instrText>
      </w:r>
      <w:r w:rsidR="009F388E">
        <w:fldChar w:fldCharType="separate"/>
      </w:r>
      <w:r w:rsidR="00907B42" w:rsidRPr="00D42DE9">
        <w:t xml:space="preserve">Figure </w:t>
      </w:r>
      <w:r w:rsidR="00907B42">
        <w:rPr>
          <w:noProof/>
        </w:rPr>
        <w:t>4</w:t>
      </w:r>
      <w:r w:rsidR="009F388E">
        <w:fldChar w:fldCharType="end"/>
      </w:r>
      <w:r w:rsidRPr="008F1881">
        <w:t>, indicating positive growth coming from all other regions in the state</w:t>
      </w:r>
      <w:r w:rsidR="0004684A">
        <w:t>,</w:t>
      </w:r>
      <w:r w:rsidRPr="008F1881">
        <w:t xml:space="preserve"> particularly from Melbourne and the Wimmera Southern Mallee. </w:t>
      </w:r>
    </w:p>
    <w:p w:rsidR="00007D04" w:rsidRDefault="00007D04">
      <w:pPr>
        <w:spacing w:after="200" w:line="276" w:lineRule="auto"/>
        <w:jc w:val="left"/>
        <w:rPr>
          <w:rFonts w:ascii="Calibri" w:eastAsiaTheme="minorEastAsia" w:hAnsi="Calibri" w:cstheme="minorBidi"/>
        </w:rPr>
      </w:pPr>
      <w:r>
        <w:br w:type="page"/>
      </w:r>
    </w:p>
    <w:p w:rsidR="00C820C0" w:rsidRDefault="00070916">
      <w:pPr>
        <w:pStyle w:val="Caption"/>
      </w:pPr>
      <w:bookmarkStart w:id="44" w:name="_Ref357171455"/>
      <w:r>
        <w:rPr>
          <w:noProof/>
        </w:rPr>
        <w:lastRenderedPageBreak/>
        <w:drawing>
          <wp:anchor distT="0" distB="0" distL="114300" distR="114300" simplePos="0" relativeHeight="251662336" behindDoc="0" locked="0" layoutInCell="1" allowOverlap="1">
            <wp:simplePos x="0" y="0"/>
            <wp:positionH relativeFrom="column">
              <wp:posOffset>-95885</wp:posOffset>
            </wp:positionH>
            <wp:positionV relativeFrom="paragraph">
              <wp:posOffset>254000</wp:posOffset>
            </wp:positionV>
            <wp:extent cx="6382385" cy="4660900"/>
            <wp:effectExtent l="19050" t="0" r="0" b="0"/>
            <wp:wrapTopAndBottom/>
            <wp:docPr id="6" name="Picture 1" descr="Map showing inter-regional migration flows in Central Highlands region 2006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_reg_migration_vic_growth_plan_regions_CH.jpg"/>
                    <pic:cNvPicPr>
                      <a:picLocks noChangeAspect="1" noChangeArrowheads="1"/>
                    </pic:cNvPicPr>
                  </pic:nvPicPr>
                  <pic:blipFill>
                    <a:blip r:embed="rId23" cstate="email"/>
                    <a:stretch>
                      <a:fillRect/>
                    </a:stretch>
                  </pic:blipFill>
                  <pic:spPr bwMode="auto">
                    <a:xfrm>
                      <a:off x="0" y="0"/>
                      <a:ext cx="6382385" cy="4660900"/>
                    </a:xfrm>
                    <a:prstGeom prst="rect">
                      <a:avLst/>
                    </a:prstGeom>
                    <a:noFill/>
                    <a:ln w="9525">
                      <a:noFill/>
                      <a:miter lim="800000"/>
                      <a:headEnd/>
                      <a:tailEnd/>
                    </a:ln>
                  </pic:spPr>
                </pic:pic>
              </a:graphicData>
            </a:graphic>
          </wp:anchor>
        </w:drawing>
      </w:r>
      <w:bookmarkStart w:id="45" w:name="_Toc381698004"/>
      <w:r w:rsidR="00797D24" w:rsidRPr="00D42DE9">
        <w:t xml:space="preserve">Figure </w:t>
      </w:r>
      <w:r w:rsidR="009F388E">
        <w:fldChar w:fldCharType="begin"/>
      </w:r>
      <w:r w:rsidR="00821C7F">
        <w:instrText xml:space="preserve"> SEQ Figure \* ARABIC </w:instrText>
      </w:r>
      <w:r w:rsidR="009F388E">
        <w:fldChar w:fldCharType="separate"/>
      </w:r>
      <w:r w:rsidR="00907B42">
        <w:rPr>
          <w:noProof/>
        </w:rPr>
        <w:t>4</w:t>
      </w:r>
      <w:r w:rsidR="009F388E">
        <w:fldChar w:fldCharType="end"/>
      </w:r>
      <w:bookmarkEnd w:id="44"/>
      <w:r w:rsidR="00797D24" w:rsidRPr="00D42DE9">
        <w:t>: Inter-regional migration flows, Central Highlands region 2006 to 2011</w:t>
      </w:r>
      <w:bookmarkEnd w:id="45"/>
    </w:p>
    <w:p w:rsidR="00C820C0" w:rsidRDefault="00DA6342" w:rsidP="00070916">
      <w:pPr>
        <w:pStyle w:val="Source0"/>
        <w:rPr>
          <w:szCs w:val="20"/>
        </w:rPr>
      </w:pPr>
      <w:r>
        <w:t>S</w:t>
      </w:r>
      <w:r w:rsidRPr="008F1881">
        <w:t xml:space="preserve">ource: </w:t>
      </w:r>
      <w:r w:rsidR="009D6C50">
        <w:t>Department of Transport, Planning an</w:t>
      </w:r>
      <w:r w:rsidR="00C820C0">
        <w:t>d</w:t>
      </w:r>
      <w:r w:rsidR="009D6C50">
        <w:t xml:space="preserve"> Local Infrastructure</w:t>
      </w:r>
    </w:p>
    <w:p w:rsidR="00FB5980" w:rsidRPr="008F1881" w:rsidRDefault="00FB5980" w:rsidP="00DA6342">
      <w:pPr>
        <w:pStyle w:val="bt"/>
      </w:pPr>
      <w:r w:rsidRPr="008F1881">
        <w:t>It is expected the Central Highlands region</w:t>
      </w:r>
      <w:r w:rsidRPr="008F1881">
        <w:rPr>
          <w:rStyle w:val="FootnoteReference"/>
          <w:rFonts w:cs="Tahoma"/>
          <w:szCs w:val="20"/>
        </w:rPr>
        <w:footnoteReference w:id="3"/>
      </w:r>
      <w:r w:rsidR="004C7A27" w:rsidRPr="008F1881">
        <w:t xml:space="preserve"> will grow by around 78,2</w:t>
      </w:r>
      <w:r w:rsidRPr="008F1881">
        <w:t xml:space="preserve">00 </w:t>
      </w:r>
      <w:r w:rsidR="00152F1C">
        <w:t xml:space="preserve">people </w:t>
      </w:r>
      <w:r w:rsidRPr="008F1881">
        <w:t>and have an average annual growth rate of 1.6</w:t>
      </w:r>
      <w:r w:rsidR="00152F1C">
        <w:t xml:space="preserve"> </w:t>
      </w:r>
      <w:r w:rsidR="001F619E" w:rsidRPr="001F619E">
        <w:t>per cent</w:t>
      </w:r>
      <w:r w:rsidR="004C7A27" w:rsidRPr="008F1881">
        <w:t xml:space="preserve"> per annum between 2011 and 204</w:t>
      </w:r>
      <w:r w:rsidRPr="008F1881">
        <w:t>1 (</w:t>
      </w:r>
      <w:r w:rsidR="001F619E" w:rsidRPr="000B40E8">
        <w:t>Victoria in Future 2012</w:t>
      </w:r>
      <w:r w:rsidRPr="008F1881">
        <w:t xml:space="preserve">), </w:t>
      </w:r>
      <w:r w:rsidR="00152F1C">
        <w:t xml:space="preserve">although </w:t>
      </w:r>
      <w:r w:rsidRPr="008F1881">
        <w:t xml:space="preserve">population growth will not occur evenly across the region. </w:t>
      </w:r>
    </w:p>
    <w:p w:rsidR="00070916" w:rsidRDefault="00740FDC" w:rsidP="00DA6342">
      <w:pPr>
        <w:pStyle w:val="bt"/>
      </w:pPr>
      <w:r w:rsidRPr="00DA6342">
        <w:t>Population projections show that this trend</w:t>
      </w:r>
      <w:r w:rsidR="00DA662F" w:rsidRPr="00DA6342">
        <w:t xml:space="preserve"> towards disparity in growth between west and east</w:t>
      </w:r>
      <w:r w:rsidRPr="00DA6342">
        <w:t xml:space="preserve"> is likely to continue, with the municipalities of Moorabool and Ballarat growing faster than other parts of the Central Highlands </w:t>
      </w:r>
      <w:r w:rsidR="000A44A6" w:rsidRPr="00DA6342">
        <w:t>(refer to</w:t>
      </w:r>
      <w:r w:rsidR="00DA6342">
        <w:t xml:space="preserve"> </w:t>
      </w:r>
      <w:r w:rsidR="00631B16">
        <w:fldChar w:fldCharType="begin"/>
      </w:r>
      <w:r w:rsidR="00631B16">
        <w:instrText xml:space="preserve"> REF _Ref349206712 \h  \* MERGEFORMAT </w:instrText>
      </w:r>
      <w:r w:rsidR="00631B16">
        <w:fldChar w:fldCharType="separate"/>
      </w:r>
      <w:r w:rsidR="00907B42" w:rsidRPr="00D42DE9">
        <w:t xml:space="preserve">Figure </w:t>
      </w:r>
      <w:r w:rsidR="00907B42">
        <w:t>5</w:t>
      </w:r>
      <w:r w:rsidR="00631B16">
        <w:fldChar w:fldCharType="end"/>
      </w:r>
      <w:r w:rsidRPr="00DA6342">
        <w:t xml:space="preserve">). </w:t>
      </w:r>
    </w:p>
    <w:p w:rsidR="000F1C50" w:rsidRPr="00D42DE9" w:rsidRDefault="00070916" w:rsidP="00D42DE9">
      <w:pPr>
        <w:pStyle w:val="Caption"/>
      </w:pPr>
      <w:bookmarkStart w:id="46" w:name="_Ref349206712"/>
      <w:bookmarkStart w:id="47" w:name="_Ref356989154"/>
      <w:r>
        <w:rPr>
          <w:noProof/>
        </w:rPr>
        <w:lastRenderedPageBreak/>
        <w:drawing>
          <wp:anchor distT="0" distB="0" distL="114300" distR="114300" simplePos="0" relativeHeight="251663360" behindDoc="0" locked="0" layoutInCell="1" allowOverlap="1">
            <wp:simplePos x="0" y="0"/>
            <wp:positionH relativeFrom="column">
              <wp:posOffset>-120650</wp:posOffset>
            </wp:positionH>
            <wp:positionV relativeFrom="paragraph">
              <wp:posOffset>318135</wp:posOffset>
            </wp:positionV>
            <wp:extent cx="5645150" cy="2966720"/>
            <wp:effectExtent l="19050" t="0" r="0" b="0"/>
            <wp:wrapTopAndBottom/>
            <wp:docPr id="30" name="Picture 10" descr="Chart showing the projected growth of Central Highland municipalities 2011 to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showing the projected growth of Central Highland municipalities"/>
                    <pic:cNvPicPr>
                      <a:picLocks noChangeAspect="1" noChangeArrowheads="1"/>
                    </pic:cNvPicPr>
                  </pic:nvPicPr>
                  <pic:blipFill>
                    <a:blip r:embed="rId24" cstate="email"/>
                    <a:stretch>
                      <a:fillRect/>
                    </a:stretch>
                  </pic:blipFill>
                  <pic:spPr bwMode="auto">
                    <a:xfrm>
                      <a:off x="0" y="0"/>
                      <a:ext cx="5645150" cy="2966720"/>
                    </a:xfrm>
                    <a:prstGeom prst="rect">
                      <a:avLst/>
                    </a:prstGeom>
                    <a:noFill/>
                    <a:ln w="9525">
                      <a:noFill/>
                      <a:miter lim="800000"/>
                      <a:headEnd/>
                      <a:tailEnd/>
                    </a:ln>
                  </pic:spPr>
                </pic:pic>
              </a:graphicData>
            </a:graphic>
          </wp:anchor>
        </w:drawing>
      </w:r>
      <w:bookmarkStart w:id="48" w:name="_Toc381698005"/>
      <w:r w:rsidR="00DA662F" w:rsidRPr="00D42DE9">
        <w:t xml:space="preserve">Figure </w:t>
      </w:r>
      <w:r w:rsidR="009F388E">
        <w:fldChar w:fldCharType="begin"/>
      </w:r>
      <w:r w:rsidR="00821C7F">
        <w:instrText xml:space="preserve"> SEQ Figure \* ARABIC </w:instrText>
      </w:r>
      <w:r w:rsidR="009F388E">
        <w:fldChar w:fldCharType="separate"/>
      </w:r>
      <w:r w:rsidR="00907B42">
        <w:rPr>
          <w:noProof/>
        </w:rPr>
        <w:t>5</w:t>
      </w:r>
      <w:r w:rsidR="009F388E">
        <w:fldChar w:fldCharType="end"/>
      </w:r>
      <w:bookmarkEnd w:id="46"/>
      <w:bookmarkEnd w:id="47"/>
      <w:r w:rsidR="00152F1C" w:rsidRPr="00D42DE9">
        <w:t>:</w:t>
      </w:r>
      <w:r w:rsidR="00740FDC" w:rsidRPr="00D42DE9">
        <w:t xml:space="preserve"> Projected growth of Central Highlands municipalities 2011</w:t>
      </w:r>
      <w:r w:rsidR="00152F1C" w:rsidRPr="00D42DE9">
        <w:t xml:space="preserve"> to </w:t>
      </w:r>
      <w:r w:rsidR="00740FDC" w:rsidRPr="00D42DE9">
        <w:t>2031</w:t>
      </w:r>
      <w:bookmarkEnd w:id="48"/>
    </w:p>
    <w:p w:rsidR="00C820C0" w:rsidRDefault="00DA6342" w:rsidP="00070916">
      <w:pPr>
        <w:pStyle w:val="Source0"/>
      </w:pPr>
      <w:r>
        <w:t>S</w:t>
      </w:r>
      <w:r w:rsidRPr="008F1881">
        <w:t>ource:</w:t>
      </w:r>
      <w:r w:rsidRPr="008F1881">
        <w:rPr>
          <w:b/>
        </w:rPr>
        <w:t xml:space="preserve"> </w:t>
      </w:r>
      <w:r w:rsidRPr="008F1881">
        <w:t>V</w:t>
      </w:r>
      <w:r>
        <w:t xml:space="preserve">ictoria in Future </w:t>
      </w:r>
      <w:r w:rsidRPr="008F1881">
        <w:t>2012</w:t>
      </w:r>
    </w:p>
    <w:p w:rsidR="00E73E5D" w:rsidRDefault="00740FDC" w:rsidP="00DA6342">
      <w:pPr>
        <w:pStyle w:val="bt"/>
        <w:rPr>
          <w:szCs w:val="20"/>
        </w:rPr>
        <w:sectPr w:rsidR="00E73E5D" w:rsidSect="00480CFA">
          <w:pgSz w:w="11906" w:h="16838" w:code="9"/>
          <w:pgMar w:top="1560" w:right="1282" w:bottom="993" w:left="1800" w:header="706" w:footer="706" w:gutter="0"/>
          <w:cols w:space="708"/>
          <w:docGrid w:linePitch="360"/>
        </w:sectPr>
      </w:pPr>
      <w:r w:rsidRPr="008F1881">
        <w:rPr>
          <w:szCs w:val="20"/>
        </w:rPr>
        <w:t xml:space="preserve">A key to understanding the uneven projected population growth across the region is the projected demographic changes to the population. As shown </w:t>
      </w:r>
      <w:r w:rsidR="00152F1C">
        <w:rPr>
          <w:szCs w:val="20"/>
        </w:rPr>
        <w:t xml:space="preserve">in </w:t>
      </w:r>
      <w:r w:rsidR="00631B16">
        <w:fldChar w:fldCharType="begin"/>
      </w:r>
      <w:r w:rsidR="00631B16">
        <w:instrText xml:space="preserve"> REF _Ref349210308 \h  \* MERGEFORMAT </w:instrText>
      </w:r>
      <w:r w:rsidR="00631B16">
        <w:fldChar w:fldCharType="separate"/>
      </w:r>
      <w:r w:rsidR="00907B42" w:rsidRPr="00D42DE9">
        <w:t xml:space="preserve">Figure </w:t>
      </w:r>
      <w:r w:rsidR="00907B42">
        <w:t>6</w:t>
      </w:r>
      <w:r w:rsidR="00631B16">
        <w:fldChar w:fldCharType="end"/>
      </w:r>
      <w:r w:rsidRPr="008F1881">
        <w:rPr>
          <w:szCs w:val="20"/>
        </w:rPr>
        <w:t xml:space="preserve">, </w:t>
      </w:r>
      <w:r w:rsidR="00152F1C" w:rsidRPr="008F1881">
        <w:rPr>
          <w:szCs w:val="20"/>
        </w:rPr>
        <w:t>older age groups (65+) are expected to grow at disproportionate levels</w:t>
      </w:r>
      <w:r w:rsidR="00152F1C">
        <w:rPr>
          <w:szCs w:val="20"/>
        </w:rPr>
        <w:t xml:space="preserve"> up to 2031 </w:t>
      </w:r>
      <w:r w:rsidRPr="008F1881">
        <w:rPr>
          <w:szCs w:val="20"/>
        </w:rPr>
        <w:t>across the Central Highlands. However</w:t>
      </w:r>
      <w:r w:rsidR="00152F1C">
        <w:rPr>
          <w:szCs w:val="20"/>
        </w:rPr>
        <w:t>,</w:t>
      </w:r>
      <w:r w:rsidRPr="008F1881">
        <w:rPr>
          <w:szCs w:val="20"/>
        </w:rPr>
        <w:t xml:space="preserve"> in some municipalities to the east (Moorabool, Ballarat and Golden Plains), this will be balanced to some extent by growth, albeit lower growth, in the number of children and middle</w:t>
      </w:r>
      <w:r w:rsidR="00152F1C">
        <w:rPr>
          <w:szCs w:val="20"/>
        </w:rPr>
        <w:t>-</w:t>
      </w:r>
      <w:r w:rsidRPr="008F1881">
        <w:rPr>
          <w:szCs w:val="20"/>
        </w:rPr>
        <w:t>aged</w:t>
      </w:r>
      <w:r w:rsidR="00152F1C">
        <w:rPr>
          <w:szCs w:val="20"/>
        </w:rPr>
        <w:t xml:space="preserve"> people</w:t>
      </w:r>
      <w:r w:rsidR="009E6139">
        <w:rPr>
          <w:szCs w:val="20"/>
        </w:rPr>
        <w:t>.</w:t>
      </w:r>
    </w:p>
    <w:p w:rsidR="006D094F" w:rsidRPr="00D42DE9" w:rsidRDefault="00070916" w:rsidP="00D42DE9">
      <w:pPr>
        <w:pStyle w:val="Caption"/>
      </w:pPr>
      <w:bookmarkStart w:id="49" w:name="_Ref349210308"/>
      <w:r>
        <w:rPr>
          <w:noProof/>
        </w:rPr>
        <w:lastRenderedPageBreak/>
        <w:drawing>
          <wp:anchor distT="0" distB="0" distL="114300" distR="114300" simplePos="0" relativeHeight="251664384" behindDoc="0" locked="0" layoutInCell="1" allowOverlap="1">
            <wp:simplePos x="0" y="0"/>
            <wp:positionH relativeFrom="column">
              <wp:posOffset>-40005</wp:posOffset>
            </wp:positionH>
            <wp:positionV relativeFrom="paragraph">
              <wp:posOffset>315595</wp:posOffset>
            </wp:positionV>
            <wp:extent cx="7613650" cy="5043805"/>
            <wp:effectExtent l="19050" t="19050" r="25400" b="23495"/>
            <wp:wrapTopAndBottom/>
            <wp:docPr id="2" name="Picture 4" descr="Map showing change in population by age group in Central Highlands region 2011 to 20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showing change in population by age group, Central Highlands 2011 and 2031 "/>
                    <pic:cNvPicPr>
                      <a:picLocks noChangeAspect="1" noChangeArrowheads="1"/>
                    </pic:cNvPicPr>
                  </pic:nvPicPr>
                  <pic:blipFill>
                    <a:blip r:embed="rId25" cstate="email"/>
                    <a:stretch>
                      <a:fillRect/>
                    </a:stretch>
                  </pic:blipFill>
                  <pic:spPr bwMode="auto">
                    <a:xfrm>
                      <a:off x="0" y="0"/>
                      <a:ext cx="7613650" cy="5043805"/>
                    </a:xfrm>
                    <a:prstGeom prst="rect">
                      <a:avLst/>
                    </a:prstGeom>
                    <a:noFill/>
                    <a:ln w="9525">
                      <a:solidFill>
                        <a:schemeClr val="accent1"/>
                      </a:solidFill>
                      <a:miter lim="800000"/>
                      <a:headEnd/>
                      <a:tailEnd/>
                    </a:ln>
                  </pic:spPr>
                </pic:pic>
              </a:graphicData>
            </a:graphic>
          </wp:anchor>
        </w:drawing>
      </w:r>
      <w:bookmarkStart w:id="50" w:name="_Toc381698006"/>
      <w:r w:rsidR="00FB5980" w:rsidRPr="00D42DE9">
        <w:t xml:space="preserve">Figure </w:t>
      </w:r>
      <w:r w:rsidR="009F388E">
        <w:fldChar w:fldCharType="begin"/>
      </w:r>
      <w:r w:rsidR="00821C7F">
        <w:instrText xml:space="preserve"> SEQ Figure \* ARABIC </w:instrText>
      </w:r>
      <w:r w:rsidR="009F388E">
        <w:fldChar w:fldCharType="separate"/>
      </w:r>
      <w:r w:rsidR="00907B42">
        <w:rPr>
          <w:noProof/>
        </w:rPr>
        <w:t>6</w:t>
      </w:r>
      <w:r w:rsidR="009F388E">
        <w:fldChar w:fldCharType="end"/>
      </w:r>
      <w:bookmarkEnd w:id="49"/>
      <w:r w:rsidR="00152F1C" w:rsidRPr="00D42DE9">
        <w:t>:</w:t>
      </w:r>
      <w:r w:rsidR="00FB5980" w:rsidRPr="00D42DE9">
        <w:t xml:space="preserve"> Change in population by age group, Central Highlands 2011 </w:t>
      </w:r>
      <w:r w:rsidR="00152F1C" w:rsidRPr="00D42DE9">
        <w:t>to</w:t>
      </w:r>
      <w:r w:rsidR="00FB5980" w:rsidRPr="00D42DE9">
        <w:t xml:space="preserve"> 2031</w:t>
      </w:r>
      <w:bookmarkEnd w:id="50"/>
    </w:p>
    <w:p w:rsidR="00E73E5D" w:rsidRDefault="00DA6342" w:rsidP="00070916">
      <w:pPr>
        <w:pStyle w:val="Source0"/>
        <w:sectPr w:rsidR="00E73E5D" w:rsidSect="00E73E5D">
          <w:pgSz w:w="16838" w:h="11906" w:orient="landscape" w:code="9"/>
          <w:pgMar w:top="1800" w:right="1560" w:bottom="993" w:left="993" w:header="706" w:footer="706" w:gutter="0"/>
          <w:cols w:space="708"/>
          <w:docGrid w:linePitch="360"/>
        </w:sectPr>
      </w:pPr>
      <w:r w:rsidRPr="00DA6342">
        <w:t>Source: Victoria in Future 2012</w:t>
      </w:r>
    </w:p>
    <w:p w:rsidR="00740FDC" w:rsidRPr="008F1881" w:rsidRDefault="00740FDC" w:rsidP="00DA6342">
      <w:pPr>
        <w:pStyle w:val="bt"/>
      </w:pPr>
      <w:r w:rsidRPr="008F1881">
        <w:lastRenderedPageBreak/>
        <w:t>The settlement pattern of the Central Highlands is dominated by Ballarat which is over five times the size of any other centre in the region. Bacchus Marsh</w:t>
      </w:r>
      <w:r w:rsidR="00D7440B" w:rsidRPr="00D7440B">
        <w:t xml:space="preserve"> </w:t>
      </w:r>
      <w:r w:rsidR="00D7440B" w:rsidRPr="008F1881">
        <w:t>and</w:t>
      </w:r>
      <w:r w:rsidR="00D7440B" w:rsidRPr="00D7440B">
        <w:t xml:space="preserve"> </w:t>
      </w:r>
      <w:r w:rsidR="00D7440B" w:rsidRPr="008F1881">
        <w:t>Ararat</w:t>
      </w:r>
      <w:r w:rsidR="00D7440B" w:rsidRPr="00D7440B">
        <w:t xml:space="preserve"> </w:t>
      </w:r>
      <w:r w:rsidR="00D7440B">
        <w:t>are</w:t>
      </w:r>
      <w:r w:rsidR="00D7440B" w:rsidRPr="008F1881">
        <w:t xml:space="preserve"> the next largest centres in the region</w:t>
      </w:r>
      <w:r w:rsidRPr="008F1881">
        <w:t xml:space="preserve">, </w:t>
      </w:r>
      <w:r w:rsidR="00D7440B">
        <w:t xml:space="preserve">with </w:t>
      </w:r>
      <w:r w:rsidRPr="008F1881">
        <w:t>Maryborough</w:t>
      </w:r>
      <w:r w:rsidR="00D7440B">
        <w:t xml:space="preserve"> and</w:t>
      </w:r>
      <w:r w:rsidR="00D7440B" w:rsidRPr="008F1881">
        <w:t xml:space="preserve"> </w:t>
      </w:r>
      <w:r w:rsidRPr="008F1881">
        <w:t xml:space="preserve">Stawell </w:t>
      </w:r>
      <w:r w:rsidR="00D7440B">
        <w:t>also important centres close to the region</w:t>
      </w:r>
      <w:r w:rsidRPr="008F1881">
        <w:t xml:space="preserve">. </w:t>
      </w:r>
      <w:r w:rsidR="00313C08" w:rsidRPr="008F1881">
        <w:t xml:space="preserve">It is also important to recognise the influence of Melbourne and Geelong which are within close proximity to parts of the region and accessed for employment and lifestyle reasons. </w:t>
      </w:r>
      <w:r w:rsidRPr="008F1881">
        <w:t xml:space="preserve">These cities, along with Ballarat, are significant enough to have their own </w:t>
      </w:r>
      <w:r w:rsidR="00F37D25">
        <w:t>hinterland (</w:t>
      </w:r>
      <w:r w:rsidRPr="008F1881">
        <w:t>peri-urban</w:t>
      </w:r>
      <w:r w:rsidR="00F37D25">
        <w:t>)</w:t>
      </w:r>
      <w:r w:rsidRPr="008F1881">
        <w:t xml:space="preserve"> influence, with a network of towns </w:t>
      </w:r>
      <w:r w:rsidR="00F050B4">
        <w:t xml:space="preserve">that </w:t>
      </w:r>
      <w:r w:rsidRPr="008F1881">
        <w:t xml:space="preserve">rely on them for employment and services. </w:t>
      </w:r>
    </w:p>
    <w:p w:rsidR="00740FDC" w:rsidRPr="008F1881" w:rsidRDefault="00740FDC" w:rsidP="00DA6342">
      <w:pPr>
        <w:pStyle w:val="bt"/>
      </w:pPr>
      <w:r w:rsidRPr="008F1881">
        <w:t>Within the various municipalities making up the Central Highlands there are a diverse range of settlement patterns. For example</w:t>
      </w:r>
      <w:r w:rsidR="00F050B4">
        <w:t>,</w:t>
      </w:r>
      <w:r w:rsidRPr="008F1881">
        <w:t xml:space="preserve"> Golden Plains comprises a series of relatively small townships which are dependent on </w:t>
      </w:r>
      <w:r w:rsidR="00F050B4">
        <w:t xml:space="preserve">nearby </w:t>
      </w:r>
      <w:r w:rsidRPr="008F1881">
        <w:t>municipalities for some services, whereas other municipalities have a single dominant centre such as Ballarat</w:t>
      </w:r>
      <w:r w:rsidR="00C6498B" w:rsidRPr="008F1881">
        <w:t xml:space="preserve"> or</w:t>
      </w:r>
      <w:r w:rsidR="00DA6342">
        <w:t xml:space="preserve"> Ararat.</w:t>
      </w:r>
    </w:p>
    <w:p w:rsidR="008F1881" w:rsidRPr="008F1881" w:rsidRDefault="00740FDC" w:rsidP="00DA6342">
      <w:pPr>
        <w:pStyle w:val="bt"/>
      </w:pPr>
      <w:r w:rsidRPr="008F1881">
        <w:rPr>
          <w:szCs w:val="13"/>
        </w:rPr>
        <w:t xml:space="preserve">Clause 11.05 of the State Planning Policy Framework </w:t>
      </w:r>
      <w:r w:rsidR="001E1312" w:rsidRPr="008F1881">
        <w:rPr>
          <w:szCs w:val="13"/>
        </w:rPr>
        <w:t xml:space="preserve">outlines </w:t>
      </w:r>
      <w:r w:rsidR="00FB5980" w:rsidRPr="008F1881">
        <w:rPr>
          <w:szCs w:val="13"/>
        </w:rPr>
        <w:t>s</w:t>
      </w:r>
      <w:r w:rsidR="001E1312" w:rsidRPr="008F1881">
        <w:rPr>
          <w:szCs w:val="13"/>
        </w:rPr>
        <w:t xml:space="preserve">tate planning policies relating to regional development and </w:t>
      </w:r>
      <w:r w:rsidRPr="008F1881">
        <w:rPr>
          <w:szCs w:val="13"/>
        </w:rPr>
        <w:t xml:space="preserve">establishes the Victorian Settlement Framework. </w:t>
      </w:r>
      <w:r w:rsidR="003A47EC" w:rsidRPr="008F1881">
        <w:rPr>
          <w:szCs w:val="13"/>
        </w:rPr>
        <w:t xml:space="preserve">Within this framework </w:t>
      </w:r>
      <w:r w:rsidRPr="008F1881">
        <w:rPr>
          <w:szCs w:val="13"/>
        </w:rPr>
        <w:t>Ballarat</w:t>
      </w:r>
      <w:r w:rsidR="00C6498B" w:rsidRPr="008F1881">
        <w:rPr>
          <w:szCs w:val="13"/>
        </w:rPr>
        <w:t xml:space="preserve"> is identified as a </w:t>
      </w:r>
      <w:r w:rsidR="00147BBD" w:rsidRPr="008F1881">
        <w:rPr>
          <w:szCs w:val="13"/>
        </w:rPr>
        <w:t>m</w:t>
      </w:r>
      <w:r w:rsidR="00C6498B" w:rsidRPr="008F1881">
        <w:rPr>
          <w:szCs w:val="13"/>
        </w:rPr>
        <w:t xml:space="preserve">ajor </w:t>
      </w:r>
      <w:r w:rsidR="00147BBD" w:rsidRPr="008F1881">
        <w:rPr>
          <w:szCs w:val="13"/>
        </w:rPr>
        <w:t>r</w:t>
      </w:r>
      <w:r w:rsidR="00C6498B" w:rsidRPr="008F1881">
        <w:rPr>
          <w:szCs w:val="13"/>
        </w:rPr>
        <w:t xml:space="preserve">egional </w:t>
      </w:r>
      <w:r w:rsidR="00147BBD" w:rsidRPr="008F1881">
        <w:rPr>
          <w:szCs w:val="13"/>
        </w:rPr>
        <w:t>c</w:t>
      </w:r>
      <w:r w:rsidR="00C6498B" w:rsidRPr="008F1881">
        <w:rPr>
          <w:szCs w:val="13"/>
        </w:rPr>
        <w:t xml:space="preserve">ity, </w:t>
      </w:r>
      <w:r w:rsidRPr="008F1881">
        <w:rPr>
          <w:szCs w:val="13"/>
        </w:rPr>
        <w:t xml:space="preserve">the highest order </w:t>
      </w:r>
      <w:r w:rsidR="00665D7E" w:rsidRPr="008F1881">
        <w:rPr>
          <w:szCs w:val="13"/>
        </w:rPr>
        <w:t>regional settlement.</w:t>
      </w:r>
      <w:r w:rsidRPr="008F1881">
        <w:rPr>
          <w:szCs w:val="13"/>
        </w:rPr>
        <w:t xml:space="preserve"> Ararat is identified as a regional </w:t>
      </w:r>
      <w:r w:rsidR="00665D7E" w:rsidRPr="008F1881">
        <w:rPr>
          <w:szCs w:val="13"/>
        </w:rPr>
        <w:t>centre, the second highest order regional settlement</w:t>
      </w:r>
      <w:r w:rsidRPr="008F1881">
        <w:rPr>
          <w:szCs w:val="13"/>
        </w:rPr>
        <w:t xml:space="preserve">. </w:t>
      </w:r>
      <w:r w:rsidR="001E1312" w:rsidRPr="008F1881">
        <w:rPr>
          <w:szCs w:val="13"/>
        </w:rPr>
        <w:t>Relevant s</w:t>
      </w:r>
      <w:r w:rsidRPr="008F1881">
        <w:rPr>
          <w:szCs w:val="13"/>
        </w:rPr>
        <w:t xml:space="preserve">trategies </w:t>
      </w:r>
      <w:r w:rsidR="0023043E" w:rsidRPr="008F1881">
        <w:rPr>
          <w:szCs w:val="13"/>
        </w:rPr>
        <w:t>identified here</w:t>
      </w:r>
      <w:r w:rsidRPr="008F1881">
        <w:rPr>
          <w:szCs w:val="13"/>
        </w:rPr>
        <w:t xml:space="preserve"> include</w:t>
      </w:r>
      <w:r w:rsidR="00135664" w:rsidRPr="008F1881">
        <w:rPr>
          <w:szCs w:val="13"/>
        </w:rPr>
        <w:t xml:space="preserve"> directing </w:t>
      </w:r>
      <w:r w:rsidRPr="008F1881">
        <w:t>urban growth into major regional cities</w:t>
      </w:r>
      <w:r w:rsidR="00D52A92" w:rsidRPr="008F1881">
        <w:t>, inc</w:t>
      </w:r>
      <w:r w:rsidR="0004684A">
        <w:t>luding Ballarat, and supporting</w:t>
      </w:r>
      <w:r w:rsidR="009E77BA">
        <w:t xml:space="preserve"> the</w:t>
      </w:r>
      <w:r w:rsidR="00D52A92" w:rsidRPr="008F1881" w:rsidDel="00D52A92">
        <w:t xml:space="preserve"> </w:t>
      </w:r>
      <w:r w:rsidRPr="008F1881">
        <w:t xml:space="preserve">sustainable development of regional centres </w:t>
      </w:r>
      <w:r w:rsidR="00D52A92" w:rsidRPr="008F1881">
        <w:t xml:space="preserve">including Ararat. </w:t>
      </w:r>
    </w:p>
    <w:p w:rsidR="00DA6342" w:rsidRDefault="00740FDC" w:rsidP="00537648">
      <w:pPr>
        <w:pStyle w:val="bt"/>
        <w:spacing w:after="120"/>
        <w:rPr>
          <w:szCs w:val="13"/>
        </w:rPr>
      </w:pPr>
      <w:r w:rsidRPr="008F1881">
        <w:rPr>
          <w:szCs w:val="13"/>
        </w:rPr>
        <w:t xml:space="preserve">The </w:t>
      </w:r>
      <w:r w:rsidR="00D06A85" w:rsidRPr="000B40E8">
        <w:rPr>
          <w:szCs w:val="13"/>
        </w:rPr>
        <w:t>Regional Mapping Project</w:t>
      </w:r>
      <w:r w:rsidRPr="008F1881">
        <w:rPr>
          <w:szCs w:val="13"/>
        </w:rPr>
        <w:t xml:space="preserve"> (Planisphere 2009) undertaken as part of the development of the </w:t>
      </w:r>
      <w:r w:rsidR="0069443A" w:rsidRPr="000B40E8">
        <w:rPr>
          <w:szCs w:val="13"/>
        </w:rPr>
        <w:t>Central Highlands Regional Strategic Plan</w:t>
      </w:r>
      <w:r w:rsidR="0057086D">
        <w:rPr>
          <w:szCs w:val="13"/>
        </w:rPr>
        <w:t>,</w:t>
      </w:r>
      <w:r w:rsidRPr="008F1881">
        <w:rPr>
          <w:szCs w:val="13"/>
        </w:rPr>
        <w:t xml:space="preserve"> put forward a more detailed hierarchy of settlements for the Central Highlands</w:t>
      </w:r>
      <w:r w:rsidR="00F050B4">
        <w:rPr>
          <w:szCs w:val="13"/>
        </w:rPr>
        <w:t xml:space="preserve"> region</w:t>
      </w:r>
      <w:r w:rsidRPr="008F1881">
        <w:rPr>
          <w:szCs w:val="13"/>
        </w:rPr>
        <w:t xml:space="preserve">. The </w:t>
      </w:r>
      <w:r w:rsidR="0069443A" w:rsidRPr="000B40E8">
        <w:rPr>
          <w:szCs w:val="13"/>
        </w:rPr>
        <w:t>Central Highlands Regional Strategic Plan</w:t>
      </w:r>
      <w:r w:rsidRPr="000B40E8">
        <w:rPr>
          <w:szCs w:val="13"/>
        </w:rPr>
        <w:t xml:space="preserve"> </w:t>
      </w:r>
      <w:r w:rsidRPr="008F1881">
        <w:rPr>
          <w:szCs w:val="13"/>
        </w:rPr>
        <w:t>then identified the regional role and function of each centre</w:t>
      </w:r>
      <w:r w:rsidR="00F050B4">
        <w:rPr>
          <w:szCs w:val="13"/>
        </w:rPr>
        <w:t>, as outlined below.</w:t>
      </w:r>
    </w:p>
    <w:tbl>
      <w:tblPr>
        <w:tblW w:w="9889" w:type="dxa"/>
        <w:tbl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1101"/>
        <w:gridCol w:w="4819"/>
        <w:gridCol w:w="3969"/>
      </w:tblGrid>
      <w:tr w:rsidR="008A2E3B" w:rsidRPr="008F1881" w:rsidTr="00E4010C">
        <w:trPr>
          <w:cantSplit/>
          <w:trHeight w:val="968"/>
        </w:trPr>
        <w:tc>
          <w:tcPr>
            <w:tcW w:w="1101" w:type="dxa"/>
            <w:shd w:val="clear" w:color="auto" w:fill="BF1259"/>
          </w:tcPr>
          <w:p w:rsidR="008A2E3B" w:rsidRPr="00725062" w:rsidRDefault="008A2E3B" w:rsidP="008A2E3B">
            <w:pPr>
              <w:pStyle w:val="TableText0"/>
              <w:rPr>
                <w:rStyle w:val="Strong"/>
                <w:rFonts w:asciiTheme="minorHAnsi" w:hAnsiTheme="minorHAnsi"/>
                <w:color w:val="FFFFFF" w:themeColor="background1"/>
              </w:rPr>
            </w:pPr>
            <w:r w:rsidRPr="00725062">
              <w:rPr>
                <w:rStyle w:val="Strong"/>
                <w:rFonts w:asciiTheme="minorHAnsi" w:hAnsiTheme="minorHAnsi"/>
                <w:color w:val="FFFFFF" w:themeColor="background1"/>
              </w:rPr>
              <w:t>Provincial centre</w:t>
            </w:r>
          </w:p>
        </w:tc>
        <w:tc>
          <w:tcPr>
            <w:tcW w:w="4819" w:type="dxa"/>
            <w:shd w:val="clear" w:color="auto" w:fill="EDB9CC"/>
          </w:tcPr>
          <w:p w:rsidR="008A2E3B" w:rsidRPr="00725062" w:rsidRDefault="008A2E3B" w:rsidP="008A2E3B">
            <w:pPr>
              <w:pStyle w:val="ListBullet"/>
              <w:numPr>
                <w:ilvl w:val="0"/>
                <w:numId w:val="0"/>
              </w:numPr>
              <w:spacing w:before="20" w:after="20"/>
            </w:pPr>
            <w:r w:rsidRPr="00725062">
              <w:t>Role</w:t>
            </w:r>
          </w:p>
          <w:p w:rsidR="008A2E3B" w:rsidRPr="00725062" w:rsidRDefault="008A2E3B" w:rsidP="008A2E3B">
            <w:pPr>
              <w:pStyle w:val="ListBullet"/>
              <w:spacing w:before="20" w:after="20"/>
            </w:pPr>
            <w:r w:rsidRPr="00725062">
              <w:t>Highest levels of population and employment outside Melbourne</w:t>
            </w:r>
          </w:p>
          <w:p w:rsidR="008A2E3B" w:rsidRPr="00725062" w:rsidRDefault="008A2E3B" w:rsidP="008A2E3B">
            <w:pPr>
              <w:pStyle w:val="ListBullet"/>
              <w:spacing w:before="20" w:after="20"/>
            </w:pPr>
            <w:r w:rsidRPr="00725062">
              <w:t>All utilities</w:t>
            </w:r>
          </w:p>
          <w:p w:rsidR="008A2E3B" w:rsidRPr="00725062" w:rsidRDefault="008A2E3B" w:rsidP="008A2E3B">
            <w:pPr>
              <w:pStyle w:val="ListBullet"/>
              <w:spacing w:before="20" w:after="20"/>
            </w:pPr>
            <w:r w:rsidRPr="00725062">
              <w:t>Several substantial activity centres and a central business district</w:t>
            </w:r>
          </w:p>
          <w:p w:rsidR="008A2E3B" w:rsidRPr="00725062" w:rsidRDefault="008A2E3B" w:rsidP="008A2E3B">
            <w:pPr>
              <w:pStyle w:val="ListBullet"/>
              <w:spacing w:before="20" w:after="20"/>
            </w:pPr>
            <w:r w:rsidRPr="00725062">
              <w:t>Highest order goods and services in regional Victoria</w:t>
            </w:r>
          </w:p>
          <w:p w:rsidR="008A2E3B" w:rsidRPr="00725062" w:rsidRDefault="008A2E3B" w:rsidP="008A2E3B">
            <w:pPr>
              <w:pStyle w:val="ListBullet"/>
              <w:spacing w:before="20" w:after="20"/>
            </w:pPr>
            <w:r w:rsidRPr="00725062">
              <w:t>Head offices, regional universities, regional hospitals and medical facilities</w:t>
            </w:r>
          </w:p>
          <w:p w:rsidR="008A2E3B" w:rsidRPr="00725062" w:rsidRDefault="008A2E3B" w:rsidP="008A2E3B">
            <w:pPr>
              <w:pStyle w:val="ListBullet"/>
              <w:spacing w:before="20" w:after="20"/>
            </w:pPr>
            <w:r w:rsidRPr="00725062">
              <w:t>Network of hinterland settlements</w:t>
            </w:r>
          </w:p>
        </w:tc>
        <w:tc>
          <w:tcPr>
            <w:tcW w:w="3969" w:type="dxa"/>
            <w:shd w:val="clear" w:color="auto" w:fill="EDB9CC"/>
          </w:tcPr>
          <w:p w:rsidR="008A2E3B" w:rsidRPr="00725062" w:rsidRDefault="008A2E3B" w:rsidP="008A2E3B">
            <w:pPr>
              <w:pStyle w:val="ListBullet"/>
              <w:numPr>
                <w:ilvl w:val="0"/>
                <w:numId w:val="0"/>
              </w:numPr>
              <w:spacing w:before="20" w:after="20"/>
              <w:rPr>
                <w:rFonts w:eastAsiaTheme="minorHAnsi"/>
                <w:lang w:eastAsia="en-US"/>
              </w:rPr>
            </w:pPr>
            <w:r w:rsidRPr="00725062">
              <w:rPr>
                <w:rFonts w:eastAsiaTheme="minorHAnsi"/>
                <w:lang w:eastAsia="en-US"/>
              </w:rPr>
              <w:t>Settlement</w:t>
            </w:r>
          </w:p>
          <w:p w:rsidR="008A2E3B" w:rsidRPr="00725062" w:rsidRDefault="008A2E3B" w:rsidP="00EA2570">
            <w:pPr>
              <w:pStyle w:val="ListBullet"/>
              <w:rPr>
                <w:rFonts w:eastAsiaTheme="minorHAnsi"/>
                <w:lang w:eastAsia="en-US"/>
              </w:rPr>
            </w:pPr>
            <w:r w:rsidRPr="00725062">
              <w:rPr>
                <w:rFonts w:eastAsiaTheme="minorHAnsi"/>
                <w:lang w:eastAsia="en-US"/>
              </w:rPr>
              <w:t>Ballarat</w:t>
            </w:r>
          </w:p>
        </w:tc>
      </w:tr>
      <w:tr w:rsidR="008A2E3B" w:rsidRPr="008F1881" w:rsidTr="00E4010C">
        <w:trPr>
          <w:cantSplit/>
          <w:trHeight w:val="855"/>
        </w:trPr>
        <w:tc>
          <w:tcPr>
            <w:tcW w:w="1101" w:type="dxa"/>
            <w:shd w:val="clear" w:color="auto" w:fill="BF1259"/>
          </w:tcPr>
          <w:p w:rsidR="008A2E3B" w:rsidRPr="00725062" w:rsidRDefault="008A2E3B" w:rsidP="008A2E3B">
            <w:pPr>
              <w:pStyle w:val="TableText0"/>
              <w:rPr>
                <w:rStyle w:val="Strong"/>
                <w:rFonts w:asciiTheme="minorHAnsi" w:hAnsiTheme="minorHAnsi"/>
                <w:color w:val="FFFFFF" w:themeColor="background1"/>
              </w:rPr>
            </w:pPr>
            <w:r w:rsidRPr="00725062">
              <w:rPr>
                <w:rStyle w:val="Strong"/>
                <w:rFonts w:asciiTheme="minorHAnsi" w:hAnsiTheme="minorHAnsi"/>
                <w:color w:val="FFFFFF" w:themeColor="background1"/>
              </w:rPr>
              <w:t xml:space="preserve">District town </w:t>
            </w:r>
          </w:p>
        </w:tc>
        <w:tc>
          <w:tcPr>
            <w:tcW w:w="4819" w:type="dxa"/>
            <w:shd w:val="clear" w:color="auto" w:fill="EDB9CC"/>
          </w:tcPr>
          <w:p w:rsidR="008A2E3B" w:rsidRPr="00725062" w:rsidRDefault="008A2E3B" w:rsidP="008A2E3B">
            <w:pPr>
              <w:pStyle w:val="ListBullet"/>
              <w:numPr>
                <w:ilvl w:val="0"/>
                <w:numId w:val="0"/>
              </w:numPr>
              <w:spacing w:before="20" w:after="20"/>
            </w:pPr>
            <w:r w:rsidRPr="00725062">
              <w:t>Role</w:t>
            </w:r>
          </w:p>
          <w:p w:rsidR="008A2E3B" w:rsidRPr="00725062" w:rsidRDefault="008A2E3B" w:rsidP="008A2E3B">
            <w:pPr>
              <w:pStyle w:val="ListBullet"/>
              <w:spacing w:before="20" w:after="20"/>
              <w:rPr>
                <w:rFonts w:eastAsiaTheme="minorHAnsi"/>
                <w:lang w:eastAsia="en-US"/>
              </w:rPr>
            </w:pPr>
            <w:r w:rsidRPr="00725062">
              <w:rPr>
                <w:rFonts w:eastAsiaTheme="minorHAnsi"/>
                <w:lang w:eastAsia="en-US"/>
              </w:rPr>
              <w:t>Diverse population with moderate employment and good access to services</w:t>
            </w:r>
          </w:p>
          <w:p w:rsidR="008A2E3B" w:rsidRPr="00725062" w:rsidRDefault="008A2E3B" w:rsidP="008A2E3B">
            <w:pPr>
              <w:pStyle w:val="ListBullet"/>
              <w:spacing w:before="20" w:after="20"/>
              <w:rPr>
                <w:rFonts w:eastAsiaTheme="minorHAnsi"/>
                <w:lang w:eastAsia="en-US"/>
              </w:rPr>
            </w:pPr>
            <w:r w:rsidRPr="00725062">
              <w:rPr>
                <w:rFonts w:eastAsiaTheme="minorHAnsi"/>
                <w:lang w:eastAsia="en-US"/>
              </w:rPr>
              <w:t>Sub-regional service function</w:t>
            </w:r>
          </w:p>
          <w:p w:rsidR="008A2E3B" w:rsidRPr="00725062" w:rsidRDefault="008A2E3B" w:rsidP="008A2E3B">
            <w:pPr>
              <w:pStyle w:val="ListBullet"/>
              <w:spacing w:before="20" w:after="20"/>
              <w:rPr>
                <w:rFonts w:eastAsiaTheme="minorHAnsi"/>
                <w:lang w:eastAsia="en-US"/>
              </w:rPr>
            </w:pPr>
            <w:r w:rsidRPr="00725062">
              <w:rPr>
                <w:rFonts w:eastAsiaTheme="minorHAnsi"/>
                <w:lang w:eastAsia="en-US"/>
              </w:rPr>
              <w:t>Access to medical/hospital services and variety of education facilities</w:t>
            </w:r>
          </w:p>
          <w:p w:rsidR="008A2E3B" w:rsidRPr="00725062" w:rsidRDefault="008A2E3B" w:rsidP="008A2E3B">
            <w:pPr>
              <w:pStyle w:val="ListBullet"/>
              <w:spacing w:before="20" w:after="20"/>
              <w:rPr>
                <w:rFonts w:eastAsiaTheme="minorHAnsi"/>
                <w:lang w:eastAsia="en-US"/>
              </w:rPr>
            </w:pPr>
            <w:r w:rsidRPr="00725062">
              <w:rPr>
                <w:rFonts w:eastAsiaTheme="minorHAnsi"/>
                <w:lang w:eastAsia="en-US"/>
              </w:rPr>
              <w:t>All utilities connected</w:t>
            </w:r>
          </w:p>
        </w:tc>
        <w:tc>
          <w:tcPr>
            <w:tcW w:w="3969" w:type="dxa"/>
            <w:shd w:val="clear" w:color="auto" w:fill="EDB9CC"/>
          </w:tcPr>
          <w:p w:rsidR="008A2E3B" w:rsidRPr="00725062" w:rsidRDefault="008A2E3B" w:rsidP="008A2E3B">
            <w:pPr>
              <w:pStyle w:val="ListBullet"/>
              <w:numPr>
                <w:ilvl w:val="0"/>
                <w:numId w:val="0"/>
              </w:numPr>
              <w:spacing w:before="20" w:after="20"/>
              <w:rPr>
                <w:rFonts w:eastAsiaTheme="minorHAnsi"/>
                <w:lang w:eastAsia="en-US"/>
              </w:rPr>
            </w:pPr>
            <w:r w:rsidRPr="00725062">
              <w:rPr>
                <w:rFonts w:eastAsiaTheme="minorHAnsi"/>
                <w:lang w:eastAsia="en-US"/>
              </w:rPr>
              <w:t>Settlements</w:t>
            </w:r>
          </w:p>
          <w:p w:rsidR="008A2E3B" w:rsidRPr="00725062" w:rsidRDefault="008A2E3B" w:rsidP="008A2E3B">
            <w:pPr>
              <w:pStyle w:val="ListBullet"/>
              <w:spacing w:before="20" w:after="20"/>
            </w:pPr>
            <w:r w:rsidRPr="00725062">
              <w:t>Bacchus Marsh</w:t>
            </w:r>
          </w:p>
          <w:p w:rsidR="008A2E3B" w:rsidRPr="00725062" w:rsidRDefault="008A2E3B" w:rsidP="008A2E3B">
            <w:pPr>
              <w:pStyle w:val="ListBullet"/>
              <w:spacing w:before="20" w:after="20"/>
            </w:pPr>
            <w:r w:rsidRPr="00725062">
              <w:t xml:space="preserve">Ararat </w:t>
            </w:r>
          </w:p>
          <w:p w:rsidR="008A2E3B" w:rsidRPr="00725062" w:rsidRDefault="008A2E3B" w:rsidP="008A2E3B">
            <w:pPr>
              <w:pStyle w:val="ListBullet"/>
              <w:spacing w:before="20" w:after="20"/>
            </w:pPr>
            <w:r w:rsidRPr="00725062">
              <w:t>Daylesford</w:t>
            </w:r>
          </w:p>
          <w:p w:rsidR="008A2E3B" w:rsidRPr="00725062" w:rsidRDefault="008A2E3B" w:rsidP="008A2E3B">
            <w:pPr>
              <w:pStyle w:val="ListBullet"/>
              <w:spacing w:before="20" w:after="20"/>
            </w:pPr>
            <w:r w:rsidRPr="00725062">
              <w:t>Maryborough (</w:t>
            </w:r>
            <w:r w:rsidR="00ED68BE" w:rsidRPr="00725062">
              <w:t>l</w:t>
            </w:r>
            <w:r w:rsidRPr="00725062">
              <w:t>ocated in Central Goldfields)</w:t>
            </w:r>
          </w:p>
          <w:p w:rsidR="008A2E3B" w:rsidRPr="00725062" w:rsidRDefault="008A2E3B" w:rsidP="00BA6DE3">
            <w:pPr>
              <w:pStyle w:val="ListBullet"/>
              <w:spacing w:before="20" w:after="20"/>
              <w:rPr>
                <w:rFonts w:eastAsiaTheme="minorHAnsi"/>
                <w:lang w:eastAsia="en-US"/>
              </w:rPr>
            </w:pPr>
            <w:r w:rsidRPr="00725062">
              <w:t>Stawell (</w:t>
            </w:r>
            <w:r w:rsidR="00ED68BE" w:rsidRPr="00725062">
              <w:t>l</w:t>
            </w:r>
            <w:r w:rsidRPr="00725062">
              <w:t>ocated in Northern Grampians)</w:t>
            </w:r>
          </w:p>
        </w:tc>
      </w:tr>
      <w:tr w:rsidR="008A2E3B" w:rsidRPr="008F1881" w:rsidTr="00E4010C">
        <w:trPr>
          <w:cantSplit/>
          <w:trHeight w:val="989"/>
        </w:trPr>
        <w:tc>
          <w:tcPr>
            <w:tcW w:w="1101" w:type="dxa"/>
            <w:shd w:val="clear" w:color="auto" w:fill="BF1259"/>
          </w:tcPr>
          <w:p w:rsidR="008A2E3B" w:rsidRPr="00725062" w:rsidRDefault="008A2E3B" w:rsidP="008A2E3B">
            <w:pPr>
              <w:pStyle w:val="TableText0"/>
              <w:rPr>
                <w:rStyle w:val="Strong"/>
                <w:rFonts w:asciiTheme="minorHAnsi" w:hAnsiTheme="minorHAnsi"/>
                <w:color w:val="FFFFFF" w:themeColor="background1"/>
              </w:rPr>
            </w:pPr>
            <w:r w:rsidRPr="00725062">
              <w:rPr>
                <w:rStyle w:val="Strong"/>
                <w:rFonts w:asciiTheme="minorHAnsi" w:hAnsiTheme="minorHAnsi"/>
                <w:color w:val="FFFFFF" w:themeColor="background1"/>
              </w:rPr>
              <w:lastRenderedPageBreak/>
              <w:t xml:space="preserve">Town </w:t>
            </w:r>
          </w:p>
        </w:tc>
        <w:tc>
          <w:tcPr>
            <w:tcW w:w="4819" w:type="dxa"/>
            <w:shd w:val="clear" w:color="auto" w:fill="EDB9CC"/>
          </w:tcPr>
          <w:p w:rsidR="008A2E3B" w:rsidRPr="00725062" w:rsidRDefault="008A2E3B" w:rsidP="008A2E3B">
            <w:pPr>
              <w:pStyle w:val="ListBullet"/>
              <w:numPr>
                <w:ilvl w:val="0"/>
                <w:numId w:val="0"/>
              </w:numPr>
              <w:spacing w:before="20" w:after="20"/>
            </w:pPr>
            <w:r w:rsidRPr="00725062">
              <w:t>Role</w:t>
            </w:r>
          </w:p>
          <w:p w:rsidR="008A2E3B" w:rsidRPr="00725062" w:rsidRDefault="008A2E3B" w:rsidP="008A2E3B">
            <w:pPr>
              <w:pStyle w:val="ListBullet"/>
              <w:spacing w:before="20" w:after="20"/>
              <w:rPr>
                <w:rFonts w:eastAsiaTheme="minorHAnsi"/>
                <w:lang w:eastAsia="en-US"/>
              </w:rPr>
            </w:pPr>
            <w:r w:rsidRPr="00725062">
              <w:rPr>
                <w:rFonts w:eastAsiaTheme="minorHAnsi"/>
                <w:lang w:eastAsia="en-US"/>
              </w:rPr>
              <w:t>Diverse population and housing, often with commuters accessing larger nearby settlements</w:t>
            </w:r>
          </w:p>
          <w:p w:rsidR="008A2E3B" w:rsidRPr="00725062" w:rsidRDefault="008A2E3B" w:rsidP="008A2E3B">
            <w:pPr>
              <w:pStyle w:val="ListBullet"/>
              <w:spacing w:before="20" w:after="20"/>
              <w:rPr>
                <w:rFonts w:eastAsiaTheme="minorHAnsi"/>
                <w:lang w:eastAsia="en-US"/>
              </w:rPr>
            </w:pPr>
            <w:r w:rsidRPr="00725062">
              <w:rPr>
                <w:rFonts w:eastAsiaTheme="minorHAnsi"/>
                <w:lang w:eastAsia="en-US"/>
              </w:rPr>
              <w:t>Water and sewer connected</w:t>
            </w:r>
          </w:p>
          <w:p w:rsidR="008A2E3B" w:rsidRPr="00725062" w:rsidRDefault="008A2E3B" w:rsidP="008A2E3B">
            <w:pPr>
              <w:pStyle w:val="ListBullet"/>
              <w:spacing w:before="20" w:after="20"/>
              <w:rPr>
                <w:rFonts w:eastAsiaTheme="minorHAnsi"/>
                <w:lang w:eastAsia="en-US"/>
              </w:rPr>
            </w:pPr>
            <w:r w:rsidRPr="00725062">
              <w:rPr>
                <w:rFonts w:eastAsiaTheme="minorHAnsi"/>
                <w:lang w:eastAsia="en-US"/>
              </w:rPr>
              <w:t>Provide services to rural hinterland</w:t>
            </w:r>
          </w:p>
        </w:tc>
        <w:tc>
          <w:tcPr>
            <w:tcW w:w="3969" w:type="dxa"/>
            <w:shd w:val="clear" w:color="auto" w:fill="EDB9CC"/>
          </w:tcPr>
          <w:p w:rsidR="008A2E3B" w:rsidRPr="00725062" w:rsidRDefault="008A2E3B" w:rsidP="008A2E3B">
            <w:pPr>
              <w:pStyle w:val="ListBullet"/>
              <w:numPr>
                <w:ilvl w:val="0"/>
                <w:numId w:val="0"/>
              </w:numPr>
              <w:spacing w:before="20" w:after="20"/>
              <w:rPr>
                <w:rFonts w:eastAsiaTheme="minorHAnsi"/>
                <w:lang w:eastAsia="en-US"/>
              </w:rPr>
            </w:pPr>
            <w:r w:rsidRPr="00725062">
              <w:rPr>
                <w:rFonts w:eastAsiaTheme="minorHAnsi"/>
                <w:lang w:eastAsia="en-US"/>
              </w:rPr>
              <w:t>Settlements</w:t>
            </w:r>
          </w:p>
          <w:p w:rsidR="008A2E3B" w:rsidRPr="00725062" w:rsidRDefault="008A2E3B" w:rsidP="008A2E3B">
            <w:pPr>
              <w:pStyle w:val="ListBullet"/>
              <w:spacing w:before="20" w:after="20"/>
            </w:pPr>
            <w:r w:rsidRPr="00725062">
              <w:t>Ballan</w:t>
            </w:r>
          </w:p>
          <w:p w:rsidR="008A2E3B" w:rsidRPr="00725062" w:rsidRDefault="008A2E3B" w:rsidP="008A2E3B">
            <w:pPr>
              <w:pStyle w:val="ListBullet"/>
              <w:spacing w:before="20" w:after="20"/>
            </w:pPr>
            <w:r w:rsidRPr="00725062">
              <w:t>Trentham</w:t>
            </w:r>
          </w:p>
          <w:p w:rsidR="008A2E3B" w:rsidRPr="00725062" w:rsidRDefault="008A2E3B" w:rsidP="008A2E3B">
            <w:pPr>
              <w:pStyle w:val="ListBullet"/>
              <w:spacing w:before="20" w:after="20"/>
            </w:pPr>
            <w:r w:rsidRPr="00725062">
              <w:t>Creswick</w:t>
            </w:r>
          </w:p>
          <w:p w:rsidR="008A2E3B" w:rsidRPr="00725062" w:rsidRDefault="008A2E3B" w:rsidP="008A2E3B">
            <w:pPr>
              <w:pStyle w:val="ListBullet"/>
              <w:spacing w:before="20" w:after="20"/>
            </w:pPr>
            <w:r w:rsidRPr="00725062">
              <w:t>Clunes</w:t>
            </w:r>
          </w:p>
          <w:p w:rsidR="008A2E3B" w:rsidRPr="00725062" w:rsidRDefault="008A2E3B" w:rsidP="008A2E3B">
            <w:pPr>
              <w:pStyle w:val="ListBullet"/>
              <w:spacing w:before="20" w:after="20"/>
            </w:pPr>
            <w:r w:rsidRPr="00725062">
              <w:t>Avoca</w:t>
            </w:r>
          </w:p>
          <w:p w:rsidR="008A2E3B" w:rsidRPr="00725062" w:rsidRDefault="008A2E3B" w:rsidP="008A2E3B">
            <w:pPr>
              <w:pStyle w:val="ListBullet"/>
              <w:spacing w:before="20" w:after="20"/>
            </w:pPr>
            <w:r w:rsidRPr="00725062">
              <w:t>Beaufort</w:t>
            </w:r>
          </w:p>
          <w:p w:rsidR="008A2E3B" w:rsidRPr="00725062" w:rsidRDefault="008A2E3B" w:rsidP="008A2E3B">
            <w:pPr>
              <w:pStyle w:val="ListBullet"/>
              <w:spacing w:before="20" w:after="20"/>
            </w:pPr>
            <w:r w:rsidRPr="00725062">
              <w:t>St Arnaud (</w:t>
            </w:r>
            <w:r w:rsidR="00ED68BE" w:rsidRPr="00725062">
              <w:t>l</w:t>
            </w:r>
            <w:r w:rsidRPr="00725062">
              <w:t>ocated in Northern Grampians)</w:t>
            </w:r>
          </w:p>
          <w:p w:rsidR="008A2E3B" w:rsidRPr="00725062" w:rsidRDefault="008A2E3B" w:rsidP="00365E50">
            <w:pPr>
              <w:pStyle w:val="ListBullet"/>
              <w:spacing w:before="20" w:after="20"/>
            </w:pPr>
            <w:r w:rsidRPr="00725062">
              <w:t>Bannockburn</w:t>
            </w:r>
            <w:r w:rsidR="00E63BB0" w:rsidRPr="00725062">
              <w:t xml:space="preserve"> </w:t>
            </w:r>
            <w:r w:rsidRPr="00725062">
              <w:t>(</w:t>
            </w:r>
            <w:r w:rsidR="00365E50" w:rsidRPr="00725062">
              <w:t>l</w:t>
            </w:r>
            <w:r w:rsidRPr="00725062">
              <w:t xml:space="preserve">ocated in </w:t>
            </w:r>
            <w:r w:rsidR="0057086D" w:rsidRPr="00725062">
              <w:t xml:space="preserve">the </w:t>
            </w:r>
            <w:r w:rsidRPr="00725062">
              <w:t>portion of Golden Plains outside of Central Highlands region)</w:t>
            </w:r>
          </w:p>
        </w:tc>
      </w:tr>
    </w:tbl>
    <w:p w:rsidR="00740FDC" w:rsidRPr="008F1881" w:rsidRDefault="00740FDC" w:rsidP="00DA6342">
      <w:pPr>
        <w:pStyle w:val="bt"/>
      </w:pPr>
      <w:r w:rsidRPr="008F1881">
        <w:t>The role</w:t>
      </w:r>
      <w:r w:rsidR="00F25851">
        <w:t>,</w:t>
      </w:r>
      <w:r w:rsidRPr="008F1881">
        <w:t xml:space="preserve"> function and </w:t>
      </w:r>
      <w:r w:rsidR="009E77BA">
        <w:t>network</w:t>
      </w:r>
      <w:r w:rsidRPr="008F1881">
        <w:t xml:space="preserve"> of settlements within the </w:t>
      </w:r>
      <w:r w:rsidR="00F25851">
        <w:t xml:space="preserve">Central Highlands </w:t>
      </w:r>
      <w:r w:rsidRPr="008F1881">
        <w:t>region has been further developed in consultation with local government stakeholders, given the need for greater recognition of the role of small and medium</w:t>
      </w:r>
      <w:r w:rsidR="00F25851">
        <w:t>-</w:t>
      </w:r>
      <w:r w:rsidRPr="008F1881">
        <w:t xml:space="preserve">sized towns </w:t>
      </w:r>
      <w:r w:rsidR="00794B56" w:rsidRPr="008F1881">
        <w:t xml:space="preserve">in the </w:t>
      </w:r>
      <w:r w:rsidR="006F61DF" w:rsidRPr="008F1881">
        <w:t>plan</w:t>
      </w:r>
      <w:r w:rsidRPr="008F1881">
        <w:t xml:space="preserve">. A table provided in Appendix 1 identifies each settlement in the region and </w:t>
      </w:r>
      <w:r w:rsidR="00F25851">
        <w:t xml:space="preserve">its </w:t>
      </w:r>
      <w:r w:rsidRPr="008F1881">
        <w:t>level of services and infrastructure</w:t>
      </w:r>
      <w:r w:rsidR="00F25851">
        <w:t>,</w:t>
      </w:r>
      <w:r w:rsidRPr="008F1881">
        <w:t xml:space="preserve"> along with population data. </w:t>
      </w:r>
    </w:p>
    <w:p w:rsidR="00F334B2" w:rsidRDefault="00740FDC" w:rsidP="00F95347">
      <w:pPr>
        <w:pStyle w:val="bt"/>
        <w:sectPr w:rsidR="00F334B2" w:rsidSect="00480CFA">
          <w:pgSz w:w="11906" w:h="16838" w:code="9"/>
          <w:pgMar w:top="1560" w:right="1282" w:bottom="993" w:left="1800" w:header="706" w:footer="706" w:gutter="0"/>
          <w:cols w:space="708"/>
          <w:docGrid w:linePitch="360"/>
        </w:sectPr>
      </w:pPr>
      <w:r w:rsidRPr="008F1881">
        <w:t>The need to consider the relationships between settlements</w:t>
      </w:r>
      <w:r w:rsidR="0057086D">
        <w:t>,</w:t>
      </w:r>
      <w:r w:rsidRPr="008F1881">
        <w:t xml:space="preserve"> rather than simply considering settlements in isolation</w:t>
      </w:r>
      <w:r w:rsidR="0057086D">
        <w:t>,</w:t>
      </w:r>
      <w:r w:rsidRPr="008F1881">
        <w:t xml:space="preserve"> has been recognised in consultation with stakeholders. The interrelationship between settlements in regional areas is often multi-faceted and may relate to matters such as access to social services, employment, retail services or recreational pursuits. </w:t>
      </w:r>
      <w:r w:rsidR="009E77BA">
        <w:t xml:space="preserve">Clusters of </w:t>
      </w:r>
      <w:r w:rsidR="004935DA">
        <w:t>settlements</w:t>
      </w:r>
      <w:r w:rsidRPr="008F1881">
        <w:t xml:space="preserve"> should be considered when planning for growth within particular settlements</w:t>
      </w:r>
      <w:r w:rsidR="00D845B8">
        <w:t xml:space="preserve">. </w:t>
      </w:r>
      <w:r w:rsidR="009F388E">
        <w:fldChar w:fldCharType="begin"/>
      </w:r>
      <w:r w:rsidR="00D845B8">
        <w:instrText xml:space="preserve"> REF _Ref359426252 \h </w:instrText>
      </w:r>
      <w:r w:rsidR="009F388E">
        <w:fldChar w:fldCharType="separate"/>
      </w:r>
      <w:r w:rsidR="00907B42" w:rsidRPr="00D42DE9">
        <w:t xml:space="preserve">Figure </w:t>
      </w:r>
      <w:r w:rsidR="00907B42">
        <w:rPr>
          <w:noProof/>
        </w:rPr>
        <w:t>7</w:t>
      </w:r>
      <w:r w:rsidR="009F388E">
        <w:fldChar w:fldCharType="end"/>
      </w:r>
      <w:r w:rsidR="00D845B8">
        <w:t xml:space="preserve"> </w:t>
      </w:r>
      <w:r w:rsidR="00015BD9" w:rsidRPr="004D05BE">
        <w:t>illustrates</w:t>
      </w:r>
      <w:r w:rsidR="00015BD9" w:rsidRPr="008F1881">
        <w:t xml:space="preserve"> the settlement role and function of towns in the region.</w:t>
      </w:r>
      <w:bookmarkStart w:id="51" w:name="_Ref357531182"/>
    </w:p>
    <w:p w:rsidR="00740FDC" w:rsidRPr="00D42DE9" w:rsidRDefault="00C820C0" w:rsidP="00D42DE9">
      <w:pPr>
        <w:pStyle w:val="Caption"/>
      </w:pPr>
      <w:bookmarkStart w:id="52" w:name="_Ref359426252"/>
      <w:r>
        <w:rPr>
          <w:noProof/>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266065</wp:posOffset>
            </wp:positionV>
            <wp:extent cx="7753350" cy="5370830"/>
            <wp:effectExtent l="19050" t="0" r="0" b="0"/>
            <wp:wrapTopAndBottom/>
            <wp:docPr id="5" name="Picture 4" descr="Settlement role and function map of the Gramp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7"/>
                    <pic:cNvPicPr>
                      <a:picLocks noChangeAspect="1" noChangeArrowheads="1"/>
                    </pic:cNvPicPr>
                  </pic:nvPicPr>
                  <pic:blipFill>
                    <a:blip r:embed="rId26" cstate="email"/>
                    <a:srcRect/>
                    <a:stretch>
                      <a:fillRect/>
                    </a:stretch>
                  </pic:blipFill>
                  <pic:spPr bwMode="auto">
                    <a:xfrm>
                      <a:off x="0" y="0"/>
                      <a:ext cx="7753350" cy="5370830"/>
                    </a:xfrm>
                    <a:prstGeom prst="rect">
                      <a:avLst/>
                    </a:prstGeom>
                    <a:noFill/>
                    <a:ln w="9525">
                      <a:noFill/>
                      <a:miter lim="800000"/>
                      <a:headEnd/>
                      <a:tailEnd/>
                    </a:ln>
                  </pic:spPr>
                </pic:pic>
              </a:graphicData>
            </a:graphic>
          </wp:anchor>
        </w:drawing>
      </w:r>
      <w:bookmarkStart w:id="53" w:name="_Toc381698007"/>
      <w:r w:rsidR="00797D24" w:rsidRPr="00D42DE9">
        <w:t xml:space="preserve">Figure </w:t>
      </w:r>
      <w:r w:rsidR="009F388E">
        <w:fldChar w:fldCharType="begin"/>
      </w:r>
      <w:r w:rsidR="00821C7F">
        <w:instrText xml:space="preserve"> SEQ Figure \* ARABIC </w:instrText>
      </w:r>
      <w:r w:rsidR="009F388E">
        <w:fldChar w:fldCharType="separate"/>
      </w:r>
      <w:r w:rsidR="00907B42">
        <w:rPr>
          <w:noProof/>
        </w:rPr>
        <w:t>7</w:t>
      </w:r>
      <w:r w:rsidR="009F388E">
        <w:fldChar w:fldCharType="end"/>
      </w:r>
      <w:bookmarkEnd w:id="51"/>
      <w:bookmarkEnd w:id="52"/>
      <w:r w:rsidR="00797D24" w:rsidRPr="00D42DE9">
        <w:t>: Settlement role and function map – Grampians</w:t>
      </w:r>
      <w:bookmarkEnd w:id="53"/>
    </w:p>
    <w:p w:rsidR="00F334B2" w:rsidRPr="00480CFA" w:rsidRDefault="00DA6342" w:rsidP="00480CFA">
      <w:pPr>
        <w:pStyle w:val="Source0"/>
        <w:sectPr w:rsidR="00F334B2" w:rsidRPr="00480CFA" w:rsidSect="00480CFA">
          <w:pgSz w:w="16838" w:h="11906" w:orient="landscape" w:code="9"/>
          <w:pgMar w:top="1560" w:right="1440" w:bottom="993" w:left="1440" w:header="706" w:footer="706" w:gutter="0"/>
          <w:cols w:space="708"/>
          <w:docGrid w:linePitch="360"/>
        </w:sectPr>
      </w:pPr>
      <w:r w:rsidRPr="00480CFA">
        <w:t>Source: Regional Mapping Project Final Report, Grampians Region, Central Highlands</w:t>
      </w:r>
    </w:p>
    <w:p w:rsidR="00F93A5F" w:rsidRPr="005B01F7" w:rsidRDefault="00740FDC" w:rsidP="005B01F7">
      <w:pPr>
        <w:pStyle w:val="Heading2"/>
      </w:pPr>
      <w:bookmarkStart w:id="54" w:name="_Toc349557693"/>
      <w:bookmarkStart w:id="55" w:name="_Toc374527593"/>
      <w:r w:rsidRPr="005B01F7">
        <w:lastRenderedPageBreak/>
        <w:t xml:space="preserve">Preferred </w:t>
      </w:r>
      <w:r w:rsidR="00661931" w:rsidRPr="005B01F7">
        <w:t xml:space="preserve">pattern </w:t>
      </w:r>
      <w:r w:rsidRPr="005B01F7">
        <w:t xml:space="preserve">of </w:t>
      </w:r>
      <w:r w:rsidR="00661931" w:rsidRPr="005B01F7">
        <w:t xml:space="preserve">urban </w:t>
      </w:r>
      <w:bookmarkEnd w:id="54"/>
      <w:r w:rsidR="00661931" w:rsidRPr="005B01F7">
        <w:t>growth</w:t>
      </w:r>
      <w:bookmarkEnd w:id="55"/>
    </w:p>
    <w:p w:rsidR="00F93A5F" w:rsidRPr="005B01F7" w:rsidRDefault="009F09AE" w:rsidP="005B01F7">
      <w:pPr>
        <w:pStyle w:val="Heading3"/>
      </w:pPr>
      <w:r w:rsidRPr="005B01F7">
        <w:t>Description and analysis</w:t>
      </w:r>
    </w:p>
    <w:p w:rsidR="00501FB9" w:rsidRPr="008F1881" w:rsidRDefault="00501FB9" w:rsidP="00DA6342">
      <w:pPr>
        <w:pStyle w:val="bt"/>
      </w:pPr>
      <w:r w:rsidRPr="008F1881">
        <w:t xml:space="preserve">The significant growth forecast for the region presents the opportunity to </w:t>
      </w:r>
      <w:r w:rsidR="00740FDC" w:rsidRPr="008F1881">
        <w:t>consider the fundamental issue of how this growth should be distributed.</w:t>
      </w:r>
      <w:r w:rsidR="00317702" w:rsidRPr="008F1881">
        <w:t xml:space="preserve"> </w:t>
      </w:r>
      <w:r w:rsidRPr="008F1881">
        <w:t xml:space="preserve">However, </w:t>
      </w:r>
      <w:r w:rsidR="00740FDC" w:rsidRPr="008F1881">
        <w:t>it must be recognised the region is not starting with a ‘blank canvas’</w:t>
      </w:r>
      <w:r w:rsidR="00F25851">
        <w:t>. L</w:t>
      </w:r>
      <w:r w:rsidR="00740FDC" w:rsidRPr="008F1881">
        <w:t>arge amounts of future residential growth will be accommodated in the Ballarat West growth area which is currently being planned to accommodate around 30</w:t>
      </w:r>
      <w:r w:rsidR="00AB4623">
        <w:t>,000</w:t>
      </w:r>
      <w:r w:rsidR="00740FDC" w:rsidRPr="008F1881">
        <w:t xml:space="preserve">-40,000 </w:t>
      </w:r>
      <w:r w:rsidR="00F25851">
        <w:t xml:space="preserve">people </w:t>
      </w:r>
      <w:r w:rsidR="00740FDC" w:rsidRPr="008F1881">
        <w:t>(</w:t>
      </w:r>
      <w:r w:rsidR="00803716">
        <w:t>P</w:t>
      </w:r>
      <w:r w:rsidR="00AB4623">
        <w:t xml:space="preserve">arsons </w:t>
      </w:r>
      <w:r w:rsidR="00803716">
        <w:t>B</w:t>
      </w:r>
      <w:r w:rsidR="00AB4623">
        <w:t>rinckerhoff</w:t>
      </w:r>
      <w:r w:rsidR="00803716">
        <w:t>, 2010a</w:t>
      </w:r>
      <w:r w:rsidR="00740FDC" w:rsidRPr="008F1881">
        <w:t>).</w:t>
      </w:r>
    </w:p>
    <w:p w:rsidR="008E2BF3" w:rsidRPr="008F1881" w:rsidRDefault="00740FDC" w:rsidP="00DA6342">
      <w:pPr>
        <w:pStyle w:val="bt"/>
      </w:pPr>
      <w:r w:rsidRPr="008F1881">
        <w:t xml:space="preserve">Bacchus Marsh also has significant land supply of around 1600 lots through development plans approved for the West Maddingley area. This figure could increase through other opportunities for development, such as </w:t>
      </w:r>
      <w:r w:rsidR="00862838">
        <w:t xml:space="preserve">rezoning </w:t>
      </w:r>
      <w:r w:rsidR="004F54B5">
        <w:t>in the Underbank area</w:t>
      </w:r>
      <w:r w:rsidR="00AB4623">
        <w:t xml:space="preserve"> (under investigation)</w:t>
      </w:r>
      <w:r w:rsidR="004F54B5">
        <w:t>.</w:t>
      </w:r>
    </w:p>
    <w:p w:rsidR="00740FDC" w:rsidRPr="008F1881" w:rsidRDefault="00740FDC" w:rsidP="00DA6342">
      <w:pPr>
        <w:pStyle w:val="bt"/>
      </w:pPr>
      <w:r w:rsidRPr="008F1881">
        <w:t>Most growth pressure is likely to be in the eastern part</w:t>
      </w:r>
      <w:r w:rsidR="008E2BF3" w:rsidRPr="008F1881">
        <w:t>s</w:t>
      </w:r>
      <w:r w:rsidRPr="008F1881">
        <w:t xml:space="preserve"> of the region in Ballarat or within the peri-urban influence of Ballarat, Geelong or Melbourne</w:t>
      </w:r>
      <w:r w:rsidR="00F25851">
        <w:t>,</w:t>
      </w:r>
      <w:r w:rsidRPr="008F1881">
        <w:t xml:space="preserve"> </w:t>
      </w:r>
      <w:r w:rsidR="008E2BF3" w:rsidRPr="008F1881">
        <w:t xml:space="preserve">with </w:t>
      </w:r>
      <w:r w:rsidRPr="008F1881">
        <w:t xml:space="preserve">the settlement pattern </w:t>
      </w:r>
      <w:r w:rsidR="008E2BF3" w:rsidRPr="008F1881">
        <w:t xml:space="preserve">in the western </w:t>
      </w:r>
      <w:r w:rsidR="00204DFD" w:rsidRPr="008F1881">
        <w:t xml:space="preserve">and northern </w:t>
      </w:r>
      <w:r w:rsidR="008E2BF3" w:rsidRPr="008F1881">
        <w:t>parts of the region</w:t>
      </w:r>
      <w:r w:rsidR="00317702" w:rsidRPr="008F1881">
        <w:t xml:space="preserve"> </w:t>
      </w:r>
      <w:r w:rsidR="008E2BF3" w:rsidRPr="008F1881">
        <w:t xml:space="preserve">unlikely </w:t>
      </w:r>
      <w:r w:rsidR="00547E46" w:rsidRPr="008F1881">
        <w:t>to</w:t>
      </w:r>
      <w:r w:rsidR="00547E46" w:rsidRPr="008F1881" w:rsidDel="00AB4623">
        <w:t xml:space="preserve"> </w:t>
      </w:r>
      <w:r w:rsidR="00547E46" w:rsidRPr="008F1881">
        <w:t>change</w:t>
      </w:r>
      <w:r w:rsidR="00AB4623">
        <w:t xml:space="preserve"> significantly</w:t>
      </w:r>
      <w:r w:rsidR="00DA6342">
        <w:t>.</w:t>
      </w:r>
    </w:p>
    <w:p w:rsidR="00740FDC" w:rsidRPr="008F1881" w:rsidRDefault="00740FDC" w:rsidP="00DA6342">
      <w:pPr>
        <w:pStyle w:val="bt"/>
      </w:pPr>
      <w:r w:rsidRPr="008F1881">
        <w:t xml:space="preserve">The </w:t>
      </w:r>
      <w:r w:rsidR="0069443A" w:rsidRPr="000B40E8">
        <w:t>Central Highlands Regional Strategic Plan</w:t>
      </w:r>
      <w:r w:rsidRPr="008F1881">
        <w:t xml:space="preserve"> states the majority of urban growth in the region will occur in and around Ballarat and suggests this will take place in the following major areas:</w:t>
      </w:r>
    </w:p>
    <w:p w:rsidR="00740FDC" w:rsidRPr="008F1881" w:rsidRDefault="00740FDC" w:rsidP="00DA6342">
      <w:pPr>
        <w:pStyle w:val="ListBullet"/>
      </w:pPr>
      <w:r w:rsidRPr="008F1881">
        <w:t>Ballarat West growth corridor</w:t>
      </w:r>
    </w:p>
    <w:p w:rsidR="00740FDC" w:rsidRPr="008F1881" w:rsidRDefault="00F25851" w:rsidP="00DA6342">
      <w:pPr>
        <w:pStyle w:val="ListBullet"/>
      </w:pPr>
      <w:r>
        <w:t>i</w:t>
      </w:r>
      <w:r w:rsidR="00740FDC" w:rsidRPr="008F1881">
        <w:t>nner area residential revitalisation in Ballarat</w:t>
      </w:r>
    </w:p>
    <w:p w:rsidR="00740FDC" w:rsidRPr="008F1881" w:rsidRDefault="00F25851" w:rsidP="00DA6342">
      <w:pPr>
        <w:pStyle w:val="ListBullet"/>
      </w:pPr>
      <w:r>
        <w:t>a</w:t>
      </w:r>
      <w:r w:rsidR="00740FDC" w:rsidRPr="008F1881">
        <w:t>long three major settlement and transport corridors, these being Creswick-Clunes, Gordon-Ballan and Smythesdale-Linton</w:t>
      </w:r>
    </w:p>
    <w:p w:rsidR="00740FDC" w:rsidRPr="008F1881" w:rsidRDefault="00F25851" w:rsidP="00DA6342">
      <w:pPr>
        <w:pStyle w:val="ListBullet"/>
      </w:pPr>
      <w:r>
        <w:t>a</w:t>
      </w:r>
      <w:r w:rsidR="00740FDC" w:rsidRPr="008F1881">
        <w:t>t Bacchus Marsh and Bannockburn</w:t>
      </w:r>
      <w:r>
        <w:t xml:space="preserve">, </w:t>
      </w:r>
      <w:r w:rsidR="00740FDC" w:rsidRPr="008F1881">
        <w:t xml:space="preserve">the latter being in the </w:t>
      </w:r>
      <w:r w:rsidR="001F619E" w:rsidRPr="000B40E8">
        <w:t>G21 Regional Growth Plan</w:t>
      </w:r>
      <w:r w:rsidR="00740FDC" w:rsidRPr="008F1881">
        <w:t xml:space="preserve"> region</w:t>
      </w:r>
      <w:r w:rsidR="0007023D">
        <w:t xml:space="preserve"> which covers Geelong and surrounds</w:t>
      </w:r>
      <w:r w:rsidR="00740FDC" w:rsidRPr="008F1881">
        <w:t>.</w:t>
      </w:r>
    </w:p>
    <w:p w:rsidR="00740FDC" w:rsidRPr="008F1881" w:rsidRDefault="00740FDC" w:rsidP="00DA6342">
      <w:pPr>
        <w:pStyle w:val="bt"/>
      </w:pPr>
      <w:r w:rsidRPr="008F1881">
        <w:t xml:space="preserve">The </w:t>
      </w:r>
      <w:r w:rsidR="0069443A" w:rsidRPr="000B40E8">
        <w:t>Central Highlands R</w:t>
      </w:r>
      <w:r w:rsidR="00A4690D" w:rsidRPr="000B40E8">
        <w:t xml:space="preserve">egional </w:t>
      </w:r>
      <w:r w:rsidR="0069443A" w:rsidRPr="000B40E8">
        <w:t>S</w:t>
      </w:r>
      <w:r w:rsidR="00A4690D" w:rsidRPr="000B40E8">
        <w:t xml:space="preserve">trategic </w:t>
      </w:r>
      <w:r w:rsidR="0069443A" w:rsidRPr="000B40E8">
        <w:t>P</w:t>
      </w:r>
      <w:r w:rsidR="00A4690D" w:rsidRPr="000B40E8">
        <w:t>lan</w:t>
      </w:r>
      <w:r w:rsidRPr="008F1881">
        <w:t xml:space="preserve"> considers there are substantial opportunities to better utilise the existing network of small settlements</w:t>
      </w:r>
      <w:r w:rsidR="00F42CF8">
        <w:t>. A</w:t>
      </w:r>
      <w:r w:rsidRPr="008F1881">
        <w:t>t a regional level</w:t>
      </w:r>
      <w:r w:rsidR="00F42CF8">
        <w:t>,</w:t>
      </w:r>
      <w:r w:rsidRPr="008F1881">
        <w:t xml:space="preserve"> planning should recognise those locations that can connect to the regional transport network to ensure access to higher order facilities and services. As such, substantial opportunities exist to create a network of settlements clustered along key transport corridors. Settlements </w:t>
      </w:r>
      <w:r w:rsidR="00F42CF8">
        <w:t xml:space="preserve">that would benefit from this </w:t>
      </w:r>
      <w:r w:rsidR="00BA67B5" w:rsidRPr="008F1881">
        <w:t xml:space="preserve">approach </w:t>
      </w:r>
      <w:r w:rsidRPr="008F1881">
        <w:t>include Meredith, Elaine, Buninyong, Gordon, Trentham, Clunes, Beaufort and Smythesdale.</w:t>
      </w:r>
    </w:p>
    <w:p w:rsidR="00740FDC" w:rsidRPr="008F1881" w:rsidRDefault="00740FDC" w:rsidP="00D845B8">
      <w:pPr>
        <w:pStyle w:val="bt"/>
        <w:spacing w:before="120" w:after="120"/>
      </w:pPr>
      <w:r w:rsidRPr="008F1881">
        <w:t>Identifying a preferred pattern of settlement must also consider constraints such as:</w:t>
      </w:r>
    </w:p>
    <w:p w:rsidR="00740FDC" w:rsidRPr="008F1881" w:rsidRDefault="00F42CF8" w:rsidP="00DA6342">
      <w:pPr>
        <w:pStyle w:val="ListBullet"/>
      </w:pPr>
      <w:r>
        <w:t>t</w:t>
      </w:r>
      <w:r w:rsidR="00740FDC" w:rsidRPr="008F1881">
        <w:t>he need for appropriate infrastructure, particularly reticulated sewerage, in some towns</w:t>
      </w:r>
    </w:p>
    <w:p w:rsidR="00740FDC" w:rsidRPr="008F1881" w:rsidRDefault="00F42CF8" w:rsidP="00DA6342">
      <w:pPr>
        <w:pStyle w:val="ListBullet"/>
      </w:pPr>
      <w:r>
        <w:t>the p</w:t>
      </w:r>
      <w:r w:rsidR="00740FDC" w:rsidRPr="008F1881">
        <w:t xml:space="preserve">resence of high quality agricultural soils such as the Werribee River flats </w:t>
      </w:r>
      <w:r>
        <w:t xml:space="preserve">in </w:t>
      </w:r>
      <w:r w:rsidR="00740FDC" w:rsidRPr="008F1881">
        <w:t>Bacchus Marsh, wine growing regions and volcanic soils to the east of Ballarat</w:t>
      </w:r>
    </w:p>
    <w:p w:rsidR="00740FDC" w:rsidRPr="008F1881" w:rsidRDefault="00F42CF8" w:rsidP="00DA6342">
      <w:pPr>
        <w:pStyle w:val="ListBullet"/>
      </w:pPr>
      <w:r>
        <w:t>d</w:t>
      </w:r>
      <w:r w:rsidR="0007023D">
        <w:t>eclared</w:t>
      </w:r>
      <w:r w:rsidR="00740FDC" w:rsidRPr="008F1881">
        <w:t xml:space="preserve"> water supply catchments for Melbourne, Ballarat</w:t>
      </w:r>
      <w:r w:rsidR="0007023D">
        <w:t>, Bendigo</w:t>
      </w:r>
      <w:r w:rsidR="00740FDC" w:rsidRPr="008F1881">
        <w:t xml:space="preserve"> and Geelong</w:t>
      </w:r>
    </w:p>
    <w:p w:rsidR="00740FDC" w:rsidRPr="008F1881" w:rsidRDefault="00F42CF8" w:rsidP="00DA6342">
      <w:pPr>
        <w:pStyle w:val="ListBullet"/>
      </w:pPr>
      <w:r>
        <w:t>k</w:t>
      </w:r>
      <w:r w:rsidR="00740FDC" w:rsidRPr="008F1881">
        <w:t>ey landscapes and areas of biodiversity</w:t>
      </w:r>
    </w:p>
    <w:p w:rsidR="00537648" w:rsidRPr="00D845B8" w:rsidRDefault="00F42CF8" w:rsidP="00D845B8">
      <w:pPr>
        <w:pStyle w:val="ListBullet"/>
      </w:pPr>
      <w:r>
        <w:t>n</w:t>
      </w:r>
      <w:r w:rsidR="00CB224C">
        <w:t>atural hazards</w:t>
      </w:r>
      <w:r>
        <w:t xml:space="preserve"> such as </w:t>
      </w:r>
      <w:r w:rsidR="00740FDC" w:rsidRPr="008F1881">
        <w:t xml:space="preserve">flood and </w:t>
      </w:r>
      <w:r w:rsidR="006C2CC8">
        <w:t>bush</w:t>
      </w:r>
      <w:r w:rsidR="00740FDC" w:rsidRPr="008F1881">
        <w:t>fire</w:t>
      </w:r>
      <w:r>
        <w:t>-</w:t>
      </w:r>
      <w:r w:rsidR="00740FDC" w:rsidRPr="008F1881">
        <w:t>prone land.</w:t>
      </w:r>
    </w:p>
    <w:p w:rsidR="00740FDC" w:rsidRPr="008F1881" w:rsidRDefault="003A12C3" w:rsidP="00DA6342">
      <w:pPr>
        <w:pStyle w:val="bt"/>
      </w:pPr>
      <w:r>
        <w:t xml:space="preserve">Options for </w:t>
      </w:r>
      <w:r w:rsidR="00740FDC" w:rsidRPr="008F1881">
        <w:t>settlement patterns are arguably the most important direction</w:t>
      </w:r>
      <w:r>
        <w:t>s</w:t>
      </w:r>
      <w:r w:rsidR="00740FDC" w:rsidRPr="008F1881">
        <w:t xml:space="preserve"> the </w:t>
      </w:r>
      <w:r w:rsidR="006F61DF" w:rsidRPr="008F1881">
        <w:t>plan</w:t>
      </w:r>
      <w:r w:rsidR="00794B56" w:rsidRPr="008F1881">
        <w:t xml:space="preserve"> </w:t>
      </w:r>
      <w:r w:rsidR="00740FDC" w:rsidRPr="008F1881">
        <w:t>can</w:t>
      </w:r>
      <w:r>
        <w:t xml:space="preserve"> provide</w:t>
      </w:r>
      <w:r w:rsidR="00740FDC" w:rsidRPr="008F1881">
        <w:t>, as the</w:t>
      </w:r>
      <w:r>
        <w:t>se</w:t>
      </w:r>
      <w:r w:rsidR="00740FDC" w:rsidRPr="008F1881">
        <w:t xml:space="preserve"> will determine priorities for infrastructure investment, how services should be planned and distributed</w:t>
      </w:r>
      <w:r>
        <w:t>,</w:t>
      </w:r>
      <w:r w:rsidR="00740FDC" w:rsidRPr="008F1881">
        <w:t xml:space="preserve"> and how the region </w:t>
      </w:r>
      <w:r>
        <w:t xml:space="preserve">wants </w:t>
      </w:r>
      <w:r w:rsidR="00740FDC" w:rsidRPr="008F1881">
        <w:t xml:space="preserve">to position itself as an economic and social entity. </w:t>
      </w:r>
    </w:p>
    <w:p w:rsidR="00740FDC" w:rsidRPr="008F1881" w:rsidRDefault="003A12C3" w:rsidP="00DA6342">
      <w:pPr>
        <w:pStyle w:val="bt"/>
      </w:pPr>
      <w:r>
        <w:t>S</w:t>
      </w:r>
      <w:r w:rsidR="00BA67B5" w:rsidRPr="008F1881">
        <w:t>ettlement pattern</w:t>
      </w:r>
      <w:r>
        <w:t xml:space="preserve"> options </w:t>
      </w:r>
      <w:r w:rsidR="00BA67B5" w:rsidRPr="008F1881">
        <w:t xml:space="preserve">include </w:t>
      </w:r>
      <w:r w:rsidR="00740FDC" w:rsidRPr="008F1881">
        <w:t>promoting</w:t>
      </w:r>
      <w:r w:rsidR="0057086D">
        <w:t xml:space="preserve"> the</w:t>
      </w:r>
      <w:r w:rsidR="00740FDC" w:rsidRPr="008F1881">
        <w:t xml:space="preserve"> development of a diverse range of centres, focusing development in key centres, or even developing major new growth centres. In relation to the latter option</w:t>
      </w:r>
      <w:r>
        <w:t>,</w:t>
      </w:r>
      <w:r w:rsidR="00740FDC" w:rsidRPr="008F1881">
        <w:t xml:space="preserve"> there would need to be significant </w:t>
      </w:r>
      <w:r>
        <w:t xml:space="preserve">evidence to show that </w:t>
      </w:r>
      <w:r w:rsidR="00740FDC" w:rsidRPr="008F1881">
        <w:t xml:space="preserve">existing settlements </w:t>
      </w:r>
      <w:r>
        <w:t xml:space="preserve">were </w:t>
      </w:r>
      <w:r w:rsidR="00740FDC" w:rsidRPr="008F1881">
        <w:t xml:space="preserve">not </w:t>
      </w:r>
      <w:r>
        <w:t xml:space="preserve">able to </w:t>
      </w:r>
      <w:r w:rsidR="00740FDC" w:rsidRPr="008F1881">
        <w:t xml:space="preserve">cater for growth, or that this </w:t>
      </w:r>
      <w:r>
        <w:t xml:space="preserve">option </w:t>
      </w:r>
      <w:r w:rsidR="00740FDC" w:rsidRPr="008F1881">
        <w:t>pro</w:t>
      </w:r>
      <w:r w:rsidR="00B63DC7">
        <w:t>vided a net community benefit.</w:t>
      </w:r>
    </w:p>
    <w:p w:rsidR="00740FDC" w:rsidRDefault="00BA67B5" w:rsidP="00DA6342">
      <w:pPr>
        <w:pStyle w:val="bt"/>
      </w:pPr>
      <w:r w:rsidRPr="008F1881">
        <w:lastRenderedPageBreak/>
        <w:t>T</w:t>
      </w:r>
      <w:r w:rsidR="00740FDC" w:rsidRPr="008F1881">
        <w:t xml:space="preserve">he </w:t>
      </w:r>
      <w:r w:rsidR="0069443A" w:rsidRPr="000B40E8">
        <w:t>Central Highlands R</w:t>
      </w:r>
      <w:r w:rsidR="00A4690D" w:rsidRPr="000B40E8">
        <w:t xml:space="preserve">egional </w:t>
      </w:r>
      <w:r w:rsidR="0069443A" w:rsidRPr="000B40E8">
        <w:t>Strategic Plan</w:t>
      </w:r>
      <w:r w:rsidR="0069443A" w:rsidRPr="008F1881">
        <w:t xml:space="preserve"> </w:t>
      </w:r>
      <w:r w:rsidR="00740FDC" w:rsidRPr="008F1881">
        <w:t xml:space="preserve">strongly promotes the concept of developing existing settlement corridors. </w:t>
      </w:r>
      <w:r w:rsidR="003A12C3">
        <w:t>However, a</w:t>
      </w:r>
      <w:r w:rsidR="00740FDC" w:rsidRPr="008F1881">
        <w:t xml:space="preserve"> regional growth pattern tied to transport corridors </w:t>
      </w:r>
      <w:r w:rsidR="003A12C3">
        <w:t xml:space="preserve">that </w:t>
      </w:r>
      <w:r w:rsidR="00740FDC" w:rsidRPr="008F1881">
        <w:t>essentially encourag</w:t>
      </w:r>
      <w:r w:rsidR="003A12C3">
        <w:t>e</w:t>
      </w:r>
      <w:r w:rsidR="00740FDC" w:rsidRPr="008F1881">
        <w:t xml:space="preserve"> commuting </w:t>
      </w:r>
      <w:r w:rsidR="003A12C3">
        <w:t xml:space="preserve">does </w:t>
      </w:r>
      <w:r w:rsidR="00740FDC" w:rsidRPr="008F1881">
        <w:t>have a number of consequences. As Buxton et</w:t>
      </w:r>
      <w:r w:rsidR="003A12C3">
        <w:t>.</w:t>
      </w:r>
      <w:r w:rsidR="00740FDC" w:rsidRPr="008F1881">
        <w:t xml:space="preserve"> al</w:t>
      </w:r>
      <w:r w:rsidR="003A12C3">
        <w:t>.</w:t>
      </w:r>
      <w:r w:rsidR="00740FDC" w:rsidRPr="008F1881">
        <w:t xml:space="preserve"> (2011) </w:t>
      </w:r>
      <w:r w:rsidR="00F82A2A">
        <w:t xml:space="preserve">(page 103) </w:t>
      </w:r>
      <w:r w:rsidR="00740FDC" w:rsidRPr="008F1881">
        <w:t xml:space="preserve">note: </w:t>
      </w:r>
    </w:p>
    <w:p w:rsidR="00740FDC" w:rsidRPr="008F1881" w:rsidRDefault="00E21A23" w:rsidP="000B40E8">
      <w:pPr>
        <w:pStyle w:val="bt"/>
        <w:ind w:left="720"/>
      </w:pPr>
      <w:r>
        <w:t>“</w:t>
      </w:r>
      <w:r w:rsidR="00740FDC" w:rsidRPr="000B40E8">
        <w:t>High levels of commuting and increasing socio-economic linkages to the metropolis at once offer opportunities for services and employment, yet diminish identity and enforce interdependence … Spatial planning has an important role to play in envisaging and delivering a future where growing peri-urban communities retain physical identity as separate places, but also in providing for economic futures that assume continued services and employment…</w:t>
      </w:r>
      <w:r>
        <w:t>”</w:t>
      </w:r>
      <w:r w:rsidR="00740FDC" w:rsidRPr="008F1881">
        <w:t xml:space="preserve"> </w:t>
      </w:r>
    </w:p>
    <w:p w:rsidR="008F1881" w:rsidRPr="00DA6342" w:rsidRDefault="009F09AE" w:rsidP="00DA6342">
      <w:pPr>
        <w:pStyle w:val="bt"/>
      </w:pPr>
      <w:r w:rsidRPr="00DA6342">
        <w:t xml:space="preserve">There are </w:t>
      </w:r>
      <w:r w:rsidR="00B47D19" w:rsidRPr="00DA6342">
        <w:t xml:space="preserve">already </w:t>
      </w:r>
      <w:r w:rsidRPr="00DA6342">
        <w:t xml:space="preserve">high numbers of journeys to Melbourne from Moorabool Shire, including from Bacchus Marsh which </w:t>
      </w:r>
      <w:r w:rsidR="00E21A23">
        <w:t>functions</w:t>
      </w:r>
      <w:r w:rsidRPr="00DA6342">
        <w:t xml:space="preserve"> </w:t>
      </w:r>
      <w:r w:rsidR="0007023D" w:rsidRPr="00DA6342">
        <w:t xml:space="preserve">in part </w:t>
      </w:r>
      <w:r w:rsidR="002D111F">
        <w:t xml:space="preserve">as a commuter town. </w:t>
      </w:r>
      <w:r w:rsidR="009F388E">
        <w:fldChar w:fldCharType="begin"/>
      </w:r>
      <w:r w:rsidR="002D111F">
        <w:instrText xml:space="preserve"> REF _Ref357076156 \h </w:instrText>
      </w:r>
      <w:r w:rsidR="009F388E">
        <w:fldChar w:fldCharType="separate"/>
      </w:r>
      <w:r w:rsidR="00907B42" w:rsidRPr="00D42DE9">
        <w:t xml:space="preserve">Figure </w:t>
      </w:r>
      <w:r w:rsidR="00907B42">
        <w:rPr>
          <w:noProof/>
        </w:rPr>
        <w:t>8</w:t>
      </w:r>
      <w:r w:rsidR="009F388E">
        <w:fldChar w:fldCharType="end"/>
      </w:r>
      <w:r w:rsidRPr="00DA6342">
        <w:t xml:space="preserve"> indicates there are fewer journeys from Ballarat to Melbourne and that Golden Plains residents travel in equal numbers to Geelong and Ballarat. </w:t>
      </w:r>
    </w:p>
    <w:p w:rsidR="00797D24" w:rsidRDefault="006229BD" w:rsidP="002D111F">
      <w:pPr>
        <w:pStyle w:val="bt"/>
      </w:pPr>
      <w:r w:rsidRPr="008F1881">
        <w:t>A transport corridor-based approach does not only have to pertain to Melbourne commuting. Within the Central Highlands region the opportunity exists to leverage the existing concentration of employment and services in Ballarat to create a network of settlements within this city’s peri-urban hinterland.</w:t>
      </w:r>
      <w:bookmarkStart w:id="56" w:name="_Ref353802726"/>
    </w:p>
    <w:p w:rsidR="002D111F" w:rsidRDefault="002D111F" w:rsidP="00D42DE9">
      <w:pPr>
        <w:pStyle w:val="Caption"/>
      </w:pPr>
      <w:bookmarkStart w:id="57" w:name="_Ref357076156"/>
      <w:bookmarkStart w:id="58" w:name="_Toc381698008"/>
      <w:r w:rsidRPr="00D42DE9">
        <w:t xml:space="preserve">Figure </w:t>
      </w:r>
      <w:r w:rsidR="009F388E">
        <w:fldChar w:fldCharType="begin"/>
      </w:r>
      <w:r w:rsidR="00821C7F">
        <w:instrText xml:space="preserve"> SEQ Figure \* ARABIC </w:instrText>
      </w:r>
      <w:r w:rsidR="009F388E">
        <w:fldChar w:fldCharType="separate"/>
      </w:r>
      <w:r w:rsidR="00907B42">
        <w:rPr>
          <w:noProof/>
        </w:rPr>
        <w:t>8</w:t>
      </w:r>
      <w:r w:rsidR="009F388E">
        <w:fldChar w:fldCharType="end"/>
      </w:r>
      <w:bookmarkEnd w:id="57"/>
      <w:r w:rsidRPr="00D42DE9">
        <w:t>: Journeys from Central Highlands local government areas 2011</w:t>
      </w:r>
      <w:bookmarkEnd w:id="58"/>
    </w:p>
    <w:p w:rsidR="0091241C" w:rsidRPr="0091241C" w:rsidRDefault="0091241C" w:rsidP="0091241C">
      <w:pPr>
        <w:pStyle w:val="bt"/>
        <w:spacing w:after="120"/>
      </w:pPr>
      <w:r w:rsidRPr="0091241C">
        <w:t>Origin – Ballarat (C)</w:t>
      </w:r>
    </w:p>
    <w:p w:rsidR="0091241C" w:rsidRPr="0091241C" w:rsidRDefault="0091241C" w:rsidP="0091241C">
      <w:pPr>
        <w:pStyle w:val="bt"/>
        <w:numPr>
          <w:ilvl w:val="0"/>
          <w:numId w:val="31"/>
        </w:numPr>
        <w:spacing w:before="120" w:after="120"/>
        <w:ind w:hanging="357"/>
      </w:pPr>
      <w:r w:rsidRPr="0091241C">
        <w:t>Journeys to:</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Metropolitan Melbourne – </w:t>
      </w:r>
      <w:r w:rsidRPr="0091241C">
        <w:rPr>
          <w:rFonts w:asciiTheme="minorHAnsi" w:hAnsiTheme="minorHAnsi"/>
        </w:rPr>
        <w:t>2099</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Ballarat (C) – </w:t>
      </w:r>
      <w:r w:rsidRPr="0091241C">
        <w:rPr>
          <w:rFonts w:asciiTheme="minorHAnsi" w:hAnsiTheme="minorHAnsi"/>
        </w:rPr>
        <w:t>31,650</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Greater Bendigo (C) – </w:t>
      </w:r>
      <w:r w:rsidRPr="0091241C">
        <w:rPr>
          <w:rFonts w:asciiTheme="minorHAnsi" w:hAnsiTheme="minorHAnsi"/>
        </w:rPr>
        <w:t>53</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GreaterGeelong (C) – </w:t>
      </w:r>
      <w:r w:rsidRPr="0091241C">
        <w:rPr>
          <w:rFonts w:asciiTheme="minorHAnsi" w:hAnsiTheme="minorHAnsi"/>
        </w:rPr>
        <w:t>258</w:t>
      </w:r>
    </w:p>
    <w:p w:rsidR="0091241C" w:rsidRPr="0091241C" w:rsidRDefault="0091241C" w:rsidP="0091241C">
      <w:pPr>
        <w:pStyle w:val="bt"/>
        <w:spacing w:after="120"/>
      </w:pPr>
      <w:r w:rsidRPr="0091241C">
        <w:t>Origin – Ararat (RC)</w:t>
      </w:r>
    </w:p>
    <w:p w:rsidR="0091241C" w:rsidRPr="0091241C" w:rsidRDefault="0091241C" w:rsidP="0091241C">
      <w:pPr>
        <w:pStyle w:val="bt"/>
        <w:numPr>
          <w:ilvl w:val="0"/>
          <w:numId w:val="31"/>
        </w:numPr>
        <w:spacing w:before="120" w:after="120"/>
        <w:ind w:hanging="357"/>
      </w:pPr>
      <w:r w:rsidRPr="0091241C">
        <w:t>Journeys to:</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Metropolitan Melbourne – </w:t>
      </w:r>
      <w:r w:rsidRPr="0091241C">
        <w:rPr>
          <w:rFonts w:asciiTheme="minorHAnsi" w:hAnsiTheme="minorHAnsi"/>
        </w:rPr>
        <w:t>69</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Ballarat (C) – </w:t>
      </w:r>
      <w:r w:rsidRPr="0091241C">
        <w:rPr>
          <w:rFonts w:asciiTheme="minorHAnsi" w:hAnsiTheme="minorHAnsi"/>
        </w:rPr>
        <w:t>50</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Greater Bendigo (C) – </w:t>
      </w:r>
      <w:r w:rsidRPr="0091241C">
        <w:rPr>
          <w:rFonts w:asciiTheme="minorHAnsi" w:hAnsiTheme="minorHAnsi"/>
        </w:rPr>
        <w:t>8</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GreaterGeelong (C) – </w:t>
      </w:r>
      <w:r w:rsidRPr="0091241C">
        <w:rPr>
          <w:rFonts w:asciiTheme="minorHAnsi" w:hAnsiTheme="minorHAnsi"/>
        </w:rPr>
        <w:t>7</w:t>
      </w:r>
    </w:p>
    <w:p w:rsidR="0091241C" w:rsidRPr="0091241C" w:rsidRDefault="0091241C" w:rsidP="0091241C">
      <w:pPr>
        <w:pStyle w:val="bt"/>
        <w:spacing w:after="120"/>
      </w:pPr>
      <w:r w:rsidRPr="0091241C">
        <w:t>Origin – Golden Plains (S)</w:t>
      </w:r>
    </w:p>
    <w:p w:rsidR="0091241C" w:rsidRPr="0091241C" w:rsidRDefault="0091241C" w:rsidP="0091241C">
      <w:pPr>
        <w:pStyle w:val="bt"/>
        <w:numPr>
          <w:ilvl w:val="0"/>
          <w:numId w:val="31"/>
        </w:numPr>
        <w:spacing w:before="120" w:after="120"/>
        <w:ind w:hanging="357"/>
      </w:pPr>
      <w:r w:rsidRPr="0091241C">
        <w:t>Journeys to:</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Metropolitan Melbourne – </w:t>
      </w:r>
      <w:r w:rsidRPr="0091241C">
        <w:rPr>
          <w:rFonts w:asciiTheme="minorHAnsi" w:hAnsiTheme="minorHAnsi"/>
        </w:rPr>
        <w:t>544</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Ballarat (C) – </w:t>
      </w:r>
      <w:r w:rsidRPr="0091241C">
        <w:rPr>
          <w:rFonts w:asciiTheme="minorHAnsi" w:hAnsiTheme="minorHAnsi"/>
        </w:rPr>
        <w:t>2336</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Greater Bendigo (C) – </w:t>
      </w:r>
      <w:r w:rsidRPr="0091241C">
        <w:rPr>
          <w:rFonts w:asciiTheme="minorHAnsi" w:hAnsiTheme="minorHAnsi"/>
        </w:rPr>
        <w:t>3</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GreaterGeelong (C) – </w:t>
      </w:r>
      <w:r w:rsidRPr="0091241C">
        <w:rPr>
          <w:rFonts w:asciiTheme="minorHAnsi" w:hAnsiTheme="minorHAnsi"/>
        </w:rPr>
        <w:t>2337</w:t>
      </w:r>
    </w:p>
    <w:p w:rsidR="0091241C" w:rsidRPr="0091241C" w:rsidRDefault="0091241C" w:rsidP="0091241C">
      <w:pPr>
        <w:pStyle w:val="bt"/>
        <w:spacing w:after="120"/>
      </w:pPr>
      <w:r w:rsidRPr="0091241C">
        <w:t>Origin – Hepburn (S)</w:t>
      </w:r>
    </w:p>
    <w:p w:rsidR="0091241C" w:rsidRPr="0091241C" w:rsidRDefault="0091241C" w:rsidP="0091241C">
      <w:pPr>
        <w:pStyle w:val="bt"/>
        <w:numPr>
          <w:ilvl w:val="0"/>
          <w:numId w:val="31"/>
        </w:numPr>
        <w:spacing w:before="120" w:after="120"/>
        <w:ind w:hanging="357"/>
      </w:pPr>
      <w:r w:rsidRPr="0091241C">
        <w:t>Journeys to:</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Metropolitan Melbourne – </w:t>
      </w:r>
      <w:r w:rsidRPr="0091241C">
        <w:rPr>
          <w:rFonts w:asciiTheme="minorHAnsi" w:hAnsiTheme="minorHAnsi"/>
        </w:rPr>
        <w:t>668</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Ballarat (C) – </w:t>
      </w:r>
      <w:r w:rsidRPr="0091241C">
        <w:rPr>
          <w:rFonts w:asciiTheme="minorHAnsi" w:hAnsiTheme="minorHAnsi"/>
        </w:rPr>
        <w:t>1195</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Greater Bendigo (C) – </w:t>
      </w:r>
      <w:r w:rsidRPr="0091241C">
        <w:rPr>
          <w:rFonts w:asciiTheme="minorHAnsi" w:hAnsiTheme="minorHAnsi"/>
        </w:rPr>
        <w:t>52</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lastRenderedPageBreak/>
        <w:t xml:space="preserve">GreaterGeelong (C) – </w:t>
      </w:r>
      <w:r w:rsidRPr="0091241C">
        <w:rPr>
          <w:rFonts w:asciiTheme="minorHAnsi" w:hAnsiTheme="minorHAnsi"/>
        </w:rPr>
        <w:t>25</w:t>
      </w:r>
    </w:p>
    <w:p w:rsidR="0091241C" w:rsidRPr="0091241C" w:rsidRDefault="0091241C" w:rsidP="0091241C">
      <w:pPr>
        <w:pStyle w:val="bt"/>
        <w:spacing w:after="120"/>
      </w:pPr>
      <w:r w:rsidRPr="0091241C">
        <w:t>Origin – Moorabool (S)</w:t>
      </w:r>
    </w:p>
    <w:p w:rsidR="0091241C" w:rsidRPr="0091241C" w:rsidRDefault="0091241C" w:rsidP="0091241C">
      <w:pPr>
        <w:pStyle w:val="bt"/>
        <w:numPr>
          <w:ilvl w:val="0"/>
          <w:numId w:val="31"/>
        </w:numPr>
        <w:spacing w:before="120" w:after="120"/>
        <w:ind w:hanging="357"/>
      </w:pPr>
      <w:r w:rsidRPr="0091241C">
        <w:t>Journeys to:</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Metropolitan Melbourne – </w:t>
      </w:r>
      <w:r w:rsidRPr="0091241C">
        <w:rPr>
          <w:rFonts w:asciiTheme="minorHAnsi" w:hAnsiTheme="minorHAnsi"/>
        </w:rPr>
        <w:t>5375</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Ballarat (C) – </w:t>
      </w:r>
      <w:r w:rsidRPr="0091241C">
        <w:rPr>
          <w:rFonts w:asciiTheme="minorHAnsi" w:hAnsiTheme="minorHAnsi"/>
        </w:rPr>
        <w:t>1236</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Greater Bendigo (C) – </w:t>
      </w:r>
      <w:r w:rsidRPr="0091241C">
        <w:rPr>
          <w:rFonts w:asciiTheme="minorHAnsi" w:hAnsiTheme="minorHAnsi"/>
        </w:rPr>
        <w:t>6</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GreaterGeelong (C) – </w:t>
      </w:r>
      <w:r w:rsidRPr="0091241C">
        <w:rPr>
          <w:rFonts w:asciiTheme="minorHAnsi" w:hAnsiTheme="minorHAnsi"/>
        </w:rPr>
        <w:t>229</w:t>
      </w:r>
    </w:p>
    <w:p w:rsidR="0091241C" w:rsidRPr="0091241C" w:rsidRDefault="0091241C" w:rsidP="0091241C">
      <w:pPr>
        <w:pStyle w:val="bt"/>
        <w:spacing w:after="120"/>
      </w:pPr>
      <w:r w:rsidRPr="0091241C">
        <w:t>Origin – Pyrenees (S)</w:t>
      </w:r>
    </w:p>
    <w:p w:rsidR="0091241C" w:rsidRPr="0091241C" w:rsidRDefault="0091241C" w:rsidP="0091241C">
      <w:pPr>
        <w:pStyle w:val="bt"/>
        <w:numPr>
          <w:ilvl w:val="0"/>
          <w:numId w:val="31"/>
        </w:numPr>
        <w:spacing w:before="120" w:after="120"/>
        <w:ind w:hanging="357"/>
      </w:pPr>
      <w:r w:rsidRPr="0091241C">
        <w:t>Journeys to:</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Metropolitan Melbourne – </w:t>
      </w:r>
      <w:r w:rsidRPr="0091241C">
        <w:rPr>
          <w:rFonts w:asciiTheme="minorHAnsi" w:hAnsiTheme="minorHAnsi"/>
        </w:rPr>
        <w:t>69</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Ballarat (C) – </w:t>
      </w:r>
      <w:r w:rsidRPr="0091241C">
        <w:rPr>
          <w:rFonts w:asciiTheme="minorHAnsi" w:hAnsiTheme="minorHAnsi"/>
        </w:rPr>
        <w:t>490</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Greater Bendigo (C) – </w:t>
      </w:r>
      <w:r w:rsidRPr="0091241C">
        <w:rPr>
          <w:rFonts w:asciiTheme="minorHAnsi" w:hAnsiTheme="minorHAnsi"/>
        </w:rPr>
        <w:t>12</w:t>
      </w:r>
    </w:p>
    <w:p w:rsidR="0091241C" w:rsidRPr="0091241C" w:rsidRDefault="0091241C" w:rsidP="0091241C">
      <w:pPr>
        <w:pStyle w:val="TableText0"/>
        <w:numPr>
          <w:ilvl w:val="0"/>
          <w:numId w:val="32"/>
        </w:numPr>
        <w:spacing w:before="120" w:after="120"/>
        <w:ind w:left="993" w:hanging="357"/>
        <w:rPr>
          <w:rFonts w:asciiTheme="minorHAnsi" w:hAnsiTheme="minorHAnsi"/>
          <w:color w:val="auto"/>
        </w:rPr>
      </w:pPr>
      <w:r w:rsidRPr="0091241C">
        <w:rPr>
          <w:rFonts w:asciiTheme="minorHAnsi" w:hAnsiTheme="minorHAnsi"/>
          <w:color w:val="auto"/>
        </w:rPr>
        <w:t xml:space="preserve">GreaterGeelong (C) – </w:t>
      </w:r>
      <w:r w:rsidRPr="0091241C">
        <w:rPr>
          <w:rFonts w:asciiTheme="minorHAnsi" w:hAnsiTheme="minorHAnsi"/>
        </w:rPr>
        <w:t>9</w:t>
      </w:r>
      <w:bookmarkEnd w:id="56"/>
    </w:p>
    <w:p w:rsidR="00C820C0" w:rsidRDefault="00DA6342" w:rsidP="000E08F9">
      <w:pPr>
        <w:pStyle w:val="Source0"/>
      </w:pPr>
      <w:r w:rsidRPr="008A2E3B">
        <w:t>Source</w:t>
      </w:r>
      <w:r w:rsidRPr="001F619E">
        <w:t xml:space="preserve">: </w:t>
      </w:r>
      <w:r w:rsidR="000D49BF">
        <w:t>Australian Bureau of Statistics</w:t>
      </w:r>
      <w:r w:rsidRPr="001F619E">
        <w:t xml:space="preserve"> (</w:t>
      </w:r>
      <w:r w:rsidRPr="008A2E3B">
        <w:t>2011</w:t>
      </w:r>
      <w:r w:rsidRPr="001F619E">
        <w:t>)</w:t>
      </w:r>
    </w:p>
    <w:p w:rsidR="00740FDC" w:rsidRPr="008F1881" w:rsidRDefault="00740FDC" w:rsidP="00DA6342">
      <w:pPr>
        <w:pStyle w:val="bt"/>
      </w:pPr>
      <w:r w:rsidRPr="008F1881">
        <w:t xml:space="preserve">Transport </w:t>
      </w:r>
      <w:r w:rsidR="007153E1">
        <w:t>projects</w:t>
      </w:r>
      <w:r w:rsidR="00805F2F">
        <w:t>,</w:t>
      </w:r>
      <w:r w:rsidRPr="008F1881">
        <w:t xml:space="preserve"> such as passenger train services between Ararat</w:t>
      </w:r>
      <w:r w:rsidR="00805F2F">
        <w:t xml:space="preserve"> and Ballarat and </w:t>
      </w:r>
      <w:r w:rsidRPr="008F1881">
        <w:t xml:space="preserve">Maryborough and Ballarat, </w:t>
      </w:r>
      <w:r w:rsidR="006D14DE" w:rsidRPr="00363278">
        <w:t xml:space="preserve">the possible </w:t>
      </w:r>
      <w:r w:rsidR="00363278" w:rsidRPr="00363278">
        <w:t>enhancements to coach and train services</w:t>
      </w:r>
      <w:r w:rsidR="006D14DE" w:rsidRPr="00363278">
        <w:t xml:space="preserve"> between Geelong and Bendigo via Ballarat (Rail Revival Study)</w:t>
      </w:r>
      <w:r w:rsidR="002026E3" w:rsidRPr="008F1881">
        <w:t xml:space="preserve"> </w:t>
      </w:r>
      <w:r w:rsidRPr="008F1881">
        <w:t>and duplication of the Western Highway to Stawell</w:t>
      </w:r>
      <w:r w:rsidR="007E5339" w:rsidRPr="008F1881">
        <w:t>,</w:t>
      </w:r>
      <w:r w:rsidRPr="008F1881">
        <w:t xml:space="preserve"> mean enhanced connectivity along corridors to the south, north and west of Ballarat. In addition to the existing high quality transport infrastructure in the Ballarat-Bacchus Marsh-Melbourne corridor, these transport spines could provide the basis for towns in Pyrenees, Golden Plains, Moorabool, Central Goldfields and Hepburn to become more attractive to potential residents. The extent to which </w:t>
      </w:r>
      <w:r w:rsidR="002026E3" w:rsidRPr="008F1881">
        <w:t xml:space="preserve">growth </w:t>
      </w:r>
      <w:r w:rsidR="007F7310" w:rsidRPr="008F1881">
        <w:t>could</w:t>
      </w:r>
      <w:r w:rsidR="002026E3" w:rsidRPr="008F1881">
        <w:t xml:space="preserve"> be directed to </w:t>
      </w:r>
      <w:r w:rsidRPr="008F1881">
        <w:t xml:space="preserve">towns such as Clunes, Creswick, Talbot, Meredith, Gordon and Beaufort, versus the traditionally larger centres in the relevant municipalities, </w:t>
      </w:r>
      <w:r w:rsidR="007E5339" w:rsidRPr="008F1881">
        <w:t xml:space="preserve">is </w:t>
      </w:r>
      <w:r w:rsidR="002026E3" w:rsidRPr="008F1881">
        <w:t xml:space="preserve">identified </w:t>
      </w:r>
      <w:r w:rsidR="007E5339" w:rsidRPr="008F1881">
        <w:t xml:space="preserve">in the </w:t>
      </w:r>
      <w:r w:rsidR="006F61DF" w:rsidRPr="008F1881">
        <w:t>plan</w:t>
      </w:r>
      <w:r w:rsidRPr="008F1881">
        <w:t>.</w:t>
      </w:r>
    </w:p>
    <w:p w:rsidR="00655E45" w:rsidRDefault="00B47D19" w:rsidP="00DA6342">
      <w:pPr>
        <w:pStyle w:val="bt"/>
      </w:pPr>
      <w:r w:rsidRPr="008F1881">
        <w:t xml:space="preserve">There is already ongoing work on settlement planning within the region </w:t>
      </w:r>
      <w:r w:rsidR="007153E1">
        <w:t xml:space="preserve">that </w:t>
      </w:r>
      <w:r w:rsidRPr="008F1881">
        <w:t>informs the plan. For example</w:t>
      </w:r>
      <w:r w:rsidR="00C61057">
        <w:t>,</w:t>
      </w:r>
      <w:r w:rsidRPr="008F1881">
        <w:t xml:space="preserve"> in the Ballarat</w:t>
      </w:r>
      <w:r w:rsidR="007153E1">
        <w:t>-</w:t>
      </w:r>
      <w:r w:rsidRPr="008F1881">
        <w:t>Maryborough corridor, t</w:t>
      </w:r>
      <w:r w:rsidR="00740FDC" w:rsidRPr="008F1881">
        <w:t xml:space="preserve">he Advancing Country Towns project is currently developing solutions to the challenges facing the </w:t>
      </w:r>
      <w:r w:rsidR="007F7310" w:rsidRPr="008F1881">
        <w:t xml:space="preserve">three </w:t>
      </w:r>
      <w:r w:rsidR="00740FDC" w:rsidRPr="008F1881">
        <w:t xml:space="preserve">settlements of Clunes, Creswick and Talbot. This project is a significant government investment over a period of four years (2011 </w:t>
      </w:r>
      <w:r w:rsidR="007153E1">
        <w:t>to</w:t>
      </w:r>
      <w:r w:rsidR="00740FDC" w:rsidRPr="008F1881">
        <w:t xml:space="preserve"> 2015) and aims to combine local knowledge and government resources to create new opportunities for people living in these communities. The benefits of population growth in these settlements </w:t>
      </w:r>
      <w:r w:rsidR="00655E45">
        <w:t>were</w:t>
      </w:r>
      <w:r w:rsidR="00740FDC" w:rsidRPr="008F1881">
        <w:t xml:space="preserve"> identified in the early stages of </w:t>
      </w:r>
      <w:r w:rsidR="007153E1">
        <w:t xml:space="preserve">the </w:t>
      </w:r>
      <w:r w:rsidR="00740FDC" w:rsidRPr="008F1881">
        <w:t>project.</w:t>
      </w:r>
    </w:p>
    <w:p w:rsidR="00EF470C" w:rsidRPr="008F1881" w:rsidRDefault="007153E1" w:rsidP="00DA6342">
      <w:pPr>
        <w:pStyle w:val="bt"/>
      </w:pPr>
      <w:r w:rsidRPr="008F1881">
        <w:t xml:space="preserve">Clunes, Creswick and Talbot </w:t>
      </w:r>
      <w:r w:rsidR="00EF470C" w:rsidRPr="008F1881">
        <w:t xml:space="preserve">are well located within the Ballarat-Maryborough-Bendigo corridor to benefit from a strategic corridor approach to future development and infrastructure investment. Projects </w:t>
      </w:r>
      <w:r>
        <w:t xml:space="preserve">that </w:t>
      </w:r>
      <w:r w:rsidR="00EF470C" w:rsidRPr="008F1881">
        <w:t xml:space="preserve">support tourism, economic development, transport and arts have been identified as part of the Advancing Country Towns </w:t>
      </w:r>
      <w:r w:rsidR="0057086D">
        <w:t>p</w:t>
      </w:r>
      <w:r w:rsidR="00EF470C" w:rsidRPr="008F1881">
        <w:t>roject.</w:t>
      </w:r>
    </w:p>
    <w:p w:rsidR="007A6084" w:rsidRPr="008F1881" w:rsidRDefault="00EF470C" w:rsidP="00DA6342">
      <w:pPr>
        <w:pStyle w:val="bt"/>
      </w:pPr>
      <w:bookmarkStart w:id="59" w:name="_Toc314557944"/>
      <w:bookmarkEnd w:id="59"/>
      <w:r w:rsidRPr="008F1881">
        <w:t xml:space="preserve">These benefits will be delivered </w:t>
      </w:r>
      <w:r w:rsidR="007A6084" w:rsidRPr="008F1881">
        <w:t>through a number of strategic interventions, the following of which are of direct relevance to land use planning:</w:t>
      </w:r>
    </w:p>
    <w:p w:rsidR="007A6084" w:rsidRPr="008F1881" w:rsidRDefault="007153E1" w:rsidP="00DA6342">
      <w:pPr>
        <w:pStyle w:val="ListBullet"/>
      </w:pPr>
      <w:r>
        <w:t>f</w:t>
      </w:r>
      <w:r w:rsidR="007A6084" w:rsidRPr="008F1881">
        <w:t>acilitat</w:t>
      </w:r>
      <w:r w:rsidR="0007023D">
        <w:t>ing</w:t>
      </w:r>
      <w:r w:rsidR="007A6084" w:rsidRPr="008F1881">
        <w:t xml:space="preserve"> the development o</w:t>
      </w:r>
      <w:r w:rsidR="002026E3" w:rsidRPr="008F1881">
        <w:t>f land for residential purposes</w:t>
      </w:r>
    </w:p>
    <w:p w:rsidR="007A6084" w:rsidRPr="008F1881" w:rsidRDefault="007153E1" w:rsidP="00DA6342">
      <w:pPr>
        <w:pStyle w:val="ListBullet"/>
      </w:pPr>
      <w:r>
        <w:t>i</w:t>
      </w:r>
      <w:r w:rsidR="007A6084" w:rsidRPr="008F1881">
        <w:t>ncreas</w:t>
      </w:r>
      <w:r w:rsidR="0007023D">
        <w:t>ing</w:t>
      </w:r>
      <w:r w:rsidR="007A6084" w:rsidRPr="008F1881">
        <w:t xml:space="preserve"> the supply of suitable industrial and commercial land, and facilitat</w:t>
      </w:r>
      <w:r>
        <w:t>ing</w:t>
      </w:r>
      <w:r w:rsidR="007A6084" w:rsidRPr="008F1881">
        <w:t xml:space="preserve"> development.</w:t>
      </w:r>
    </w:p>
    <w:p w:rsidR="00740FDC" w:rsidRPr="008F1881" w:rsidRDefault="00B10E91" w:rsidP="00DA6342">
      <w:pPr>
        <w:pStyle w:val="bt"/>
      </w:pPr>
      <w:r w:rsidRPr="008F1881">
        <w:t xml:space="preserve">The </w:t>
      </w:r>
      <w:r w:rsidR="007153E1">
        <w:t xml:space="preserve">Central Highlands </w:t>
      </w:r>
      <w:r w:rsidRPr="008F1881">
        <w:t xml:space="preserve">region’s </w:t>
      </w:r>
      <w:r w:rsidR="007F7310" w:rsidRPr="008F1881">
        <w:t>c</w:t>
      </w:r>
      <w:r w:rsidRPr="008F1881">
        <w:t xml:space="preserve">ouncils have </w:t>
      </w:r>
      <w:r w:rsidR="00B47D19" w:rsidRPr="008F1881">
        <w:t xml:space="preserve">also </w:t>
      </w:r>
      <w:r w:rsidRPr="008F1881">
        <w:t xml:space="preserve">undertaken considerable strategic </w:t>
      </w:r>
      <w:r w:rsidR="00D27294">
        <w:t xml:space="preserve">settlement </w:t>
      </w:r>
      <w:r w:rsidRPr="008F1881">
        <w:t xml:space="preserve">planning work </w:t>
      </w:r>
      <w:r w:rsidR="00D27294">
        <w:t xml:space="preserve">that </w:t>
      </w:r>
      <w:r w:rsidRPr="008F1881">
        <w:t xml:space="preserve">has been used to inform the </w:t>
      </w:r>
      <w:r w:rsidR="006F61DF" w:rsidRPr="008F1881">
        <w:t>plan</w:t>
      </w:r>
      <w:r w:rsidR="00740FDC" w:rsidRPr="008F1881">
        <w:t>. For example</w:t>
      </w:r>
      <w:r w:rsidR="007153E1">
        <w:t>,</w:t>
      </w:r>
      <w:r w:rsidR="00740FDC" w:rsidRPr="008F1881">
        <w:t xml:space="preserve"> the </w:t>
      </w:r>
      <w:r w:rsidR="00740FDC" w:rsidRPr="000B40E8">
        <w:t>Golden Plains Rural Land Use Strategy</w:t>
      </w:r>
      <w:r w:rsidR="001F619E" w:rsidRPr="000B40E8">
        <w:t xml:space="preserve"> 2008</w:t>
      </w:r>
      <w:r w:rsidR="00740FDC" w:rsidRPr="008F1881">
        <w:t xml:space="preserve"> describes the </w:t>
      </w:r>
      <w:r w:rsidR="007F7310" w:rsidRPr="008F1881">
        <w:t xml:space="preserve">shire’s </w:t>
      </w:r>
      <w:r w:rsidR="00740FDC" w:rsidRPr="008F1881">
        <w:t>settlement strategy including core elements such as designating priority service towns</w:t>
      </w:r>
      <w:r w:rsidR="007153E1">
        <w:t xml:space="preserve">, </w:t>
      </w:r>
      <w:r w:rsidR="00D27294">
        <w:t>like</w:t>
      </w:r>
      <w:r w:rsidR="00987FB3">
        <w:t xml:space="preserve"> </w:t>
      </w:r>
      <w:r w:rsidR="00987FB3" w:rsidRPr="008F1881">
        <w:lastRenderedPageBreak/>
        <w:t>Smythesdale</w:t>
      </w:r>
      <w:r w:rsidR="007153E1">
        <w:t>,</w:t>
      </w:r>
      <w:r w:rsidR="007153E1" w:rsidRPr="008F1881">
        <w:t xml:space="preserve"> </w:t>
      </w:r>
      <w:r w:rsidR="00740FDC" w:rsidRPr="008F1881">
        <w:t>for infrastructure provision and development</w:t>
      </w:r>
      <w:r w:rsidR="007153E1">
        <w:t>,</w:t>
      </w:r>
      <w:r w:rsidR="00740FDC" w:rsidRPr="008F1881">
        <w:t xml:space="preserve"> and encouraging growth based on the provision of infrastructure and commercial facilities.</w:t>
      </w:r>
      <w:bookmarkStart w:id="60" w:name="communities"/>
      <w:bookmarkEnd w:id="60"/>
    </w:p>
    <w:p w:rsidR="00F93A5F" w:rsidRPr="005B01F7" w:rsidRDefault="009F09AE" w:rsidP="005B01F7">
      <w:pPr>
        <w:pStyle w:val="Heading3"/>
      </w:pPr>
      <w:r w:rsidRPr="005B01F7">
        <w:t>Land use planning response</w:t>
      </w:r>
    </w:p>
    <w:p w:rsidR="00B10E91" w:rsidRPr="008F1881" w:rsidRDefault="00740FDC" w:rsidP="00DA6342">
      <w:pPr>
        <w:pStyle w:val="bt"/>
      </w:pPr>
      <w:r w:rsidRPr="008F1881">
        <w:t xml:space="preserve">The </w:t>
      </w:r>
      <w:r w:rsidR="0069443A" w:rsidRPr="000B40E8">
        <w:t>Central Highlands Regional Strategic Plan</w:t>
      </w:r>
      <w:r w:rsidRPr="008F1881">
        <w:t xml:space="preserve"> sets out where the majority of growth will occur in the region over the next 20 years. However</w:t>
      </w:r>
      <w:r w:rsidR="00B10E91" w:rsidRPr="008F1881">
        <w:t xml:space="preserve">, </w:t>
      </w:r>
      <w:r w:rsidR="00AE6AC4">
        <w:t xml:space="preserve">this background report </w:t>
      </w:r>
      <w:r w:rsidR="00B10E91" w:rsidRPr="008F1881">
        <w:t>give</w:t>
      </w:r>
      <w:r w:rsidR="00AE6AC4">
        <w:t>s</w:t>
      </w:r>
      <w:r w:rsidR="00B10E91" w:rsidRPr="008F1881">
        <w:t xml:space="preserve"> </w:t>
      </w:r>
      <w:r w:rsidRPr="008F1881">
        <w:t xml:space="preserve">further consideration </w:t>
      </w:r>
      <w:r w:rsidR="00AE6AC4">
        <w:t xml:space="preserve">to </w:t>
      </w:r>
      <w:r w:rsidRPr="008F1881">
        <w:t xml:space="preserve">how </w:t>
      </w:r>
      <w:r w:rsidR="00AE6AC4">
        <w:t xml:space="preserve">growth can be </w:t>
      </w:r>
      <w:r w:rsidRPr="008F1881">
        <w:t>best manage</w:t>
      </w:r>
      <w:r w:rsidR="00AE6AC4">
        <w:t xml:space="preserve">d, </w:t>
      </w:r>
      <w:r w:rsidRPr="008F1881">
        <w:t>balance</w:t>
      </w:r>
      <w:r w:rsidR="00AE6AC4">
        <w:t>d and</w:t>
      </w:r>
      <w:r w:rsidRPr="008F1881">
        <w:t xml:space="preserve"> planned.</w:t>
      </w:r>
    </w:p>
    <w:p w:rsidR="00740FDC" w:rsidRPr="008F1881" w:rsidRDefault="0007023D" w:rsidP="00DA6342">
      <w:pPr>
        <w:pStyle w:val="bt"/>
      </w:pPr>
      <w:r>
        <w:t xml:space="preserve">In developing the </w:t>
      </w:r>
      <w:r w:rsidR="00D27294">
        <w:t xml:space="preserve">regional growth </w:t>
      </w:r>
      <w:r w:rsidR="00363461">
        <w:t>p</w:t>
      </w:r>
      <w:r>
        <w:t>lan, a</w:t>
      </w:r>
      <w:r w:rsidR="00B10E91" w:rsidRPr="008F1881">
        <w:t xml:space="preserve"> number of </w:t>
      </w:r>
      <w:r w:rsidR="00740FDC" w:rsidRPr="008F1881">
        <w:t xml:space="preserve">growth concepts </w:t>
      </w:r>
      <w:r w:rsidR="00B10E91" w:rsidRPr="008F1881">
        <w:t xml:space="preserve">were developed which </w:t>
      </w:r>
      <w:r w:rsidR="00740FDC" w:rsidRPr="008F1881">
        <w:t xml:space="preserve">identify potential locations and types of growth that could absorb the balance of growth planned for the region. The following concepts </w:t>
      </w:r>
      <w:r w:rsidR="00B10E91" w:rsidRPr="008F1881">
        <w:t xml:space="preserve">were </w:t>
      </w:r>
      <w:r w:rsidR="00740FDC" w:rsidRPr="008F1881">
        <w:t xml:space="preserve">developed for discussion </w:t>
      </w:r>
      <w:r w:rsidR="00B10E91" w:rsidRPr="008F1881">
        <w:t>and informed the preparation of</w:t>
      </w:r>
      <w:r w:rsidR="00C029E0" w:rsidRPr="008F1881">
        <w:t xml:space="preserve"> a proposed concept plan for regional growth which was subject to public consultation in August 2012.</w:t>
      </w:r>
      <w:r w:rsidR="00B10E91" w:rsidRPr="008F1881">
        <w:t xml:space="preserve"> </w:t>
      </w:r>
      <w:r w:rsidR="00D27294">
        <w:t>It should be noted that</w:t>
      </w:r>
      <w:r w:rsidR="00B10E91" w:rsidRPr="008F1881">
        <w:t xml:space="preserve"> these concepts are </w:t>
      </w:r>
      <w:r w:rsidR="00740FDC" w:rsidRPr="008F1881">
        <w:t xml:space="preserve">not intended </w:t>
      </w:r>
      <w:r w:rsidR="00B10E91" w:rsidRPr="008F1881">
        <w:t xml:space="preserve">to be </w:t>
      </w:r>
      <w:r w:rsidR="00AE6AC4">
        <w:t xml:space="preserve">interpreted </w:t>
      </w:r>
      <w:r w:rsidR="00740FDC" w:rsidRPr="008F1881">
        <w:t>as discret</w:t>
      </w:r>
      <w:r w:rsidR="00AE6AC4">
        <w:t>e</w:t>
      </w:r>
      <w:r w:rsidR="00740FDC" w:rsidRPr="008F1881">
        <w:t xml:space="preserve"> options:</w:t>
      </w:r>
    </w:p>
    <w:p w:rsidR="00B10E91" w:rsidRPr="00DA6342" w:rsidRDefault="00740FDC" w:rsidP="00DA6342">
      <w:pPr>
        <w:pStyle w:val="ListBullet"/>
      </w:pPr>
      <w:r w:rsidRPr="00655E45">
        <w:rPr>
          <w:i/>
        </w:rPr>
        <w:t>Settlement corridors radiating from Ballarat</w:t>
      </w:r>
      <w:r w:rsidR="00AE6AC4">
        <w:rPr>
          <w:i/>
        </w:rPr>
        <w:t>:</w:t>
      </w:r>
      <w:r w:rsidRPr="008F1881">
        <w:t xml:space="preserve"> The </w:t>
      </w:r>
      <w:r w:rsidR="0069443A" w:rsidRPr="000B40E8">
        <w:t>Central Highlands Regional Strategic Plan</w:t>
      </w:r>
      <w:r w:rsidRPr="008F1881">
        <w:t xml:space="preserve"> identifies three corridors in the hinterland of Ballarat that could potentially be suitable for growth (Creswick-Clunes, Gordon-Ballan and Smythesdale-Linton). In addition to these corridors, other potential corridors exist along major transport routes radiating from Ballarat, including along the Midland Highway/Ballarat-Geelong railway line to the south of Ballarat (to Meredith and Elaine) and along the Western Highway and Ararat railway line to the west of Ballarat (Beaufort).</w:t>
      </w:r>
      <w:r w:rsidR="0007023D">
        <w:t xml:space="preserve"> </w:t>
      </w:r>
      <w:r w:rsidRPr="008F1881">
        <w:t>Growth within these small</w:t>
      </w:r>
      <w:r w:rsidR="0083439E">
        <w:t>-</w:t>
      </w:r>
      <w:r w:rsidRPr="008F1881">
        <w:t>to medium</w:t>
      </w:r>
      <w:r w:rsidR="0083439E">
        <w:t>-</w:t>
      </w:r>
      <w:r w:rsidRPr="008F1881">
        <w:t xml:space="preserve">sized settlements would support less populated municipalities and provide lifestyle choice for people </w:t>
      </w:r>
      <w:r w:rsidR="00AE6AC4">
        <w:t>who</w:t>
      </w:r>
      <w:r w:rsidR="00AE6AC4" w:rsidRPr="008F1881">
        <w:t xml:space="preserve"> </w:t>
      </w:r>
      <w:r w:rsidRPr="008F1881">
        <w:t>wish to live in close proximity to a major regional centre while enjoying the small town lifestyle</w:t>
      </w:r>
      <w:r w:rsidR="00AE6AC4">
        <w:t xml:space="preserve">. This may </w:t>
      </w:r>
      <w:r w:rsidRPr="008F1881">
        <w:t xml:space="preserve">attract people to the Central Highlands that might otherwise not have </w:t>
      </w:r>
      <w:r w:rsidR="00AE6AC4">
        <w:t>relocated</w:t>
      </w:r>
      <w:r w:rsidRPr="008F1881">
        <w:t xml:space="preserve">. </w:t>
      </w:r>
    </w:p>
    <w:p w:rsidR="00B10E91" w:rsidRPr="00DA6342" w:rsidRDefault="00740FDC" w:rsidP="00DA6342">
      <w:pPr>
        <w:pStyle w:val="ListBullet"/>
      </w:pPr>
      <w:r w:rsidRPr="00DA6342">
        <w:rPr>
          <w:rStyle w:val="Emphasis"/>
        </w:rPr>
        <w:t>Growth in district towns</w:t>
      </w:r>
      <w:r w:rsidR="00AE6AC4" w:rsidRPr="00DA6342">
        <w:rPr>
          <w:rStyle w:val="Emphasis"/>
        </w:rPr>
        <w:t>:</w:t>
      </w:r>
      <w:r w:rsidRPr="00DA6342">
        <w:t xml:space="preserve"> There are a number of district towns within the Central Highlands </w:t>
      </w:r>
      <w:r w:rsidR="0007023D" w:rsidRPr="00DA6342">
        <w:t>r</w:t>
      </w:r>
      <w:r w:rsidRPr="00DA6342">
        <w:t xml:space="preserve">egion </w:t>
      </w:r>
      <w:r w:rsidR="00AE6AC4" w:rsidRPr="00DA6342">
        <w:t xml:space="preserve">that </w:t>
      </w:r>
      <w:r w:rsidRPr="00DA6342">
        <w:t xml:space="preserve">have good access to services and infrastructure, </w:t>
      </w:r>
      <w:r w:rsidR="009F1911" w:rsidRPr="00DA6342">
        <w:t>although</w:t>
      </w:r>
      <w:r w:rsidRPr="00DA6342">
        <w:t xml:space="preserve"> specific guidance for growth in these towns is not provided in the </w:t>
      </w:r>
      <w:r w:rsidR="0069443A" w:rsidRPr="00DA6342">
        <w:t>Central Highlands Regional Strategic Plan</w:t>
      </w:r>
      <w:r w:rsidRPr="00DA6342">
        <w:t>. Encouraging growth within Ararat</w:t>
      </w:r>
      <w:r w:rsidR="00C029E0" w:rsidRPr="00DA6342">
        <w:t>, Bacchus Marsh</w:t>
      </w:r>
      <w:r w:rsidR="0098582C" w:rsidRPr="00DA6342">
        <w:t xml:space="preserve"> and</w:t>
      </w:r>
      <w:r w:rsidRPr="00DA6342">
        <w:t xml:space="preserve"> Maryborough would ensure these towns remain</w:t>
      </w:r>
      <w:r w:rsidR="00A76757" w:rsidRPr="00DA6342">
        <w:t>ed</w:t>
      </w:r>
      <w:r w:rsidRPr="00DA6342">
        <w:t xml:space="preserve"> vibrant </w:t>
      </w:r>
      <w:r w:rsidR="00A76757" w:rsidRPr="00DA6342">
        <w:t xml:space="preserve">and continued </w:t>
      </w:r>
      <w:r w:rsidRPr="00DA6342">
        <w:t>to offer a wide range of services to surrounding rural areas.</w:t>
      </w:r>
    </w:p>
    <w:p w:rsidR="00B10E91" w:rsidRPr="00DA6342" w:rsidRDefault="00740FDC" w:rsidP="00DA6342">
      <w:pPr>
        <w:pStyle w:val="ListBullet"/>
      </w:pPr>
      <w:r w:rsidRPr="00DA6342">
        <w:rPr>
          <w:rStyle w:val="Emphasis"/>
        </w:rPr>
        <w:t>Rural residential development</w:t>
      </w:r>
      <w:r w:rsidR="00A76757" w:rsidRPr="00DA6342">
        <w:rPr>
          <w:rStyle w:val="Emphasis"/>
        </w:rPr>
        <w:t>:</w:t>
      </w:r>
      <w:r w:rsidRPr="00DA6342">
        <w:t xml:space="preserve"> </w:t>
      </w:r>
      <w:r w:rsidR="0083439E">
        <w:t xml:space="preserve">the </w:t>
      </w:r>
      <w:r w:rsidR="0069443A" w:rsidRPr="00DA6342">
        <w:t>Central Highlands Regional Strategic Plan</w:t>
      </w:r>
      <w:r w:rsidRPr="00DA6342">
        <w:t xml:space="preserve"> recognises rural residential development needs to be carefully managed through identification of</w:t>
      </w:r>
      <w:r w:rsidR="00A76757" w:rsidRPr="00DA6342">
        <w:t>,</w:t>
      </w:r>
      <w:r w:rsidRPr="00DA6342">
        <w:t xml:space="preserve"> and planning for</w:t>
      </w:r>
      <w:r w:rsidR="00A76757" w:rsidRPr="00DA6342">
        <w:t>,</w:t>
      </w:r>
      <w:r w:rsidRPr="00DA6342">
        <w:t xml:space="preserve"> a limited number of clearly defined rural residential areas. This may require consolidation of designated rural residential areas with consideration given to </w:t>
      </w:r>
      <w:r w:rsidR="0007023D" w:rsidRPr="00DA6342">
        <w:t>natural hazards</w:t>
      </w:r>
      <w:r w:rsidRPr="00DA6342">
        <w:t xml:space="preserve"> such as bushfire which make some areas less suited to this form of development. Rural residential development is best located on the periphery of settlements where it can support the settlement</w:t>
      </w:r>
      <w:r w:rsidR="00A76757" w:rsidRPr="00DA6342">
        <w:t>,</w:t>
      </w:r>
      <w:r w:rsidRPr="00DA6342">
        <w:t xml:space="preserve"> </w:t>
      </w:r>
      <w:r w:rsidR="00A76757" w:rsidRPr="00DA6342">
        <w:t xml:space="preserve">where </w:t>
      </w:r>
      <w:r w:rsidRPr="00DA6342">
        <w:t xml:space="preserve">good access can be provided to services </w:t>
      </w:r>
      <w:r w:rsidR="00A76757" w:rsidRPr="00DA6342">
        <w:t xml:space="preserve">and </w:t>
      </w:r>
      <w:r w:rsidRPr="00DA6342">
        <w:t xml:space="preserve">residents </w:t>
      </w:r>
      <w:r w:rsidR="00A76757" w:rsidRPr="00DA6342">
        <w:t xml:space="preserve">can </w:t>
      </w:r>
      <w:r w:rsidRPr="00DA6342">
        <w:t>enjoy the benefits of a rural lifestyle. The ability to offer a rural residential lifestyle choice in well</w:t>
      </w:r>
      <w:r w:rsidR="00A76757" w:rsidRPr="00DA6342">
        <w:t>-</w:t>
      </w:r>
      <w:r w:rsidRPr="00DA6342">
        <w:t>located areas will enable the Central Highlands to attract a wider range of residents including those seeking a ‘tree change’.</w:t>
      </w:r>
    </w:p>
    <w:p w:rsidR="00740FDC" w:rsidRPr="00DA6342" w:rsidRDefault="0069443A" w:rsidP="00DA6342">
      <w:pPr>
        <w:pStyle w:val="ListBullet"/>
      </w:pPr>
      <w:r w:rsidRPr="00DA6342">
        <w:rPr>
          <w:rStyle w:val="Emphasis"/>
        </w:rPr>
        <w:t>Hinterland (p</w:t>
      </w:r>
      <w:r w:rsidR="00740FDC" w:rsidRPr="00DA6342">
        <w:rPr>
          <w:rStyle w:val="Emphasis"/>
        </w:rPr>
        <w:t>eri</w:t>
      </w:r>
      <w:r w:rsidRPr="00DA6342">
        <w:rPr>
          <w:rStyle w:val="Emphasis"/>
        </w:rPr>
        <w:t>-</w:t>
      </w:r>
      <w:r w:rsidR="00740FDC" w:rsidRPr="00DA6342">
        <w:rPr>
          <w:rStyle w:val="Emphasis"/>
        </w:rPr>
        <w:t>urban</w:t>
      </w:r>
      <w:r w:rsidRPr="00DA6342">
        <w:rPr>
          <w:rStyle w:val="Emphasis"/>
        </w:rPr>
        <w:t>)</w:t>
      </w:r>
      <w:r w:rsidR="00740FDC" w:rsidRPr="00DA6342">
        <w:rPr>
          <w:rStyle w:val="Emphasis"/>
        </w:rPr>
        <w:t xml:space="preserve"> development</w:t>
      </w:r>
      <w:r w:rsidR="00A76757" w:rsidRPr="00DA6342">
        <w:rPr>
          <w:rStyle w:val="Emphasis"/>
        </w:rPr>
        <w:t>:</w:t>
      </w:r>
      <w:r w:rsidR="00740FDC" w:rsidRPr="00DA6342">
        <w:t xml:space="preserve"> Large parts of the Central Highlands </w:t>
      </w:r>
      <w:r w:rsidR="0007023D" w:rsidRPr="00DA6342">
        <w:t>r</w:t>
      </w:r>
      <w:r w:rsidR="00740FDC" w:rsidRPr="00DA6342">
        <w:t xml:space="preserve">egion fall within the peri-urban region of Melbourne. The </w:t>
      </w:r>
      <w:r w:rsidR="00A76757" w:rsidRPr="00DA6342">
        <w:t xml:space="preserve">attractive </w:t>
      </w:r>
      <w:r w:rsidR="00740FDC" w:rsidRPr="00DA6342">
        <w:t xml:space="preserve">rural landscapes of the peri-urban region are important for the liveability of the region and for Melbourne, </w:t>
      </w:r>
      <w:r w:rsidR="00A76757" w:rsidRPr="00DA6342">
        <w:t xml:space="preserve">although </w:t>
      </w:r>
      <w:r w:rsidR="00740FDC" w:rsidRPr="00DA6342">
        <w:t xml:space="preserve">there are considerable development pressures facing these rural areas. Studies commissioned by the Peri-Urban Group of </w:t>
      </w:r>
      <w:r w:rsidR="002A3F97">
        <w:t xml:space="preserve">Rural </w:t>
      </w:r>
      <w:r w:rsidR="00740FDC" w:rsidRPr="00DA6342">
        <w:t>Councils</w:t>
      </w:r>
      <w:r w:rsidR="002A3F97">
        <w:t xml:space="preserve">, </w:t>
      </w:r>
      <w:r w:rsidR="00740FDC" w:rsidRPr="00DA6342">
        <w:t>including Moorabool and Golden Plains</w:t>
      </w:r>
      <w:r w:rsidR="0057086D">
        <w:t>,</w:t>
      </w:r>
      <w:r w:rsidR="00740FDC" w:rsidRPr="00DA6342">
        <w:t xml:space="preserve"> identify that a business-as-usual approach will lead to </w:t>
      </w:r>
      <w:r w:rsidR="004935DA" w:rsidRPr="00DA6342">
        <w:t>ad hoc</w:t>
      </w:r>
      <w:r w:rsidR="00740FDC" w:rsidRPr="00DA6342">
        <w:t xml:space="preserve"> development in rural areas and a loss of highly valued and important rural landscapes. There is a need to carefully manage residential growth in these areas and direct it to small and medium sized settlements</w:t>
      </w:r>
      <w:r w:rsidR="002A3F97">
        <w:t xml:space="preserve">, </w:t>
      </w:r>
      <w:r w:rsidR="00740FDC" w:rsidRPr="00DA6342">
        <w:t xml:space="preserve">including Bacchus Marsh and Bannockburn and a small number of designated rural residential areas in order to protect the rural landscape </w:t>
      </w:r>
      <w:r w:rsidR="00A76757" w:rsidRPr="00DA6342">
        <w:t xml:space="preserve">that </w:t>
      </w:r>
      <w:r w:rsidR="00740FDC" w:rsidRPr="00DA6342">
        <w:t xml:space="preserve">attracts people to the region. </w:t>
      </w:r>
    </w:p>
    <w:p w:rsidR="008F1881" w:rsidRPr="008F1881" w:rsidRDefault="00C029E0" w:rsidP="00FC4A9D">
      <w:pPr>
        <w:pStyle w:val="bt"/>
      </w:pPr>
      <w:r w:rsidRPr="008F1881">
        <w:t>The plan has sought to integrate the most beneficial aspects of these concepts into the proposed regional settlement framework.</w:t>
      </w:r>
    </w:p>
    <w:p w:rsidR="00F93A5F" w:rsidRPr="005B01F7" w:rsidRDefault="00740FDC" w:rsidP="005B01F7">
      <w:pPr>
        <w:pStyle w:val="Heading2"/>
      </w:pPr>
      <w:bookmarkStart w:id="61" w:name="_Toc300560860"/>
      <w:bookmarkStart w:id="62" w:name="_Toc349557694"/>
      <w:bookmarkStart w:id="63" w:name="_Toc374527594"/>
      <w:r w:rsidRPr="005B01F7">
        <w:lastRenderedPageBreak/>
        <w:t xml:space="preserve">Settlement </w:t>
      </w:r>
      <w:bookmarkEnd w:id="61"/>
      <w:bookmarkEnd w:id="62"/>
      <w:r w:rsidR="00661931" w:rsidRPr="005B01F7">
        <w:t>network</w:t>
      </w:r>
      <w:bookmarkEnd w:id="63"/>
    </w:p>
    <w:p w:rsidR="00F93A5F" w:rsidRPr="005B01F7" w:rsidRDefault="009F09AE" w:rsidP="005B01F7">
      <w:pPr>
        <w:pStyle w:val="Heading3"/>
      </w:pPr>
      <w:r w:rsidRPr="005B01F7">
        <w:t xml:space="preserve">Description and </w:t>
      </w:r>
      <w:r w:rsidR="00661931" w:rsidRPr="005B01F7">
        <w:t>analysis</w:t>
      </w:r>
    </w:p>
    <w:p w:rsidR="00740FDC" w:rsidRPr="008F1881" w:rsidRDefault="00740FDC" w:rsidP="00DA6342">
      <w:pPr>
        <w:pStyle w:val="bt"/>
      </w:pPr>
      <w:r w:rsidRPr="008F1881">
        <w:t xml:space="preserve">The roles and relationships of towns and cities in the region are set out in the </w:t>
      </w:r>
      <w:r w:rsidR="0069443A" w:rsidRPr="000B40E8">
        <w:t>Central Highlands Regional Strategic Plan</w:t>
      </w:r>
      <w:r w:rsidR="00301AD8" w:rsidRPr="000B40E8">
        <w:t xml:space="preserve"> </w:t>
      </w:r>
      <w:r w:rsidR="00301AD8" w:rsidRPr="008F1881">
        <w:t xml:space="preserve">which </w:t>
      </w:r>
      <w:r w:rsidRPr="008F1881">
        <w:t>identifies that:</w:t>
      </w:r>
    </w:p>
    <w:p w:rsidR="00740FDC" w:rsidRPr="008F1881" w:rsidRDefault="00740FDC" w:rsidP="00DA6342">
      <w:pPr>
        <w:pStyle w:val="ListBullet"/>
        <w:rPr>
          <w:szCs w:val="20"/>
        </w:rPr>
      </w:pPr>
      <w:r w:rsidRPr="008F1881">
        <w:t xml:space="preserve">Ballarat is a major regional activity centre which drives much of the current regional economy </w:t>
      </w:r>
      <w:r w:rsidR="008C7BA2">
        <w:t xml:space="preserve">and </w:t>
      </w:r>
      <w:r w:rsidRPr="008F1881">
        <w:t>extends to communities beyond the region</w:t>
      </w:r>
      <w:r w:rsidR="00A76757">
        <w:t>.</w:t>
      </w:r>
    </w:p>
    <w:p w:rsidR="00740FDC" w:rsidRPr="008F1881" w:rsidRDefault="00740FDC" w:rsidP="00DA6342">
      <w:pPr>
        <w:pStyle w:val="ListBullet"/>
        <w:rPr>
          <w:szCs w:val="20"/>
        </w:rPr>
      </w:pPr>
      <w:r w:rsidRPr="008F1881">
        <w:t xml:space="preserve">Ararat and Stawell </w:t>
      </w:r>
      <w:r w:rsidR="00301AD8" w:rsidRPr="008F1881">
        <w:t xml:space="preserve">(the latter of which is located </w:t>
      </w:r>
      <w:r w:rsidR="008F4B85">
        <w:t xml:space="preserve">in the adjoining Wimmera Southern Mallee </w:t>
      </w:r>
      <w:r w:rsidR="00301AD8" w:rsidRPr="008F1881">
        <w:t xml:space="preserve">region) </w:t>
      </w:r>
      <w:r w:rsidRPr="008F1881">
        <w:t>are two distinct centres, but are close in distance (27</w:t>
      </w:r>
      <w:r w:rsidR="00A76757">
        <w:t xml:space="preserve"> kilometres</w:t>
      </w:r>
      <w:r w:rsidRPr="008F1881">
        <w:t xml:space="preserve">) and have interlinked roles and functions. They have a combined population of around </w:t>
      </w:r>
      <w:r w:rsidR="00C029E0" w:rsidRPr="008F1881">
        <w:t>15</w:t>
      </w:r>
      <w:r w:rsidRPr="008F1881">
        <w:t xml:space="preserve">,000 </w:t>
      </w:r>
      <w:r w:rsidR="00A76757">
        <w:t xml:space="preserve">people </w:t>
      </w:r>
      <w:r w:rsidRPr="008F1881">
        <w:t>and together can play a strong regional role.</w:t>
      </w:r>
    </w:p>
    <w:p w:rsidR="00740FDC" w:rsidRPr="008F1881" w:rsidRDefault="00740FDC" w:rsidP="00DA6342">
      <w:pPr>
        <w:pStyle w:val="ListBullet"/>
        <w:rPr>
          <w:szCs w:val="20"/>
        </w:rPr>
      </w:pPr>
      <w:r w:rsidRPr="008F1881">
        <w:t>Maryborough</w:t>
      </w:r>
      <w:r w:rsidR="00A76757">
        <w:t xml:space="preserve">, </w:t>
      </w:r>
      <w:r w:rsidR="00301AD8" w:rsidRPr="008F1881">
        <w:t>located outside the region</w:t>
      </w:r>
      <w:r w:rsidR="00A76757">
        <w:t>,</w:t>
      </w:r>
      <w:r w:rsidR="00301AD8" w:rsidRPr="008F1881">
        <w:t xml:space="preserve"> </w:t>
      </w:r>
      <w:r w:rsidRPr="008F1881">
        <w:t>has traditionally been a strong regional service centre, strengthened by the re-opening of the passenger rail service to Ballarat and its location within the goldfields</w:t>
      </w:r>
      <w:r w:rsidR="00A76757">
        <w:t>.</w:t>
      </w:r>
    </w:p>
    <w:p w:rsidR="00740FDC" w:rsidRPr="008F1881" w:rsidRDefault="00740FDC" w:rsidP="00DA6342">
      <w:pPr>
        <w:pStyle w:val="ListBullet"/>
        <w:rPr>
          <w:szCs w:val="20"/>
        </w:rPr>
      </w:pPr>
      <w:r w:rsidRPr="008F1881">
        <w:t xml:space="preserve">Bacchus Marsh has grown rapidly and is now the second largest urban area in the region. It acts as both a commuter town to Melbourne and </w:t>
      </w:r>
      <w:r w:rsidR="00D50661" w:rsidRPr="008F1881">
        <w:t xml:space="preserve">as an </w:t>
      </w:r>
      <w:r w:rsidRPr="008F1881">
        <w:t>established service centre</w:t>
      </w:r>
      <w:r w:rsidR="00A76757">
        <w:t>.</w:t>
      </w:r>
    </w:p>
    <w:p w:rsidR="00740FDC" w:rsidRPr="008F1881" w:rsidRDefault="00740FDC" w:rsidP="00DA6342">
      <w:pPr>
        <w:pStyle w:val="ListBullet"/>
        <w:rPr>
          <w:szCs w:val="20"/>
        </w:rPr>
      </w:pPr>
      <w:r w:rsidRPr="008F1881">
        <w:t>Towns in the overlap between the Melbourne, Ballarat or Geelong hinterlands</w:t>
      </w:r>
      <w:r w:rsidR="00A76757">
        <w:t>,</w:t>
      </w:r>
      <w:r w:rsidRPr="008F1881">
        <w:t xml:space="preserve"> such as Bacchus March</w:t>
      </w:r>
      <w:r w:rsidR="00A76757">
        <w:t>,</w:t>
      </w:r>
      <w:r w:rsidRPr="008F1881">
        <w:t xml:space="preserve"> will </w:t>
      </w:r>
      <w:r w:rsidR="00D50661" w:rsidRPr="008F1881">
        <w:t xml:space="preserve">continue to </w:t>
      </w:r>
      <w:r w:rsidRPr="008F1881">
        <w:t>deliver services to their surrounding area but are subject to substantial change and growth pressures</w:t>
      </w:r>
      <w:r w:rsidR="00A76757">
        <w:t>.</w:t>
      </w:r>
    </w:p>
    <w:p w:rsidR="00740FDC" w:rsidRPr="008F1881" w:rsidRDefault="00740FDC" w:rsidP="00DA6342">
      <w:pPr>
        <w:pStyle w:val="ListBullet"/>
        <w:rPr>
          <w:szCs w:val="20"/>
        </w:rPr>
      </w:pPr>
      <w:r w:rsidRPr="008F1881">
        <w:t>Towns such as St Arnaud</w:t>
      </w:r>
      <w:r w:rsidR="00273431">
        <w:t xml:space="preserve"> (in Wimmera Southern Mallee region)</w:t>
      </w:r>
      <w:r w:rsidRPr="008F1881">
        <w:t>, Avoca, Ballan, Beaufort, Clunes, Creswick and Trentham play important community service roles for surrounding rural areas</w:t>
      </w:r>
      <w:r w:rsidR="00A76757">
        <w:t>.</w:t>
      </w:r>
    </w:p>
    <w:p w:rsidR="00740FDC" w:rsidRPr="008F1881" w:rsidRDefault="00740FDC" w:rsidP="00DA6342">
      <w:pPr>
        <w:pStyle w:val="ListBullet"/>
        <w:rPr>
          <w:szCs w:val="20"/>
        </w:rPr>
      </w:pPr>
      <w:r w:rsidRPr="008F1881">
        <w:t>Daylesford-Hepburn Springs, with its tourism and health and wellbeing role, has developed a national role and profile.</w:t>
      </w:r>
    </w:p>
    <w:p w:rsidR="00537648" w:rsidRDefault="00740FDC" w:rsidP="00537648">
      <w:pPr>
        <w:pStyle w:val="bt"/>
      </w:pPr>
      <w:r w:rsidRPr="008F1881">
        <w:t xml:space="preserve">It is noted there are a range of smaller towns which </w:t>
      </w:r>
      <w:r w:rsidR="001114E3" w:rsidRPr="008F1881">
        <w:t>are not o</w:t>
      </w:r>
      <w:r w:rsidR="00C029E0" w:rsidRPr="008F1881">
        <w:t>f regional significance, but play an important local role and will continue to be manag</w:t>
      </w:r>
      <w:r w:rsidR="00537648">
        <w:t>ed and planned for by councils.</w:t>
      </w:r>
    </w:p>
    <w:p w:rsidR="005A0F47" w:rsidRDefault="009B1C48" w:rsidP="00DA6342">
      <w:pPr>
        <w:pStyle w:val="bt"/>
      </w:pPr>
      <w:r>
        <w:t>T</w:t>
      </w:r>
      <w:r w:rsidRPr="008F1881">
        <w:t xml:space="preserve">he network of centres </w:t>
      </w:r>
      <w:r w:rsidR="00367F94">
        <w:t xml:space="preserve">in the Central Highlands </w:t>
      </w:r>
      <w:r w:rsidRPr="008F1881">
        <w:t xml:space="preserve">and their relationships may change </w:t>
      </w:r>
      <w:r>
        <w:t>a</w:t>
      </w:r>
      <w:r w:rsidR="00740FDC" w:rsidRPr="008F1881">
        <w:t xml:space="preserve">s development occurs, functions are assigned by way of new facilities, and services are progressively provided. The </w:t>
      </w:r>
      <w:r w:rsidR="0069443A" w:rsidRPr="000B40E8">
        <w:t>Central Highlands Regional Strategic Plan</w:t>
      </w:r>
      <w:r w:rsidR="00BF6232">
        <w:t xml:space="preserve"> </w:t>
      </w:r>
      <w:r w:rsidR="00BF6232" w:rsidRPr="008F1881">
        <w:t>(page 24)</w:t>
      </w:r>
      <w:r w:rsidR="00740FDC" w:rsidRPr="008F1881">
        <w:t xml:space="preserve"> suggests this is unlikely to happen in the short term but over time changes can be expected in the role that </w:t>
      </w:r>
      <w:r>
        <w:t xml:space="preserve">each </w:t>
      </w:r>
      <w:r w:rsidR="00740FDC" w:rsidRPr="008F1881">
        <w:t>centre play</w:t>
      </w:r>
      <w:r>
        <w:t>s</w:t>
      </w:r>
      <w:r w:rsidR="00740FDC" w:rsidRPr="008F1881">
        <w:t xml:space="preserve">. </w:t>
      </w:r>
      <w:r>
        <w:t>F</w:t>
      </w:r>
      <w:r w:rsidR="00740FDC" w:rsidRPr="008F1881">
        <w:t>or example</w:t>
      </w:r>
      <w:r w:rsidR="008C7BA2">
        <w:t>,</w:t>
      </w:r>
      <w:r w:rsidR="00740FDC" w:rsidRPr="008F1881">
        <w:t xml:space="preserve"> Ballarat </w:t>
      </w:r>
      <w:r>
        <w:t>may</w:t>
      </w:r>
      <w:r w:rsidR="00740FDC" w:rsidRPr="008F1881">
        <w:t xml:space="preserve"> </w:t>
      </w:r>
      <w:r>
        <w:t>alter</w:t>
      </w:r>
      <w:r w:rsidR="00740FDC" w:rsidRPr="008F1881">
        <w:t xml:space="preserve"> its role re</w:t>
      </w:r>
      <w:r w:rsidR="005A0F47">
        <w:t>lative to the region by growing:</w:t>
      </w:r>
    </w:p>
    <w:p w:rsidR="00740FDC" w:rsidRPr="008F1881" w:rsidRDefault="003916F8" w:rsidP="005A0F47">
      <w:pPr>
        <w:pStyle w:val="bt"/>
        <w:ind w:left="720"/>
      </w:pPr>
      <w:r>
        <w:t>“</w:t>
      </w:r>
      <w:r w:rsidR="005A0F47">
        <w:t>..</w:t>
      </w:r>
      <w:r w:rsidR="00740FDC" w:rsidRPr="008F1881">
        <w:t xml:space="preserve">its critical population mass so as to expand its comprehensive set of high order health, education, retail, business arts and cultural and recreational services. This in turn will improve the economic robustness and </w:t>
      </w:r>
      <w:r w:rsidR="005A0F47">
        <w:t>liveability of the whole region</w:t>
      </w:r>
      <w:r>
        <w:t>.”</w:t>
      </w:r>
      <w:r w:rsidR="00740FDC" w:rsidRPr="008F1881">
        <w:t xml:space="preserve"> </w:t>
      </w:r>
    </w:p>
    <w:p w:rsidR="00740FDC" w:rsidRPr="008F1881" w:rsidRDefault="00301AD8" w:rsidP="00DA6342">
      <w:pPr>
        <w:pStyle w:val="bt"/>
      </w:pPr>
      <w:r w:rsidRPr="008F1881">
        <w:t>T</w:t>
      </w:r>
      <w:r w:rsidR="00740FDC" w:rsidRPr="008F1881">
        <w:t xml:space="preserve">he role and relationship between settlements is </w:t>
      </w:r>
      <w:r w:rsidRPr="008F1881">
        <w:t xml:space="preserve">an </w:t>
      </w:r>
      <w:r w:rsidR="00740FDC" w:rsidRPr="008F1881">
        <w:t xml:space="preserve">important </w:t>
      </w:r>
      <w:r w:rsidRPr="008F1881">
        <w:t xml:space="preserve">input for the </w:t>
      </w:r>
      <w:r w:rsidR="006F61DF" w:rsidRPr="008F1881">
        <w:t>plan</w:t>
      </w:r>
      <w:r w:rsidRPr="008F1881">
        <w:t xml:space="preserve">. The </w:t>
      </w:r>
      <w:r w:rsidR="00740FDC" w:rsidRPr="008F1881">
        <w:t xml:space="preserve">future growth patterns of the region need to be </w:t>
      </w:r>
      <w:r w:rsidRPr="008F1881">
        <w:t xml:space="preserve">informed by </w:t>
      </w:r>
      <w:r w:rsidR="00740FDC" w:rsidRPr="008F1881">
        <w:t>how people use the network of centres to access services, jobs and facilities. This will become particularly important in areas of the region more remote from the largest centres where populations are decreasing or changing. Ageing populations will create increased demand for existing and new services</w:t>
      </w:r>
      <w:r w:rsidR="0057086D">
        <w:t>,</w:t>
      </w:r>
      <w:r w:rsidR="00367F94">
        <w:t xml:space="preserve"> as well as </w:t>
      </w:r>
      <w:r w:rsidR="00740FDC" w:rsidRPr="008F1881">
        <w:t>housing and types of transport</w:t>
      </w:r>
      <w:r w:rsidR="00367F94">
        <w:t>. H</w:t>
      </w:r>
      <w:r w:rsidR="00740FDC" w:rsidRPr="008F1881">
        <w:t>owever</w:t>
      </w:r>
      <w:r w:rsidR="008C7BA2">
        <w:t>,</w:t>
      </w:r>
      <w:r w:rsidR="00740FDC" w:rsidRPr="008F1881">
        <w:t xml:space="preserve"> there is a significant challenge in providing such resources to every settlement. </w:t>
      </w:r>
      <w:r w:rsidR="00367F94">
        <w:t>S</w:t>
      </w:r>
      <w:r w:rsidR="00740FDC" w:rsidRPr="008F1881">
        <w:t xml:space="preserve">haring of resources, facilities and economic development initiatives at a regional or sub-regional level is one way to assist in maintaining the viability of small communities. The complementary role that could be played by Stawell and Ararat to generate the critical mass of a much larger regional centre is a good example.   </w:t>
      </w:r>
    </w:p>
    <w:p w:rsidR="001114E3" w:rsidRPr="008F1881" w:rsidRDefault="00740FDC" w:rsidP="00DA6342">
      <w:pPr>
        <w:pStyle w:val="bt"/>
      </w:pPr>
      <w:r w:rsidRPr="008F1881">
        <w:t>In planning for the long</w:t>
      </w:r>
      <w:r w:rsidR="00367F94">
        <w:t>-</w:t>
      </w:r>
      <w:r w:rsidRPr="008F1881">
        <w:t>term development of the region, the</w:t>
      </w:r>
      <w:r w:rsidR="0069443A">
        <w:t xml:space="preserve"> </w:t>
      </w:r>
      <w:r w:rsidR="00F37D25">
        <w:t>plan</w:t>
      </w:r>
      <w:r w:rsidR="00301AD8" w:rsidRPr="008F1881">
        <w:t xml:space="preserve"> aims </w:t>
      </w:r>
      <w:r w:rsidRPr="008F1881">
        <w:t xml:space="preserve">to deliver growth in appropriate locations to support a preferred settlement </w:t>
      </w:r>
      <w:r w:rsidR="0007023D">
        <w:t>network</w:t>
      </w:r>
      <w:r w:rsidRPr="008F1881">
        <w:t xml:space="preserve">, having regard to services and employment distributions outlined above. </w:t>
      </w:r>
      <w:r w:rsidR="00963FB0" w:rsidRPr="008F1881">
        <w:t>R</w:t>
      </w:r>
      <w:r w:rsidRPr="008F1881">
        <w:t>esidential land supply</w:t>
      </w:r>
      <w:r w:rsidR="00963FB0" w:rsidRPr="008F1881">
        <w:t xml:space="preserve"> information has informed the preferred settlement </w:t>
      </w:r>
      <w:r w:rsidR="0007023D">
        <w:t>network</w:t>
      </w:r>
      <w:r w:rsidRPr="008F1881">
        <w:t xml:space="preserve">, </w:t>
      </w:r>
      <w:r w:rsidRPr="008F1881">
        <w:lastRenderedPageBreak/>
        <w:t xml:space="preserve">particularly for major centres and preferred growth areas, as </w:t>
      </w:r>
      <w:r w:rsidR="00963FB0" w:rsidRPr="008F1881">
        <w:t xml:space="preserve">has the identification of </w:t>
      </w:r>
      <w:r w:rsidRPr="008F1881">
        <w:t xml:space="preserve">opportunities to reinvigorate small towns and settlements within the </w:t>
      </w:r>
      <w:r w:rsidR="0007023D">
        <w:t>network</w:t>
      </w:r>
      <w:r w:rsidRPr="008F1881">
        <w:t xml:space="preserve">. </w:t>
      </w:r>
    </w:p>
    <w:p w:rsidR="00740FDC" w:rsidRPr="008F1881" w:rsidRDefault="00740FDC" w:rsidP="00DA6342">
      <w:pPr>
        <w:pStyle w:val="bt"/>
      </w:pPr>
      <w:r w:rsidRPr="008F1881">
        <w:t>Local planning schemes make various directions and commentary about this issue, generally:</w:t>
      </w:r>
    </w:p>
    <w:p w:rsidR="00740FDC" w:rsidRPr="008F1881" w:rsidRDefault="00367F94" w:rsidP="00DA6342">
      <w:pPr>
        <w:pStyle w:val="ListBullet"/>
      </w:pPr>
      <w:r>
        <w:t>e</w:t>
      </w:r>
      <w:r w:rsidR="00740FDC" w:rsidRPr="008F1881">
        <w:t>ncouraging growth in their major centres, or in some cases</w:t>
      </w:r>
      <w:r>
        <w:t>,</w:t>
      </w:r>
      <w:r w:rsidR="00740FDC" w:rsidRPr="008F1881">
        <w:t xml:space="preserve"> smaller towns where infrastructure upgrades will facilitate growth</w:t>
      </w:r>
      <w:r>
        <w:t xml:space="preserve"> such as </w:t>
      </w:r>
      <w:r w:rsidR="00740FDC" w:rsidRPr="008F1881">
        <w:t>Smythesdale</w:t>
      </w:r>
    </w:p>
    <w:p w:rsidR="00740FDC" w:rsidRPr="008F1881" w:rsidRDefault="00367F94" w:rsidP="00DA6342">
      <w:pPr>
        <w:pStyle w:val="ListBullet"/>
      </w:pPr>
      <w:r>
        <w:t>s</w:t>
      </w:r>
      <w:r w:rsidR="00740FDC" w:rsidRPr="008F1881">
        <w:t>upporting 10-15 years supply of residential land</w:t>
      </w:r>
    </w:p>
    <w:p w:rsidR="00740FDC" w:rsidRPr="008F1881" w:rsidRDefault="00367F94" w:rsidP="00DA6342">
      <w:pPr>
        <w:pStyle w:val="ListBullet"/>
      </w:pPr>
      <w:r>
        <w:t>s</w:t>
      </w:r>
      <w:r w:rsidR="00740FDC" w:rsidRPr="008F1881">
        <w:t>eeking to support infill development ahead of urban expansion for many centres</w:t>
      </w:r>
    </w:p>
    <w:p w:rsidR="00740FDC" w:rsidRPr="008F1881" w:rsidRDefault="00367F94" w:rsidP="00DA6342">
      <w:pPr>
        <w:pStyle w:val="ListBullet"/>
      </w:pPr>
      <w:r>
        <w:t>i</w:t>
      </w:r>
      <w:r w:rsidR="00740FDC" w:rsidRPr="008F1881">
        <w:t xml:space="preserve">ncluding strategic maps indicating preferred areas for additional development. </w:t>
      </w:r>
    </w:p>
    <w:p w:rsidR="001114E3" w:rsidRPr="008F1881" w:rsidRDefault="006D14DE" w:rsidP="00DA6342">
      <w:pPr>
        <w:pStyle w:val="bt"/>
      </w:pPr>
      <w:r w:rsidRPr="00994898">
        <w:t xml:space="preserve">The Department of </w:t>
      </w:r>
      <w:r w:rsidR="00994898" w:rsidRPr="00994898">
        <w:t>Transport, Planning and Local Infrastructure</w:t>
      </w:r>
      <w:r w:rsidRPr="00994898">
        <w:t>’s</w:t>
      </w:r>
      <w:r w:rsidR="00A8038D" w:rsidRPr="008F1881">
        <w:t xml:space="preserve"> Regional Urban Development Program is a key source of land supply data. The </w:t>
      </w:r>
      <w:r w:rsidR="002A3F97">
        <w:t>Regional Urban Development Program</w:t>
      </w:r>
      <w:r w:rsidR="002A3F97" w:rsidRPr="008F1881">
        <w:t xml:space="preserve"> </w:t>
      </w:r>
      <w:r w:rsidR="00A8038D" w:rsidRPr="008F1881">
        <w:t xml:space="preserve">is currently collecting further land supply data in the Central Highlands </w:t>
      </w:r>
      <w:r w:rsidR="001114E3" w:rsidRPr="008F1881">
        <w:t>r</w:t>
      </w:r>
      <w:r w:rsidR="00A8038D" w:rsidRPr="008F1881">
        <w:t>egion, which will result in comparable data being available across each of the municipalities. This data will help to provide a region</w:t>
      </w:r>
      <w:r w:rsidR="00301FFF">
        <w:t>-</w:t>
      </w:r>
      <w:r w:rsidR="00A8038D" w:rsidRPr="008F1881">
        <w:t xml:space="preserve">wide picture of land supply and will inform regional level planning. </w:t>
      </w:r>
      <w:r w:rsidR="001114E3" w:rsidRPr="008F1881">
        <w:t>A number</w:t>
      </w:r>
      <w:r w:rsidR="002201FB" w:rsidRPr="008F1881">
        <w:t xml:space="preserve"> of the region’s </w:t>
      </w:r>
      <w:r w:rsidR="004C7A27" w:rsidRPr="008F1881">
        <w:t xml:space="preserve">councils </w:t>
      </w:r>
      <w:r w:rsidR="002201FB" w:rsidRPr="008F1881">
        <w:t>have undertaken land supply investigations</w:t>
      </w:r>
      <w:r w:rsidR="00301FFF">
        <w:t>,</w:t>
      </w:r>
      <w:r w:rsidR="002201FB" w:rsidRPr="008F1881">
        <w:t xml:space="preserve"> which are instructive in determining land supply and demand over time.</w:t>
      </w:r>
      <w:r w:rsidR="001114E3" w:rsidRPr="008F1881">
        <w:t xml:space="preserve"> For example</w:t>
      </w:r>
      <w:r w:rsidR="00301FFF">
        <w:t>,</w:t>
      </w:r>
      <w:r w:rsidR="001114E3" w:rsidRPr="008F1881">
        <w:t xml:space="preserve"> the Golden Plains Shire Council adopted its </w:t>
      </w:r>
      <w:r w:rsidR="009F09AE" w:rsidRPr="000B40E8">
        <w:t>Residential Land Supply Review</w:t>
      </w:r>
      <w:r w:rsidR="001114E3" w:rsidRPr="008F1881">
        <w:t xml:space="preserve"> in 2009</w:t>
      </w:r>
      <w:r w:rsidR="00301FFF">
        <w:t>,</w:t>
      </w:r>
      <w:r w:rsidR="001114E3" w:rsidRPr="008F1881">
        <w:t xml:space="preserve"> which documented existing land supply and demand in each of the settlements in the municipality and identified priority actions for further growth planning. This review identifies growth areas </w:t>
      </w:r>
      <w:r w:rsidR="00301FFF">
        <w:t xml:space="preserve">for </w:t>
      </w:r>
      <w:r w:rsidR="001114E3" w:rsidRPr="008F1881">
        <w:t>a number of towns within the Central Highlands region including Smythesdale and its surrounds.</w:t>
      </w:r>
    </w:p>
    <w:p w:rsidR="00C820C0" w:rsidRDefault="00056E5B">
      <w:pPr>
        <w:pStyle w:val="bt"/>
      </w:pPr>
      <w:r w:rsidRPr="008F1881">
        <w:t>T</w:t>
      </w:r>
      <w:r w:rsidR="00740FDC" w:rsidRPr="008F1881">
        <w:t>here is a substantial long</w:t>
      </w:r>
      <w:r w:rsidR="00301FFF">
        <w:t>-</w:t>
      </w:r>
      <w:r w:rsidR="00740FDC" w:rsidRPr="008F1881">
        <w:t xml:space="preserve">term supply </w:t>
      </w:r>
      <w:r w:rsidRPr="008F1881">
        <w:t xml:space="preserve">(30–40 years) </w:t>
      </w:r>
      <w:r w:rsidR="00740FDC" w:rsidRPr="008F1881">
        <w:t xml:space="preserve">of residential land already identified </w:t>
      </w:r>
      <w:r w:rsidRPr="008F1881">
        <w:t xml:space="preserve">in </w:t>
      </w:r>
      <w:r w:rsidR="00740FDC" w:rsidRPr="008F1881">
        <w:t xml:space="preserve">the Ballarat West </w:t>
      </w:r>
      <w:r w:rsidR="00963FB0" w:rsidRPr="008F1881">
        <w:t>Growth Area</w:t>
      </w:r>
      <w:r w:rsidR="00ED0FEB" w:rsidRPr="008F1881">
        <w:t xml:space="preserve"> </w:t>
      </w:r>
      <w:r w:rsidR="000A44A6">
        <w:t>(refer to</w:t>
      </w:r>
      <w:r w:rsidR="00D845B8">
        <w:t xml:space="preserve"> </w:t>
      </w:r>
      <w:r w:rsidR="00631B16">
        <w:fldChar w:fldCharType="begin"/>
      </w:r>
      <w:r w:rsidR="00631B16">
        <w:instrText xml:space="preserve"> REF _Ref359426317 \h  \* MERGEFORMAT </w:instrText>
      </w:r>
      <w:r w:rsidR="00631B16">
        <w:fldChar w:fldCharType="separate"/>
      </w:r>
      <w:r w:rsidR="00907B42" w:rsidRPr="00D42DE9">
        <w:t xml:space="preserve">Figure </w:t>
      </w:r>
      <w:r w:rsidR="00907B42">
        <w:t>9</w:t>
      </w:r>
      <w:r w:rsidR="00631B16">
        <w:fldChar w:fldCharType="end"/>
      </w:r>
      <w:r w:rsidR="00ED0FEB" w:rsidRPr="0007023D">
        <w:t>)</w:t>
      </w:r>
      <w:r w:rsidR="00963FB0" w:rsidRPr="0007023D">
        <w:t>.</w:t>
      </w:r>
      <w:r w:rsidR="00963FB0" w:rsidRPr="008F1881">
        <w:t xml:space="preserve"> </w:t>
      </w:r>
      <w:r w:rsidR="00740FDC" w:rsidRPr="008F1881">
        <w:t>This is further supplemented by residential development opportunities in other centres throughout the region</w:t>
      </w:r>
      <w:r w:rsidR="00A92A6D" w:rsidRPr="008F1881">
        <w:t>, particularly Bacchus Marsh</w:t>
      </w:r>
      <w:r w:rsidR="00740FDC" w:rsidRPr="008F1881">
        <w:t>.</w:t>
      </w:r>
    </w:p>
    <w:p w:rsidR="00740FDC" w:rsidRPr="008F1881" w:rsidRDefault="002F000A" w:rsidP="00DA6342">
      <w:pPr>
        <w:pStyle w:val="bt"/>
      </w:pPr>
      <w:r w:rsidRPr="008F1881">
        <w:t xml:space="preserve">In addition to the significant levels of growth planned for Ballarat and to a lesser extent Bacchus Marsh, the </w:t>
      </w:r>
      <w:r w:rsidR="006F61DF" w:rsidRPr="008F1881">
        <w:t>plan</w:t>
      </w:r>
      <w:r w:rsidR="002201FB" w:rsidRPr="008F1881">
        <w:t xml:space="preserve"> </w:t>
      </w:r>
      <w:r w:rsidRPr="008F1881">
        <w:t xml:space="preserve">also </w:t>
      </w:r>
      <w:r w:rsidR="002201FB" w:rsidRPr="008F1881">
        <w:t xml:space="preserve">identifies where </w:t>
      </w:r>
      <w:r w:rsidRPr="008F1881">
        <w:t xml:space="preserve">medium and limited growth is </w:t>
      </w:r>
      <w:r w:rsidR="002201FB" w:rsidRPr="008F1881">
        <w:t xml:space="preserve">supported in </w:t>
      </w:r>
      <w:r w:rsidRPr="008F1881">
        <w:t xml:space="preserve">a range of smaller </w:t>
      </w:r>
      <w:r w:rsidR="002201FB" w:rsidRPr="008F1881">
        <w:t>settlements to achieve regional objectives.</w:t>
      </w:r>
      <w:r w:rsidR="00740FDC" w:rsidRPr="008F1881">
        <w:t xml:space="preserve"> </w:t>
      </w:r>
    </w:p>
    <w:p w:rsidR="00740FDC" w:rsidRPr="008F1881" w:rsidRDefault="00056E5B" w:rsidP="00DA6342">
      <w:pPr>
        <w:pStyle w:val="bt"/>
      </w:pPr>
      <w:r w:rsidRPr="008F1881">
        <w:t>T</w:t>
      </w:r>
      <w:r w:rsidR="00740FDC" w:rsidRPr="008F1881">
        <w:t xml:space="preserve">he key considerations </w:t>
      </w:r>
      <w:r w:rsidR="00CF6F6E" w:rsidRPr="008F1881">
        <w:t xml:space="preserve">for identifying </w:t>
      </w:r>
      <w:r w:rsidR="00740FDC" w:rsidRPr="008F1881">
        <w:t xml:space="preserve">opportunities for growth and establishing the Central Highlands’ future settlement </w:t>
      </w:r>
      <w:r w:rsidR="001114E3" w:rsidRPr="008F1881">
        <w:t>network</w:t>
      </w:r>
      <w:r w:rsidR="00740FDC" w:rsidRPr="008F1881">
        <w:t xml:space="preserve"> are:</w:t>
      </w:r>
    </w:p>
    <w:p w:rsidR="00740FDC" w:rsidRPr="008F1881" w:rsidRDefault="00301FFF" w:rsidP="00DA6342">
      <w:pPr>
        <w:pStyle w:val="ListBullet"/>
      </w:pPr>
      <w:r>
        <w:t>u</w:t>
      </w:r>
      <w:r w:rsidR="00740FDC" w:rsidRPr="008F1881">
        <w:t xml:space="preserve">nderstanding how settlements relate to each other </w:t>
      </w:r>
      <w:r w:rsidR="00CF6F6E" w:rsidRPr="008F1881">
        <w:t xml:space="preserve">with a view to ensuring that </w:t>
      </w:r>
      <w:r w:rsidR="00740FDC" w:rsidRPr="008F1881">
        <w:t>easy access to services underpins planning for a changing demographic</w:t>
      </w:r>
    </w:p>
    <w:p w:rsidR="00740FDC" w:rsidRPr="008F1881" w:rsidRDefault="00301FFF" w:rsidP="00DA6342">
      <w:pPr>
        <w:pStyle w:val="ListBullet"/>
      </w:pPr>
      <w:r>
        <w:t>u</w:t>
      </w:r>
      <w:r w:rsidR="00740FDC" w:rsidRPr="008F1881">
        <w:t>nderstanding key en</w:t>
      </w:r>
      <w:r w:rsidR="00655E45">
        <w:t xml:space="preserve">vironmental </w:t>
      </w:r>
      <w:r w:rsidR="006C2CC8">
        <w:t>assets such as open potable water catchment areas and natural</w:t>
      </w:r>
      <w:r w:rsidR="00655E45">
        <w:t xml:space="preserve"> hazards</w:t>
      </w:r>
      <w:r w:rsidR="00740FDC" w:rsidRPr="008F1881">
        <w:t xml:space="preserve"> such as bushfire</w:t>
      </w:r>
      <w:r w:rsidR="00294143">
        <w:t xml:space="preserve"> and flood</w:t>
      </w:r>
      <w:r w:rsidR="00740FDC" w:rsidRPr="008F1881">
        <w:t xml:space="preserve"> risk</w:t>
      </w:r>
    </w:p>
    <w:p w:rsidR="00740FDC" w:rsidRPr="008F1881" w:rsidRDefault="00301FFF" w:rsidP="00DA6342">
      <w:pPr>
        <w:pStyle w:val="ListBullet"/>
      </w:pPr>
      <w:r>
        <w:t>i</w:t>
      </w:r>
      <w:r w:rsidR="00ED0FEB" w:rsidRPr="008F1881">
        <w:t>dentifying where</w:t>
      </w:r>
      <w:r w:rsidR="00CF6F6E" w:rsidRPr="008F1881">
        <w:t xml:space="preserve"> </w:t>
      </w:r>
      <w:r w:rsidR="00740FDC" w:rsidRPr="008F1881">
        <w:t>longer term options for substantial residential development</w:t>
      </w:r>
      <w:r w:rsidR="00CF6F6E" w:rsidRPr="008F1881">
        <w:t xml:space="preserve"> exist</w:t>
      </w:r>
    </w:p>
    <w:p w:rsidR="00740FDC" w:rsidRPr="008F1881" w:rsidRDefault="00301FFF" w:rsidP="00DA6342">
      <w:pPr>
        <w:pStyle w:val="ListBullet"/>
      </w:pPr>
      <w:r>
        <w:t>t</w:t>
      </w:r>
      <w:r w:rsidR="00740FDC" w:rsidRPr="008F1881">
        <w:t>he implications of demand and pressure for growth experienced by peri-urban municipalities within the region</w:t>
      </w:r>
      <w:r>
        <w:t xml:space="preserve">, such as </w:t>
      </w:r>
      <w:r w:rsidR="00740FDC" w:rsidRPr="008F1881">
        <w:t>Golden Plains and Moorabool</w:t>
      </w:r>
    </w:p>
    <w:p w:rsidR="00740FDC" w:rsidRPr="008F1881" w:rsidRDefault="00301FFF" w:rsidP="00DA6342">
      <w:pPr>
        <w:pStyle w:val="ListBullet"/>
      </w:pPr>
      <w:r>
        <w:t>p</w:t>
      </w:r>
      <w:r w:rsidR="00740FDC" w:rsidRPr="008F1881">
        <w:t>roviding for appropriate land supply in centres across the region</w:t>
      </w:r>
    </w:p>
    <w:p w:rsidR="00740FDC" w:rsidRPr="008F1881" w:rsidRDefault="00301FFF" w:rsidP="00DA6342">
      <w:pPr>
        <w:pStyle w:val="ListBullet"/>
      </w:pPr>
      <w:r>
        <w:t>e</w:t>
      </w:r>
      <w:r w:rsidR="00740FDC" w:rsidRPr="008F1881">
        <w:t>nsuring growth centres are sustainable and have access to services and employment</w:t>
      </w:r>
    </w:p>
    <w:p w:rsidR="00740FDC" w:rsidRPr="008F1881" w:rsidRDefault="00301FFF" w:rsidP="00DA6342">
      <w:pPr>
        <w:pStyle w:val="ListBullet"/>
      </w:pPr>
      <w:r>
        <w:t>c</w:t>
      </w:r>
      <w:r w:rsidR="00740FDC" w:rsidRPr="008F1881">
        <w:t xml:space="preserve">oordinating growth planning with </w:t>
      </w:r>
      <w:r w:rsidR="00CF6F6E" w:rsidRPr="008F1881">
        <w:t xml:space="preserve">the provision of </w:t>
      </w:r>
      <w:r w:rsidR="00740FDC" w:rsidRPr="008F1881">
        <w:t>infrastructure and utility service</w:t>
      </w:r>
      <w:r w:rsidR="00CF6F6E" w:rsidRPr="008F1881">
        <w:t>s</w:t>
      </w:r>
    </w:p>
    <w:p w:rsidR="006966E5" w:rsidRPr="00DA6342" w:rsidRDefault="00301FFF" w:rsidP="00DA6342">
      <w:pPr>
        <w:pStyle w:val="ListBullet"/>
        <w:rPr>
          <w:szCs w:val="20"/>
        </w:rPr>
      </w:pPr>
      <w:r>
        <w:t>p</w:t>
      </w:r>
      <w:r w:rsidR="00740FDC" w:rsidRPr="008F1881">
        <w:t>rotecting the liveability of towns and key regional assets</w:t>
      </w:r>
      <w:r w:rsidR="00294143">
        <w:t xml:space="preserve"> and </w:t>
      </w:r>
      <w:r w:rsidR="00740FDC" w:rsidRPr="008F1881">
        <w:t>attractors</w:t>
      </w:r>
      <w:r w:rsidR="0069443A">
        <w:t xml:space="preserve">, </w:t>
      </w:r>
      <w:r>
        <w:t xml:space="preserve">such as </w:t>
      </w:r>
      <w:r w:rsidR="00740FDC" w:rsidRPr="008F1881">
        <w:t xml:space="preserve">heritage and </w:t>
      </w:r>
      <w:r w:rsidR="00DA6342">
        <w:rPr>
          <w:szCs w:val="20"/>
        </w:rPr>
        <w:t>landscape amenity</w:t>
      </w:r>
    </w:p>
    <w:p w:rsidR="00FC4A9D" w:rsidRDefault="00301FFF">
      <w:pPr>
        <w:pStyle w:val="ListBullet"/>
        <w:ind w:left="714" w:hanging="357"/>
        <w:rPr>
          <w:szCs w:val="20"/>
        </w:rPr>
      </w:pPr>
      <w:r w:rsidRPr="00DA6342">
        <w:rPr>
          <w:szCs w:val="20"/>
        </w:rPr>
        <w:t>m</w:t>
      </w:r>
      <w:r w:rsidR="009F09AE" w:rsidRPr="00DA6342">
        <w:rPr>
          <w:szCs w:val="20"/>
        </w:rPr>
        <w:t xml:space="preserve">anaging land use, transport and economic planning to minimise </w:t>
      </w:r>
      <w:r w:rsidRPr="00DA6342">
        <w:rPr>
          <w:szCs w:val="20"/>
        </w:rPr>
        <w:t xml:space="preserve">the </w:t>
      </w:r>
      <w:r w:rsidR="009F09AE" w:rsidRPr="00DA6342">
        <w:rPr>
          <w:szCs w:val="20"/>
        </w:rPr>
        <w:t xml:space="preserve">risk of regional exposure </w:t>
      </w:r>
      <w:r w:rsidR="00987FB3" w:rsidRPr="00DA6342">
        <w:rPr>
          <w:szCs w:val="20"/>
        </w:rPr>
        <w:t xml:space="preserve">to </w:t>
      </w:r>
      <w:r w:rsidR="00CD1C23">
        <w:rPr>
          <w:szCs w:val="20"/>
        </w:rPr>
        <w:t xml:space="preserve">  </w:t>
      </w:r>
      <w:r w:rsidR="00987FB3" w:rsidRPr="00DA6342">
        <w:rPr>
          <w:szCs w:val="20"/>
        </w:rPr>
        <w:t>increasing</w:t>
      </w:r>
      <w:r w:rsidR="006966E5" w:rsidRPr="00DA6342">
        <w:rPr>
          <w:szCs w:val="20"/>
        </w:rPr>
        <w:t xml:space="preserve"> energy costs</w:t>
      </w:r>
      <w:r w:rsidR="00DA6342">
        <w:rPr>
          <w:szCs w:val="20"/>
        </w:rPr>
        <w:t>.</w:t>
      </w:r>
      <w:bookmarkStart w:id="64" w:name="_Ref357076331"/>
    </w:p>
    <w:p w:rsidR="007B7C4B" w:rsidRDefault="007B7C4B">
      <w:pPr>
        <w:spacing w:after="200" w:line="276" w:lineRule="auto"/>
        <w:jc w:val="left"/>
        <w:rPr>
          <w:rFonts w:ascii="Calibri" w:eastAsiaTheme="minorEastAsia" w:hAnsi="Calibri" w:cstheme="minorBidi"/>
          <w:szCs w:val="20"/>
        </w:rPr>
      </w:pPr>
      <w:r>
        <w:rPr>
          <w:szCs w:val="20"/>
        </w:rPr>
        <w:br w:type="page"/>
      </w:r>
    </w:p>
    <w:p w:rsidR="001A31B7" w:rsidRPr="00D42DE9" w:rsidRDefault="00A70AFD" w:rsidP="00D42DE9">
      <w:pPr>
        <w:pStyle w:val="Caption"/>
      </w:pPr>
      <w:bookmarkStart w:id="65" w:name="_Ref359426317"/>
      <w:r>
        <w:rPr>
          <w:noProof/>
        </w:rPr>
        <w:lastRenderedPageBreak/>
        <w:drawing>
          <wp:anchor distT="0" distB="0" distL="114300" distR="114300" simplePos="0" relativeHeight="251666432" behindDoc="0" locked="0" layoutInCell="1" allowOverlap="1">
            <wp:simplePos x="0" y="0"/>
            <wp:positionH relativeFrom="column">
              <wp:posOffset>-31750</wp:posOffset>
            </wp:positionH>
            <wp:positionV relativeFrom="paragraph">
              <wp:posOffset>266065</wp:posOffset>
            </wp:positionV>
            <wp:extent cx="5784850" cy="8363585"/>
            <wp:effectExtent l="19050" t="0" r="6350" b="0"/>
            <wp:wrapTopAndBottom/>
            <wp:docPr id="29" name="Picture 7" descr="Map showing Ballarat West growt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9"/>
                    <pic:cNvPicPr>
                      <a:picLocks noChangeAspect="1" noChangeArrowheads="1"/>
                    </pic:cNvPicPr>
                  </pic:nvPicPr>
                  <pic:blipFill>
                    <a:blip r:embed="rId27" cstate="email"/>
                    <a:srcRect/>
                    <a:stretch>
                      <a:fillRect/>
                    </a:stretch>
                  </pic:blipFill>
                  <pic:spPr bwMode="auto">
                    <a:xfrm>
                      <a:off x="0" y="0"/>
                      <a:ext cx="5784850" cy="8363585"/>
                    </a:xfrm>
                    <a:prstGeom prst="rect">
                      <a:avLst/>
                    </a:prstGeom>
                    <a:noFill/>
                    <a:ln w="9525">
                      <a:noFill/>
                      <a:miter lim="800000"/>
                      <a:headEnd/>
                      <a:tailEnd/>
                    </a:ln>
                  </pic:spPr>
                </pic:pic>
              </a:graphicData>
            </a:graphic>
          </wp:anchor>
        </w:drawing>
      </w:r>
      <w:bookmarkStart w:id="66" w:name="_Toc381698009"/>
      <w:r w:rsidR="001A31B7" w:rsidRPr="00D42DE9">
        <w:t xml:space="preserve">Figure </w:t>
      </w:r>
      <w:r w:rsidR="009F388E">
        <w:fldChar w:fldCharType="begin"/>
      </w:r>
      <w:r w:rsidR="00821C7F">
        <w:instrText xml:space="preserve"> SEQ Figure \* ARABIC </w:instrText>
      </w:r>
      <w:r w:rsidR="009F388E">
        <w:fldChar w:fldCharType="separate"/>
      </w:r>
      <w:r w:rsidR="00907B42">
        <w:rPr>
          <w:noProof/>
        </w:rPr>
        <w:t>9</w:t>
      </w:r>
      <w:r w:rsidR="009F388E">
        <w:fldChar w:fldCharType="end"/>
      </w:r>
      <w:bookmarkEnd w:id="64"/>
      <w:bookmarkEnd w:id="65"/>
      <w:r w:rsidR="001A31B7" w:rsidRPr="00D42DE9">
        <w:t>: Ballarat West growth area</w:t>
      </w:r>
      <w:bookmarkEnd w:id="66"/>
    </w:p>
    <w:p w:rsidR="00C820C0" w:rsidRDefault="00631B16" w:rsidP="00070916">
      <w:pPr>
        <w:pStyle w:val="Source0"/>
      </w:pPr>
      <w:r>
        <w:rPr>
          <w:noProof/>
        </w:rPr>
        <mc:AlternateContent>
          <mc:Choice Requires="wps">
            <w:drawing>
              <wp:anchor distT="0" distB="0" distL="114300" distR="114300" simplePos="0" relativeHeight="251738112" behindDoc="0" locked="0" layoutInCell="1" allowOverlap="1">
                <wp:simplePos x="0" y="0"/>
                <wp:positionH relativeFrom="column">
                  <wp:posOffset>846455</wp:posOffset>
                </wp:positionH>
                <wp:positionV relativeFrom="paragraph">
                  <wp:posOffset>7943850</wp:posOffset>
                </wp:positionV>
                <wp:extent cx="668655" cy="237490"/>
                <wp:effectExtent l="0" t="0" r="0" b="635"/>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6F8" w:rsidRPr="00B07984" w:rsidRDefault="00C076F8">
                            <w:pPr>
                              <w:rPr>
                                <w:rFonts w:ascii="Arial" w:hAnsi="Arial" w:cs="Arial"/>
                                <w:sz w:val="14"/>
                                <w:szCs w:val="14"/>
                              </w:rPr>
                            </w:pPr>
                            <w:r w:rsidRPr="00B07984">
                              <w:rPr>
                                <w:rFonts w:ascii="Arial" w:hAnsi="Arial" w:cs="Arial"/>
                                <w:sz w:val="14"/>
                                <w:szCs w:val="14"/>
                              </w:rPr>
                              <w:t>Kilometres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6.65pt;margin-top:625.5pt;width:52.65pt;height:18.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" stroked="f">
                <v:textbox>
                  <w:txbxContent>
                    <w:p w:rsidR="00C076F8" w:rsidRPr="00B07984" w:rsidRDefault="00C076F8">
                      <w:pPr>
                        <w:rPr>
                          <w:rFonts w:ascii="Arial" w:hAnsi="Arial" w:cs="Arial"/>
                          <w:sz w:val="14"/>
                          <w:szCs w:val="14"/>
                        </w:rPr>
                      </w:pPr>
                      <w:r w:rsidRPr="00B07984">
                        <w:rPr>
                          <w:rFonts w:ascii="Arial" w:hAnsi="Arial" w:cs="Arial"/>
                          <w:sz w:val="14"/>
                          <w:szCs w:val="14"/>
                        </w:rPr>
                        <w:t>Kilometres</w:t>
                      </w:r>
                    </w:p>
                  </w:txbxContent>
                </v:textbox>
              </v:shape>
            </w:pict>
          </mc:Fallback>
        </mc:AlternateContent>
      </w:r>
      <w:r>
        <w:rPr>
          <w:noProof/>
        </w:rPr>
        <mc:AlternateContent>
          <mc:Choice Requires="wpg">
            <w:drawing>
              <wp:anchor distT="0" distB="0" distL="114300" distR="114300" simplePos="0" relativeHeight="251741184" behindDoc="0" locked="0" layoutInCell="1" allowOverlap="1">
                <wp:simplePos x="0" y="0"/>
                <wp:positionH relativeFrom="column">
                  <wp:posOffset>396875</wp:posOffset>
                </wp:positionH>
                <wp:positionV relativeFrom="paragraph">
                  <wp:posOffset>7908925</wp:posOffset>
                </wp:positionV>
                <wp:extent cx="1569720" cy="60325"/>
                <wp:effectExtent l="6350" t="12700" r="5080" b="12700"/>
                <wp:wrapNone/>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720" cy="60325"/>
                          <a:chOff x="2413" y="14251"/>
                          <a:chExt cx="2472" cy="95"/>
                        </a:xfrm>
                      </wpg:grpSpPr>
                      <wps:wsp>
                        <wps:cNvPr id="44" name="Rectangle 12"/>
                        <wps:cNvSpPr>
                          <a:spLocks noChangeArrowheads="1"/>
                        </wps:cNvSpPr>
                        <wps:spPr bwMode="auto">
                          <a:xfrm>
                            <a:off x="2413" y="14251"/>
                            <a:ext cx="319" cy="40"/>
                          </a:xfrm>
                          <a:prstGeom prst="rect">
                            <a:avLst/>
                          </a:prstGeom>
                          <a:solidFill>
                            <a:schemeClr val="tx1">
                              <a:lumMod val="100000"/>
                              <a:lumOff val="0"/>
                            </a:schemeClr>
                          </a:solidFill>
                          <a:ln w="9525">
                            <a:solidFill>
                              <a:srgbClr val="002060"/>
                            </a:solidFill>
                            <a:miter lim="800000"/>
                            <a:headEnd/>
                            <a:tailEnd/>
                          </a:ln>
                        </wps:spPr>
                        <wps:bodyPr rot="0" vert="horz" wrap="square" lIns="91440" tIns="45720" rIns="91440" bIns="45720" anchor="t" anchorCtr="0" upright="1">
                          <a:noAutofit/>
                        </wps:bodyPr>
                      </wps:wsp>
                      <wps:wsp>
                        <wps:cNvPr id="46" name="Rectangle 13"/>
                        <wps:cNvSpPr>
                          <a:spLocks noChangeArrowheads="1"/>
                        </wps:cNvSpPr>
                        <wps:spPr bwMode="auto">
                          <a:xfrm>
                            <a:off x="2732" y="14306"/>
                            <a:ext cx="319" cy="40"/>
                          </a:xfrm>
                          <a:prstGeom prst="rect">
                            <a:avLst/>
                          </a:prstGeom>
                          <a:solidFill>
                            <a:schemeClr val="tx1">
                              <a:lumMod val="100000"/>
                              <a:lumOff val="0"/>
                            </a:schemeClr>
                          </a:solidFill>
                          <a:ln w="9525">
                            <a:solidFill>
                              <a:srgbClr val="002060"/>
                            </a:solidFill>
                            <a:miter lim="800000"/>
                            <a:headEnd/>
                            <a:tailEnd/>
                          </a:ln>
                        </wps:spPr>
                        <wps:bodyPr rot="0" vert="horz" wrap="square" lIns="91440" tIns="45720" rIns="91440" bIns="45720" anchor="t" anchorCtr="0" upright="1">
                          <a:noAutofit/>
                        </wps:bodyPr>
                      </wps:wsp>
                      <wps:wsp>
                        <wps:cNvPr id="47" name="Rectangle 14"/>
                        <wps:cNvSpPr>
                          <a:spLocks noChangeArrowheads="1"/>
                        </wps:cNvSpPr>
                        <wps:spPr bwMode="auto">
                          <a:xfrm>
                            <a:off x="3037" y="14251"/>
                            <a:ext cx="605" cy="40"/>
                          </a:xfrm>
                          <a:prstGeom prst="rect">
                            <a:avLst/>
                          </a:prstGeom>
                          <a:solidFill>
                            <a:schemeClr val="tx1">
                              <a:lumMod val="100000"/>
                              <a:lumOff val="0"/>
                            </a:schemeClr>
                          </a:solidFill>
                          <a:ln w="9525">
                            <a:solidFill>
                              <a:srgbClr val="002060"/>
                            </a:solidFill>
                            <a:miter lim="800000"/>
                            <a:headEnd/>
                            <a:tailEnd/>
                          </a:ln>
                        </wps:spPr>
                        <wps:bodyPr rot="0" vert="horz" wrap="square" lIns="91440" tIns="45720" rIns="91440" bIns="45720" anchor="t" anchorCtr="0" upright="1">
                          <a:noAutofit/>
                        </wps:bodyPr>
                      </wps:wsp>
                      <wps:wsp>
                        <wps:cNvPr id="50" name="Rectangle 15"/>
                        <wps:cNvSpPr>
                          <a:spLocks noChangeArrowheads="1"/>
                        </wps:cNvSpPr>
                        <wps:spPr bwMode="auto">
                          <a:xfrm>
                            <a:off x="3642" y="14306"/>
                            <a:ext cx="1243" cy="40"/>
                          </a:xfrm>
                          <a:prstGeom prst="rect">
                            <a:avLst/>
                          </a:prstGeom>
                          <a:solidFill>
                            <a:schemeClr val="tx1">
                              <a:lumMod val="100000"/>
                              <a:lumOff val="0"/>
                            </a:schemeClr>
                          </a:solidFill>
                          <a:ln w="9525">
                            <a:solidFill>
                              <a:srgbClr val="00206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1.25pt;margin-top:622.75pt;width:123.6pt;height:4.75pt;z-index:251741184" coordorigin="2413,14251" coordsize="247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">
                <v:rect id="Rectangle 12" o:spid="_x0000_s1027" style="position:absolute;left:2413;top:14251;width:319;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AZcUA&#10;AADbAAAADwAAAGRycy9kb3ducmV2LnhtbESPQWsCMRSE74X+h/AKXopmFWl1NYosVHooFLUI3h7J&#10;62bp5iVs0nX9902h0OMwM98w6+3gWtFTFxvPCqaTAgSx9qbhWsHH6WW8ABETssHWMym4UYTt5v5u&#10;jaXxVz5Qf0y1yBCOJSqwKYVSyqgtOYwTH4iz9+k7hynLrpamw2uGu1bOiuJJOmw4L1gMVFnSX8dv&#10;p6B61Oflc3h714xVf7KXdr8LU6VGD8NuBSLRkP7Df+1Xo2A+h98v+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IBlxQAAANsAAAAPAAAAAAAAAAAAAAAAAJgCAABkcnMv&#10;ZG93bnJldi54bWxQSwUGAAAAAAQABAD1AAAAigMAAAAA&#10;" fillcolor="black [3213]" strokecolor="#002060"/>
                <v:rect id="Rectangle 13" o:spid="_x0000_s1028" style="position:absolute;left:2732;top:14306;width:319;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7icUA&#10;AADbAAAADwAAAGRycy9kb3ducmV2LnhtbESPQWsCMRSE74X+h/AKXopmlWJ1NYosVHooFLUI3h7J&#10;62bp5iVs0nX9902h0OMwM98w6+3gWtFTFxvPCqaTAgSx9qbhWsHH6WW8ABETssHWMym4UYTt5v5u&#10;jaXxVz5Qf0y1yBCOJSqwKYVSyqgtOYwTH4iz9+k7hynLrpamw2uGu1bOimIuHTacFywGqizpr+O3&#10;U1A96vPyOby9a8aqP9lLu9+FqVKjh2G3ApFoSP/hv/arUfA0h98v+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ruJxQAAANsAAAAPAAAAAAAAAAAAAAAAAJgCAABkcnMv&#10;ZG93bnJldi54bWxQSwUGAAAAAAQABAD1AAAAigMAAAAA&#10;" fillcolor="black [3213]" strokecolor="#002060"/>
                <v:rect id="Rectangle 14" o:spid="_x0000_s1029" style="position:absolute;left:3037;top:14251;width:605;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EsUA&#10;AADbAAAADwAAAGRycy9kb3ducmV2LnhtbESPQWsCMRSE74X+h/AKXopmlVJ1NYosVHoolGoRvD2S&#10;183SzUvYpOv675tCweMwM98w6+3gWtFTFxvPCqaTAgSx9qbhWsHn8WW8ABETssHWMym4UoTt5v5u&#10;jaXxF/6g/pBqkSEcS1RgUwqllFFbchgnPhBn78t3DlOWXS1Nh5cMd62cFcWzdNhwXrAYqLKkvw8/&#10;TkH1qE/LeXh714xVf7Tndr8LU6VGD8NuBSLRkG7h//arUfA0h78v+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h4SxQAAANsAAAAPAAAAAAAAAAAAAAAAAJgCAABkcnMv&#10;ZG93bnJldi54bWxQSwUGAAAAAAQABAD1AAAAigMAAAAA&#10;" fillcolor="black [3213]" strokecolor="#002060"/>
                <v:rect id="Rectangle 15" o:spid="_x0000_s1030" style="position:absolute;left:3642;top:14306;width:124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Qu8IA&#10;AADbAAAADwAAAGRycy9kb3ducmV2LnhtbERPy2oCMRTdC/5DuEI3UjMWqu3UKDJQ6UIQHxS6uyS3&#10;k6GTmzBJx/HvzaLQ5eG8V5vBtaKnLjaeFcxnBQhi7U3DtYLL+f3xBURMyAZbz6TgRhE26/FohaXx&#10;Vz5Sf0q1yCEcS1RgUwqllFFbchhnPhBn7tt3DlOGXS1Nh9cc7lr5VBQL6bDh3GAxUGVJ/5x+nYJq&#10;qj9fl2F/0IxVf7Zf7W4b5ko9TIbtG4hEQ/oX/7k/jILnvD5/y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hC7wgAAANsAAAAPAAAAAAAAAAAAAAAAAJgCAABkcnMvZG93&#10;bnJldi54bWxQSwUGAAAAAAQABAD1AAAAhwMAAAAA&#10;" fillcolor="black [3213]" strokecolor="#002060"/>
              </v:group>
            </w:pict>
          </mc:Fallback>
        </mc:AlternateContent>
      </w:r>
      <w:r>
        <w:rPr>
          <w:noProof/>
        </w:rPr>
        <mc:AlternateContent>
          <mc:Choice Requires="wps">
            <w:drawing>
              <wp:anchor distT="0" distB="0" distL="114300" distR="114300" simplePos="0" relativeHeight="251737599" behindDoc="0" locked="0" layoutInCell="1" allowOverlap="1">
                <wp:simplePos x="0" y="0"/>
                <wp:positionH relativeFrom="column">
                  <wp:posOffset>281940</wp:posOffset>
                </wp:positionH>
                <wp:positionV relativeFrom="paragraph">
                  <wp:posOffset>7880350</wp:posOffset>
                </wp:positionV>
                <wp:extent cx="1678940" cy="134620"/>
                <wp:effectExtent l="0" t="3175" r="1270" b="0"/>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940" cy="1346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2.2pt;margin-top:620.5pt;width:132.2pt;height:10.6pt;z-index:251737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" fillcolor="white [3212]" stroked="f"/>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1783715</wp:posOffset>
                </wp:positionH>
                <wp:positionV relativeFrom="paragraph">
                  <wp:posOffset>7757795</wp:posOffset>
                </wp:positionV>
                <wp:extent cx="403860" cy="179705"/>
                <wp:effectExtent l="2540" t="4445" r="3175" b="0"/>
                <wp:wrapNone/>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6F8" w:rsidRPr="00BA31B5" w:rsidRDefault="00C076F8" w:rsidP="00BA31B5">
                            <w:pPr>
                              <w:rPr>
                                <w:rFonts w:ascii="Arial" w:hAnsi="Arial" w:cs="Arial"/>
                                <w:sz w:val="14"/>
                                <w:szCs w:val="14"/>
                              </w:rPr>
                            </w:pPr>
                            <w:r>
                              <w:rPr>
                                <w:rFonts w:ascii="Arial" w:hAnsi="Arial" w:cs="Arial"/>
                                <w:sz w:val="14"/>
                                <w:szCs w:val="14"/>
                              </w:rPr>
                              <w:t>2778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40.45pt;margin-top:610.85pt;width:31.8pt;height:1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" stroked="f">
                <v:textbox>
                  <w:txbxContent>
                    <w:p w:rsidR="00C076F8" w:rsidRPr="00BA31B5" w:rsidRDefault="00C076F8" w:rsidP="00BA31B5">
                      <w:pPr>
                        <w:rPr>
                          <w:rFonts w:ascii="Arial" w:hAnsi="Arial" w:cs="Arial"/>
                          <w:sz w:val="14"/>
                          <w:szCs w:val="14"/>
                        </w:rPr>
                      </w:pPr>
                      <w:r>
                        <w:rPr>
                          <w:rFonts w:ascii="Arial" w:hAnsi="Arial" w:cs="Arial"/>
                          <w:sz w:val="14"/>
                          <w:szCs w:val="14"/>
                        </w:rPr>
                        <w:t>2778</w:t>
                      </w:r>
                    </w:p>
                  </w:txbxContent>
                </v:textbox>
              </v:shape>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281940</wp:posOffset>
                </wp:positionH>
                <wp:positionV relativeFrom="paragraph">
                  <wp:posOffset>7757795</wp:posOffset>
                </wp:positionV>
                <wp:extent cx="204470" cy="185420"/>
                <wp:effectExtent l="0" t="4445" r="0" b="63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6F8" w:rsidRPr="00BA31B5" w:rsidRDefault="00C076F8" w:rsidP="00BA31B5">
                            <w:pPr>
                              <w:rPr>
                                <w:rFonts w:ascii="Arial" w:hAnsi="Arial" w:cs="Arial"/>
                                <w:sz w:val="14"/>
                                <w:szCs w:val="14"/>
                              </w:rPr>
                            </w:pPr>
                            <w:r>
                              <w:rPr>
                                <w:rFonts w:ascii="Arial" w:hAnsi="Arial" w:cs="Arial"/>
                                <w:sz w:val="14"/>
                                <w:szCs w:val="1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2.2pt;margin-top:610.85pt;width:16.1pt;height:14.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" stroked="f">
                <v:textbox>
                  <w:txbxContent>
                    <w:p w:rsidR="00C076F8" w:rsidRPr="00BA31B5" w:rsidRDefault="00C076F8" w:rsidP="00BA31B5">
                      <w:pPr>
                        <w:rPr>
                          <w:rFonts w:ascii="Arial" w:hAnsi="Arial" w:cs="Arial"/>
                          <w:sz w:val="14"/>
                          <w:szCs w:val="14"/>
                        </w:rPr>
                      </w:pPr>
                      <w:r>
                        <w:rPr>
                          <w:rFonts w:ascii="Arial" w:hAnsi="Arial" w:cs="Arial"/>
                          <w:sz w:val="14"/>
                          <w:szCs w:val="14"/>
                        </w:rPr>
                        <w:t>0</w:t>
                      </w:r>
                    </w:p>
                  </w:txbxContent>
                </v:textbox>
              </v:shape>
            </w:pict>
          </mc:Fallback>
        </mc:AlternateContent>
      </w:r>
      <w:r w:rsidR="00BD549B" w:rsidRPr="00BD549B">
        <w:t>Source: City of Ballarat</w:t>
      </w:r>
    </w:p>
    <w:p w:rsidR="00F93A5F" w:rsidRPr="005B01F7" w:rsidRDefault="009F09AE" w:rsidP="005B01F7">
      <w:pPr>
        <w:pStyle w:val="Heading3"/>
      </w:pPr>
      <w:r w:rsidRPr="005B01F7">
        <w:lastRenderedPageBreak/>
        <w:t>Land use planning response</w:t>
      </w:r>
    </w:p>
    <w:p w:rsidR="008F1881" w:rsidRPr="008F1881" w:rsidRDefault="001114E3" w:rsidP="00DA6342">
      <w:pPr>
        <w:pStyle w:val="bt"/>
      </w:pPr>
      <w:r w:rsidRPr="008F1881">
        <w:t xml:space="preserve">The plan aims to ensure that appropriate levels of residential land are available throughout the region. A key attribute of the Central Highlands is its uneven distribution of growth, </w:t>
      </w:r>
      <w:r w:rsidR="00301FFF">
        <w:t xml:space="preserve">although </w:t>
      </w:r>
      <w:r w:rsidRPr="008F1881">
        <w:t>centres such as Stawell-Ararat and Avoca, which are situated outside the area</w:t>
      </w:r>
      <w:r w:rsidR="00F14B3D">
        <w:t>s</w:t>
      </w:r>
      <w:r w:rsidRPr="008F1881">
        <w:t xml:space="preserve"> of highest growth pressure, still play an important sub-regional role. Settlements such as these are identified </w:t>
      </w:r>
      <w:r w:rsidR="00A56D72">
        <w:t xml:space="preserve">in the plan </w:t>
      </w:r>
      <w:r w:rsidRPr="008F1881">
        <w:t>to accommodate medium or limited levels of growth</w:t>
      </w:r>
      <w:r w:rsidR="00D9057D">
        <w:t>. A</w:t>
      </w:r>
      <w:r w:rsidRPr="008F1881">
        <w:t>lthough</w:t>
      </w:r>
      <w:r w:rsidR="00D9057D">
        <w:t xml:space="preserve"> growth will</w:t>
      </w:r>
      <w:r w:rsidRPr="008F1881">
        <w:t xml:space="preserve"> not</w:t>
      </w:r>
      <w:r w:rsidR="00D9057D">
        <w:t xml:space="preserve"> be</w:t>
      </w:r>
      <w:r w:rsidRPr="008F1881">
        <w:t xml:space="preserve"> on the same scale </w:t>
      </w:r>
      <w:r w:rsidR="00301FFF">
        <w:t xml:space="preserve">as that </w:t>
      </w:r>
      <w:r w:rsidRPr="008F1881">
        <w:t>planned for Ballarat and Bacchus Marsh,</w:t>
      </w:r>
      <w:r w:rsidR="00D9057D">
        <w:t xml:space="preserve"> communities and economies in these settlements will experience significant benefits from the projected growth. </w:t>
      </w:r>
      <w:r w:rsidRPr="008F1881">
        <w:t xml:space="preserve"> </w:t>
      </w:r>
    </w:p>
    <w:p w:rsidR="008F1881" w:rsidRPr="008F1881" w:rsidRDefault="00CF6F6E" w:rsidP="00DA6342">
      <w:pPr>
        <w:pStyle w:val="bt"/>
      </w:pPr>
      <w:r w:rsidRPr="008F1881">
        <w:t xml:space="preserve">The </w:t>
      </w:r>
      <w:r w:rsidR="006F61DF" w:rsidRPr="008F1881">
        <w:t>plan</w:t>
      </w:r>
      <w:r w:rsidRPr="008F1881">
        <w:t xml:space="preserve"> recognises the </w:t>
      </w:r>
      <w:r w:rsidR="00310955" w:rsidRPr="008F1881">
        <w:t>important, and in many cases</w:t>
      </w:r>
      <w:r w:rsidR="00301FFF">
        <w:t>,</w:t>
      </w:r>
      <w:r w:rsidR="00310955" w:rsidRPr="008F1881">
        <w:t xml:space="preserve"> mutually beneficial relationships that exist between </w:t>
      </w:r>
      <w:r w:rsidRPr="008F1881">
        <w:t xml:space="preserve">settlements in the region and takes a regional perspective of the role and function of each settlement in providing services to local communities. The </w:t>
      </w:r>
      <w:r w:rsidR="006F61DF" w:rsidRPr="008F1881">
        <w:t>plan</w:t>
      </w:r>
      <w:r w:rsidRPr="008F1881">
        <w:t xml:space="preserve"> recognises the need to plan for growth and provision of services </w:t>
      </w:r>
      <w:r w:rsidR="00740FDC" w:rsidRPr="008F1881">
        <w:t xml:space="preserve">around groups of centres providing complementary facilities, housing or jobs for each other (local </w:t>
      </w:r>
      <w:r w:rsidR="0007023D">
        <w:t>clusters</w:t>
      </w:r>
      <w:r w:rsidR="00740FDC" w:rsidRPr="008F1881">
        <w:t>).</w:t>
      </w:r>
    </w:p>
    <w:p w:rsidR="00F93A5F" w:rsidRPr="005B01F7" w:rsidRDefault="00740FDC" w:rsidP="005B01F7">
      <w:pPr>
        <w:pStyle w:val="Heading2"/>
      </w:pPr>
      <w:bookmarkStart w:id="67" w:name="_Toc300560856"/>
      <w:bookmarkStart w:id="68" w:name="_Toc349557695"/>
      <w:bookmarkStart w:id="69" w:name="_Toc374527595"/>
      <w:r w:rsidRPr="005B01F7">
        <w:t xml:space="preserve">Housing </w:t>
      </w:r>
      <w:r w:rsidR="00661931" w:rsidRPr="005B01F7">
        <w:t xml:space="preserve">diversity </w:t>
      </w:r>
      <w:r w:rsidRPr="005B01F7">
        <w:t xml:space="preserve">and </w:t>
      </w:r>
      <w:bookmarkEnd w:id="67"/>
      <w:bookmarkEnd w:id="68"/>
      <w:r w:rsidR="00661931" w:rsidRPr="005B01F7">
        <w:t>affordability</w:t>
      </w:r>
      <w:bookmarkEnd w:id="69"/>
    </w:p>
    <w:p w:rsidR="00F93A5F" w:rsidRPr="005B01F7" w:rsidRDefault="009F09AE" w:rsidP="005B01F7">
      <w:pPr>
        <w:pStyle w:val="Heading3"/>
      </w:pPr>
      <w:r w:rsidRPr="005B01F7">
        <w:t xml:space="preserve">Description and </w:t>
      </w:r>
      <w:r w:rsidR="00661931" w:rsidRPr="005B01F7">
        <w:t>analysis</w:t>
      </w:r>
    </w:p>
    <w:p w:rsidR="00740FDC" w:rsidRPr="00E05B23" w:rsidRDefault="00740FDC" w:rsidP="00DA6342">
      <w:pPr>
        <w:pStyle w:val="bt"/>
      </w:pPr>
      <w:r w:rsidRPr="008F1881">
        <w:t>There are significant differences in the supply</w:t>
      </w:r>
      <w:r w:rsidR="00ED0FEB" w:rsidRPr="008F1881">
        <w:t xml:space="preserve"> of</w:t>
      </w:r>
      <w:r w:rsidR="00E05B23">
        <w:t>,</w:t>
      </w:r>
      <w:r w:rsidRPr="008F1881">
        <w:t xml:space="preserve"> and </w:t>
      </w:r>
      <w:r w:rsidR="00ED0FEB" w:rsidRPr="008F1881">
        <w:t>demand for</w:t>
      </w:r>
      <w:r w:rsidR="00E05B23">
        <w:t>,</w:t>
      </w:r>
      <w:r w:rsidRPr="008F1881">
        <w:t xml:space="preserve"> housing across the Central Highlands</w:t>
      </w:r>
      <w:r w:rsidR="00ED0FEB" w:rsidRPr="008F1881">
        <w:t xml:space="preserve"> region</w:t>
      </w:r>
      <w:r w:rsidRPr="008F1881">
        <w:t>.</w:t>
      </w:r>
      <w:r w:rsidR="00D95AD6" w:rsidRPr="008F1881">
        <w:t xml:space="preserve"> The supply of housing across the region should ideally reflect and anticipate the housing and service needs of new and existing residents and should consider access to employment, social infrastructure and transport. </w:t>
      </w:r>
      <w:r w:rsidR="00ED0FEB" w:rsidRPr="008F1881">
        <w:t xml:space="preserve">Recognising </w:t>
      </w:r>
      <w:r w:rsidRPr="008F1881">
        <w:t>the</w:t>
      </w:r>
      <w:r w:rsidR="00D95AD6" w:rsidRPr="008F1881">
        <w:t xml:space="preserve">se dynamic needs </w:t>
      </w:r>
      <w:r w:rsidRPr="008F1881">
        <w:t xml:space="preserve">can contribute to </w:t>
      </w:r>
      <w:r w:rsidR="00E05B23">
        <w:t xml:space="preserve">the </w:t>
      </w:r>
      <w:r w:rsidRPr="008F1881">
        <w:t>understanding of internal and external migration and whether the housing markets adequately meet the needs of communities or workforces. For example</w:t>
      </w:r>
      <w:r w:rsidR="008716F5">
        <w:t>,</w:t>
      </w:r>
      <w:r w:rsidRPr="008F1881">
        <w:t xml:space="preserve"> </w:t>
      </w:r>
      <w:r w:rsidR="007460E3">
        <w:t>in Ballarat 29.</w:t>
      </w:r>
      <w:r w:rsidR="007460E3" w:rsidRPr="00E05B23">
        <w:t>4</w:t>
      </w:r>
      <w:r w:rsidR="00E05B23">
        <w:t xml:space="preserve"> </w:t>
      </w:r>
      <w:r w:rsidR="001F619E" w:rsidRPr="001F619E">
        <w:t>per cent</w:t>
      </w:r>
      <w:r w:rsidR="007460E3" w:rsidRPr="00E05B23">
        <w:t xml:space="preserve"> of private occupied dwellings were being rented, while in Golden Plains</w:t>
      </w:r>
      <w:r w:rsidR="00047312">
        <w:t xml:space="preserve"> Shire</w:t>
      </w:r>
      <w:r w:rsidR="007460E3" w:rsidRPr="00E05B23">
        <w:t>, just 8.7</w:t>
      </w:r>
      <w:r w:rsidR="00E05B23">
        <w:t xml:space="preserve"> </w:t>
      </w:r>
      <w:r w:rsidR="001F619E" w:rsidRPr="001F619E">
        <w:t>per cent</w:t>
      </w:r>
      <w:r w:rsidR="007460E3" w:rsidRPr="00E05B23">
        <w:t xml:space="preserve"> of private occupi</w:t>
      </w:r>
      <w:r w:rsidR="00E272B5" w:rsidRPr="00E05B23">
        <w:t xml:space="preserve">ed dwellings were being rented </w:t>
      </w:r>
      <w:r w:rsidRPr="00E05B23">
        <w:t>(</w:t>
      </w:r>
      <w:r w:rsidR="000D49BF">
        <w:t>Australian Bureau of Statistics</w:t>
      </w:r>
      <w:r w:rsidRPr="00E05B23">
        <w:t>, 20</w:t>
      </w:r>
      <w:r w:rsidR="00342C21" w:rsidRPr="00E05B23">
        <w:t>11</w:t>
      </w:r>
      <w:r w:rsidRPr="00E05B23">
        <w:t xml:space="preserve">). </w:t>
      </w:r>
      <w:r w:rsidR="005238EA" w:rsidRPr="00E05B23">
        <w:t xml:space="preserve">Diversity of housing can impact </w:t>
      </w:r>
      <w:r w:rsidRPr="00E05B23">
        <w:t xml:space="preserve">on the ability of some communities to attract skilled workers and thus affect service provision and the local economy. Given </w:t>
      </w:r>
      <w:r w:rsidR="005238EA" w:rsidRPr="00E05B23">
        <w:t xml:space="preserve">the </w:t>
      </w:r>
      <w:r w:rsidRPr="00E05B23">
        <w:t xml:space="preserve">ageing population, the mix of housing available is also an </w:t>
      </w:r>
      <w:r w:rsidR="00641CDB" w:rsidRPr="00E05B23">
        <w:t xml:space="preserve">important </w:t>
      </w:r>
      <w:r w:rsidRPr="00E05B23">
        <w:t>issue.</w:t>
      </w:r>
    </w:p>
    <w:p w:rsidR="00813B28" w:rsidRDefault="00740FDC" w:rsidP="00F95347">
      <w:pPr>
        <w:pStyle w:val="bt"/>
      </w:pPr>
      <w:r w:rsidRPr="00E05B23">
        <w:t>There is a notable disparity in house price</w:t>
      </w:r>
      <w:r w:rsidR="00E05B23">
        <w:t>s</w:t>
      </w:r>
      <w:r w:rsidRPr="00E05B23">
        <w:t xml:space="preserve"> between the east and west of the region, with Ballarat</w:t>
      </w:r>
      <w:r w:rsidR="00047312">
        <w:t xml:space="preserve"> City and the </w:t>
      </w:r>
      <w:r w:rsidRPr="00E05B23">
        <w:t xml:space="preserve">Golden Plains, Hepburn and Moorabool </w:t>
      </w:r>
      <w:r w:rsidR="00047312">
        <w:t xml:space="preserve">shires </w:t>
      </w:r>
      <w:r w:rsidRPr="00E05B23">
        <w:t xml:space="preserve">tracking around or above the regional Victorian average </w:t>
      </w:r>
      <w:r w:rsidR="000A44A6">
        <w:t>(refer to</w:t>
      </w:r>
      <w:r w:rsidRPr="00E05B23">
        <w:t xml:space="preserve"> </w:t>
      </w:r>
      <w:r w:rsidR="00631B16">
        <w:fldChar w:fldCharType="begin"/>
      </w:r>
      <w:r w:rsidR="00631B16">
        <w:instrText xml:space="preserve"> REF _Ref349215054 \h  \* MERGEFORMAT </w:instrText>
      </w:r>
      <w:r w:rsidR="00631B16">
        <w:fldChar w:fldCharType="separate"/>
      </w:r>
      <w:r w:rsidR="00907B42" w:rsidRPr="00D42DE9">
        <w:t xml:space="preserve">Figure </w:t>
      </w:r>
      <w:r w:rsidR="00907B42">
        <w:rPr>
          <w:noProof/>
        </w:rPr>
        <w:t>10</w:t>
      </w:r>
      <w:r w:rsidR="00631B16">
        <w:fldChar w:fldCharType="end"/>
      </w:r>
      <w:r w:rsidRPr="00E05B23">
        <w:t xml:space="preserve">). </w:t>
      </w:r>
      <w:r w:rsidR="00C04E1E" w:rsidRPr="00E05B23">
        <w:t xml:space="preserve">Demand for housing in towns within commuting distance to Melbourne, Ballarat and Geelong has contributed to the rise. </w:t>
      </w:r>
      <w:r w:rsidRPr="00E05B23">
        <w:t xml:space="preserve">Median house prices in the Central Highlands </w:t>
      </w:r>
      <w:r w:rsidR="00E05B23">
        <w:t xml:space="preserve">have </w:t>
      </w:r>
      <w:r w:rsidRPr="00E05B23">
        <w:t xml:space="preserve">increased about two-fold, </w:t>
      </w:r>
      <w:r w:rsidR="00641CDB" w:rsidRPr="00E05B23">
        <w:t xml:space="preserve">(around </w:t>
      </w:r>
      <w:r w:rsidRPr="00E05B23">
        <w:t>115 per</w:t>
      </w:r>
      <w:r w:rsidR="00E05B23">
        <w:t xml:space="preserve"> </w:t>
      </w:r>
      <w:r w:rsidRPr="00E05B23">
        <w:t>cent</w:t>
      </w:r>
      <w:r w:rsidR="00641CDB" w:rsidRPr="00E05B23">
        <w:t>)</w:t>
      </w:r>
      <w:r w:rsidRPr="00E05B23">
        <w:t xml:space="preserve"> since 2000.</w:t>
      </w:r>
    </w:p>
    <w:p w:rsidR="00813B28" w:rsidRDefault="00813B28">
      <w:pPr>
        <w:spacing w:after="200" w:line="276" w:lineRule="auto"/>
        <w:jc w:val="left"/>
        <w:rPr>
          <w:rFonts w:ascii="Calibri" w:eastAsiaTheme="minorEastAsia" w:hAnsi="Calibri" w:cstheme="minorBidi"/>
        </w:rPr>
      </w:pPr>
      <w:r>
        <w:br w:type="page"/>
      </w:r>
    </w:p>
    <w:p w:rsidR="00DA6342" w:rsidRPr="00D42DE9" w:rsidRDefault="00C820C0" w:rsidP="00D42DE9">
      <w:pPr>
        <w:pStyle w:val="Caption"/>
      </w:pPr>
      <w:bookmarkStart w:id="70" w:name="_Ref349215054"/>
      <w:r>
        <w:rPr>
          <w:noProof/>
        </w:rPr>
        <w:lastRenderedPageBreak/>
        <w:drawing>
          <wp:anchor distT="0" distB="0" distL="114300" distR="114300" simplePos="0" relativeHeight="251668480" behindDoc="0" locked="0" layoutInCell="1" allowOverlap="1">
            <wp:simplePos x="0" y="0"/>
            <wp:positionH relativeFrom="column">
              <wp:posOffset>-127000</wp:posOffset>
            </wp:positionH>
            <wp:positionV relativeFrom="paragraph">
              <wp:posOffset>292735</wp:posOffset>
            </wp:positionV>
            <wp:extent cx="6362700" cy="2740660"/>
            <wp:effectExtent l="0" t="0" r="0" b="0"/>
            <wp:wrapTopAndBottom/>
            <wp:docPr id="33" name="Picture 13" descr="Chart showing median house prices for the Central Highlands from 2000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hart showing median house prices for the Central Highlands from 2000 to 2011"/>
                    <pic:cNvPicPr>
                      <a:picLocks noChangeAspect="1" noChangeArrowheads="1"/>
                    </pic:cNvPicPr>
                  </pic:nvPicPr>
                  <pic:blipFill>
                    <a:blip r:embed="rId28" cstate="email"/>
                    <a:srcRect t="957" b="7860"/>
                    <a:stretch>
                      <a:fillRect/>
                    </a:stretch>
                  </pic:blipFill>
                  <pic:spPr bwMode="auto">
                    <a:xfrm>
                      <a:off x="0" y="0"/>
                      <a:ext cx="6362700" cy="2740660"/>
                    </a:xfrm>
                    <a:prstGeom prst="rect">
                      <a:avLst/>
                    </a:prstGeom>
                    <a:noFill/>
                    <a:ln w="9525">
                      <a:noFill/>
                      <a:miter lim="800000"/>
                      <a:headEnd/>
                      <a:tailEnd/>
                    </a:ln>
                  </pic:spPr>
                </pic:pic>
              </a:graphicData>
            </a:graphic>
          </wp:anchor>
        </w:drawing>
      </w:r>
      <w:bookmarkStart w:id="71" w:name="_Toc381698010"/>
      <w:r w:rsidR="00ED0FEB" w:rsidRPr="00D42DE9">
        <w:t xml:space="preserve">Figure </w:t>
      </w:r>
      <w:r w:rsidR="009F388E">
        <w:fldChar w:fldCharType="begin"/>
      </w:r>
      <w:r w:rsidR="00821C7F">
        <w:instrText xml:space="preserve"> SEQ Figure \* ARABIC </w:instrText>
      </w:r>
      <w:r w:rsidR="009F388E">
        <w:fldChar w:fldCharType="separate"/>
      </w:r>
      <w:r w:rsidR="00907B42">
        <w:rPr>
          <w:noProof/>
        </w:rPr>
        <w:t>10</w:t>
      </w:r>
      <w:r w:rsidR="009F388E">
        <w:fldChar w:fldCharType="end"/>
      </w:r>
      <w:bookmarkEnd w:id="70"/>
      <w:r w:rsidR="002D189F" w:rsidRPr="00D42DE9">
        <w:t>:</w:t>
      </w:r>
      <w:r w:rsidR="00740FDC" w:rsidRPr="00D42DE9">
        <w:t xml:space="preserve"> Median house prices</w:t>
      </w:r>
      <w:bookmarkEnd w:id="71"/>
    </w:p>
    <w:p w:rsidR="00C820C0" w:rsidRDefault="00DA6342" w:rsidP="00070916">
      <w:pPr>
        <w:pStyle w:val="Source0"/>
      </w:pPr>
      <w:r>
        <w:t>S</w:t>
      </w:r>
      <w:r w:rsidRPr="008F1881">
        <w:t xml:space="preserve">ource: </w:t>
      </w:r>
      <w:r w:rsidR="000D49BF">
        <w:t>Department of Sustainability and Environment</w:t>
      </w:r>
    </w:p>
    <w:p w:rsidR="00740FDC" w:rsidRPr="008F1881" w:rsidRDefault="00740FDC" w:rsidP="00DA6342">
      <w:pPr>
        <w:pStyle w:val="bt"/>
      </w:pPr>
      <w:r w:rsidRPr="008F1881">
        <w:t xml:space="preserve">The </w:t>
      </w:r>
      <w:r w:rsidR="0069443A" w:rsidRPr="000B40E8">
        <w:t>Central Highlands Regional Strategic Plan</w:t>
      </w:r>
      <w:r w:rsidRPr="008F1881">
        <w:t xml:space="preserve"> </w:t>
      </w:r>
      <w:r w:rsidR="007F2E01" w:rsidRPr="00AD7504">
        <w:rPr>
          <w:rStyle w:val="Emphasis"/>
          <w:i w:val="0"/>
        </w:rPr>
        <w:t>(page 13)</w:t>
      </w:r>
      <w:r w:rsidR="006B1F55">
        <w:rPr>
          <w:rStyle w:val="Emphasis"/>
          <w:i w:val="0"/>
        </w:rPr>
        <w:t xml:space="preserve"> </w:t>
      </w:r>
      <w:r w:rsidRPr="008F1881">
        <w:t>expressed a view that the range of housing options across the region does not match the current and projected needs of many households as follows:</w:t>
      </w:r>
    </w:p>
    <w:p w:rsidR="00740FDC" w:rsidRPr="00AD7504" w:rsidRDefault="004F0E76" w:rsidP="005A0F47">
      <w:pPr>
        <w:pStyle w:val="bt"/>
        <w:ind w:left="720"/>
        <w:rPr>
          <w:rStyle w:val="Emphasis"/>
          <w:i w:val="0"/>
        </w:rPr>
      </w:pPr>
      <w:r>
        <w:rPr>
          <w:rStyle w:val="Emphasis"/>
          <w:i w:val="0"/>
        </w:rPr>
        <w:t>“</w:t>
      </w:r>
      <w:r w:rsidR="00740FDC" w:rsidRPr="00AD7504">
        <w:rPr>
          <w:rStyle w:val="Emphasis"/>
          <w:i w:val="0"/>
        </w:rPr>
        <w:t>Much of the type, form and location of residential areas and new housing being built in the region is working against the likely future needs of many households. Household sizes are getting smaller, single person households are increasing and households are often structured differently to traditional forms and sizes. These changes have implications for the supply of relevant forms of housing.</w:t>
      </w:r>
      <w:r w:rsidR="004347E9" w:rsidRPr="00AD7504">
        <w:rPr>
          <w:rStyle w:val="Emphasis"/>
          <w:i w:val="0"/>
        </w:rPr>
        <w:t xml:space="preserve"> </w:t>
      </w:r>
      <w:r w:rsidR="00740FDC" w:rsidRPr="00AD7504">
        <w:rPr>
          <w:rStyle w:val="Emphasis"/>
          <w:i w:val="0"/>
        </w:rPr>
        <w:t>New urban development and residential layouts across the region do not necessarily support the provision of cost effective and</w:t>
      </w:r>
      <w:r w:rsidR="005A0F47">
        <w:rPr>
          <w:rStyle w:val="Emphasis"/>
          <w:i w:val="0"/>
        </w:rPr>
        <w:t xml:space="preserve"> sustainable transport systems.</w:t>
      </w:r>
      <w:r>
        <w:rPr>
          <w:rStyle w:val="Emphasis"/>
          <w:i w:val="0"/>
        </w:rPr>
        <w:t>”</w:t>
      </w:r>
      <w:r w:rsidR="00740FDC" w:rsidRPr="00AD7504">
        <w:rPr>
          <w:rStyle w:val="Emphasis"/>
          <w:i w:val="0"/>
        </w:rPr>
        <w:t xml:space="preserve"> </w:t>
      </w:r>
    </w:p>
    <w:p w:rsidR="00A616AD" w:rsidRPr="008F1881" w:rsidRDefault="00A616AD" w:rsidP="00DA6342">
      <w:pPr>
        <w:pStyle w:val="bt"/>
      </w:pPr>
      <w:r w:rsidRPr="008F1881">
        <w:t xml:space="preserve">In addition, </w:t>
      </w:r>
      <w:r w:rsidR="0007023D">
        <w:t xml:space="preserve">the </w:t>
      </w:r>
      <w:r w:rsidRPr="008F1881">
        <w:t>supply of appropriate housing must consider the housing needs created by the emergence of large construction and infrastructure projects such as the Western Hig</w:t>
      </w:r>
      <w:r w:rsidR="00342C21" w:rsidRPr="008F1881">
        <w:t>h</w:t>
      </w:r>
      <w:r w:rsidRPr="008F1881">
        <w:t>way development and the expansion of the Ararat and Langi Kal Kal prisons. Housing to address the needs of students migrating to regional universities and TAFE is also required.</w:t>
      </w:r>
    </w:p>
    <w:p w:rsidR="00740FDC" w:rsidRPr="008F1881" w:rsidRDefault="00E272B5" w:rsidP="00DA6342">
      <w:pPr>
        <w:pStyle w:val="bt"/>
      </w:pPr>
      <w:r>
        <w:t>Although</w:t>
      </w:r>
      <w:r w:rsidRPr="008F1881">
        <w:t xml:space="preserve"> </w:t>
      </w:r>
      <w:r w:rsidR="00740FDC" w:rsidRPr="008F1881">
        <w:t xml:space="preserve">the </w:t>
      </w:r>
      <w:r w:rsidR="0069443A" w:rsidRPr="000B40E8">
        <w:t>Central Highlands Regional Strategic Plan</w:t>
      </w:r>
      <w:r w:rsidR="00740FDC" w:rsidRPr="008F1881">
        <w:t xml:space="preserve"> acknowledges the potential future gaps in housing needs, the strategic directions and actions component of </w:t>
      </w:r>
      <w:r w:rsidR="0057086D">
        <w:t>that</w:t>
      </w:r>
      <w:r w:rsidR="00740FDC" w:rsidRPr="008F1881">
        <w:t xml:space="preserve"> plan only focus on housing options within Ballarat and particularly the revitalisation of the </w:t>
      </w:r>
      <w:r w:rsidR="00F14B3D" w:rsidRPr="003D1722">
        <w:t>central business district</w:t>
      </w:r>
      <w:r w:rsidR="00740FDC" w:rsidRPr="008F1881">
        <w:t>.</w:t>
      </w:r>
    </w:p>
    <w:p w:rsidR="00740FDC" w:rsidRPr="008F1881" w:rsidRDefault="00740FDC" w:rsidP="00DA6342">
      <w:pPr>
        <w:pStyle w:val="bt"/>
        <w:rPr>
          <w:b/>
        </w:rPr>
      </w:pPr>
      <w:r w:rsidRPr="008F1881">
        <w:t xml:space="preserve">A wider understanding of housing needs across the region is important. According to the </w:t>
      </w:r>
      <w:r w:rsidR="00E05B23">
        <w:t xml:space="preserve">Department of Planning and Community Development’s </w:t>
      </w:r>
      <w:r w:rsidRPr="008F1881">
        <w:t>report</w:t>
      </w:r>
      <w:r w:rsidR="00E05B23">
        <w:t xml:space="preserve"> </w:t>
      </w:r>
      <w:r w:rsidR="004F0E76">
        <w:t>‘</w:t>
      </w:r>
      <w:r w:rsidRPr="000B40E8">
        <w:t>Change and disadvantage in regional Victoria: an overview</w:t>
      </w:r>
      <w:r w:rsidR="004F0E76">
        <w:t>’</w:t>
      </w:r>
      <w:r w:rsidRPr="000B40E8">
        <w:t xml:space="preserve"> </w:t>
      </w:r>
      <w:r w:rsidR="004F0E76">
        <w:t>(</w:t>
      </w:r>
      <w:r w:rsidRPr="000B40E8">
        <w:t>2011</w:t>
      </w:r>
      <w:r w:rsidR="004F0E76">
        <w:t>)</w:t>
      </w:r>
      <w:r w:rsidRPr="000B40E8">
        <w:t xml:space="preserve">, </w:t>
      </w:r>
      <w:r w:rsidRPr="008F1881">
        <w:t>rising house prices result in some populations becoming concentrated in low service areas.</w:t>
      </w:r>
      <w:r w:rsidR="00BD549B" w:rsidRPr="00BD549B">
        <w:t xml:space="preserve"> </w:t>
      </w:r>
      <w:r w:rsidRPr="008F1881">
        <w:t>Three groups will be affected</w:t>
      </w:r>
      <w:r w:rsidR="008473DA" w:rsidRPr="008F1881">
        <w:t>, as follows:</w:t>
      </w:r>
    </w:p>
    <w:p w:rsidR="00740FDC" w:rsidRPr="00DA6342" w:rsidRDefault="00740FDC" w:rsidP="00DA6342">
      <w:pPr>
        <w:pStyle w:val="ListBullet"/>
        <w:rPr>
          <w:szCs w:val="20"/>
        </w:rPr>
      </w:pPr>
      <w:r w:rsidRPr="00DA6342">
        <w:rPr>
          <w:szCs w:val="20"/>
        </w:rPr>
        <w:t>Residents who move into low service areas from high amenity areas, such as metropolitan areas, as house prices rise</w:t>
      </w:r>
      <w:r w:rsidR="008C47D6" w:rsidRPr="00DA6342">
        <w:rPr>
          <w:szCs w:val="20"/>
        </w:rPr>
        <w:t>,</w:t>
      </w:r>
      <w:r w:rsidR="008C47D6" w:rsidRPr="00DA6342" w:rsidDel="008C47D6">
        <w:rPr>
          <w:szCs w:val="20"/>
        </w:rPr>
        <w:t xml:space="preserve"> </w:t>
      </w:r>
      <w:r w:rsidRPr="00DA6342">
        <w:rPr>
          <w:szCs w:val="20"/>
        </w:rPr>
        <w:t>particularly as amenity migration has generally not resulted in new houses being built (Barr</w:t>
      </w:r>
      <w:r w:rsidR="0007023D" w:rsidRPr="00DA6342">
        <w:rPr>
          <w:szCs w:val="20"/>
        </w:rPr>
        <w:t>,</w:t>
      </w:r>
      <w:r w:rsidR="00DA6342" w:rsidRPr="00DA6342">
        <w:t xml:space="preserve"> 2009).</w:t>
      </w:r>
    </w:p>
    <w:p w:rsidR="00311E4A" w:rsidRPr="00F95347" w:rsidRDefault="00740FDC" w:rsidP="00F95347">
      <w:pPr>
        <w:pStyle w:val="ListBullet"/>
      </w:pPr>
      <w:r w:rsidRPr="00DA6342">
        <w:rPr>
          <w:szCs w:val="20"/>
        </w:rPr>
        <w:t>Existing residents in low service areas who are unable to move to more expensive serviced localities when their need for services increases</w:t>
      </w:r>
      <w:r w:rsidR="008C47D6" w:rsidRPr="00DA6342">
        <w:rPr>
          <w:szCs w:val="20"/>
        </w:rPr>
        <w:t xml:space="preserve"> due to </w:t>
      </w:r>
      <w:r w:rsidRPr="00DA6342">
        <w:rPr>
          <w:szCs w:val="20"/>
        </w:rPr>
        <w:t>age, disab</w:t>
      </w:r>
      <w:r w:rsidR="008C47D6" w:rsidRPr="00DA6342">
        <w:rPr>
          <w:szCs w:val="20"/>
        </w:rPr>
        <w:t>ility</w:t>
      </w:r>
      <w:r w:rsidRPr="00DA6342">
        <w:rPr>
          <w:szCs w:val="20"/>
        </w:rPr>
        <w:t xml:space="preserve"> or </w:t>
      </w:r>
      <w:r w:rsidR="008C47D6" w:rsidRPr="00DA6342">
        <w:rPr>
          <w:szCs w:val="20"/>
        </w:rPr>
        <w:t xml:space="preserve">the </w:t>
      </w:r>
      <w:r w:rsidRPr="00DA6342">
        <w:rPr>
          <w:szCs w:val="20"/>
        </w:rPr>
        <w:t>need to access the labour market (Barr 2009). This include</w:t>
      </w:r>
      <w:r w:rsidR="008C47D6" w:rsidRPr="00DA6342">
        <w:rPr>
          <w:szCs w:val="20"/>
        </w:rPr>
        <w:t>s</w:t>
      </w:r>
      <w:r w:rsidRPr="00DA6342">
        <w:rPr>
          <w:szCs w:val="20"/>
        </w:rPr>
        <w:t xml:space="preserve"> social housing tenants who live in low serviced a</w:t>
      </w:r>
      <w:r w:rsidR="00DA6342" w:rsidRPr="00DA6342">
        <w:t>reas away from labour markets.</w:t>
      </w:r>
    </w:p>
    <w:p w:rsidR="00740FDC" w:rsidRPr="00DA6342" w:rsidRDefault="00740FDC" w:rsidP="00DA6342">
      <w:pPr>
        <w:pStyle w:val="ListBullet"/>
        <w:rPr>
          <w:szCs w:val="20"/>
        </w:rPr>
      </w:pPr>
      <w:r w:rsidRPr="00DA6342">
        <w:rPr>
          <w:szCs w:val="20"/>
        </w:rPr>
        <w:t xml:space="preserve">Welfare recipients or underfunded retirees who move into low service areas because of the cheaper housing (Barr 2009). For example, in 2000 a net of 9500 welfare recipients moved to regional Victoria </w:t>
      </w:r>
      <w:r w:rsidRPr="00DA6342">
        <w:rPr>
          <w:szCs w:val="20"/>
        </w:rPr>
        <w:lastRenderedPageBreak/>
        <w:t xml:space="preserve">for housing (AHURI 2005). While housing is cheaper </w:t>
      </w:r>
      <w:r w:rsidR="002E1A8B">
        <w:rPr>
          <w:szCs w:val="20"/>
        </w:rPr>
        <w:t>generally</w:t>
      </w:r>
      <w:r w:rsidRPr="00DA6342">
        <w:rPr>
          <w:szCs w:val="20"/>
        </w:rPr>
        <w:t xml:space="preserve"> in regional Victoria (both rents and purchase)</w:t>
      </w:r>
      <w:r w:rsidR="0007023D" w:rsidRPr="00DA6342">
        <w:rPr>
          <w:szCs w:val="20"/>
        </w:rPr>
        <w:t>,</w:t>
      </w:r>
      <w:r w:rsidRPr="00DA6342">
        <w:rPr>
          <w:szCs w:val="20"/>
        </w:rPr>
        <w:t xml:space="preserve"> people will still be at risk of housing stress if their incomes do not keep pace with house prices or rent. This will include those on pensions</w:t>
      </w:r>
      <w:r w:rsidR="008C47D6" w:rsidRPr="00DA6342">
        <w:rPr>
          <w:szCs w:val="20"/>
        </w:rPr>
        <w:t>,</w:t>
      </w:r>
      <w:r w:rsidRPr="00DA6342">
        <w:rPr>
          <w:szCs w:val="20"/>
        </w:rPr>
        <w:t xml:space="preserve"> benefits </w:t>
      </w:r>
      <w:r w:rsidR="00DA6342" w:rsidRPr="00DA6342">
        <w:t>and lower paid single workers.</w:t>
      </w:r>
    </w:p>
    <w:p w:rsidR="00C04E1E" w:rsidRPr="008F1881" w:rsidRDefault="00740FDC" w:rsidP="00DA6342">
      <w:pPr>
        <w:pStyle w:val="bt"/>
      </w:pPr>
      <w:r w:rsidRPr="008F1881">
        <w:t xml:space="preserve">One of the drivers behind the varying housing needs of the region is set out in </w:t>
      </w:r>
      <w:r w:rsidR="00631B16">
        <w:fldChar w:fldCharType="begin"/>
      </w:r>
      <w:r w:rsidR="00631B16">
        <w:instrText xml:space="preserve"> REF _Ref349215236 \h  \* MERGEFORMAT </w:instrText>
      </w:r>
      <w:r w:rsidR="00631B16">
        <w:fldChar w:fldCharType="separate"/>
      </w:r>
      <w:r w:rsidR="00907B42" w:rsidRPr="00813B28">
        <w:t xml:space="preserve">Figure </w:t>
      </w:r>
      <w:r w:rsidR="00907B42">
        <w:rPr>
          <w:noProof/>
        </w:rPr>
        <w:t>11</w:t>
      </w:r>
      <w:r w:rsidR="00631B16">
        <w:fldChar w:fldCharType="end"/>
      </w:r>
      <w:r w:rsidR="00C04E1E" w:rsidRPr="008F1881">
        <w:t xml:space="preserve"> </w:t>
      </w:r>
      <w:r w:rsidRPr="008F1881">
        <w:t xml:space="preserve">which shows where buyers of property in </w:t>
      </w:r>
      <w:r w:rsidR="0057086D">
        <w:t xml:space="preserve">the </w:t>
      </w:r>
      <w:r w:rsidRPr="008F1881">
        <w:t xml:space="preserve">Central Highlands come from. The tree-change phenomenon is clearly a key factor in both Hepburn and Pyrenees </w:t>
      </w:r>
      <w:r w:rsidR="008C47D6">
        <w:t>s</w:t>
      </w:r>
      <w:r w:rsidRPr="008F1881">
        <w:t>hires where the largest cohort of home buyers</w:t>
      </w:r>
      <w:r w:rsidR="00C04E1E" w:rsidRPr="008F1881">
        <w:t xml:space="preserve"> are generally asset-rich households relocating from Melbourne.</w:t>
      </w:r>
      <w:r w:rsidRPr="008F1881">
        <w:t xml:space="preserve"> Moorabool and Golden Plains </w:t>
      </w:r>
      <w:r w:rsidR="008C47D6">
        <w:t>s</w:t>
      </w:r>
      <w:r w:rsidRPr="008F1881">
        <w:t xml:space="preserve">hires are attracting buyers from neighbouring municipalities, presumably </w:t>
      </w:r>
      <w:r w:rsidR="008C47D6">
        <w:t xml:space="preserve">people </w:t>
      </w:r>
      <w:r w:rsidRPr="008F1881">
        <w:t>looking for value for money and lifestyle change from the larger adjoining cities.</w:t>
      </w:r>
      <w:r w:rsidR="00C04E1E" w:rsidRPr="008F1881">
        <w:t xml:space="preserve"> Smaller towns such as Daylesford, Hepburn and Trentham are towns that attract people looking to enjoy the different lifestyles available. </w:t>
      </w:r>
    </w:p>
    <w:p w:rsidR="00813B28" w:rsidRDefault="00740FDC" w:rsidP="009D18E5">
      <w:pPr>
        <w:pStyle w:val="bt"/>
      </w:pPr>
      <w:r w:rsidRPr="008F1881">
        <w:t>Conversely</w:t>
      </w:r>
      <w:r w:rsidR="008C47D6">
        <w:t>,</w:t>
      </w:r>
      <w:r w:rsidRPr="008F1881">
        <w:t xml:space="preserve"> the housing markets for the larger centres of Ararat and Ballarat would appear to be dominated by people moving within the municipality. </w:t>
      </w:r>
      <w:r w:rsidR="00C04E1E" w:rsidRPr="008F1881">
        <w:t xml:space="preserve">There is some migration into the larger towns and centres from other parts of regional Victoria as people seek to take advantage of the services and opportunities on offer. </w:t>
      </w:r>
    </w:p>
    <w:p w:rsidR="008F1881" w:rsidRDefault="00631B16" w:rsidP="00813B28">
      <w:pPr>
        <w:pStyle w:val="Caption"/>
      </w:pPr>
      <w:bookmarkStart w:id="72" w:name="_Ref349215236"/>
      <w:r>
        <w:rPr>
          <w:noProof/>
        </w:rPr>
        <mc:AlternateContent>
          <mc:Choice Requires="wpg">
            <w:drawing>
              <wp:anchor distT="0" distB="0" distL="114300" distR="114300" simplePos="0" relativeHeight="251669504" behindDoc="0" locked="0" layoutInCell="1" allowOverlap="0">
                <wp:simplePos x="0" y="0"/>
                <wp:positionH relativeFrom="column">
                  <wp:posOffset>-469265</wp:posOffset>
                </wp:positionH>
                <wp:positionV relativeFrom="paragraph">
                  <wp:posOffset>263525</wp:posOffset>
                </wp:positionV>
                <wp:extent cx="6196965" cy="3101975"/>
                <wp:effectExtent l="0" t="6350" r="6350" b="0"/>
                <wp:wrapTopAndBottom/>
                <wp:docPr id="1" name="Group 2" descr="Six pie charts showing where home buyers in different Central Highlands regions are fr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3101975"/>
                          <a:chOff x="477" y="1815"/>
                          <a:chExt cx="11108" cy="4554"/>
                        </a:xfrm>
                      </wpg:grpSpPr>
                      <pic:pic xmlns:pic="http://schemas.openxmlformats.org/drawingml/2006/picture">
                        <pic:nvPicPr>
                          <pic:cNvPr id="14"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7" y="1815"/>
                            <a:ext cx="11108" cy="1784"/>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32"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55" y="3536"/>
                            <a:ext cx="10830" cy="1712"/>
                          </a:xfrm>
                          <a:prstGeom prst="rect">
                            <a:avLst/>
                          </a:prstGeom>
                          <a:noFill/>
                          <a:extLst>
                            <a:ext uri="{909E8E84-426E-40DD-AFC4-6F175D3DCCD1}">
                              <a14:hiddenFill xmlns:a14="http://schemas.microsoft.com/office/drawing/2010/main">
                                <a:solidFill>
                                  <a:srgbClr val="BBE0E3"/>
                                </a:solidFill>
                              </a14:hiddenFill>
                            </a:ext>
                          </a:extLst>
                        </pic:spPr>
                      </pic:pic>
                      <pic:pic xmlns:pic="http://schemas.openxmlformats.org/drawingml/2006/picture">
                        <pic:nvPicPr>
                          <pic:cNvPr id="34"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80" y="5251"/>
                            <a:ext cx="4534" cy="1118"/>
                          </a:xfrm>
                          <a:prstGeom prst="rect">
                            <a:avLst/>
                          </a:prstGeom>
                          <a:noFill/>
                          <a:extLst>
                            <a:ext uri="{909E8E84-426E-40DD-AFC4-6F175D3DCCD1}">
                              <a14:hiddenFill xmlns:a14="http://schemas.microsoft.com/office/drawing/2010/main">
                                <a:solidFill>
                                  <a:srgbClr val="BBE0E3"/>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alt="Six pie charts showing where home buyers in different Central Highlands regions are from" style="position:absolute;margin-left:-36.95pt;margin-top:20.75pt;width:487.95pt;height:244.25pt;z-index:251669504" coordorigin="477,1815" coordsize="11108,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77;top:1815;width:11108;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uAnrCAAAA2wAAAA8AAABkcnMvZG93bnJldi54bWxET0trAjEQvhf6H8IUvGnWt2yNUtQtBU++&#10;kN6mm+lm6WaybFJd/30jCL3Nx/ec+bK1lbhQ40vHCvq9BARx7nTJhYLjIevOQPiArLFyTApu5GG5&#10;eH6aY6rdlXd02YdCxBD2KSowIdSplD43ZNH3XE0cuW/XWAwRNoXUDV5juK3kIEkm0mLJscFgTStD&#10;+c/+1ypw9fTTb/Ov0eGcmdv7enMaD7O+Up2X9u0VRKA2/Isf7g8d54/g/ks8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bgJ6wgAAANsAAAAPAAAAAAAAAAAAAAAAAJ8C&#10;AABkcnMvZG93bnJldi54bWxQSwUGAAAAAAQABAD3AAAAjgMAAAAA&#10;" fillcolor="#bbe0e3">
                  <v:imagedata r:id="rId32" o:title=""/>
                </v:shape>
                <v:shape id="Picture 12" o:spid="_x0000_s1028" type="#_x0000_t75" style="position:absolute;left:755;top:3536;width:10830;height:1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QC8jEAAAA2wAAAA8AAABkcnMvZG93bnJldi54bWxEj0+LwjAUxO8LfofwFrxpuipSq1Gk4N/L&#10;st09eHw0z7bYvJQmav32RhD2OMzMb5jFqjO1uFHrKssKvoYRCOLc6ooLBX+/m0EMwnlkjbVlUvAg&#10;B6tl72OBibZ3/qFb5gsRIOwSVFB63yRSurwkg25oG+LgnW1r0AfZFlK3eA9wU8tRFE2lwYrDQokN&#10;pSXll+xqFMzs7DJt4u/sdEy3p93+MEnT8USp/me3noPw1Pn/8Lu91wrGI3h9CT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QC8jEAAAA2wAAAA8AAAAAAAAAAAAAAAAA&#10;nwIAAGRycy9kb3ducmV2LnhtbFBLBQYAAAAABAAEAPcAAACQAwAAAAA=&#10;" fillcolor="#bbe0e3">
                  <v:imagedata r:id="rId33" o:title=""/>
                </v:shape>
                <v:shape id="Picture 14" o:spid="_x0000_s1029" type="#_x0000_t75" style="position:absolute;left:3680;top:5251;width:4534;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8urGAAAA2wAAAA8AAABkcnMvZG93bnJldi54bWxEj0FrwkAUhO8F/8PyhF6KbmqLSHQNpiDt&#10;oRSqgejtmX0mwezbkF1j/PfdQqHHYWa+YVbJYBrRU+dqywqepxEI4sLqmksF2X47WYBwHlljY5kU&#10;3MlBsh49rDDW9sbf1O98KQKEXYwKKu/bWEpXVGTQTW1LHLyz7Qz6ILtS6g5vAW4aOYuiuTRYc1io&#10;sKW3iorL7moUPB1PaZ8P2WdzTt85v5dWfl0PSj2Oh80ShKfB/4f/2h9awcsr/H4JP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y6sYAAADbAAAADwAAAAAAAAAAAAAA&#10;AACfAgAAZHJzL2Rvd25yZXYueG1sUEsFBgAAAAAEAAQA9wAAAJIDAAAAAA==&#10;" fillcolor="#bbe0e3">
                  <v:imagedata r:id="rId34" o:title=""/>
                </v:shape>
                <w10:wrap type="topAndBottom"/>
              </v:group>
            </w:pict>
          </mc:Fallback>
        </mc:AlternateContent>
      </w:r>
      <w:bookmarkStart w:id="73" w:name="_Toc381698011"/>
      <w:r w:rsidR="00ED0FEB" w:rsidRPr="00813B28">
        <w:t xml:space="preserve">Figure </w:t>
      </w:r>
      <w:r w:rsidR="009F388E">
        <w:fldChar w:fldCharType="begin"/>
      </w:r>
      <w:r w:rsidR="00821C7F">
        <w:instrText xml:space="preserve"> SEQ Figure \* ARABIC </w:instrText>
      </w:r>
      <w:r w:rsidR="009F388E">
        <w:fldChar w:fldCharType="separate"/>
      </w:r>
      <w:r w:rsidR="00907B42">
        <w:rPr>
          <w:noProof/>
        </w:rPr>
        <w:t>11</w:t>
      </w:r>
      <w:r w:rsidR="009F388E">
        <w:fldChar w:fldCharType="end"/>
      </w:r>
      <w:bookmarkEnd w:id="72"/>
      <w:r w:rsidR="00A773F9" w:rsidRPr="00813B28">
        <w:t>:</w:t>
      </w:r>
      <w:r w:rsidR="00BD549B" w:rsidRPr="00BD549B">
        <w:t xml:space="preserve"> Where buyers come from (2010)</w:t>
      </w:r>
      <w:bookmarkEnd w:id="73"/>
    </w:p>
    <w:p w:rsidR="00C820C0" w:rsidRDefault="00DA6342" w:rsidP="00070916">
      <w:pPr>
        <w:pStyle w:val="Source0"/>
      </w:pPr>
      <w:r>
        <w:t>S</w:t>
      </w:r>
      <w:r w:rsidRPr="008F1881">
        <w:t xml:space="preserve">ource: </w:t>
      </w:r>
      <w:r w:rsidR="000D49BF">
        <w:t>Department of Sustainability and Environment</w:t>
      </w:r>
    </w:p>
    <w:p w:rsidR="00F93A5F" w:rsidRPr="005B01F7" w:rsidRDefault="009F09AE" w:rsidP="005B01F7">
      <w:pPr>
        <w:pStyle w:val="Heading3"/>
      </w:pPr>
      <w:r w:rsidRPr="005B01F7">
        <w:t>Land use planning response</w:t>
      </w:r>
    </w:p>
    <w:p w:rsidR="00537648" w:rsidRDefault="008C47D6" w:rsidP="00F95347">
      <w:pPr>
        <w:pStyle w:val="bt"/>
      </w:pPr>
      <w:r>
        <w:t>The</w:t>
      </w:r>
      <w:r w:rsidR="00A56D72">
        <w:t xml:space="preserve"> plan identifies</w:t>
      </w:r>
      <w:r w:rsidR="00A70AFD">
        <w:t xml:space="preserve"> </w:t>
      </w:r>
      <w:r>
        <w:t xml:space="preserve">a </w:t>
      </w:r>
      <w:r w:rsidR="005759F2" w:rsidRPr="008F1881">
        <w:t xml:space="preserve">need to develop a </w:t>
      </w:r>
      <w:r w:rsidR="00740FDC" w:rsidRPr="008F1881">
        <w:t xml:space="preserve">regional housing strategy </w:t>
      </w:r>
      <w:r w:rsidR="005759F2" w:rsidRPr="008F1881">
        <w:t xml:space="preserve">to </w:t>
      </w:r>
      <w:r w:rsidR="00740FDC" w:rsidRPr="008F1881">
        <w:t>address</w:t>
      </w:r>
      <w:r w:rsidR="00251ED7">
        <w:t xml:space="preserve"> </w:t>
      </w:r>
      <w:r>
        <w:t xml:space="preserve">issues </w:t>
      </w:r>
      <w:r w:rsidR="00A56D72">
        <w:t xml:space="preserve">such as </w:t>
      </w:r>
      <w:r w:rsidR="00740FDC" w:rsidRPr="008F1881">
        <w:t xml:space="preserve">appropriate housing choice, availability and affordability </w:t>
      </w:r>
      <w:r w:rsidR="005759F2" w:rsidRPr="008F1881">
        <w:t>within the region. This strategy could identify locations where particular types of housing are most needed.</w:t>
      </w:r>
    </w:p>
    <w:p w:rsidR="00F93A5F" w:rsidRPr="005B01F7" w:rsidRDefault="00740FDC" w:rsidP="005B01F7">
      <w:pPr>
        <w:pStyle w:val="Heading2"/>
      </w:pPr>
      <w:bookmarkStart w:id="74" w:name="_Toc349557696"/>
      <w:bookmarkStart w:id="75" w:name="_Toc374527596"/>
      <w:r w:rsidRPr="005B01F7">
        <w:t>Liveability</w:t>
      </w:r>
      <w:bookmarkEnd w:id="74"/>
      <w:bookmarkEnd w:id="75"/>
    </w:p>
    <w:p w:rsidR="00F93A5F" w:rsidRPr="005B01F7" w:rsidRDefault="009F09AE" w:rsidP="005B01F7">
      <w:pPr>
        <w:pStyle w:val="Heading3"/>
      </w:pPr>
      <w:r w:rsidRPr="005B01F7">
        <w:t xml:space="preserve">Description and </w:t>
      </w:r>
      <w:r w:rsidR="00661931" w:rsidRPr="005B01F7">
        <w:t>analysis</w:t>
      </w:r>
    </w:p>
    <w:p w:rsidR="00A70AFD" w:rsidRDefault="00740FDC" w:rsidP="00DA6342">
      <w:pPr>
        <w:pStyle w:val="bt"/>
      </w:pPr>
      <w:r w:rsidRPr="008F1881">
        <w:t xml:space="preserve">The </w:t>
      </w:r>
      <w:r w:rsidR="0069443A" w:rsidRPr="000B40E8">
        <w:t>Central Highlands Regional Strategic Plan</w:t>
      </w:r>
      <w:r w:rsidRPr="008F1881">
        <w:t xml:space="preserve"> specifically focuses on liveability. It acknowledges the sense of competitiveness within regional Victoria for regions to grow and present as an ‘attract</w:t>
      </w:r>
      <w:r w:rsidR="00EA2570">
        <w:t>ive supportive place to live…’</w:t>
      </w:r>
    </w:p>
    <w:p w:rsidR="00740FDC" w:rsidRPr="008F1881" w:rsidRDefault="00740FDC" w:rsidP="00DA6342">
      <w:pPr>
        <w:pStyle w:val="bt"/>
        <w:rPr>
          <w:rFonts w:cs="Tahoma"/>
          <w:szCs w:val="20"/>
        </w:rPr>
      </w:pPr>
      <w:r w:rsidRPr="008F1881">
        <w:rPr>
          <w:rFonts w:cs="Tahoma"/>
          <w:szCs w:val="20"/>
        </w:rPr>
        <w:t xml:space="preserve">The </w:t>
      </w:r>
      <w:r w:rsidR="006F186A" w:rsidRPr="008F1881">
        <w:rPr>
          <w:rFonts w:cs="Tahoma"/>
          <w:szCs w:val="20"/>
        </w:rPr>
        <w:t>characteristics</w:t>
      </w:r>
      <w:r w:rsidR="003C3CE3" w:rsidRPr="008F1881">
        <w:rPr>
          <w:rFonts w:cs="Tahoma"/>
          <w:szCs w:val="20"/>
        </w:rPr>
        <w:t xml:space="preserve"> </w:t>
      </w:r>
      <w:r w:rsidR="008C47D6">
        <w:rPr>
          <w:rFonts w:cs="Tahoma"/>
          <w:szCs w:val="20"/>
        </w:rPr>
        <w:t xml:space="preserve">that </w:t>
      </w:r>
      <w:r w:rsidR="003C3CE3" w:rsidRPr="008F1881">
        <w:rPr>
          <w:rFonts w:cs="Tahoma"/>
          <w:szCs w:val="20"/>
        </w:rPr>
        <w:t xml:space="preserve">contribute to the region’s liveability </w:t>
      </w:r>
      <w:r w:rsidR="006F186A" w:rsidRPr="008F1881">
        <w:rPr>
          <w:rFonts w:cs="Tahoma"/>
          <w:szCs w:val="20"/>
        </w:rPr>
        <w:t>include</w:t>
      </w:r>
      <w:r w:rsidRPr="008F1881">
        <w:rPr>
          <w:rFonts w:cs="Tahoma"/>
          <w:szCs w:val="20"/>
        </w:rPr>
        <w:t>:</w:t>
      </w:r>
    </w:p>
    <w:p w:rsidR="00740FDC" w:rsidRPr="008F1881" w:rsidRDefault="008C47D6" w:rsidP="00DA6342">
      <w:pPr>
        <w:pStyle w:val="ListBullet"/>
      </w:pPr>
      <w:r>
        <w:lastRenderedPageBreak/>
        <w:t>r</w:t>
      </w:r>
      <w:r w:rsidR="00740FDC" w:rsidRPr="008F1881">
        <w:t xml:space="preserve">elative proximity </w:t>
      </w:r>
      <w:r w:rsidR="006F186A" w:rsidRPr="008F1881">
        <w:t xml:space="preserve">and good access </w:t>
      </w:r>
      <w:r w:rsidR="00740FDC" w:rsidRPr="008F1881">
        <w:t>to Melbourne</w:t>
      </w:r>
    </w:p>
    <w:p w:rsidR="00740FDC" w:rsidRPr="008F1881" w:rsidRDefault="008C47D6" w:rsidP="00DA6342">
      <w:pPr>
        <w:pStyle w:val="ListBullet"/>
      </w:pPr>
      <w:r>
        <w:t>t</w:t>
      </w:r>
      <w:r w:rsidR="00740FDC" w:rsidRPr="008F1881">
        <w:t>he location of a large, well serviced regional centre in terms of education and health</w:t>
      </w:r>
    </w:p>
    <w:p w:rsidR="00740FDC" w:rsidRPr="008F1881" w:rsidRDefault="008C47D6" w:rsidP="00DA6342">
      <w:pPr>
        <w:pStyle w:val="ListBullet"/>
      </w:pPr>
      <w:r>
        <w:t>s</w:t>
      </w:r>
      <w:r w:rsidR="00740FDC" w:rsidRPr="008F1881">
        <w:t>trong regional road and rail capacity</w:t>
      </w:r>
    </w:p>
    <w:p w:rsidR="00740FDC" w:rsidRPr="008F1881" w:rsidRDefault="008C47D6" w:rsidP="00DA6342">
      <w:pPr>
        <w:pStyle w:val="ListBullet"/>
      </w:pPr>
      <w:r>
        <w:t>o</w:t>
      </w:r>
      <w:r w:rsidR="00740FDC" w:rsidRPr="008F1881">
        <w:t>utstanding built and natural heritage, recreational opportunities, arts and cultural riches</w:t>
      </w:r>
    </w:p>
    <w:p w:rsidR="00740FDC" w:rsidRPr="008F1881" w:rsidRDefault="008C47D6" w:rsidP="00DA6342">
      <w:pPr>
        <w:pStyle w:val="ListBullet"/>
      </w:pPr>
      <w:r>
        <w:t>a</w:t>
      </w:r>
      <w:r w:rsidR="00740FDC" w:rsidRPr="008F1881">
        <w:t xml:space="preserve"> wide variety of places to live, with the region</w:t>
      </w:r>
      <w:r w:rsidR="006F186A" w:rsidRPr="008F1881">
        <w:t>’</w:t>
      </w:r>
      <w:r w:rsidR="00740FDC" w:rsidRPr="008F1881">
        <w:t>s network of small towns and villages linked to rapidly growing centres.</w:t>
      </w:r>
    </w:p>
    <w:p w:rsidR="00740FDC" w:rsidRPr="008F1881" w:rsidRDefault="00740FDC" w:rsidP="00DA6342">
      <w:pPr>
        <w:pStyle w:val="bt"/>
      </w:pPr>
      <w:r w:rsidRPr="008F1881">
        <w:t xml:space="preserve">Some of the factors </w:t>
      </w:r>
      <w:r w:rsidR="008C47D6">
        <w:t xml:space="preserve">that </w:t>
      </w:r>
      <w:r w:rsidRPr="008F1881">
        <w:t xml:space="preserve">contribute to liveability are explored in other parts of this </w:t>
      </w:r>
      <w:r w:rsidR="00E10B33" w:rsidRPr="008F1881">
        <w:t>background report</w:t>
      </w:r>
      <w:r w:rsidRPr="008F1881">
        <w:t xml:space="preserve">, such as the services and transport links which make Ballarat an attractive alternative to Melbourne. The proximity to Melbourne is also a factor contributing to the attractiveness of peri-urban municipalities within the region. </w:t>
      </w:r>
      <w:r w:rsidR="003F49C2">
        <w:t>However, f</w:t>
      </w:r>
      <w:r w:rsidRPr="008F1881">
        <w:t xml:space="preserve">rom a settlement planning perspective, there are a variety of other matters that are relevant to the liveability of communities and attracting people to the Central Highlands region, such as the protection of </w:t>
      </w:r>
      <w:r w:rsidR="00CB224C">
        <w:t>cultural heritage a</w:t>
      </w:r>
      <w:r w:rsidRPr="008F1881">
        <w:t xml:space="preserve">ssets. </w:t>
      </w:r>
      <w:r w:rsidR="003F49C2">
        <w:t xml:space="preserve">While </w:t>
      </w:r>
      <w:r w:rsidR="00CB224C">
        <w:t>cultural</w:t>
      </w:r>
      <w:r w:rsidRPr="008F1881">
        <w:t xml:space="preserve"> heritage is often </w:t>
      </w:r>
      <w:r w:rsidR="00193F44">
        <w:t xml:space="preserve">seen as </w:t>
      </w:r>
      <w:r w:rsidRPr="008F1881">
        <w:t>a local issue, it can also have significant regional implications. A</w:t>
      </w:r>
      <w:r w:rsidR="00193F44">
        <w:t>s well as its intrinsic value to society on whole, a</w:t>
      </w:r>
      <w:r w:rsidRPr="008F1881">
        <w:t xml:space="preserve"> regional or state-significant </w:t>
      </w:r>
      <w:r w:rsidR="00CB224C">
        <w:t xml:space="preserve">cultural </w:t>
      </w:r>
      <w:r w:rsidRPr="008F1881">
        <w:t>heritage asset can act as a drawcard for tourism</w:t>
      </w:r>
      <w:r w:rsidR="003F49C2">
        <w:t>. Likewise</w:t>
      </w:r>
      <w:r w:rsidRPr="008F1881">
        <w:t xml:space="preserve"> a town with attractive, intact heritage streetscapes can provide a selling point for lifestyle-related in-migration.  </w:t>
      </w:r>
    </w:p>
    <w:p w:rsidR="00740FDC" w:rsidRPr="000B40E8" w:rsidRDefault="003F49C2" w:rsidP="00DA6342">
      <w:pPr>
        <w:pStyle w:val="bt"/>
      </w:pPr>
      <w:r>
        <w:t>I</w:t>
      </w:r>
      <w:r w:rsidR="00740FDC" w:rsidRPr="008F1881">
        <w:t>n Ballarat</w:t>
      </w:r>
      <w:r>
        <w:t>,</w:t>
      </w:r>
      <w:r w:rsidR="00740FDC" w:rsidRPr="008F1881">
        <w:t xml:space="preserve"> </w:t>
      </w:r>
      <w:r w:rsidR="003C3CE3" w:rsidRPr="008F1881">
        <w:t xml:space="preserve">for example, </w:t>
      </w:r>
      <w:r>
        <w:t xml:space="preserve">tourism </w:t>
      </w:r>
      <w:r w:rsidR="00740FDC" w:rsidRPr="008F1881">
        <w:t xml:space="preserve">makes a substantial contribution to the regional economy through attractions </w:t>
      </w:r>
      <w:r w:rsidR="00F14B3D">
        <w:t>such as</w:t>
      </w:r>
      <w:r w:rsidR="00740FDC" w:rsidRPr="008F1881">
        <w:t xml:space="preserve"> Sovereign Hill, major events, built heritage and the film industry. Ballarat is also a gateway to tourism opportunities in the Central Highlands </w:t>
      </w:r>
      <w:r w:rsidR="002A3F97">
        <w:t xml:space="preserve">such as </w:t>
      </w:r>
      <w:r w:rsidR="003C3CE3" w:rsidRPr="008F1881">
        <w:t xml:space="preserve">health </w:t>
      </w:r>
      <w:r w:rsidR="00740FDC" w:rsidRPr="008F1881">
        <w:t xml:space="preserve">and </w:t>
      </w:r>
      <w:r w:rsidR="003C3CE3" w:rsidRPr="008F1881">
        <w:t xml:space="preserve">wellbeing </w:t>
      </w:r>
      <w:r w:rsidR="00740FDC" w:rsidRPr="008F1881">
        <w:t xml:space="preserve">in Hepburn/Daylesford. </w:t>
      </w:r>
      <w:r w:rsidR="006F186A" w:rsidRPr="008F1881">
        <w:t xml:space="preserve">Approximately </w:t>
      </w:r>
      <w:r w:rsidR="00740FDC" w:rsidRPr="008F1881">
        <w:t xml:space="preserve">2200 </w:t>
      </w:r>
      <w:r w:rsidR="006F186A" w:rsidRPr="008F1881">
        <w:t xml:space="preserve">new </w:t>
      </w:r>
      <w:r w:rsidR="00740FDC" w:rsidRPr="008F1881">
        <w:t xml:space="preserve">jobs are expected </w:t>
      </w:r>
      <w:r w:rsidR="006F186A" w:rsidRPr="008F1881">
        <w:t xml:space="preserve">to be created </w:t>
      </w:r>
      <w:r w:rsidR="00740FDC" w:rsidRPr="008F1881">
        <w:t>in tourism</w:t>
      </w:r>
      <w:r>
        <w:t>-</w:t>
      </w:r>
      <w:r w:rsidR="00740FDC" w:rsidRPr="008F1881">
        <w:t>orie</w:t>
      </w:r>
      <w:r w:rsidR="00193F44">
        <w:t>ntated</w:t>
      </w:r>
      <w:r w:rsidR="00740FDC" w:rsidRPr="008F1881">
        <w:t xml:space="preserve"> industry sectors between 2006 and 2026</w:t>
      </w:r>
      <w:r>
        <w:t xml:space="preserve"> in </w:t>
      </w:r>
      <w:r w:rsidR="00740FDC" w:rsidRPr="008F1881">
        <w:t>cafes, restaurants</w:t>
      </w:r>
      <w:r>
        <w:t xml:space="preserve"> and</w:t>
      </w:r>
      <w:r w:rsidR="00740FDC" w:rsidRPr="008F1881">
        <w:t xml:space="preserve"> accommodation</w:t>
      </w:r>
      <w:r w:rsidR="00F67594">
        <w:t xml:space="preserve"> (SGS, 2010)</w:t>
      </w:r>
      <w:r w:rsidR="00275017" w:rsidRPr="000B40E8">
        <w:t>.</w:t>
      </w:r>
    </w:p>
    <w:p w:rsidR="00740FDC" w:rsidRPr="008F1881" w:rsidRDefault="00740FDC" w:rsidP="00DA6342">
      <w:pPr>
        <w:pStyle w:val="bt"/>
      </w:pPr>
      <w:r w:rsidRPr="008F1881">
        <w:t xml:space="preserve">Planning schemes within the Central Highlands contain information about </w:t>
      </w:r>
      <w:r w:rsidR="00CB224C">
        <w:t xml:space="preserve">cultural </w:t>
      </w:r>
      <w:r w:rsidRPr="008F1881">
        <w:t xml:space="preserve">heritage and urban character to a greater or lesser degree. Importantly, they all discuss the qualities and places that should be protected. </w:t>
      </w:r>
    </w:p>
    <w:p w:rsidR="00CD058B" w:rsidRDefault="00740FDC" w:rsidP="00DA6342">
      <w:pPr>
        <w:pStyle w:val="bt"/>
      </w:pPr>
      <w:r w:rsidRPr="008F1881">
        <w:t xml:space="preserve">The </w:t>
      </w:r>
      <w:r w:rsidR="00B37960" w:rsidRPr="008F1881">
        <w:t xml:space="preserve">plan </w:t>
      </w:r>
      <w:r w:rsidR="00EF7928">
        <w:t xml:space="preserve">has </w:t>
      </w:r>
      <w:r w:rsidRPr="008F1881">
        <w:t xml:space="preserve">a role in ensuring the key qualities that make </w:t>
      </w:r>
      <w:r w:rsidR="003F49C2">
        <w:t xml:space="preserve">settlements </w:t>
      </w:r>
      <w:r w:rsidRPr="008F1881">
        <w:t>liveable, attractive and unique are identified and protected. Growth and development should not compromise these qualities, particularly where they are of regional significance. For example</w:t>
      </w:r>
      <w:r w:rsidR="003F49C2">
        <w:t>,</w:t>
      </w:r>
      <w:r w:rsidRPr="008F1881">
        <w:t xml:space="preserve"> goldfields heritage, health and wellbeing tourism or significant landscape amenity can be intrinsically related to the appearance and character of towns. </w:t>
      </w:r>
      <w:r w:rsidR="003F49C2">
        <w:t>T</w:t>
      </w:r>
      <w:r w:rsidRPr="008F1881">
        <w:t xml:space="preserve">o ensure economic prosperity, spatial planning for growth must ensure that future development </w:t>
      </w:r>
      <w:r w:rsidR="00CD058B" w:rsidRPr="008F1881">
        <w:t xml:space="preserve">does not impact on </w:t>
      </w:r>
      <w:r w:rsidR="003F49C2">
        <w:t xml:space="preserve">the region’s </w:t>
      </w:r>
      <w:r w:rsidR="00CB224C">
        <w:t xml:space="preserve">cultural </w:t>
      </w:r>
      <w:r w:rsidR="00CD058B" w:rsidRPr="008F1881">
        <w:t xml:space="preserve">heritage </w:t>
      </w:r>
      <w:r w:rsidR="00F67594">
        <w:t>assets</w:t>
      </w:r>
      <w:r w:rsidR="00CD058B" w:rsidRPr="008F1881">
        <w:t xml:space="preserve">. </w:t>
      </w:r>
    </w:p>
    <w:p w:rsidR="00740FDC" w:rsidRPr="008F1881" w:rsidRDefault="00740FDC" w:rsidP="00DA6342">
      <w:pPr>
        <w:pStyle w:val="bt"/>
      </w:pPr>
      <w:r w:rsidRPr="008F1881">
        <w:t xml:space="preserve">Finally, there is a role for planning to create future liveable communities, both </w:t>
      </w:r>
      <w:r w:rsidR="003C3CE3" w:rsidRPr="008F1881">
        <w:t>in the</w:t>
      </w:r>
      <w:r w:rsidRPr="008F1881">
        <w:t xml:space="preserve"> provision of services commensurate with levels of growth</w:t>
      </w:r>
      <w:r w:rsidR="003C3CE3" w:rsidRPr="008F1881">
        <w:t>,</w:t>
      </w:r>
      <w:r w:rsidRPr="008F1881">
        <w:t xml:space="preserve"> and in providing good urban design and layouts for new residential precincts. This includes only supporting layouts that </w:t>
      </w:r>
      <w:r w:rsidR="003F49C2">
        <w:t xml:space="preserve">encourage </w:t>
      </w:r>
      <w:r w:rsidRPr="008F1881">
        <w:t>safety</w:t>
      </w:r>
      <w:r w:rsidR="003F49C2">
        <w:t xml:space="preserve"> and </w:t>
      </w:r>
      <w:r w:rsidRPr="008F1881">
        <w:t>healthy living</w:t>
      </w:r>
      <w:r w:rsidR="00F14B3D">
        <w:t>,</w:t>
      </w:r>
      <w:r w:rsidRPr="008F1881">
        <w:t xml:space="preserve"> </w:t>
      </w:r>
      <w:r w:rsidR="003F49C2">
        <w:t xml:space="preserve">such as </w:t>
      </w:r>
      <w:r w:rsidRPr="008F1881">
        <w:t>ensuring walkable catchments for services and good connections to surrounding areas. For larger towns</w:t>
      </w:r>
      <w:r w:rsidR="003F49C2">
        <w:t>,</w:t>
      </w:r>
      <w:r w:rsidRPr="008F1881">
        <w:t xml:space="preserve"> liveability provisions could include supporting medium density housing in well-located parts of the town, close to the business and service centre. This will be particularly important </w:t>
      </w:r>
      <w:r w:rsidR="003F49C2">
        <w:t xml:space="preserve">for an </w:t>
      </w:r>
      <w:r w:rsidRPr="008F1881">
        <w:t xml:space="preserve">ageing population and </w:t>
      </w:r>
      <w:r w:rsidR="003F49C2">
        <w:t xml:space="preserve">for supporting </w:t>
      </w:r>
      <w:r w:rsidRPr="008F1881">
        <w:t>those moving from smaller settlements to take advantage of access to facilities and services</w:t>
      </w:r>
      <w:r w:rsidR="003F49C2">
        <w:t xml:space="preserve">. </w:t>
      </w:r>
    </w:p>
    <w:p w:rsidR="00F93A5F" w:rsidRPr="005B01F7" w:rsidRDefault="009F09AE" w:rsidP="005B01F7">
      <w:pPr>
        <w:pStyle w:val="Heading3"/>
      </w:pPr>
      <w:r w:rsidRPr="005B01F7">
        <w:t xml:space="preserve">Land </w:t>
      </w:r>
      <w:r w:rsidR="00661931" w:rsidRPr="005B01F7">
        <w:t>use planning response</w:t>
      </w:r>
    </w:p>
    <w:p w:rsidR="00740FDC" w:rsidRPr="008F1881" w:rsidRDefault="00740FDC" w:rsidP="00DA6342">
      <w:pPr>
        <w:pStyle w:val="bt"/>
      </w:pPr>
      <w:r w:rsidRPr="008F1881">
        <w:t xml:space="preserve">The </w:t>
      </w:r>
      <w:r w:rsidR="006F61DF" w:rsidRPr="008F1881">
        <w:t>plan</w:t>
      </w:r>
      <w:r w:rsidR="001109D4" w:rsidRPr="008F1881">
        <w:t xml:space="preserve"> </w:t>
      </w:r>
      <w:r w:rsidR="00EE6F98">
        <w:t>recognises</w:t>
      </w:r>
      <w:r w:rsidR="00EE6F98" w:rsidRPr="008F1881">
        <w:t xml:space="preserve"> </w:t>
      </w:r>
      <w:r w:rsidR="00F67594">
        <w:t xml:space="preserve">the importance of retaining </w:t>
      </w:r>
      <w:r w:rsidR="00EE6F98">
        <w:t xml:space="preserve">and enhancing </w:t>
      </w:r>
      <w:r w:rsidR="00F67594">
        <w:t>the liveability of the region</w:t>
      </w:r>
      <w:r w:rsidR="00716269">
        <w:t xml:space="preserve"> in a number of ways</w:t>
      </w:r>
      <w:r w:rsidR="00251ED7">
        <w:t>, supporting its notable heritage attributes, landscapes and accessibility to services and facilities</w:t>
      </w:r>
      <w:r w:rsidR="000E0DAA" w:rsidRPr="008F1881">
        <w:t xml:space="preserve">. The </w:t>
      </w:r>
      <w:r w:rsidR="00F37D25">
        <w:t>plan</w:t>
      </w:r>
      <w:r w:rsidR="000E0DAA" w:rsidRPr="008F1881">
        <w:t xml:space="preserve"> does not discuss </w:t>
      </w:r>
      <w:r w:rsidRPr="008F1881">
        <w:t>urban design principles as these remain in the realm of local planning schemes</w:t>
      </w:r>
      <w:r w:rsidR="0057086D">
        <w:t>,</w:t>
      </w:r>
      <w:r w:rsidR="000E0DAA" w:rsidRPr="008F1881">
        <w:t xml:space="preserve"> as does a discussion of the town </w:t>
      </w:r>
      <w:r w:rsidRPr="008F1881">
        <w:t>or parts of towns where character is a key asset</w:t>
      </w:r>
      <w:r w:rsidR="000E0DAA" w:rsidRPr="008F1881">
        <w:t xml:space="preserve"> to their liveability. Planning should seek to ensure </w:t>
      </w:r>
      <w:r w:rsidRPr="008F1881">
        <w:t>the qualities that make place</w:t>
      </w:r>
      <w:r w:rsidR="000E0DAA" w:rsidRPr="008F1881">
        <w:t>s</w:t>
      </w:r>
      <w:r w:rsidRPr="008F1881">
        <w:t xml:space="preserve"> unique and liveable are retained in settlement planning.</w:t>
      </w:r>
    </w:p>
    <w:p w:rsidR="00F93A5F" w:rsidRPr="005B01F7" w:rsidRDefault="00740FDC" w:rsidP="005B01F7">
      <w:pPr>
        <w:pStyle w:val="Heading2"/>
      </w:pPr>
      <w:bookmarkStart w:id="76" w:name="_Toc349139010"/>
      <w:bookmarkStart w:id="77" w:name="_Toc349557697"/>
      <w:bookmarkStart w:id="78" w:name="_Toc349557909"/>
      <w:bookmarkStart w:id="79" w:name="_Toc349558020"/>
      <w:bookmarkStart w:id="80" w:name="_Toc349558131"/>
      <w:bookmarkStart w:id="81" w:name="_Toc349558580"/>
      <w:bookmarkStart w:id="82" w:name="_Toc300560865"/>
      <w:bookmarkStart w:id="83" w:name="_Toc349557698"/>
      <w:bookmarkStart w:id="84" w:name="_Toc374527597"/>
      <w:bookmarkEnd w:id="76"/>
      <w:bookmarkEnd w:id="77"/>
      <w:bookmarkEnd w:id="78"/>
      <w:bookmarkEnd w:id="79"/>
      <w:bookmarkEnd w:id="80"/>
      <w:bookmarkEnd w:id="81"/>
      <w:r w:rsidRPr="005B01F7">
        <w:lastRenderedPageBreak/>
        <w:t>Rural</w:t>
      </w:r>
      <w:r w:rsidR="00716269">
        <w:t xml:space="preserve"> </w:t>
      </w:r>
      <w:r w:rsidR="00251ED7">
        <w:t>residential development</w:t>
      </w:r>
      <w:r w:rsidR="006B4DFF">
        <w:t xml:space="preserve"> and rural land use</w:t>
      </w:r>
      <w:bookmarkEnd w:id="82"/>
      <w:bookmarkEnd w:id="83"/>
      <w:bookmarkEnd w:id="84"/>
    </w:p>
    <w:p w:rsidR="00F93A5F" w:rsidRDefault="009F09AE" w:rsidP="005B01F7">
      <w:pPr>
        <w:pStyle w:val="Heading3"/>
      </w:pPr>
      <w:r w:rsidRPr="005B01F7">
        <w:t xml:space="preserve">Description and </w:t>
      </w:r>
      <w:r w:rsidR="00661931" w:rsidRPr="005B01F7">
        <w:t>analysis</w:t>
      </w:r>
    </w:p>
    <w:p w:rsidR="002A3F97" w:rsidRDefault="00716269" w:rsidP="00716269">
      <w:pPr>
        <w:pStyle w:val="bt"/>
      </w:pPr>
      <w:r w:rsidRPr="008F1881">
        <w:t>Local planning schemes provide some direction around rural residential development, although there are a variety of approaches</w:t>
      </w:r>
      <w:r w:rsidR="0057086D">
        <w:t xml:space="preserve"> to this issue</w:t>
      </w:r>
      <w:r w:rsidR="00317EDA">
        <w:t>.</w:t>
      </w:r>
      <w:r w:rsidRPr="008F1881">
        <w:t xml:space="preserve"> Municipalities such as </w:t>
      </w:r>
      <w:r w:rsidR="002A3F97">
        <w:t xml:space="preserve">the </w:t>
      </w:r>
      <w:r w:rsidRPr="008F1881">
        <w:t xml:space="preserve">Hepburn and Golden Plains </w:t>
      </w:r>
      <w:r w:rsidR="002A3F97">
        <w:t xml:space="preserve">shires </w:t>
      </w:r>
      <w:r w:rsidRPr="008F1881">
        <w:t>have identified concerns with existing high levels of low density residential development and seek to consolidate urban development within town boundaries, or defined areas. Other municipalities support the provision of rural residential development in appropriate areas, generally close to towns and provided it does not compromise high quality agricultural land</w:t>
      </w:r>
      <w:r>
        <w:t>. These councils include</w:t>
      </w:r>
      <w:r w:rsidRPr="008F1881">
        <w:t xml:space="preserve"> Central Goldfields, Moorabool, Ballarat, Ararat and Pyrenees. </w:t>
      </w:r>
    </w:p>
    <w:p w:rsidR="00716269" w:rsidRPr="008F1881" w:rsidRDefault="00716269" w:rsidP="00716269">
      <w:pPr>
        <w:pStyle w:val="bt"/>
      </w:pPr>
      <w:r w:rsidRPr="008F1881">
        <w:t>The planning schemes of Golden Plains, Northern Grampians and Pyrenees (in part) specify larger minimum lot sizes for subdivision and dwellings than the default 40 hectares provided for by the Farming Zone. Moorabool Shire is also currently considering a long</w:t>
      </w:r>
      <w:r>
        <w:t>-</w:t>
      </w:r>
      <w:r w:rsidRPr="008F1881">
        <w:t xml:space="preserve">term strategic approach as to how it will plan for small towns and rural settlements through its ongoing growth strategy work. </w:t>
      </w:r>
    </w:p>
    <w:p w:rsidR="00740FDC" w:rsidRPr="008F1881" w:rsidRDefault="00740FDC" w:rsidP="00537648">
      <w:pPr>
        <w:pStyle w:val="bt"/>
        <w:spacing w:after="120"/>
      </w:pPr>
      <w:r w:rsidRPr="008F1881">
        <w:t>Clause 11.05-3 of the State Planning Policy Framework provides direction in relation to this issue, with strategies to:</w:t>
      </w:r>
    </w:p>
    <w:p w:rsidR="00740FDC" w:rsidRPr="008F1881" w:rsidRDefault="00F749DB" w:rsidP="00DA6342">
      <w:pPr>
        <w:pStyle w:val="ListBullet"/>
      </w:pPr>
      <w:r>
        <w:t>p</w:t>
      </w:r>
      <w:r w:rsidR="00740FDC" w:rsidRPr="008F1881">
        <w:t>revent inappropriately dispersed urban activities in rural areas</w:t>
      </w:r>
    </w:p>
    <w:p w:rsidR="00740FDC" w:rsidRPr="008F1881" w:rsidRDefault="00F749DB" w:rsidP="00DA6342">
      <w:pPr>
        <w:pStyle w:val="ListBullet"/>
      </w:pPr>
      <w:r>
        <w:t>l</w:t>
      </w:r>
      <w:r w:rsidR="00740FDC" w:rsidRPr="008F1881">
        <w:t>imit new housing development in rural areas, including:</w:t>
      </w:r>
    </w:p>
    <w:p w:rsidR="00740FDC" w:rsidRPr="008F1881" w:rsidRDefault="00F749DB" w:rsidP="00DA6342">
      <w:pPr>
        <w:pStyle w:val="ListBullet2"/>
      </w:pPr>
      <w:r>
        <w:t>d</w:t>
      </w:r>
      <w:r w:rsidR="00740FDC" w:rsidRPr="008F1881">
        <w:t>irecting housing growth into existing settlements</w:t>
      </w:r>
    </w:p>
    <w:p w:rsidR="00740FDC" w:rsidRPr="008F1881" w:rsidRDefault="00F749DB" w:rsidP="00DA6342">
      <w:pPr>
        <w:pStyle w:val="ListBullet2"/>
      </w:pPr>
      <w:r>
        <w:t>d</w:t>
      </w:r>
      <w:r w:rsidR="00740FDC" w:rsidRPr="008F1881">
        <w:t>iscouraging development of isolated small lots in the rural zones from use for single dwellings, rural living or other incompatible uses.</w:t>
      </w:r>
    </w:p>
    <w:p w:rsidR="00740FDC" w:rsidRPr="008F1881" w:rsidRDefault="00740FDC" w:rsidP="00537648">
      <w:pPr>
        <w:pStyle w:val="bt"/>
        <w:spacing w:after="120"/>
      </w:pPr>
      <w:r w:rsidRPr="008F1881">
        <w:t xml:space="preserve">The </w:t>
      </w:r>
      <w:r w:rsidRPr="000B40E8">
        <w:t>Improving Rural Land Use</w:t>
      </w:r>
      <w:r w:rsidRPr="008F1881">
        <w:t xml:space="preserve"> report prepared under the Future Farming Strategy</w:t>
      </w:r>
      <w:r w:rsidR="00F67594">
        <w:t xml:space="preserve"> (Rural Planning Group 2009) </w:t>
      </w:r>
      <w:r w:rsidRPr="008F1881">
        <w:t>discuss</w:t>
      </w:r>
      <w:r w:rsidR="00F749DB">
        <w:t xml:space="preserve">es </w:t>
      </w:r>
      <w:r w:rsidRPr="008F1881">
        <w:t>rural living in relation to agriculture. It notes that:</w:t>
      </w:r>
    </w:p>
    <w:p w:rsidR="00740FDC" w:rsidRPr="008F1881" w:rsidRDefault="00740FDC" w:rsidP="00DA6342">
      <w:pPr>
        <w:pStyle w:val="ListBullet"/>
      </w:pPr>
      <w:r w:rsidRPr="008F1881">
        <w:t>A clear distinction needs to be drawn between subdivision and approval of land for a dwelling, as small lots do not necessarily equate to less productive land</w:t>
      </w:r>
      <w:r w:rsidR="00BD12A4">
        <w:t>.</w:t>
      </w:r>
    </w:p>
    <w:p w:rsidR="00740FDC" w:rsidRPr="008F1881" w:rsidRDefault="00740FDC" w:rsidP="00DA6342">
      <w:pPr>
        <w:pStyle w:val="ListBullet"/>
      </w:pPr>
      <w:r w:rsidRPr="008F1881">
        <w:t>Rural lifestyle living should be contained within strategically identified locations away from farmland of strategic significance</w:t>
      </w:r>
      <w:r w:rsidR="00F749DB">
        <w:t>.</w:t>
      </w:r>
    </w:p>
    <w:p w:rsidR="00740FDC" w:rsidRPr="008F1881" w:rsidRDefault="00740FDC" w:rsidP="00DA6342">
      <w:pPr>
        <w:pStyle w:val="ListBullet"/>
      </w:pPr>
      <w:r w:rsidRPr="008F1881">
        <w:t>There can be conflicts between agricultural production and sensitive land uses.</w:t>
      </w:r>
    </w:p>
    <w:p w:rsidR="00740FDC" w:rsidRPr="008F1881" w:rsidRDefault="00740FDC" w:rsidP="00537648">
      <w:pPr>
        <w:pStyle w:val="bt"/>
        <w:spacing w:after="120"/>
      </w:pPr>
      <w:r w:rsidRPr="008F1881">
        <w:t xml:space="preserve">A report by Buxton </w:t>
      </w:r>
      <w:r w:rsidR="001F619E" w:rsidRPr="001F619E">
        <w:t>et</w:t>
      </w:r>
      <w:r w:rsidR="00F749DB">
        <w:t>.</w:t>
      </w:r>
      <w:r w:rsidR="001F619E" w:rsidRPr="001F619E">
        <w:t xml:space="preserve"> </w:t>
      </w:r>
      <w:r w:rsidR="00C902AE">
        <w:t>a</w:t>
      </w:r>
      <w:r w:rsidR="001F619E" w:rsidRPr="001F619E">
        <w:t>l</w:t>
      </w:r>
      <w:r w:rsidR="00F749DB">
        <w:t>.</w:t>
      </w:r>
      <w:r w:rsidR="001F619E" w:rsidRPr="001F619E">
        <w:t xml:space="preserve"> </w:t>
      </w:r>
      <w:r w:rsidRPr="008F1881">
        <w:t>(2011) about future planning for Melbourne’s peri-urban region identified significant long</w:t>
      </w:r>
      <w:r w:rsidR="00F749DB">
        <w:t>-</w:t>
      </w:r>
      <w:r w:rsidRPr="008F1881">
        <w:t xml:space="preserve">term concerns with current trends around rural </w:t>
      </w:r>
      <w:r w:rsidR="005A2752" w:rsidRPr="008F1881">
        <w:t>residential development</w:t>
      </w:r>
      <w:r w:rsidRPr="008F1881">
        <w:t xml:space="preserve"> and subdivision of rural land. It found that:</w:t>
      </w:r>
    </w:p>
    <w:p w:rsidR="00740FDC" w:rsidRPr="008F1881" w:rsidRDefault="00740FDC" w:rsidP="00DA6342">
      <w:pPr>
        <w:pStyle w:val="ListBullet"/>
      </w:pPr>
      <w:r w:rsidRPr="008F1881">
        <w:t>The continuation of current development trends under present policy settings will fundamentally alter the appearance and functioning of the region</w:t>
      </w:r>
      <w:r w:rsidR="00F749DB">
        <w:t>.</w:t>
      </w:r>
    </w:p>
    <w:p w:rsidR="00740FDC" w:rsidRPr="008F1881" w:rsidRDefault="00740FDC" w:rsidP="00DA6342">
      <w:pPr>
        <w:pStyle w:val="ListBullet"/>
      </w:pPr>
      <w:r w:rsidRPr="008F1881">
        <w:t xml:space="preserve">There are many small lots already in existence but which are undeveloped and currently used for agriculture. Progressive development of these </w:t>
      </w:r>
      <w:r w:rsidR="00F749DB">
        <w:t xml:space="preserve">lots </w:t>
      </w:r>
      <w:r w:rsidRPr="008F1881">
        <w:t>will lead to dramatic changes in the landscape and threaten agricultural production. Critically affected areas will be around Melbourne, such as Moorabool Shire in the Bacchus Marsh area.</w:t>
      </w:r>
    </w:p>
    <w:p w:rsidR="00740FDC" w:rsidRPr="008F1881" w:rsidRDefault="00740FDC" w:rsidP="00537648">
      <w:pPr>
        <w:pStyle w:val="bt"/>
        <w:spacing w:after="120"/>
      </w:pPr>
      <w:r w:rsidRPr="008F1881">
        <w:t xml:space="preserve">A number of measures </w:t>
      </w:r>
      <w:r w:rsidR="00F749DB">
        <w:t xml:space="preserve">that </w:t>
      </w:r>
      <w:r w:rsidRPr="008F1881">
        <w:t>could be implemented to alter the business-as-usual scenario include:</w:t>
      </w:r>
    </w:p>
    <w:p w:rsidR="00740FDC" w:rsidRPr="008F1881" w:rsidRDefault="00F749DB" w:rsidP="00DA6342">
      <w:pPr>
        <w:pStyle w:val="ListBullet"/>
      </w:pPr>
      <w:r>
        <w:t>p</w:t>
      </w:r>
      <w:r w:rsidR="00740FDC" w:rsidRPr="008F1881">
        <w:t>reventing increased fragmentation of land holdings and removing development expectations</w:t>
      </w:r>
    </w:p>
    <w:p w:rsidR="00740FDC" w:rsidRPr="008F1881" w:rsidRDefault="00F749DB" w:rsidP="00DA6342">
      <w:pPr>
        <w:pStyle w:val="ListBullet"/>
      </w:pPr>
      <w:r>
        <w:t>i</w:t>
      </w:r>
      <w:r w:rsidR="00740FDC" w:rsidRPr="008F1881">
        <w:t>ntegrating environmental factors related to soils, vegetation and landscapes into planning</w:t>
      </w:r>
    </w:p>
    <w:p w:rsidR="00740FDC" w:rsidRPr="008F1881" w:rsidRDefault="00F749DB" w:rsidP="00DA6342">
      <w:pPr>
        <w:pStyle w:val="ListBullet"/>
      </w:pPr>
      <w:r>
        <w:t>p</w:t>
      </w:r>
      <w:r w:rsidR="00740FDC" w:rsidRPr="008F1881">
        <w:t>roviding effective urban alternatives to the price advantages of some peri-urban rural housing markets, including infrastructure, services and transport in peri-urban townships</w:t>
      </w:r>
    </w:p>
    <w:p w:rsidR="00537648" w:rsidRPr="00F95347" w:rsidRDefault="00F749DB" w:rsidP="00F95347">
      <w:pPr>
        <w:pStyle w:val="ListBullet"/>
      </w:pPr>
      <w:r>
        <w:t>a</w:t>
      </w:r>
      <w:r w:rsidR="00740FDC" w:rsidRPr="008F1881">
        <w:t>n improved housing mix in townships</w:t>
      </w:r>
      <w:r w:rsidR="00336F50">
        <w:t>.</w:t>
      </w:r>
    </w:p>
    <w:p w:rsidR="00740FDC" w:rsidRPr="008F1881" w:rsidRDefault="00740FDC" w:rsidP="00DA6342">
      <w:pPr>
        <w:pStyle w:val="bt"/>
      </w:pPr>
      <w:r w:rsidRPr="000B40E8">
        <w:lastRenderedPageBreak/>
        <w:t xml:space="preserve">The </w:t>
      </w:r>
      <w:r w:rsidR="0069443A" w:rsidRPr="000B40E8">
        <w:t>Central Highlands Regional Strategic Plan</w:t>
      </w:r>
      <w:r w:rsidRPr="008F1881">
        <w:t xml:space="preserve"> provides guidance</w:t>
      </w:r>
      <w:r w:rsidR="00716269">
        <w:t xml:space="preserve"> on this matter</w:t>
      </w:r>
      <w:r w:rsidRPr="008F1881">
        <w:t xml:space="preserve">, by stating that high value agricultural areas and rural landscapes will be retained through the selection of a limited number of rural living opportunities, rather than allowing rural living to continue in an ad hoc manner (page 26). </w:t>
      </w:r>
    </w:p>
    <w:p w:rsidR="00740FDC" w:rsidRPr="008F1881" w:rsidRDefault="00740FDC" w:rsidP="00DA6342">
      <w:pPr>
        <w:pStyle w:val="bt"/>
      </w:pPr>
      <w:r w:rsidRPr="008F1881">
        <w:t xml:space="preserve">In terms of zoned land, there are substantial areas </w:t>
      </w:r>
      <w:r w:rsidR="00716269">
        <w:t xml:space="preserve">in the region </w:t>
      </w:r>
      <w:r w:rsidRPr="008F1881">
        <w:t xml:space="preserve">included in the </w:t>
      </w:r>
      <w:r w:rsidR="00AB45B1">
        <w:t>R</w:t>
      </w:r>
      <w:r w:rsidRPr="008F1881">
        <w:t xml:space="preserve">ural </w:t>
      </w:r>
      <w:r w:rsidR="00AB45B1">
        <w:t>L</w:t>
      </w:r>
      <w:r w:rsidRPr="008F1881">
        <w:t xml:space="preserve">iving </w:t>
      </w:r>
      <w:r w:rsidR="00AB45B1">
        <w:t>Z</w:t>
      </w:r>
      <w:r w:rsidRPr="008F1881">
        <w:t>one</w:t>
      </w:r>
      <w:r w:rsidR="00251ED7">
        <w:t xml:space="preserve">, </w:t>
      </w:r>
      <w:r w:rsidRPr="008F1881">
        <w:t>particularly around large centres. The most prominent areas of this type of zoned land include the north-</w:t>
      </w:r>
      <w:r w:rsidR="002A0900">
        <w:t>west</w:t>
      </w:r>
      <w:r w:rsidRPr="008F1881">
        <w:t xml:space="preserve"> of Golden Plains, parts of Moorabool around Gordon and Lal Lal, areas around Beaufort in </w:t>
      </w:r>
      <w:r w:rsidR="00F749DB">
        <w:t xml:space="preserve">the </w:t>
      </w:r>
      <w:r w:rsidRPr="008F1881">
        <w:t>Pyrenees, areas around Buninyong to the south of Ballarat</w:t>
      </w:r>
      <w:r w:rsidR="00F749DB">
        <w:t>,</w:t>
      </w:r>
      <w:r w:rsidRPr="008F1881">
        <w:t xml:space="preserve"> and land between Ararat and Stawell in Northern Grampians</w:t>
      </w:r>
      <w:r w:rsidR="00AB45B1">
        <w:t xml:space="preserve"> Shire</w:t>
      </w:r>
      <w:r w:rsidRPr="008F1881">
        <w:t>.</w:t>
      </w:r>
    </w:p>
    <w:p w:rsidR="00F93A5F" w:rsidRDefault="009F09AE" w:rsidP="005B01F7">
      <w:pPr>
        <w:pStyle w:val="Heading3"/>
      </w:pPr>
      <w:r w:rsidRPr="005B01F7">
        <w:t xml:space="preserve">Land </w:t>
      </w:r>
      <w:r w:rsidR="00661931" w:rsidRPr="005B01F7">
        <w:t>use planning response</w:t>
      </w:r>
    </w:p>
    <w:p w:rsidR="00C820C0" w:rsidRDefault="00716269">
      <w:pPr>
        <w:pStyle w:val="bt"/>
      </w:pPr>
      <w:r>
        <w:rPr>
          <w:lang w:eastAsia="en-US"/>
        </w:rPr>
        <w:t xml:space="preserve">The plan recognises that rural residential development is important for offering lifestyle choice to new and existing residents. The challenge for land use planning is to manage the demand for rural residential development to ensure it is directed to appropriate locations </w:t>
      </w:r>
      <w:r w:rsidR="00A84DE3">
        <w:rPr>
          <w:lang w:eastAsia="en-US"/>
        </w:rPr>
        <w:t>(</w:t>
      </w:r>
      <w:r>
        <w:rPr>
          <w:lang w:eastAsia="en-US"/>
        </w:rPr>
        <w:t>rather than ad hoc</w:t>
      </w:r>
      <w:r w:rsidR="00A84DE3">
        <w:rPr>
          <w:lang w:eastAsia="en-US"/>
        </w:rPr>
        <w:t>)</w:t>
      </w:r>
      <w:r>
        <w:rPr>
          <w:lang w:eastAsia="en-US"/>
        </w:rPr>
        <w:t xml:space="preserve"> through</w:t>
      </w:r>
      <w:r w:rsidR="00A84DE3">
        <w:rPr>
          <w:lang w:eastAsia="en-US"/>
        </w:rPr>
        <w:t>out</w:t>
      </w:r>
      <w:r>
        <w:rPr>
          <w:lang w:eastAsia="en-US"/>
        </w:rPr>
        <w:t xml:space="preserve"> rural areas</w:t>
      </w:r>
      <w:r w:rsidR="00A84DE3">
        <w:rPr>
          <w:lang w:eastAsia="en-US"/>
        </w:rPr>
        <w:t xml:space="preserve"> </w:t>
      </w:r>
      <w:r w:rsidR="00D7440B">
        <w:rPr>
          <w:lang w:eastAsia="en-US"/>
        </w:rPr>
        <w:t>considering important rural land uses, such as agriculture, environmental assets and infrastructure.</w:t>
      </w:r>
      <w:r>
        <w:rPr>
          <w:lang w:eastAsia="en-US"/>
        </w:rPr>
        <w:t xml:space="preserve"> The plan expresses the need to monit</w:t>
      </w:r>
      <w:r w:rsidR="00A84DE3">
        <w:rPr>
          <w:lang w:eastAsia="en-US"/>
        </w:rPr>
        <w:t>or</w:t>
      </w:r>
      <w:r>
        <w:rPr>
          <w:lang w:eastAsia="en-US"/>
        </w:rPr>
        <w:t xml:space="preserve"> sup</w:t>
      </w:r>
      <w:r w:rsidR="00A84DE3">
        <w:rPr>
          <w:lang w:eastAsia="en-US"/>
        </w:rPr>
        <w:t>p</w:t>
      </w:r>
      <w:r>
        <w:rPr>
          <w:lang w:eastAsia="en-US"/>
        </w:rPr>
        <w:t>ly and</w:t>
      </w:r>
      <w:r w:rsidR="00A84DE3">
        <w:rPr>
          <w:lang w:eastAsia="en-US"/>
        </w:rPr>
        <w:t xml:space="preserve"> </w:t>
      </w:r>
      <w:r>
        <w:rPr>
          <w:lang w:eastAsia="en-US"/>
        </w:rPr>
        <w:t>de</w:t>
      </w:r>
      <w:r w:rsidR="00A84DE3">
        <w:rPr>
          <w:lang w:eastAsia="en-US"/>
        </w:rPr>
        <w:t>m</w:t>
      </w:r>
      <w:r>
        <w:rPr>
          <w:lang w:eastAsia="en-US"/>
        </w:rPr>
        <w:t>and f</w:t>
      </w:r>
      <w:r w:rsidR="00A84DE3">
        <w:rPr>
          <w:lang w:eastAsia="en-US"/>
        </w:rPr>
        <w:t>o</w:t>
      </w:r>
      <w:r>
        <w:rPr>
          <w:lang w:eastAsia="en-US"/>
        </w:rPr>
        <w:t>r rural residential</w:t>
      </w:r>
      <w:r w:rsidR="00AB45B1">
        <w:rPr>
          <w:lang w:eastAsia="en-US"/>
        </w:rPr>
        <w:t xml:space="preserve"> land</w:t>
      </w:r>
      <w:r>
        <w:rPr>
          <w:lang w:eastAsia="en-US"/>
        </w:rPr>
        <w:t xml:space="preserve"> within the regi</w:t>
      </w:r>
      <w:r w:rsidR="00A84DE3">
        <w:rPr>
          <w:lang w:eastAsia="en-US"/>
        </w:rPr>
        <w:t>o</w:t>
      </w:r>
      <w:r>
        <w:rPr>
          <w:lang w:eastAsia="en-US"/>
        </w:rPr>
        <w:t xml:space="preserve">n. </w:t>
      </w:r>
    </w:p>
    <w:p w:rsidR="00740FDC" w:rsidRPr="008F1881" w:rsidRDefault="00A84DE3" w:rsidP="00DA6342">
      <w:pPr>
        <w:pStyle w:val="bt"/>
      </w:pPr>
      <w:r>
        <w:t>The</w:t>
      </w:r>
      <w:r w:rsidR="00740FDC" w:rsidRPr="008F1881">
        <w:t xml:space="preserve"> </w:t>
      </w:r>
      <w:r w:rsidR="00F37D25">
        <w:t>plan</w:t>
      </w:r>
      <w:r w:rsidR="006530FA" w:rsidRPr="008F1881">
        <w:t xml:space="preserve"> </w:t>
      </w:r>
      <w:r>
        <w:t xml:space="preserve">also </w:t>
      </w:r>
      <w:r w:rsidR="006530FA" w:rsidRPr="008F1881">
        <w:t xml:space="preserve">recognises that detailed planning for rural residential development should be </w:t>
      </w:r>
      <w:r w:rsidR="005A2752" w:rsidRPr="008F1881">
        <w:t>undertaken</w:t>
      </w:r>
      <w:r w:rsidR="006530FA" w:rsidRPr="008F1881">
        <w:t xml:space="preserve"> by councils. </w:t>
      </w:r>
      <w:r w:rsidR="00413CF4">
        <w:t>I</w:t>
      </w:r>
      <w:r w:rsidR="006530FA" w:rsidRPr="008F1881">
        <w:t>t</w:t>
      </w:r>
      <w:r w:rsidR="00740FDC" w:rsidRPr="008F1881">
        <w:t xml:space="preserve"> </w:t>
      </w:r>
      <w:r w:rsidR="00BB18B9" w:rsidRPr="008F1881">
        <w:t xml:space="preserve">identifies </w:t>
      </w:r>
      <w:r w:rsidR="00740FDC" w:rsidRPr="008F1881">
        <w:t>regionally significant environmental</w:t>
      </w:r>
      <w:r w:rsidR="006530FA" w:rsidRPr="008F1881">
        <w:t>, landscape</w:t>
      </w:r>
      <w:r w:rsidR="00740FDC" w:rsidRPr="008F1881">
        <w:t xml:space="preserve"> and agricultural assets </w:t>
      </w:r>
      <w:r w:rsidR="00BB18B9" w:rsidRPr="008F1881">
        <w:t xml:space="preserve">with a view to ensuring these areas </w:t>
      </w:r>
      <w:r w:rsidR="00740FDC" w:rsidRPr="008F1881">
        <w:t>are protected</w:t>
      </w:r>
      <w:r w:rsidR="00BB18B9" w:rsidRPr="008F1881">
        <w:t xml:space="preserve"> from incompatible land use, including rural </w:t>
      </w:r>
      <w:r w:rsidR="00AB45B1">
        <w:t xml:space="preserve">residential </w:t>
      </w:r>
      <w:r w:rsidR="00BB18B9" w:rsidRPr="008F1881">
        <w:t xml:space="preserve"> development</w:t>
      </w:r>
      <w:r w:rsidR="00740FDC" w:rsidRPr="008F1881">
        <w:t>.</w:t>
      </w:r>
      <w:r w:rsidR="002465FA" w:rsidRPr="008F1881">
        <w:t xml:space="preserve"> The </w:t>
      </w:r>
      <w:r w:rsidR="00F37D25">
        <w:t>plan</w:t>
      </w:r>
      <w:r w:rsidR="002465FA" w:rsidRPr="008F1881">
        <w:t xml:space="preserve"> also identifies a number of regional considerations that should be taken into account when considering </w:t>
      </w:r>
      <w:r w:rsidR="0056404E" w:rsidRPr="008F1881">
        <w:t xml:space="preserve">locating rural </w:t>
      </w:r>
      <w:r w:rsidR="005A2752" w:rsidRPr="008F1881">
        <w:t>residential</w:t>
      </w:r>
      <w:r w:rsidR="0056404E" w:rsidRPr="008F1881">
        <w:t xml:space="preserve"> development.</w:t>
      </w:r>
    </w:p>
    <w:p w:rsidR="00C820C0" w:rsidRDefault="004C014C">
      <w:pPr>
        <w:pStyle w:val="bt"/>
      </w:pPr>
      <w:r>
        <w:t>The plan notes that t</w:t>
      </w:r>
      <w:r w:rsidR="00E53B2A" w:rsidRPr="008F1881">
        <w:t>he</w:t>
      </w:r>
      <w:r w:rsidR="005A2752" w:rsidRPr="008F1881">
        <w:t>re are potential</w:t>
      </w:r>
      <w:r w:rsidR="00E53B2A" w:rsidRPr="008F1881">
        <w:t xml:space="preserve"> benefits to the region of rural </w:t>
      </w:r>
      <w:r w:rsidR="005A2752" w:rsidRPr="008F1881">
        <w:t>residential</w:t>
      </w:r>
      <w:r w:rsidR="00E53B2A" w:rsidRPr="008F1881">
        <w:t xml:space="preserve"> development, in </w:t>
      </w:r>
      <w:r w:rsidR="00DB03AE" w:rsidRPr="008F1881">
        <w:t xml:space="preserve">terms of </w:t>
      </w:r>
      <w:r w:rsidR="00E53B2A" w:rsidRPr="008F1881">
        <w:t>providing housing and lifestyle choice, attracting residents to the region and supporting the via</w:t>
      </w:r>
      <w:r w:rsidR="00DB03AE" w:rsidRPr="008F1881">
        <w:t xml:space="preserve">bility of smaller settlements. </w:t>
      </w:r>
    </w:p>
    <w:p w:rsidR="00641BE5" w:rsidRDefault="00655E45" w:rsidP="00251ED7">
      <w:pPr>
        <w:pStyle w:val="Heading2"/>
      </w:pPr>
      <w:bookmarkStart w:id="85" w:name="_Toc349557699"/>
      <w:bookmarkStart w:id="86" w:name="_Toc374527598"/>
      <w:r w:rsidRPr="005B01F7">
        <w:t>Peri-</w:t>
      </w:r>
      <w:r w:rsidR="00661931" w:rsidRPr="005B01F7">
        <w:t xml:space="preserve">urban </w:t>
      </w:r>
      <w:bookmarkEnd w:id="85"/>
      <w:r w:rsidR="00661931" w:rsidRPr="005B01F7">
        <w:t>relationships</w:t>
      </w:r>
      <w:bookmarkEnd w:id="86"/>
      <w:r w:rsidR="00661931" w:rsidRPr="005B01F7">
        <w:t xml:space="preserve"> </w:t>
      </w:r>
    </w:p>
    <w:p w:rsidR="00F93A5F" w:rsidRPr="005B01F7" w:rsidRDefault="00655E45" w:rsidP="005B01F7">
      <w:pPr>
        <w:pStyle w:val="Heading3"/>
      </w:pPr>
      <w:bookmarkStart w:id="87" w:name="_Toc350356423"/>
      <w:bookmarkStart w:id="88" w:name="_Toc350357475"/>
      <w:bookmarkStart w:id="89" w:name="_Toc350357565"/>
      <w:bookmarkStart w:id="90" w:name="_Toc350357811"/>
      <w:bookmarkStart w:id="91" w:name="_Toc350357905"/>
      <w:bookmarkStart w:id="92" w:name="_Toc350358154"/>
      <w:bookmarkStart w:id="93" w:name="_Toc350358207"/>
      <w:bookmarkStart w:id="94" w:name="_Toc350360688"/>
      <w:bookmarkStart w:id="95" w:name="_Toc350361595"/>
      <w:bookmarkStart w:id="96" w:name="_Toc350362465"/>
      <w:bookmarkStart w:id="97" w:name="_Toc353802690"/>
      <w:bookmarkStart w:id="98" w:name="_Toc353805613"/>
      <w:bookmarkStart w:id="99" w:name="_Toc353805694"/>
      <w:bookmarkEnd w:id="87"/>
      <w:bookmarkEnd w:id="88"/>
      <w:bookmarkEnd w:id="89"/>
      <w:bookmarkEnd w:id="90"/>
      <w:bookmarkEnd w:id="91"/>
      <w:bookmarkEnd w:id="92"/>
      <w:bookmarkEnd w:id="93"/>
      <w:bookmarkEnd w:id="94"/>
      <w:bookmarkEnd w:id="95"/>
      <w:bookmarkEnd w:id="96"/>
      <w:bookmarkEnd w:id="97"/>
      <w:bookmarkEnd w:id="98"/>
      <w:bookmarkEnd w:id="99"/>
      <w:r w:rsidRPr="005B01F7">
        <w:t xml:space="preserve">Description and </w:t>
      </w:r>
      <w:r w:rsidR="00661931" w:rsidRPr="005B01F7">
        <w:t>analysis</w:t>
      </w:r>
    </w:p>
    <w:p w:rsidR="00A4690D" w:rsidRPr="00000AE4" w:rsidRDefault="00A4690D" w:rsidP="00000AE4">
      <w:pPr>
        <w:pStyle w:val="Heading40"/>
      </w:pPr>
      <w:r w:rsidRPr="00000AE4">
        <w:t>Peri-urban issues</w:t>
      </w:r>
    </w:p>
    <w:p w:rsidR="002B0C08" w:rsidRDefault="0002754E" w:rsidP="00F95347">
      <w:pPr>
        <w:pStyle w:val="bt"/>
      </w:pPr>
      <w:r w:rsidRPr="008F1881">
        <w:rPr>
          <w:b/>
        </w:rPr>
        <w:t>‘</w:t>
      </w:r>
      <w:r w:rsidRPr="008F1881">
        <w:t>Peri-urban’ literally means the area around an urban settlement</w:t>
      </w:r>
      <w:r w:rsidR="00171DCC" w:rsidRPr="008F1881">
        <w:t xml:space="preserve"> and has been applied in the </w:t>
      </w:r>
      <w:r w:rsidR="00F37D25">
        <w:t>plan</w:t>
      </w:r>
      <w:r w:rsidR="00171DCC" w:rsidRPr="008F1881">
        <w:t xml:space="preserve"> to describe the eastern parts of the Central Highlands region that are within Melbourne’s peri-urban </w:t>
      </w:r>
      <w:r w:rsidR="000B4965" w:rsidRPr="008F1881">
        <w:t>region</w:t>
      </w:r>
      <w:r w:rsidR="00A06AB4" w:rsidRPr="008F1881">
        <w:t xml:space="preserve"> </w:t>
      </w:r>
      <w:r w:rsidR="000A44A6">
        <w:t>(refer to</w:t>
      </w:r>
      <w:r w:rsidR="00A06AB4" w:rsidRPr="008F1881">
        <w:t xml:space="preserve"> </w:t>
      </w:r>
      <w:r w:rsidR="00631B16">
        <w:fldChar w:fldCharType="begin"/>
      </w:r>
      <w:r w:rsidR="00631B16">
        <w:instrText xml:space="preserve"> REF _Ref349216551 \h  \* MERGEFORMAT </w:instrText>
      </w:r>
      <w:r w:rsidR="00631B16">
        <w:fldChar w:fldCharType="separate"/>
      </w:r>
      <w:r w:rsidR="00907B42" w:rsidRPr="00D42DE9">
        <w:t xml:space="preserve">Figure </w:t>
      </w:r>
      <w:r w:rsidR="00907B42">
        <w:rPr>
          <w:noProof/>
        </w:rPr>
        <w:t>12</w:t>
      </w:r>
      <w:r w:rsidR="00631B16">
        <w:fldChar w:fldCharType="end"/>
      </w:r>
      <w:r w:rsidR="00A06AB4" w:rsidRPr="008F1881">
        <w:t>)</w:t>
      </w:r>
      <w:r w:rsidRPr="008F1881">
        <w:t>.</w:t>
      </w:r>
      <w:r w:rsidR="0056404E" w:rsidRPr="008F1881">
        <w:t xml:space="preserve"> Ballarat also has a peri-urban area containing a number of settlements located within easy commuting distance</w:t>
      </w:r>
      <w:r w:rsidR="00152BF2">
        <w:t>.</w:t>
      </w:r>
    </w:p>
    <w:p w:rsidR="006D094F" w:rsidRDefault="00152BF2" w:rsidP="00D42DE9">
      <w:pPr>
        <w:pStyle w:val="Caption"/>
      </w:pPr>
      <w:bookmarkStart w:id="100" w:name="_Ref349216551"/>
      <w:r>
        <w:rPr>
          <w:noProof/>
        </w:rPr>
        <w:lastRenderedPageBreak/>
        <w:drawing>
          <wp:anchor distT="0" distB="0" distL="114300" distR="114300" simplePos="0" relativeHeight="251716608" behindDoc="0" locked="0" layoutInCell="1" allowOverlap="1">
            <wp:simplePos x="0" y="0"/>
            <wp:positionH relativeFrom="column">
              <wp:posOffset>-107950</wp:posOffset>
            </wp:positionH>
            <wp:positionV relativeFrom="paragraph">
              <wp:posOffset>228600</wp:posOffset>
            </wp:positionV>
            <wp:extent cx="6109335" cy="4457700"/>
            <wp:effectExtent l="19050" t="0" r="5715" b="0"/>
            <wp:wrapTopAndBottom/>
            <wp:docPr id="24" name="Picture 2" descr="Map showing peri-urban extent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DPCD Permanent All Staff\Regional Growth Plans\Mapping\Central Highlands\RGP Strategic Maps\CH Background Maps\MPS001 Victoria's settlements_withLegend.jpg"/>
                    <pic:cNvPicPr>
                      <a:picLocks noChangeAspect="1" noChangeArrowheads="1"/>
                    </pic:cNvPicPr>
                  </pic:nvPicPr>
                  <pic:blipFill>
                    <a:blip r:embed="rId35" cstate="email"/>
                    <a:srcRect/>
                    <a:stretch>
                      <a:fillRect/>
                    </a:stretch>
                  </pic:blipFill>
                  <pic:spPr bwMode="auto">
                    <a:xfrm>
                      <a:off x="0" y="0"/>
                      <a:ext cx="6109335" cy="4457700"/>
                    </a:xfrm>
                    <a:prstGeom prst="rect">
                      <a:avLst/>
                    </a:prstGeom>
                    <a:noFill/>
                    <a:ln w="9525">
                      <a:noFill/>
                      <a:miter lim="800000"/>
                      <a:headEnd/>
                      <a:tailEnd/>
                    </a:ln>
                  </pic:spPr>
                </pic:pic>
              </a:graphicData>
            </a:graphic>
          </wp:anchor>
        </w:drawing>
      </w:r>
      <w:bookmarkStart w:id="101" w:name="_Toc381698012"/>
      <w:r w:rsidR="00A06AB4" w:rsidRPr="00D42DE9">
        <w:t xml:space="preserve">Figure </w:t>
      </w:r>
      <w:r w:rsidR="009F388E">
        <w:fldChar w:fldCharType="begin"/>
      </w:r>
      <w:r w:rsidR="00821C7F">
        <w:instrText xml:space="preserve"> SEQ Figure \* ARABIC </w:instrText>
      </w:r>
      <w:r w:rsidR="009F388E">
        <w:fldChar w:fldCharType="separate"/>
      </w:r>
      <w:r w:rsidR="00907B42">
        <w:rPr>
          <w:noProof/>
        </w:rPr>
        <w:t>12</w:t>
      </w:r>
      <w:r w:rsidR="009F388E">
        <w:fldChar w:fldCharType="end"/>
      </w:r>
      <w:bookmarkEnd w:id="100"/>
      <w:r w:rsidR="00A56E4B" w:rsidRPr="00D42DE9">
        <w:t>:</w:t>
      </w:r>
      <w:r w:rsidR="006D094F" w:rsidRPr="00D42DE9">
        <w:t xml:space="preserve"> Peri-urban extent of Melbourne</w:t>
      </w:r>
      <w:bookmarkEnd w:id="101"/>
    </w:p>
    <w:p w:rsidR="00C820C0" w:rsidRDefault="00DA6342" w:rsidP="00070916">
      <w:pPr>
        <w:pStyle w:val="Source0"/>
      </w:pPr>
      <w:r w:rsidRPr="001F619E">
        <w:t xml:space="preserve">Source: </w:t>
      </w:r>
      <w:r w:rsidRPr="00A56E4B">
        <w:t>Melbourne</w:t>
      </w:r>
      <w:r w:rsidRPr="008F1881">
        <w:t xml:space="preserve"> </w:t>
      </w:r>
      <w:r>
        <w:t xml:space="preserve">– </w:t>
      </w:r>
      <w:r w:rsidRPr="008F1881">
        <w:t>Let</w:t>
      </w:r>
      <w:r>
        <w:t>’</w:t>
      </w:r>
      <w:r w:rsidRPr="008F1881">
        <w:t>s talk about the future (2012</w:t>
      </w:r>
      <w:r w:rsidR="00375977">
        <w:t>)</w:t>
      </w:r>
      <w:r w:rsidR="002F6158">
        <w:t>.</w:t>
      </w:r>
    </w:p>
    <w:p w:rsidR="00325D23" w:rsidRPr="008F1881" w:rsidRDefault="00325D23" w:rsidP="00DA6342">
      <w:pPr>
        <w:pStyle w:val="bt"/>
      </w:pPr>
      <w:r w:rsidRPr="008F1881">
        <w:t xml:space="preserve">One of the most important contextual factors affecting the Central Highlands is the region’s relationship to Melbourne. The area within 100 kilometres of </w:t>
      </w:r>
      <w:r w:rsidR="00F14B3D">
        <w:t>central</w:t>
      </w:r>
      <w:r w:rsidRPr="008F1881">
        <w:t xml:space="preserve"> Melbourne is considered to be within the city’s peri-urban influence</w:t>
      </w:r>
      <w:r w:rsidR="00F0119D">
        <w:t xml:space="preserve">. For the Central Highlands region, </w:t>
      </w:r>
      <w:r w:rsidRPr="008F1881">
        <w:t xml:space="preserve">this primarily includes Moorabool Shire and parts of the Golden Plains and Hepburn </w:t>
      </w:r>
      <w:r w:rsidR="00F0119D">
        <w:t>s</w:t>
      </w:r>
      <w:r w:rsidR="00DA6342">
        <w:t>hires.</w:t>
      </w:r>
    </w:p>
    <w:p w:rsidR="0002754E" w:rsidRPr="008F1881" w:rsidRDefault="0002754E" w:rsidP="00DA6342">
      <w:pPr>
        <w:pStyle w:val="bt"/>
      </w:pPr>
      <w:r w:rsidRPr="008F1881">
        <w:t>Protecting the values of peri-urban areas is a key challenge for land use planning around growing cities within Australia and internationally.</w:t>
      </w:r>
    </w:p>
    <w:p w:rsidR="005E2197" w:rsidRPr="008F1881" w:rsidRDefault="0002754E" w:rsidP="00DA6342">
      <w:pPr>
        <w:pStyle w:val="bt"/>
      </w:pPr>
      <w:r w:rsidRPr="008F1881">
        <w:t>As Melbourne has grown so ha</w:t>
      </w:r>
      <w:r w:rsidR="00A06AB4" w:rsidRPr="008F1881">
        <w:t xml:space="preserve">s </w:t>
      </w:r>
      <w:r w:rsidRPr="008F1881">
        <w:t xml:space="preserve">the extent of its peri-urban </w:t>
      </w:r>
      <w:r w:rsidR="005E2197" w:rsidRPr="008F1881">
        <w:t xml:space="preserve">area </w:t>
      </w:r>
      <w:r w:rsidRPr="008F1881">
        <w:t xml:space="preserve">and the importance of the assets of </w:t>
      </w:r>
      <w:r w:rsidR="005E2197" w:rsidRPr="008F1881">
        <w:t xml:space="preserve">this area </w:t>
      </w:r>
      <w:r w:rsidRPr="008F1881">
        <w:t xml:space="preserve">in supporting the functioning of </w:t>
      </w:r>
      <w:r w:rsidR="005E2197" w:rsidRPr="008F1881">
        <w:t>Melbourne</w:t>
      </w:r>
      <w:r w:rsidRPr="008F1881">
        <w:t xml:space="preserve">. </w:t>
      </w:r>
      <w:r w:rsidR="005E2197" w:rsidRPr="008F1881">
        <w:t>C</w:t>
      </w:r>
      <w:r w:rsidRPr="008F1881">
        <w:t xml:space="preserve">ontinual investment in transport infrastructure has significantly improved access from Melbourne to regional centres and interstate, </w:t>
      </w:r>
      <w:r w:rsidR="005E2197" w:rsidRPr="008F1881">
        <w:t xml:space="preserve">improving </w:t>
      </w:r>
      <w:r w:rsidRPr="008F1881">
        <w:t xml:space="preserve">mobility within the peri-urban region, </w:t>
      </w:r>
      <w:r w:rsidR="005E2197" w:rsidRPr="008F1881">
        <w:t>making it a more desirable area to live.</w:t>
      </w:r>
    </w:p>
    <w:p w:rsidR="00122B7B" w:rsidRDefault="0002754E" w:rsidP="00122B7B">
      <w:pPr>
        <w:pStyle w:val="bt"/>
      </w:pPr>
      <w:r w:rsidRPr="008F1881">
        <w:t xml:space="preserve">There are a number of ‘state significant’ land uses within </w:t>
      </w:r>
      <w:r w:rsidR="005E2197" w:rsidRPr="008F1881">
        <w:t xml:space="preserve">Melbourne’s peri-urban </w:t>
      </w:r>
      <w:r w:rsidRPr="008F1881">
        <w:t xml:space="preserve">region that may be regarded as assets to the functioning of metropolitan Melbourne and Victoria as a whole. These may be classified as resources, infrastructure, environment and cultural, </w:t>
      </w:r>
      <w:r w:rsidR="005E2197" w:rsidRPr="008F1881">
        <w:t>and are identified in the following table</w:t>
      </w:r>
      <w:r w:rsidRPr="008F1881">
        <w:t>.</w:t>
      </w:r>
    </w:p>
    <w:p w:rsidR="00CC4C5B" w:rsidRPr="00CC4C5B" w:rsidRDefault="00CC4C5B" w:rsidP="00122B7B">
      <w:pPr>
        <w:pStyle w:val="Heading40"/>
      </w:pPr>
      <w:r w:rsidRPr="00CC4C5B">
        <w:t>State significant land uses</w:t>
      </w:r>
    </w:p>
    <w:p w:rsidR="00CC4C5B" w:rsidRPr="00CC4C5B" w:rsidRDefault="00CC4C5B" w:rsidP="0013512F">
      <w:pPr>
        <w:pStyle w:val="TableText0"/>
        <w:tabs>
          <w:tab w:val="left" w:pos="3217"/>
        </w:tabs>
        <w:rPr>
          <w:rFonts w:asciiTheme="minorHAnsi" w:hAnsiTheme="minorHAnsi"/>
          <w:b/>
          <w:color w:val="auto"/>
        </w:rPr>
      </w:pPr>
      <w:r w:rsidRPr="00CC4C5B">
        <w:rPr>
          <w:rFonts w:asciiTheme="minorHAnsi" w:hAnsiTheme="minorHAnsi"/>
          <w:b/>
          <w:color w:val="auto"/>
        </w:rPr>
        <w:t>Resources</w:t>
      </w:r>
    </w:p>
    <w:p w:rsidR="00CC4C5B" w:rsidRPr="00CC4C5B" w:rsidRDefault="00CC4C5B" w:rsidP="00CC4C5B">
      <w:pPr>
        <w:pStyle w:val="TableText0"/>
        <w:numPr>
          <w:ilvl w:val="0"/>
          <w:numId w:val="33"/>
        </w:numPr>
        <w:tabs>
          <w:tab w:val="left" w:pos="3217"/>
        </w:tabs>
        <w:rPr>
          <w:rFonts w:asciiTheme="minorHAnsi" w:hAnsiTheme="minorHAnsi"/>
          <w:b/>
          <w:color w:val="auto"/>
        </w:rPr>
      </w:pPr>
      <w:r w:rsidRPr="00CC4C5B">
        <w:rPr>
          <w:rFonts w:asciiTheme="minorHAnsi" w:hAnsiTheme="minorHAnsi"/>
          <w:color w:val="auto"/>
        </w:rPr>
        <w:t>Extractive</w:t>
      </w:r>
    </w:p>
    <w:p w:rsidR="00CC4C5B" w:rsidRPr="00CC4C5B" w:rsidRDefault="00CC4C5B" w:rsidP="00CC4C5B">
      <w:pPr>
        <w:pStyle w:val="TableText0"/>
        <w:numPr>
          <w:ilvl w:val="0"/>
          <w:numId w:val="34"/>
        </w:numPr>
        <w:tabs>
          <w:tab w:val="left" w:pos="1515"/>
          <w:tab w:val="left" w:pos="3217"/>
        </w:tabs>
        <w:ind w:left="1134"/>
        <w:rPr>
          <w:rFonts w:asciiTheme="minorHAnsi" w:hAnsiTheme="minorHAnsi"/>
          <w:color w:val="auto"/>
        </w:rPr>
      </w:pPr>
      <w:r w:rsidRPr="00CC4C5B">
        <w:rPr>
          <w:rFonts w:asciiTheme="minorHAnsi" w:hAnsiTheme="minorHAnsi"/>
          <w:color w:val="auto"/>
        </w:rPr>
        <w:t xml:space="preserve">Why these land uses are considered significant – The cost of transporting stone and sand products over long distances can account for a substantial proportion of product price at the </w:t>
      </w:r>
      <w:r w:rsidRPr="00CC4C5B">
        <w:rPr>
          <w:rFonts w:asciiTheme="minorHAnsi" w:hAnsiTheme="minorHAnsi"/>
          <w:color w:val="auto"/>
        </w:rPr>
        <w:lastRenderedPageBreak/>
        <w:t xml:space="preserve">construction site. Sourcing construction materials from local quarries within the peri-urban region enables cost efficiencies and energy savings. </w:t>
      </w:r>
    </w:p>
    <w:p w:rsidR="00CC4C5B" w:rsidRPr="00CC4C5B" w:rsidRDefault="00CC4C5B" w:rsidP="00CC4C5B">
      <w:pPr>
        <w:pStyle w:val="TableText0"/>
        <w:numPr>
          <w:ilvl w:val="0"/>
          <w:numId w:val="33"/>
        </w:numPr>
        <w:tabs>
          <w:tab w:val="left" w:pos="1515"/>
          <w:tab w:val="left" w:pos="3217"/>
        </w:tabs>
        <w:rPr>
          <w:rFonts w:asciiTheme="minorHAnsi" w:hAnsiTheme="minorHAnsi"/>
          <w:color w:val="auto"/>
        </w:rPr>
      </w:pPr>
      <w:r w:rsidRPr="00CC4C5B">
        <w:rPr>
          <w:rFonts w:asciiTheme="minorHAnsi" w:hAnsiTheme="minorHAnsi"/>
          <w:color w:val="auto"/>
        </w:rPr>
        <w:t>Forestry</w:t>
      </w:r>
    </w:p>
    <w:p w:rsidR="00CC4C5B" w:rsidRPr="00CC4C5B" w:rsidRDefault="00CC4C5B" w:rsidP="00CC4C5B">
      <w:pPr>
        <w:pStyle w:val="TableText0"/>
        <w:numPr>
          <w:ilvl w:val="0"/>
          <w:numId w:val="34"/>
        </w:numPr>
        <w:tabs>
          <w:tab w:val="left" w:pos="1515"/>
          <w:tab w:val="left" w:pos="3217"/>
        </w:tabs>
        <w:ind w:left="1134"/>
        <w:rPr>
          <w:rFonts w:asciiTheme="minorHAnsi" w:hAnsiTheme="minorHAnsi"/>
          <w:color w:val="auto"/>
        </w:rPr>
      </w:pPr>
      <w:r w:rsidRPr="00CC4C5B">
        <w:rPr>
          <w:rFonts w:asciiTheme="minorHAnsi" w:hAnsiTheme="minorHAnsi"/>
          <w:color w:val="auto"/>
        </w:rPr>
        <w:t>Why these land uses are considered significant – A number of state forest reserves are located in the peri-urban region. They provide for a variety of uses, including timber for sustainable forestry, biodiversity and landscape conservation, protection of water catchments and opportunities for recreation.</w:t>
      </w:r>
    </w:p>
    <w:p w:rsidR="00CC4C5B" w:rsidRPr="00CC4C5B" w:rsidRDefault="00CC4C5B" w:rsidP="00CC4C5B">
      <w:pPr>
        <w:pStyle w:val="TableText0"/>
        <w:numPr>
          <w:ilvl w:val="0"/>
          <w:numId w:val="33"/>
        </w:numPr>
        <w:tabs>
          <w:tab w:val="left" w:pos="1515"/>
          <w:tab w:val="left" w:pos="3217"/>
        </w:tabs>
        <w:rPr>
          <w:rFonts w:asciiTheme="minorHAnsi" w:hAnsiTheme="minorHAnsi"/>
          <w:color w:val="auto"/>
        </w:rPr>
      </w:pPr>
      <w:r w:rsidRPr="00CC4C5B">
        <w:rPr>
          <w:rFonts w:asciiTheme="minorHAnsi" w:hAnsiTheme="minorHAnsi"/>
          <w:color w:val="auto"/>
        </w:rPr>
        <w:t>Productive  agriculture</w:t>
      </w:r>
    </w:p>
    <w:p w:rsidR="00CC4C5B" w:rsidRPr="00CC4C5B" w:rsidRDefault="00CC4C5B" w:rsidP="00CC4C5B">
      <w:pPr>
        <w:pStyle w:val="TableText0"/>
        <w:numPr>
          <w:ilvl w:val="0"/>
          <w:numId w:val="34"/>
        </w:numPr>
        <w:tabs>
          <w:tab w:val="left" w:pos="1515"/>
          <w:tab w:val="left" w:pos="3217"/>
        </w:tabs>
        <w:ind w:left="1134"/>
        <w:rPr>
          <w:rFonts w:asciiTheme="minorHAnsi" w:hAnsiTheme="minorHAnsi"/>
          <w:color w:val="auto"/>
        </w:rPr>
      </w:pPr>
      <w:r w:rsidRPr="00CC4C5B">
        <w:rPr>
          <w:rFonts w:asciiTheme="minorHAnsi" w:hAnsiTheme="minorHAnsi"/>
          <w:color w:val="auto"/>
        </w:rPr>
        <w:t>Why these land uses are considered significant – Prime agricultural land provides food and fibre to the Victorian community, and supports employment and businesses. It also supports associated rural industries, such as food processing, abattoirs, shearing, irrigation supplies and stock feed producers that contribute to Victoria’s economy.</w:t>
      </w:r>
    </w:p>
    <w:p w:rsidR="00CC4C5B" w:rsidRPr="00CC4C5B" w:rsidRDefault="00CC4C5B" w:rsidP="00CC4C5B">
      <w:pPr>
        <w:pStyle w:val="TableText0"/>
        <w:tabs>
          <w:tab w:val="left" w:pos="1515"/>
          <w:tab w:val="left" w:pos="3217"/>
        </w:tabs>
        <w:rPr>
          <w:rFonts w:asciiTheme="minorHAnsi" w:hAnsiTheme="minorHAnsi"/>
          <w:b/>
          <w:color w:val="auto"/>
        </w:rPr>
      </w:pPr>
      <w:r w:rsidRPr="00CC4C5B">
        <w:rPr>
          <w:rFonts w:asciiTheme="minorHAnsi" w:hAnsiTheme="minorHAnsi"/>
          <w:b/>
          <w:color w:val="auto"/>
        </w:rPr>
        <w:t>Infrastructure</w:t>
      </w:r>
    </w:p>
    <w:p w:rsidR="00CC4C5B" w:rsidRPr="00CC4C5B" w:rsidRDefault="00CC4C5B" w:rsidP="00CC4C5B">
      <w:pPr>
        <w:pStyle w:val="TableText0"/>
        <w:numPr>
          <w:ilvl w:val="0"/>
          <w:numId w:val="33"/>
        </w:numPr>
        <w:tabs>
          <w:tab w:val="left" w:pos="1515"/>
          <w:tab w:val="left" w:pos="3217"/>
        </w:tabs>
        <w:rPr>
          <w:rFonts w:asciiTheme="minorHAnsi" w:hAnsiTheme="minorHAnsi"/>
          <w:color w:val="auto"/>
        </w:rPr>
      </w:pPr>
      <w:r w:rsidRPr="00CC4C5B">
        <w:rPr>
          <w:rFonts w:asciiTheme="minorHAnsi" w:hAnsiTheme="minorHAnsi"/>
          <w:color w:val="auto"/>
        </w:rPr>
        <w:t>Transport</w:t>
      </w:r>
    </w:p>
    <w:p w:rsidR="00CC4C5B" w:rsidRPr="00CC4C5B" w:rsidRDefault="00CC4C5B" w:rsidP="00CC4C5B">
      <w:pPr>
        <w:pStyle w:val="TableText0"/>
        <w:numPr>
          <w:ilvl w:val="0"/>
          <w:numId w:val="34"/>
        </w:numPr>
        <w:tabs>
          <w:tab w:val="left" w:pos="1515"/>
          <w:tab w:val="left" w:pos="3217"/>
        </w:tabs>
        <w:ind w:left="1134"/>
        <w:rPr>
          <w:rFonts w:asciiTheme="minorHAnsi" w:hAnsiTheme="minorHAnsi"/>
          <w:color w:val="auto"/>
        </w:rPr>
      </w:pPr>
      <w:r w:rsidRPr="00CC4C5B">
        <w:rPr>
          <w:rFonts w:asciiTheme="minorHAnsi" w:hAnsiTheme="minorHAnsi"/>
          <w:color w:val="auto"/>
        </w:rPr>
        <w:t>Why these land uses are considered significant – The peri-urban region is traversed by an extensive arterial road and rail transport network linking major centres of population and industry across Victoria. Progressive transport expansion and safety improvements continue to influence land use activities and are likely to further improve travel times, reducing the commuting time and improving access between peri-urban areas and Melbourne.</w:t>
      </w:r>
    </w:p>
    <w:p w:rsidR="00CC4C5B" w:rsidRPr="00CC4C5B" w:rsidRDefault="00CC4C5B" w:rsidP="00CC4C5B">
      <w:pPr>
        <w:pStyle w:val="TableText0"/>
        <w:numPr>
          <w:ilvl w:val="0"/>
          <w:numId w:val="33"/>
        </w:numPr>
        <w:tabs>
          <w:tab w:val="left" w:pos="1515"/>
          <w:tab w:val="left" w:pos="3217"/>
        </w:tabs>
        <w:rPr>
          <w:rFonts w:asciiTheme="minorHAnsi" w:hAnsiTheme="minorHAnsi"/>
          <w:color w:val="auto"/>
        </w:rPr>
      </w:pPr>
      <w:r w:rsidRPr="00CC4C5B">
        <w:rPr>
          <w:rFonts w:asciiTheme="minorHAnsi" w:hAnsiTheme="minorHAnsi"/>
          <w:color w:val="auto"/>
        </w:rPr>
        <w:t>Utilities</w:t>
      </w:r>
    </w:p>
    <w:p w:rsidR="00CC4C5B" w:rsidRPr="00CC4C5B" w:rsidRDefault="00CC4C5B" w:rsidP="00CC4C5B">
      <w:pPr>
        <w:pStyle w:val="TableText0"/>
        <w:numPr>
          <w:ilvl w:val="0"/>
          <w:numId w:val="34"/>
        </w:numPr>
        <w:tabs>
          <w:tab w:val="left" w:pos="1515"/>
          <w:tab w:val="left" w:pos="3217"/>
        </w:tabs>
        <w:ind w:left="1134"/>
        <w:rPr>
          <w:rFonts w:asciiTheme="minorHAnsi" w:hAnsiTheme="minorHAnsi"/>
          <w:color w:val="auto"/>
        </w:rPr>
      </w:pPr>
      <w:r w:rsidRPr="00CC4C5B">
        <w:rPr>
          <w:rFonts w:asciiTheme="minorHAnsi" w:hAnsiTheme="minorHAnsi"/>
          <w:color w:val="auto"/>
        </w:rPr>
        <w:t>Why these land uses are considered significant – Utilities infrastructure that require extensive landholdings or buffers, which are often unable to be provided within an urban area, are located within the peri-urban region and are critical to the functioning of urban areas. This includes water treatment plants, as well as electricity, gas and waste management facilities, pipelines and transmission corridors, and associated buffer areas.</w:t>
      </w:r>
    </w:p>
    <w:p w:rsidR="00CC4C5B" w:rsidRPr="00CC4C5B" w:rsidRDefault="00CC4C5B" w:rsidP="00CC4C5B">
      <w:pPr>
        <w:pStyle w:val="TableText0"/>
        <w:tabs>
          <w:tab w:val="left" w:pos="1515"/>
          <w:tab w:val="left" w:pos="3217"/>
        </w:tabs>
        <w:rPr>
          <w:rFonts w:asciiTheme="minorHAnsi" w:hAnsiTheme="minorHAnsi"/>
          <w:b/>
          <w:color w:val="auto"/>
        </w:rPr>
      </w:pPr>
      <w:r w:rsidRPr="00CC4C5B">
        <w:rPr>
          <w:rFonts w:asciiTheme="minorHAnsi" w:hAnsiTheme="minorHAnsi"/>
          <w:b/>
          <w:color w:val="auto"/>
        </w:rPr>
        <w:t>Environment</w:t>
      </w:r>
    </w:p>
    <w:p w:rsidR="00CC4C5B" w:rsidRPr="00CC4C5B" w:rsidRDefault="00CC4C5B" w:rsidP="00CC4C5B">
      <w:pPr>
        <w:pStyle w:val="TableText0"/>
        <w:numPr>
          <w:ilvl w:val="0"/>
          <w:numId w:val="33"/>
        </w:numPr>
        <w:tabs>
          <w:tab w:val="left" w:pos="1515"/>
          <w:tab w:val="left" w:pos="3217"/>
        </w:tabs>
        <w:rPr>
          <w:rFonts w:asciiTheme="minorHAnsi" w:hAnsiTheme="minorHAnsi"/>
          <w:color w:val="auto"/>
          <w:lang w:eastAsia="en-US"/>
        </w:rPr>
      </w:pPr>
      <w:r w:rsidRPr="00CC4C5B">
        <w:rPr>
          <w:rFonts w:asciiTheme="minorHAnsi" w:hAnsiTheme="minorHAnsi"/>
          <w:color w:val="auto"/>
        </w:rPr>
        <w:t>Biodiversity</w:t>
      </w:r>
    </w:p>
    <w:p w:rsidR="00CC4C5B" w:rsidRPr="00CC4C5B" w:rsidRDefault="00CC4C5B" w:rsidP="00CC4C5B">
      <w:pPr>
        <w:pStyle w:val="TableText0"/>
        <w:numPr>
          <w:ilvl w:val="0"/>
          <w:numId w:val="34"/>
        </w:numPr>
        <w:tabs>
          <w:tab w:val="left" w:pos="1515"/>
          <w:tab w:val="left" w:pos="3217"/>
        </w:tabs>
        <w:ind w:left="1134"/>
        <w:rPr>
          <w:rFonts w:asciiTheme="minorHAnsi" w:hAnsiTheme="minorHAnsi"/>
          <w:color w:val="auto"/>
          <w:lang w:eastAsia="en-US"/>
        </w:rPr>
      </w:pPr>
      <w:r w:rsidRPr="00CC4C5B">
        <w:rPr>
          <w:rFonts w:asciiTheme="minorHAnsi" w:hAnsiTheme="minorHAnsi"/>
          <w:color w:val="auto"/>
        </w:rPr>
        <w:t>Why these land uses are considered significant – Strong natural systems with a diversity of natural habitats for native plant and animals are important for the health and wellbeing of people living in urban areas. Opportunities for close connections with the natural world have high social, economic and educational value.</w:t>
      </w:r>
    </w:p>
    <w:p w:rsidR="00CC4C5B" w:rsidRPr="00CC4C5B" w:rsidRDefault="00CC4C5B" w:rsidP="00CC4C5B">
      <w:pPr>
        <w:pStyle w:val="TableText0"/>
        <w:numPr>
          <w:ilvl w:val="0"/>
          <w:numId w:val="33"/>
        </w:numPr>
        <w:tabs>
          <w:tab w:val="left" w:pos="1515"/>
          <w:tab w:val="left" w:pos="3217"/>
        </w:tabs>
        <w:rPr>
          <w:rFonts w:asciiTheme="minorHAnsi" w:hAnsiTheme="minorHAnsi"/>
          <w:color w:val="auto"/>
        </w:rPr>
      </w:pPr>
      <w:r w:rsidRPr="00CC4C5B">
        <w:rPr>
          <w:rFonts w:asciiTheme="minorHAnsi" w:hAnsiTheme="minorHAnsi"/>
          <w:color w:val="auto"/>
        </w:rPr>
        <w:t>Landscapes</w:t>
      </w:r>
    </w:p>
    <w:p w:rsidR="00CC4C5B" w:rsidRPr="00CC4C5B" w:rsidRDefault="00CC4C5B" w:rsidP="00CC4C5B">
      <w:pPr>
        <w:pStyle w:val="TableText0"/>
        <w:numPr>
          <w:ilvl w:val="0"/>
          <w:numId w:val="34"/>
        </w:numPr>
        <w:tabs>
          <w:tab w:val="left" w:pos="1515"/>
          <w:tab w:val="left" w:pos="3217"/>
        </w:tabs>
        <w:ind w:left="1134"/>
        <w:rPr>
          <w:rFonts w:asciiTheme="minorHAnsi" w:hAnsiTheme="minorHAnsi"/>
          <w:color w:val="auto"/>
        </w:rPr>
      </w:pPr>
      <w:r w:rsidRPr="00CC4C5B">
        <w:rPr>
          <w:rFonts w:asciiTheme="minorHAnsi" w:hAnsiTheme="minorHAnsi"/>
          <w:color w:val="auto"/>
        </w:rPr>
        <w:t>Why these land uses are considered significant – Landscapes help define the areas in which we live and work, and provide a connection with place and culture. They also provide respite from urban living.</w:t>
      </w:r>
    </w:p>
    <w:p w:rsidR="00CC4C5B" w:rsidRPr="00CC4C5B" w:rsidRDefault="00CC4C5B" w:rsidP="00CC4C5B">
      <w:pPr>
        <w:pStyle w:val="TableText0"/>
        <w:numPr>
          <w:ilvl w:val="0"/>
          <w:numId w:val="33"/>
        </w:numPr>
        <w:tabs>
          <w:tab w:val="left" w:pos="1515"/>
          <w:tab w:val="left" w:pos="3217"/>
        </w:tabs>
        <w:rPr>
          <w:rFonts w:asciiTheme="minorHAnsi" w:hAnsiTheme="minorHAnsi"/>
          <w:color w:val="auto"/>
        </w:rPr>
      </w:pPr>
      <w:r w:rsidRPr="00CC4C5B">
        <w:rPr>
          <w:rFonts w:asciiTheme="minorHAnsi" w:hAnsiTheme="minorHAnsi"/>
          <w:color w:val="auto"/>
        </w:rPr>
        <w:t>Parks and reserves</w:t>
      </w:r>
    </w:p>
    <w:p w:rsidR="00CC4C5B" w:rsidRPr="00CC4C5B" w:rsidRDefault="00CC4C5B" w:rsidP="00CC4C5B">
      <w:pPr>
        <w:pStyle w:val="TableText0"/>
        <w:numPr>
          <w:ilvl w:val="0"/>
          <w:numId w:val="34"/>
        </w:numPr>
        <w:tabs>
          <w:tab w:val="left" w:pos="1515"/>
          <w:tab w:val="left" w:pos="3217"/>
        </w:tabs>
        <w:ind w:left="1134"/>
        <w:rPr>
          <w:rFonts w:asciiTheme="minorHAnsi" w:hAnsiTheme="minorHAnsi"/>
          <w:color w:val="auto"/>
        </w:rPr>
      </w:pPr>
      <w:r w:rsidRPr="00CC4C5B">
        <w:rPr>
          <w:rFonts w:asciiTheme="minorHAnsi" w:hAnsiTheme="minorHAnsi"/>
          <w:color w:val="auto"/>
        </w:rPr>
        <w:t>Why these land uses are considered significant – There are many parks and reserves in the peri-urban region surrounding Melbourne. These areas provide ecological, environmental, cultural heritage and aesthetic value and the opportunity for leisure and recreation.</w:t>
      </w:r>
    </w:p>
    <w:p w:rsidR="00CC4C5B" w:rsidRPr="00CC4C5B" w:rsidRDefault="00CC4C5B" w:rsidP="00CC4C5B">
      <w:pPr>
        <w:pStyle w:val="TableText0"/>
        <w:numPr>
          <w:ilvl w:val="0"/>
          <w:numId w:val="33"/>
        </w:numPr>
        <w:tabs>
          <w:tab w:val="left" w:pos="1515"/>
          <w:tab w:val="left" w:pos="3217"/>
        </w:tabs>
        <w:rPr>
          <w:rFonts w:asciiTheme="minorHAnsi" w:hAnsiTheme="minorHAnsi"/>
          <w:color w:val="auto"/>
        </w:rPr>
      </w:pPr>
      <w:r w:rsidRPr="00CC4C5B">
        <w:rPr>
          <w:rFonts w:asciiTheme="minorHAnsi" w:hAnsiTheme="minorHAnsi"/>
          <w:color w:val="auto"/>
        </w:rPr>
        <w:t>Water catchments/ wetlands and rivers</w:t>
      </w:r>
    </w:p>
    <w:p w:rsidR="00CC4C5B" w:rsidRPr="00CC4C5B" w:rsidRDefault="00CC4C5B" w:rsidP="00CC4C5B">
      <w:pPr>
        <w:pStyle w:val="TableText0"/>
        <w:numPr>
          <w:ilvl w:val="0"/>
          <w:numId w:val="34"/>
        </w:numPr>
        <w:tabs>
          <w:tab w:val="left" w:pos="1515"/>
          <w:tab w:val="left" w:pos="3217"/>
        </w:tabs>
        <w:ind w:left="1134"/>
        <w:rPr>
          <w:rFonts w:asciiTheme="minorHAnsi" w:hAnsiTheme="minorHAnsi"/>
          <w:color w:val="auto"/>
        </w:rPr>
      </w:pPr>
      <w:r w:rsidRPr="00CC4C5B">
        <w:rPr>
          <w:rFonts w:asciiTheme="minorHAnsi" w:hAnsiTheme="minorHAnsi"/>
          <w:color w:val="auto"/>
        </w:rPr>
        <w:t xml:space="preserve">Why these land uses are considered significant – Peri-urban catchments and storages remain essential to provide water for human and livestock consumption and for food production. The filtering action of the forested surrounds of many of our reservoirs avoids the need for expensive water treatment facilities. Careful management of land use within open potable water catchments is important to protect water quality and yield. Waterways and wetlands areas provide important habitat for flora and fauna and contribute to the landscape values of the peri-urban region. </w:t>
      </w:r>
    </w:p>
    <w:p w:rsidR="00CC4C5B" w:rsidRPr="00CC4C5B" w:rsidRDefault="00CC4C5B" w:rsidP="00CC4C5B">
      <w:pPr>
        <w:pStyle w:val="TableText0"/>
        <w:tabs>
          <w:tab w:val="left" w:pos="1515"/>
          <w:tab w:val="left" w:pos="3217"/>
        </w:tabs>
        <w:rPr>
          <w:rFonts w:asciiTheme="minorHAnsi" w:hAnsiTheme="minorHAnsi"/>
          <w:b/>
          <w:color w:val="auto"/>
        </w:rPr>
      </w:pPr>
      <w:r w:rsidRPr="00CC4C5B">
        <w:rPr>
          <w:rFonts w:asciiTheme="minorHAnsi" w:hAnsiTheme="minorHAnsi"/>
          <w:b/>
          <w:color w:val="auto"/>
        </w:rPr>
        <w:t>Cultural</w:t>
      </w:r>
    </w:p>
    <w:p w:rsidR="00CC4C5B" w:rsidRPr="00CC4C5B" w:rsidRDefault="00CC4C5B" w:rsidP="00CC4C5B">
      <w:pPr>
        <w:pStyle w:val="TableText0"/>
        <w:numPr>
          <w:ilvl w:val="0"/>
          <w:numId w:val="33"/>
        </w:numPr>
        <w:tabs>
          <w:tab w:val="left" w:pos="1515"/>
          <w:tab w:val="left" w:pos="3217"/>
        </w:tabs>
        <w:rPr>
          <w:rFonts w:asciiTheme="minorHAnsi" w:hAnsiTheme="minorHAnsi"/>
          <w:color w:val="auto"/>
          <w:lang w:eastAsia="en-US"/>
        </w:rPr>
      </w:pPr>
      <w:r w:rsidRPr="00CC4C5B">
        <w:rPr>
          <w:rFonts w:asciiTheme="minorHAnsi" w:hAnsiTheme="minorHAnsi"/>
          <w:color w:val="auto"/>
        </w:rPr>
        <w:t>Heritage</w:t>
      </w:r>
    </w:p>
    <w:p w:rsidR="00CC4C5B" w:rsidRPr="00CC4C5B" w:rsidRDefault="00CC4C5B" w:rsidP="00CC4C5B">
      <w:pPr>
        <w:pStyle w:val="TableText0"/>
        <w:numPr>
          <w:ilvl w:val="0"/>
          <w:numId w:val="34"/>
        </w:numPr>
        <w:tabs>
          <w:tab w:val="left" w:pos="1515"/>
          <w:tab w:val="left" w:pos="3217"/>
        </w:tabs>
        <w:ind w:left="1134"/>
        <w:rPr>
          <w:rFonts w:asciiTheme="minorHAnsi" w:hAnsiTheme="minorHAnsi"/>
          <w:color w:val="auto"/>
          <w:lang w:eastAsia="en-US"/>
        </w:rPr>
      </w:pPr>
      <w:r w:rsidRPr="00CC4C5B">
        <w:rPr>
          <w:rFonts w:asciiTheme="minorHAnsi" w:hAnsiTheme="minorHAnsi"/>
          <w:color w:val="auto"/>
        </w:rPr>
        <w:lastRenderedPageBreak/>
        <w:t xml:space="preserve">Why these land uses are considered significant – There are various places, sites, structures, relics and flora of heritage significance in the peri-urban region. Cultural heritage assets generate social benefits, such as a sense of identity, direct user benefits through tourism, and the benefits stemming from the intrinsic value of preserving these assets for future generations to appreciate and enjoy. </w:t>
      </w:r>
    </w:p>
    <w:p w:rsidR="00CC4C5B" w:rsidRPr="00CC4C5B" w:rsidRDefault="00CC4C5B" w:rsidP="00CC4C5B">
      <w:pPr>
        <w:pStyle w:val="TableText0"/>
        <w:numPr>
          <w:ilvl w:val="0"/>
          <w:numId w:val="33"/>
        </w:numPr>
        <w:tabs>
          <w:tab w:val="left" w:pos="1515"/>
          <w:tab w:val="left" w:pos="3217"/>
        </w:tabs>
        <w:rPr>
          <w:rFonts w:asciiTheme="minorHAnsi" w:hAnsiTheme="minorHAnsi"/>
          <w:color w:val="auto"/>
          <w:lang w:eastAsia="en-US"/>
        </w:rPr>
      </w:pPr>
      <w:r w:rsidRPr="00CC4C5B">
        <w:rPr>
          <w:rFonts w:asciiTheme="minorHAnsi" w:hAnsiTheme="minorHAnsi"/>
          <w:color w:val="auto"/>
        </w:rPr>
        <w:t>Tourism</w:t>
      </w:r>
    </w:p>
    <w:p w:rsidR="00CC4C5B" w:rsidRDefault="00CC4C5B" w:rsidP="00CC4C5B">
      <w:pPr>
        <w:pStyle w:val="TableText0"/>
        <w:numPr>
          <w:ilvl w:val="0"/>
          <w:numId w:val="34"/>
        </w:numPr>
        <w:tabs>
          <w:tab w:val="left" w:pos="1515"/>
          <w:tab w:val="left" w:pos="3217"/>
        </w:tabs>
        <w:ind w:left="1134"/>
        <w:rPr>
          <w:rFonts w:asciiTheme="minorHAnsi" w:hAnsiTheme="minorHAnsi"/>
          <w:color w:val="auto"/>
          <w:lang w:eastAsia="en-US"/>
        </w:rPr>
      </w:pPr>
      <w:r w:rsidRPr="00CC4C5B">
        <w:rPr>
          <w:rFonts w:asciiTheme="minorHAnsi" w:hAnsiTheme="minorHAnsi"/>
          <w:color w:val="auto"/>
        </w:rPr>
        <w:t>Why these land uses are considered significant – The peri-urban region provides key day and overnight trip destinations for residents and visitors from interstate and overseas. Attracting visitors to the peri-urban region also results in indirect employment and additional spend in ‘downstream’ industries such as retail suppliers, food production and construction.</w:t>
      </w:r>
    </w:p>
    <w:p w:rsidR="0002754E" w:rsidRPr="008F1881" w:rsidRDefault="0002754E" w:rsidP="00DA6342">
      <w:pPr>
        <w:pStyle w:val="bt"/>
      </w:pPr>
      <w:r w:rsidRPr="008F1881">
        <w:t>The peri-urban area</w:t>
      </w:r>
      <w:r w:rsidR="00016A84">
        <w:t xml:space="preserve"> close to the</w:t>
      </w:r>
      <w:r w:rsidRPr="008F1881">
        <w:t xml:space="preserve"> edge of metropolitan </w:t>
      </w:r>
      <w:r w:rsidR="00016A84">
        <w:t xml:space="preserve">Melbourne </w:t>
      </w:r>
      <w:r w:rsidRPr="008F1881">
        <w:t xml:space="preserve">is subject to pressures associated with Melbourne’s growth, and is undergoing increasing demand for housing. </w:t>
      </w:r>
      <w:r w:rsidR="005768E7" w:rsidRPr="008F1881">
        <w:t xml:space="preserve">This demand for housing is not limited to urban locations and also affects rural areas, where it can lead to ad hoc housing and subdivision, compromising the ability for landscapes to provide natural resources. Risks from natural hazards such as bushfire and flooding affect some areas where development pressures exist, exposing more residents to these hazards </w:t>
      </w:r>
      <w:r w:rsidR="00016A84">
        <w:t>if</w:t>
      </w:r>
      <w:r w:rsidR="005768E7" w:rsidRPr="008F1881">
        <w:t xml:space="preserve"> development proceeds.</w:t>
      </w:r>
    </w:p>
    <w:p w:rsidR="00325D23" w:rsidRPr="008F1881" w:rsidRDefault="00325D23" w:rsidP="00DA6342">
      <w:pPr>
        <w:pStyle w:val="bt"/>
      </w:pPr>
      <w:r w:rsidRPr="008F1881">
        <w:t>Changing patterns of work, travel and lifestyle preferences</w:t>
      </w:r>
      <w:r w:rsidR="00016A84">
        <w:t>,</w:t>
      </w:r>
      <w:r w:rsidRPr="008F1881">
        <w:t xml:space="preserve"> coupled with improvements to transport infrastructure</w:t>
      </w:r>
      <w:r w:rsidR="00016A84">
        <w:t>,</w:t>
      </w:r>
      <w:r w:rsidRPr="008F1881">
        <w:t xml:space="preserve"> will enable people to live in the Central Highlands but access employment and services in Melbourne. Major regional centres such as Ballarat also provide an attractive alternative for housing and commerce.</w:t>
      </w:r>
    </w:p>
    <w:p w:rsidR="00740FDC" w:rsidRPr="008F1881" w:rsidRDefault="00740FDC" w:rsidP="00DA6342">
      <w:pPr>
        <w:pStyle w:val="bt"/>
        <w:rPr>
          <w:szCs w:val="20"/>
        </w:rPr>
      </w:pPr>
      <w:r w:rsidRPr="008F1881">
        <w:rPr>
          <w:szCs w:val="20"/>
        </w:rPr>
        <w:t xml:space="preserve">A new </w:t>
      </w:r>
      <w:r w:rsidR="001B1A98">
        <w:rPr>
          <w:szCs w:val="20"/>
        </w:rPr>
        <w:t>m</w:t>
      </w:r>
      <w:r w:rsidR="00F14B3D" w:rsidRPr="008F1881">
        <w:rPr>
          <w:szCs w:val="20"/>
        </w:rPr>
        <w:t xml:space="preserve">etropolitan </w:t>
      </w:r>
      <w:r w:rsidR="001B1A98">
        <w:rPr>
          <w:szCs w:val="20"/>
        </w:rPr>
        <w:t>p</w:t>
      </w:r>
      <w:r w:rsidR="00F14B3D">
        <w:rPr>
          <w:szCs w:val="20"/>
        </w:rPr>
        <w:t xml:space="preserve">lanning </w:t>
      </w:r>
      <w:r w:rsidR="001B1A98">
        <w:rPr>
          <w:szCs w:val="20"/>
        </w:rPr>
        <w:t>s</w:t>
      </w:r>
      <w:r w:rsidR="00F14B3D" w:rsidRPr="008F1881">
        <w:rPr>
          <w:szCs w:val="20"/>
        </w:rPr>
        <w:t>trategy</w:t>
      </w:r>
      <w:r w:rsidR="001952AF">
        <w:rPr>
          <w:szCs w:val="20"/>
        </w:rPr>
        <w:t xml:space="preserve">, </w:t>
      </w:r>
      <w:r w:rsidR="009E7249" w:rsidRPr="009E7249">
        <w:rPr>
          <w:i/>
          <w:szCs w:val="20"/>
        </w:rPr>
        <w:t>Plan Melbourne</w:t>
      </w:r>
      <w:r w:rsidR="001952AF">
        <w:rPr>
          <w:szCs w:val="20"/>
        </w:rPr>
        <w:t xml:space="preserve"> has been prepared </w:t>
      </w:r>
      <w:r w:rsidRPr="008F1881">
        <w:rPr>
          <w:szCs w:val="20"/>
        </w:rPr>
        <w:t xml:space="preserve">and will help define Melbourne’s relationship to its surrounds. The </w:t>
      </w:r>
      <w:r w:rsidR="001952AF">
        <w:rPr>
          <w:szCs w:val="20"/>
        </w:rPr>
        <w:t xml:space="preserve">regional growth </w:t>
      </w:r>
      <w:r w:rsidRPr="008F1881">
        <w:rPr>
          <w:szCs w:val="20"/>
        </w:rPr>
        <w:t xml:space="preserve"> </w:t>
      </w:r>
      <w:r w:rsidR="00016A84">
        <w:rPr>
          <w:szCs w:val="20"/>
        </w:rPr>
        <w:t>consider</w:t>
      </w:r>
      <w:r w:rsidR="001952AF">
        <w:rPr>
          <w:szCs w:val="20"/>
        </w:rPr>
        <w:t>s</w:t>
      </w:r>
      <w:r w:rsidR="00016A84">
        <w:rPr>
          <w:szCs w:val="20"/>
        </w:rPr>
        <w:t xml:space="preserve"> </w:t>
      </w:r>
      <w:r w:rsidRPr="008F1881">
        <w:rPr>
          <w:szCs w:val="20"/>
        </w:rPr>
        <w:t>the emerging directions of this important strategy. Key aspects of the relationship between the peri-urban parts of the Central Highlands and Melbourne may include:</w:t>
      </w:r>
    </w:p>
    <w:p w:rsidR="00740FDC" w:rsidRPr="008F1881" w:rsidRDefault="001B1A98" w:rsidP="00DA6342">
      <w:pPr>
        <w:pStyle w:val="ListBullet"/>
      </w:pPr>
      <w:r>
        <w:t>m</w:t>
      </w:r>
      <w:r w:rsidR="00740FDC" w:rsidRPr="008F1881">
        <w:t xml:space="preserve">aintaining systems </w:t>
      </w:r>
      <w:r>
        <w:t xml:space="preserve">that </w:t>
      </w:r>
      <w:r w:rsidR="00740FDC" w:rsidRPr="008F1881">
        <w:t>support Melbourne’s growth and liveability</w:t>
      </w:r>
    </w:p>
    <w:p w:rsidR="00740FDC" w:rsidRPr="008F1881" w:rsidRDefault="001B1A98" w:rsidP="00DA6342">
      <w:pPr>
        <w:pStyle w:val="ListBullet"/>
      </w:pPr>
      <w:r>
        <w:t>h</w:t>
      </w:r>
      <w:r w:rsidR="00740FDC" w:rsidRPr="008F1881">
        <w:t xml:space="preserve">elping to maintain the city’s adaptive capacity to climate change, natural hazards, food and energy security </w:t>
      </w:r>
    </w:p>
    <w:p w:rsidR="00740FDC" w:rsidRPr="008F1881" w:rsidRDefault="001B1A98" w:rsidP="00DA6342">
      <w:pPr>
        <w:pStyle w:val="ListBullet"/>
      </w:pPr>
      <w:r>
        <w:t>h</w:t>
      </w:r>
      <w:r w:rsidR="00740FDC" w:rsidRPr="008F1881">
        <w:t>elping reduce Melbourne’s ecological footprint and transition to a more sustainable economy</w:t>
      </w:r>
    </w:p>
    <w:p w:rsidR="00740FDC" w:rsidRPr="008F1881" w:rsidRDefault="001B1A98" w:rsidP="00DA6342">
      <w:pPr>
        <w:pStyle w:val="ListBullet"/>
      </w:pPr>
      <w:r>
        <w:t>a</w:t>
      </w:r>
      <w:r w:rsidR="00740FDC" w:rsidRPr="008F1881">
        <w:t xml:space="preserve">ppropriate settlement locations and infrastructure to support a greater proportion of Victoria’s growth, </w:t>
      </w:r>
      <w:r w:rsidR="00547E46" w:rsidRPr="008F1881">
        <w:t>whil</w:t>
      </w:r>
      <w:r w:rsidR="00547E46">
        <w:t>e</w:t>
      </w:r>
      <w:r w:rsidR="00547E46" w:rsidRPr="008F1881">
        <w:t xml:space="preserve"> maintaining</w:t>
      </w:r>
      <w:r w:rsidR="00740FDC" w:rsidRPr="008F1881">
        <w:t xml:space="preserve"> key resources and assets</w:t>
      </w:r>
    </w:p>
    <w:p w:rsidR="00740FDC" w:rsidRPr="008F1881" w:rsidRDefault="001B1A98" w:rsidP="00DA6342">
      <w:pPr>
        <w:pStyle w:val="ListBullet"/>
      </w:pPr>
      <w:r>
        <w:t>t</w:t>
      </w:r>
      <w:r w:rsidR="00740FDC" w:rsidRPr="008F1881">
        <w:t>he degree to which the Central Highlands is self</w:t>
      </w:r>
      <w:r w:rsidR="004347E9" w:rsidRPr="008F1881">
        <w:t>-</w:t>
      </w:r>
      <w:r w:rsidR="00740FDC" w:rsidRPr="008F1881">
        <w:t>sufficient or needs to rely on Melbourne to provide jobs and services</w:t>
      </w:r>
    </w:p>
    <w:p w:rsidR="00740FDC" w:rsidRDefault="001B1A98" w:rsidP="00DA6342">
      <w:pPr>
        <w:pStyle w:val="ListBullet"/>
      </w:pPr>
      <w:r>
        <w:t>the a</w:t>
      </w:r>
      <w:r w:rsidR="00740FDC" w:rsidRPr="008F1881">
        <w:t>bility to provide some housing options which can be supported through the role of transport networks.</w:t>
      </w:r>
    </w:p>
    <w:p w:rsidR="00B0094F" w:rsidRPr="008F1881" w:rsidRDefault="00B0094F" w:rsidP="00DA6342">
      <w:pPr>
        <w:pStyle w:val="bt"/>
      </w:pPr>
      <w:r w:rsidRPr="008F1881">
        <w:t xml:space="preserve">A discussion paper titled </w:t>
      </w:r>
      <w:r w:rsidRPr="000B40E8">
        <w:t>Melbourne, let’s talk about the future</w:t>
      </w:r>
      <w:r w:rsidRPr="008F1881">
        <w:t xml:space="preserve">, was released in October 2012 by the Ministerial Advisory Committee for the Metropolitan Planning Strategy. This discussion paper recognises that Melbourne is the gateway to regional Victoria and the competitiveness of regional Victoria is dependent upon the successful management of Melbourne’s growth. The discussion paper identifies that the focus of Melbourne’s growth is likely to shift from the south-east </w:t>
      </w:r>
      <w:r w:rsidR="001B1A98">
        <w:t xml:space="preserve">of the city </w:t>
      </w:r>
      <w:r w:rsidRPr="008F1881">
        <w:t>to the north and west. How the westward expansion of Melbourne is managed will have significant implications for the Central Highlands region.</w:t>
      </w:r>
    </w:p>
    <w:p w:rsidR="00B0094F" w:rsidRPr="008F1881" w:rsidRDefault="001B1A98" w:rsidP="00DA6342">
      <w:pPr>
        <w:pStyle w:val="bt"/>
      </w:pPr>
      <w:r>
        <w:t xml:space="preserve">Several </w:t>
      </w:r>
      <w:r w:rsidR="00B0094F" w:rsidRPr="008F1881">
        <w:t xml:space="preserve">principles </w:t>
      </w:r>
      <w:r>
        <w:t xml:space="preserve">for </w:t>
      </w:r>
      <w:r w:rsidR="00B0094F" w:rsidRPr="008F1881">
        <w:t>defin</w:t>
      </w:r>
      <w:r>
        <w:t xml:space="preserve">ing </w:t>
      </w:r>
      <w:r w:rsidR="00B0094F" w:rsidRPr="008F1881">
        <w:t>how Melbourne should be managed in the future are identified in the discussion paper</w:t>
      </w:r>
      <w:r>
        <w:t xml:space="preserve">. One of these </w:t>
      </w:r>
      <w:r w:rsidR="00B0094F" w:rsidRPr="008F1881">
        <w:t>is Principle 6: A polycentric city linked to regional cities. The benefits of better integrating Melbourne with a network of regional cities</w:t>
      </w:r>
      <w:r w:rsidR="002A3F97">
        <w:t xml:space="preserve">, </w:t>
      </w:r>
      <w:r w:rsidR="00B0094F" w:rsidRPr="008F1881">
        <w:t>within the concept of a ‘state of cities’</w:t>
      </w:r>
      <w:r w:rsidR="002A3F97">
        <w:t>,</w:t>
      </w:r>
      <w:r w:rsidR="00B0094F" w:rsidRPr="008F1881">
        <w:t xml:space="preserve"> are identified</w:t>
      </w:r>
      <w:r>
        <w:t xml:space="preserve">. These </w:t>
      </w:r>
      <w:r w:rsidR="00B0094F" w:rsidRPr="008F1881">
        <w:t>includ</w:t>
      </w:r>
      <w:r>
        <w:t>e:</w:t>
      </w:r>
    </w:p>
    <w:p w:rsidR="00B0094F" w:rsidRPr="008F1881" w:rsidRDefault="00B0094F" w:rsidP="00DA6342">
      <w:pPr>
        <w:pStyle w:val="ListBullet"/>
      </w:pPr>
      <w:r w:rsidRPr="008F1881">
        <w:t>increasing economic and social links to better integrate labour forces</w:t>
      </w:r>
    </w:p>
    <w:p w:rsidR="00B0094F" w:rsidRPr="008F1881" w:rsidRDefault="00B0094F" w:rsidP="00DA6342">
      <w:pPr>
        <w:pStyle w:val="ListBullet"/>
      </w:pPr>
      <w:r w:rsidRPr="008F1881">
        <w:t>creating more choice for fast growing sectors such as remote and mobile workers</w:t>
      </w:r>
    </w:p>
    <w:p w:rsidR="00B0094F" w:rsidRPr="008F1881" w:rsidRDefault="00B0094F" w:rsidP="00DA6342">
      <w:pPr>
        <w:pStyle w:val="ListBullet"/>
      </w:pPr>
      <w:r w:rsidRPr="008F1881">
        <w:lastRenderedPageBreak/>
        <w:t>making better use of existing infrastructure.</w:t>
      </w:r>
    </w:p>
    <w:p w:rsidR="00B0094F" w:rsidRPr="008F1881" w:rsidRDefault="00B0094F" w:rsidP="00DA6342">
      <w:pPr>
        <w:pStyle w:val="bt"/>
      </w:pPr>
      <w:r w:rsidRPr="008F1881">
        <w:t>The opportunity to grow some small towns to support additional growth and enhance the roles of regional cities is identified, with the considerable growth potential of Ballarat and Bacchus Marsh specifically mentioned.</w:t>
      </w:r>
    </w:p>
    <w:p w:rsidR="00B0094F" w:rsidRPr="008F1881" w:rsidRDefault="00B0094F" w:rsidP="00DA6342">
      <w:pPr>
        <w:pStyle w:val="bt"/>
      </w:pPr>
      <w:r w:rsidRPr="008F1881">
        <w:t>The discussion paper recognises that regional cities can play stronger roles in the fields of agri-business, manufacturing, education and tourism and can be cost-competitive, highly attractive places to live. Potential cost advantages in upgrading existing road and rail infrastructure connections with regional cities</w:t>
      </w:r>
      <w:r w:rsidR="001B1A98">
        <w:t>,</w:t>
      </w:r>
      <w:r w:rsidRPr="008F1881">
        <w:t xml:space="preserve"> and providing for greater development </w:t>
      </w:r>
      <w:r w:rsidR="001B1A98">
        <w:t xml:space="preserve">of </w:t>
      </w:r>
      <w:r w:rsidRPr="008F1881">
        <w:t>these cities as opposed to further greenfield expansion of Melbourne</w:t>
      </w:r>
      <w:r w:rsidR="001B1A98">
        <w:t>,</w:t>
      </w:r>
      <w:r w:rsidRPr="008F1881">
        <w:t xml:space="preserve"> is also recognised.</w:t>
      </w:r>
    </w:p>
    <w:p w:rsidR="00F93A5F" w:rsidRPr="005B01F7" w:rsidRDefault="002A1AB3" w:rsidP="005B01F7">
      <w:pPr>
        <w:pStyle w:val="Heading3"/>
      </w:pPr>
      <w:r w:rsidRPr="005B01F7">
        <w:t xml:space="preserve">Land </w:t>
      </w:r>
      <w:r w:rsidR="00661931" w:rsidRPr="005B01F7">
        <w:t>use planning response</w:t>
      </w:r>
    </w:p>
    <w:p w:rsidR="00740FDC" w:rsidRPr="008F1881" w:rsidRDefault="00471FFA" w:rsidP="00DA6342">
      <w:pPr>
        <w:pStyle w:val="bt"/>
      </w:pPr>
      <w:r w:rsidRPr="008F1881">
        <w:t xml:space="preserve">The </w:t>
      </w:r>
      <w:r w:rsidR="00F37D25">
        <w:t>plan</w:t>
      </w:r>
      <w:r w:rsidRPr="008F1881">
        <w:t xml:space="preserve"> identifies </w:t>
      </w:r>
      <w:r w:rsidR="0056404E" w:rsidRPr="008F1881">
        <w:t xml:space="preserve">a </w:t>
      </w:r>
      <w:r w:rsidR="003B01E9" w:rsidRPr="008F1881">
        <w:t xml:space="preserve">wide range of </w:t>
      </w:r>
      <w:r w:rsidR="006B4DFF">
        <w:t>regionally</w:t>
      </w:r>
      <w:r w:rsidR="003B01E9" w:rsidRPr="008F1881">
        <w:t xml:space="preserve"> significant land uses that occur within the peri-urban parts of the Central Highlands </w:t>
      </w:r>
      <w:r w:rsidR="001B1A98">
        <w:t xml:space="preserve">region </w:t>
      </w:r>
      <w:r w:rsidR="003B01E9" w:rsidRPr="008F1881">
        <w:t xml:space="preserve">and the important role land use planning plays in ensuring these uses </w:t>
      </w:r>
      <w:r w:rsidR="00707E46" w:rsidRPr="008F1881">
        <w:t>are</w:t>
      </w:r>
      <w:r w:rsidR="00317702" w:rsidRPr="008F1881">
        <w:t xml:space="preserve"> </w:t>
      </w:r>
      <w:r w:rsidR="00707E46" w:rsidRPr="008F1881">
        <w:t>pr</w:t>
      </w:r>
      <w:r w:rsidR="00317702" w:rsidRPr="008F1881">
        <w:t>o</w:t>
      </w:r>
      <w:r w:rsidR="00707E46" w:rsidRPr="008F1881">
        <w:t xml:space="preserve">vided for </w:t>
      </w:r>
      <w:r w:rsidR="003B01E9" w:rsidRPr="008F1881">
        <w:t>into the future.</w:t>
      </w:r>
    </w:p>
    <w:p w:rsidR="008834FC" w:rsidRPr="008F1881" w:rsidRDefault="00183FA8" w:rsidP="00DA6342">
      <w:pPr>
        <w:pStyle w:val="bt"/>
      </w:pPr>
      <w:r w:rsidRPr="008F1881">
        <w:t xml:space="preserve">The </w:t>
      </w:r>
      <w:r w:rsidR="00F37D25">
        <w:t>plan</w:t>
      </w:r>
      <w:r w:rsidRPr="008F1881">
        <w:t xml:space="preserve"> </w:t>
      </w:r>
      <w:r w:rsidR="004B6D85" w:rsidRPr="008F1881">
        <w:t xml:space="preserve">has been prepared concurrently with the </w:t>
      </w:r>
      <w:r w:rsidR="0033442E">
        <w:t xml:space="preserve">new </w:t>
      </w:r>
      <w:r w:rsidR="001B1A98">
        <w:t>m</w:t>
      </w:r>
      <w:r w:rsidR="004B6D85" w:rsidRPr="008F1881">
        <w:t xml:space="preserve">etropolitan </w:t>
      </w:r>
      <w:r w:rsidR="001B1A98">
        <w:t>p</w:t>
      </w:r>
      <w:r w:rsidR="008834FC" w:rsidRPr="008F1881">
        <w:t xml:space="preserve">lanning </w:t>
      </w:r>
      <w:r w:rsidR="001B1A98">
        <w:t>s</w:t>
      </w:r>
      <w:r w:rsidR="004B6D85" w:rsidRPr="008F1881">
        <w:t>trategy</w:t>
      </w:r>
      <w:r w:rsidR="0033442E">
        <w:t xml:space="preserve">, </w:t>
      </w:r>
      <w:r w:rsidR="009E7249" w:rsidRPr="009E7249">
        <w:rPr>
          <w:i/>
        </w:rPr>
        <w:t>Plan Melbourne</w:t>
      </w:r>
      <w:r w:rsidR="003B01E9" w:rsidRPr="008F1881">
        <w:t xml:space="preserve">. The </w:t>
      </w:r>
      <w:r w:rsidR="001B1A98">
        <w:t>m</w:t>
      </w:r>
      <w:r w:rsidR="00F14B3D" w:rsidRPr="008F1881">
        <w:t xml:space="preserve">etropolitan </w:t>
      </w:r>
      <w:r w:rsidR="001B1A98">
        <w:t>p</w:t>
      </w:r>
      <w:r w:rsidR="00F14B3D" w:rsidRPr="008F1881">
        <w:t xml:space="preserve">lanning </w:t>
      </w:r>
      <w:r w:rsidR="001B1A98">
        <w:t>s</w:t>
      </w:r>
      <w:r w:rsidR="00F14B3D" w:rsidRPr="008F1881">
        <w:t xml:space="preserve">trategy </w:t>
      </w:r>
      <w:r w:rsidR="003B01E9" w:rsidRPr="008F1881">
        <w:t xml:space="preserve">and the eight </w:t>
      </w:r>
      <w:r w:rsidR="001B1A98">
        <w:t>r</w:t>
      </w:r>
      <w:r w:rsidR="00F14B3D" w:rsidRPr="008F1881">
        <w:t xml:space="preserve">egional </w:t>
      </w:r>
      <w:r w:rsidR="001B1A98">
        <w:t>g</w:t>
      </w:r>
      <w:r w:rsidR="00F14B3D" w:rsidRPr="008F1881">
        <w:t xml:space="preserve">rowth </w:t>
      </w:r>
      <w:r w:rsidR="001B1A98">
        <w:t>p</w:t>
      </w:r>
      <w:r w:rsidR="00F14B3D" w:rsidRPr="008F1881">
        <w:t xml:space="preserve">lans </w:t>
      </w:r>
      <w:r w:rsidR="003B01E9" w:rsidRPr="008F1881">
        <w:t xml:space="preserve">will together </w:t>
      </w:r>
      <w:r w:rsidR="00B0123A">
        <w:t>in</w:t>
      </w:r>
      <w:r w:rsidR="003B01E9" w:rsidRPr="008F1881">
        <w:t xml:space="preserve">form </w:t>
      </w:r>
      <w:r w:rsidR="00FC0D99" w:rsidRPr="008F1881">
        <w:t>a vision for Victoria</w:t>
      </w:r>
      <w:r w:rsidR="001B1A98">
        <w:t>,</w:t>
      </w:r>
      <w:r w:rsidR="00FC0D99" w:rsidRPr="008F1881">
        <w:t xml:space="preserve"> which will build on the strengths of Melbourne and regional Victoria. These documents will provide a </w:t>
      </w:r>
      <w:r w:rsidR="003B01E9" w:rsidRPr="008F1881">
        <w:t>statewide blueprint for managing growth and development</w:t>
      </w:r>
      <w:r w:rsidR="008834FC" w:rsidRPr="008F1881">
        <w:t xml:space="preserve"> throughout Victoria</w:t>
      </w:r>
      <w:r w:rsidR="003B01E9" w:rsidRPr="008F1881">
        <w:t>.</w:t>
      </w:r>
    </w:p>
    <w:p w:rsidR="00FC0D99" w:rsidRPr="008F1881" w:rsidRDefault="009E7249" w:rsidP="00DA6342">
      <w:pPr>
        <w:pStyle w:val="bt"/>
      </w:pPr>
      <w:r w:rsidRPr="009E7249">
        <w:rPr>
          <w:i/>
        </w:rPr>
        <w:t xml:space="preserve">Plan Melbourne  </w:t>
      </w:r>
      <w:r w:rsidR="00FA4B62" w:rsidRPr="008F1881">
        <w:t>place</w:t>
      </w:r>
      <w:r w:rsidR="006E42C1">
        <w:t>s</w:t>
      </w:r>
      <w:r w:rsidR="00FA4B62" w:rsidRPr="008F1881">
        <w:t xml:space="preserve"> a strong emphasis on planning for Melbourne’s growth and change and on strengthening the linkages between Me</w:t>
      </w:r>
      <w:r w:rsidR="00FC0D99" w:rsidRPr="008F1881">
        <w:t>lbourne and regional Victoria.</w:t>
      </w:r>
      <w:r w:rsidR="004C014C">
        <w:t xml:space="preserve"> </w:t>
      </w:r>
      <w:r w:rsidR="00FA4B62" w:rsidRPr="008F1881">
        <w:t xml:space="preserve">The </w:t>
      </w:r>
      <w:hyperlink r:id="rId36" w:tgtFrame="_blank" w:history="1">
        <w:r w:rsidR="00B0094F">
          <w:t>r</w:t>
        </w:r>
        <w:r w:rsidR="00FA4B62" w:rsidRPr="008F1881">
          <w:t xml:space="preserve">egional </w:t>
        </w:r>
        <w:r w:rsidR="00B0094F">
          <w:t>g</w:t>
        </w:r>
        <w:r w:rsidR="00FA4B62" w:rsidRPr="008F1881">
          <w:t xml:space="preserve">rowth </w:t>
        </w:r>
        <w:r w:rsidR="00B0094F">
          <w:t>p</w:t>
        </w:r>
        <w:r w:rsidR="00FA4B62" w:rsidRPr="008F1881">
          <w:t>lans</w:t>
        </w:r>
      </w:hyperlink>
      <w:r w:rsidR="00FA4B62" w:rsidRPr="008F1881">
        <w:t xml:space="preserve"> identify priorities for regions across Victoria, developing locally</w:t>
      </w:r>
      <w:r w:rsidR="001B1A98">
        <w:t>-</w:t>
      </w:r>
      <w:r w:rsidR="00FA4B62" w:rsidRPr="008F1881">
        <w:t>driven plans for population and economic growth.</w:t>
      </w:r>
    </w:p>
    <w:p w:rsidR="00AA0389" w:rsidRPr="008F1881" w:rsidRDefault="00194DD6" w:rsidP="00DA6342">
      <w:pPr>
        <w:pStyle w:val="bt"/>
      </w:pPr>
      <w:r>
        <w:t xml:space="preserve">The </w:t>
      </w:r>
      <w:r w:rsidR="00EE2352">
        <w:t>Central Highlands Regional Growth P</w:t>
      </w:r>
      <w:r w:rsidR="00F37D25">
        <w:t>lan</w:t>
      </w:r>
      <w:r w:rsidR="002A3F97">
        <w:t>, consistent with current state policy,</w:t>
      </w:r>
      <w:r w:rsidR="00AA0389" w:rsidRPr="008F1881">
        <w:t xml:space="preserve"> </w:t>
      </w:r>
      <w:r w:rsidR="00EE2352">
        <w:t>seeks</w:t>
      </w:r>
      <w:r w:rsidR="00AA0389" w:rsidRPr="008F1881">
        <w:t xml:space="preserve"> to achieve the following outcomes within the peri-urban region:</w:t>
      </w:r>
    </w:p>
    <w:p w:rsidR="00EE2352" w:rsidRDefault="00EE2352" w:rsidP="00DA6342">
      <w:pPr>
        <w:pStyle w:val="ListBullet"/>
      </w:pPr>
      <w:r>
        <w:t>direct development to key settlements</w:t>
      </w:r>
    </w:p>
    <w:p w:rsidR="00EE2352" w:rsidRDefault="00EE2352" w:rsidP="00DA6342">
      <w:pPr>
        <w:pStyle w:val="ListBullet"/>
      </w:pPr>
      <w:r>
        <w:t xml:space="preserve">limit development in settlements subject to </w:t>
      </w:r>
      <w:r w:rsidR="006E42C1">
        <w:t xml:space="preserve">significant </w:t>
      </w:r>
      <w:r>
        <w:t>natural hazards</w:t>
      </w:r>
      <w:r w:rsidR="006E42C1">
        <w:t>, risk</w:t>
      </w:r>
      <w:r>
        <w:t xml:space="preserve"> or </w:t>
      </w:r>
      <w:r w:rsidR="00B85BFF">
        <w:t xml:space="preserve">where growth would detract from </w:t>
      </w:r>
      <w:r>
        <w:t>significant environmental and landscape assets</w:t>
      </w:r>
    </w:p>
    <w:p w:rsidR="00EE2352" w:rsidRDefault="00EE2352" w:rsidP="00DA6342">
      <w:pPr>
        <w:pStyle w:val="ListBullet"/>
      </w:pPr>
      <w:r>
        <w:t xml:space="preserve">maintain a green break with the </w:t>
      </w:r>
      <w:r w:rsidR="00B85BFF">
        <w:t xml:space="preserve">Melbourne </w:t>
      </w:r>
      <w:r>
        <w:t>metropolitan area</w:t>
      </w:r>
    </w:p>
    <w:p w:rsidR="00AA0389" w:rsidRPr="008F1881" w:rsidRDefault="005F6B30" w:rsidP="00DA6342">
      <w:pPr>
        <w:pStyle w:val="ListBullet"/>
      </w:pPr>
      <w:r>
        <w:t>p</w:t>
      </w:r>
      <w:r w:rsidR="00AA0389" w:rsidRPr="008F1881">
        <w:t>rotect and enhance cultural heritage values</w:t>
      </w:r>
    </w:p>
    <w:p w:rsidR="00AA0389" w:rsidRPr="008F1881" w:rsidRDefault="006C05D9" w:rsidP="00DA6342">
      <w:pPr>
        <w:pStyle w:val="ListBullet"/>
      </w:pPr>
      <w:r>
        <w:t>p</w:t>
      </w:r>
      <w:r w:rsidR="00AA0389" w:rsidRPr="008F1881">
        <w:t>rotect visual landscape values</w:t>
      </w:r>
    </w:p>
    <w:p w:rsidR="00AA0389" w:rsidRPr="008F1881" w:rsidRDefault="006C05D9" w:rsidP="00DA6342">
      <w:pPr>
        <w:pStyle w:val="ListBullet"/>
      </w:pPr>
      <w:r>
        <w:t>p</w:t>
      </w:r>
      <w:r w:rsidR="00AA0389" w:rsidRPr="008F1881">
        <w:t xml:space="preserve">rotect </w:t>
      </w:r>
      <w:r w:rsidR="00B85BFF">
        <w:t xml:space="preserve">environmental assets and </w:t>
      </w:r>
      <w:r w:rsidR="00AA0389" w:rsidRPr="008F1881">
        <w:t>values of state and national environmental significance</w:t>
      </w:r>
    </w:p>
    <w:p w:rsidR="00AA0389" w:rsidRPr="008F1881" w:rsidRDefault="006C05D9" w:rsidP="00DA6342">
      <w:pPr>
        <w:pStyle w:val="ListBullet"/>
      </w:pPr>
      <w:r>
        <w:t>e</w:t>
      </w:r>
      <w:r w:rsidR="00AA0389" w:rsidRPr="008F1881">
        <w:t>mbrace the benefits to the region of Melbourne’s western growth corridor</w:t>
      </w:r>
    </w:p>
    <w:p w:rsidR="00AA0389" w:rsidRPr="008F1881" w:rsidRDefault="006C05D9" w:rsidP="00DA6342">
      <w:pPr>
        <w:pStyle w:val="ListBullet"/>
      </w:pPr>
      <w:r>
        <w:t>u</w:t>
      </w:r>
      <w:r w:rsidR="00AA0389" w:rsidRPr="008F1881">
        <w:t xml:space="preserve">se land efficiently and minimise </w:t>
      </w:r>
      <w:r>
        <w:t xml:space="preserve">the </w:t>
      </w:r>
      <w:r w:rsidR="00AA0389" w:rsidRPr="008F1881">
        <w:t>impact on productive resources</w:t>
      </w:r>
      <w:r w:rsidR="004C014C">
        <w:t>,</w:t>
      </w:r>
      <w:r w:rsidR="00AA0389" w:rsidRPr="008F1881">
        <w:t xml:space="preserve"> including minimising the impact of rural residential development on water </w:t>
      </w:r>
      <w:r w:rsidR="00B85BFF">
        <w:t xml:space="preserve">supply </w:t>
      </w:r>
      <w:r w:rsidR="00AA0389" w:rsidRPr="008F1881">
        <w:t>catchment</w:t>
      </w:r>
      <w:r w:rsidR="00A11A24">
        <w:t>s</w:t>
      </w:r>
      <w:r w:rsidR="00AA0389" w:rsidRPr="008F1881">
        <w:t xml:space="preserve"> and agricultural uses.</w:t>
      </w:r>
    </w:p>
    <w:p w:rsidR="004347E9" w:rsidRPr="00DA6342" w:rsidRDefault="004347E9" w:rsidP="00DA6342">
      <w:pPr>
        <w:pStyle w:val="bt"/>
        <w:rPr>
          <w:szCs w:val="32"/>
        </w:rPr>
      </w:pPr>
      <w:r w:rsidRPr="00DA6342">
        <w:br w:type="page"/>
      </w:r>
    </w:p>
    <w:p w:rsidR="00F93A5F" w:rsidRDefault="008B5C4A" w:rsidP="007649C1">
      <w:pPr>
        <w:pStyle w:val="Heading11"/>
      </w:pPr>
      <w:bookmarkStart w:id="102" w:name="_Toc349138528"/>
      <w:bookmarkStart w:id="103" w:name="_Toc349138839"/>
      <w:bookmarkStart w:id="104" w:name="_Toc349138896"/>
      <w:bookmarkStart w:id="105" w:name="_Toc349138955"/>
      <w:bookmarkStart w:id="106" w:name="_Toc349139013"/>
      <w:bookmarkStart w:id="107" w:name="_Toc349557700"/>
      <w:bookmarkStart w:id="108" w:name="_Toc349557916"/>
      <w:bookmarkStart w:id="109" w:name="_Toc349558027"/>
      <w:bookmarkStart w:id="110" w:name="_Toc349558138"/>
      <w:bookmarkStart w:id="111" w:name="_Toc349558587"/>
      <w:bookmarkStart w:id="112" w:name="_Toc349557701"/>
      <w:bookmarkStart w:id="113" w:name="_Ref349558671"/>
      <w:bookmarkStart w:id="114" w:name="_Toc374527599"/>
      <w:bookmarkEnd w:id="102"/>
      <w:bookmarkEnd w:id="103"/>
      <w:bookmarkEnd w:id="104"/>
      <w:bookmarkEnd w:id="105"/>
      <w:bookmarkEnd w:id="106"/>
      <w:bookmarkEnd w:id="107"/>
      <w:bookmarkEnd w:id="108"/>
      <w:bookmarkEnd w:id="109"/>
      <w:bookmarkEnd w:id="110"/>
      <w:bookmarkEnd w:id="111"/>
      <w:r w:rsidRPr="008B5C4A">
        <w:lastRenderedPageBreak/>
        <w:t>Planning</w:t>
      </w:r>
      <w:r w:rsidR="009648F4" w:rsidRPr="008F1881">
        <w:t xml:space="preserve"> for </w:t>
      </w:r>
      <w:bookmarkEnd w:id="112"/>
      <w:bookmarkEnd w:id="113"/>
      <w:r w:rsidR="00661931">
        <w:t>c</w:t>
      </w:r>
      <w:r w:rsidR="00661931" w:rsidRPr="008F1881">
        <w:t>ommunities</w:t>
      </w:r>
      <w:bookmarkEnd w:id="114"/>
    </w:p>
    <w:p w:rsidR="00F93A5F" w:rsidRPr="005B01F7" w:rsidRDefault="00B055FA" w:rsidP="00F95347">
      <w:pPr>
        <w:pStyle w:val="Heading2"/>
        <w:spacing w:before="240"/>
      </w:pPr>
      <w:bookmarkStart w:id="115" w:name="_Toc349557702"/>
      <w:bookmarkStart w:id="116" w:name="_Toc374527600"/>
      <w:r w:rsidRPr="005B01F7">
        <w:t>Context</w:t>
      </w:r>
      <w:bookmarkEnd w:id="115"/>
      <w:bookmarkEnd w:id="116"/>
    </w:p>
    <w:p w:rsidR="00B055FA" w:rsidRPr="008F1881" w:rsidRDefault="00B055FA" w:rsidP="00DA6342">
      <w:pPr>
        <w:pStyle w:val="bt"/>
        <w:rPr>
          <w:szCs w:val="20"/>
        </w:rPr>
      </w:pPr>
      <w:r w:rsidRPr="008F1881">
        <w:rPr>
          <w:szCs w:val="20"/>
        </w:rPr>
        <w:t xml:space="preserve">It is important to understand the region’s age structure to plan for the needs of key population groups. </w:t>
      </w:r>
    </w:p>
    <w:p w:rsidR="00B055FA" w:rsidRPr="000B40E8" w:rsidRDefault="00B055FA" w:rsidP="00DA6342">
      <w:pPr>
        <w:pStyle w:val="bt"/>
        <w:rPr>
          <w:szCs w:val="20"/>
        </w:rPr>
      </w:pPr>
      <w:r w:rsidRPr="008F1881">
        <w:rPr>
          <w:szCs w:val="20"/>
        </w:rPr>
        <w:t xml:space="preserve">The Central Highlands region is characterised by ‘strong population growth in the larger regional centre of Ballarat and the peri-urban areas of Moorabool and Golden Plains coupled with an outmigration of youth, particularly from the rural areas west of Ballarat </w:t>
      </w:r>
      <w:r w:rsidRPr="00F457D4">
        <w:rPr>
          <w:szCs w:val="20"/>
        </w:rPr>
        <w:t>(</w:t>
      </w:r>
      <w:r w:rsidR="00EB38CB" w:rsidRPr="00F457D4">
        <w:rPr>
          <w:szCs w:val="20"/>
        </w:rPr>
        <w:t>P</w:t>
      </w:r>
      <w:r w:rsidR="00EB38CB">
        <w:rPr>
          <w:szCs w:val="20"/>
        </w:rPr>
        <w:t>arsons Brin</w:t>
      </w:r>
      <w:r w:rsidR="00B85BFF">
        <w:rPr>
          <w:szCs w:val="20"/>
        </w:rPr>
        <w:t>c</w:t>
      </w:r>
      <w:r w:rsidR="00EB38CB">
        <w:rPr>
          <w:szCs w:val="20"/>
        </w:rPr>
        <w:t>kerhoff</w:t>
      </w:r>
      <w:r w:rsidRPr="00F457D4">
        <w:rPr>
          <w:szCs w:val="20"/>
        </w:rPr>
        <w:t>, 2010</w:t>
      </w:r>
      <w:r w:rsidR="00BC3F1A">
        <w:rPr>
          <w:szCs w:val="20"/>
        </w:rPr>
        <w:t>a</w:t>
      </w:r>
      <w:r w:rsidRPr="00F457D4">
        <w:rPr>
          <w:szCs w:val="20"/>
        </w:rPr>
        <w:t>).</w:t>
      </w:r>
      <w:r w:rsidR="001F619E" w:rsidRPr="000B40E8">
        <w:rPr>
          <w:szCs w:val="20"/>
        </w:rPr>
        <w:t xml:space="preserve"> </w:t>
      </w:r>
    </w:p>
    <w:p w:rsidR="00B055FA" w:rsidRPr="008F1881" w:rsidRDefault="00B055FA" w:rsidP="00DA6342">
      <w:pPr>
        <w:pStyle w:val="bt"/>
        <w:rPr>
          <w:szCs w:val="20"/>
        </w:rPr>
      </w:pPr>
      <w:r w:rsidRPr="008F1881">
        <w:rPr>
          <w:szCs w:val="20"/>
        </w:rPr>
        <w:t>While the Victorian population is projected to grow, the proportion of children will decrease steadily and the ageing trend is projected to continue at a higher rate. The changing distribution of the population to different age groups (age structure) is influenced by the larger number of people born between 1945 and 1971 (who are now aged 4</w:t>
      </w:r>
      <w:r w:rsidR="00C24628">
        <w:rPr>
          <w:szCs w:val="20"/>
        </w:rPr>
        <w:t xml:space="preserve">2 to </w:t>
      </w:r>
      <w:r w:rsidRPr="008F1881">
        <w:rPr>
          <w:szCs w:val="20"/>
        </w:rPr>
        <w:t>6</w:t>
      </w:r>
      <w:r w:rsidR="00C24628">
        <w:rPr>
          <w:szCs w:val="20"/>
        </w:rPr>
        <w:t>8</w:t>
      </w:r>
      <w:r w:rsidR="00DA6342">
        <w:rPr>
          <w:szCs w:val="20"/>
        </w:rPr>
        <w:t xml:space="preserve"> years).</w:t>
      </w:r>
    </w:p>
    <w:p w:rsidR="001B5CB7" w:rsidRPr="008F1881" w:rsidRDefault="00B055FA" w:rsidP="00DA6342">
      <w:pPr>
        <w:pStyle w:val="bt"/>
        <w:rPr>
          <w:szCs w:val="20"/>
        </w:rPr>
      </w:pPr>
      <w:r w:rsidRPr="008F1881">
        <w:rPr>
          <w:szCs w:val="20"/>
        </w:rPr>
        <w:t xml:space="preserve">The projected age structure for Central Highlands region can be seen in </w:t>
      </w:r>
      <w:r w:rsidR="00631B16">
        <w:fldChar w:fldCharType="begin"/>
      </w:r>
      <w:r w:rsidR="00631B16">
        <w:instrText xml:space="preserve"> REF _Ref350358615 \h  \* MERGEFORMAT </w:instrText>
      </w:r>
      <w:r w:rsidR="00631B16">
        <w:fldChar w:fldCharType="separate"/>
      </w:r>
      <w:r w:rsidR="00907B42" w:rsidRPr="00D42DE9">
        <w:t xml:space="preserve">Figure </w:t>
      </w:r>
      <w:r w:rsidR="00907B42">
        <w:rPr>
          <w:noProof/>
        </w:rPr>
        <w:t>13</w:t>
      </w:r>
      <w:r w:rsidR="00631B16">
        <w:fldChar w:fldCharType="end"/>
      </w:r>
      <w:r w:rsidRPr="008F1881">
        <w:rPr>
          <w:szCs w:val="20"/>
        </w:rPr>
        <w:t xml:space="preserve">. Demographic changes are not uniform across the region, as shown in the previous chapter </w:t>
      </w:r>
      <w:r w:rsidR="000A44A6">
        <w:rPr>
          <w:szCs w:val="20"/>
        </w:rPr>
        <w:t>(refer to</w:t>
      </w:r>
      <w:r w:rsidR="004C7752">
        <w:rPr>
          <w:szCs w:val="20"/>
        </w:rPr>
        <w:t xml:space="preserve"> </w:t>
      </w:r>
      <w:r w:rsidR="009F388E">
        <w:fldChar w:fldCharType="begin"/>
      </w:r>
      <w:r w:rsidR="00DC19EA">
        <w:rPr>
          <w:szCs w:val="20"/>
        </w:rPr>
        <w:instrText xml:space="preserve"> REF _Ref349210308 \h </w:instrText>
      </w:r>
      <w:r w:rsidR="009F388E">
        <w:fldChar w:fldCharType="separate"/>
      </w:r>
      <w:r w:rsidR="00907B42" w:rsidRPr="00D42DE9">
        <w:t xml:space="preserve">Figure </w:t>
      </w:r>
      <w:r w:rsidR="00907B42">
        <w:rPr>
          <w:noProof/>
        </w:rPr>
        <w:t>6</w:t>
      </w:r>
      <w:r w:rsidR="009F388E">
        <w:fldChar w:fldCharType="end"/>
      </w:r>
      <w:r w:rsidR="00DC19EA">
        <w:t>).</w:t>
      </w:r>
    </w:p>
    <w:p w:rsidR="00B055FA" w:rsidRDefault="00070916" w:rsidP="00D42DE9">
      <w:pPr>
        <w:pStyle w:val="Caption"/>
      </w:pPr>
      <w:bookmarkStart w:id="117" w:name="_Ref350358615"/>
      <w:r>
        <w:rPr>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280670</wp:posOffset>
            </wp:positionV>
            <wp:extent cx="6223000" cy="3187700"/>
            <wp:effectExtent l="0" t="0" r="0" b="0"/>
            <wp:wrapTopAndBottom/>
            <wp:docPr id="11" name="Chart 2" descr="Chart showing population in Central Highlands region by age cohort from 2011 to 2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bookmarkStart w:id="118" w:name="_Toc381698013"/>
      <w:r w:rsidR="004C7752" w:rsidRPr="00D42DE9">
        <w:t xml:space="preserve">Figure </w:t>
      </w:r>
      <w:r w:rsidR="009F388E">
        <w:fldChar w:fldCharType="begin"/>
      </w:r>
      <w:r w:rsidR="00821C7F">
        <w:instrText xml:space="preserve"> SEQ Figure \* ARABIC </w:instrText>
      </w:r>
      <w:r w:rsidR="009F388E">
        <w:fldChar w:fldCharType="separate"/>
      </w:r>
      <w:r w:rsidR="00907B42">
        <w:rPr>
          <w:noProof/>
        </w:rPr>
        <w:t>13</w:t>
      </w:r>
      <w:r w:rsidR="009F388E">
        <w:fldChar w:fldCharType="end"/>
      </w:r>
      <w:bookmarkEnd w:id="117"/>
      <w:r w:rsidR="008F7AD6" w:rsidRPr="00D42DE9">
        <w:t>:</w:t>
      </w:r>
      <w:r w:rsidR="00B055FA" w:rsidRPr="00D42DE9">
        <w:t xml:space="preserve"> Population by </w:t>
      </w:r>
      <w:r w:rsidR="008F7AD6" w:rsidRPr="00D42DE9">
        <w:t>a</w:t>
      </w:r>
      <w:r w:rsidR="00BD549B" w:rsidRPr="00BD549B">
        <w:t>ge cohort, 2011 and 2031</w:t>
      </w:r>
      <w:bookmarkEnd w:id="118"/>
    </w:p>
    <w:p w:rsidR="00C820C0" w:rsidRDefault="00DA6342" w:rsidP="00070916">
      <w:pPr>
        <w:pStyle w:val="Source0"/>
        <w:rPr>
          <w:sz w:val="22"/>
          <w:szCs w:val="22"/>
        </w:rPr>
      </w:pPr>
      <w:r>
        <w:t>S</w:t>
      </w:r>
      <w:r w:rsidRPr="008F1881">
        <w:t>ource: V</w:t>
      </w:r>
      <w:r>
        <w:t xml:space="preserve">ictoria in Future </w:t>
      </w:r>
      <w:r w:rsidRPr="008F1881">
        <w:t>2012</w:t>
      </w:r>
    </w:p>
    <w:p w:rsidR="00E73E5D" w:rsidRDefault="00B055FA" w:rsidP="00DA6342">
      <w:pPr>
        <w:pStyle w:val="bt"/>
        <w:sectPr w:rsidR="00E73E5D" w:rsidSect="00122B7B">
          <w:pgSz w:w="11906" w:h="16838"/>
          <w:pgMar w:top="1440" w:right="1440" w:bottom="993" w:left="1440" w:header="708" w:footer="709" w:gutter="0"/>
          <w:cols w:space="708"/>
          <w:docGrid w:linePitch="360"/>
        </w:sectPr>
      </w:pPr>
      <w:r w:rsidRPr="008F1881">
        <w:t xml:space="preserve">Another contextual indicator for communities within the Central Highlands is the levels of disadvantage. The map at </w:t>
      </w:r>
      <w:r w:rsidR="00631B16">
        <w:fldChar w:fldCharType="begin"/>
      </w:r>
      <w:r w:rsidR="00631B16">
        <w:instrText xml:space="preserve"> REF _Ref349219800 \h  \* MERGEFORMAT </w:instrText>
      </w:r>
      <w:r w:rsidR="00631B16">
        <w:fldChar w:fldCharType="separate"/>
      </w:r>
      <w:r w:rsidR="00907B42" w:rsidRPr="00D42DE9">
        <w:t xml:space="preserve">Figure </w:t>
      </w:r>
      <w:r w:rsidR="00907B42">
        <w:rPr>
          <w:noProof/>
        </w:rPr>
        <w:t>14</w:t>
      </w:r>
      <w:r w:rsidR="00631B16">
        <w:fldChar w:fldCharType="end"/>
      </w:r>
      <w:r w:rsidRPr="008F1881">
        <w:t xml:space="preserve"> shows there are relatively high levels of disadvantage across the region</w:t>
      </w:r>
      <w:r w:rsidR="00C24628">
        <w:t xml:space="preserve">, </w:t>
      </w:r>
      <w:r w:rsidRPr="008F1881">
        <w:t>particularly within</w:t>
      </w:r>
      <w:r w:rsidR="00382BD8" w:rsidRPr="00382BD8">
        <w:t xml:space="preserve"> </w:t>
      </w:r>
      <w:r w:rsidR="00382BD8" w:rsidRPr="008F1881">
        <w:t xml:space="preserve">some towns and parts of Ballarat, which are among </w:t>
      </w:r>
      <w:r w:rsidR="00382BD8" w:rsidRPr="00C24628">
        <w:t>the 10</w:t>
      </w:r>
      <w:r w:rsidR="00382BD8">
        <w:t xml:space="preserve"> </w:t>
      </w:r>
      <w:r w:rsidR="00382BD8" w:rsidRPr="001F619E">
        <w:t>per cent</w:t>
      </w:r>
      <w:r w:rsidR="00382BD8" w:rsidRPr="00C24628">
        <w:t xml:space="preserve"> most disadvantaged areas </w:t>
      </w:r>
      <w:r w:rsidR="00382BD8">
        <w:t xml:space="preserve">of </w:t>
      </w:r>
      <w:r w:rsidR="00382BD8" w:rsidRPr="00C24628">
        <w:t xml:space="preserve">Victoria. </w:t>
      </w:r>
      <w:r w:rsidRPr="008F1881">
        <w:t xml:space="preserve"> </w:t>
      </w:r>
    </w:p>
    <w:p w:rsidR="008F1881" w:rsidRPr="00D42DE9" w:rsidRDefault="00A47912" w:rsidP="00D42DE9">
      <w:pPr>
        <w:pStyle w:val="Caption"/>
      </w:pPr>
      <w:bookmarkStart w:id="119" w:name="_Ref349219800"/>
      <w:r>
        <w:rPr>
          <w:noProof/>
        </w:rPr>
        <w:lastRenderedPageBreak/>
        <w:drawing>
          <wp:anchor distT="0" distB="0" distL="114300" distR="114300" simplePos="0" relativeHeight="251658240" behindDoc="0" locked="0" layoutInCell="1" allowOverlap="1">
            <wp:simplePos x="0" y="0"/>
            <wp:positionH relativeFrom="column">
              <wp:posOffset>50165</wp:posOffset>
            </wp:positionH>
            <wp:positionV relativeFrom="paragraph">
              <wp:posOffset>284480</wp:posOffset>
            </wp:positionV>
            <wp:extent cx="7757160" cy="5340985"/>
            <wp:effectExtent l="19050" t="0" r="0" b="0"/>
            <wp:wrapTopAndBottom/>
            <wp:docPr id="4" name="Picture 1" descr="Map showing relative socio-economic disadvantage in Central High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PCD Planning\Planning\Regional Growth Plans\Issues and Background Papers\Central Highlands Issues Papers\maps\Central Highlands - Index of Relative Socio-Economic Disadvantage_2011.jpg"/>
                    <pic:cNvPicPr>
                      <a:picLocks noChangeAspect="1" noChangeArrowheads="1"/>
                    </pic:cNvPicPr>
                  </pic:nvPicPr>
                  <pic:blipFill>
                    <a:blip r:embed="rId38" cstate="email"/>
                    <a:stretch>
                      <a:fillRect/>
                    </a:stretch>
                  </pic:blipFill>
                  <pic:spPr bwMode="auto">
                    <a:xfrm>
                      <a:off x="0" y="0"/>
                      <a:ext cx="7757160" cy="5340985"/>
                    </a:xfrm>
                    <a:prstGeom prst="rect">
                      <a:avLst/>
                    </a:prstGeom>
                    <a:solidFill>
                      <a:schemeClr val="accent1"/>
                    </a:solidFill>
                    <a:ln w="9525">
                      <a:noFill/>
                      <a:miter lim="800000"/>
                      <a:headEnd/>
                      <a:tailEnd/>
                    </a:ln>
                  </pic:spPr>
                </pic:pic>
              </a:graphicData>
            </a:graphic>
          </wp:anchor>
        </w:drawing>
      </w:r>
      <w:bookmarkStart w:id="120" w:name="_Toc381698014"/>
      <w:r w:rsidR="009166E6" w:rsidRPr="00D42DE9">
        <w:t xml:space="preserve">Figure </w:t>
      </w:r>
      <w:r w:rsidR="009F388E">
        <w:fldChar w:fldCharType="begin"/>
      </w:r>
      <w:r w:rsidR="00821C7F">
        <w:instrText xml:space="preserve"> SEQ Figure \* ARABIC </w:instrText>
      </w:r>
      <w:r w:rsidR="009F388E">
        <w:fldChar w:fldCharType="separate"/>
      </w:r>
      <w:r w:rsidR="00907B42">
        <w:rPr>
          <w:noProof/>
        </w:rPr>
        <w:t>14</w:t>
      </w:r>
      <w:r w:rsidR="009F388E">
        <w:fldChar w:fldCharType="end"/>
      </w:r>
      <w:bookmarkEnd w:id="119"/>
      <w:r w:rsidR="00C24628" w:rsidRPr="00D42DE9">
        <w:t>:</w:t>
      </w:r>
      <w:r w:rsidR="00BD549B" w:rsidRPr="00BD549B">
        <w:rPr>
          <w:szCs w:val="22"/>
        </w:rPr>
        <w:t xml:space="preserve"> </w:t>
      </w:r>
      <w:r w:rsidR="00B055FA" w:rsidRPr="00D42DE9">
        <w:t>Relative socio-economic disadvantage</w:t>
      </w:r>
      <w:bookmarkEnd w:id="120"/>
    </w:p>
    <w:p w:rsidR="00E73E5D" w:rsidRDefault="00DA6342" w:rsidP="00070916">
      <w:pPr>
        <w:pStyle w:val="Source0"/>
        <w:sectPr w:rsidR="00E73E5D" w:rsidSect="00C03B2E">
          <w:pgSz w:w="16838" w:h="11906" w:orient="landscape"/>
          <w:pgMar w:top="1440" w:right="1440" w:bottom="851" w:left="851" w:header="708" w:footer="709" w:gutter="0"/>
          <w:cols w:space="708"/>
          <w:docGrid w:linePitch="360"/>
        </w:sectPr>
      </w:pPr>
      <w:r>
        <w:t>S</w:t>
      </w:r>
      <w:r w:rsidRPr="008F1881">
        <w:t xml:space="preserve">ource: </w:t>
      </w:r>
      <w:r w:rsidR="000D49BF">
        <w:t>Australian Bureau of Statistics</w:t>
      </w:r>
    </w:p>
    <w:p w:rsidR="00F93A5F" w:rsidRPr="005B01F7" w:rsidRDefault="00B055FA" w:rsidP="005B01F7">
      <w:pPr>
        <w:pStyle w:val="Heading2"/>
      </w:pPr>
      <w:bookmarkStart w:id="121" w:name="_Toc349557703"/>
      <w:bookmarkStart w:id="122" w:name="_Toc374527601"/>
      <w:r w:rsidRPr="005B01F7">
        <w:lastRenderedPageBreak/>
        <w:t>Demographic change</w:t>
      </w:r>
      <w:bookmarkEnd w:id="121"/>
      <w:bookmarkEnd w:id="122"/>
    </w:p>
    <w:p w:rsidR="00F93A5F" w:rsidRPr="005B01F7" w:rsidRDefault="009F09AE" w:rsidP="00F95347">
      <w:pPr>
        <w:pStyle w:val="Heading3"/>
        <w:spacing w:before="240"/>
      </w:pPr>
      <w:r w:rsidRPr="005B01F7">
        <w:t>Description and analysis</w:t>
      </w:r>
    </w:p>
    <w:p w:rsidR="00B055FA" w:rsidRPr="008F1881" w:rsidRDefault="00D06EE9" w:rsidP="00DA6342">
      <w:pPr>
        <w:pStyle w:val="bt"/>
      </w:pPr>
      <w:r w:rsidRPr="008F1881">
        <w:t xml:space="preserve">The population of the </w:t>
      </w:r>
      <w:r w:rsidR="00C24628">
        <w:t xml:space="preserve">Central Highlands </w:t>
      </w:r>
      <w:r w:rsidRPr="008F1881">
        <w:t>region is ageing</w:t>
      </w:r>
      <w:r w:rsidR="00C24628">
        <w:t>,</w:t>
      </w:r>
      <w:r w:rsidRPr="008F1881">
        <w:t xml:space="preserve"> particularly in rural </w:t>
      </w:r>
      <w:r w:rsidR="002C1F0A" w:rsidRPr="008F1881">
        <w:t>area</w:t>
      </w:r>
      <w:r w:rsidR="00C24628">
        <w:t>s</w:t>
      </w:r>
      <w:r w:rsidR="002C1F0A" w:rsidRPr="008F1881">
        <w:t xml:space="preserve"> </w:t>
      </w:r>
      <w:r w:rsidRPr="008F1881">
        <w:t>where the average age of farming communities is increasing</w:t>
      </w:r>
      <w:r w:rsidR="00C24628">
        <w:t>. Y</w:t>
      </w:r>
      <w:r w:rsidR="00B055FA" w:rsidRPr="008F1881">
        <w:t xml:space="preserve">ounger people </w:t>
      </w:r>
      <w:r w:rsidR="00C24628">
        <w:t xml:space="preserve">are </w:t>
      </w:r>
      <w:r w:rsidR="00B055FA" w:rsidRPr="008F1881">
        <w:t>migrat</w:t>
      </w:r>
      <w:r w:rsidR="00C24628">
        <w:t xml:space="preserve">ing </w:t>
      </w:r>
      <w:r w:rsidR="00B055FA" w:rsidRPr="008F1881">
        <w:t>in search of improved economic prospects</w:t>
      </w:r>
      <w:r w:rsidR="00C24628">
        <w:t xml:space="preserve">, with </w:t>
      </w:r>
      <w:r w:rsidR="00B055FA" w:rsidRPr="008F1881">
        <w:t xml:space="preserve">the migration </w:t>
      </w:r>
      <w:r w:rsidR="00C24628">
        <w:t xml:space="preserve">rate </w:t>
      </w:r>
      <w:r w:rsidR="00B055FA" w:rsidRPr="008F1881">
        <w:t xml:space="preserve">of young women double </w:t>
      </w:r>
      <w:r w:rsidR="00C24628">
        <w:t xml:space="preserve">that </w:t>
      </w:r>
      <w:r w:rsidR="00B055FA" w:rsidRPr="008F1881">
        <w:t xml:space="preserve">of young </w:t>
      </w:r>
      <w:r w:rsidR="001731AF" w:rsidRPr="008F1881">
        <w:t>men</w:t>
      </w:r>
      <w:r w:rsidR="00B055FA" w:rsidRPr="008F1881">
        <w:t xml:space="preserve"> and older people </w:t>
      </w:r>
      <w:r w:rsidR="00C24628">
        <w:t xml:space="preserve">are </w:t>
      </w:r>
      <w:r w:rsidR="00B055FA" w:rsidRPr="008F1881">
        <w:t>retir</w:t>
      </w:r>
      <w:r w:rsidR="00C24628">
        <w:t>ing</w:t>
      </w:r>
      <w:r w:rsidR="00B055FA" w:rsidRPr="008F1881">
        <w:t xml:space="preserve"> to regional Victoria from metropolitan areas (</w:t>
      </w:r>
      <w:r w:rsidR="004B3AA2">
        <w:t>Department of Planning and Community Development</w:t>
      </w:r>
      <w:r w:rsidR="00B055FA" w:rsidRPr="008F1881">
        <w:t>, 2011).</w:t>
      </w:r>
    </w:p>
    <w:p w:rsidR="00B055FA" w:rsidRPr="008F1881" w:rsidRDefault="00B055FA" w:rsidP="00DA6342">
      <w:pPr>
        <w:pStyle w:val="bt"/>
      </w:pPr>
      <w:r w:rsidRPr="008F1881">
        <w:t xml:space="preserve">The demographic changes experienced in the region are likely to differ </w:t>
      </w:r>
      <w:r w:rsidR="002C1F0A" w:rsidRPr="008F1881">
        <w:t xml:space="preserve">across the region </w:t>
      </w:r>
      <w:r w:rsidRPr="008F1881">
        <w:t>from the western parts of the region to the peri-urban context</w:t>
      </w:r>
      <w:r w:rsidR="00C24628">
        <w:t>. F</w:t>
      </w:r>
      <w:r w:rsidRPr="008F1881">
        <w:t>or example</w:t>
      </w:r>
      <w:r w:rsidR="00C24628">
        <w:t>,</w:t>
      </w:r>
      <w:r w:rsidRPr="008F1881">
        <w:t xml:space="preserve"> in Bacchus Marsh</w:t>
      </w:r>
      <w:r w:rsidR="00C24628">
        <w:t>,</w:t>
      </w:r>
      <w:r w:rsidRPr="008F1881">
        <w:t xml:space="preserve"> growth from </w:t>
      </w:r>
      <w:r w:rsidR="00C24628">
        <w:t xml:space="preserve">metropolitan </w:t>
      </w:r>
      <w:r w:rsidRPr="008F1881">
        <w:t xml:space="preserve">Melbourne is occurring and </w:t>
      </w:r>
      <w:r w:rsidR="00C24628">
        <w:t xml:space="preserve">this </w:t>
      </w:r>
      <w:r w:rsidRPr="008F1881">
        <w:t>may result in young families moving into this part of the region.</w:t>
      </w:r>
    </w:p>
    <w:p w:rsidR="00B055FA" w:rsidRPr="008F1881" w:rsidRDefault="00B055FA" w:rsidP="00DA6342">
      <w:pPr>
        <w:pStyle w:val="bt"/>
      </w:pPr>
      <w:r w:rsidRPr="008F1881">
        <w:t>Some high amenity areas are also experiencing a significant influx of</w:t>
      </w:r>
      <w:r w:rsidR="00C24628">
        <w:t xml:space="preserve"> ‘</w:t>
      </w:r>
      <w:r w:rsidRPr="008F1881">
        <w:t>amenity migrants</w:t>
      </w:r>
      <w:r w:rsidR="00C24628">
        <w:t>’</w:t>
      </w:r>
      <w:r w:rsidRPr="008F1881">
        <w:t xml:space="preserve"> moving from Melbourne seeking a rural lifestyle (Barr 2009). Th</w:t>
      </w:r>
      <w:r w:rsidR="0071311D">
        <w:t xml:space="preserve">ose </w:t>
      </w:r>
      <w:r w:rsidRPr="008F1881">
        <w:t xml:space="preserve">people moving to regional Victoria </w:t>
      </w:r>
      <w:r w:rsidR="0071311D">
        <w:t xml:space="preserve">can be grouped broadly as </w:t>
      </w:r>
      <w:r w:rsidR="00DA6342">
        <w:t>(</w:t>
      </w:r>
      <w:r w:rsidR="004B3AA2">
        <w:t>Department of Planning and Community Development</w:t>
      </w:r>
      <w:r w:rsidR="00DA6342">
        <w:t>, 2011):</w:t>
      </w:r>
    </w:p>
    <w:p w:rsidR="00B055FA" w:rsidRPr="008F1881" w:rsidRDefault="0071311D" w:rsidP="00DA6342">
      <w:pPr>
        <w:pStyle w:val="ListBullet"/>
      </w:pPr>
      <w:r>
        <w:t>w</w:t>
      </w:r>
      <w:r w:rsidR="00B055FA" w:rsidRPr="008F1881">
        <w:t>eekenders</w:t>
      </w:r>
      <w:r>
        <w:t xml:space="preserve">, with </w:t>
      </w:r>
      <w:r w:rsidR="00B055FA" w:rsidRPr="008F1881">
        <w:t xml:space="preserve">some </w:t>
      </w:r>
      <w:r>
        <w:t xml:space="preserve">local government areas </w:t>
      </w:r>
      <w:r w:rsidR="00B055FA" w:rsidRPr="008F1881">
        <w:t>now hav</w:t>
      </w:r>
      <w:r>
        <w:t xml:space="preserve">ing </w:t>
      </w:r>
      <w:r w:rsidR="00B055FA" w:rsidRPr="008F1881">
        <w:t>significant non-resident populations</w:t>
      </w:r>
    </w:p>
    <w:p w:rsidR="00B055FA" w:rsidRPr="008F1881" w:rsidRDefault="0071311D" w:rsidP="00DA6342">
      <w:pPr>
        <w:pStyle w:val="ListBullet"/>
      </w:pPr>
      <w:r>
        <w:t>c</w:t>
      </w:r>
      <w:r w:rsidR="00B055FA" w:rsidRPr="008F1881">
        <w:t>ommuters and those that share their time between a city and a regional household</w:t>
      </w:r>
    </w:p>
    <w:p w:rsidR="00B055FA" w:rsidRPr="008F1881" w:rsidRDefault="0071311D" w:rsidP="00DA6342">
      <w:pPr>
        <w:pStyle w:val="ListBullet"/>
      </w:pPr>
      <w:r>
        <w:t>d</w:t>
      </w:r>
      <w:r w:rsidR="00B055FA" w:rsidRPr="008F1881">
        <w:t>ownshifters</w:t>
      </w:r>
      <w:r w:rsidR="00BC3F1A">
        <w:t xml:space="preserve"> (people seeking a balance between work and leisure)</w:t>
      </w:r>
    </w:p>
    <w:p w:rsidR="00B055FA" w:rsidRPr="008F1881" w:rsidRDefault="0071311D" w:rsidP="00DA6342">
      <w:pPr>
        <w:pStyle w:val="ListBullet"/>
      </w:pPr>
      <w:r>
        <w:t>a</w:t>
      </w:r>
      <w:r w:rsidR="00B055FA" w:rsidRPr="008F1881">
        <w:t>ffluent retirees</w:t>
      </w:r>
    </w:p>
    <w:p w:rsidR="00B055FA" w:rsidRPr="008F1881" w:rsidRDefault="0071311D" w:rsidP="00DA6342">
      <w:pPr>
        <w:pStyle w:val="ListBullet"/>
      </w:pPr>
      <w:r>
        <w:t>n</w:t>
      </w:r>
      <w:r w:rsidR="00B055FA" w:rsidRPr="008F1881">
        <w:t>on-affluent retirees, welfare recipients and small numbers of new Australian migrants moving to areas where there is cheaper housing (</w:t>
      </w:r>
      <w:r w:rsidR="00EB38CB" w:rsidRPr="008F1881">
        <w:t>A</w:t>
      </w:r>
      <w:r w:rsidR="00EB38CB">
        <w:t>ustralian Housing and Urban Research Institute</w:t>
      </w:r>
      <w:r w:rsidR="00EB38CB" w:rsidRPr="008F1881">
        <w:t xml:space="preserve"> </w:t>
      </w:r>
      <w:r w:rsidR="00B055FA" w:rsidRPr="008F1881">
        <w:t xml:space="preserve">2005; Barr 2009; </w:t>
      </w:r>
      <w:r w:rsidR="006155B1">
        <w:t xml:space="preserve">Department of Human Services </w:t>
      </w:r>
      <w:r w:rsidR="00B055FA" w:rsidRPr="008F1881">
        <w:t xml:space="preserve"> 2009).</w:t>
      </w:r>
    </w:p>
    <w:p w:rsidR="00B055FA" w:rsidRPr="008F1881" w:rsidRDefault="00B055FA" w:rsidP="00DA6342">
      <w:pPr>
        <w:pStyle w:val="bt"/>
      </w:pPr>
      <w:r w:rsidRPr="008F1881">
        <w:t>A particular challenge will be providing centralised infrastructure and service provision for a critical mass, while meeting the needs of more isolated settlements</w:t>
      </w:r>
      <w:r w:rsidR="00834EAA" w:rsidRPr="008F1881">
        <w:t>.</w:t>
      </w:r>
      <w:r w:rsidRPr="008F1881">
        <w:t xml:space="preserve"> </w:t>
      </w:r>
    </w:p>
    <w:p w:rsidR="00B055FA" w:rsidRPr="008F1881" w:rsidRDefault="00B055FA" w:rsidP="00DA6342">
      <w:pPr>
        <w:pStyle w:val="bt"/>
      </w:pPr>
      <w:r w:rsidRPr="008F1881">
        <w:t>Alongside the projected demand in Central Highlands for infrastructure and services, particularly in health, it is important to be able to attract and retain young families in the region to ensure a balanced community structure and appropriate labour force capacity to support an ageing population base (</w:t>
      </w:r>
      <w:r w:rsidR="00EB38CB" w:rsidRPr="008F1881">
        <w:t>P</w:t>
      </w:r>
      <w:r w:rsidR="00EB38CB">
        <w:t>arsons Brinckerhoff</w:t>
      </w:r>
      <w:r w:rsidRPr="008F1881">
        <w:t>, 2010</w:t>
      </w:r>
      <w:r w:rsidR="00BC3F1A">
        <w:t>a</w:t>
      </w:r>
      <w:r w:rsidRPr="008F1881">
        <w:t>).</w:t>
      </w:r>
    </w:p>
    <w:p w:rsidR="008F1881" w:rsidRPr="00000AE4" w:rsidRDefault="009F09AE" w:rsidP="00000AE4">
      <w:pPr>
        <w:pStyle w:val="Heading40"/>
      </w:pPr>
      <w:r w:rsidRPr="00000AE4">
        <w:t>Ageing populations</w:t>
      </w:r>
    </w:p>
    <w:p w:rsidR="00B055FA" w:rsidRPr="008F1881" w:rsidRDefault="00B055FA" w:rsidP="00DA6342">
      <w:pPr>
        <w:pStyle w:val="bt"/>
        <w:rPr>
          <w:rFonts w:cs="Tahoma"/>
          <w:szCs w:val="20"/>
        </w:rPr>
      </w:pPr>
      <w:r w:rsidRPr="008F1881">
        <w:rPr>
          <w:rFonts w:cs="Tahoma"/>
          <w:szCs w:val="20"/>
        </w:rPr>
        <w:t>Understanding the demographic changes that will occur in the region is important as a significant amount of service provision relates to age. As the population ages there will be increased demand for specialist medical services and aged</w:t>
      </w:r>
      <w:r w:rsidR="00F457D4">
        <w:rPr>
          <w:rFonts w:cs="Tahoma"/>
          <w:szCs w:val="20"/>
        </w:rPr>
        <w:t xml:space="preserve"> </w:t>
      </w:r>
      <w:r w:rsidR="00DA6342">
        <w:rPr>
          <w:rFonts w:cs="Tahoma"/>
          <w:szCs w:val="20"/>
        </w:rPr>
        <w:t>care facilities.</w:t>
      </w:r>
    </w:p>
    <w:p w:rsidR="00B055FA" w:rsidRPr="008F1881" w:rsidRDefault="00B055FA" w:rsidP="00DA6342">
      <w:pPr>
        <w:pStyle w:val="bt"/>
        <w:rPr>
          <w:rFonts w:cs="Tahoma"/>
          <w:szCs w:val="20"/>
        </w:rPr>
      </w:pPr>
      <w:r w:rsidRPr="008F1881">
        <w:rPr>
          <w:rFonts w:cs="Tahoma"/>
          <w:szCs w:val="20"/>
        </w:rPr>
        <w:t>At a statewide level the first wave of ‘baby boomer’ retirement has commenced. The projected strong growth in retirement age groups over the next 20 years to 2031 will contribute to a more rapid increase in the proportions of older people in regional areas compared to Melbourne. Some ‘non-affluent’ retirees are also moving into regional areas of Victoria (</w:t>
      </w:r>
      <w:r w:rsidR="004B3AA2">
        <w:rPr>
          <w:rFonts w:cs="Tahoma"/>
          <w:szCs w:val="20"/>
        </w:rPr>
        <w:t>Department of Planning and Community Development</w:t>
      </w:r>
      <w:r w:rsidRPr="008F1881">
        <w:rPr>
          <w:rFonts w:cs="Tahoma"/>
          <w:szCs w:val="20"/>
        </w:rPr>
        <w:t>, 2011) possibly driven by rising cost of living and perceived lifestyle benefits.</w:t>
      </w:r>
    </w:p>
    <w:p w:rsidR="00B055FA" w:rsidRPr="008F1881" w:rsidRDefault="00B055FA" w:rsidP="00DA6342">
      <w:pPr>
        <w:pStyle w:val="bt"/>
        <w:rPr>
          <w:rFonts w:cs="Tahoma"/>
          <w:szCs w:val="20"/>
        </w:rPr>
      </w:pPr>
      <w:r w:rsidRPr="008F1881">
        <w:rPr>
          <w:rFonts w:cs="Tahoma"/>
          <w:szCs w:val="20"/>
        </w:rPr>
        <w:t>In 2031 the Central Highlands (including Northern Grampians and Central Goldfields</w:t>
      </w:r>
      <w:r w:rsidR="0062652A">
        <w:rPr>
          <w:rFonts w:cs="Tahoma"/>
          <w:szCs w:val="20"/>
        </w:rPr>
        <w:t xml:space="preserve"> shires</w:t>
      </w:r>
      <w:r w:rsidRPr="008F1881">
        <w:rPr>
          <w:rFonts w:cs="Tahoma"/>
          <w:szCs w:val="20"/>
        </w:rPr>
        <w:t>) is projected to have an additional 34,869 people aged 60+ years located in the region</w:t>
      </w:r>
      <w:r w:rsidR="009166E6" w:rsidRPr="008F1881">
        <w:rPr>
          <w:rFonts w:cs="Tahoma"/>
          <w:szCs w:val="20"/>
        </w:rPr>
        <w:t xml:space="preserve"> </w:t>
      </w:r>
      <w:r w:rsidR="000A44A6">
        <w:rPr>
          <w:rFonts w:cs="Tahoma"/>
          <w:szCs w:val="20"/>
        </w:rPr>
        <w:t>(refer to</w:t>
      </w:r>
      <w:r w:rsidR="009166E6" w:rsidRPr="008F1881">
        <w:rPr>
          <w:rFonts w:cs="Tahoma"/>
          <w:szCs w:val="20"/>
        </w:rPr>
        <w:t xml:space="preserve"> </w:t>
      </w:r>
      <w:r w:rsidR="00631B16">
        <w:fldChar w:fldCharType="begin"/>
      </w:r>
      <w:r w:rsidR="00631B16">
        <w:instrText xml:space="preserve"> REF _Ref349220139 \h  \* MERGEFORMAT </w:instrText>
      </w:r>
      <w:r w:rsidR="00631B16">
        <w:fldChar w:fldCharType="separate"/>
      </w:r>
      <w:r w:rsidR="00907B42" w:rsidRPr="00D42DE9">
        <w:t xml:space="preserve">Figure </w:t>
      </w:r>
      <w:r w:rsidR="00907B42">
        <w:rPr>
          <w:noProof/>
        </w:rPr>
        <w:t>15</w:t>
      </w:r>
      <w:r w:rsidR="00631B16">
        <w:fldChar w:fldCharType="end"/>
      </w:r>
      <w:r w:rsidR="009166E6" w:rsidRPr="008F1881">
        <w:rPr>
          <w:rFonts w:cs="Tahoma"/>
          <w:szCs w:val="20"/>
        </w:rPr>
        <w:t>)</w:t>
      </w:r>
      <w:r w:rsidRPr="008F1881">
        <w:rPr>
          <w:rFonts w:cs="Tahoma"/>
          <w:szCs w:val="20"/>
        </w:rPr>
        <w:t xml:space="preserve">. The largest concentration will be located in the City of Ballarat, </w:t>
      </w:r>
      <w:r w:rsidR="009166E6" w:rsidRPr="008F1881">
        <w:rPr>
          <w:rFonts w:cs="Tahoma"/>
          <w:szCs w:val="20"/>
        </w:rPr>
        <w:t xml:space="preserve">although </w:t>
      </w:r>
      <w:r w:rsidRPr="008F1881">
        <w:rPr>
          <w:rFonts w:cs="Tahoma"/>
          <w:szCs w:val="20"/>
        </w:rPr>
        <w:t xml:space="preserve">significant numbers will </w:t>
      </w:r>
      <w:r w:rsidR="009166E6" w:rsidRPr="008F1881">
        <w:rPr>
          <w:rFonts w:cs="Tahoma"/>
          <w:szCs w:val="20"/>
        </w:rPr>
        <w:t xml:space="preserve">also </w:t>
      </w:r>
      <w:r w:rsidRPr="008F1881">
        <w:rPr>
          <w:rFonts w:cs="Tahoma"/>
          <w:szCs w:val="20"/>
        </w:rPr>
        <w:t>be dispersed across the region in smaller settlements. The increase in people aged 60+ raises the issue of providing appropriate aged care services and more particularly ensuring access to services.</w:t>
      </w:r>
    </w:p>
    <w:p w:rsidR="00720AA9" w:rsidRDefault="009166E6" w:rsidP="00720AA9">
      <w:pPr>
        <w:pStyle w:val="Caption"/>
      </w:pPr>
      <w:bookmarkStart w:id="123" w:name="_Ref349220139"/>
      <w:bookmarkStart w:id="124" w:name="_Toc381698015"/>
      <w:r w:rsidRPr="00D42DE9">
        <w:lastRenderedPageBreak/>
        <w:t xml:space="preserve">Figure </w:t>
      </w:r>
      <w:r w:rsidR="009F388E">
        <w:fldChar w:fldCharType="begin"/>
      </w:r>
      <w:r w:rsidR="00821C7F">
        <w:instrText xml:space="preserve"> SEQ Figure \* ARABIC </w:instrText>
      </w:r>
      <w:r w:rsidR="009F388E">
        <w:fldChar w:fldCharType="separate"/>
      </w:r>
      <w:r w:rsidR="00907B42">
        <w:rPr>
          <w:noProof/>
        </w:rPr>
        <w:t>15</w:t>
      </w:r>
      <w:r w:rsidR="009F388E">
        <w:fldChar w:fldCharType="end"/>
      </w:r>
      <w:bookmarkEnd w:id="123"/>
      <w:r w:rsidR="0062652A" w:rsidRPr="00D42DE9">
        <w:t>:</w:t>
      </w:r>
      <w:r w:rsidR="00B055FA" w:rsidRPr="00D42DE9">
        <w:t xml:space="preserve"> Proportion of </w:t>
      </w:r>
      <w:r w:rsidR="00BD549B" w:rsidRPr="00BD549B">
        <w:t>older people by Central Highlands local government areas</w:t>
      </w:r>
      <w:bookmarkEnd w:id="124"/>
    </w:p>
    <w:p w:rsidR="0013512F" w:rsidRDefault="0013512F" w:rsidP="0013512F">
      <w:pPr>
        <w:pStyle w:val="bt"/>
        <w:spacing w:after="120"/>
        <w:rPr>
          <w:rFonts w:eastAsia="Times New Roman" w:cs="Calibri"/>
        </w:rPr>
      </w:pPr>
      <w:r w:rsidRPr="000D5E85">
        <w:rPr>
          <w:rFonts w:eastAsia="Times New Roman" w:cs="Calibri"/>
        </w:rPr>
        <w:t>Ararat</w:t>
      </w:r>
    </w:p>
    <w:p w:rsidR="0013512F" w:rsidRDefault="0013512F" w:rsidP="0013512F">
      <w:pPr>
        <w:pStyle w:val="bt"/>
        <w:numPr>
          <w:ilvl w:val="0"/>
          <w:numId w:val="33"/>
        </w:numPr>
        <w:spacing w:before="120" w:after="120"/>
        <w:ind w:hanging="357"/>
      </w:pPr>
      <w:r>
        <w:t>2011</w:t>
      </w:r>
    </w:p>
    <w:p w:rsidR="0013512F" w:rsidRDefault="0013512F" w:rsidP="0013512F">
      <w:pPr>
        <w:pStyle w:val="bt"/>
        <w:numPr>
          <w:ilvl w:val="0"/>
          <w:numId w:val="35"/>
        </w:numPr>
        <w:spacing w:before="120" w:after="120"/>
        <w:ind w:left="1134" w:hanging="357"/>
      </w:pPr>
      <w:r>
        <w:t xml:space="preserve">Over 60 – 3265 </w:t>
      </w:r>
    </w:p>
    <w:p w:rsidR="0013512F" w:rsidRDefault="0013512F" w:rsidP="0013512F">
      <w:pPr>
        <w:pStyle w:val="bt"/>
        <w:numPr>
          <w:ilvl w:val="0"/>
          <w:numId w:val="35"/>
        </w:numPr>
        <w:spacing w:before="120" w:after="120"/>
        <w:ind w:left="1134" w:hanging="357"/>
      </w:pPr>
      <w:r>
        <w:t>Percentage over 60 – 27.05</w:t>
      </w:r>
    </w:p>
    <w:p w:rsidR="0013512F" w:rsidRDefault="0013512F" w:rsidP="0013512F">
      <w:pPr>
        <w:pStyle w:val="bt"/>
        <w:numPr>
          <w:ilvl w:val="0"/>
          <w:numId w:val="33"/>
        </w:numPr>
        <w:spacing w:before="120" w:after="120"/>
        <w:ind w:hanging="357"/>
      </w:pPr>
      <w:r>
        <w:t>2031</w:t>
      </w:r>
    </w:p>
    <w:p w:rsidR="0013512F" w:rsidRDefault="0013512F" w:rsidP="0013512F">
      <w:pPr>
        <w:pStyle w:val="bt"/>
        <w:numPr>
          <w:ilvl w:val="0"/>
          <w:numId w:val="36"/>
        </w:numPr>
        <w:spacing w:before="120" w:after="120"/>
        <w:ind w:left="1134" w:hanging="357"/>
      </w:pPr>
      <w:r>
        <w:t xml:space="preserve">Over 60 – 4419 </w:t>
      </w:r>
    </w:p>
    <w:p w:rsidR="0013512F" w:rsidRDefault="0013512F" w:rsidP="0013512F">
      <w:pPr>
        <w:pStyle w:val="bt"/>
        <w:numPr>
          <w:ilvl w:val="0"/>
          <w:numId w:val="36"/>
        </w:numPr>
        <w:spacing w:before="120" w:after="120"/>
        <w:ind w:left="1134" w:hanging="357"/>
      </w:pPr>
      <w:r>
        <w:t>Percentage over 60 – 31.73</w:t>
      </w:r>
    </w:p>
    <w:p w:rsidR="0013512F" w:rsidRDefault="0013512F" w:rsidP="0013512F">
      <w:pPr>
        <w:pStyle w:val="bt"/>
        <w:numPr>
          <w:ilvl w:val="0"/>
          <w:numId w:val="33"/>
        </w:numPr>
        <w:spacing w:before="120" w:after="120"/>
        <w:ind w:hanging="357"/>
      </w:pPr>
      <w:r>
        <w:t xml:space="preserve">Increase 2011-2031 – 1154 </w:t>
      </w:r>
    </w:p>
    <w:p w:rsidR="0013512F" w:rsidRDefault="0013512F" w:rsidP="0013512F">
      <w:pPr>
        <w:pStyle w:val="bt"/>
        <w:spacing w:after="120"/>
        <w:rPr>
          <w:rFonts w:eastAsia="Times New Roman" w:cs="Calibri"/>
        </w:rPr>
      </w:pPr>
      <w:r w:rsidRPr="000D5E85">
        <w:rPr>
          <w:rFonts w:eastAsia="Times New Roman" w:cs="Calibri"/>
        </w:rPr>
        <w:t>Ballarat</w:t>
      </w:r>
    </w:p>
    <w:p w:rsidR="0013512F" w:rsidRDefault="0013512F" w:rsidP="0013512F">
      <w:pPr>
        <w:pStyle w:val="bt"/>
        <w:numPr>
          <w:ilvl w:val="0"/>
          <w:numId w:val="33"/>
        </w:numPr>
        <w:spacing w:before="120" w:after="120"/>
        <w:ind w:hanging="357"/>
      </w:pPr>
      <w:r>
        <w:t>2011</w:t>
      </w:r>
    </w:p>
    <w:p w:rsidR="0013512F" w:rsidRDefault="0013512F" w:rsidP="0013512F">
      <w:pPr>
        <w:pStyle w:val="bt"/>
        <w:numPr>
          <w:ilvl w:val="0"/>
          <w:numId w:val="35"/>
        </w:numPr>
        <w:spacing w:before="120" w:after="120"/>
        <w:ind w:left="1134" w:hanging="357"/>
      </w:pPr>
      <w:r>
        <w:t xml:space="preserve">Over 60 – </w:t>
      </w:r>
      <w:r w:rsidRPr="003935C1">
        <w:rPr>
          <w:rFonts w:eastAsia="Times New Roman" w:cs="Calibri"/>
        </w:rPr>
        <w:t>19,846</w:t>
      </w:r>
    </w:p>
    <w:p w:rsidR="0013512F" w:rsidRDefault="0013512F" w:rsidP="0013512F">
      <w:pPr>
        <w:pStyle w:val="bt"/>
        <w:numPr>
          <w:ilvl w:val="0"/>
          <w:numId w:val="35"/>
        </w:numPr>
        <w:spacing w:before="120" w:after="120"/>
        <w:ind w:left="1134" w:hanging="357"/>
      </w:pPr>
      <w:r>
        <w:t xml:space="preserve">Percentage over 60 – </w:t>
      </w:r>
      <w:r w:rsidRPr="003935C1">
        <w:rPr>
          <w:rFonts w:eastAsia="Times New Roman" w:cs="Calibri"/>
        </w:rPr>
        <w:t>20.29</w:t>
      </w:r>
    </w:p>
    <w:p w:rsidR="0013512F" w:rsidRDefault="0013512F" w:rsidP="0013512F">
      <w:pPr>
        <w:pStyle w:val="bt"/>
        <w:numPr>
          <w:ilvl w:val="0"/>
          <w:numId w:val="33"/>
        </w:numPr>
        <w:spacing w:before="120" w:after="120"/>
        <w:ind w:hanging="357"/>
      </w:pPr>
      <w:r>
        <w:t>2031</w:t>
      </w:r>
    </w:p>
    <w:p w:rsidR="0013512F" w:rsidRDefault="0013512F" w:rsidP="0013512F">
      <w:pPr>
        <w:pStyle w:val="bt"/>
        <w:numPr>
          <w:ilvl w:val="0"/>
          <w:numId w:val="36"/>
        </w:numPr>
        <w:spacing w:before="120" w:after="120"/>
        <w:ind w:left="1134" w:hanging="357"/>
      </w:pPr>
      <w:r>
        <w:t xml:space="preserve">Over 60 – </w:t>
      </w:r>
      <w:r w:rsidRPr="003935C1">
        <w:rPr>
          <w:rFonts w:eastAsia="Times New Roman" w:cs="Calibri"/>
        </w:rPr>
        <w:t>36,609</w:t>
      </w:r>
    </w:p>
    <w:p w:rsidR="0013512F" w:rsidRDefault="0013512F" w:rsidP="0013512F">
      <w:pPr>
        <w:pStyle w:val="bt"/>
        <w:numPr>
          <w:ilvl w:val="0"/>
          <w:numId w:val="36"/>
        </w:numPr>
        <w:spacing w:before="120" w:after="120"/>
        <w:ind w:left="1134" w:hanging="357"/>
      </w:pPr>
      <w:r>
        <w:t xml:space="preserve">Percentage over 60 – </w:t>
      </w:r>
      <w:r w:rsidRPr="003935C1">
        <w:rPr>
          <w:rFonts w:eastAsia="Times New Roman" w:cs="Calibri"/>
        </w:rPr>
        <w:t>28.41</w:t>
      </w:r>
    </w:p>
    <w:p w:rsidR="0013512F" w:rsidRPr="0013512F" w:rsidRDefault="0013512F" w:rsidP="0013512F">
      <w:pPr>
        <w:pStyle w:val="bt"/>
        <w:numPr>
          <w:ilvl w:val="0"/>
          <w:numId w:val="33"/>
        </w:numPr>
        <w:spacing w:before="120" w:after="120"/>
        <w:ind w:hanging="357"/>
      </w:pPr>
      <w:r>
        <w:t xml:space="preserve">Increase 2011-2031 – </w:t>
      </w:r>
      <w:r w:rsidRPr="003935C1">
        <w:rPr>
          <w:rFonts w:eastAsia="Times New Roman" w:cs="Calibri"/>
        </w:rPr>
        <w:t>16,763</w:t>
      </w:r>
    </w:p>
    <w:p w:rsidR="0013512F" w:rsidRDefault="0013512F" w:rsidP="0013512F">
      <w:pPr>
        <w:pStyle w:val="bt"/>
        <w:spacing w:after="120"/>
        <w:rPr>
          <w:rFonts w:eastAsia="Times New Roman" w:cs="Calibri"/>
        </w:rPr>
      </w:pPr>
      <w:r w:rsidRPr="000D5E85">
        <w:rPr>
          <w:rFonts w:eastAsia="Times New Roman" w:cs="Calibri"/>
        </w:rPr>
        <w:t>Central Goldfields</w:t>
      </w:r>
    </w:p>
    <w:p w:rsidR="0013512F" w:rsidRDefault="0013512F" w:rsidP="0013512F">
      <w:pPr>
        <w:pStyle w:val="bt"/>
        <w:numPr>
          <w:ilvl w:val="0"/>
          <w:numId w:val="33"/>
        </w:numPr>
        <w:spacing w:before="120" w:after="120"/>
        <w:ind w:hanging="357"/>
      </w:pPr>
      <w:r>
        <w:t>2011</w:t>
      </w:r>
    </w:p>
    <w:p w:rsidR="0013512F" w:rsidRDefault="0013512F" w:rsidP="0013512F">
      <w:pPr>
        <w:pStyle w:val="bt"/>
        <w:numPr>
          <w:ilvl w:val="0"/>
          <w:numId w:val="35"/>
        </w:numPr>
        <w:spacing w:before="120" w:after="120"/>
        <w:ind w:left="1134" w:hanging="357"/>
      </w:pPr>
      <w:r>
        <w:t xml:space="preserve">Over 60 – </w:t>
      </w:r>
      <w:r>
        <w:rPr>
          <w:rFonts w:eastAsia="Times New Roman" w:cs="Calibri"/>
          <w:lang w:val="en-US"/>
        </w:rPr>
        <w:t>4</w:t>
      </w:r>
      <w:r w:rsidRPr="003935C1">
        <w:rPr>
          <w:rFonts w:eastAsia="Times New Roman" w:cs="Calibri"/>
          <w:lang w:val="en-US"/>
        </w:rPr>
        <w:t>126</w:t>
      </w:r>
    </w:p>
    <w:p w:rsidR="0013512F" w:rsidRDefault="0013512F" w:rsidP="0013512F">
      <w:pPr>
        <w:pStyle w:val="bt"/>
        <w:numPr>
          <w:ilvl w:val="0"/>
          <w:numId w:val="35"/>
        </w:numPr>
        <w:spacing w:before="120" w:after="120"/>
        <w:ind w:left="1134" w:hanging="357"/>
      </w:pPr>
      <w:r>
        <w:t xml:space="preserve">Percentage over 60 – </w:t>
      </w:r>
      <w:r w:rsidRPr="003935C1">
        <w:rPr>
          <w:rFonts w:eastAsia="Times New Roman" w:cs="Calibri"/>
        </w:rPr>
        <w:t>32.25</w:t>
      </w:r>
    </w:p>
    <w:p w:rsidR="0013512F" w:rsidRDefault="0013512F" w:rsidP="0013512F">
      <w:pPr>
        <w:pStyle w:val="bt"/>
        <w:numPr>
          <w:ilvl w:val="0"/>
          <w:numId w:val="33"/>
        </w:numPr>
        <w:spacing w:before="120" w:after="120"/>
        <w:ind w:hanging="357"/>
      </w:pPr>
      <w:r>
        <w:t>2031</w:t>
      </w:r>
    </w:p>
    <w:p w:rsidR="0013512F" w:rsidRDefault="0013512F" w:rsidP="0013512F">
      <w:pPr>
        <w:pStyle w:val="bt"/>
        <w:numPr>
          <w:ilvl w:val="0"/>
          <w:numId w:val="36"/>
        </w:numPr>
        <w:spacing w:before="120" w:after="120"/>
        <w:ind w:left="1134" w:hanging="357"/>
      </w:pPr>
      <w:r>
        <w:t xml:space="preserve">Over 60 – </w:t>
      </w:r>
      <w:r>
        <w:rPr>
          <w:rFonts w:eastAsia="Times New Roman" w:cs="Calibri"/>
        </w:rPr>
        <w:t>6</w:t>
      </w:r>
      <w:r w:rsidRPr="003935C1">
        <w:rPr>
          <w:rFonts w:eastAsia="Times New Roman" w:cs="Calibri"/>
        </w:rPr>
        <w:t>117</w:t>
      </w:r>
    </w:p>
    <w:p w:rsidR="0013512F" w:rsidRDefault="0013512F" w:rsidP="0013512F">
      <w:pPr>
        <w:pStyle w:val="bt"/>
        <w:numPr>
          <w:ilvl w:val="0"/>
          <w:numId w:val="36"/>
        </w:numPr>
        <w:spacing w:before="120" w:after="120"/>
        <w:ind w:left="1134" w:hanging="357"/>
      </w:pPr>
      <w:r>
        <w:t xml:space="preserve">Percentage over 60 – </w:t>
      </w:r>
      <w:r w:rsidRPr="003935C1">
        <w:rPr>
          <w:rFonts w:eastAsia="Times New Roman" w:cs="Calibri"/>
        </w:rPr>
        <w:t>43.73</w:t>
      </w:r>
    </w:p>
    <w:p w:rsidR="0013512F" w:rsidRPr="0013512F" w:rsidRDefault="0013512F" w:rsidP="0013512F">
      <w:pPr>
        <w:pStyle w:val="bt"/>
        <w:numPr>
          <w:ilvl w:val="0"/>
          <w:numId w:val="33"/>
        </w:numPr>
        <w:spacing w:before="120" w:after="120"/>
        <w:ind w:hanging="357"/>
      </w:pPr>
      <w:r>
        <w:t xml:space="preserve">Increase 2011-2031 – </w:t>
      </w:r>
      <w:r>
        <w:rPr>
          <w:rFonts w:eastAsia="Times New Roman" w:cs="Calibri"/>
        </w:rPr>
        <w:t>1</w:t>
      </w:r>
      <w:r w:rsidRPr="003935C1">
        <w:rPr>
          <w:rFonts w:eastAsia="Times New Roman" w:cs="Calibri"/>
        </w:rPr>
        <w:t>991</w:t>
      </w:r>
    </w:p>
    <w:p w:rsidR="0013512F" w:rsidRDefault="0013512F" w:rsidP="0013512F">
      <w:pPr>
        <w:pStyle w:val="bt"/>
        <w:spacing w:after="120"/>
        <w:rPr>
          <w:rFonts w:eastAsia="Times New Roman" w:cs="Calibri"/>
        </w:rPr>
      </w:pPr>
      <w:r w:rsidRPr="000D5E85">
        <w:rPr>
          <w:rFonts w:eastAsia="Times New Roman" w:cs="Calibri"/>
        </w:rPr>
        <w:t>Golden Plains</w:t>
      </w:r>
    </w:p>
    <w:p w:rsidR="0013512F" w:rsidRDefault="0013512F" w:rsidP="0013512F">
      <w:pPr>
        <w:pStyle w:val="bt"/>
        <w:numPr>
          <w:ilvl w:val="0"/>
          <w:numId w:val="33"/>
        </w:numPr>
        <w:spacing w:before="120" w:after="120"/>
        <w:ind w:hanging="357"/>
      </w:pPr>
      <w:r>
        <w:t>2011</w:t>
      </w:r>
    </w:p>
    <w:p w:rsidR="0013512F" w:rsidRDefault="0013512F" w:rsidP="0013512F">
      <w:pPr>
        <w:pStyle w:val="bt"/>
        <w:numPr>
          <w:ilvl w:val="0"/>
          <w:numId w:val="35"/>
        </w:numPr>
        <w:spacing w:before="120" w:after="120"/>
        <w:ind w:left="1134" w:hanging="357"/>
      </w:pPr>
      <w:r>
        <w:t xml:space="preserve">Over 60 – </w:t>
      </w:r>
      <w:r>
        <w:rPr>
          <w:rFonts w:eastAsia="Times New Roman" w:cs="Calibri"/>
        </w:rPr>
        <w:t>3</w:t>
      </w:r>
      <w:r w:rsidRPr="003935C1">
        <w:rPr>
          <w:rFonts w:eastAsia="Times New Roman" w:cs="Calibri"/>
        </w:rPr>
        <w:t>274</w:t>
      </w:r>
    </w:p>
    <w:p w:rsidR="0013512F" w:rsidRDefault="0013512F" w:rsidP="0013512F">
      <w:pPr>
        <w:pStyle w:val="bt"/>
        <w:numPr>
          <w:ilvl w:val="0"/>
          <w:numId w:val="35"/>
        </w:numPr>
        <w:spacing w:before="120" w:after="120"/>
        <w:ind w:left="1134" w:hanging="357"/>
      </w:pPr>
      <w:r>
        <w:t xml:space="preserve">Percentage over 60 – </w:t>
      </w:r>
      <w:r w:rsidRPr="003935C1">
        <w:rPr>
          <w:rFonts w:eastAsia="Times New Roman" w:cs="Calibri"/>
        </w:rPr>
        <w:t>17.22</w:t>
      </w:r>
    </w:p>
    <w:p w:rsidR="0013512F" w:rsidRDefault="0013512F" w:rsidP="0013512F">
      <w:pPr>
        <w:pStyle w:val="bt"/>
        <w:numPr>
          <w:ilvl w:val="0"/>
          <w:numId w:val="33"/>
        </w:numPr>
        <w:spacing w:before="120" w:after="120"/>
        <w:ind w:hanging="357"/>
      </w:pPr>
      <w:r>
        <w:t>2031</w:t>
      </w:r>
    </w:p>
    <w:p w:rsidR="0013512F" w:rsidRDefault="0013512F" w:rsidP="0013512F">
      <w:pPr>
        <w:pStyle w:val="bt"/>
        <w:numPr>
          <w:ilvl w:val="0"/>
          <w:numId w:val="36"/>
        </w:numPr>
        <w:spacing w:before="120" w:after="120"/>
        <w:ind w:left="1134" w:hanging="357"/>
      </w:pPr>
      <w:r>
        <w:t xml:space="preserve">Over 60 – </w:t>
      </w:r>
      <w:r>
        <w:rPr>
          <w:rFonts w:eastAsia="Times New Roman" w:cs="Calibri"/>
        </w:rPr>
        <w:t>7</w:t>
      </w:r>
      <w:r w:rsidRPr="003935C1">
        <w:rPr>
          <w:rFonts w:eastAsia="Times New Roman" w:cs="Calibri"/>
        </w:rPr>
        <w:t>195</w:t>
      </w:r>
    </w:p>
    <w:p w:rsidR="0013512F" w:rsidRDefault="0013512F" w:rsidP="0013512F">
      <w:pPr>
        <w:pStyle w:val="bt"/>
        <w:numPr>
          <w:ilvl w:val="0"/>
          <w:numId w:val="36"/>
        </w:numPr>
        <w:spacing w:before="120" w:after="120"/>
        <w:ind w:left="1134" w:hanging="357"/>
      </w:pPr>
      <w:r>
        <w:t xml:space="preserve">Percentage over 60 – </w:t>
      </w:r>
      <w:r w:rsidRPr="003935C1">
        <w:rPr>
          <w:rFonts w:eastAsia="Times New Roman" w:cs="Calibri"/>
        </w:rPr>
        <w:t>26.78</w:t>
      </w:r>
    </w:p>
    <w:p w:rsidR="0013512F" w:rsidRPr="0013512F" w:rsidRDefault="0013512F" w:rsidP="0013512F">
      <w:pPr>
        <w:pStyle w:val="bt"/>
        <w:numPr>
          <w:ilvl w:val="0"/>
          <w:numId w:val="33"/>
        </w:numPr>
        <w:spacing w:before="120" w:after="120"/>
        <w:ind w:hanging="357"/>
      </w:pPr>
      <w:r>
        <w:t xml:space="preserve">Increase 2011-2031 – </w:t>
      </w:r>
      <w:r>
        <w:rPr>
          <w:rFonts w:eastAsia="Times New Roman" w:cs="Calibri"/>
        </w:rPr>
        <w:t>3</w:t>
      </w:r>
      <w:r w:rsidRPr="003935C1">
        <w:rPr>
          <w:rFonts w:eastAsia="Times New Roman" w:cs="Calibri"/>
        </w:rPr>
        <w:t>921</w:t>
      </w:r>
    </w:p>
    <w:p w:rsidR="0013512F" w:rsidRDefault="0013512F" w:rsidP="0013512F">
      <w:pPr>
        <w:pStyle w:val="bt"/>
        <w:spacing w:after="120"/>
        <w:rPr>
          <w:rFonts w:eastAsia="Times New Roman" w:cs="Calibri"/>
        </w:rPr>
      </w:pPr>
      <w:r w:rsidRPr="000D5E85">
        <w:rPr>
          <w:rFonts w:eastAsia="Times New Roman" w:cs="Calibri"/>
        </w:rPr>
        <w:t>Hepburn</w:t>
      </w:r>
    </w:p>
    <w:p w:rsidR="0013512F" w:rsidRDefault="0013512F" w:rsidP="0013512F">
      <w:pPr>
        <w:pStyle w:val="bt"/>
        <w:numPr>
          <w:ilvl w:val="0"/>
          <w:numId w:val="33"/>
        </w:numPr>
        <w:spacing w:before="120" w:after="120"/>
        <w:ind w:hanging="357"/>
      </w:pPr>
      <w:r>
        <w:t>2011</w:t>
      </w:r>
    </w:p>
    <w:p w:rsidR="0013512F" w:rsidRDefault="0013512F" w:rsidP="0013512F">
      <w:pPr>
        <w:pStyle w:val="bt"/>
        <w:numPr>
          <w:ilvl w:val="0"/>
          <w:numId w:val="35"/>
        </w:numPr>
        <w:spacing w:before="120" w:after="120"/>
        <w:ind w:left="1134" w:hanging="357"/>
      </w:pPr>
      <w:r>
        <w:t xml:space="preserve">Over 60 – </w:t>
      </w:r>
      <w:r>
        <w:rPr>
          <w:rFonts w:eastAsia="Times New Roman" w:cs="Calibri"/>
        </w:rPr>
        <w:t>3</w:t>
      </w:r>
      <w:r w:rsidRPr="003935C1">
        <w:rPr>
          <w:rFonts w:eastAsia="Times New Roman" w:cs="Calibri"/>
        </w:rPr>
        <w:t>902</w:t>
      </w:r>
    </w:p>
    <w:p w:rsidR="0013512F" w:rsidRDefault="0013512F" w:rsidP="0013512F">
      <w:pPr>
        <w:pStyle w:val="bt"/>
        <w:numPr>
          <w:ilvl w:val="0"/>
          <w:numId w:val="35"/>
        </w:numPr>
        <w:spacing w:before="120" w:after="120"/>
        <w:ind w:left="1134" w:hanging="357"/>
      </w:pPr>
      <w:r>
        <w:lastRenderedPageBreak/>
        <w:t xml:space="preserve">Percentage over 60 – </w:t>
      </w:r>
      <w:r w:rsidRPr="003935C1">
        <w:rPr>
          <w:rFonts w:eastAsia="Times New Roman" w:cs="Calibri"/>
        </w:rPr>
        <w:t>25.98</w:t>
      </w:r>
    </w:p>
    <w:p w:rsidR="0013512F" w:rsidRDefault="0013512F" w:rsidP="0013512F">
      <w:pPr>
        <w:pStyle w:val="bt"/>
        <w:numPr>
          <w:ilvl w:val="0"/>
          <w:numId w:val="33"/>
        </w:numPr>
        <w:spacing w:before="120" w:after="120"/>
        <w:ind w:hanging="357"/>
      </w:pPr>
      <w:r>
        <w:t>2031</w:t>
      </w:r>
    </w:p>
    <w:p w:rsidR="0013512F" w:rsidRDefault="0013512F" w:rsidP="0013512F">
      <w:pPr>
        <w:pStyle w:val="bt"/>
        <w:numPr>
          <w:ilvl w:val="0"/>
          <w:numId w:val="36"/>
        </w:numPr>
        <w:spacing w:before="120" w:after="120"/>
        <w:ind w:left="1134" w:hanging="357"/>
      </w:pPr>
      <w:r>
        <w:t xml:space="preserve">Over 60 – </w:t>
      </w:r>
      <w:r>
        <w:rPr>
          <w:rFonts w:eastAsia="Times New Roman" w:cs="Calibri"/>
        </w:rPr>
        <w:t>6</w:t>
      </w:r>
      <w:r w:rsidRPr="003935C1">
        <w:rPr>
          <w:rFonts w:eastAsia="Times New Roman" w:cs="Calibri"/>
        </w:rPr>
        <w:t>445</w:t>
      </w:r>
    </w:p>
    <w:p w:rsidR="0013512F" w:rsidRDefault="0013512F" w:rsidP="0013512F">
      <w:pPr>
        <w:pStyle w:val="bt"/>
        <w:numPr>
          <w:ilvl w:val="0"/>
          <w:numId w:val="36"/>
        </w:numPr>
        <w:spacing w:before="120" w:after="120"/>
        <w:ind w:left="1134" w:hanging="357"/>
      </w:pPr>
      <w:r>
        <w:t xml:space="preserve">Percentage over 60 – </w:t>
      </w:r>
      <w:r w:rsidRPr="003935C1">
        <w:rPr>
          <w:rFonts w:eastAsia="Times New Roman" w:cs="Calibri"/>
        </w:rPr>
        <w:t>34.70</w:t>
      </w:r>
    </w:p>
    <w:p w:rsidR="0013512F" w:rsidRPr="0013512F" w:rsidRDefault="0013512F" w:rsidP="0013512F">
      <w:pPr>
        <w:pStyle w:val="bt"/>
        <w:numPr>
          <w:ilvl w:val="0"/>
          <w:numId w:val="33"/>
        </w:numPr>
        <w:spacing w:before="120" w:after="120"/>
        <w:ind w:hanging="357"/>
      </w:pPr>
      <w:r>
        <w:t xml:space="preserve">Increase 2011-2031 – </w:t>
      </w:r>
      <w:r>
        <w:rPr>
          <w:rFonts w:eastAsia="Times New Roman" w:cs="Calibri"/>
        </w:rPr>
        <w:t>2</w:t>
      </w:r>
      <w:r w:rsidRPr="003935C1">
        <w:rPr>
          <w:rFonts w:eastAsia="Times New Roman" w:cs="Calibri"/>
        </w:rPr>
        <w:t>543</w:t>
      </w:r>
    </w:p>
    <w:p w:rsidR="0013512F" w:rsidRDefault="0013512F" w:rsidP="0013512F">
      <w:pPr>
        <w:pStyle w:val="bt"/>
        <w:spacing w:after="120"/>
        <w:rPr>
          <w:rFonts w:eastAsia="Times New Roman" w:cs="Calibri"/>
        </w:rPr>
      </w:pPr>
      <w:r w:rsidRPr="000D5E85">
        <w:rPr>
          <w:rFonts w:eastAsia="Times New Roman" w:cs="Calibri"/>
        </w:rPr>
        <w:t>Moorabool</w:t>
      </w:r>
    </w:p>
    <w:p w:rsidR="0013512F" w:rsidRDefault="0013512F" w:rsidP="0013512F">
      <w:pPr>
        <w:pStyle w:val="bt"/>
        <w:numPr>
          <w:ilvl w:val="0"/>
          <w:numId w:val="33"/>
        </w:numPr>
        <w:spacing w:before="120" w:after="120"/>
        <w:ind w:hanging="357"/>
      </w:pPr>
      <w:r>
        <w:t>2011</w:t>
      </w:r>
    </w:p>
    <w:p w:rsidR="0013512F" w:rsidRDefault="0013512F" w:rsidP="0013512F">
      <w:pPr>
        <w:pStyle w:val="bt"/>
        <w:numPr>
          <w:ilvl w:val="0"/>
          <w:numId w:val="35"/>
        </w:numPr>
        <w:spacing w:before="120" w:after="120"/>
        <w:ind w:left="1134" w:hanging="357"/>
      </w:pPr>
      <w:r>
        <w:t xml:space="preserve">Over 60 – </w:t>
      </w:r>
      <w:r>
        <w:rPr>
          <w:rFonts w:eastAsia="Times New Roman" w:cs="Calibri"/>
        </w:rPr>
        <w:t>5</w:t>
      </w:r>
      <w:r w:rsidRPr="003935C1">
        <w:rPr>
          <w:rFonts w:eastAsia="Times New Roman" w:cs="Calibri"/>
        </w:rPr>
        <w:t>387</w:t>
      </w:r>
    </w:p>
    <w:p w:rsidR="0013512F" w:rsidRDefault="0013512F" w:rsidP="0013512F">
      <w:pPr>
        <w:pStyle w:val="bt"/>
        <w:numPr>
          <w:ilvl w:val="0"/>
          <w:numId w:val="35"/>
        </w:numPr>
        <w:spacing w:before="120" w:after="120"/>
        <w:ind w:left="1134" w:hanging="357"/>
      </w:pPr>
      <w:r>
        <w:t xml:space="preserve">Percentage over 60 – </w:t>
      </w:r>
      <w:r w:rsidRPr="003935C1">
        <w:rPr>
          <w:rFonts w:eastAsia="Times New Roman" w:cs="Calibri"/>
        </w:rPr>
        <w:t>18.32</w:t>
      </w:r>
    </w:p>
    <w:p w:rsidR="0013512F" w:rsidRDefault="0013512F" w:rsidP="0013512F">
      <w:pPr>
        <w:pStyle w:val="bt"/>
        <w:numPr>
          <w:ilvl w:val="0"/>
          <w:numId w:val="33"/>
        </w:numPr>
        <w:spacing w:before="120" w:after="120"/>
        <w:ind w:hanging="357"/>
      </w:pPr>
      <w:r>
        <w:t>2031</w:t>
      </w:r>
    </w:p>
    <w:p w:rsidR="0013512F" w:rsidRDefault="0013512F" w:rsidP="0013512F">
      <w:pPr>
        <w:pStyle w:val="bt"/>
        <w:numPr>
          <w:ilvl w:val="0"/>
          <w:numId w:val="36"/>
        </w:numPr>
        <w:spacing w:before="120" w:after="120"/>
        <w:ind w:left="1134" w:hanging="357"/>
      </w:pPr>
      <w:r>
        <w:t xml:space="preserve">Over 60 – </w:t>
      </w:r>
      <w:r w:rsidRPr="003935C1">
        <w:rPr>
          <w:rFonts w:eastAsia="Times New Roman" w:cs="Calibri"/>
        </w:rPr>
        <w:t>11,491</w:t>
      </w:r>
    </w:p>
    <w:p w:rsidR="0013512F" w:rsidRDefault="0013512F" w:rsidP="0013512F">
      <w:pPr>
        <w:pStyle w:val="bt"/>
        <w:numPr>
          <w:ilvl w:val="0"/>
          <w:numId w:val="36"/>
        </w:numPr>
        <w:spacing w:before="120" w:after="120"/>
        <w:ind w:left="1134" w:hanging="357"/>
      </w:pPr>
      <w:r>
        <w:t xml:space="preserve">Percentage over 60 – </w:t>
      </w:r>
      <w:r w:rsidRPr="003935C1">
        <w:rPr>
          <w:rFonts w:eastAsia="Times New Roman" w:cs="Calibri"/>
        </w:rPr>
        <w:t>26.45</w:t>
      </w:r>
    </w:p>
    <w:p w:rsidR="0013512F" w:rsidRPr="0013512F" w:rsidRDefault="0013512F" w:rsidP="0013512F">
      <w:pPr>
        <w:pStyle w:val="bt"/>
        <w:numPr>
          <w:ilvl w:val="0"/>
          <w:numId w:val="33"/>
        </w:numPr>
        <w:spacing w:before="120" w:after="120"/>
        <w:ind w:hanging="357"/>
      </w:pPr>
      <w:r>
        <w:t xml:space="preserve">Increase 2011-2031 – </w:t>
      </w:r>
      <w:r>
        <w:rPr>
          <w:rFonts w:eastAsia="Times New Roman" w:cs="Calibri"/>
        </w:rPr>
        <w:t>6</w:t>
      </w:r>
      <w:r w:rsidRPr="003935C1">
        <w:rPr>
          <w:rFonts w:eastAsia="Times New Roman" w:cs="Calibri"/>
        </w:rPr>
        <w:t>104</w:t>
      </w:r>
    </w:p>
    <w:p w:rsidR="0013512F" w:rsidRDefault="0013512F" w:rsidP="0013512F">
      <w:pPr>
        <w:pStyle w:val="bt"/>
        <w:spacing w:after="120"/>
        <w:rPr>
          <w:rFonts w:eastAsia="Times New Roman" w:cs="Calibri"/>
        </w:rPr>
      </w:pPr>
      <w:r w:rsidRPr="000D5E85">
        <w:rPr>
          <w:rFonts w:eastAsia="Times New Roman" w:cs="Calibri"/>
        </w:rPr>
        <w:t>Northern Grampians</w:t>
      </w:r>
    </w:p>
    <w:p w:rsidR="0013512F" w:rsidRDefault="0013512F" w:rsidP="0013512F">
      <w:pPr>
        <w:pStyle w:val="bt"/>
        <w:numPr>
          <w:ilvl w:val="0"/>
          <w:numId w:val="33"/>
        </w:numPr>
        <w:spacing w:before="120" w:after="120"/>
        <w:ind w:hanging="357"/>
      </w:pPr>
      <w:r>
        <w:t>2011</w:t>
      </w:r>
    </w:p>
    <w:p w:rsidR="0013512F" w:rsidRDefault="0013512F" w:rsidP="0013512F">
      <w:pPr>
        <w:pStyle w:val="bt"/>
        <w:numPr>
          <w:ilvl w:val="0"/>
          <w:numId w:val="35"/>
        </w:numPr>
        <w:spacing w:before="120" w:after="120"/>
        <w:ind w:left="1134" w:hanging="357"/>
      </w:pPr>
      <w:r>
        <w:t xml:space="preserve">Over 60 – </w:t>
      </w:r>
      <w:r>
        <w:rPr>
          <w:rFonts w:eastAsia="Times New Roman" w:cs="Calibri"/>
        </w:rPr>
        <w:t>3</w:t>
      </w:r>
      <w:r w:rsidRPr="003935C1">
        <w:rPr>
          <w:rFonts w:eastAsia="Times New Roman" w:cs="Calibri"/>
        </w:rPr>
        <w:t>333</w:t>
      </w:r>
    </w:p>
    <w:p w:rsidR="0013512F" w:rsidRDefault="0013512F" w:rsidP="0013512F">
      <w:pPr>
        <w:pStyle w:val="bt"/>
        <w:numPr>
          <w:ilvl w:val="0"/>
          <w:numId w:val="35"/>
        </w:numPr>
        <w:spacing w:before="120" w:after="120"/>
        <w:ind w:left="1134" w:hanging="357"/>
      </w:pPr>
      <w:r>
        <w:t xml:space="preserve">Percentage over 60 – </w:t>
      </w:r>
      <w:r w:rsidRPr="003935C1">
        <w:rPr>
          <w:rFonts w:eastAsia="Times New Roman" w:cs="Calibri"/>
        </w:rPr>
        <w:t>27.33</w:t>
      </w:r>
    </w:p>
    <w:p w:rsidR="0013512F" w:rsidRDefault="0013512F" w:rsidP="0013512F">
      <w:pPr>
        <w:pStyle w:val="bt"/>
        <w:numPr>
          <w:ilvl w:val="0"/>
          <w:numId w:val="33"/>
        </w:numPr>
        <w:spacing w:before="120" w:after="120"/>
        <w:ind w:hanging="357"/>
      </w:pPr>
      <w:r>
        <w:t>2031</w:t>
      </w:r>
    </w:p>
    <w:p w:rsidR="0013512F" w:rsidRDefault="0013512F" w:rsidP="0013512F">
      <w:pPr>
        <w:pStyle w:val="bt"/>
        <w:numPr>
          <w:ilvl w:val="0"/>
          <w:numId w:val="36"/>
        </w:numPr>
        <w:spacing w:before="120" w:after="120"/>
        <w:ind w:left="1134" w:hanging="357"/>
      </w:pPr>
      <w:r>
        <w:t xml:space="preserve">Over 60 – </w:t>
      </w:r>
      <w:r>
        <w:rPr>
          <w:rFonts w:eastAsia="Times New Roman" w:cs="Calibri"/>
        </w:rPr>
        <w:t>4</w:t>
      </w:r>
      <w:r w:rsidRPr="003935C1">
        <w:rPr>
          <w:rFonts w:eastAsia="Times New Roman" w:cs="Calibri"/>
        </w:rPr>
        <w:t>740</w:t>
      </w:r>
    </w:p>
    <w:p w:rsidR="0013512F" w:rsidRDefault="0013512F" w:rsidP="0013512F">
      <w:pPr>
        <w:pStyle w:val="bt"/>
        <w:numPr>
          <w:ilvl w:val="0"/>
          <w:numId w:val="36"/>
        </w:numPr>
        <w:spacing w:before="120" w:after="120"/>
        <w:ind w:left="1134" w:hanging="357"/>
      </w:pPr>
      <w:r>
        <w:t xml:space="preserve">Percentage over 60 – </w:t>
      </w:r>
      <w:r w:rsidRPr="003935C1">
        <w:rPr>
          <w:rFonts w:eastAsia="Times New Roman" w:cs="Calibri"/>
        </w:rPr>
        <w:t>39.03</w:t>
      </w:r>
    </w:p>
    <w:p w:rsidR="0013512F" w:rsidRPr="0013512F" w:rsidRDefault="0013512F" w:rsidP="0013512F">
      <w:pPr>
        <w:pStyle w:val="bt"/>
        <w:numPr>
          <w:ilvl w:val="0"/>
          <w:numId w:val="33"/>
        </w:numPr>
        <w:spacing w:before="120" w:after="120"/>
        <w:ind w:hanging="357"/>
      </w:pPr>
      <w:r>
        <w:t xml:space="preserve">Increase 2011-2031 – </w:t>
      </w:r>
      <w:r>
        <w:rPr>
          <w:rFonts w:eastAsia="Times New Roman" w:cs="Calibri"/>
        </w:rPr>
        <w:t>1</w:t>
      </w:r>
      <w:r w:rsidRPr="003935C1">
        <w:rPr>
          <w:rFonts w:eastAsia="Times New Roman" w:cs="Calibri"/>
        </w:rPr>
        <w:t>407</w:t>
      </w:r>
    </w:p>
    <w:p w:rsidR="0013512F" w:rsidRDefault="0013512F" w:rsidP="0013512F">
      <w:pPr>
        <w:pStyle w:val="bt"/>
        <w:spacing w:after="120"/>
        <w:rPr>
          <w:rFonts w:eastAsia="Times New Roman" w:cs="Calibri"/>
        </w:rPr>
      </w:pPr>
      <w:r w:rsidRPr="000D5E85">
        <w:rPr>
          <w:rFonts w:eastAsia="Times New Roman" w:cs="Calibri"/>
        </w:rPr>
        <w:t>Pyrenees</w:t>
      </w:r>
    </w:p>
    <w:p w:rsidR="0013512F" w:rsidRDefault="0013512F" w:rsidP="0013512F">
      <w:pPr>
        <w:pStyle w:val="bt"/>
        <w:numPr>
          <w:ilvl w:val="0"/>
          <w:numId w:val="33"/>
        </w:numPr>
        <w:spacing w:before="120" w:after="120"/>
        <w:ind w:hanging="357"/>
      </w:pPr>
      <w:r>
        <w:t>2011</w:t>
      </w:r>
    </w:p>
    <w:p w:rsidR="0013512F" w:rsidRDefault="0013512F" w:rsidP="0013512F">
      <w:pPr>
        <w:pStyle w:val="bt"/>
        <w:numPr>
          <w:ilvl w:val="0"/>
          <w:numId w:val="35"/>
        </w:numPr>
        <w:spacing w:before="120" w:after="120"/>
        <w:ind w:left="1134" w:hanging="357"/>
      </w:pPr>
      <w:r>
        <w:t xml:space="preserve">Over 60 – </w:t>
      </w:r>
      <w:r>
        <w:rPr>
          <w:rFonts w:eastAsia="Times New Roman" w:cs="Calibri"/>
        </w:rPr>
        <w:t>2</w:t>
      </w:r>
      <w:r w:rsidRPr="003935C1">
        <w:rPr>
          <w:rFonts w:eastAsia="Times New Roman" w:cs="Calibri"/>
        </w:rPr>
        <w:t>069</w:t>
      </w:r>
    </w:p>
    <w:p w:rsidR="0013512F" w:rsidRDefault="0013512F" w:rsidP="0013512F">
      <w:pPr>
        <w:pStyle w:val="bt"/>
        <w:numPr>
          <w:ilvl w:val="0"/>
          <w:numId w:val="35"/>
        </w:numPr>
        <w:spacing w:before="120" w:after="120"/>
        <w:ind w:left="1134" w:hanging="357"/>
      </w:pPr>
      <w:r>
        <w:t xml:space="preserve">Percentage over 60 – </w:t>
      </w:r>
      <w:r w:rsidRPr="003935C1">
        <w:rPr>
          <w:rFonts w:eastAsia="Times New Roman" w:cs="Calibri"/>
        </w:rPr>
        <w:t>29.89</w:t>
      </w:r>
    </w:p>
    <w:p w:rsidR="0013512F" w:rsidRDefault="0013512F" w:rsidP="0013512F">
      <w:pPr>
        <w:pStyle w:val="bt"/>
        <w:numPr>
          <w:ilvl w:val="0"/>
          <w:numId w:val="33"/>
        </w:numPr>
        <w:spacing w:before="120" w:after="120"/>
        <w:ind w:hanging="357"/>
      </w:pPr>
      <w:r>
        <w:t>2031</w:t>
      </w:r>
    </w:p>
    <w:p w:rsidR="0013512F" w:rsidRDefault="0013512F" w:rsidP="0013512F">
      <w:pPr>
        <w:pStyle w:val="bt"/>
        <w:numPr>
          <w:ilvl w:val="0"/>
          <w:numId w:val="36"/>
        </w:numPr>
        <w:spacing w:before="120" w:after="120"/>
        <w:ind w:left="1134" w:hanging="357"/>
      </w:pPr>
      <w:r>
        <w:t xml:space="preserve">Over 60 – </w:t>
      </w:r>
      <w:r>
        <w:rPr>
          <w:rFonts w:eastAsia="Times New Roman" w:cs="Calibri"/>
        </w:rPr>
        <w:t>3</w:t>
      </w:r>
      <w:r w:rsidRPr="003935C1">
        <w:rPr>
          <w:rFonts w:eastAsia="Times New Roman" w:cs="Calibri"/>
        </w:rPr>
        <w:t>055</w:t>
      </w:r>
    </w:p>
    <w:p w:rsidR="0013512F" w:rsidRDefault="0013512F" w:rsidP="0013512F">
      <w:pPr>
        <w:pStyle w:val="bt"/>
        <w:numPr>
          <w:ilvl w:val="0"/>
          <w:numId w:val="36"/>
        </w:numPr>
        <w:spacing w:before="120" w:after="120"/>
        <w:ind w:left="1134" w:hanging="357"/>
      </w:pPr>
      <w:r>
        <w:t xml:space="preserve">Percentage over 60 – </w:t>
      </w:r>
      <w:r w:rsidRPr="003935C1">
        <w:rPr>
          <w:rFonts w:eastAsia="Times New Roman" w:cs="Calibri"/>
        </w:rPr>
        <w:t>38.52</w:t>
      </w:r>
    </w:p>
    <w:p w:rsidR="0013512F" w:rsidRPr="0013512F" w:rsidRDefault="0013512F" w:rsidP="0013512F">
      <w:pPr>
        <w:pStyle w:val="bt"/>
        <w:numPr>
          <w:ilvl w:val="0"/>
          <w:numId w:val="33"/>
        </w:numPr>
        <w:spacing w:before="120" w:after="120"/>
        <w:ind w:hanging="357"/>
      </w:pPr>
      <w:r>
        <w:t xml:space="preserve">Increase 2011-2031 – </w:t>
      </w:r>
      <w:r w:rsidRPr="003935C1">
        <w:rPr>
          <w:rFonts w:eastAsia="Times New Roman" w:cs="Calibri"/>
        </w:rPr>
        <w:t>986</w:t>
      </w:r>
    </w:p>
    <w:p w:rsidR="0013512F" w:rsidRDefault="0013512F" w:rsidP="0013512F">
      <w:pPr>
        <w:pStyle w:val="bt"/>
        <w:spacing w:after="120"/>
        <w:rPr>
          <w:rFonts w:eastAsia="Times New Roman" w:cs="Calibri"/>
        </w:rPr>
      </w:pPr>
      <w:r>
        <w:rPr>
          <w:rFonts w:eastAsia="Times New Roman" w:cs="Calibri"/>
        </w:rPr>
        <w:t>Total</w:t>
      </w:r>
    </w:p>
    <w:p w:rsidR="0013512F" w:rsidRDefault="0013512F" w:rsidP="0013512F">
      <w:pPr>
        <w:pStyle w:val="bt"/>
        <w:numPr>
          <w:ilvl w:val="0"/>
          <w:numId w:val="33"/>
        </w:numPr>
        <w:spacing w:before="120" w:after="120"/>
        <w:ind w:hanging="357"/>
      </w:pPr>
      <w:r>
        <w:t>2011</w:t>
      </w:r>
    </w:p>
    <w:p w:rsidR="0013512F" w:rsidRPr="0013512F" w:rsidRDefault="0013512F" w:rsidP="0013512F">
      <w:pPr>
        <w:pStyle w:val="bt"/>
        <w:numPr>
          <w:ilvl w:val="0"/>
          <w:numId w:val="35"/>
        </w:numPr>
        <w:spacing w:before="120" w:after="120"/>
        <w:ind w:left="1134" w:hanging="357"/>
      </w:pPr>
      <w:r w:rsidRPr="0013512F">
        <w:t xml:space="preserve">Over 60 – </w:t>
      </w:r>
      <w:r w:rsidRPr="0013512F">
        <w:rPr>
          <w:color w:val="000000" w:themeColor="text1"/>
        </w:rPr>
        <w:t>45,202</w:t>
      </w:r>
    </w:p>
    <w:p w:rsidR="0013512F" w:rsidRPr="0013512F" w:rsidRDefault="0013512F" w:rsidP="0013512F">
      <w:pPr>
        <w:pStyle w:val="bt"/>
        <w:numPr>
          <w:ilvl w:val="0"/>
          <w:numId w:val="33"/>
        </w:numPr>
        <w:spacing w:before="120" w:after="120"/>
        <w:ind w:hanging="357"/>
      </w:pPr>
      <w:r w:rsidRPr="0013512F">
        <w:t>2031</w:t>
      </w:r>
    </w:p>
    <w:p w:rsidR="0013512F" w:rsidRPr="0013512F" w:rsidRDefault="0013512F" w:rsidP="0013512F">
      <w:pPr>
        <w:pStyle w:val="bt"/>
        <w:numPr>
          <w:ilvl w:val="0"/>
          <w:numId w:val="36"/>
        </w:numPr>
        <w:spacing w:before="120" w:after="120"/>
        <w:ind w:left="1134" w:hanging="357"/>
      </w:pPr>
      <w:r w:rsidRPr="0013512F">
        <w:t xml:space="preserve">Over 60 – </w:t>
      </w:r>
      <w:r w:rsidRPr="0013512F">
        <w:rPr>
          <w:color w:val="000000" w:themeColor="text1"/>
        </w:rPr>
        <w:t>80,071</w:t>
      </w:r>
    </w:p>
    <w:p w:rsidR="0013512F" w:rsidRDefault="0013512F" w:rsidP="00070916">
      <w:pPr>
        <w:pStyle w:val="bt"/>
        <w:numPr>
          <w:ilvl w:val="0"/>
          <w:numId w:val="33"/>
        </w:numPr>
        <w:spacing w:before="120" w:after="120"/>
        <w:ind w:hanging="357"/>
      </w:pPr>
      <w:r w:rsidRPr="0013512F">
        <w:t xml:space="preserve">Increase 2011-2031 – </w:t>
      </w:r>
      <w:r w:rsidRPr="0013512F">
        <w:rPr>
          <w:color w:val="000000" w:themeColor="text1"/>
        </w:rPr>
        <w:t>34,869</w:t>
      </w:r>
    </w:p>
    <w:p w:rsidR="00C820C0" w:rsidRDefault="008C563B" w:rsidP="00070916">
      <w:pPr>
        <w:pStyle w:val="Source0"/>
        <w:rPr>
          <w:szCs w:val="20"/>
        </w:rPr>
      </w:pPr>
      <w:r>
        <w:t>S</w:t>
      </w:r>
      <w:r w:rsidRPr="008F1881">
        <w:t>ource: V</w:t>
      </w:r>
      <w:r>
        <w:t xml:space="preserve">ictoria in Future </w:t>
      </w:r>
      <w:r w:rsidRPr="008F1881">
        <w:t>2012</w:t>
      </w:r>
    </w:p>
    <w:p w:rsidR="00DF59B4" w:rsidRDefault="00B055FA" w:rsidP="00DA6342">
      <w:pPr>
        <w:pStyle w:val="bt"/>
      </w:pPr>
      <w:r w:rsidRPr="008F1881">
        <w:lastRenderedPageBreak/>
        <w:t xml:space="preserve">Key directions to address this changing demographic, identified </w:t>
      </w:r>
      <w:r w:rsidR="00B679B9">
        <w:t xml:space="preserve">in </w:t>
      </w:r>
      <w:r w:rsidRPr="008F1881">
        <w:t xml:space="preserve">the </w:t>
      </w:r>
      <w:r w:rsidR="0069443A" w:rsidRPr="000B40E8">
        <w:t>Central Highlands Regional Strategic Plan</w:t>
      </w:r>
      <w:r w:rsidRPr="008F1881">
        <w:t>, revolve around coordinated land use and growth management planning in Ballarat and in the peri-urban areas, aligning infrastructure, service and land use priorities with the changing population base, retaining and attracting skilled young workers and migrants, and enhancing transport linkages with Melbourne and intra-regionally.</w:t>
      </w:r>
    </w:p>
    <w:p w:rsidR="008F1881" w:rsidRPr="00722D9B" w:rsidRDefault="009F09AE" w:rsidP="00722D9B">
      <w:pPr>
        <w:pStyle w:val="Heading40"/>
      </w:pPr>
      <w:r w:rsidRPr="00722D9B">
        <w:t>Youth out-migration</w:t>
      </w:r>
    </w:p>
    <w:p w:rsidR="00B055FA" w:rsidRPr="008F1881" w:rsidRDefault="00B055FA" w:rsidP="00DA6342">
      <w:pPr>
        <w:pStyle w:val="bt"/>
        <w:rPr>
          <w:rFonts w:cs="Tahoma"/>
          <w:szCs w:val="20"/>
        </w:rPr>
      </w:pPr>
      <w:r w:rsidRPr="008F1881">
        <w:rPr>
          <w:rFonts w:cs="Tahoma"/>
          <w:szCs w:val="20"/>
        </w:rPr>
        <w:t xml:space="preserve">The </w:t>
      </w:r>
      <w:r w:rsidR="0069443A" w:rsidRPr="000B40E8">
        <w:rPr>
          <w:rFonts w:cs="Tahoma"/>
          <w:szCs w:val="20"/>
        </w:rPr>
        <w:t>Central Highlands Regional Strategic Plan</w:t>
      </w:r>
      <w:r w:rsidR="00B679B9" w:rsidRPr="000B40E8">
        <w:rPr>
          <w:rFonts w:cs="Tahoma"/>
          <w:szCs w:val="20"/>
        </w:rPr>
        <w:t xml:space="preserve"> Discussion Paper </w:t>
      </w:r>
      <w:r w:rsidRPr="008F1881">
        <w:rPr>
          <w:rFonts w:cs="Tahoma"/>
          <w:szCs w:val="20"/>
        </w:rPr>
        <w:t>(</w:t>
      </w:r>
      <w:r w:rsidR="00B85BFF" w:rsidRPr="008F1881">
        <w:rPr>
          <w:rFonts w:cs="Tahoma"/>
          <w:szCs w:val="20"/>
        </w:rPr>
        <w:t>P</w:t>
      </w:r>
      <w:r w:rsidR="00B85BFF">
        <w:rPr>
          <w:rFonts w:cs="Tahoma"/>
          <w:szCs w:val="20"/>
        </w:rPr>
        <w:t>arsons Brinckerhoff</w:t>
      </w:r>
      <w:r w:rsidRPr="008F1881">
        <w:rPr>
          <w:rFonts w:cs="Tahoma"/>
          <w:szCs w:val="20"/>
        </w:rPr>
        <w:t xml:space="preserve">, 2010) suggests that young people are leaving rural areas within the region for education in both Ballarat and Melbourne which impacts </w:t>
      </w:r>
      <w:r w:rsidR="005433B5">
        <w:rPr>
          <w:rFonts w:cs="Tahoma"/>
          <w:szCs w:val="20"/>
        </w:rPr>
        <w:t xml:space="preserve">on </w:t>
      </w:r>
      <w:r w:rsidRPr="008F1881">
        <w:rPr>
          <w:rFonts w:cs="Tahoma"/>
          <w:szCs w:val="20"/>
        </w:rPr>
        <w:t>the age balance within smaller settlements. It is also suggested that often once tertiary study is complete</w:t>
      </w:r>
      <w:r w:rsidR="00A4690D">
        <w:rPr>
          <w:rFonts w:cs="Tahoma"/>
          <w:szCs w:val="20"/>
        </w:rPr>
        <w:t>,</w:t>
      </w:r>
      <w:r w:rsidRPr="008F1881">
        <w:rPr>
          <w:rFonts w:cs="Tahoma"/>
          <w:szCs w:val="20"/>
        </w:rPr>
        <w:t xml:space="preserve"> young people move from Ballarat to Melbourne. This describes a loss of </w:t>
      </w:r>
      <w:r w:rsidR="00B679B9">
        <w:rPr>
          <w:rFonts w:cs="Tahoma"/>
          <w:szCs w:val="20"/>
        </w:rPr>
        <w:t xml:space="preserve">the </w:t>
      </w:r>
      <w:r w:rsidRPr="008F1881">
        <w:rPr>
          <w:rFonts w:cs="Tahoma"/>
          <w:szCs w:val="20"/>
        </w:rPr>
        <w:t>15-19 year</w:t>
      </w:r>
      <w:r w:rsidR="00B679B9">
        <w:rPr>
          <w:rFonts w:cs="Tahoma"/>
          <w:szCs w:val="20"/>
        </w:rPr>
        <w:t>-</w:t>
      </w:r>
      <w:r w:rsidRPr="008F1881">
        <w:rPr>
          <w:rFonts w:cs="Tahoma"/>
          <w:szCs w:val="20"/>
        </w:rPr>
        <w:t xml:space="preserve">old cohort from rural areas and a loss of 21+ years from Ballarat through out-migration. This has social implications in </w:t>
      </w:r>
      <w:r w:rsidRPr="004C7752">
        <w:t xml:space="preserve">terms of </w:t>
      </w:r>
      <w:r w:rsidR="009F09AE" w:rsidRPr="004C7752">
        <w:t>ensuring</w:t>
      </w:r>
      <w:r w:rsidRPr="004C7752">
        <w:t xml:space="preserve"> a balanced</w:t>
      </w:r>
      <w:r w:rsidRPr="008F1881">
        <w:rPr>
          <w:rFonts w:cs="Tahoma"/>
          <w:szCs w:val="20"/>
        </w:rPr>
        <w:t xml:space="preserve"> social structure and maintenance of community institutions</w:t>
      </w:r>
      <w:r w:rsidR="00B679B9">
        <w:rPr>
          <w:rFonts w:cs="Tahoma"/>
          <w:szCs w:val="20"/>
        </w:rPr>
        <w:t xml:space="preserve">, </w:t>
      </w:r>
      <w:r w:rsidRPr="008F1881">
        <w:rPr>
          <w:rFonts w:cs="Tahoma"/>
          <w:szCs w:val="20"/>
        </w:rPr>
        <w:t>such as sporting clubs</w:t>
      </w:r>
      <w:r w:rsidR="00B679B9">
        <w:rPr>
          <w:rFonts w:cs="Tahoma"/>
          <w:szCs w:val="20"/>
        </w:rPr>
        <w:t>,</w:t>
      </w:r>
      <w:r w:rsidRPr="008F1881">
        <w:rPr>
          <w:rFonts w:cs="Tahoma"/>
          <w:szCs w:val="20"/>
        </w:rPr>
        <w:t xml:space="preserve"> and economic implications with regard to providing for a sufficient workforce.</w:t>
      </w:r>
    </w:p>
    <w:p w:rsidR="00F93A5F" w:rsidRPr="005B01F7" w:rsidRDefault="004C7752" w:rsidP="005B01F7">
      <w:pPr>
        <w:pStyle w:val="Heading3"/>
      </w:pPr>
      <w:bookmarkStart w:id="125" w:name="_Toc350361606"/>
      <w:bookmarkStart w:id="126" w:name="_Toc350362476"/>
      <w:bookmarkEnd w:id="125"/>
      <w:bookmarkEnd w:id="126"/>
      <w:r w:rsidRPr="005B01F7">
        <w:t xml:space="preserve">Land </w:t>
      </w:r>
      <w:r w:rsidR="00661931" w:rsidRPr="005B01F7">
        <w:t>use planning response</w:t>
      </w:r>
    </w:p>
    <w:p w:rsidR="00A84DE3" w:rsidRDefault="002C1F0A" w:rsidP="00DA6342">
      <w:pPr>
        <w:pStyle w:val="bt"/>
      </w:pPr>
      <w:r w:rsidRPr="008F1881">
        <w:t xml:space="preserve">Land use planning </w:t>
      </w:r>
      <w:r w:rsidR="004B3CC5" w:rsidRPr="008F1881">
        <w:t xml:space="preserve">decisions can have significant influences on the </w:t>
      </w:r>
      <w:r w:rsidRPr="008F1881">
        <w:t>demographic</w:t>
      </w:r>
      <w:r w:rsidR="004B3CC5" w:rsidRPr="008F1881">
        <w:t>s of a settlement, with growth likely to attract younger families</w:t>
      </w:r>
      <w:r w:rsidRPr="008F1881">
        <w:t xml:space="preserve">. Planning can play a role in recognising the need to maintain and provide </w:t>
      </w:r>
      <w:r w:rsidR="00B055FA" w:rsidRPr="008F1881">
        <w:t>new facilities and infrastructure which attract young people and families to the region.</w:t>
      </w:r>
      <w:r w:rsidRPr="008F1881">
        <w:t xml:space="preserve"> Facilities and service</w:t>
      </w:r>
      <w:r w:rsidR="004B3CC5" w:rsidRPr="008F1881">
        <w:t>s</w:t>
      </w:r>
      <w:r w:rsidRPr="008F1881">
        <w:t xml:space="preserve"> planning should be integrated with land use planning to ensure that services and </w:t>
      </w:r>
      <w:r w:rsidR="004B3CC5" w:rsidRPr="008F1881">
        <w:t xml:space="preserve">facilities </w:t>
      </w:r>
      <w:r w:rsidRPr="008F1881">
        <w:t xml:space="preserve">are planned for areas where growth is to be directed. </w:t>
      </w:r>
      <w:r w:rsidR="00996EFF" w:rsidRPr="008F1881">
        <w:t xml:space="preserve">Land use </w:t>
      </w:r>
      <w:r w:rsidR="004B3CC5" w:rsidRPr="008F1881">
        <w:t xml:space="preserve">planning can also ensure there is </w:t>
      </w:r>
      <w:r w:rsidR="00B055FA" w:rsidRPr="008F1881">
        <w:t xml:space="preserve">appropriately zoned land, employment opportunities and </w:t>
      </w:r>
      <w:r w:rsidR="004B3CC5" w:rsidRPr="008F1881">
        <w:t xml:space="preserve">a mix of </w:t>
      </w:r>
      <w:r w:rsidR="00B055FA" w:rsidRPr="008F1881">
        <w:t>housing to support population and growth.</w:t>
      </w:r>
      <w:r w:rsidR="004B3CC5" w:rsidRPr="008F1881">
        <w:t xml:space="preserve"> </w:t>
      </w:r>
    </w:p>
    <w:p w:rsidR="00D91AA4" w:rsidRDefault="00A84DE3" w:rsidP="00DA6342">
      <w:pPr>
        <w:pStyle w:val="bt"/>
      </w:pPr>
      <w:r>
        <w:t xml:space="preserve">The plan </w:t>
      </w:r>
      <w:r w:rsidR="004B3CC5" w:rsidRPr="008F1881">
        <w:t>provide</w:t>
      </w:r>
      <w:r w:rsidR="008D23ED">
        <w:t>s</w:t>
      </w:r>
      <w:r w:rsidR="004B3CC5" w:rsidRPr="008F1881">
        <w:t xml:space="preserve"> </w:t>
      </w:r>
      <w:r w:rsidR="00D91AA4">
        <w:t xml:space="preserve">a series of </w:t>
      </w:r>
      <w:r w:rsidR="00B055FA" w:rsidRPr="008F1881">
        <w:t>direction</w:t>
      </w:r>
      <w:r w:rsidR="00D91AA4">
        <w:t>s</w:t>
      </w:r>
      <w:r w:rsidR="00B055FA" w:rsidRPr="008F1881">
        <w:t xml:space="preserve"> in relation to the need </w:t>
      </w:r>
      <w:r w:rsidR="008D23ED">
        <w:t xml:space="preserve">for the early identification and planning of social </w:t>
      </w:r>
      <w:r w:rsidR="00D91AA4">
        <w:t>infrastructure</w:t>
      </w:r>
      <w:r w:rsidR="008D23ED">
        <w:t xml:space="preserve"> </w:t>
      </w:r>
      <w:r w:rsidR="00D91AA4">
        <w:t>provision</w:t>
      </w:r>
      <w:r w:rsidR="008D23ED">
        <w:t xml:space="preserve"> in sequence with residential development. </w:t>
      </w:r>
    </w:p>
    <w:p w:rsidR="008F1881" w:rsidRPr="008F1881" w:rsidRDefault="00D91AA4" w:rsidP="00DA6342">
      <w:pPr>
        <w:pStyle w:val="bt"/>
      </w:pPr>
      <w:r>
        <w:t>Furthermore</w:t>
      </w:r>
      <w:r w:rsidR="008D23ED">
        <w:t xml:space="preserve">, </w:t>
      </w:r>
      <w:r w:rsidR="00EB38CB">
        <w:t>residential areas</w:t>
      </w:r>
      <w:r w:rsidR="008D23ED">
        <w:t xml:space="preserve"> should be well located and accessible to public transport</w:t>
      </w:r>
      <w:r>
        <w:t xml:space="preserve"> services, employment, </w:t>
      </w:r>
      <w:r w:rsidR="008D23ED">
        <w:t xml:space="preserve">health care and </w:t>
      </w:r>
      <w:r>
        <w:t>educational</w:t>
      </w:r>
      <w:r w:rsidR="008D23ED">
        <w:t xml:space="preserve"> </w:t>
      </w:r>
      <w:r>
        <w:t>opportunities</w:t>
      </w:r>
      <w:r w:rsidR="008D23ED">
        <w:t xml:space="preserve">.  </w:t>
      </w:r>
    </w:p>
    <w:p w:rsidR="00F93A5F" w:rsidRPr="005B01F7" w:rsidRDefault="00B055FA" w:rsidP="005B01F7">
      <w:pPr>
        <w:pStyle w:val="Heading2"/>
      </w:pPr>
      <w:bookmarkStart w:id="127" w:name="_Toc349557704"/>
      <w:bookmarkStart w:id="128" w:name="_Toc374527602"/>
      <w:r w:rsidRPr="005B01F7">
        <w:t xml:space="preserve">Resilient </w:t>
      </w:r>
      <w:bookmarkEnd w:id="127"/>
      <w:r w:rsidR="00661931" w:rsidRPr="005B01F7">
        <w:t>communities</w:t>
      </w:r>
      <w:bookmarkEnd w:id="128"/>
    </w:p>
    <w:p w:rsidR="00F93A5F" w:rsidRPr="005B01F7" w:rsidRDefault="009F09AE" w:rsidP="005B01F7">
      <w:pPr>
        <w:pStyle w:val="Heading3"/>
      </w:pPr>
      <w:r w:rsidRPr="005B01F7">
        <w:t xml:space="preserve">Description and </w:t>
      </w:r>
      <w:r w:rsidR="00661931" w:rsidRPr="005B01F7">
        <w:t>analysis</w:t>
      </w:r>
    </w:p>
    <w:p w:rsidR="00B055FA" w:rsidRPr="008F1881" w:rsidRDefault="00B055FA" w:rsidP="00DA6342">
      <w:pPr>
        <w:pStyle w:val="bt"/>
      </w:pPr>
      <w:r w:rsidRPr="008F1881">
        <w:t xml:space="preserve">In a general sense, the </w:t>
      </w:r>
      <w:r w:rsidR="00B679B9">
        <w:t xml:space="preserve">Central Highlands </w:t>
      </w:r>
      <w:r w:rsidRPr="008F1881">
        <w:t xml:space="preserve">region’s existing planning policies support the idea of resilient communities by seeking to focus growth in existing centres, where community infrastructure and services are located. </w:t>
      </w:r>
      <w:r w:rsidR="00B679B9">
        <w:t>However, i</w:t>
      </w:r>
      <w:r w:rsidRPr="008F1881">
        <w:t>ndividual planning schemes provide variable levels of explicit policy around community development. Some</w:t>
      </w:r>
      <w:r w:rsidR="009166E6" w:rsidRPr="008F1881">
        <w:t xml:space="preserve">, such </w:t>
      </w:r>
      <w:r w:rsidR="00987FB3" w:rsidRPr="008F1881">
        <w:t>as the</w:t>
      </w:r>
      <w:r w:rsidR="009166E6" w:rsidRPr="008F1881">
        <w:t xml:space="preserve"> </w:t>
      </w:r>
      <w:r w:rsidRPr="008F1881">
        <w:t>Golden Plains Planning Scheme</w:t>
      </w:r>
      <w:r w:rsidR="009166E6" w:rsidRPr="008F1881">
        <w:t xml:space="preserve">, identify quite specific needs, </w:t>
      </w:r>
      <w:r w:rsidR="00B679B9">
        <w:t xml:space="preserve">such as </w:t>
      </w:r>
      <w:r w:rsidR="009166E6" w:rsidRPr="008F1881">
        <w:t>expanding</w:t>
      </w:r>
      <w:r w:rsidRPr="008F1881">
        <w:t xml:space="preserve"> the range of health services in Smythesdale to help create a more self-sufficient centre and </w:t>
      </w:r>
      <w:r w:rsidR="009166E6" w:rsidRPr="008F1881">
        <w:t xml:space="preserve">to </w:t>
      </w:r>
      <w:r w:rsidRPr="008F1881">
        <w:t xml:space="preserve">support its growth. Others such as </w:t>
      </w:r>
      <w:r w:rsidR="005433B5">
        <w:t xml:space="preserve">the </w:t>
      </w:r>
      <w:r w:rsidRPr="008F1881">
        <w:t xml:space="preserve">Hepburn </w:t>
      </w:r>
      <w:r w:rsidR="005433B5">
        <w:t xml:space="preserve">Planning Scheme </w:t>
      </w:r>
      <w:r w:rsidRPr="008F1881">
        <w:t xml:space="preserve">provide general policy support for improvements to community infrastructure and services. </w:t>
      </w:r>
    </w:p>
    <w:p w:rsidR="00B055FA" w:rsidRPr="008F1881" w:rsidRDefault="00B055FA" w:rsidP="00DA6342">
      <w:pPr>
        <w:pStyle w:val="bt"/>
      </w:pPr>
      <w:r w:rsidRPr="008F1881">
        <w:t>An important strategic issue captured by the Moorabool Planning Scheme, but which is relevant to much of the region, is how small towns can be supported to maintain these places as viable communities:</w:t>
      </w:r>
    </w:p>
    <w:p w:rsidR="00B055FA" w:rsidRPr="008F1881" w:rsidRDefault="005433B5" w:rsidP="000B40E8">
      <w:pPr>
        <w:pStyle w:val="bt"/>
        <w:ind w:left="720"/>
      </w:pPr>
      <w:r>
        <w:rPr>
          <w:rStyle w:val="Emphasis"/>
          <w:i w:val="0"/>
        </w:rPr>
        <w:t>‘</w:t>
      </w:r>
      <w:r w:rsidR="00B055FA" w:rsidRPr="000B40E8">
        <w:rPr>
          <w:rStyle w:val="Emphasis"/>
          <w:i w:val="0"/>
        </w:rPr>
        <w:t>Changing demographics and a reduction in the number of people working in farming around these small towns have resulted in a decrease in population in these small communities which threatens the viability of institutions such as sporting clubs and other community groups. Strategies are needed to achieve sustainable population sizes in these historically important small towns.</w:t>
      </w:r>
      <w:r>
        <w:rPr>
          <w:rStyle w:val="Emphasis"/>
          <w:i w:val="0"/>
        </w:rPr>
        <w:t>’</w:t>
      </w:r>
      <w:r w:rsidR="00B055FA" w:rsidRPr="008F1881">
        <w:t xml:space="preserve"> (Clause 21.09)</w:t>
      </w:r>
    </w:p>
    <w:p w:rsidR="00703973" w:rsidRDefault="00B055FA" w:rsidP="00DA6342">
      <w:pPr>
        <w:pStyle w:val="bt"/>
      </w:pPr>
      <w:r w:rsidRPr="008F1881">
        <w:lastRenderedPageBreak/>
        <w:t xml:space="preserve">As such, it is important the </w:t>
      </w:r>
      <w:r w:rsidR="00F37D25">
        <w:t>plan</w:t>
      </w:r>
      <w:r w:rsidR="00794B56" w:rsidRPr="008F1881">
        <w:t xml:space="preserve"> </w:t>
      </w:r>
      <w:r w:rsidRPr="008F1881">
        <w:t xml:space="preserve">does not exclusively focus on the development </w:t>
      </w:r>
      <w:r w:rsidR="0041779E">
        <w:t xml:space="preserve">of </w:t>
      </w:r>
      <w:r w:rsidRPr="008F1881">
        <w:t xml:space="preserve">major centres to the exclusion of smaller communities. </w:t>
      </w:r>
    </w:p>
    <w:p w:rsidR="00996EFF" w:rsidRPr="008F1881" w:rsidRDefault="00B055FA" w:rsidP="00DA6342">
      <w:pPr>
        <w:pStyle w:val="bt"/>
      </w:pPr>
      <w:r w:rsidRPr="008F1881">
        <w:t xml:space="preserve">The </w:t>
      </w:r>
      <w:r w:rsidR="0069443A" w:rsidRPr="000B40E8">
        <w:t>Central Highlands Regional Strategic Plan</w:t>
      </w:r>
      <w:r w:rsidRPr="000B40E8">
        <w:t xml:space="preserve"> Discussion Paper</w:t>
      </w:r>
      <w:r w:rsidRPr="008F1881">
        <w:t xml:space="preserve"> (</w:t>
      </w:r>
      <w:r w:rsidR="00EC236B" w:rsidRPr="005E2197">
        <w:t>Parsons Brinckerhoff 2010a</w:t>
      </w:r>
      <w:r w:rsidRPr="008F1881">
        <w:t xml:space="preserve">) identified two key dynamics that must be considered in terms of community planning for the Central Highlands. The first of these is the need to have regard to both the benefits and potential pitfalls of the dominance of Ballarat: </w:t>
      </w:r>
    </w:p>
    <w:p w:rsidR="00B055FA" w:rsidRPr="008F1881" w:rsidRDefault="00FC4DF3" w:rsidP="000B40E8">
      <w:pPr>
        <w:pStyle w:val="bt"/>
        <w:ind w:left="720"/>
      </w:pPr>
      <w:r>
        <w:rPr>
          <w:rStyle w:val="Emphasis"/>
          <w:i w:val="0"/>
        </w:rPr>
        <w:t>‘</w:t>
      </w:r>
      <w:r w:rsidR="00B055FA" w:rsidRPr="000B40E8">
        <w:rPr>
          <w:rStyle w:val="Emphasis"/>
          <w:i w:val="0"/>
        </w:rPr>
        <w:t xml:space="preserve">For most of the Central Highlands region, the relationship between Ballarat and the balance of localities must be two way. The region’s ability to capitalise on the strength of Ballarat in terms of services, education and employment will ensure the long term resilience of the </w:t>
      </w:r>
      <w:r w:rsidR="0041779E" w:rsidRPr="000B40E8">
        <w:rPr>
          <w:rStyle w:val="Emphasis"/>
          <w:i w:val="0"/>
        </w:rPr>
        <w:t>r</w:t>
      </w:r>
      <w:r w:rsidR="00B055FA" w:rsidRPr="000B40E8">
        <w:rPr>
          <w:rStyle w:val="Emphasis"/>
          <w:i w:val="0"/>
        </w:rPr>
        <w:t>egion’s ‘capital</w:t>
      </w:r>
      <w:r w:rsidR="0041779E" w:rsidRPr="000B40E8">
        <w:rPr>
          <w:rStyle w:val="Emphasis"/>
          <w:i w:val="0"/>
        </w:rPr>
        <w:t>’…</w:t>
      </w:r>
      <w:r w:rsidR="00B055FA" w:rsidRPr="000B40E8">
        <w:rPr>
          <w:rStyle w:val="Emphasis"/>
          <w:i w:val="0"/>
        </w:rPr>
        <w:t xml:space="preserve"> The dynamics of population change in the Central Highlands will also necessitate greater emphasis on local community care and aged care, with Ballarat providing a hub for regional service delivery and coordination. As such, improved accessibility to existing and upgraded services and facilities in Ballarat will increasingly equate to improved service delivery for the region. Balancing this self</w:t>
      </w:r>
      <w:r w:rsidR="0041779E" w:rsidRPr="000B40E8">
        <w:rPr>
          <w:rStyle w:val="Emphasis"/>
          <w:i w:val="0"/>
        </w:rPr>
        <w:t>-</w:t>
      </w:r>
      <w:r w:rsidR="00B055FA" w:rsidRPr="000B40E8">
        <w:rPr>
          <w:rStyle w:val="Emphasis"/>
          <w:i w:val="0"/>
        </w:rPr>
        <w:t>reinforcing trend with the needs of isolated rural communities will be imperative.</w:t>
      </w:r>
      <w:r>
        <w:rPr>
          <w:rStyle w:val="Emphasis"/>
          <w:i w:val="0"/>
        </w:rPr>
        <w:t>’</w:t>
      </w:r>
      <w:r w:rsidR="00B055FA" w:rsidRPr="008F1881">
        <w:t xml:space="preserve"> (</w:t>
      </w:r>
      <w:r w:rsidR="00EB38CB">
        <w:t xml:space="preserve">Parsons Brinckerhoff, </w:t>
      </w:r>
      <w:r>
        <w:t xml:space="preserve">2010a, </w:t>
      </w:r>
      <w:r w:rsidR="00B055FA" w:rsidRPr="008F1881">
        <w:t>page 49).</w:t>
      </w:r>
    </w:p>
    <w:p w:rsidR="00B055FA" w:rsidRPr="008F1881" w:rsidRDefault="00B055FA" w:rsidP="00DA6342">
      <w:pPr>
        <w:pStyle w:val="bt"/>
      </w:pPr>
      <w:r w:rsidRPr="008F1881">
        <w:t xml:space="preserve">Secondly, the dichotomy between population trends and </w:t>
      </w:r>
      <w:r w:rsidR="0041779E">
        <w:t xml:space="preserve">differing </w:t>
      </w:r>
      <w:r w:rsidRPr="008F1881">
        <w:t xml:space="preserve">needs </w:t>
      </w:r>
      <w:r w:rsidR="0041779E">
        <w:t xml:space="preserve">of </w:t>
      </w:r>
      <w:r w:rsidRPr="008F1881">
        <w:t>peri-urban growth areas and traditional rural communities must be considered:</w:t>
      </w:r>
    </w:p>
    <w:p w:rsidR="00B055FA" w:rsidRPr="008F1881" w:rsidRDefault="001D7454" w:rsidP="000B40E8">
      <w:pPr>
        <w:pStyle w:val="bt"/>
        <w:ind w:left="720"/>
      </w:pPr>
      <w:r>
        <w:rPr>
          <w:rStyle w:val="Emphasis"/>
          <w:i w:val="0"/>
        </w:rPr>
        <w:t>‘</w:t>
      </w:r>
      <w:r w:rsidR="00B055FA" w:rsidRPr="000B40E8">
        <w:rPr>
          <w:rStyle w:val="Emphasis"/>
          <w:i w:val="0"/>
        </w:rPr>
        <w:t>… a strategic approach will be required to service planning and delivery, as population growth and demographic patterns take effect across the region. For instance, there is the potential for services to become redundant or underutilised in some relatively isolated geographic areas while in Ballarat and the peri-urban areas (e.g. Bacchus Marsh), demand might increasingly outpace supply.</w:t>
      </w:r>
      <w:r>
        <w:rPr>
          <w:rStyle w:val="Emphasis"/>
          <w:i w:val="0"/>
        </w:rPr>
        <w:t>’</w:t>
      </w:r>
      <w:r w:rsidR="00B055FA" w:rsidRPr="008F1881">
        <w:t xml:space="preserve"> (</w:t>
      </w:r>
      <w:r w:rsidR="00EB38CB">
        <w:t xml:space="preserve">Parsons Brinckerhoff, 2010a </w:t>
      </w:r>
      <w:r w:rsidR="00B055FA" w:rsidRPr="008F1881">
        <w:t>page 49).</w:t>
      </w:r>
    </w:p>
    <w:p w:rsidR="000B40E8" w:rsidRDefault="00B055FA" w:rsidP="00EE0835">
      <w:pPr>
        <w:pStyle w:val="bt"/>
      </w:pPr>
      <w:r w:rsidRPr="008F1881">
        <w:t>The document makes the important point that</w:t>
      </w:r>
      <w:r w:rsidR="005A0F47">
        <w:t>:</w:t>
      </w:r>
      <w:r w:rsidRPr="008F1881">
        <w:t xml:space="preserve"> </w:t>
      </w:r>
    </w:p>
    <w:p w:rsidR="00B055FA" w:rsidRPr="008F1881" w:rsidRDefault="001D7454" w:rsidP="000B40E8">
      <w:pPr>
        <w:pStyle w:val="bt"/>
        <w:ind w:left="720"/>
      </w:pPr>
      <w:r>
        <w:rPr>
          <w:rStyle w:val="Emphasis"/>
          <w:i w:val="0"/>
        </w:rPr>
        <w:t>‘</w:t>
      </w:r>
      <w:r w:rsidR="00B055FA" w:rsidRPr="000B40E8">
        <w:rPr>
          <w:rStyle w:val="Emphasis"/>
          <w:i w:val="0"/>
        </w:rPr>
        <w:t>Despite some strong regional identities and ongoing recognition by the state government as a convenient regional administrative unit the Central Highlands region does not form a single cohesive community ... The largely linear form and extent of the region reinforces that the binding element is ready connection to the transport corridor that forms a spine for much of the region’s economic roles and its social and community interaction</w:t>
      </w:r>
      <w:r w:rsidR="005A0F47">
        <w:rPr>
          <w:rStyle w:val="Emphasis"/>
          <w:i w:val="0"/>
        </w:rPr>
        <w:t>.</w:t>
      </w:r>
      <w:r>
        <w:rPr>
          <w:rStyle w:val="Emphasis"/>
          <w:i w:val="0"/>
        </w:rPr>
        <w:t>’</w:t>
      </w:r>
      <w:r w:rsidR="00B055FA" w:rsidRPr="008F1881">
        <w:t xml:space="preserve"> (</w:t>
      </w:r>
      <w:r w:rsidR="00EB38CB">
        <w:t xml:space="preserve">Parsons Brinckerhoff, 2010a </w:t>
      </w:r>
      <w:r w:rsidR="00B055FA" w:rsidRPr="008F1881">
        <w:t>page viii).</w:t>
      </w:r>
    </w:p>
    <w:p w:rsidR="00EB38CB" w:rsidRDefault="00B055FA" w:rsidP="00EE0835">
      <w:pPr>
        <w:pStyle w:val="bt"/>
        <w:rPr>
          <w:rFonts w:cs="Tahoma"/>
          <w:szCs w:val="20"/>
        </w:rPr>
      </w:pPr>
      <w:r w:rsidRPr="008F1881">
        <w:rPr>
          <w:rFonts w:cs="Tahoma"/>
          <w:szCs w:val="20"/>
        </w:rPr>
        <w:t xml:space="preserve">The regional planning approach </w:t>
      </w:r>
      <w:r w:rsidR="003661D1">
        <w:rPr>
          <w:rFonts w:cs="Tahoma"/>
          <w:szCs w:val="20"/>
        </w:rPr>
        <w:t xml:space="preserve">can </w:t>
      </w:r>
      <w:r w:rsidR="004B3CC5" w:rsidRPr="008F1881">
        <w:rPr>
          <w:rFonts w:cs="Tahoma"/>
          <w:szCs w:val="20"/>
        </w:rPr>
        <w:t xml:space="preserve">ensure land use planning </w:t>
      </w:r>
      <w:r w:rsidRPr="008F1881">
        <w:rPr>
          <w:rFonts w:cs="Tahoma"/>
          <w:szCs w:val="20"/>
        </w:rPr>
        <w:t xml:space="preserve">takes account of the varying needs of communities across the region and clusters of common interest, as well as the general relationships to major regional centres. Ultimately the ability to access services is a fundamental element of creating resilient communities and addressing disadvantage within the region. </w:t>
      </w:r>
      <w:r w:rsidR="003661D1">
        <w:rPr>
          <w:rFonts w:cs="Tahoma"/>
          <w:szCs w:val="20"/>
        </w:rPr>
        <w:t xml:space="preserve">While </w:t>
      </w:r>
      <w:r w:rsidRPr="008F1881">
        <w:rPr>
          <w:rFonts w:cs="Tahoma"/>
          <w:szCs w:val="20"/>
        </w:rPr>
        <w:t xml:space="preserve">the </w:t>
      </w:r>
      <w:r w:rsidR="0069443A" w:rsidRPr="000B40E8">
        <w:rPr>
          <w:rFonts w:cs="Tahoma"/>
          <w:szCs w:val="20"/>
        </w:rPr>
        <w:t>Central Highlands Regional Strategic Plan</w:t>
      </w:r>
      <w:r w:rsidRPr="008F1881">
        <w:rPr>
          <w:rFonts w:cs="Tahoma"/>
          <w:szCs w:val="20"/>
        </w:rPr>
        <w:t xml:space="preserve"> recognise</w:t>
      </w:r>
      <w:r w:rsidR="003B1E50">
        <w:rPr>
          <w:rFonts w:cs="Tahoma"/>
          <w:szCs w:val="20"/>
        </w:rPr>
        <w:t>s</w:t>
      </w:r>
      <w:r w:rsidRPr="008F1881">
        <w:rPr>
          <w:rFonts w:cs="Tahoma"/>
          <w:szCs w:val="20"/>
        </w:rPr>
        <w:t xml:space="preserve"> the need for new models of service delivery, it is important that future planning mechanisms and processes also consider access to services. </w:t>
      </w:r>
    </w:p>
    <w:p w:rsidR="00B055FA" w:rsidRPr="008F1881" w:rsidRDefault="00B055FA" w:rsidP="00EE0835">
      <w:pPr>
        <w:pStyle w:val="bt"/>
        <w:rPr>
          <w:rFonts w:cs="Tahoma"/>
          <w:szCs w:val="20"/>
        </w:rPr>
      </w:pPr>
      <w:r w:rsidRPr="008F1881">
        <w:rPr>
          <w:rFonts w:cs="Tahoma"/>
          <w:szCs w:val="20"/>
        </w:rPr>
        <w:t xml:space="preserve">Responses or considerations may be different for those populations experiencing growth and those experiencing decrease, </w:t>
      </w:r>
      <w:r w:rsidR="003661D1">
        <w:rPr>
          <w:rFonts w:cs="Tahoma"/>
          <w:szCs w:val="20"/>
        </w:rPr>
        <w:t xml:space="preserve">such as </w:t>
      </w:r>
      <w:r w:rsidRPr="008F1881">
        <w:rPr>
          <w:rFonts w:cs="Tahoma"/>
          <w:szCs w:val="20"/>
        </w:rPr>
        <w:t xml:space="preserve">giving consideration to the placement of infrastructure and facilities in relation to accessible transport, housing and employment centres. Other important aspects of resilience, including social inclusion are addressed through plans outside the </w:t>
      </w:r>
      <w:r w:rsidR="00794B56" w:rsidRPr="008F1881">
        <w:rPr>
          <w:rFonts w:cs="Tahoma"/>
          <w:szCs w:val="20"/>
        </w:rPr>
        <w:t>regional growth planning process</w:t>
      </w:r>
      <w:r w:rsidRPr="008F1881">
        <w:rPr>
          <w:rFonts w:cs="Tahoma"/>
          <w:szCs w:val="20"/>
        </w:rPr>
        <w:t>.</w:t>
      </w:r>
    </w:p>
    <w:p w:rsidR="00F93A5F" w:rsidRPr="005B01F7" w:rsidRDefault="009F09AE" w:rsidP="005B01F7">
      <w:pPr>
        <w:pStyle w:val="Heading3"/>
      </w:pPr>
      <w:r w:rsidRPr="005B01F7">
        <w:t xml:space="preserve">Land </w:t>
      </w:r>
      <w:r w:rsidR="00661931" w:rsidRPr="005B01F7">
        <w:t>use planning response</w:t>
      </w:r>
    </w:p>
    <w:p w:rsidR="00703973" w:rsidRDefault="00CB0519" w:rsidP="00EE0835">
      <w:pPr>
        <w:pStyle w:val="bt"/>
      </w:pPr>
      <w:r w:rsidRPr="008F1881">
        <w:t xml:space="preserve">Land use planning can support the resilience of communities by promoting </w:t>
      </w:r>
      <w:r w:rsidR="003B1E50">
        <w:t>networks</w:t>
      </w:r>
      <w:r w:rsidR="00B055FA" w:rsidRPr="008F1881">
        <w:t xml:space="preserve"> and patterns of regional growth that recognise the need to maintain the self-sufficiency and resilience of local communities through communities of common interest and access to enhanced services in growth areas.</w:t>
      </w:r>
      <w:r w:rsidRPr="008F1881">
        <w:t xml:space="preserve"> The continued growth of Ballarat will provide greater support for attracting major services, which will improve accessibility for all </w:t>
      </w:r>
      <w:r w:rsidRPr="008F1881">
        <w:lastRenderedPageBreak/>
        <w:t xml:space="preserve">residents. Land use planning can also provide for </w:t>
      </w:r>
      <w:r w:rsidR="00B055FA" w:rsidRPr="008F1881">
        <w:t>sustainable population growth in smaller towns to help maintain local services.</w:t>
      </w:r>
    </w:p>
    <w:p w:rsidR="00F93A5F" w:rsidRPr="005B01F7" w:rsidRDefault="00B055FA" w:rsidP="005B01F7">
      <w:pPr>
        <w:pStyle w:val="Heading2"/>
      </w:pPr>
      <w:bookmarkStart w:id="129" w:name="_Toc349557705"/>
      <w:bookmarkStart w:id="130" w:name="_Toc374527603"/>
      <w:r w:rsidRPr="005B01F7">
        <w:t>Education and skills</w:t>
      </w:r>
      <w:bookmarkEnd w:id="129"/>
      <w:bookmarkEnd w:id="130"/>
    </w:p>
    <w:p w:rsidR="00F93A5F" w:rsidRPr="005B01F7" w:rsidRDefault="009F09AE" w:rsidP="005B01F7">
      <w:pPr>
        <w:pStyle w:val="Heading3"/>
      </w:pPr>
      <w:r w:rsidRPr="005B01F7">
        <w:t xml:space="preserve">Description and </w:t>
      </w:r>
      <w:r w:rsidR="00661931" w:rsidRPr="005B01F7">
        <w:t>analysis</w:t>
      </w:r>
    </w:p>
    <w:p w:rsidR="00B055FA" w:rsidRPr="008F1881" w:rsidRDefault="00B055FA" w:rsidP="00EE0835">
      <w:pPr>
        <w:pStyle w:val="bt"/>
      </w:pPr>
      <w:r w:rsidRPr="008F1881">
        <w:t xml:space="preserve">Increased participation in higher education and attainment rates has multiple benefits at an individual, family and community level. Those </w:t>
      </w:r>
      <w:r w:rsidR="003661D1">
        <w:t xml:space="preserve">people who </w:t>
      </w:r>
      <w:r w:rsidRPr="008F1881">
        <w:t xml:space="preserve">complete higher education are found to have a lower risk of unemployment, earn higher incomes, have better health outcomes, are more likely to engage in community activities, and have increased life choices than </w:t>
      </w:r>
      <w:r w:rsidR="003661D1">
        <w:t xml:space="preserve">their </w:t>
      </w:r>
      <w:r w:rsidRPr="008F1881">
        <w:t xml:space="preserve">non-graduate counterparts. Community-wide benefits of learning include </w:t>
      </w:r>
      <w:r w:rsidR="003661D1">
        <w:t xml:space="preserve">a </w:t>
      </w:r>
      <w:r w:rsidRPr="008F1881">
        <w:t>more skilled and healthy workforce and higher economic growth rates.</w:t>
      </w:r>
    </w:p>
    <w:p w:rsidR="00B055FA" w:rsidRPr="008F1881" w:rsidRDefault="00631B16" w:rsidP="00EE0835">
      <w:pPr>
        <w:pStyle w:val="bt"/>
      </w:pPr>
      <w:r>
        <w:fldChar w:fldCharType="begin"/>
      </w:r>
      <w:r>
        <w:instrText xml:space="preserve"> REF _Ref349220562 \h  \* MERGEFORMAT </w:instrText>
      </w:r>
      <w:r>
        <w:fldChar w:fldCharType="separate"/>
      </w:r>
      <w:r w:rsidR="00907B42" w:rsidRPr="00D42DE9">
        <w:t xml:space="preserve">Figure </w:t>
      </w:r>
      <w:r w:rsidR="00907B42">
        <w:rPr>
          <w:noProof/>
        </w:rPr>
        <w:t>16</w:t>
      </w:r>
      <w:r>
        <w:fldChar w:fldCharType="end"/>
      </w:r>
      <w:r w:rsidR="00F9025C" w:rsidRPr="008F1881">
        <w:t xml:space="preserve"> </w:t>
      </w:r>
      <w:r w:rsidR="00B055FA" w:rsidRPr="008F1881">
        <w:t>illustrates that the Central Highlands is characterised by below average levels of educational attainment and other socio-economic outcomes. Efforts should be made to increase educational attainment and skill</w:t>
      </w:r>
      <w:r w:rsidR="00800C4E">
        <w:t>s</w:t>
      </w:r>
      <w:r w:rsidR="00B055FA" w:rsidRPr="008F1881">
        <w:t xml:space="preserve"> development to address skills shortages and strengthen the economy of the Grampians region and Central Highlands more specifically. It is also important to improve the individual circumstances of more disadvantaged groups within the population. </w:t>
      </w:r>
    </w:p>
    <w:p w:rsidR="00C820C0" w:rsidRDefault="00F9025C">
      <w:pPr>
        <w:pStyle w:val="Caption"/>
      </w:pPr>
      <w:bookmarkStart w:id="131" w:name="_Ref349220562"/>
      <w:bookmarkStart w:id="132" w:name="_Toc381698016"/>
      <w:r w:rsidRPr="00D42DE9">
        <w:t xml:space="preserve">Figure </w:t>
      </w:r>
      <w:r w:rsidR="009F388E">
        <w:fldChar w:fldCharType="begin"/>
      </w:r>
      <w:r w:rsidR="00821C7F">
        <w:instrText xml:space="preserve"> SEQ Figure \* ARABIC </w:instrText>
      </w:r>
      <w:r w:rsidR="009F388E">
        <w:fldChar w:fldCharType="separate"/>
      </w:r>
      <w:r w:rsidR="00907B42">
        <w:rPr>
          <w:noProof/>
        </w:rPr>
        <w:t>16</w:t>
      </w:r>
      <w:r w:rsidR="009F388E">
        <w:fldChar w:fldCharType="end"/>
      </w:r>
      <w:bookmarkEnd w:id="131"/>
      <w:r w:rsidR="00800C4E" w:rsidRPr="00D42DE9">
        <w:t>:</w:t>
      </w:r>
      <w:r w:rsidR="00BD549B" w:rsidRPr="00BD549B">
        <w:t xml:space="preserve"> Socio-economic indicators for Central Highlands region</w:t>
      </w:r>
      <w:bookmarkEnd w:id="132"/>
    </w:p>
    <w:p w:rsidR="000F4ECA" w:rsidRDefault="000F4ECA" w:rsidP="000F4ECA">
      <w:pPr>
        <w:pStyle w:val="bt"/>
        <w:spacing w:after="120"/>
      </w:pPr>
      <w:r w:rsidRPr="000F4ECA">
        <w:t>Unskilled and semi-skilled workers</w:t>
      </w:r>
    </w:p>
    <w:p w:rsidR="000F4ECA" w:rsidRDefault="000F4ECA" w:rsidP="000F4ECA">
      <w:pPr>
        <w:pStyle w:val="bt"/>
        <w:numPr>
          <w:ilvl w:val="0"/>
          <w:numId w:val="33"/>
        </w:numPr>
        <w:spacing w:before="120" w:after="120"/>
        <w:ind w:hanging="357"/>
      </w:pPr>
      <w:r>
        <w:t>H</w:t>
      </w:r>
      <w:r w:rsidRPr="000F4ECA">
        <w:t>igher percentage than Victorian average</w:t>
      </w:r>
      <w:r>
        <w:t xml:space="preserve"> in all 6 LGAs</w:t>
      </w:r>
    </w:p>
    <w:p w:rsidR="000F4ECA" w:rsidRDefault="000F4ECA" w:rsidP="000F4ECA">
      <w:pPr>
        <w:pStyle w:val="bt"/>
        <w:spacing w:after="120"/>
      </w:pPr>
      <w:r w:rsidRPr="000F4ECA">
        <w:t>Individual income under $400 per week</w:t>
      </w:r>
    </w:p>
    <w:p w:rsidR="000F4ECA" w:rsidRDefault="000F4ECA" w:rsidP="000F4ECA">
      <w:pPr>
        <w:pStyle w:val="bt"/>
        <w:numPr>
          <w:ilvl w:val="0"/>
          <w:numId w:val="33"/>
        </w:numPr>
        <w:spacing w:before="120" w:after="120"/>
        <w:ind w:hanging="357"/>
      </w:pPr>
      <w:r>
        <w:t>H</w:t>
      </w:r>
      <w:r w:rsidRPr="000F4ECA">
        <w:t>igher percentage than Victorian average</w:t>
      </w:r>
      <w:r>
        <w:t xml:space="preserve"> in all 6 LGAs</w:t>
      </w:r>
    </w:p>
    <w:p w:rsidR="000F4ECA" w:rsidRDefault="000F4ECA" w:rsidP="000F4ECA">
      <w:pPr>
        <w:pStyle w:val="bt"/>
        <w:spacing w:after="120"/>
      </w:pPr>
      <w:r w:rsidRPr="000F4ECA">
        <w:t>Estimates of unemployment</w:t>
      </w:r>
    </w:p>
    <w:p w:rsidR="000F4ECA" w:rsidRDefault="000F4ECA" w:rsidP="000F4ECA">
      <w:pPr>
        <w:pStyle w:val="bt"/>
        <w:numPr>
          <w:ilvl w:val="0"/>
          <w:numId w:val="33"/>
        </w:numPr>
        <w:spacing w:before="120" w:after="120"/>
        <w:ind w:hanging="357"/>
      </w:pPr>
      <w:r>
        <w:t>H</w:t>
      </w:r>
      <w:r w:rsidRPr="000F4ECA">
        <w:t>igher percentage than Victorian average</w:t>
      </w:r>
      <w:r>
        <w:t xml:space="preserve"> in 4 of 6 LGAs</w:t>
      </w:r>
    </w:p>
    <w:p w:rsidR="000F4ECA" w:rsidRDefault="000F4ECA" w:rsidP="000F4ECA">
      <w:pPr>
        <w:pStyle w:val="bt"/>
        <w:numPr>
          <w:ilvl w:val="0"/>
          <w:numId w:val="36"/>
        </w:numPr>
        <w:spacing w:before="120" w:after="120"/>
        <w:ind w:left="1134" w:hanging="357"/>
      </w:pPr>
      <w:r>
        <w:t>Pyrenees</w:t>
      </w:r>
    </w:p>
    <w:p w:rsidR="000F4ECA" w:rsidRDefault="000F4ECA" w:rsidP="000F4ECA">
      <w:pPr>
        <w:pStyle w:val="bt"/>
        <w:numPr>
          <w:ilvl w:val="0"/>
          <w:numId w:val="36"/>
        </w:numPr>
        <w:spacing w:before="120" w:after="120"/>
        <w:ind w:left="1134" w:hanging="357"/>
      </w:pPr>
      <w:r>
        <w:t>Ballarat</w:t>
      </w:r>
    </w:p>
    <w:p w:rsidR="000F4ECA" w:rsidRDefault="000F4ECA" w:rsidP="000F4ECA">
      <w:pPr>
        <w:pStyle w:val="bt"/>
        <w:numPr>
          <w:ilvl w:val="0"/>
          <w:numId w:val="36"/>
        </w:numPr>
        <w:spacing w:before="120" w:after="120"/>
        <w:ind w:left="1134" w:hanging="357"/>
      </w:pPr>
      <w:r>
        <w:t>Hepburn</w:t>
      </w:r>
    </w:p>
    <w:p w:rsidR="000F4ECA" w:rsidRDefault="000F4ECA" w:rsidP="000F4ECA">
      <w:pPr>
        <w:pStyle w:val="bt"/>
        <w:numPr>
          <w:ilvl w:val="0"/>
          <w:numId w:val="36"/>
        </w:numPr>
        <w:spacing w:before="120" w:after="120"/>
        <w:ind w:left="1134" w:hanging="357"/>
      </w:pPr>
      <w:r w:rsidRPr="000F4ECA">
        <w:t>Ararat</w:t>
      </w:r>
    </w:p>
    <w:p w:rsidR="000F4ECA" w:rsidRDefault="000F4ECA" w:rsidP="000F4ECA">
      <w:pPr>
        <w:pStyle w:val="bt"/>
        <w:spacing w:after="120"/>
      </w:pPr>
      <w:r w:rsidRPr="000F4ECA">
        <w:t>Young people aged 15-19 not engaged in school, work or further education/training</w:t>
      </w:r>
    </w:p>
    <w:p w:rsidR="000F4ECA" w:rsidRDefault="000F4ECA" w:rsidP="000F4ECA">
      <w:pPr>
        <w:pStyle w:val="bt"/>
        <w:numPr>
          <w:ilvl w:val="0"/>
          <w:numId w:val="33"/>
        </w:numPr>
        <w:spacing w:before="120" w:after="120"/>
        <w:ind w:hanging="357"/>
      </w:pPr>
      <w:r>
        <w:t>H</w:t>
      </w:r>
      <w:r w:rsidRPr="000F4ECA">
        <w:t>igher percentage than Victorian average</w:t>
      </w:r>
      <w:r>
        <w:t xml:space="preserve"> in 4 of 6 LGAs</w:t>
      </w:r>
    </w:p>
    <w:p w:rsidR="000F4ECA" w:rsidRDefault="000F4ECA" w:rsidP="000F4ECA">
      <w:pPr>
        <w:pStyle w:val="bt"/>
        <w:numPr>
          <w:ilvl w:val="0"/>
          <w:numId w:val="37"/>
        </w:numPr>
        <w:spacing w:before="120" w:after="120"/>
        <w:ind w:left="1134" w:hanging="357"/>
      </w:pPr>
      <w:r>
        <w:t>Pyrenees</w:t>
      </w:r>
    </w:p>
    <w:p w:rsidR="000F4ECA" w:rsidRDefault="000F4ECA" w:rsidP="000F4ECA">
      <w:pPr>
        <w:pStyle w:val="bt"/>
        <w:numPr>
          <w:ilvl w:val="0"/>
          <w:numId w:val="37"/>
        </w:numPr>
        <w:spacing w:before="120" w:after="120"/>
        <w:ind w:left="1134" w:hanging="357"/>
      </w:pPr>
      <w:r w:rsidRPr="000F4ECA">
        <w:t>Hepburn</w:t>
      </w:r>
    </w:p>
    <w:p w:rsidR="000F4ECA" w:rsidRDefault="000F4ECA" w:rsidP="000F4ECA">
      <w:pPr>
        <w:pStyle w:val="bt"/>
        <w:numPr>
          <w:ilvl w:val="0"/>
          <w:numId w:val="37"/>
        </w:numPr>
        <w:spacing w:before="120" w:after="120"/>
        <w:ind w:left="1134" w:hanging="357"/>
      </w:pPr>
      <w:r>
        <w:t>Ballarat</w:t>
      </w:r>
    </w:p>
    <w:p w:rsidR="000F4ECA" w:rsidRDefault="000F4ECA" w:rsidP="000F4ECA">
      <w:pPr>
        <w:pStyle w:val="bt"/>
        <w:numPr>
          <w:ilvl w:val="0"/>
          <w:numId w:val="37"/>
        </w:numPr>
        <w:spacing w:before="120" w:after="120"/>
        <w:ind w:left="1134" w:hanging="357"/>
      </w:pPr>
      <w:r w:rsidRPr="000F4ECA">
        <w:t>Ararat</w:t>
      </w:r>
    </w:p>
    <w:p w:rsidR="000F4ECA" w:rsidRDefault="000F4ECA" w:rsidP="000F4ECA">
      <w:pPr>
        <w:pStyle w:val="bt"/>
        <w:spacing w:after="120"/>
      </w:pPr>
      <w:r w:rsidRPr="000F4ECA">
        <w:t>People that experienced transport limitation in the last 12 months</w:t>
      </w:r>
    </w:p>
    <w:p w:rsidR="000F4ECA" w:rsidRDefault="000F4ECA" w:rsidP="000F4ECA">
      <w:pPr>
        <w:pStyle w:val="bt"/>
        <w:numPr>
          <w:ilvl w:val="0"/>
          <w:numId w:val="33"/>
        </w:numPr>
        <w:spacing w:before="120" w:after="120"/>
        <w:ind w:hanging="357"/>
      </w:pPr>
      <w:r>
        <w:t>H</w:t>
      </w:r>
      <w:r w:rsidRPr="000F4ECA">
        <w:t>igher percentage than Victorian average</w:t>
      </w:r>
      <w:r>
        <w:t xml:space="preserve"> in 5 of 6 LGAs</w:t>
      </w:r>
    </w:p>
    <w:p w:rsidR="000F4ECA" w:rsidRDefault="000F4ECA" w:rsidP="000F4ECA">
      <w:pPr>
        <w:pStyle w:val="bt"/>
        <w:numPr>
          <w:ilvl w:val="0"/>
          <w:numId w:val="38"/>
        </w:numPr>
        <w:spacing w:before="120" w:after="120"/>
        <w:ind w:left="1134" w:hanging="357"/>
      </w:pPr>
      <w:r>
        <w:t>Hepburn</w:t>
      </w:r>
    </w:p>
    <w:p w:rsidR="000F4ECA" w:rsidRDefault="000F4ECA" w:rsidP="000F4ECA">
      <w:pPr>
        <w:pStyle w:val="bt"/>
        <w:numPr>
          <w:ilvl w:val="0"/>
          <w:numId w:val="38"/>
        </w:numPr>
        <w:spacing w:before="120" w:after="120"/>
        <w:ind w:left="1134" w:hanging="357"/>
      </w:pPr>
      <w:r>
        <w:t>Golden Plains</w:t>
      </w:r>
    </w:p>
    <w:p w:rsidR="000F4ECA" w:rsidRDefault="000F4ECA" w:rsidP="000F4ECA">
      <w:pPr>
        <w:pStyle w:val="bt"/>
        <w:numPr>
          <w:ilvl w:val="0"/>
          <w:numId w:val="38"/>
        </w:numPr>
        <w:spacing w:before="120" w:after="120"/>
        <w:ind w:left="1134" w:hanging="357"/>
      </w:pPr>
      <w:r>
        <w:t>Pyrenees</w:t>
      </w:r>
    </w:p>
    <w:p w:rsidR="000F4ECA" w:rsidRDefault="000F4ECA" w:rsidP="000F4ECA">
      <w:pPr>
        <w:pStyle w:val="bt"/>
        <w:numPr>
          <w:ilvl w:val="0"/>
          <w:numId w:val="38"/>
        </w:numPr>
        <w:spacing w:before="120" w:after="120"/>
        <w:ind w:left="1134" w:hanging="357"/>
      </w:pPr>
      <w:r>
        <w:lastRenderedPageBreak/>
        <w:t>Moorabool</w:t>
      </w:r>
    </w:p>
    <w:p w:rsidR="000F4ECA" w:rsidRPr="000F4ECA" w:rsidRDefault="000F4ECA" w:rsidP="000F4ECA">
      <w:pPr>
        <w:pStyle w:val="bt"/>
        <w:numPr>
          <w:ilvl w:val="0"/>
          <w:numId w:val="38"/>
        </w:numPr>
        <w:spacing w:before="120" w:after="120"/>
        <w:ind w:left="1134" w:hanging="357"/>
      </w:pPr>
      <w:r w:rsidRPr="000F4ECA">
        <w:t>Ararat</w:t>
      </w:r>
    </w:p>
    <w:p w:rsidR="00C820C0" w:rsidRDefault="00EE0835" w:rsidP="00070916">
      <w:pPr>
        <w:pStyle w:val="Source0"/>
        <w:rPr>
          <w:szCs w:val="20"/>
        </w:rPr>
      </w:pPr>
      <w:r w:rsidRPr="008F1881">
        <w:t>Source: Change and Disadvantage in the Grampians region, Victoria 2011</w:t>
      </w:r>
    </w:p>
    <w:p w:rsidR="00EB38CB" w:rsidRDefault="00B055FA" w:rsidP="00EE0835">
      <w:pPr>
        <w:pStyle w:val="bt"/>
        <w:rPr>
          <w:color w:val="000000"/>
        </w:rPr>
      </w:pPr>
      <w:r w:rsidRPr="008F1881">
        <w:t xml:space="preserve">Despite the above, Ballarat’s education and training network has been identified as a significant comparative advantage. The city offers a range of secondary education including </w:t>
      </w:r>
      <w:r w:rsidR="005978F4">
        <w:t>four</w:t>
      </w:r>
      <w:r w:rsidRPr="008F1881">
        <w:t xml:space="preserve"> government and nine private secondary colleges. </w:t>
      </w:r>
      <w:r w:rsidRPr="008F1881">
        <w:rPr>
          <w:color w:val="000000"/>
        </w:rPr>
        <w:t>Furthermore</w:t>
      </w:r>
      <w:r w:rsidR="00800C4E">
        <w:rPr>
          <w:color w:val="000000"/>
        </w:rPr>
        <w:t>,</w:t>
      </w:r>
      <w:r w:rsidRPr="008F1881">
        <w:rPr>
          <w:color w:val="000000"/>
        </w:rPr>
        <w:t xml:space="preserve"> </w:t>
      </w:r>
      <w:r w:rsidR="00FC3810">
        <w:rPr>
          <w:color w:val="000000"/>
        </w:rPr>
        <w:t xml:space="preserve">Federation </w:t>
      </w:r>
      <w:r w:rsidRPr="008F1881">
        <w:rPr>
          <w:color w:val="000000"/>
        </w:rPr>
        <w:t xml:space="preserve">University </w:t>
      </w:r>
      <w:r w:rsidR="00FC3810">
        <w:rPr>
          <w:color w:val="000000"/>
        </w:rPr>
        <w:t>Australia</w:t>
      </w:r>
      <w:r w:rsidR="00907B42">
        <w:rPr>
          <w:color w:val="000000"/>
        </w:rPr>
        <w:t xml:space="preserve"> (formerly the University of Ballarat)</w:t>
      </w:r>
      <w:r w:rsidRPr="008F1881">
        <w:rPr>
          <w:color w:val="000000"/>
        </w:rPr>
        <w:t xml:space="preserve"> is a regional, multi-sector, comprehensive university with provision for secondary schooling, TAFE, higher education, further education and research students. It services communities in central and western Victoria, as well as other students nationally and internationally. </w:t>
      </w:r>
    </w:p>
    <w:p w:rsidR="00B055FA" w:rsidRPr="008F1881" w:rsidRDefault="00B055FA" w:rsidP="00EE0835">
      <w:pPr>
        <w:pStyle w:val="bt"/>
      </w:pPr>
      <w:r w:rsidRPr="008F1881">
        <w:rPr>
          <w:color w:val="000000"/>
        </w:rPr>
        <w:t xml:space="preserve">The </w:t>
      </w:r>
      <w:r w:rsidR="00800C4E">
        <w:rPr>
          <w:color w:val="000000"/>
        </w:rPr>
        <w:t>u</w:t>
      </w:r>
      <w:r w:rsidRPr="008F1881">
        <w:rPr>
          <w:color w:val="000000"/>
        </w:rPr>
        <w:t>niversity has 25,000 students including 7500 international students. It draws its 17,500 domestic students from a broad area of regional Victoria including Ballarat, Ararat, Stawell, Horsham, Nhill, Hamilton, Maryborough, Warrnambool, Portland, Bacchus Marsh, Bendigo, Mildura and Swan Hill. All of these communities have significantly lower participation rates in post-secondary education than the national average (Skills Victoria, 2009). As a dual-sector institution</w:t>
      </w:r>
      <w:r w:rsidR="00800C4E">
        <w:rPr>
          <w:color w:val="000000"/>
        </w:rPr>
        <w:t xml:space="preserve">, </w:t>
      </w:r>
      <w:r w:rsidR="00FC3810">
        <w:rPr>
          <w:color w:val="000000"/>
        </w:rPr>
        <w:t>F</w:t>
      </w:r>
      <w:r w:rsidR="00907B42">
        <w:rPr>
          <w:color w:val="000000"/>
        </w:rPr>
        <w:t xml:space="preserve">ederation University Australia </w:t>
      </w:r>
      <w:r w:rsidRPr="008F1881">
        <w:rPr>
          <w:color w:val="000000"/>
        </w:rPr>
        <w:t xml:space="preserve">focuses on the </w:t>
      </w:r>
      <w:r w:rsidR="00800C4E">
        <w:rPr>
          <w:color w:val="000000"/>
        </w:rPr>
        <w:t xml:space="preserve">transition </w:t>
      </w:r>
      <w:r w:rsidRPr="008F1881">
        <w:rPr>
          <w:color w:val="000000"/>
        </w:rPr>
        <w:t xml:space="preserve">of students from TAFE to higher education (Skills Victoria, 2009). </w:t>
      </w:r>
    </w:p>
    <w:p w:rsidR="00B055FA" w:rsidRPr="008F1881" w:rsidRDefault="00B055FA" w:rsidP="00EE0835">
      <w:pPr>
        <w:pStyle w:val="bt"/>
      </w:pPr>
      <w:r w:rsidRPr="008F1881">
        <w:t xml:space="preserve">A study undertaken in 2007 (Western Research Institute, 2007a) found that the University of Ballarat’s economic contribution to Ballarat was just under $500 million and generated 2900 full-time equivalent jobs. The </w:t>
      </w:r>
      <w:r w:rsidR="00800C4E">
        <w:t>u</w:t>
      </w:r>
      <w:r w:rsidRPr="008F1881">
        <w:t>niversity accounts for more than 10.5</w:t>
      </w:r>
      <w:r w:rsidR="00B65C10">
        <w:t xml:space="preserve"> per cent</w:t>
      </w:r>
      <w:r w:rsidR="00B65C10" w:rsidRPr="008F1881">
        <w:t xml:space="preserve"> </w:t>
      </w:r>
      <w:r w:rsidRPr="008F1881">
        <w:t>of the whole Ballarat economy, an important regional asset not only as an employer but providing tertiary level education for regional students with flow</w:t>
      </w:r>
      <w:r w:rsidR="00800C4E">
        <w:t>-</w:t>
      </w:r>
      <w:r w:rsidRPr="008F1881">
        <w:t>on effects to regional economies more generally. Another study indicated that 79</w:t>
      </w:r>
      <w:r w:rsidR="00B65C10">
        <w:t xml:space="preserve"> per cent</w:t>
      </w:r>
      <w:r w:rsidR="00B65C10" w:rsidRPr="008F1881">
        <w:t xml:space="preserve"> </w:t>
      </w:r>
      <w:r w:rsidRPr="008F1881">
        <w:t>of regionally</w:t>
      </w:r>
      <w:r w:rsidR="00800C4E">
        <w:t>-</w:t>
      </w:r>
      <w:r w:rsidRPr="008F1881">
        <w:t xml:space="preserve">based students take up employment in regional areas following graduation (Western Research Institute, 2007b). </w:t>
      </w:r>
    </w:p>
    <w:p w:rsidR="00B055FA" w:rsidRPr="008F1881" w:rsidRDefault="00800C4E" w:rsidP="00EE0835">
      <w:pPr>
        <w:pStyle w:val="bt"/>
      </w:pPr>
      <w:r>
        <w:t xml:space="preserve">Although </w:t>
      </w:r>
      <w:r w:rsidR="00B055FA" w:rsidRPr="008F1881">
        <w:t xml:space="preserve">there has been some contention about the role of regional universities in terms of their effectiveness as an investment by government into regional development, the Grattan Institute’s report (2011) examining this issue notes the importance of the context of the university: </w:t>
      </w:r>
    </w:p>
    <w:p w:rsidR="00C820C0" w:rsidRDefault="00CF6880">
      <w:pPr>
        <w:pStyle w:val="bt"/>
        <w:ind w:left="567" w:right="1088"/>
        <w:rPr>
          <w:rStyle w:val="Emphasis"/>
          <w:rFonts w:cstheme="minorHAnsi"/>
          <w:i w:val="0"/>
          <w:color w:val="000000"/>
          <w:szCs w:val="20"/>
        </w:rPr>
      </w:pPr>
      <w:r>
        <w:rPr>
          <w:rStyle w:val="Emphasis"/>
          <w:i w:val="0"/>
        </w:rPr>
        <w:t>‘</w:t>
      </w:r>
      <w:r w:rsidR="00B055FA" w:rsidRPr="000B40E8">
        <w:rPr>
          <w:rStyle w:val="Emphasis"/>
          <w:i w:val="0"/>
        </w:rPr>
        <w:t>Having a local university is not enough in itself to retain residents locally through higher education and into employment. The host city also needs to be large enough to sustain an economic base that provides jobs for graduates outside</w:t>
      </w:r>
      <w:r w:rsidR="005A0F47">
        <w:rPr>
          <w:rStyle w:val="Emphasis"/>
          <w:i w:val="0"/>
        </w:rPr>
        <w:t xml:space="preserve"> the tertiary education sector.</w:t>
      </w:r>
      <w:r>
        <w:rPr>
          <w:rStyle w:val="Emphasis"/>
          <w:i w:val="0"/>
        </w:rPr>
        <w:t>’</w:t>
      </w:r>
    </w:p>
    <w:p w:rsidR="00B055FA" w:rsidRPr="008F1881" w:rsidRDefault="00B055FA" w:rsidP="00EE0835">
      <w:pPr>
        <w:pStyle w:val="bt"/>
      </w:pPr>
      <w:r w:rsidRPr="008F1881">
        <w:t xml:space="preserve">In Ballarat’s case the close links between the </w:t>
      </w:r>
      <w:r w:rsidR="00800C4E">
        <w:t>u</w:t>
      </w:r>
      <w:r w:rsidRPr="008F1881">
        <w:t xml:space="preserve">niversity and its adjoining technology park have helped create a focal point for </w:t>
      </w:r>
      <w:r w:rsidR="00EB38CB">
        <w:t>information technology</w:t>
      </w:r>
      <w:r w:rsidR="00EB38CB" w:rsidRPr="008F1881">
        <w:t xml:space="preserve"> </w:t>
      </w:r>
      <w:r w:rsidRPr="008F1881">
        <w:t>and telecommunications</w:t>
      </w:r>
      <w:r w:rsidR="00800C4E">
        <w:t>,</w:t>
      </w:r>
      <w:r w:rsidRPr="008F1881">
        <w:t xml:space="preserve"> and enhances the ability of the </w:t>
      </w:r>
      <w:r w:rsidR="00800C4E">
        <w:t>u</w:t>
      </w:r>
      <w:r w:rsidRPr="008F1881">
        <w:t xml:space="preserve">niversity to directly provide for the industry and skills needs of the region. The </w:t>
      </w:r>
      <w:r w:rsidR="0069443A" w:rsidRPr="000B40E8">
        <w:t>Central Highlands Regional Strategic Plan</w:t>
      </w:r>
      <w:r w:rsidRPr="008F1881">
        <w:t xml:space="preserve"> supports further enhancement of the </w:t>
      </w:r>
      <w:r w:rsidR="00800C4E">
        <w:t>u</w:t>
      </w:r>
      <w:r w:rsidRPr="008F1881">
        <w:t>niversity</w:t>
      </w:r>
      <w:r w:rsidR="00800C4E">
        <w:t>’s role</w:t>
      </w:r>
      <w:r w:rsidRPr="008F1881">
        <w:t xml:space="preserve"> by encouraging student housing and major new additions to higher education and vocational training capacity in Ballarat’s </w:t>
      </w:r>
      <w:r w:rsidR="00EB38CB">
        <w:t>central business district</w:t>
      </w:r>
      <w:r w:rsidRPr="00F14B3D">
        <w:t>.</w:t>
      </w:r>
    </w:p>
    <w:p w:rsidR="00A47912" w:rsidRDefault="00B055FA" w:rsidP="00537648">
      <w:pPr>
        <w:pStyle w:val="bt"/>
        <w:spacing w:after="120"/>
        <w:rPr>
          <w:szCs w:val="20"/>
        </w:rPr>
      </w:pPr>
      <w:r w:rsidRPr="008F1881">
        <w:rPr>
          <w:szCs w:val="20"/>
        </w:rPr>
        <w:t xml:space="preserve">A final key issue </w:t>
      </w:r>
      <w:r w:rsidR="003E2F45">
        <w:rPr>
          <w:szCs w:val="20"/>
        </w:rPr>
        <w:t>for</w:t>
      </w:r>
      <w:r w:rsidRPr="008F1881">
        <w:rPr>
          <w:szCs w:val="20"/>
        </w:rPr>
        <w:t xml:space="preserve"> education is the need to plan for population change. </w:t>
      </w:r>
      <w:r w:rsidR="00631B16">
        <w:fldChar w:fldCharType="begin"/>
      </w:r>
      <w:r w:rsidR="00631B16">
        <w:instrText xml:space="preserve"> REF _Ref349220978 \h  \* MERGEFORMAT </w:instrText>
      </w:r>
      <w:r w:rsidR="00631B16">
        <w:fldChar w:fldCharType="separate"/>
      </w:r>
      <w:r w:rsidR="00907B42" w:rsidRPr="00D42DE9">
        <w:t xml:space="preserve">Figure </w:t>
      </w:r>
      <w:r w:rsidR="00907B42">
        <w:rPr>
          <w:noProof/>
        </w:rPr>
        <w:t>17</w:t>
      </w:r>
      <w:r w:rsidR="00631B16">
        <w:fldChar w:fldCharType="end"/>
      </w:r>
      <w:r w:rsidR="00EE5DEF" w:rsidRPr="008F1881">
        <w:rPr>
          <w:szCs w:val="20"/>
        </w:rPr>
        <w:t xml:space="preserve"> shows </w:t>
      </w:r>
      <w:r w:rsidRPr="008F1881">
        <w:rPr>
          <w:szCs w:val="20"/>
        </w:rPr>
        <w:t xml:space="preserve">there will be a significant challenge in meeting education needs given the disparity in </w:t>
      </w:r>
      <w:r w:rsidRPr="00800C4E">
        <w:rPr>
          <w:szCs w:val="20"/>
        </w:rPr>
        <w:t>projected enrolment trends across the Central Highlands, ranging from a 40</w:t>
      </w:r>
      <w:r w:rsidR="003E2F45">
        <w:rPr>
          <w:szCs w:val="20"/>
        </w:rPr>
        <w:t xml:space="preserve"> </w:t>
      </w:r>
      <w:r w:rsidR="001F619E" w:rsidRPr="001F619E">
        <w:rPr>
          <w:szCs w:val="20"/>
        </w:rPr>
        <w:t>per cent</w:t>
      </w:r>
      <w:r w:rsidRPr="00800C4E">
        <w:rPr>
          <w:szCs w:val="20"/>
        </w:rPr>
        <w:t xml:space="preserve"> decline in Northern Grampians </w:t>
      </w:r>
      <w:r w:rsidR="00CF6880">
        <w:rPr>
          <w:szCs w:val="20"/>
        </w:rPr>
        <w:t xml:space="preserve">Shire at the region’s western edge, </w:t>
      </w:r>
      <w:r w:rsidRPr="00800C4E">
        <w:rPr>
          <w:szCs w:val="20"/>
        </w:rPr>
        <w:t>to a 25</w:t>
      </w:r>
      <w:r w:rsidR="003E2F45">
        <w:rPr>
          <w:szCs w:val="20"/>
        </w:rPr>
        <w:t xml:space="preserve"> </w:t>
      </w:r>
      <w:r w:rsidR="001F619E" w:rsidRPr="001F619E">
        <w:rPr>
          <w:szCs w:val="20"/>
        </w:rPr>
        <w:t>per cent</w:t>
      </w:r>
      <w:r w:rsidRPr="00800C4E">
        <w:rPr>
          <w:szCs w:val="20"/>
        </w:rPr>
        <w:t xml:space="preserve"> increase in Ballarat by 2026. </w:t>
      </w:r>
    </w:p>
    <w:p w:rsidR="00A47912" w:rsidRDefault="00A47912">
      <w:pPr>
        <w:spacing w:after="200" w:line="276" w:lineRule="auto"/>
        <w:jc w:val="left"/>
        <w:rPr>
          <w:rFonts w:asciiTheme="minorHAnsi" w:eastAsiaTheme="minorEastAsia" w:hAnsiTheme="minorHAnsi" w:cstheme="minorBidi"/>
          <w:szCs w:val="20"/>
        </w:rPr>
      </w:pPr>
      <w:r>
        <w:rPr>
          <w:szCs w:val="20"/>
        </w:rPr>
        <w:br w:type="page"/>
      </w:r>
    </w:p>
    <w:p w:rsidR="00720AA9" w:rsidRDefault="00EE5DEF" w:rsidP="00720AA9">
      <w:pPr>
        <w:pStyle w:val="Caption"/>
      </w:pPr>
      <w:bookmarkStart w:id="133" w:name="_Ref349220978"/>
      <w:bookmarkStart w:id="134" w:name="_Toc381698017"/>
      <w:r w:rsidRPr="00D42DE9">
        <w:lastRenderedPageBreak/>
        <w:t xml:space="preserve">Figure </w:t>
      </w:r>
      <w:r w:rsidR="009F388E">
        <w:fldChar w:fldCharType="begin"/>
      </w:r>
      <w:r w:rsidR="00821C7F">
        <w:instrText xml:space="preserve"> SEQ Figure \* ARABIC </w:instrText>
      </w:r>
      <w:r w:rsidR="009F388E">
        <w:fldChar w:fldCharType="separate"/>
      </w:r>
      <w:r w:rsidR="00907B42">
        <w:rPr>
          <w:noProof/>
        </w:rPr>
        <w:t>17</w:t>
      </w:r>
      <w:r w:rsidR="009F388E">
        <w:fldChar w:fldCharType="end"/>
      </w:r>
      <w:bookmarkEnd w:id="133"/>
      <w:r w:rsidR="003E2F45" w:rsidRPr="00D42DE9">
        <w:t>:</w:t>
      </w:r>
      <w:r w:rsidR="00B055FA" w:rsidRPr="00D42DE9">
        <w:t xml:space="preserve"> Projected change in school enrolments</w:t>
      </w:r>
      <w:bookmarkEnd w:id="134"/>
    </w:p>
    <w:p w:rsidR="000F4ECA" w:rsidRPr="000F4ECA" w:rsidRDefault="000F4ECA" w:rsidP="000F4ECA">
      <w:pPr>
        <w:pStyle w:val="bt"/>
        <w:spacing w:after="120"/>
      </w:pPr>
      <w:r w:rsidRPr="000F4ECA">
        <w:t>Ararat (RC)</w:t>
      </w:r>
    </w:p>
    <w:p w:rsidR="000F4ECA" w:rsidRPr="000F4ECA" w:rsidRDefault="000F4ECA" w:rsidP="000F4ECA">
      <w:pPr>
        <w:pStyle w:val="bt"/>
        <w:numPr>
          <w:ilvl w:val="0"/>
          <w:numId w:val="33"/>
        </w:numPr>
        <w:spacing w:before="120" w:after="120"/>
        <w:ind w:hanging="357"/>
      </w:pPr>
      <w:r w:rsidRPr="000F4ECA">
        <w:t>Secondary</w:t>
      </w:r>
    </w:p>
    <w:p w:rsidR="000F4ECA" w:rsidRPr="000F4ECA" w:rsidRDefault="000F4ECA" w:rsidP="000F4ECA">
      <w:pPr>
        <w:pStyle w:val="bt"/>
        <w:numPr>
          <w:ilvl w:val="0"/>
          <w:numId w:val="39"/>
        </w:numPr>
        <w:spacing w:before="120" w:after="120"/>
        <w:ind w:left="1134" w:hanging="357"/>
      </w:pPr>
      <w:r w:rsidRPr="000F4ECA">
        <w:t xml:space="preserve">2006 – 624 </w:t>
      </w:r>
    </w:p>
    <w:p w:rsidR="000F4ECA" w:rsidRPr="000F4ECA" w:rsidRDefault="000F4ECA" w:rsidP="000F4ECA">
      <w:pPr>
        <w:pStyle w:val="bt"/>
        <w:numPr>
          <w:ilvl w:val="0"/>
          <w:numId w:val="39"/>
        </w:numPr>
        <w:spacing w:before="120" w:after="120"/>
        <w:ind w:left="1134" w:hanging="357"/>
      </w:pPr>
      <w:r w:rsidRPr="000F4ECA">
        <w:t xml:space="preserve">2026 – 510 </w:t>
      </w:r>
    </w:p>
    <w:p w:rsidR="000F4ECA" w:rsidRPr="000F4ECA" w:rsidRDefault="000F4ECA" w:rsidP="000F4ECA">
      <w:pPr>
        <w:pStyle w:val="bt"/>
        <w:numPr>
          <w:ilvl w:val="0"/>
          <w:numId w:val="39"/>
        </w:numPr>
        <w:spacing w:before="120" w:after="120"/>
        <w:ind w:left="1134" w:hanging="357"/>
      </w:pPr>
      <w:r w:rsidRPr="000F4ECA">
        <w:t>Percentage change from 2006 – -18.3%</w:t>
      </w:r>
    </w:p>
    <w:p w:rsidR="000F4ECA" w:rsidRPr="000F4ECA" w:rsidRDefault="000F4ECA" w:rsidP="000F4ECA">
      <w:pPr>
        <w:pStyle w:val="bt"/>
        <w:numPr>
          <w:ilvl w:val="0"/>
          <w:numId w:val="33"/>
        </w:numPr>
        <w:spacing w:before="120" w:after="120"/>
        <w:ind w:hanging="357"/>
      </w:pPr>
      <w:r w:rsidRPr="000F4ECA">
        <w:t>Primary</w:t>
      </w:r>
    </w:p>
    <w:p w:rsidR="000F4ECA" w:rsidRPr="000F4ECA" w:rsidRDefault="000F4ECA" w:rsidP="000F4ECA">
      <w:pPr>
        <w:pStyle w:val="bt"/>
        <w:numPr>
          <w:ilvl w:val="0"/>
          <w:numId w:val="40"/>
        </w:numPr>
        <w:spacing w:before="120" w:after="120"/>
        <w:ind w:left="1134" w:hanging="357"/>
      </w:pPr>
      <w:r w:rsidRPr="000F4ECA">
        <w:t>2006 – 893</w:t>
      </w:r>
    </w:p>
    <w:p w:rsidR="000F4ECA" w:rsidRPr="000F4ECA" w:rsidRDefault="000F4ECA" w:rsidP="000F4ECA">
      <w:pPr>
        <w:pStyle w:val="bt"/>
        <w:numPr>
          <w:ilvl w:val="0"/>
          <w:numId w:val="40"/>
        </w:numPr>
        <w:spacing w:before="120" w:after="120"/>
        <w:ind w:left="1134" w:hanging="357"/>
      </w:pPr>
      <w:r w:rsidRPr="000F4ECA">
        <w:t>2026 – 763</w:t>
      </w:r>
    </w:p>
    <w:p w:rsidR="000F4ECA" w:rsidRDefault="000F4ECA" w:rsidP="000F4ECA">
      <w:pPr>
        <w:pStyle w:val="bt"/>
        <w:numPr>
          <w:ilvl w:val="0"/>
          <w:numId w:val="40"/>
        </w:numPr>
        <w:spacing w:before="120" w:after="120"/>
        <w:ind w:left="1134" w:hanging="357"/>
      </w:pPr>
      <w:r w:rsidRPr="000F4ECA">
        <w:t>Percentage change from 2006 – -14.6%</w:t>
      </w:r>
    </w:p>
    <w:p w:rsidR="000F4ECA" w:rsidRPr="000F4ECA" w:rsidRDefault="00A0638C" w:rsidP="000F4ECA">
      <w:pPr>
        <w:pStyle w:val="bt"/>
        <w:spacing w:after="120"/>
      </w:pPr>
      <w:r w:rsidRPr="000F4ECA">
        <w:rPr>
          <w:rFonts w:eastAsia="Times New Roman"/>
        </w:rPr>
        <w:t>Ballarat (C)</w:t>
      </w:r>
    </w:p>
    <w:p w:rsidR="000F4ECA" w:rsidRPr="000F4ECA" w:rsidRDefault="000F4ECA" w:rsidP="000F4ECA">
      <w:pPr>
        <w:pStyle w:val="bt"/>
        <w:numPr>
          <w:ilvl w:val="0"/>
          <w:numId w:val="33"/>
        </w:numPr>
        <w:spacing w:before="120" w:after="120"/>
        <w:ind w:hanging="357"/>
      </w:pPr>
      <w:r w:rsidRPr="000F4ECA">
        <w:t>Secondary</w:t>
      </w:r>
    </w:p>
    <w:p w:rsidR="000F4ECA" w:rsidRPr="000F4ECA" w:rsidRDefault="000F4ECA" w:rsidP="000F4ECA">
      <w:pPr>
        <w:pStyle w:val="bt"/>
        <w:numPr>
          <w:ilvl w:val="0"/>
          <w:numId w:val="39"/>
        </w:numPr>
        <w:spacing w:before="120" w:after="120"/>
        <w:ind w:left="1134" w:hanging="357"/>
      </w:pPr>
      <w:r w:rsidRPr="000F4ECA">
        <w:t xml:space="preserve">2006 – </w:t>
      </w:r>
      <w:r w:rsidR="00A0638C" w:rsidRPr="000F4ECA">
        <w:rPr>
          <w:rFonts w:eastAsia="Times New Roman"/>
        </w:rPr>
        <w:t>4229</w:t>
      </w:r>
    </w:p>
    <w:p w:rsidR="000F4ECA" w:rsidRPr="000F4ECA" w:rsidRDefault="000F4ECA" w:rsidP="000F4ECA">
      <w:pPr>
        <w:pStyle w:val="bt"/>
        <w:numPr>
          <w:ilvl w:val="0"/>
          <w:numId w:val="39"/>
        </w:numPr>
        <w:spacing w:before="120" w:after="120"/>
        <w:ind w:left="1134" w:hanging="357"/>
      </w:pPr>
      <w:r w:rsidRPr="000F4ECA">
        <w:t xml:space="preserve">2026 – </w:t>
      </w:r>
      <w:r w:rsidR="00A0638C" w:rsidRPr="000F4ECA">
        <w:rPr>
          <w:rFonts w:eastAsia="Times New Roman"/>
        </w:rPr>
        <w:t>5063</w:t>
      </w:r>
    </w:p>
    <w:p w:rsidR="000F4ECA" w:rsidRPr="000F4ECA" w:rsidRDefault="000F4ECA" w:rsidP="000F4ECA">
      <w:pPr>
        <w:pStyle w:val="bt"/>
        <w:numPr>
          <w:ilvl w:val="0"/>
          <w:numId w:val="39"/>
        </w:numPr>
        <w:spacing w:before="120" w:after="120"/>
        <w:ind w:left="1134" w:hanging="357"/>
      </w:pPr>
      <w:r w:rsidRPr="000F4ECA">
        <w:t xml:space="preserve">Percentage change from 2006 – </w:t>
      </w:r>
      <w:r w:rsidR="00A0638C" w:rsidRPr="000F4ECA">
        <w:rPr>
          <w:rFonts w:eastAsia="Times New Roman"/>
        </w:rPr>
        <w:t>+19.7%</w:t>
      </w:r>
    </w:p>
    <w:p w:rsidR="000F4ECA" w:rsidRPr="000F4ECA" w:rsidRDefault="000F4ECA" w:rsidP="000F4ECA">
      <w:pPr>
        <w:pStyle w:val="bt"/>
        <w:numPr>
          <w:ilvl w:val="0"/>
          <w:numId w:val="33"/>
        </w:numPr>
        <w:spacing w:before="120" w:after="120"/>
        <w:ind w:hanging="357"/>
      </w:pPr>
      <w:r w:rsidRPr="000F4ECA">
        <w:t>Primary</w:t>
      </w:r>
    </w:p>
    <w:p w:rsidR="000F4ECA" w:rsidRPr="000F4ECA" w:rsidRDefault="000F4ECA" w:rsidP="000F4ECA">
      <w:pPr>
        <w:pStyle w:val="bt"/>
        <w:numPr>
          <w:ilvl w:val="0"/>
          <w:numId w:val="40"/>
        </w:numPr>
        <w:spacing w:before="120" w:after="120"/>
        <w:ind w:left="1134" w:hanging="357"/>
      </w:pPr>
      <w:r w:rsidRPr="000F4ECA">
        <w:t xml:space="preserve">2006 – </w:t>
      </w:r>
      <w:r w:rsidR="00A0638C" w:rsidRPr="000F4ECA">
        <w:rPr>
          <w:rFonts w:eastAsia="Times New Roman"/>
        </w:rPr>
        <w:t>5429</w:t>
      </w:r>
    </w:p>
    <w:p w:rsidR="000F4ECA" w:rsidRPr="000F4ECA" w:rsidRDefault="000F4ECA" w:rsidP="000F4ECA">
      <w:pPr>
        <w:pStyle w:val="bt"/>
        <w:numPr>
          <w:ilvl w:val="0"/>
          <w:numId w:val="40"/>
        </w:numPr>
        <w:spacing w:before="120" w:after="120"/>
        <w:ind w:left="1134" w:hanging="357"/>
      </w:pPr>
      <w:r w:rsidRPr="000F4ECA">
        <w:t xml:space="preserve">2026 – </w:t>
      </w:r>
      <w:r w:rsidR="00A0638C" w:rsidRPr="000F4ECA">
        <w:rPr>
          <w:rFonts w:eastAsia="Times New Roman"/>
        </w:rPr>
        <w:t>6801</w:t>
      </w:r>
    </w:p>
    <w:p w:rsidR="000F4ECA" w:rsidRPr="000F4ECA" w:rsidRDefault="000F4ECA" w:rsidP="000F4ECA">
      <w:pPr>
        <w:pStyle w:val="bt"/>
        <w:numPr>
          <w:ilvl w:val="0"/>
          <w:numId w:val="40"/>
        </w:numPr>
        <w:spacing w:before="120" w:after="120"/>
        <w:ind w:left="1134" w:hanging="357"/>
      </w:pPr>
      <w:r w:rsidRPr="000F4ECA">
        <w:t xml:space="preserve">Percentage change from 2006 – </w:t>
      </w:r>
      <w:r w:rsidR="00A0638C" w:rsidRPr="000F4ECA">
        <w:rPr>
          <w:rFonts w:eastAsia="Times New Roman"/>
        </w:rPr>
        <w:t>+25.3%</w:t>
      </w:r>
    </w:p>
    <w:p w:rsidR="00A0638C" w:rsidRPr="000F4ECA" w:rsidRDefault="00A0638C" w:rsidP="00A0638C">
      <w:pPr>
        <w:pStyle w:val="bt"/>
        <w:spacing w:after="120"/>
      </w:pPr>
      <w:r w:rsidRPr="000F4ECA">
        <w:rPr>
          <w:rFonts w:eastAsia="Times New Roman"/>
        </w:rPr>
        <w:t>Golden Plains (S)</w:t>
      </w:r>
    </w:p>
    <w:p w:rsidR="00A0638C" w:rsidRPr="000F4ECA" w:rsidRDefault="00A0638C" w:rsidP="00A0638C">
      <w:pPr>
        <w:pStyle w:val="bt"/>
        <w:numPr>
          <w:ilvl w:val="0"/>
          <w:numId w:val="33"/>
        </w:numPr>
        <w:spacing w:before="120" w:after="120"/>
        <w:ind w:hanging="357"/>
      </w:pPr>
      <w:r w:rsidRPr="000F4ECA">
        <w:t>Secondary</w:t>
      </w:r>
    </w:p>
    <w:p w:rsidR="00A0638C" w:rsidRPr="000F4ECA" w:rsidRDefault="00A0638C" w:rsidP="00A0638C">
      <w:pPr>
        <w:pStyle w:val="bt"/>
        <w:numPr>
          <w:ilvl w:val="0"/>
          <w:numId w:val="39"/>
        </w:numPr>
        <w:spacing w:before="120" w:after="120"/>
        <w:ind w:left="1134" w:hanging="357"/>
      </w:pPr>
      <w:r w:rsidRPr="000F4ECA">
        <w:t xml:space="preserve">2006 – </w:t>
      </w:r>
      <w:r w:rsidRPr="000F4ECA">
        <w:rPr>
          <w:rFonts w:eastAsia="Times New Roman"/>
        </w:rPr>
        <w:t>864</w:t>
      </w:r>
    </w:p>
    <w:p w:rsidR="00A0638C" w:rsidRPr="000F4ECA" w:rsidRDefault="00A0638C" w:rsidP="00A0638C">
      <w:pPr>
        <w:pStyle w:val="bt"/>
        <w:numPr>
          <w:ilvl w:val="0"/>
          <w:numId w:val="39"/>
        </w:numPr>
        <w:spacing w:before="120" w:after="120"/>
        <w:ind w:left="1134" w:hanging="357"/>
      </w:pPr>
      <w:r w:rsidRPr="000F4ECA">
        <w:t xml:space="preserve">2026 – </w:t>
      </w:r>
      <w:r w:rsidRPr="000F4ECA">
        <w:rPr>
          <w:rFonts w:eastAsia="Times New Roman"/>
        </w:rPr>
        <w:t>1118</w:t>
      </w:r>
    </w:p>
    <w:p w:rsidR="00A0638C" w:rsidRPr="000F4ECA" w:rsidRDefault="00A0638C" w:rsidP="00A0638C">
      <w:pPr>
        <w:pStyle w:val="bt"/>
        <w:numPr>
          <w:ilvl w:val="0"/>
          <w:numId w:val="39"/>
        </w:numPr>
        <w:spacing w:before="120" w:after="120"/>
        <w:ind w:left="1134" w:hanging="357"/>
      </w:pPr>
      <w:r w:rsidRPr="000F4ECA">
        <w:t xml:space="preserve">Percentage change from 2006 – </w:t>
      </w:r>
      <w:r w:rsidRPr="000F4ECA">
        <w:rPr>
          <w:rFonts w:eastAsia="Times New Roman"/>
        </w:rPr>
        <w:t>+29.4%</w:t>
      </w:r>
    </w:p>
    <w:p w:rsidR="00A0638C" w:rsidRPr="000F4ECA" w:rsidRDefault="00A0638C" w:rsidP="00A0638C">
      <w:pPr>
        <w:pStyle w:val="bt"/>
        <w:numPr>
          <w:ilvl w:val="0"/>
          <w:numId w:val="33"/>
        </w:numPr>
        <w:spacing w:before="120" w:after="120"/>
        <w:ind w:hanging="357"/>
      </w:pPr>
      <w:r w:rsidRPr="000F4ECA">
        <w:t>Primary</w:t>
      </w:r>
    </w:p>
    <w:p w:rsidR="00A0638C" w:rsidRPr="000F4ECA" w:rsidRDefault="00A0638C" w:rsidP="00A0638C">
      <w:pPr>
        <w:pStyle w:val="bt"/>
        <w:numPr>
          <w:ilvl w:val="0"/>
          <w:numId w:val="40"/>
        </w:numPr>
        <w:spacing w:before="120" w:after="120"/>
        <w:ind w:left="1134" w:hanging="357"/>
      </w:pPr>
      <w:r w:rsidRPr="000F4ECA">
        <w:t xml:space="preserve">2006 – </w:t>
      </w:r>
      <w:r w:rsidRPr="000F4ECA">
        <w:rPr>
          <w:rFonts w:eastAsia="Times New Roman"/>
        </w:rPr>
        <w:t>1630</w:t>
      </w:r>
    </w:p>
    <w:p w:rsidR="00A0638C" w:rsidRPr="000F4ECA" w:rsidRDefault="00A0638C" w:rsidP="00A0638C">
      <w:pPr>
        <w:pStyle w:val="bt"/>
        <w:numPr>
          <w:ilvl w:val="0"/>
          <w:numId w:val="40"/>
        </w:numPr>
        <w:spacing w:before="120" w:after="120"/>
        <w:ind w:left="1134" w:hanging="357"/>
      </w:pPr>
      <w:r w:rsidRPr="000F4ECA">
        <w:t xml:space="preserve">2026 – </w:t>
      </w:r>
      <w:r w:rsidRPr="000F4ECA">
        <w:rPr>
          <w:rFonts w:eastAsia="Times New Roman"/>
        </w:rPr>
        <w:t>1863</w:t>
      </w:r>
    </w:p>
    <w:p w:rsidR="00A0638C" w:rsidRPr="000F4ECA" w:rsidRDefault="00A0638C" w:rsidP="00A0638C">
      <w:pPr>
        <w:pStyle w:val="bt"/>
        <w:numPr>
          <w:ilvl w:val="0"/>
          <w:numId w:val="40"/>
        </w:numPr>
        <w:spacing w:before="120" w:after="120"/>
        <w:ind w:left="1134" w:hanging="357"/>
      </w:pPr>
      <w:r w:rsidRPr="000F4ECA">
        <w:t xml:space="preserve">Percentage change from 2006 – </w:t>
      </w:r>
      <w:r w:rsidRPr="000F4ECA">
        <w:rPr>
          <w:rFonts w:eastAsia="Times New Roman"/>
        </w:rPr>
        <w:t>+14.3%</w:t>
      </w:r>
    </w:p>
    <w:p w:rsidR="00A0638C" w:rsidRPr="000F4ECA" w:rsidRDefault="00A0638C" w:rsidP="00A0638C">
      <w:pPr>
        <w:pStyle w:val="bt"/>
        <w:spacing w:after="120"/>
      </w:pPr>
      <w:r w:rsidRPr="000F4ECA">
        <w:rPr>
          <w:rFonts w:eastAsia="Times New Roman"/>
        </w:rPr>
        <w:t>Hepburn (S)</w:t>
      </w:r>
    </w:p>
    <w:p w:rsidR="00A0638C" w:rsidRPr="000F4ECA" w:rsidRDefault="00A0638C" w:rsidP="00A0638C">
      <w:pPr>
        <w:pStyle w:val="bt"/>
        <w:numPr>
          <w:ilvl w:val="0"/>
          <w:numId w:val="33"/>
        </w:numPr>
        <w:spacing w:before="120" w:after="120"/>
        <w:ind w:hanging="357"/>
      </w:pPr>
      <w:r w:rsidRPr="000F4ECA">
        <w:t>Secondary</w:t>
      </w:r>
    </w:p>
    <w:p w:rsidR="00A0638C" w:rsidRPr="000F4ECA" w:rsidRDefault="00A0638C" w:rsidP="00A0638C">
      <w:pPr>
        <w:pStyle w:val="bt"/>
        <w:numPr>
          <w:ilvl w:val="0"/>
          <w:numId w:val="39"/>
        </w:numPr>
        <w:spacing w:before="120" w:after="120"/>
        <w:ind w:left="1134" w:hanging="357"/>
      </w:pPr>
      <w:r w:rsidRPr="000F4ECA">
        <w:t xml:space="preserve">2006 – </w:t>
      </w:r>
      <w:r w:rsidRPr="000F4ECA">
        <w:rPr>
          <w:rFonts w:eastAsia="Times New Roman"/>
        </w:rPr>
        <w:t>830</w:t>
      </w:r>
    </w:p>
    <w:p w:rsidR="00A0638C" w:rsidRPr="000F4ECA" w:rsidRDefault="00A0638C" w:rsidP="00A0638C">
      <w:pPr>
        <w:pStyle w:val="bt"/>
        <w:numPr>
          <w:ilvl w:val="0"/>
          <w:numId w:val="39"/>
        </w:numPr>
        <w:spacing w:before="120" w:after="120"/>
        <w:ind w:left="1134" w:hanging="357"/>
      </w:pPr>
      <w:r w:rsidRPr="000F4ECA">
        <w:t xml:space="preserve">2026 – </w:t>
      </w:r>
      <w:r w:rsidRPr="000F4ECA">
        <w:rPr>
          <w:rFonts w:eastAsia="Times New Roman"/>
        </w:rPr>
        <w:t>749</w:t>
      </w:r>
    </w:p>
    <w:p w:rsidR="00A0638C" w:rsidRPr="000F4ECA" w:rsidRDefault="00A0638C" w:rsidP="00A0638C">
      <w:pPr>
        <w:pStyle w:val="bt"/>
        <w:numPr>
          <w:ilvl w:val="0"/>
          <w:numId w:val="39"/>
        </w:numPr>
        <w:spacing w:before="120" w:after="120"/>
        <w:ind w:left="1134" w:hanging="357"/>
      </w:pPr>
      <w:r w:rsidRPr="000F4ECA">
        <w:t xml:space="preserve">Percentage change from 2006 – </w:t>
      </w:r>
      <w:r w:rsidRPr="000F4ECA">
        <w:rPr>
          <w:rFonts w:eastAsia="Times New Roman"/>
        </w:rPr>
        <w:t>- 9.8%</w:t>
      </w:r>
    </w:p>
    <w:p w:rsidR="00A0638C" w:rsidRPr="000F4ECA" w:rsidRDefault="00A0638C" w:rsidP="00A0638C">
      <w:pPr>
        <w:pStyle w:val="bt"/>
        <w:numPr>
          <w:ilvl w:val="0"/>
          <w:numId w:val="33"/>
        </w:numPr>
        <w:spacing w:before="120" w:after="120"/>
        <w:ind w:hanging="357"/>
      </w:pPr>
      <w:r w:rsidRPr="000F4ECA">
        <w:t>Primary</w:t>
      </w:r>
    </w:p>
    <w:p w:rsidR="00A0638C" w:rsidRPr="000F4ECA" w:rsidRDefault="00A0638C" w:rsidP="00A0638C">
      <w:pPr>
        <w:pStyle w:val="bt"/>
        <w:numPr>
          <w:ilvl w:val="0"/>
          <w:numId w:val="40"/>
        </w:numPr>
        <w:spacing w:before="120" w:after="120"/>
        <w:ind w:left="1134" w:hanging="357"/>
      </w:pPr>
      <w:r w:rsidRPr="000F4ECA">
        <w:t xml:space="preserve">2006 – </w:t>
      </w:r>
      <w:r w:rsidRPr="000F4ECA">
        <w:rPr>
          <w:rFonts w:eastAsia="Times New Roman"/>
        </w:rPr>
        <w:t>957</w:t>
      </w:r>
    </w:p>
    <w:p w:rsidR="00A0638C" w:rsidRPr="000F4ECA" w:rsidRDefault="00A0638C" w:rsidP="00A0638C">
      <w:pPr>
        <w:pStyle w:val="bt"/>
        <w:numPr>
          <w:ilvl w:val="0"/>
          <w:numId w:val="40"/>
        </w:numPr>
        <w:spacing w:before="120" w:after="120"/>
        <w:ind w:left="1134" w:hanging="357"/>
      </w:pPr>
      <w:r w:rsidRPr="000F4ECA">
        <w:t xml:space="preserve">2026 – </w:t>
      </w:r>
      <w:r w:rsidRPr="000F4ECA">
        <w:rPr>
          <w:rFonts w:eastAsia="Times New Roman"/>
        </w:rPr>
        <w:t>990</w:t>
      </w:r>
    </w:p>
    <w:p w:rsidR="00A0638C" w:rsidRPr="000F4ECA" w:rsidRDefault="00A0638C" w:rsidP="00A0638C">
      <w:pPr>
        <w:pStyle w:val="bt"/>
        <w:numPr>
          <w:ilvl w:val="0"/>
          <w:numId w:val="40"/>
        </w:numPr>
        <w:spacing w:before="120" w:after="120"/>
        <w:ind w:left="1134" w:hanging="357"/>
      </w:pPr>
      <w:r w:rsidRPr="000F4ECA">
        <w:lastRenderedPageBreak/>
        <w:t xml:space="preserve">Percentage change from 2006 – </w:t>
      </w:r>
      <w:r w:rsidRPr="000F4ECA">
        <w:rPr>
          <w:rFonts w:eastAsia="Times New Roman"/>
        </w:rPr>
        <w:t>+3.4%</w:t>
      </w:r>
    </w:p>
    <w:p w:rsidR="00A0638C" w:rsidRPr="000F4ECA" w:rsidRDefault="00A0638C" w:rsidP="00A0638C">
      <w:pPr>
        <w:pStyle w:val="bt"/>
        <w:spacing w:after="120"/>
      </w:pPr>
      <w:r w:rsidRPr="000F4ECA">
        <w:rPr>
          <w:rFonts w:eastAsia="Times New Roman"/>
        </w:rPr>
        <w:t>Moorabool (S)</w:t>
      </w:r>
    </w:p>
    <w:p w:rsidR="00A0638C" w:rsidRPr="000F4ECA" w:rsidRDefault="00A0638C" w:rsidP="00A0638C">
      <w:pPr>
        <w:pStyle w:val="bt"/>
        <w:numPr>
          <w:ilvl w:val="0"/>
          <w:numId w:val="33"/>
        </w:numPr>
        <w:spacing w:before="120" w:after="120"/>
        <w:ind w:hanging="357"/>
      </w:pPr>
      <w:r w:rsidRPr="000F4ECA">
        <w:t>Secondary</w:t>
      </w:r>
    </w:p>
    <w:p w:rsidR="00A0638C" w:rsidRPr="000F4ECA" w:rsidRDefault="00A0638C" w:rsidP="00A0638C">
      <w:pPr>
        <w:pStyle w:val="bt"/>
        <w:numPr>
          <w:ilvl w:val="0"/>
          <w:numId w:val="39"/>
        </w:numPr>
        <w:spacing w:before="120" w:after="120"/>
        <w:ind w:left="1134" w:hanging="357"/>
      </w:pPr>
      <w:r w:rsidRPr="000F4ECA">
        <w:t xml:space="preserve">2006 – </w:t>
      </w:r>
      <w:r w:rsidRPr="000F4ECA">
        <w:rPr>
          <w:rFonts w:eastAsia="Times New Roman"/>
        </w:rPr>
        <w:t>1306</w:t>
      </w:r>
    </w:p>
    <w:p w:rsidR="00A0638C" w:rsidRPr="000F4ECA" w:rsidRDefault="00A0638C" w:rsidP="00A0638C">
      <w:pPr>
        <w:pStyle w:val="bt"/>
        <w:numPr>
          <w:ilvl w:val="0"/>
          <w:numId w:val="39"/>
        </w:numPr>
        <w:spacing w:before="120" w:after="120"/>
        <w:ind w:left="1134" w:hanging="357"/>
      </w:pPr>
      <w:r w:rsidRPr="000F4ECA">
        <w:t xml:space="preserve">2026 – </w:t>
      </w:r>
      <w:r w:rsidRPr="000F4ECA">
        <w:rPr>
          <w:rFonts w:eastAsia="Times New Roman"/>
        </w:rPr>
        <w:t>1357</w:t>
      </w:r>
    </w:p>
    <w:p w:rsidR="00A0638C" w:rsidRPr="000F4ECA" w:rsidRDefault="00A0638C" w:rsidP="00A0638C">
      <w:pPr>
        <w:pStyle w:val="bt"/>
        <w:numPr>
          <w:ilvl w:val="0"/>
          <w:numId w:val="39"/>
        </w:numPr>
        <w:spacing w:before="120" w:after="120"/>
        <w:ind w:left="1134" w:hanging="357"/>
      </w:pPr>
      <w:r w:rsidRPr="000F4ECA">
        <w:t xml:space="preserve">Percentage change from 2006 – </w:t>
      </w:r>
      <w:r w:rsidRPr="000F4ECA">
        <w:rPr>
          <w:rFonts w:eastAsia="Times New Roman"/>
        </w:rPr>
        <w:t>+3.9%</w:t>
      </w:r>
    </w:p>
    <w:p w:rsidR="00A0638C" w:rsidRPr="000F4ECA" w:rsidRDefault="00A0638C" w:rsidP="00A0638C">
      <w:pPr>
        <w:pStyle w:val="bt"/>
        <w:numPr>
          <w:ilvl w:val="0"/>
          <w:numId w:val="33"/>
        </w:numPr>
        <w:spacing w:before="120" w:after="120"/>
        <w:ind w:hanging="357"/>
      </w:pPr>
      <w:r w:rsidRPr="000F4ECA">
        <w:t>Primary</w:t>
      </w:r>
    </w:p>
    <w:p w:rsidR="00A0638C" w:rsidRPr="000F4ECA" w:rsidRDefault="00A0638C" w:rsidP="00A0638C">
      <w:pPr>
        <w:pStyle w:val="bt"/>
        <w:numPr>
          <w:ilvl w:val="0"/>
          <w:numId w:val="40"/>
        </w:numPr>
        <w:spacing w:before="120" w:after="120"/>
        <w:ind w:left="1134" w:hanging="357"/>
      </w:pPr>
      <w:r w:rsidRPr="000F4ECA">
        <w:t xml:space="preserve">2006 – </w:t>
      </w:r>
      <w:r w:rsidRPr="000F4ECA">
        <w:rPr>
          <w:rFonts w:eastAsia="Times New Roman"/>
        </w:rPr>
        <w:t>2156</w:t>
      </w:r>
    </w:p>
    <w:p w:rsidR="00A0638C" w:rsidRPr="000F4ECA" w:rsidRDefault="00A0638C" w:rsidP="00A0638C">
      <w:pPr>
        <w:pStyle w:val="bt"/>
        <w:numPr>
          <w:ilvl w:val="0"/>
          <w:numId w:val="40"/>
        </w:numPr>
        <w:spacing w:before="120" w:after="120"/>
        <w:ind w:left="1134" w:hanging="357"/>
      </w:pPr>
      <w:r w:rsidRPr="000F4ECA">
        <w:t xml:space="preserve">2026 – </w:t>
      </w:r>
      <w:r w:rsidRPr="000F4ECA">
        <w:rPr>
          <w:rFonts w:eastAsia="Times New Roman"/>
        </w:rPr>
        <w:t>2258</w:t>
      </w:r>
    </w:p>
    <w:p w:rsidR="00A0638C" w:rsidRPr="000F4ECA" w:rsidRDefault="00A0638C" w:rsidP="00A0638C">
      <w:pPr>
        <w:pStyle w:val="bt"/>
        <w:numPr>
          <w:ilvl w:val="0"/>
          <w:numId w:val="40"/>
        </w:numPr>
        <w:spacing w:before="120" w:after="120"/>
        <w:ind w:left="1134" w:hanging="357"/>
      </w:pPr>
      <w:r w:rsidRPr="000F4ECA">
        <w:t xml:space="preserve">Percentage change from 2006 – </w:t>
      </w:r>
      <w:r w:rsidRPr="000F4ECA">
        <w:rPr>
          <w:rFonts w:eastAsia="Times New Roman"/>
        </w:rPr>
        <w:t>+4.7%</w:t>
      </w:r>
    </w:p>
    <w:p w:rsidR="00A0638C" w:rsidRPr="000F4ECA" w:rsidRDefault="00A0638C" w:rsidP="00A0638C">
      <w:pPr>
        <w:pStyle w:val="bt"/>
        <w:spacing w:after="120"/>
      </w:pPr>
      <w:r w:rsidRPr="000F4ECA">
        <w:rPr>
          <w:rFonts w:eastAsia="Times New Roman"/>
        </w:rPr>
        <w:t>Northern Grampians (S)</w:t>
      </w:r>
    </w:p>
    <w:p w:rsidR="00A0638C" w:rsidRPr="000F4ECA" w:rsidRDefault="00A0638C" w:rsidP="00A0638C">
      <w:pPr>
        <w:pStyle w:val="bt"/>
        <w:numPr>
          <w:ilvl w:val="0"/>
          <w:numId w:val="33"/>
        </w:numPr>
        <w:spacing w:before="120" w:after="120"/>
        <w:ind w:hanging="357"/>
      </w:pPr>
      <w:r w:rsidRPr="000F4ECA">
        <w:t>Secondary</w:t>
      </w:r>
    </w:p>
    <w:p w:rsidR="00A0638C" w:rsidRPr="000F4ECA" w:rsidRDefault="00A0638C" w:rsidP="00A0638C">
      <w:pPr>
        <w:pStyle w:val="bt"/>
        <w:numPr>
          <w:ilvl w:val="0"/>
          <w:numId w:val="39"/>
        </w:numPr>
        <w:spacing w:before="120" w:after="120"/>
        <w:ind w:left="1134" w:hanging="357"/>
      </w:pPr>
      <w:r w:rsidRPr="000F4ECA">
        <w:t xml:space="preserve">2006 – </w:t>
      </w:r>
      <w:r w:rsidRPr="000F4ECA">
        <w:rPr>
          <w:rFonts w:eastAsia="Times New Roman"/>
        </w:rPr>
        <w:t>867</w:t>
      </w:r>
    </w:p>
    <w:p w:rsidR="00A0638C" w:rsidRPr="000F4ECA" w:rsidRDefault="00A0638C" w:rsidP="00A0638C">
      <w:pPr>
        <w:pStyle w:val="bt"/>
        <w:numPr>
          <w:ilvl w:val="0"/>
          <w:numId w:val="39"/>
        </w:numPr>
        <w:spacing w:before="120" w:after="120"/>
        <w:ind w:left="1134" w:hanging="357"/>
      </w:pPr>
      <w:r w:rsidRPr="000F4ECA">
        <w:t xml:space="preserve">2026 – </w:t>
      </w:r>
      <w:r w:rsidRPr="000F4ECA">
        <w:rPr>
          <w:rFonts w:eastAsia="Times New Roman"/>
        </w:rPr>
        <w:t>497</w:t>
      </w:r>
    </w:p>
    <w:p w:rsidR="00A0638C" w:rsidRPr="000F4ECA" w:rsidRDefault="00A0638C" w:rsidP="00A0638C">
      <w:pPr>
        <w:pStyle w:val="bt"/>
        <w:numPr>
          <w:ilvl w:val="0"/>
          <w:numId w:val="39"/>
        </w:numPr>
        <w:spacing w:before="120" w:after="120"/>
        <w:ind w:left="1134" w:hanging="357"/>
      </w:pPr>
      <w:r w:rsidRPr="000F4ECA">
        <w:t xml:space="preserve">Percentage change from 2006 – </w:t>
      </w:r>
      <w:r w:rsidRPr="000F4ECA">
        <w:rPr>
          <w:rFonts w:eastAsia="Times New Roman"/>
        </w:rPr>
        <w:t>- 42.7%</w:t>
      </w:r>
    </w:p>
    <w:p w:rsidR="00A0638C" w:rsidRPr="000F4ECA" w:rsidRDefault="00A0638C" w:rsidP="00A0638C">
      <w:pPr>
        <w:pStyle w:val="bt"/>
        <w:numPr>
          <w:ilvl w:val="0"/>
          <w:numId w:val="33"/>
        </w:numPr>
        <w:spacing w:before="120" w:after="120"/>
        <w:ind w:hanging="357"/>
      </w:pPr>
      <w:r w:rsidRPr="000F4ECA">
        <w:t>Primary</w:t>
      </w:r>
    </w:p>
    <w:p w:rsidR="00A0638C" w:rsidRPr="000F4ECA" w:rsidRDefault="00A0638C" w:rsidP="00A0638C">
      <w:pPr>
        <w:pStyle w:val="bt"/>
        <w:numPr>
          <w:ilvl w:val="0"/>
          <w:numId w:val="40"/>
        </w:numPr>
        <w:spacing w:before="120" w:after="120"/>
        <w:ind w:left="1134" w:hanging="357"/>
      </w:pPr>
      <w:r w:rsidRPr="000F4ECA">
        <w:t xml:space="preserve">2006 – </w:t>
      </w:r>
      <w:r w:rsidRPr="000F4ECA">
        <w:rPr>
          <w:rFonts w:eastAsia="Times New Roman"/>
        </w:rPr>
        <w:t>928</w:t>
      </w:r>
    </w:p>
    <w:p w:rsidR="00A0638C" w:rsidRPr="000F4ECA" w:rsidRDefault="00A0638C" w:rsidP="00A0638C">
      <w:pPr>
        <w:pStyle w:val="bt"/>
        <w:numPr>
          <w:ilvl w:val="0"/>
          <w:numId w:val="40"/>
        </w:numPr>
        <w:spacing w:before="120" w:after="120"/>
        <w:ind w:left="1134" w:hanging="357"/>
      </w:pPr>
      <w:r w:rsidRPr="000F4ECA">
        <w:t xml:space="preserve">2026 – </w:t>
      </w:r>
      <w:r w:rsidRPr="000F4ECA">
        <w:rPr>
          <w:rFonts w:eastAsia="Times New Roman"/>
        </w:rPr>
        <w:t>554</w:t>
      </w:r>
    </w:p>
    <w:p w:rsidR="00A0638C" w:rsidRPr="000F4ECA" w:rsidRDefault="00A0638C" w:rsidP="00A0638C">
      <w:pPr>
        <w:pStyle w:val="bt"/>
        <w:numPr>
          <w:ilvl w:val="0"/>
          <w:numId w:val="40"/>
        </w:numPr>
        <w:spacing w:before="120" w:after="120"/>
        <w:ind w:left="1134" w:hanging="357"/>
      </w:pPr>
      <w:r w:rsidRPr="000F4ECA">
        <w:t xml:space="preserve">Percentage change from 2006 – </w:t>
      </w:r>
      <w:r w:rsidRPr="000F4ECA">
        <w:rPr>
          <w:rFonts w:eastAsia="Times New Roman"/>
        </w:rPr>
        <w:t>- 40.3%</w:t>
      </w:r>
    </w:p>
    <w:p w:rsidR="00A0638C" w:rsidRPr="000F4ECA" w:rsidRDefault="00A0638C" w:rsidP="00A0638C">
      <w:pPr>
        <w:pStyle w:val="bt"/>
        <w:spacing w:after="120"/>
      </w:pPr>
      <w:r w:rsidRPr="000F4ECA">
        <w:rPr>
          <w:rFonts w:eastAsia="Times New Roman"/>
        </w:rPr>
        <w:t>Pyrenees (S)</w:t>
      </w:r>
    </w:p>
    <w:p w:rsidR="00A0638C" w:rsidRPr="000F4ECA" w:rsidRDefault="00A0638C" w:rsidP="00A0638C">
      <w:pPr>
        <w:pStyle w:val="bt"/>
        <w:numPr>
          <w:ilvl w:val="0"/>
          <w:numId w:val="33"/>
        </w:numPr>
        <w:spacing w:before="120" w:after="120"/>
        <w:ind w:hanging="357"/>
      </w:pPr>
      <w:r w:rsidRPr="000F4ECA">
        <w:t>Secondary</w:t>
      </w:r>
    </w:p>
    <w:p w:rsidR="00A0638C" w:rsidRPr="000F4ECA" w:rsidRDefault="00A0638C" w:rsidP="00A0638C">
      <w:pPr>
        <w:pStyle w:val="bt"/>
        <w:numPr>
          <w:ilvl w:val="0"/>
          <w:numId w:val="39"/>
        </w:numPr>
        <w:spacing w:before="120" w:after="120"/>
        <w:ind w:left="1134" w:hanging="357"/>
      </w:pPr>
      <w:r w:rsidRPr="000F4ECA">
        <w:t xml:space="preserve">2006 – </w:t>
      </w:r>
      <w:r w:rsidRPr="000F4ECA">
        <w:rPr>
          <w:rFonts w:eastAsia="Times New Roman"/>
        </w:rPr>
        <w:t>376</w:t>
      </w:r>
    </w:p>
    <w:p w:rsidR="00A0638C" w:rsidRPr="000F4ECA" w:rsidRDefault="00A0638C" w:rsidP="00A0638C">
      <w:pPr>
        <w:pStyle w:val="bt"/>
        <w:numPr>
          <w:ilvl w:val="0"/>
          <w:numId w:val="39"/>
        </w:numPr>
        <w:spacing w:before="120" w:after="120"/>
        <w:ind w:left="1134" w:hanging="357"/>
      </w:pPr>
      <w:r w:rsidRPr="000F4ECA">
        <w:t xml:space="preserve">2026 – </w:t>
      </w:r>
      <w:r w:rsidRPr="000F4ECA">
        <w:rPr>
          <w:rFonts w:eastAsia="Times New Roman"/>
        </w:rPr>
        <w:t>362</w:t>
      </w:r>
    </w:p>
    <w:p w:rsidR="00A0638C" w:rsidRPr="000F4ECA" w:rsidRDefault="00A0638C" w:rsidP="00A0638C">
      <w:pPr>
        <w:pStyle w:val="bt"/>
        <w:numPr>
          <w:ilvl w:val="0"/>
          <w:numId w:val="39"/>
        </w:numPr>
        <w:spacing w:before="120" w:after="120"/>
        <w:ind w:left="1134" w:hanging="357"/>
      </w:pPr>
      <w:r w:rsidRPr="000F4ECA">
        <w:t xml:space="preserve">Percentage change from 2006 – </w:t>
      </w:r>
      <w:r w:rsidRPr="000F4ECA">
        <w:rPr>
          <w:rFonts w:eastAsia="Times New Roman"/>
        </w:rPr>
        <w:t>- 3.7%</w:t>
      </w:r>
    </w:p>
    <w:p w:rsidR="00A0638C" w:rsidRPr="000F4ECA" w:rsidRDefault="00A0638C" w:rsidP="00A0638C">
      <w:pPr>
        <w:pStyle w:val="bt"/>
        <w:numPr>
          <w:ilvl w:val="0"/>
          <w:numId w:val="33"/>
        </w:numPr>
        <w:spacing w:before="120" w:after="120"/>
        <w:ind w:hanging="357"/>
      </w:pPr>
      <w:r w:rsidRPr="000F4ECA">
        <w:t>Primary</w:t>
      </w:r>
    </w:p>
    <w:p w:rsidR="00A0638C" w:rsidRPr="000F4ECA" w:rsidRDefault="00A0638C" w:rsidP="00A0638C">
      <w:pPr>
        <w:pStyle w:val="bt"/>
        <w:numPr>
          <w:ilvl w:val="0"/>
          <w:numId w:val="40"/>
        </w:numPr>
        <w:spacing w:before="120" w:after="120"/>
        <w:ind w:left="1134" w:hanging="357"/>
      </w:pPr>
      <w:r w:rsidRPr="000F4ECA">
        <w:t xml:space="preserve">2006 – </w:t>
      </w:r>
      <w:r w:rsidRPr="000F4ECA">
        <w:rPr>
          <w:rFonts w:eastAsia="Times New Roman"/>
        </w:rPr>
        <w:t>572</w:t>
      </w:r>
    </w:p>
    <w:p w:rsidR="00A0638C" w:rsidRPr="000F4ECA" w:rsidRDefault="00A0638C" w:rsidP="00A0638C">
      <w:pPr>
        <w:pStyle w:val="bt"/>
        <w:numPr>
          <w:ilvl w:val="0"/>
          <w:numId w:val="40"/>
        </w:numPr>
        <w:spacing w:before="120" w:after="120"/>
        <w:ind w:left="1134" w:hanging="357"/>
      </w:pPr>
      <w:r w:rsidRPr="000F4ECA">
        <w:t xml:space="preserve">2026 – </w:t>
      </w:r>
      <w:r w:rsidRPr="000F4ECA">
        <w:rPr>
          <w:rFonts w:eastAsia="Times New Roman"/>
        </w:rPr>
        <w:t>528</w:t>
      </w:r>
    </w:p>
    <w:p w:rsidR="000F4ECA" w:rsidRPr="000F4ECA" w:rsidRDefault="00A0638C" w:rsidP="00A0638C">
      <w:pPr>
        <w:pStyle w:val="bt"/>
        <w:numPr>
          <w:ilvl w:val="0"/>
          <w:numId w:val="40"/>
        </w:numPr>
        <w:spacing w:before="120" w:after="120"/>
        <w:ind w:left="1134" w:hanging="357"/>
      </w:pPr>
      <w:r w:rsidRPr="000F4ECA">
        <w:t xml:space="preserve">Percentage change from 2006 – </w:t>
      </w:r>
      <w:r w:rsidRPr="000F4ECA">
        <w:rPr>
          <w:rFonts w:eastAsia="Times New Roman"/>
        </w:rPr>
        <w:t>-7.7%</w:t>
      </w:r>
    </w:p>
    <w:p w:rsidR="00C820C0" w:rsidRDefault="00EE0835" w:rsidP="00455FD8">
      <w:pPr>
        <w:pStyle w:val="Source0"/>
      </w:pPr>
      <w:r w:rsidRPr="00D42DE9">
        <w:t>S</w:t>
      </w:r>
      <w:r w:rsidR="00BD549B" w:rsidRPr="00BD549B">
        <w:t xml:space="preserve">ource: </w:t>
      </w:r>
      <w:r w:rsidR="00A972A0" w:rsidRPr="005978F4">
        <w:rPr>
          <w:rFonts w:eastAsiaTheme="minorHAnsi"/>
          <w:lang w:eastAsia="en-US"/>
        </w:rPr>
        <w:t>Department of Education and Early Childhood Development</w:t>
      </w:r>
    </w:p>
    <w:p w:rsidR="008F1881" w:rsidRPr="005978F4" w:rsidRDefault="005978F4" w:rsidP="00537648">
      <w:pPr>
        <w:pStyle w:val="bt"/>
        <w:spacing w:after="120"/>
        <w:rPr>
          <w:rFonts w:eastAsiaTheme="minorHAnsi"/>
          <w:lang w:eastAsia="en-US"/>
        </w:rPr>
      </w:pPr>
      <w:r w:rsidRPr="005978F4">
        <w:rPr>
          <w:rFonts w:eastAsiaTheme="minorHAnsi"/>
          <w:lang w:eastAsia="en-US"/>
        </w:rPr>
        <w:t xml:space="preserve">Education </w:t>
      </w:r>
      <w:r w:rsidR="00BD549B" w:rsidRPr="005978F4">
        <w:rPr>
          <w:rFonts w:eastAsiaTheme="minorHAnsi"/>
          <w:lang w:eastAsia="en-US"/>
        </w:rPr>
        <w:t xml:space="preserve">provision and access in the </w:t>
      </w:r>
      <w:r w:rsidRPr="005978F4">
        <w:rPr>
          <w:rFonts w:eastAsiaTheme="minorHAnsi"/>
          <w:lang w:eastAsia="en-US"/>
        </w:rPr>
        <w:t>South Western Vic</w:t>
      </w:r>
      <w:r>
        <w:rPr>
          <w:rFonts w:eastAsiaTheme="minorHAnsi"/>
          <w:lang w:eastAsia="en-US"/>
        </w:rPr>
        <w:t>toria</w:t>
      </w:r>
      <w:r w:rsidRPr="005978F4">
        <w:rPr>
          <w:rFonts w:eastAsiaTheme="minorHAnsi"/>
          <w:lang w:eastAsia="en-US"/>
        </w:rPr>
        <w:t xml:space="preserve"> Region of the Department of Education and Early Childhood Development</w:t>
      </w:r>
      <w:r w:rsidR="002D50AF">
        <w:rPr>
          <w:rFonts w:eastAsiaTheme="minorHAnsi"/>
          <w:lang w:eastAsia="en-US"/>
        </w:rPr>
        <w:t>,</w:t>
      </w:r>
      <w:r w:rsidRPr="005978F4">
        <w:rPr>
          <w:rFonts w:eastAsiaTheme="minorHAnsi"/>
          <w:lang w:eastAsia="en-US"/>
        </w:rPr>
        <w:t xml:space="preserve"> within </w:t>
      </w:r>
      <w:r w:rsidR="00BD549B" w:rsidRPr="005978F4">
        <w:rPr>
          <w:rFonts w:eastAsiaTheme="minorHAnsi"/>
          <w:lang w:eastAsia="en-US"/>
        </w:rPr>
        <w:t xml:space="preserve">which the Central Highlands region is located, comprises six core elements: </w:t>
      </w:r>
    </w:p>
    <w:p w:rsidR="00DD6647" w:rsidRPr="005978F4" w:rsidRDefault="00BD549B" w:rsidP="00EE0835">
      <w:pPr>
        <w:pStyle w:val="ListBullet"/>
      </w:pPr>
      <w:r w:rsidRPr="005978F4">
        <w:t>universal access to quality kindergarten provision</w:t>
      </w:r>
    </w:p>
    <w:p w:rsidR="00DD6647" w:rsidRPr="005978F4" w:rsidRDefault="00BD549B" w:rsidP="00EE0835">
      <w:pPr>
        <w:pStyle w:val="ListBullet"/>
      </w:pPr>
      <w:r w:rsidRPr="005978F4">
        <w:t>access to a comprehensive and contemporary range of learning programs regardless of location</w:t>
      </w:r>
    </w:p>
    <w:p w:rsidR="00DD6647" w:rsidRPr="005978F4" w:rsidRDefault="00BD549B" w:rsidP="00EE0835">
      <w:pPr>
        <w:pStyle w:val="ListBullet"/>
      </w:pPr>
      <w:r w:rsidRPr="005978F4">
        <w:t>provision of school buildings that are fit-for-purpose</w:t>
      </w:r>
    </w:p>
    <w:p w:rsidR="00DD6647" w:rsidRPr="005978F4" w:rsidRDefault="00BD549B" w:rsidP="00EE0835">
      <w:pPr>
        <w:pStyle w:val="ListBullet"/>
      </w:pPr>
      <w:r w:rsidRPr="005978F4">
        <w:t xml:space="preserve">access to flexible, blended learning opportunities </w:t>
      </w:r>
    </w:p>
    <w:p w:rsidR="00DD6647" w:rsidRPr="005978F4" w:rsidRDefault="00BD549B" w:rsidP="00EE0835">
      <w:pPr>
        <w:pStyle w:val="ListBullet"/>
      </w:pPr>
      <w:r w:rsidRPr="005978F4">
        <w:t xml:space="preserve">integration of early childhood services and education through community hubs </w:t>
      </w:r>
    </w:p>
    <w:p w:rsidR="00537648" w:rsidRPr="005978F4" w:rsidRDefault="00BD549B" w:rsidP="00537648">
      <w:pPr>
        <w:pStyle w:val="ListBullet"/>
      </w:pPr>
      <w:r w:rsidRPr="005978F4">
        <w:t xml:space="preserve">access to qualified and high quality teaching, care and leadership. </w:t>
      </w:r>
    </w:p>
    <w:p w:rsidR="00B055FA" w:rsidRPr="005978F4" w:rsidRDefault="00BD549B" w:rsidP="00EE0835">
      <w:pPr>
        <w:pStyle w:val="bt"/>
      </w:pPr>
      <w:r w:rsidRPr="005978F4">
        <w:lastRenderedPageBreak/>
        <w:t xml:space="preserve">One particular issue of note is that Golden Plains, a shire experiencing sustained peri-urban growth, </w:t>
      </w:r>
      <w:r w:rsidR="00FD7D03">
        <w:t>does not have a</w:t>
      </w:r>
      <w:r w:rsidRPr="005978F4">
        <w:t xml:space="preserve"> secondary school. Students within this municipality </w:t>
      </w:r>
      <w:r w:rsidR="00FD7D03">
        <w:t xml:space="preserve">travel </w:t>
      </w:r>
      <w:r w:rsidRPr="005978F4">
        <w:t>to schools in Geelong and Ballarat.</w:t>
      </w:r>
    </w:p>
    <w:p w:rsidR="00F93A5F" w:rsidRPr="005978F4" w:rsidRDefault="00BD549B" w:rsidP="00537648">
      <w:pPr>
        <w:pStyle w:val="Heading3"/>
        <w:spacing w:before="240"/>
      </w:pPr>
      <w:r w:rsidRPr="005978F4">
        <w:t>Land use planning response</w:t>
      </w:r>
    </w:p>
    <w:p w:rsidR="00DD6647" w:rsidRPr="002D3BE7" w:rsidRDefault="00BD549B" w:rsidP="002D3BE7">
      <w:pPr>
        <w:pStyle w:val="bt"/>
      </w:pPr>
      <w:r w:rsidRPr="002D3BE7">
        <w:t>While education and skills are vital to the prosperity of the Central Highlands region, many aspects of this issue are not within the scope of a regional growth plan, and will be addressed by the Central Highlands Regional Strategic Plan and other initiatives. Nevertheless, the planning system has a role to play in delivering the</w:t>
      </w:r>
      <w:r w:rsidR="00DD6647" w:rsidRPr="002D3BE7">
        <w:t xml:space="preserve"> </w:t>
      </w:r>
      <w:r w:rsidRPr="002D3BE7">
        <w:t>Department of Education and Early Childhood Development’s</w:t>
      </w:r>
      <w:r w:rsidR="005978F4" w:rsidRPr="002D3BE7">
        <w:t xml:space="preserve"> provision and access goals</w:t>
      </w:r>
      <w:r w:rsidR="00DD6647" w:rsidRPr="002D3BE7">
        <w:t xml:space="preserve"> as well as supporting the </w:t>
      </w:r>
      <w:r w:rsidR="00B055FA" w:rsidRPr="002D3BE7">
        <w:t xml:space="preserve">provision of a skilled workforce that is compatible with the employment needs of the region. </w:t>
      </w:r>
      <w:r w:rsidR="00DD6647" w:rsidRPr="002D3BE7">
        <w:t>There are clearly benefits to be gained from adopting an integrated approach to planning for education and strategic land use planning for population growth and change.</w:t>
      </w:r>
      <w:r w:rsidR="009F1A0E" w:rsidRPr="002D3BE7">
        <w:t xml:space="preserve"> </w:t>
      </w:r>
      <w:r w:rsidR="00E4384E" w:rsidRPr="002D3BE7">
        <w:t>The provision of k</w:t>
      </w:r>
      <w:r w:rsidR="00DD6647" w:rsidRPr="002D3BE7">
        <w:t xml:space="preserve">ey education facilities and infrastructure needs should be informed by land development priorities. </w:t>
      </w:r>
    </w:p>
    <w:p w:rsidR="00B055FA" w:rsidRPr="005978F4" w:rsidRDefault="00BD549B" w:rsidP="00537648">
      <w:pPr>
        <w:pStyle w:val="bt"/>
        <w:spacing w:after="120"/>
      </w:pPr>
      <w:r w:rsidRPr="005978F4">
        <w:t>Land use responses might include:</w:t>
      </w:r>
    </w:p>
    <w:p w:rsidR="001109D4" w:rsidRPr="005978F4" w:rsidRDefault="00BD549B" w:rsidP="00EE0835">
      <w:pPr>
        <w:pStyle w:val="ListBullet"/>
      </w:pPr>
      <w:r w:rsidRPr="005978F4">
        <w:t>supporting a pattern of settlement that is compatible with making education facilities highly accessible</w:t>
      </w:r>
    </w:p>
    <w:p w:rsidR="001109D4" w:rsidRPr="005978F4" w:rsidRDefault="00BD549B" w:rsidP="00EE0835">
      <w:pPr>
        <w:pStyle w:val="ListBullet"/>
      </w:pPr>
      <w:r w:rsidRPr="005978F4">
        <w:t>identifying land required for the expansion of existing facilities or development of new infrastructure in growth areas</w:t>
      </w:r>
    </w:p>
    <w:p w:rsidR="001109D4" w:rsidRPr="005978F4" w:rsidRDefault="00BD549B" w:rsidP="00EE0835">
      <w:pPr>
        <w:pStyle w:val="ListBullet"/>
      </w:pPr>
      <w:r w:rsidRPr="005978F4">
        <w:t>encouraging the growth of settlements where education facilities are already provided to ensure their long-term sustainability</w:t>
      </w:r>
    </w:p>
    <w:p w:rsidR="001109D4" w:rsidRPr="005978F4" w:rsidRDefault="00BD549B" w:rsidP="00EE0835">
      <w:pPr>
        <w:pStyle w:val="ListBullet"/>
      </w:pPr>
      <w:r w:rsidRPr="005978F4">
        <w:t>supporting appropriate transport services and infrastructure to maximise accessibility</w:t>
      </w:r>
    </w:p>
    <w:p w:rsidR="001109D4" w:rsidRPr="005978F4" w:rsidRDefault="00BD549B" w:rsidP="00EE0835">
      <w:pPr>
        <w:pStyle w:val="ListBullet"/>
      </w:pPr>
      <w:r w:rsidRPr="005978F4">
        <w:t>ensuring there is an appropriate mix of housing and other facilities to attract highly skilled migrants</w:t>
      </w:r>
    </w:p>
    <w:p w:rsidR="001109D4" w:rsidRPr="005978F4" w:rsidRDefault="00BD549B" w:rsidP="00EE0835">
      <w:pPr>
        <w:pStyle w:val="ListBullet"/>
      </w:pPr>
      <w:r w:rsidRPr="005978F4">
        <w:t>supporting employment uses that link with employment and training programs provided in the area</w:t>
      </w:r>
    </w:p>
    <w:p w:rsidR="001109D4" w:rsidRPr="005978F4" w:rsidRDefault="00BD549B" w:rsidP="00EE0835">
      <w:pPr>
        <w:pStyle w:val="ListBullet"/>
      </w:pPr>
      <w:r w:rsidRPr="005978F4">
        <w:t>identifying gaps in key education infrastructure that are hindering growth and prosperity, or exacerbating disadvantage</w:t>
      </w:r>
    </w:p>
    <w:p w:rsidR="001D52CB" w:rsidRPr="005978F4" w:rsidRDefault="00BD549B" w:rsidP="001D52CB">
      <w:pPr>
        <w:pStyle w:val="ListBullet"/>
      </w:pPr>
      <w:r w:rsidRPr="005978F4">
        <w:t xml:space="preserve">supporting the expansion of </w:t>
      </w:r>
      <w:r w:rsidR="00FC3810">
        <w:t>Federation</w:t>
      </w:r>
      <w:r w:rsidRPr="005978F4">
        <w:t xml:space="preserve"> University </w:t>
      </w:r>
      <w:r w:rsidR="00FC3810">
        <w:t>Australia</w:t>
      </w:r>
      <w:r w:rsidRPr="005978F4">
        <w:t xml:space="preserve"> </w:t>
      </w:r>
      <w:r w:rsidR="00861AC6">
        <w:t>and</w:t>
      </w:r>
      <w:r w:rsidRPr="005978F4">
        <w:t xml:space="preserve"> associated employment and education uses.</w:t>
      </w:r>
    </w:p>
    <w:p w:rsidR="00C820C0" w:rsidRDefault="001D52CB">
      <w:pPr>
        <w:pStyle w:val="bt"/>
      </w:pPr>
      <w:r>
        <w:t xml:space="preserve">The plan expresses the need to protect the </w:t>
      </w:r>
      <w:r w:rsidR="00A12A7D">
        <w:t xml:space="preserve">operation </w:t>
      </w:r>
      <w:r>
        <w:t xml:space="preserve">of </w:t>
      </w:r>
      <w:r w:rsidR="00D91AA4">
        <w:t>existing and planned health and educational training facilities from conflicting land use.</w:t>
      </w:r>
    </w:p>
    <w:p w:rsidR="00F93A5F" w:rsidRPr="005B01F7" w:rsidRDefault="00B055FA" w:rsidP="00537648">
      <w:pPr>
        <w:pStyle w:val="Heading2"/>
        <w:spacing w:before="240"/>
      </w:pPr>
      <w:bookmarkStart w:id="135" w:name="_Toc349557706"/>
      <w:bookmarkStart w:id="136" w:name="_Toc374527604"/>
      <w:r w:rsidRPr="005B01F7">
        <w:t xml:space="preserve">Health and </w:t>
      </w:r>
      <w:bookmarkEnd w:id="135"/>
      <w:r w:rsidR="00661931" w:rsidRPr="005B01F7">
        <w:t>wellbeing</w:t>
      </w:r>
      <w:bookmarkEnd w:id="136"/>
    </w:p>
    <w:p w:rsidR="00F93A5F" w:rsidRPr="005B01F7" w:rsidRDefault="009F09AE" w:rsidP="00537648">
      <w:pPr>
        <w:pStyle w:val="Heading3"/>
        <w:spacing w:before="240"/>
      </w:pPr>
      <w:r w:rsidRPr="005B01F7">
        <w:t xml:space="preserve">Description and </w:t>
      </w:r>
      <w:r w:rsidR="00661931" w:rsidRPr="005B01F7">
        <w:t>analysis</w:t>
      </w:r>
    </w:p>
    <w:p w:rsidR="008F1881" w:rsidRPr="00B66157" w:rsidRDefault="009F09AE" w:rsidP="00B66157">
      <w:pPr>
        <w:pStyle w:val="Heading40"/>
      </w:pPr>
      <w:r w:rsidRPr="00B66157">
        <w:t>Overview</w:t>
      </w:r>
    </w:p>
    <w:p w:rsidR="00B055FA" w:rsidRPr="008F1881" w:rsidRDefault="00B055FA" w:rsidP="00537648">
      <w:pPr>
        <w:pStyle w:val="bt"/>
        <w:spacing w:after="120"/>
      </w:pPr>
      <w:r w:rsidRPr="008F1881">
        <w:t xml:space="preserve">The World Health Organisation (2003) states the social determinants of health can impact negatively or positively on health and addressing these can </w:t>
      </w:r>
      <w:r w:rsidR="00861AC6">
        <w:t xml:space="preserve">reduce </w:t>
      </w:r>
      <w:r w:rsidRPr="008F1881">
        <w:t>health inequities and increase health status. Social determinants are defined as:</w:t>
      </w:r>
    </w:p>
    <w:p w:rsidR="00B055FA" w:rsidRPr="008F1881" w:rsidRDefault="00A22859" w:rsidP="00EE0835">
      <w:pPr>
        <w:pStyle w:val="ListBullet"/>
      </w:pPr>
      <w:r>
        <w:t>t</w:t>
      </w:r>
      <w:r w:rsidR="00B055FA" w:rsidRPr="008F1881">
        <w:t>he social gradient</w:t>
      </w:r>
    </w:p>
    <w:p w:rsidR="00B055FA" w:rsidRPr="008F1881" w:rsidRDefault="00A22859" w:rsidP="00EE0835">
      <w:pPr>
        <w:pStyle w:val="ListBullet"/>
      </w:pPr>
      <w:r>
        <w:t>a</w:t>
      </w:r>
      <w:r w:rsidR="00B055FA" w:rsidRPr="008F1881">
        <w:t>ddiction</w:t>
      </w:r>
    </w:p>
    <w:p w:rsidR="00B055FA" w:rsidRPr="008F1881" w:rsidRDefault="00A22859" w:rsidP="00EE0835">
      <w:pPr>
        <w:pStyle w:val="ListBullet"/>
      </w:pPr>
      <w:r>
        <w:t>e</w:t>
      </w:r>
      <w:r w:rsidR="00B055FA" w:rsidRPr="008F1881">
        <w:t>arly life/early childhood development</w:t>
      </w:r>
    </w:p>
    <w:p w:rsidR="00B055FA" w:rsidRPr="008F1881" w:rsidRDefault="00A22859" w:rsidP="00EE0835">
      <w:pPr>
        <w:pStyle w:val="ListBullet"/>
      </w:pPr>
      <w:r>
        <w:t>f</w:t>
      </w:r>
      <w:r w:rsidR="00B055FA" w:rsidRPr="008F1881">
        <w:t>ood</w:t>
      </w:r>
    </w:p>
    <w:p w:rsidR="00B055FA" w:rsidRPr="008F1881" w:rsidRDefault="00A22859" w:rsidP="00EE0835">
      <w:pPr>
        <w:pStyle w:val="ListBullet"/>
      </w:pPr>
      <w:r>
        <w:t>s</w:t>
      </w:r>
      <w:r w:rsidR="00B055FA" w:rsidRPr="008F1881">
        <w:t>ocial exclusion</w:t>
      </w:r>
    </w:p>
    <w:p w:rsidR="00B055FA" w:rsidRPr="008F1881" w:rsidRDefault="00A22859" w:rsidP="00EE0835">
      <w:pPr>
        <w:pStyle w:val="ListBullet"/>
      </w:pPr>
      <w:r>
        <w:t>t</w:t>
      </w:r>
      <w:r w:rsidR="00B055FA" w:rsidRPr="008F1881">
        <w:t>ransport</w:t>
      </w:r>
    </w:p>
    <w:p w:rsidR="00B055FA" w:rsidRPr="008F1881" w:rsidRDefault="00A22859" w:rsidP="00EE0835">
      <w:pPr>
        <w:pStyle w:val="ListBullet"/>
      </w:pPr>
      <w:r>
        <w:t>e</w:t>
      </w:r>
      <w:r w:rsidR="00B055FA" w:rsidRPr="008F1881">
        <w:t>mployment and working conditions</w:t>
      </w:r>
    </w:p>
    <w:p w:rsidR="00537648" w:rsidRDefault="00A22859" w:rsidP="00537648">
      <w:pPr>
        <w:pStyle w:val="ListBullet"/>
      </w:pPr>
      <w:r>
        <w:t>s</w:t>
      </w:r>
      <w:r w:rsidR="00B055FA" w:rsidRPr="008F1881">
        <w:t>upport networks</w:t>
      </w:r>
      <w:r w:rsidR="00537648" w:rsidRPr="00537648">
        <w:t xml:space="preserve"> </w:t>
      </w:r>
    </w:p>
    <w:p w:rsidR="00537648" w:rsidRPr="008F1881" w:rsidRDefault="00537648" w:rsidP="00537648">
      <w:pPr>
        <w:pStyle w:val="ListBullet"/>
      </w:pPr>
      <w:r>
        <w:t>u</w:t>
      </w:r>
      <w:r w:rsidRPr="008F1881">
        <w:t>nemployment/employment security</w:t>
      </w:r>
      <w:r w:rsidR="00F95347">
        <w:t>.</w:t>
      </w:r>
    </w:p>
    <w:p w:rsidR="00B055FA" w:rsidRPr="008F1881" w:rsidRDefault="00B055FA" w:rsidP="00EE0835">
      <w:pPr>
        <w:pStyle w:val="bt"/>
      </w:pPr>
      <w:r w:rsidRPr="008F1881">
        <w:lastRenderedPageBreak/>
        <w:t>Social and environmental factors affecting health and wellbeing include employment and housing</w:t>
      </w:r>
      <w:r w:rsidR="00910A79">
        <w:t>,</w:t>
      </w:r>
      <w:r w:rsidRPr="008F1881">
        <w:t xml:space="preserve"> schools and education</w:t>
      </w:r>
      <w:r w:rsidR="00910A79">
        <w:t>,</w:t>
      </w:r>
      <w:r w:rsidRPr="008F1881">
        <w:t xml:space="preserve"> social connections</w:t>
      </w:r>
      <w:r w:rsidR="00910A79">
        <w:t>,</w:t>
      </w:r>
      <w:r w:rsidRPr="008F1881">
        <w:t xml:space="preserve"> conditions of work and leisure</w:t>
      </w:r>
      <w:r w:rsidR="00910A79">
        <w:t>,</w:t>
      </w:r>
      <w:r w:rsidRPr="008F1881">
        <w:t xml:space="preserve"> the state of housing, neighbourhoods and the environment (D</w:t>
      </w:r>
      <w:r w:rsidR="00910A79">
        <w:t>epartment of Health</w:t>
      </w:r>
      <w:r w:rsidRPr="008F1881">
        <w:t xml:space="preserve">, 2011). </w:t>
      </w:r>
    </w:p>
    <w:p w:rsidR="00B055FA" w:rsidRPr="008F1881" w:rsidRDefault="00910A79" w:rsidP="00EE0835">
      <w:pPr>
        <w:pStyle w:val="bt"/>
      </w:pPr>
      <w:r>
        <w:t xml:space="preserve">While </w:t>
      </w:r>
      <w:r w:rsidR="00B055FA" w:rsidRPr="008F1881">
        <w:t xml:space="preserve">life expectancy is increasing in the region, it is below the Victorian average and is lower for males than females. The region’s population has higher levels of overweight and obese people, asthma, unhealthy eating and people reporting </w:t>
      </w:r>
      <w:r w:rsidR="00F92D43">
        <w:t xml:space="preserve">a </w:t>
      </w:r>
      <w:r w:rsidR="00B055FA" w:rsidRPr="008F1881">
        <w:t xml:space="preserve">high or very high degree of psychological distress </w:t>
      </w:r>
      <w:r w:rsidR="00F92D43">
        <w:t xml:space="preserve">compared to </w:t>
      </w:r>
      <w:r w:rsidR="00B055FA" w:rsidRPr="008F1881">
        <w:t>the Victorian average (D</w:t>
      </w:r>
      <w:r>
        <w:t>epartment of Health</w:t>
      </w:r>
      <w:r w:rsidR="00B055FA" w:rsidRPr="008F1881">
        <w:t>, 2010). As the population ages, the chance of living long enough to experience age-related diseases and disability increases.</w:t>
      </w:r>
    </w:p>
    <w:p w:rsidR="00B055FA" w:rsidRPr="008F1881" w:rsidRDefault="00910A79" w:rsidP="00EE0835">
      <w:pPr>
        <w:pStyle w:val="bt"/>
      </w:pPr>
      <w:r>
        <w:t>In 2009 t</w:t>
      </w:r>
      <w:r w:rsidR="00B055FA" w:rsidRPr="008F1881">
        <w:t xml:space="preserve">he Central Highlands Primary Care Partnership identified some of the key health and wellbeing issues for </w:t>
      </w:r>
      <w:r>
        <w:t xml:space="preserve">the </w:t>
      </w:r>
      <w:r w:rsidR="00B055FA" w:rsidRPr="008F1881">
        <w:t xml:space="preserve">region. Of relevance to land use planning, </w:t>
      </w:r>
      <w:r>
        <w:t xml:space="preserve">key </w:t>
      </w:r>
      <w:r w:rsidR="00B055FA" w:rsidRPr="008F1881">
        <w:t>recommend</w:t>
      </w:r>
      <w:r>
        <w:t>ations included</w:t>
      </w:r>
      <w:r w:rsidR="00B055FA" w:rsidRPr="008F1881">
        <w:t>:</w:t>
      </w:r>
    </w:p>
    <w:p w:rsidR="00B055FA" w:rsidRPr="008F1881" w:rsidRDefault="00910A79" w:rsidP="00EE0835">
      <w:pPr>
        <w:pStyle w:val="ListBullet"/>
      </w:pPr>
      <w:r>
        <w:t>E</w:t>
      </w:r>
      <w:r w:rsidR="00B055FA" w:rsidRPr="008F1881">
        <w:t>nsure acceptable quality, affordable housing is available</w:t>
      </w:r>
    </w:p>
    <w:p w:rsidR="00B055FA" w:rsidRPr="008F1881" w:rsidRDefault="00B055FA" w:rsidP="00EE0835">
      <w:pPr>
        <w:pStyle w:val="ListBullet"/>
      </w:pPr>
      <w:r w:rsidRPr="008F1881">
        <w:t>Promote healthy lifestyles to combat growing obesity trends</w:t>
      </w:r>
    </w:p>
    <w:p w:rsidR="00B055FA" w:rsidRDefault="00B055FA" w:rsidP="00EE0835">
      <w:pPr>
        <w:pStyle w:val="ListBullet"/>
      </w:pPr>
      <w:r w:rsidRPr="008F1881">
        <w:t xml:space="preserve">Address public transport shortfalls in Golden Plains, Hepburn and Moorabool. </w:t>
      </w:r>
    </w:p>
    <w:p w:rsidR="008F1881" w:rsidRPr="000A2E0D" w:rsidRDefault="009F09AE" w:rsidP="000A2E0D">
      <w:pPr>
        <w:pStyle w:val="Heading40"/>
      </w:pPr>
      <w:r w:rsidRPr="000A2E0D">
        <w:t>Planning for health</w:t>
      </w:r>
    </w:p>
    <w:p w:rsidR="00B055FA" w:rsidRPr="00EE0835" w:rsidRDefault="00B055FA" w:rsidP="00EE0835">
      <w:pPr>
        <w:pStyle w:val="bt"/>
        <w:rPr>
          <w:rFonts w:cs="Tahoma"/>
          <w:szCs w:val="20"/>
        </w:rPr>
      </w:pPr>
      <w:r w:rsidRPr="00EE0835">
        <w:rPr>
          <w:rFonts w:cs="Tahoma"/>
          <w:szCs w:val="20"/>
        </w:rPr>
        <w:t xml:space="preserve">The built/physical, economic, social and natural environments are important dimensions of health. Local governments have a critical role to play in creating environments to support healthy people. </w:t>
      </w:r>
    </w:p>
    <w:p w:rsidR="00B055FA" w:rsidRPr="00EE0835" w:rsidRDefault="00B055FA" w:rsidP="00EE0835">
      <w:pPr>
        <w:pStyle w:val="bt"/>
        <w:rPr>
          <w:rFonts w:cs="Tahoma"/>
          <w:szCs w:val="20"/>
        </w:rPr>
      </w:pPr>
      <w:r w:rsidRPr="00EE0835">
        <w:rPr>
          <w:rFonts w:cs="Tahoma"/>
          <w:szCs w:val="20"/>
        </w:rPr>
        <w:t>From 1981</w:t>
      </w:r>
      <w:r w:rsidR="00910A79" w:rsidRPr="00EE0835">
        <w:rPr>
          <w:rFonts w:cs="Tahoma"/>
          <w:szCs w:val="20"/>
        </w:rPr>
        <w:t xml:space="preserve"> to </w:t>
      </w:r>
      <w:r w:rsidRPr="00EE0835">
        <w:rPr>
          <w:rFonts w:cs="Tahoma"/>
          <w:szCs w:val="20"/>
        </w:rPr>
        <w:t>2006 Central Highlands  had an annual growth rate of 0.7</w:t>
      </w:r>
      <w:r w:rsidR="00910A79" w:rsidRPr="00EE0835">
        <w:rPr>
          <w:rFonts w:cs="Tahoma"/>
          <w:szCs w:val="20"/>
        </w:rPr>
        <w:t xml:space="preserve"> </w:t>
      </w:r>
      <w:r w:rsidR="001F619E" w:rsidRPr="00EE0835">
        <w:rPr>
          <w:rFonts w:cs="Tahoma"/>
          <w:szCs w:val="20"/>
        </w:rPr>
        <w:t>per cent</w:t>
      </w:r>
      <w:r w:rsidRPr="00EE0835">
        <w:rPr>
          <w:rFonts w:cs="Tahoma"/>
          <w:szCs w:val="20"/>
        </w:rPr>
        <w:t xml:space="preserve"> (an additional 17,898 people) and this is projected to continue at even higher levels. </w:t>
      </w:r>
      <w:r w:rsidR="00910A79" w:rsidRPr="00EE0835">
        <w:rPr>
          <w:rFonts w:cs="Tahoma"/>
          <w:szCs w:val="20"/>
        </w:rPr>
        <w:t>G</w:t>
      </w:r>
      <w:r w:rsidRPr="00EE0835">
        <w:rPr>
          <w:rFonts w:cs="Tahoma"/>
          <w:szCs w:val="20"/>
        </w:rPr>
        <w:t>row</w:t>
      </w:r>
      <w:r w:rsidR="00910A79" w:rsidRPr="00EE0835">
        <w:rPr>
          <w:rFonts w:cs="Tahoma"/>
          <w:szCs w:val="20"/>
        </w:rPr>
        <w:t xml:space="preserve">ing </w:t>
      </w:r>
      <w:r w:rsidRPr="00EE0835">
        <w:rPr>
          <w:rFonts w:cs="Tahoma"/>
          <w:szCs w:val="20"/>
        </w:rPr>
        <w:t>and decreas</w:t>
      </w:r>
      <w:r w:rsidR="00910A79" w:rsidRPr="00EE0835">
        <w:rPr>
          <w:rFonts w:cs="Tahoma"/>
          <w:szCs w:val="20"/>
        </w:rPr>
        <w:t xml:space="preserve">ing </w:t>
      </w:r>
      <w:r w:rsidRPr="00EE0835">
        <w:rPr>
          <w:rFonts w:cs="Tahoma"/>
          <w:szCs w:val="20"/>
        </w:rPr>
        <w:t>population</w:t>
      </w:r>
      <w:r w:rsidR="00910A79" w:rsidRPr="00EE0835">
        <w:rPr>
          <w:rFonts w:cs="Tahoma"/>
          <w:szCs w:val="20"/>
        </w:rPr>
        <w:t>s</w:t>
      </w:r>
      <w:r w:rsidRPr="00EE0835">
        <w:rPr>
          <w:rFonts w:cs="Tahoma"/>
          <w:szCs w:val="20"/>
        </w:rPr>
        <w:t xml:space="preserve"> in different parts of the region result in different types of pressure on infrastructure, including the need to create additional infrastructure where populations are increasing and maintain the viability of existing infrastructure where population</w:t>
      </w:r>
      <w:r w:rsidR="00910A79" w:rsidRPr="00EE0835">
        <w:rPr>
          <w:rFonts w:cs="Tahoma"/>
          <w:szCs w:val="20"/>
        </w:rPr>
        <w:t xml:space="preserve">s are in </w:t>
      </w:r>
      <w:r w:rsidRPr="00EE0835">
        <w:rPr>
          <w:rFonts w:cs="Tahoma"/>
          <w:szCs w:val="20"/>
        </w:rPr>
        <w:t xml:space="preserve">decline. A particular issue for the Central Highlands </w:t>
      </w:r>
      <w:r w:rsidR="00910A79" w:rsidRPr="00EE0835">
        <w:rPr>
          <w:rFonts w:cs="Tahoma"/>
          <w:szCs w:val="20"/>
        </w:rPr>
        <w:t xml:space="preserve">region </w:t>
      </w:r>
      <w:r w:rsidRPr="00EE0835">
        <w:rPr>
          <w:rFonts w:cs="Tahoma"/>
          <w:szCs w:val="20"/>
        </w:rPr>
        <w:t xml:space="preserve">is </w:t>
      </w:r>
      <w:r w:rsidR="00910A79" w:rsidRPr="00EE0835">
        <w:rPr>
          <w:rFonts w:cs="Tahoma"/>
          <w:szCs w:val="20"/>
        </w:rPr>
        <w:t xml:space="preserve">how to </w:t>
      </w:r>
      <w:r w:rsidRPr="00EE0835">
        <w:rPr>
          <w:rFonts w:cs="Tahoma"/>
          <w:szCs w:val="20"/>
        </w:rPr>
        <w:t>provid</w:t>
      </w:r>
      <w:r w:rsidR="00910A79" w:rsidRPr="00EE0835">
        <w:rPr>
          <w:rFonts w:cs="Tahoma"/>
          <w:szCs w:val="20"/>
        </w:rPr>
        <w:t xml:space="preserve">e </w:t>
      </w:r>
      <w:r w:rsidRPr="00EE0835">
        <w:rPr>
          <w:rFonts w:cs="Tahoma"/>
          <w:szCs w:val="20"/>
        </w:rPr>
        <w:t xml:space="preserve">for sustained and relatively rapid increases in population at the eastern end of the region </w:t>
      </w:r>
      <w:r w:rsidR="00910A79" w:rsidRPr="00EE0835">
        <w:rPr>
          <w:rFonts w:cs="Tahoma"/>
          <w:szCs w:val="20"/>
        </w:rPr>
        <w:t xml:space="preserve">while maintaining services for ageing </w:t>
      </w:r>
      <w:r w:rsidRPr="00EE0835">
        <w:rPr>
          <w:rFonts w:cs="Tahoma"/>
          <w:szCs w:val="20"/>
        </w:rPr>
        <w:t xml:space="preserve">settlements </w:t>
      </w:r>
      <w:r w:rsidR="00910A79" w:rsidRPr="00EE0835">
        <w:rPr>
          <w:rFonts w:cs="Tahoma"/>
          <w:szCs w:val="20"/>
        </w:rPr>
        <w:t xml:space="preserve">towards the west of the region, with </w:t>
      </w:r>
      <w:r w:rsidRPr="00EE0835">
        <w:rPr>
          <w:rFonts w:cs="Tahoma"/>
          <w:szCs w:val="20"/>
        </w:rPr>
        <w:t xml:space="preserve">limited population growth or </w:t>
      </w:r>
      <w:r w:rsidR="00910A79" w:rsidRPr="00EE0835">
        <w:rPr>
          <w:rFonts w:cs="Tahoma"/>
          <w:szCs w:val="20"/>
        </w:rPr>
        <w:t>population decline</w:t>
      </w:r>
      <w:r w:rsidRPr="00EE0835">
        <w:rPr>
          <w:rFonts w:cs="Tahoma"/>
          <w:szCs w:val="20"/>
        </w:rPr>
        <w:t xml:space="preserve">.  </w:t>
      </w:r>
    </w:p>
    <w:p w:rsidR="00B055FA" w:rsidRPr="00EE0835" w:rsidRDefault="00B055FA" w:rsidP="00EE0835">
      <w:pPr>
        <w:pStyle w:val="bt"/>
        <w:rPr>
          <w:rFonts w:cs="Tahoma"/>
          <w:szCs w:val="20"/>
        </w:rPr>
      </w:pPr>
      <w:r w:rsidRPr="00EE0835">
        <w:rPr>
          <w:rFonts w:cs="Tahoma"/>
          <w:szCs w:val="20"/>
        </w:rPr>
        <w:t xml:space="preserve">Ballarat’s role as the major city within the </w:t>
      </w:r>
      <w:r w:rsidR="00373D7C" w:rsidRPr="00EE0835">
        <w:rPr>
          <w:rFonts w:cs="Tahoma"/>
          <w:szCs w:val="20"/>
        </w:rPr>
        <w:t xml:space="preserve">Central Highlands </w:t>
      </w:r>
      <w:r w:rsidRPr="00EE0835">
        <w:rPr>
          <w:rFonts w:cs="Tahoma"/>
          <w:szCs w:val="20"/>
        </w:rPr>
        <w:t xml:space="preserve">region supports the development of high quality health services </w:t>
      </w:r>
      <w:r w:rsidR="00373D7C" w:rsidRPr="00EE0835">
        <w:rPr>
          <w:rFonts w:cs="Tahoma"/>
          <w:szCs w:val="20"/>
        </w:rPr>
        <w:t>to</w:t>
      </w:r>
      <w:r w:rsidRPr="00EE0835">
        <w:rPr>
          <w:rFonts w:cs="Tahoma"/>
          <w:szCs w:val="20"/>
        </w:rPr>
        <w:t xml:space="preserve"> support the entire regional catchment. An example of this is the current </w:t>
      </w:r>
      <w:r w:rsidR="009F09AE" w:rsidRPr="00EE0835">
        <w:rPr>
          <w:rFonts w:cs="Tahoma"/>
          <w:szCs w:val="20"/>
        </w:rPr>
        <w:t>establishment</w:t>
      </w:r>
      <w:r w:rsidR="0079786E">
        <w:rPr>
          <w:rFonts w:cs="Tahoma"/>
          <w:szCs w:val="20"/>
        </w:rPr>
        <w:t xml:space="preserve"> of</w:t>
      </w:r>
      <w:r w:rsidR="009F09AE" w:rsidRPr="00EE0835">
        <w:rPr>
          <w:rFonts w:cs="Tahoma"/>
          <w:szCs w:val="20"/>
        </w:rPr>
        <w:t xml:space="preserve"> a new $55 million state-of-art regional cancer centre in Ballarat.</w:t>
      </w:r>
      <w:r w:rsidRPr="00EE0835">
        <w:rPr>
          <w:rFonts w:cs="Tahoma"/>
          <w:szCs w:val="20"/>
        </w:rPr>
        <w:t xml:space="preserve"> In this sense there are benefits to supporting Ballarat’s ongoing growth, as this provides a critical mass for Central Highlands </w:t>
      </w:r>
      <w:r w:rsidR="00D91FCD" w:rsidRPr="00EE0835">
        <w:rPr>
          <w:rFonts w:cs="Tahoma"/>
          <w:szCs w:val="20"/>
        </w:rPr>
        <w:t xml:space="preserve">residents </w:t>
      </w:r>
      <w:r w:rsidRPr="00EE0835">
        <w:rPr>
          <w:rFonts w:cs="Tahoma"/>
          <w:szCs w:val="20"/>
        </w:rPr>
        <w:t>to access high quality health services within th</w:t>
      </w:r>
      <w:r w:rsidR="00D91FCD" w:rsidRPr="00EE0835">
        <w:rPr>
          <w:rFonts w:cs="Tahoma"/>
          <w:szCs w:val="20"/>
        </w:rPr>
        <w:t>e</w:t>
      </w:r>
      <w:r w:rsidRPr="00EE0835">
        <w:rPr>
          <w:rFonts w:cs="Tahoma"/>
          <w:szCs w:val="20"/>
        </w:rPr>
        <w:t xml:space="preserve"> region.</w:t>
      </w:r>
    </w:p>
    <w:p w:rsidR="001F66D6" w:rsidRDefault="00B055FA" w:rsidP="00703973">
      <w:pPr>
        <w:pStyle w:val="bt"/>
        <w:rPr>
          <w:rFonts w:cs="Tahoma"/>
          <w:szCs w:val="20"/>
        </w:rPr>
      </w:pPr>
      <w:r w:rsidRPr="00EE0835">
        <w:rPr>
          <w:rFonts w:cs="Tahoma"/>
          <w:szCs w:val="20"/>
        </w:rPr>
        <w:t xml:space="preserve">In addition to planning for issues around growth and provision of health services, the </w:t>
      </w:r>
      <w:r w:rsidR="00F92D43">
        <w:rPr>
          <w:rFonts w:cs="Tahoma"/>
          <w:szCs w:val="20"/>
        </w:rPr>
        <w:t xml:space="preserve">regional growth </w:t>
      </w:r>
      <w:r w:rsidR="00F37D25" w:rsidRPr="00EE0835">
        <w:rPr>
          <w:rFonts w:cs="Tahoma"/>
          <w:szCs w:val="20"/>
        </w:rPr>
        <w:t>plan</w:t>
      </w:r>
      <w:r w:rsidR="00794B56" w:rsidRPr="00EE0835">
        <w:rPr>
          <w:rFonts w:cs="Tahoma"/>
          <w:szCs w:val="20"/>
        </w:rPr>
        <w:t xml:space="preserve"> </w:t>
      </w:r>
      <w:r w:rsidRPr="00EE0835">
        <w:rPr>
          <w:rFonts w:cs="Tahoma"/>
          <w:szCs w:val="20"/>
        </w:rPr>
        <w:t>has a role in the broader health implications of land use planning. Planning and environmental design affects everyday life and influences the location and performance of buildings and homes, the location of health and community facilities and shopping centres, as well as the location of transport infrastructure and recreation space (D</w:t>
      </w:r>
      <w:r w:rsidR="00373D7C" w:rsidRPr="00EE0835">
        <w:rPr>
          <w:rFonts w:cs="Tahoma"/>
          <w:szCs w:val="20"/>
        </w:rPr>
        <w:t>epartment of Health</w:t>
      </w:r>
      <w:r w:rsidRPr="00EE0835">
        <w:rPr>
          <w:rFonts w:cs="Tahoma"/>
          <w:szCs w:val="20"/>
        </w:rPr>
        <w:t>, 2011). An integrated planning approach to managing the environmental, social and health impacts of population growth will ensure socially, environmentally and economically sustainable communities (D</w:t>
      </w:r>
      <w:r w:rsidR="00373D7C" w:rsidRPr="00EE0835">
        <w:rPr>
          <w:rFonts w:cs="Tahoma"/>
          <w:szCs w:val="20"/>
        </w:rPr>
        <w:t>epartment of Health</w:t>
      </w:r>
      <w:r w:rsidRPr="00EE0835">
        <w:rPr>
          <w:rFonts w:cs="Tahoma"/>
          <w:szCs w:val="20"/>
        </w:rPr>
        <w:t xml:space="preserve">, 2011). </w:t>
      </w:r>
    </w:p>
    <w:p w:rsidR="00B055FA" w:rsidRPr="008F1881" w:rsidRDefault="00B055FA" w:rsidP="00EE0835">
      <w:pPr>
        <w:pStyle w:val="bt"/>
        <w:rPr>
          <w:rFonts w:cs="Tahoma"/>
          <w:szCs w:val="20"/>
        </w:rPr>
      </w:pPr>
      <w:r w:rsidRPr="00EE0835">
        <w:rPr>
          <w:rFonts w:cs="Tahoma"/>
          <w:szCs w:val="20"/>
        </w:rPr>
        <w:t>A key consideration in creating supporting healthy environments is planning for sports and recreation activities and infrastructure. There are a number of regionally-significant sports and recreation issues in Central Highlands including:</w:t>
      </w:r>
    </w:p>
    <w:p w:rsidR="00B055FA" w:rsidRPr="008F1881" w:rsidRDefault="00B055FA" w:rsidP="00EE0835">
      <w:pPr>
        <w:pStyle w:val="ListBullet"/>
      </w:pPr>
      <w:r w:rsidRPr="008F1881">
        <w:t xml:space="preserve">The potential development of a major sports and recreation precinct in North Ballarat. This could be developed to provide showcase arenas for the region to attract </w:t>
      </w:r>
      <w:r w:rsidR="00094C9F">
        <w:t>elite</w:t>
      </w:r>
      <w:r w:rsidRPr="008F1881">
        <w:t xml:space="preserve"> sport and provide infrastructure for local activities such as the University of Ballarat’s sports science education programs</w:t>
      </w:r>
      <w:r w:rsidR="00373D7C">
        <w:t>.</w:t>
      </w:r>
    </w:p>
    <w:p w:rsidR="00B055FA" w:rsidRPr="008F1881" w:rsidRDefault="00B055FA" w:rsidP="00EE0835">
      <w:pPr>
        <w:pStyle w:val="ListBullet"/>
      </w:pPr>
      <w:r w:rsidRPr="008F1881">
        <w:lastRenderedPageBreak/>
        <w:t>A</w:t>
      </w:r>
      <w:r w:rsidR="00094C9F">
        <w:t>n</w:t>
      </w:r>
      <w:r w:rsidRPr="008F1881">
        <w:t xml:space="preserve"> integrated recreation planning project </w:t>
      </w:r>
      <w:r w:rsidR="00094C9F">
        <w:t xml:space="preserve">is underway </w:t>
      </w:r>
      <w:r w:rsidRPr="008F1881">
        <w:t xml:space="preserve">that aims to provide a framework for developing an integrated network of tracks and trails through </w:t>
      </w:r>
      <w:r w:rsidR="00F92D43">
        <w:t xml:space="preserve">the </w:t>
      </w:r>
      <w:r w:rsidRPr="008F1881">
        <w:t>Ballarat, Hepburn, Central Goldfields and Macedon Ranges</w:t>
      </w:r>
      <w:r w:rsidR="00F92D43">
        <w:t xml:space="preserve"> </w:t>
      </w:r>
      <w:r w:rsidR="00547E46">
        <w:t>municipalities</w:t>
      </w:r>
      <w:r w:rsidR="00373D7C">
        <w:t>.</w:t>
      </w:r>
    </w:p>
    <w:p w:rsidR="00B055FA" w:rsidRPr="008F1881" w:rsidRDefault="00B055FA" w:rsidP="00EE0835">
      <w:pPr>
        <w:pStyle w:val="ListBullet"/>
      </w:pPr>
      <w:r w:rsidRPr="008F1881">
        <w:t xml:space="preserve">Ongoing planning for the provision of appropriate levels of open space and active recreation infrastructure in the Ballarat West </w:t>
      </w:r>
      <w:r w:rsidR="00F92D43">
        <w:t>G</w:t>
      </w:r>
      <w:r w:rsidRPr="008F1881">
        <w:t xml:space="preserve">rowth </w:t>
      </w:r>
      <w:r w:rsidR="00F92D43">
        <w:t>A</w:t>
      </w:r>
      <w:r w:rsidRPr="008F1881">
        <w:t>rea.</w:t>
      </w:r>
    </w:p>
    <w:p w:rsidR="00B055FA" w:rsidRPr="008F1881" w:rsidRDefault="00B055FA" w:rsidP="00EE0835">
      <w:pPr>
        <w:pStyle w:val="bt"/>
      </w:pPr>
      <w:r w:rsidRPr="008F1881">
        <w:t xml:space="preserve">The region would benefit from an integrated and cross-border approach to planning for sports and recreation given the changing population levels and age profile of communities, to ensure access to appropriate facilities and services. </w:t>
      </w:r>
    </w:p>
    <w:p w:rsidR="00B055FA" w:rsidRPr="008F1881" w:rsidRDefault="00B055FA" w:rsidP="00EE0835">
      <w:pPr>
        <w:pStyle w:val="bt"/>
      </w:pPr>
      <w:r w:rsidRPr="008F1881">
        <w:t xml:space="preserve">The </w:t>
      </w:r>
      <w:r w:rsidR="00D06A85" w:rsidRPr="000B40E8">
        <w:t>Victorian Public Health and Wellbeing Plan 2011-2015</w:t>
      </w:r>
      <w:r w:rsidRPr="008F1881">
        <w:t xml:space="preserve"> (D</w:t>
      </w:r>
      <w:r w:rsidR="00CC5514">
        <w:t>epartment of Health</w:t>
      </w:r>
      <w:r w:rsidRPr="008F1881">
        <w:t>, 2011) includes a focus on environmental health and identifies the following preventable environmental health issues:</w:t>
      </w:r>
    </w:p>
    <w:p w:rsidR="00F95347" w:rsidRDefault="00F95347" w:rsidP="00F95347">
      <w:pPr>
        <w:pStyle w:val="ListBullet"/>
      </w:pPr>
      <w:r>
        <w:t>land use conflicts resulting from rapidly growing populations and emerging conflicts</w:t>
      </w:r>
    </w:p>
    <w:p w:rsidR="00F95347" w:rsidRDefault="00F95347" w:rsidP="00F95347">
      <w:pPr>
        <w:pStyle w:val="ListBullet"/>
      </w:pPr>
      <w:r>
        <w:t>outdoor air quality from industry, motor vehicles, bushfires and wind-blown dust</w:t>
      </w:r>
    </w:p>
    <w:p w:rsidR="00A47912" w:rsidRDefault="00F95347" w:rsidP="0048223C">
      <w:pPr>
        <w:pStyle w:val="ListBullet"/>
      </w:pPr>
      <w:r>
        <w:t>appropriate management of all water resources and preventing illness from inappropriate exposure to alternative water sources.</w:t>
      </w:r>
    </w:p>
    <w:p w:rsidR="00B055FA" w:rsidRPr="008F1881" w:rsidRDefault="00B055FA" w:rsidP="00EE0835">
      <w:pPr>
        <w:pStyle w:val="bt"/>
      </w:pPr>
      <w:r w:rsidRPr="008F1881">
        <w:t>Opportunities to address the above issues include:</w:t>
      </w:r>
    </w:p>
    <w:p w:rsidR="00F95347" w:rsidRPr="00F95347" w:rsidRDefault="00F95347" w:rsidP="00F95347">
      <w:pPr>
        <w:pStyle w:val="ListBullet"/>
        <w:rPr>
          <w:rStyle w:val="Strong"/>
          <w:b w:val="0"/>
          <w:bCs w:val="0"/>
        </w:rPr>
      </w:pPr>
      <w:r w:rsidRPr="00F95347">
        <w:rPr>
          <w:rStyle w:val="Strong"/>
          <w:b w:val="0"/>
          <w:bCs w:val="0"/>
        </w:rPr>
        <w:t>Ensure population health considerations are incorporated into policy, state, regional and community planning</w:t>
      </w:r>
      <w:r w:rsidR="004C014C">
        <w:rPr>
          <w:rStyle w:val="Strong"/>
          <w:b w:val="0"/>
          <w:bCs w:val="0"/>
        </w:rPr>
        <w:t>,</w:t>
      </w:r>
      <w:r w:rsidRPr="00F95347">
        <w:rPr>
          <w:rStyle w:val="Strong"/>
          <w:b w:val="0"/>
          <w:bCs w:val="0"/>
        </w:rPr>
        <w:t xml:space="preserve"> including planning for major housing developments and other land use planning and design processes.</w:t>
      </w:r>
    </w:p>
    <w:p w:rsidR="00F95347" w:rsidRPr="00F95347" w:rsidRDefault="00F95347" w:rsidP="00F95347">
      <w:pPr>
        <w:pStyle w:val="ListBullet"/>
        <w:rPr>
          <w:rStyle w:val="Strong"/>
          <w:b w:val="0"/>
          <w:bCs w:val="0"/>
        </w:rPr>
      </w:pPr>
      <w:r w:rsidRPr="00F95347">
        <w:rPr>
          <w:rStyle w:val="Strong"/>
          <w:b w:val="0"/>
          <w:bCs w:val="0"/>
        </w:rPr>
        <w:t xml:space="preserve">Work with municipal public health and wellbeing planners and health services to adapt and reduce health impacts of heatwaves on vulnerable communities and implement requirements of relevant </w:t>
      </w:r>
      <w:r w:rsidR="00515363">
        <w:rPr>
          <w:rStyle w:val="Strong"/>
          <w:b w:val="0"/>
          <w:bCs w:val="0"/>
        </w:rPr>
        <w:t>legislation</w:t>
      </w:r>
      <w:r w:rsidRPr="00F95347">
        <w:rPr>
          <w:rStyle w:val="Strong"/>
          <w:b w:val="0"/>
          <w:bCs w:val="0"/>
        </w:rPr>
        <w:t>.</w:t>
      </w:r>
    </w:p>
    <w:p w:rsidR="008F1881" w:rsidRPr="000A2E0D" w:rsidRDefault="009F09AE" w:rsidP="000A2E0D">
      <w:pPr>
        <w:pStyle w:val="Heading40"/>
      </w:pPr>
      <w:r w:rsidRPr="000A2E0D">
        <w:t>Disadvantage</w:t>
      </w:r>
    </w:p>
    <w:p w:rsidR="00B055FA" w:rsidRPr="000B40E8" w:rsidRDefault="00B055FA" w:rsidP="00EE0835">
      <w:pPr>
        <w:pStyle w:val="bt"/>
        <w:rPr>
          <w:szCs w:val="20"/>
        </w:rPr>
      </w:pPr>
      <w:r w:rsidRPr="008F1881">
        <w:rPr>
          <w:szCs w:val="20"/>
        </w:rPr>
        <w:t>Disadvantage occurs when an individual, family or community is deprived of resources that underpin social and economic wellbeing. Some population groups are consistently overrepresented in data related to disadvantage</w:t>
      </w:r>
      <w:r w:rsidRPr="000B40E8">
        <w:rPr>
          <w:szCs w:val="20"/>
        </w:rPr>
        <w:t xml:space="preserve">. </w:t>
      </w:r>
      <w:r w:rsidRPr="008F1881">
        <w:rPr>
          <w:szCs w:val="20"/>
        </w:rPr>
        <w:t xml:space="preserve">The region has a number of areas with a relatively high level of socio-economic disadvantage, characterised by lower levels of income, lower educational attainment, high levels of unemployment, employment in unskilled occupations and dwellings without motor vehicles. </w:t>
      </w:r>
    </w:p>
    <w:p w:rsidR="000B40E8" w:rsidRDefault="00B055FA" w:rsidP="00EE0835">
      <w:pPr>
        <w:pStyle w:val="bt"/>
      </w:pPr>
      <w:r w:rsidRPr="00EE0835">
        <w:t xml:space="preserve">The </w:t>
      </w:r>
      <w:r w:rsidR="00D06A85" w:rsidRPr="000B40E8">
        <w:rPr>
          <w:rStyle w:val="Emphasis"/>
          <w:i w:val="0"/>
        </w:rPr>
        <w:t>Change and Disadvantage in the Grampians Region, Victoria</w:t>
      </w:r>
      <w:r w:rsidRPr="00EE0835">
        <w:t xml:space="preserve"> (2011) report states that</w:t>
      </w:r>
      <w:r w:rsidR="005A0F47">
        <w:t>:</w:t>
      </w:r>
      <w:r w:rsidRPr="00EE0835">
        <w:t xml:space="preserve"> </w:t>
      </w:r>
    </w:p>
    <w:p w:rsidR="00B055FA" w:rsidRPr="000B40E8" w:rsidRDefault="001550D4" w:rsidP="000B40E8">
      <w:pPr>
        <w:pStyle w:val="bt"/>
        <w:ind w:left="720"/>
      </w:pPr>
      <w:r>
        <w:rPr>
          <w:rStyle w:val="Emphasis"/>
          <w:i w:val="0"/>
        </w:rPr>
        <w:t>“</w:t>
      </w:r>
      <w:r w:rsidR="005A0F47">
        <w:rPr>
          <w:rStyle w:val="Emphasis"/>
          <w:i w:val="0"/>
        </w:rPr>
        <w:t>..</w:t>
      </w:r>
      <w:r w:rsidR="00B055FA" w:rsidRPr="000B40E8">
        <w:rPr>
          <w:rStyle w:val="Emphasis"/>
          <w:i w:val="0"/>
        </w:rPr>
        <w:t>disadvantaged people and communities lack material resources (income, housing, services, and transport), skills/knowledge resources (education, health) or ‘social capital’ resources (social participation, inclusion, and strong governance</w:t>
      </w:r>
      <w:r w:rsidR="00B055FA" w:rsidRPr="000B40E8">
        <w:t>)</w:t>
      </w:r>
      <w:r w:rsidR="00515363">
        <w:t>.</w:t>
      </w:r>
      <w:r>
        <w:t>”</w:t>
      </w:r>
      <w:r w:rsidR="00B055FA" w:rsidRPr="000B40E8">
        <w:t xml:space="preserve"> </w:t>
      </w:r>
      <w:r w:rsidR="00B65C10" w:rsidRPr="000B40E8">
        <w:t>(</w:t>
      </w:r>
      <w:r w:rsidR="004B3AA2">
        <w:t>Department of Planning and Community Development</w:t>
      </w:r>
      <w:r w:rsidR="00B055FA" w:rsidRPr="000B40E8">
        <w:t>, 2011)</w:t>
      </w:r>
    </w:p>
    <w:p w:rsidR="00B055FA" w:rsidRPr="008F1881" w:rsidRDefault="00B055FA" w:rsidP="00EE0835">
      <w:pPr>
        <w:pStyle w:val="bt"/>
        <w:rPr>
          <w:szCs w:val="20"/>
        </w:rPr>
      </w:pPr>
      <w:r w:rsidRPr="008F1881">
        <w:rPr>
          <w:szCs w:val="20"/>
        </w:rPr>
        <w:t>The current context of econom</w:t>
      </w:r>
      <w:r w:rsidR="005A0F47">
        <w:rPr>
          <w:szCs w:val="20"/>
        </w:rPr>
        <w:t xml:space="preserve">ic and demographic change means </w:t>
      </w:r>
      <w:r w:rsidR="004C014C">
        <w:rPr>
          <w:szCs w:val="20"/>
        </w:rPr>
        <w:t>“</w:t>
      </w:r>
      <w:r w:rsidRPr="00AD7504">
        <w:rPr>
          <w:rStyle w:val="Emphasis"/>
          <w:i w:val="0"/>
        </w:rPr>
        <w:t>the purpose of many regional towns is changing</w:t>
      </w:r>
      <w:r w:rsidR="004C014C">
        <w:rPr>
          <w:rStyle w:val="Emphasis"/>
          <w:i w:val="0"/>
        </w:rPr>
        <w:t>”</w:t>
      </w:r>
      <w:r w:rsidRPr="008F1881">
        <w:rPr>
          <w:szCs w:val="20"/>
        </w:rPr>
        <w:t xml:space="preserve"> (Barr</w:t>
      </w:r>
      <w:r w:rsidR="00373D7C">
        <w:rPr>
          <w:szCs w:val="20"/>
        </w:rPr>
        <w:t>,</w:t>
      </w:r>
      <w:r w:rsidRPr="008F1881">
        <w:rPr>
          <w:szCs w:val="20"/>
        </w:rPr>
        <w:t xml:space="preserve"> 2009). For example, towns that once operated as a service centre to farming communities may no longer play this role (</w:t>
      </w:r>
      <w:r w:rsidR="004B3AA2">
        <w:rPr>
          <w:szCs w:val="20"/>
        </w:rPr>
        <w:t>Department of Planning and Community Development</w:t>
      </w:r>
      <w:r w:rsidRPr="008F1881">
        <w:rPr>
          <w:szCs w:val="20"/>
        </w:rPr>
        <w:t xml:space="preserve">, 2011). The changing role and purpose of towns will impact on whether they experience growth or decrease in population and </w:t>
      </w:r>
      <w:r w:rsidR="004C014C">
        <w:rPr>
          <w:szCs w:val="20"/>
        </w:rPr>
        <w:t>“</w:t>
      </w:r>
      <w:r w:rsidRPr="00AD7504">
        <w:rPr>
          <w:rStyle w:val="Emphasis"/>
          <w:i w:val="0"/>
        </w:rPr>
        <w:t>this will in turn impact on the viability and appropriateness of their services, business and industry</w:t>
      </w:r>
      <w:r w:rsidR="004C014C">
        <w:rPr>
          <w:rStyle w:val="Emphasis"/>
          <w:i w:val="0"/>
        </w:rPr>
        <w:t>”</w:t>
      </w:r>
      <w:r w:rsidRPr="008F1881">
        <w:rPr>
          <w:szCs w:val="20"/>
        </w:rPr>
        <w:t xml:space="preserve"> (</w:t>
      </w:r>
      <w:r w:rsidR="004B3AA2">
        <w:rPr>
          <w:szCs w:val="20"/>
        </w:rPr>
        <w:t>Department of Planning and Community Development</w:t>
      </w:r>
      <w:r w:rsidRPr="008F1881">
        <w:rPr>
          <w:szCs w:val="20"/>
        </w:rPr>
        <w:t xml:space="preserve">, 2011). Levels of disadvantage are impacted if some people find themselves ‘left behind’ in the change, whether through being ‘priced out’ of the housing market (buying or renting) or locked into a lower value market, unable to keep up with increasing cost of living or unable to access services. </w:t>
      </w:r>
    </w:p>
    <w:p w:rsidR="00B055FA" w:rsidRPr="008F1881" w:rsidRDefault="00631B16" w:rsidP="00EE0835">
      <w:pPr>
        <w:pStyle w:val="bt"/>
        <w:rPr>
          <w:szCs w:val="20"/>
        </w:rPr>
      </w:pPr>
      <w:r>
        <w:fldChar w:fldCharType="begin"/>
      </w:r>
      <w:r>
        <w:instrText xml:space="preserve"> REF _Ref349219800 \h  \* MERGEFORMAT </w:instrText>
      </w:r>
      <w:r>
        <w:fldChar w:fldCharType="separate"/>
      </w:r>
      <w:r w:rsidR="00907B42" w:rsidRPr="00D42DE9">
        <w:t xml:space="preserve">Figure </w:t>
      </w:r>
      <w:r w:rsidR="00907B42">
        <w:rPr>
          <w:noProof/>
        </w:rPr>
        <w:t>14</w:t>
      </w:r>
      <w:r>
        <w:fldChar w:fldCharType="end"/>
      </w:r>
      <w:r w:rsidR="00B055FA" w:rsidRPr="008F1881">
        <w:rPr>
          <w:szCs w:val="20"/>
        </w:rPr>
        <w:t xml:space="preserve"> illustrates that </w:t>
      </w:r>
      <w:r w:rsidR="00DB7B8C">
        <w:rPr>
          <w:szCs w:val="20"/>
        </w:rPr>
        <w:t xml:space="preserve">while </w:t>
      </w:r>
      <w:r w:rsidR="00B055FA" w:rsidRPr="008F1881">
        <w:rPr>
          <w:szCs w:val="20"/>
        </w:rPr>
        <w:t xml:space="preserve">there are significant discrepancies in relative socio-economic disadvantage across the region, areas of greatest relative disadvantage are generally concentrated in particular urban </w:t>
      </w:r>
      <w:r w:rsidR="00B055FA" w:rsidRPr="008F1881">
        <w:rPr>
          <w:szCs w:val="20"/>
        </w:rPr>
        <w:lastRenderedPageBreak/>
        <w:t xml:space="preserve">settlements. Many towns, including parts of Ballarat, Clunes, Bacchus Marsh, </w:t>
      </w:r>
      <w:r w:rsidR="002D3BE7">
        <w:rPr>
          <w:szCs w:val="20"/>
        </w:rPr>
        <w:t>Ballan, Willaura, Ararat and Beaufort</w:t>
      </w:r>
      <w:r w:rsidR="00DB7B8C">
        <w:rPr>
          <w:szCs w:val="20"/>
        </w:rPr>
        <w:t>,</w:t>
      </w:r>
      <w:r w:rsidR="00B055FA" w:rsidRPr="008F1881">
        <w:rPr>
          <w:szCs w:val="20"/>
        </w:rPr>
        <w:t xml:space="preserve"> have areas within the decile of greatest socio-economic disadvantage across Victoria.   </w:t>
      </w:r>
    </w:p>
    <w:p w:rsidR="00B055FA" w:rsidRPr="008F1881" w:rsidRDefault="00B055FA" w:rsidP="00537648">
      <w:pPr>
        <w:pStyle w:val="bt"/>
        <w:spacing w:after="120"/>
      </w:pPr>
      <w:r w:rsidRPr="008F1881">
        <w:t>Disadvantage may be reduced by increasing:</w:t>
      </w:r>
    </w:p>
    <w:p w:rsidR="001109D4" w:rsidRPr="008F1881" w:rsidRDefault="00DB7B8C" w:rsidP="00EE0835">
      <w:pPr>
        <w:pStyle w:val="ListBullet"/>
      </w:pPr>
      <w:r>
        <w:t>p</w:t>
      </w:r>
      <w:r w:rsidR="00B055FA" w:rsidRPr="008F1881">
        <w:t>rovision and access to aged care and other community services</w:t>
      </w:r>
    </w:p>
    <w:p w:rsidR="001109D4" w:rsidRPr="008F1881" w:rsidRDefault="00DB7B8C" w:rsidP="00EE0835">
      <w:pPr>
        <w:pStyle w:val="ListBullet"/>
      </w:pPr>
      <w:r>
        <w:t>a</w:t>
      </w:r>
      <w:r w:rsidR="00B055FA" w:rsidRPr="008F1881">
        <w:t>ccess to public transport</w:t>
      </w:r>
    </w:p>
    <w:p w:rsidR="001109D4" w:rsidRPr="008F1881" w:rsidRDefault="00DB7B8C" w:rsidP="00EE0835">
      <w:pPr>
        <w:pStyle w:val="ListBullet"/>
      </w:pPr>
      <w:r>
        <w:t>a</w:t>
      </w:r>
      <w:r w:rsidR="00B055FA" w:rsidRPr="008F1881">
        <w:t>ccess to employment and training opportunities</w:t>
      </w:r>
    </w:p>
    <w:p w:rsidR="001109D4" w:rsidRPr="008F1881" w:rsidRDefault="00DB7B8C" w:rsidP="00EE0835">
      <w:pPr>
        <w:pStyle w:val="ListBullet"/>
      </w:pPr>
      <w:r>
        <w:t>a</w:t>
      </w:r>
      <w:r w:rsidR="00B055FA" w:rsidRPr="008F1881">
        <w:t>ccess to culturally appropriate services and economic development opportunities.</w:t>
      </w:r>
    </w:p>
    <w:p w:rsidR="00B055FA" w:rsidRPr="008F1881" w:rsidRDefault="00B055FA" w:rsidP="00537648">
      <w:pPr>
        <w:pStyle w:val="bt"/>
        <w:spacing w:after="120"/>
      </w:pPr>
      <w:r w:rsidRPr="008F1881">
        <w:t>Addressing disadvantage in the region influences land use management to:</w:t>
      </w:r>
    </w:p>
    <w:p w:rsidR="001109D4" w:rsidRPr="008F1881" w:rsidRDefault="00DB7B8C" w:rsidP="00EE0835">
      <w:pPr>
        <w:pStyle w:val="ListBullet"/>
      </w:pPr>
      <w:r>
        <w:t>p</w:t>
      </w:r>
      <w:r w:rsidR="00B055FA" w:rsidRPr="008F1881">
        <w:t>rovide equity in access to employment, education and services within the region</w:t>
      </w:r>
    </w:p>
    <w:p w:rsidR="001109D4" w:rsidRPr="008F1881" w:rsidRDefault="00DB7B8C" w:rsidP="00EE0835">
      <w:pPr>
        <w:pStyle w:val="ListBullet"/>
      </w:pPr>
      <w:r>
        <w:t>s</w:t>
      </w:r>
      <w:r w:rsidR="00B055FA" w:rsidRPr="008F1881">
        <w:t>upport economic diversification and meet the skills requirements of emerging industries</w:t>
      </w:r>
    </w:p>
    <w:p w:rsidR="001109D4" w:rsidRPr="008F1881" w:rsidRDefault="00DB7B8C" w:rsidP="00EE0835">
      <w:pPr>
        <w:pStyle w:val="ListBullet"/>
      </w:pPr>
      <w:r>
        <w:t>m</w:t>
      </w:r>
      <w:r w:rsidR="00B055FA" w:rsidRPr="008F1881">
        <w:t>anage impacts on housing availability and affordability</w:t>
      </w:r>
    </w:p>
    <w:p w:rsidR="001109D4" w:rsidRPr="008F1881" w:rsidRDefault="00DB7B8C" w:rsidP="00EE0835">
      <w:pPr>
        <w:pStyle w:val="ListBullet"/>
      </w:pPr>
      <w:r>
        <w:t>m</w:t>
      </w:r>
      <w:r w:rsidR="00B055FA" w:rsidRPr="008F1881">
        <w:t>eet the demand for public, social and emergency housing</w:t>
      </w:r>
    </w:p>
    <w:p w:rsidR="001109D4" w:rsidRDefault="00DB7B8C" w:rsidP="00EE0835">
      <w:pPr>
        <w:pStyle w:val="ListBullet"/>
      </w:pPr>
      <w:r>
        <w:t>i</w:t>
      </w:r>
      <w:r w:rsidR="00B055FA" w:rsidRPr="008F1881">
        <w:t>ntegrate transport and land use planning.</w:t>
      </w:r>
    </w:p>
    <w:p w:rsidR="00A47912" w:rsidRDefault="00A47912" w:rsidP="00A47912">
      <w:pPr>
        <w:pStyle w:val="ListBullet"/>
        <w:numPr>
          <w:ilvl w:val="0"/>
          <w:numId w:val="0"/>
        </w:numPr>
        <w:ind w:left="720" w:hanging="360"/>
      </w:pPr>
    </w:p>
    <w:p w:rsidR="008F1881" w:rsidRPr="000A2E0D" w:rsidRDefault="00094C9F" w:rsidP="000A2E0D">
      <w:pPr>
        <w:pStyle w:val="Heading40"/>
      </w:pPr>
      <w:r w:rsidRPr="000A2E0D">
        <w:t>Aboriginal</w:t>
      </w:r>
      <w:r w:rsidR="009F09AE" w:rsidRPr="000A2E0D">
        <w:t xml:space="preserve"> health and wellbeing</w:t>
      </w:r>
    </w:p>
    <w:p w:rsidR="00B055FA" w:rsidRPr="008F1881" w:rsidRDefault="00B055FA" w:rsidP="00EE0835">
      <w:pPr>
        <w:pStyle w:val="bt"/>
      </w:pPr>
      <w:r w:rsidRPr="008F1881">
        <w:t xml:space="preserve">The </w:t>
      </w:r>
      <w:r w:rsidR="00D06A85" w:rsidRPr="00227110">
        <w:t>Grampians Indigenous Closing the Gap Health Plan</w:t>
      </w:r>
      <w:r w:rsidRPr="008F1881">
        <w:t xml:space="preserve"> </w:t>
      </w:r>
      <w:r w:rsidRPr="00CC5514">
        <w:t>(2009-2013)</w:t>
      </w:r>
      <w:r w:rsidRPr="008F1881">
        <w:t xml:space="preserve"> will implement initiatives to target specific health outcomes for </w:t>
      </w:r>
      <w:r w:rsidR="00DB7B8C">
        <w:t xml:space="preserve">Aboriginal </w:t>
      </w:r>
      <w:r w:rsidRPr="008F1881">
        <w:t>people</w:t>
      </w:r>
      <w:r w:rsidR="006C2CC8">
        <w:t>s</w:t>
      </w:r>
      <w:r w:rsidRPr="008F1881">
        <w:t>. Closing the gap in life expectancy between Aboriginal people</w:t>
      </w:r>
      <w:r w:rsidR="00596988">
        <w:t>s</w:t>
      </w:r>
      <w:r w:rsidRPr="008F1881">
        <w:t xml:space="preserve"> and the wider community in the </w:t>
      </w:r>
      <w:r w:rsidR="00DB7B8C">
        <w:t xml:space="preserve">Central Highlands, which is part of the </w:t>
      </w:r>
      <w:r w:rsidRPr="008F1881">
        <w:t xml:space="preserve">Grampians </w:t>
      </w:r>
      <w:r w:rsidR="00DB7B8C">
        <w:t>r</w:t>
      </w:r>
      <w:r w:rsidRPr="008F1881">
        <w:t>egion</w:t>
      </w:r>
      <w:r w:rsidR="00DB7B8C">
        <w:t>,</w:t>
      </w:r>
      <w:r w:rsidRPr="008F1881">
        <w:t xml:space="preserve"> requires a substantial increase in resources, including investment in effective primary healthcare services and effecting change in the social determinants of health (D</w:t>
      </w:r>
      <w:r w:rsidR="00DB7B8C">
        <w:t xml:space="preserve">epartment of </w:t>
      </w:r>
      <w:r w:rsidRPr="008F1881">
        <w:t>H</w:t>
      </w:r>
      <w:r w:rsidR="00DB7B8C">
        <w:t>ealth</w:t>
      </w:r>
      <w:r w:rsidRPr="008F1881">
        <w:t>, 2009).</w:t>
      </w:r>
    </w:p>
    <w:p w:rsidR="00B055FA" w:rsidRPr="008F1881" w:rsidRDefault="00B055FA" w:rsidP="00537648">
      <w:pPr>
        <w:pStyle w:val="bt"/>
        <w:spacing w:after="120"/>
      </w:pPr>
      <w:r w:rsidRPr="008F1881">
        <w:t>The Department of Health (2010b) has identified:</w:t>
      </w:r>
    </w:p>
    <w:p w:rsidR="00537648" w:rsidRDefault="00437DD8" w:rsidP="005A0F47">
      <w:pPr>
        <w:pStyle w:val="bt"/>
        <w:ind w:left="720"/>
      </w:pPr>
      <w:r>
        <w:t>“</w:t>
      </w:r>
      <w:r w:rsidR="00B055FA" w:rsidRPr="00AD7504">
        <w:t>As well as being a fundamental health indicator, studies have found life expectancy to be highly correlated with a range of other factors including employment, education and overall economic wellbeing. At the national level for 2005-2007, life expectancy at birth for Aboriginal males was estimated to be 67.2 years, 11.5 years less than life expectancy at birth for non-Aboriginal males (78.7 years). Life expectancy at birth for Aboriginal females was estimated to be 72.9 years, 9.7 years less than life expectancy at birth for non-Aboriginal females (82.6 years)</w:t>
      </w:r>
      <w:r w:rsidR="005A0F47">
        <w:t>.</w:t>
      </w:r>
      <w:r>
        <w:t>”</w:t>
      </w:r>
    </w:p>
    <w:p w:rsidR="00B055FA" w:rsidRPr="008F1881" w:rsidRDefault="00B055FA" w:rsidP="00EE0835">
      <w:pPr>
        <w:pStyle w:val="bt"/>
      </w:pPr>
      <w:r w:rsidRPr="008F1881">
        <w:t xml:space="preserve">Improvements in </w:t>
      </w:r>
      <w:r w:rsidR="00094C9F">
        <w:t>Aboriginal</w:t>
      </w:r>
      <w:r w:rsidRPr="008F1881">
        <w:t xml:space="preserve"> health and wellbeing status are an important aspect </w:t>
      </w:r>
      <w:r w:rsidR="00DB7B8C">
        <w:t xml:space="preserve">of </w:t>
      </w:r>
      <w:r w:rsidRPr="008F1881">
        <w:t xml:space="preserve">the overall health and wellbeing </w:t>
      </w:r>
      <w:r w:rsidR="00DB7B8C">
        <w:t xml:space="preserve">challenge </w:t>
      </w:r>
      <w:r w:rsidRPr="008F1881">
        <w:t xml:space="preserve">of the Central Highlands region. </w:t>
      </w:r>
      <w:r w:rsidR="00DB7B8C">
        <w:t xml:space="preserve">However, it should </w:t>
      </w:r>
      <w:r w:rsidRPr="008F1881">
        <w:t xml:space="preserve">be noted that </w:t>
      </w:r>
      <w:r w:rsidR="00DB7B8C">
        <w:t xml:space="preserve">the </w:t>
      </w:r>
      <w:r w:rsidRPr="008F1881">
        <w:t xml:space="preserve">health and wellbeing of the </w:t>
      </w:r>
      <w:r w:rsidR="00DB7B8C">
        <w:t xml:space="preserve">Aboriginal </w:t>
      </w:r>
      <w:r w:rsidRPr="008F1881">
        <w:t xml:space="preserve">community </w:t>
      </w:r>
      <w:r w:rsidR="00DB7B8C">
        <w:t xml:space="preserve">is being </w:t>
      </w:r>
      <w:r w:rsidRPr="008F1881">
        <w:t xml:space="preserve">addressed by the </w:t>
      </w:r>
      <w:r w:rsidR="00D06A85" w:rsidRPr="00227110">
        <w:t xml:space="preserve">Grampians Indigenous Closing the Gap Health Plan </w:t>
      </w:r>
      <w:r w:rsidRPr="00CC5514">
        <w:t>(2009-2013</w:t>
      </w:r>
      <w:r w:rsidRPr="008F1881">
        <w:t xml:space="preserve">), </w:t>
      </w:r>
      <w:r w:rsidR="00DB7B8C">
        <w:t xml:space="preserve">the </w:t>
      </w:r>
      <w:r w:rsidR="0069443A" w:rsidRPr="00227110">
        <w:t>Central Highlands Regional Strategic Plan</w:t>
      </w:r>
      <w:r w:rsidRPr="008F1881">
        <w:t xml:space="preserve"> and other initiatives.</w:t>
      </w:r>
    </w:p>
    <w:p w:rsidR="008F1881" w:rsidRPr="000A2E0D" w:rsidRDefault="009F09AE" w:rsidP="000A2E0D">
      <w:pPr>
        <w:pStyle w:val="Heading40"/>
      </w:pPr>
      <w:r w:rsidRPr="000A2E0D">
        <w:t>Social impacts of a changing climate</w:t>
      </w:r>
    </w:p>
    <w:p w:rsidR="005053A1" w:rsidRDefault="00B055FA" w:rsidP="005053A1">
      <w:pPr>
        <w:pStyle w:val="bt"/>
      </w:pPr>
      <w:r w:rsidRPr="008F1881">
        <w:t>The increased number of hot days expected in the future is likely to affect vulnerable members of the community differently from the broader population. As the average resident age increases</w:t>
      </w:r>
      <w:r w:rsidR="00302833">
        <w:t>,</w:t>
      </w:r>
      <w:r w:rsidRPr="008F1881">
        <w:t xml:space="preserve"> the number of potentially vulnerable people is forecast to increase</w:t>
      </w:r>
      <w:r w:rsidR="00302833">
        <w:t xml:space="preserve"> too</w:t>
      </w:r>
      <w:r w:rsidRPr="008F1881">
        <w:t>. For example</w:t>
      </w:r>
      <w:r w:rsidR="00302833">
        <w:t>,</w:t>
      </w:r>
      <w:r w:rsidRPr="008F1881">
        <w:t xml:space="preserve"> an increase in energy costs will particularly disadvantage vulnerable groups. </w:t>
      </w:r>
      <w:r w:rsidR="005053A1" w:rsidRPr="005053A1">
        <w:t xml:space="preserve">The draft Energy Futures </w:t>
      </w:r>
      <w:r w:rsidR="00437DD8">
        <w:t>and</w:t>
      </w:r>
      <w:r w:rsidR="005053A1" w:rsidRPr="005053A1">
        <w:t xml:space="preserve"> Vulnerability in the Grampians Sub-project 2 (</w:t>
      </w:r>
      <w:r w:rsidR="002C6B94">
        <w:t xml:space="preserve">Earth Systems </w:t>
      </w:r>
      <w:r w:rsidR="005053A1" w:rsidRPr="005053A1">
        <w:t xml:space="preserve">2012) states that rising oil prices are expected to affect many different sectors in the Central Highlands region. </w:t>
      </w:r>
      <w:r w:rsidR="005053A1">
        <w:t>H</w:t>
      </w:r>
      <w:r w:rsidR="005053A1" w:rsidRPr="005053A1">
        <w:t>ealthcare, agriculture</w:t>
      </w:r>
      <w:r w:rsidR="005053A1">
        <w:t xml:space="preserve">, </w:t>
      </w:r>
      <w:r w:rsidR="005053A1" w:rsidRPr="005053A1">
        <w:t>industry</w:t>
      </w:r>
      <w:r w:rsidR="005053A1">
        <w:t xml:space="preserve"> and</w:t>
      </w:r>
      <w:r w:rsidR="005053A1" w:rsidRPr="005053A1">
        <w:t xml:space="preserve"> residential sector</w:t>
      </w:r>
      <w:r w:rsidR="005053A1">
        <w:t>s</w:t>
      </w:r>
      <w:r w:rsidR="005053A1" w:rsidRPr="005053A1">
        <w:t xml:space="preserve"> critically rely on oil and its products and are vulnerable to rising oil prices. </w:t>
      </w:r>
    </w:p>
    <w:p w:rsidR="005053A1" w:rsidRPr="008F1881" w:rsidRDefault="005053A1" w:rsidP="005053A1">
      <w:pPr>
        <w:pStyle w:val="bt"/>
      </w:pPr>
      <w:r w:rsidRPr="005053A1">
        <w:t xml:space="preserve">Towns such as Daylesford, Lake Bolac, Burrumbeet, Cape Clear, Landsborough, Linton, Dereel, Clunes, Blackwood, Amphitheatre, Avoca and Moonambel are estimated to spend the largest proportion of income on energy, </w:t>
      </w:r>
      <w:r>
        <w:t>owing to their reliance</w:t>
      </w:r>
      <w:r w:rsidRPr="005053A1">
        <w:t xml:space="preserve"> on liquid fuels. As energy prices rise, many communities are expected to </w:t>
      </w:r>
      <w:r w:rsidRPr="005053A1">
        <w:lastRenderedPageBreak/>
        <w:t xml:space="preserve">become </w:t>
      </w:r>
      <w:r w:rsidR="00E556CC">
        <w:t>‘</w:t>
      </w:r>
      <w:r w:rsidRPr="005053A1">
        <w:t>fuel poor</w:t>
      </w:r>
      <w:r w:rsidR="00E556CC">
        <w:t>’.</w:t>
      </w:r>
      <w:r w:rsidRPr="005053A1">
        <w:t xml:space="preserve"> Fuel </w:t>
      </w:r>
      <w:r w:rsidR="00E96083">
        <w:t>p</w:t>
      </w:r>
      <w:r w:rsidRPr="005053A1">
        <w:t>overty is the condition in which a household spends over 10</w:t>
      </w:r>
      <w:r w:rsidR="00E556CC">
        <w:t xml:space="preserve"> per cent</w:t>
      </w:r>
      <w:r w:rsidRPr="005053A1">
        <w:t xml:space="preserve"> of its income on household energy. The average household in the </w:t>
      </w:r>
      <w:r w:rsidR="00E556CC">
        <w:t>statistical local area</w:t>
      </w:r>
      <w:r w:rsidRPr="005053A1">
        <w:t xml:space="preserve">s of Pyrenees North and Hepburn East are </w:t>
      </w:r>
      <w:r>
        <w:t>predicted</w:t>
      </w:r>
      <w:r w:rsidRPr="005053A1">
        <w:t xml:space="preserve"> to becom</w:t>
      </w:r>
      <w:r>
        <w:t>e</w:t>
      </w:r>
      <w:r w:rsidRPr="005053A1">
        <w:t xml:space="preserve"> </w:t>
      </w:r>
      <w:r w:rsidR="00E556CC">
        <w:t>‘</w:t>
      </w:r>
      <w:r w:rsidRPr="005053A1">
        <w:t>fuel poor</w:t>
      </w:r>
      <w:r w:rsidR="00E556CC">
        <w:t>’</w:t>
      </w:r>
      <w:r w:rsidR="000F3522">
        <w:t xml:space="preserve"> by 2020 (Earth Systems 2012).</w:t>
      </w:r>
      <w:r w:rsidR="000F3522" w:rsidRPr="008F1881">
        <w:t xml:space="preserve"> </w:t>
      </w:r>
    </w:p>
    <w:p w:rsidR="00B055FA" w:rsidRDefault="00B055FA" w:rsidP="00B91C9B">
      <w:pPr>
        <w:pStyle w:val="bt"/>
      </w:pPr>
      <w:r w:rsidRPr="008F1881">
        <w:t>Resultant changes in farming practices, such as larger farm sizes, could also lead to smaller workforces and challenge rural communities.</w:t>
      </w:r>
    </w:p>
    <w:p w:rsidR="00F93A5F" w:rsidRPr="005B01F7" w:rsidRDefault="009F09AE" w:rsidP="005B01F7">
      <w:pPr>
        <w:pStyle w:val="Heading3"/>
      </w:pPr>
      <w:r w:rsidRPr="005B01F7">
        <w:t xml:space="preserve">Land </w:t>
      </w:r>
      <w:r w:rsidR="00661931" w:rsidRPr="005B01F7">
        <w:t>use planning response</w:t>
      </w:r>
    </w:p>
    <w:p w:rsidR="002C12E4" w:rsidRPr="008F1881" w:rsidRDefault="002C12E4" w:rsidP="00B91C9B">
      <w:pPr>
        <w:pStyle w:val="bt"/>
      </w:pPr>
      <w:r w:rsidRPr="008F1881">
        <w:t xml:space="preserve">Land use planning can play a role in community planning by recognising areas of disadvantage and seeking to undertake positive measures to </w:t>
      </w:r>
      <w:r w:rsidR="00E4384E">
        <w:t>improve</w:t>
      </w:r>
      <w:r w:rsidR="00E4384E" w:rsidRPr="008F1881">
        <w:t xml:space="preserve"> </w:t>
      </w:r>
      <w:r w:rsidRPr="008F1881">
        <w:t xml:space="preserve">infrastructure, employment and housing </w:t>
      </w:r>
      <w:r w:rsidR="00E4384E">
        <w:t>in</w:t>
      </w:r>
      <w:r w:rsidR="00E4384E" w:rsidRPr="008F1881">
        <w:t xml:space="preserve"> </w:t>
      </w:r>
      <w:r w:rsidRPr="008F1881">
        <w:t xml:space="preserve">these areas. </w:t>
      </w:r>
    </w:p>
    <w:p w:rsidR="001D4868" w:rsidRPr="008F1881" w:rsidRDefault="002C12E4" w:rsidP="00B91C9B">
      <w:pPr>
        <w:pStyle w:val="bt"/>
        <w:rPr>
          <w:rFonts w:cs="Tahoma"/>
          <w:szCs w:val="20"/>
        </w:rPr>
      </w:pPr>
      <w:r w:rsidRPr="008F1881">
        <w:t xml:space="preserve">Planning can also support improved accessibility to services and facilities in disadvantaged locations. </w:t>
      </w:r>
      <w:r w:rsidR="001D4868" w:rsidRPr="008F1881">
        <w:t xml:space="preserve">The </w:t>
      </w:r>
      <w:r w:rsidR="00F37D25">
        <w:t>plan</w:t>
      </w:r>
      <w:r w:rsidR="001D4868" w:rsidRPr="008F1881">
        <w:t xml:space="preserve"> promotes the benefits of planning around clusters of settlements which can share facilities and help improve access to services for those in small or isolated communities</w:t>
      </w:r>
      <w:r w:rsidR="00302833">
        <w:t>.</w:t>
      </w:r>
      <w:r w:rsidR="001D52CB">
        <w:t xml:space="preserve"> </w:t>
      </w:r>
    </w:p>
    <w:p w:rsidR="002C12E4" w:rsidRDefault="002C12E4" w:rsidP="007E212B">
      <w:pPr>
        <w:pStyle w:val="bt"/>
      </w:pPr>
      <w:r w:rsidRPr="008F1881">
        <w:t xml:space="preserve">A regional approach to planning for sport and recreation facilities would be beneficial, with </w:t>
      </w:r>
      <w:r w:rsidR="006B78AF">
        <w:t>recognition</w:t>
      </w:r>
      <w:r w:rsidRPr="008F1881">
        <w:t xml:space="preserve"> of changing needs due to population and demographic shifts. Planning can also encourage development types and land use patterns that seek to mitigate costs</w:t>
      </w:r>
      <w:r w:rsidR="00302833">
        <w:t>,</w:t>
      </w:r>
      <w:r w:rsidRPr="008F1881">
        <w:t xml:space="preserve"> such as energy and transport costs</w:t>
      </w:r>
      <w:r w:rsidR="00302833">
        <w:t>,</w:t>
      </w:r>
      <w:r w:rsidRPr="008F1881">
        <w:t xml:space="preserve"> and help ensure accessibility to jobs and facilities. </w:t>
      </w:r>
      <w:r w:rsidR="007E212B">
        <w:t>Infill development opportunities should be investigated as a means to encourage affordability and provide good access to existing services, transport and facilities.</w:t>
      </w:r>
      <w:r w:rsidR="007E212B" w:rsidRPr="008F1881">
        <w:t xml:space="preserve"> </w:t>
      </w:r>
      <w:r w:rsidRPr="008F1881">
        <w:t>Economic initiatives could be undertaken around key regional strengths</w:t>
      </w:r>
      <w:r w:rsidR="00302833">
        <w:t>,</w:t>
      </w:r>
      <w:r w:rsidRPr="008F1881">
        <w:t xml:space="preserve"> such as accessibility to Melbourne and markets, tourism opportunities associated with gold rush heritage</w:t>
      </w:r>
      <w:r w:rsidR="00302833">
        <w:t>,</w:t>
      </w:r>
      <w:r w:rsidRPr="008F1881">
        <w:t xml:space="preserve"> and renewable energy industries.</w:t>
      </w:r>
    </w:p>
    <w:p w:rsidR="00A84DE3" w:rsidRPr="008F1881" w:rsidRDefault="00D91AA4" w:rsidP="007E212B">
      <w:pPr>
        <w:pStyle w:val="bt"/>
      </w:pPr>
      <w:r>
        <w:t xml:space="preserve">The plan acknowledges the need for an investigation into the social infrastructure needs for the region and target facilities to particular settlements or where the need is greatest or planning identifies a strategic direction to grow/maintain the settlement. Furthermore, </w:t>
      </w:r>
      <w:r w:rsidR="00E556CC">
        <w:t>c</w:t>
      </w:r>
      <w:r>
        <w:t xml:space="preserve">ouncils should prepare </w:t>
      </w:r>
      <w:r w:rsidR="00E96083">
        <w:t>development contribution plans</w:t>
      </w:r>
      <w:r>
        <w:t xml:space="preserve"> to fund infrastructure.</w:t>
      </w:r>
    </w:p>
    <w:p w:rsidR="00F93A5F" w:rsidRPr="005B01F7" w:rsidRDefault="00B055FA" w:rsidP="005B01F7">
      <w:pPr>
        <w:pStyle w:val="Heading2"/>
      </w:pPr>
      <w:bookmarkStart w:id="137" w:name="_Toc349557707"/>
      <w:bookmarkStart w:id="138" w:name="_Toc374527605"/>
      <w:r w:rsidRPr="005B01F7">
        <w:t>Cultural heritage</w:t>
      </w:r>
      <w:bookmarkEnd w:id="137"/>
      <w:bookmarkEnd w:id="138"/>
    </w:p>
    <w:p w:rsidR="00F93A5F" w:rsidRPr="005B01F7" w:rsidRDefault="009F09AE" w:rsidP="00F95347">
      <w:pPr>
        <w:pStyle w:val="Heading3"/>
        <w:spacing w:before="240"/>
      </w:pPr>
      <w:r w:rsidRPr="005B01F7">
        <w:t>Description and analysis</w:t>
      </w:r>
    </w:p>
    <w:p w:rsidR="00B055FA" w:rsidRPr="008F1881" w:rsidRDefault="00B055FA" w:rsidP="00BF0BC1">
      <w:pPr>
        <w:pStyle w:val="bt"/>
      </w:pPr>
      <w:r w:rsidRPr="008F1881">
        <w:t xml:space="preserve">The Central Highlands </w:t>
      </w:r>
      <w:r w:rsidR="00302833">
        <w:t xml:space="preserve">region </w:t>
      </w:r>
      <w:r w:rsidRPr="008F1881">
        <w:t>is home to considerable cultural heritage assets. Aboriginal people</w:t>
      </w:r>
      <w:r w:rsidR="00302833">
        <w:t>s</w:t>
      </w:r>
      <w:r w:rsidRPr="008F1881">
        <w:t xml:space="preserve"> have lived in the Central Highlands </w:t>
      </w:r>
      <w:r w:rsidR="00302833">
        <w:t>r</w:t>
      </w:r>
      <w:r w:rsidRPr="008F1881">
        <w:t>egion for more than 40,000 years. European and Chinese cultural heritage assets include those associated with the gold rush of the 1850s</w:t>
      </w:r>
      <w:r w:rsidR="004C014C">
        <w:t>,</w:t>
      </w:r>
      <w:r w:rsidRPr="008F1881">
        <w:t xml:space="preserve"> which led to significant population increases in mining towns such as Ballarat and Ararat.</w:t>
      </w:r>
    </w:p>
    <w:p w:rsidR="00B055FA" w:rsidRPr="008F1881" w:rsidRDefault="00B055FA" w:rsidP="00BF0BC1">
      <w:pPr>
        <w:pStyle w:val="bt"/>
      </w:pPr>
      <w:r w:rsidRPr="008F1881">
        <w:t xml:space="preserve">The presence of Aboriginal communities in Victoria is </w:t>
      </w:r>
      <w:r w:rsidR="00302833">
        <w:t xml:space="preserve">expressed </w:t>
      </w:r>
      <w:r w:rsidRPr="008F1881">
        <w:t xml:space="preserve">through stories about the creation and evolution of features in the landscape, place names, and </w:t>
      </w:r>
      <w:r w:rsidR="00302833">
        <w:t xml:space="preserve">the </w:t>
      </w:r>
      <w:r w:rsidRPr="008F1881">
        <w:t>physical evidence of occupation including culturally scarred trees, artefact scatters, earth mounds and burial places. Aboriginal people continue to have strong relationships</w:t>
      </w:r>
      <w:r w:rsidR="00302833">
        <w:t>,</w:t>
      </w:r>
      <w:r w:rsidRPr="008F1881">
        <w:t xml:space="preserve"> custodianship and decision</w:t>
      </w:r>
      <w:r w:rsidR="00302833">
        <w:t>-</w:t>
      </w:r>
      <w:r w:rsidRPr="008F1881">
        <w:t>making roles about these heritage values.</w:t>
      </w:r>
      <w:r w:rsidR="00B85BFF">
        <w:t xml:space="preserve"> This is evidenced through the recognition of two groups of Traditional Owners (the Wotjobaluk, Jaadwa, Jadawadjali, Wergaia and Japagulk Peoples and the Dja Dja Wurrung Peoples) and three Registered Aboriginal Parties in the region (the Dja Dja Wurrung Clans Aboriginal Corporation, Wathaurung Aboriginal Corporation and the Wurundjeri Tribe Land and Compensation </w:t>
      </w:r>
      <w:r w:rsidR="00313C08">
        <w:t>C</w:t>
      </w:r>
      <w:r w:rsidR="00B85BFF">
        <w:t>ultural Heritage Council</w:t>
      </w:r>
      <w:r w:rsidR="00437DD8">
        <w:t>)</w:t>
      </w:r>
      <w:r w:rsidR="00B85BFF">
        <w:t>.</w:t>
      </w:r>
      <w:r w:rsidRPr="008F1881">
        <w:t xml:space="preserve"> Heritage places and objects are community assets</w:t>
      </w:r>
      <w:r w:rsidR="00302833">
        <w:t>. Therefore</w:t>
      </w:r>
      <w:r w:rsidRPr="008F1881">
        <w:t xml:space="preserve"> conservation, management and interpretation of </w:t>
      </w:r>
      <w:r w:rsidR="00302833">
        <w:t xml:space="preserve">these assets </w:t>
      </w:r>
      <w:r w:rsidR="005648A5" w:rsidRPr="008F1881">
        <w:t>are</w:t>
      </w:r>
      <w:r w:rsidRPr="008F1881">
        <w:t xml:space="preserve"> an important part of integrated land use planning. </w:t>
      </w:r>
    </w:p>
    <w:p w:rsidR="00E73E5D" w:rsidRDefault="001D4868" w:rsidP="00BF0BC1">
      <w:pPr>
        <w:pStyle w:val="bt"/>
        <w:sectPr w:rsidR="00E73E5D" w:rsidSect="00C03B2E">
          <w:pgSz w:w="11906" w:h="16838"/>
          <w:pgMar w:top="1440" w:right="1440" w:bottom="851" w:left="1440" w:header="708" w:footer="709" w:gutter="0"/>
          <w:cols w:space="708"/>
          <w:docGrid w:linePitch="360"/>
        </w:sectPr>
      </w:pPr>
      <w:r w:rsidRPr="008F1881">
        <w:t>Some of the</w:t>
      </w:r>
      <w:r w:rsidR="00DB0AAD" w:rsidRPr="008F1881">
        <w:t xml:space="preserve"> </w:t>
      </w:r>
      <w:r w:rsidR="00302833">
        <w:t xml:space="preserve">most </w:t>
      </w:r>
      <w:r w:rsidR="00DB0AAD" w:rsidRPr="008F1881">
        <w:t xml:space="preserve">significant </w:t>
      </w:r>
      <w:r w:rsidR="00CB224C">
        <w:t xml:space="preserve">cultural </w:t>
      </w:r>
      <w:r w:rsidR="00DB0AAD" w:rsidRPr="008F1881">
        <w:t xml:space="preserve">heritage assets in the region have been identified by </w:t>
      </w:r>
      <w:r w:rsidR="004C7752">
        <w:t xml:space="preserve">the Office of </w:t>
      </w:r>
      <w:r w:rsidR="00DB0AAD" w:rsidRPr="008F1881">
        <w:t xml:space="preserve">Aboriginal Affairs Victoria and Heritage Victoria and are </w:t>
      </w:r>
      <w:r w:rsidR="00DB0AAD" w:rsidRPr="00E272B5">
        <w:t xml:space="preserve">mapped in </w:t>
      </w:r>
      <w:r w:rsidR="00631B16">
        <w:fldChar w:fldCharType="begin"/>
      </w:r>
      <w:r w:rsidR="00631B16">
        <w:instrText xml:space="preserve"> REF _Ref349221526 \h  \* MERGEFORMAT </w:instrText>
      </w:r>
      <w:r w:rsidR="00631B16">
        <w:fldChar w:fldCharType="separate"/>
      </w:r>
      <w:r w:rsidR="00907B42" w:rsidRPr="00D42DE9">
        <w:t xml:space="preserve">Figure </w:t>
      </w:r>
      <w:r w:rsidR="00907B42">
        <w:rPr>
          <w:noProof/>
        </w:rPr>
        <w:t>18</w:t>
      </w:r>
      <w:r w:rsidR="00631B16">
        <w:fldChar w:fldCharType="end"/>
      </w:r>
      <w:r w:rsidR="00DB0AAD" w:rsidRPr="00E272B5">
        <w:t>. It</w:t>
      </w:r>
      <w:r w:rsidR="00DB0AAD" w:rsidRPr="008F1881">
        <w:t xml:space="preserve"> is acknowledged this list is not exhaustive and many other more places of significance occur throughout the region.  </w:t>
      </w:r>
    </w:p>
    <w:p w:rsidR="00EE5DEF" w:rsidRDefault="009E4E61" w:rsidP="00D42DE9">
      <w:pPr>
        <w:pStyle w:val="Caption"/>
      </w:pPr>
      <w:bookmarkStart w:id="139" w:name="_Ref349221526"/>
      <w:r>
        <w:rPr>
          <w:noProof/>
        </w:rPr>
        <w:lastRenderedPageBreak/>
        <w:drawing>
          <wp:anchor distT="0" distB="0" distL="114300" distR="114300" simplePos="0" relativeHeight="251718656" behindDoc="0" locked="0" layoutInCell="1" allowOverlap="1">
            <wp:simplePos x="0" y="0"/>
            <wp:positionH relativeFrom="column">
              <wp:posOffset>24765</wp:posOffset>
            </wp:positionH>
            <wp:positionV relativeFrom="paragraph">
              <wp:posOffset>177165</wp:posOffset>
            </wp:positionV>
            <wp:extent cx="9866630" cy="5524500"/>
            <wp:effectExtent l="19050" t="0" r="1270" b="0"/>
            <wp:wrapTopAndBottom/>
            <wp:docPr id="26" name="Picture 2" descr="Map showing cultural heritage assets in Central High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DPCD Permanent All Staff\Regional Growth Plans\Phase 5 CH RGP Products\CH Background Report\Replacement maps\Map18_Pg44_CH Notable cultural heritage_21November2013.jpg"/>
                    <pic:cNvPicPr>
                      <a:picLocks noChangeAspect="1" noChangeArrowheads="1"/>
                    </pic:cNvPicPr>
                  </pic:nvPicPr>
                  <pic:blipFill>
                    <a:blip r:embed="rId39" cstate="email"/>
                    <a:srcRect/>
                    <a:stretch>
                      <a:fillRect/>
                    </a:stretch>
                  </pic:blipFill>
                  <pic:spPr bwMode="auto">
                    <a:xfrm>
                      <a:off x="0" y="0"/>
                      <a:ext cx="9866630" cy="5524500"/>
                    </a:xfrm>
                    <a:prstGeom prst="rect">
                      <a:avLst/>
                    </a:prstGeom>
                    <a:noFill/>
                    <a:ln w="9525">
                      <a:noFill/>
                      <a:miter lim="800000"/>
                      <a:headEnd/>
                      <a:tailEnd/>
                    </a:ln>
                  </pic:spPr>
                </pic:pic>
              </a:graphicData>
            </a:graphic>
          </wp:anchor>
        </w:drawing>
      </w:r>
      <w:bookmarkStart w:id="140" w:name="_Toc381698018"/>
      <w:r w:rsidR="00EE5DEF" w:rsidRPr="00D42DE9">
        <w:t xml:space="preserve">Figure </w:t>
      </w:r>
      <w:r w:rsidR="009F388E">
        <w:fldChar w:fldCharType="begin"/>
      </w:r>
      <w:r w:rsidR="00821C7F">
        <w:instrText xml:space="preserve"> SEQ Figure \* ARABIC </w:instrText>
      </w:r>
      <w:r w:rsidR="009F388E">
        <w:fldChar w:fldCharType="separate"/>
      </w:r>
      <w:r w:rsidR="00907B42">
        <w:rPr>
          <w:noProof/>
        </w:rPr>
        <w:t>18</w:t>
      </w:r>
      <w:r w:rsidR="009F388E">
        <w:fldChar w:fldCharType="end"/>
      </w:r>
      <w:bookmarkEnd w:id="139"/>
      <w:r w:rsidR="00302833" w:rsidRPr="00D42DE9">
        <w:t>:</w:t>
      </w:r>
      <w:r w:rsidR="00EE5DEF" w:rsidRPr="00D42DE9">
        <w:t xml:space="preserve"> </w:t>
      </w:r>
      <w:r w:rsidR="00BD549B" w:rsidRPr="00BD549B">
        <w:t>Some of the notable cultural heritage assets in the Central Highlands region</w:t>
      </w:r>
      <w:bookmarkEnd w:id="140"/>
    </w:p>
    <w:p w:rsidR="00E73E5D" w:rsidRDefault="00BD549B" w:rsidP="00070916">
      <w:pPr>
        <w:pStyle w:val="Source0"/>
        <w:sectPr w:rsidR="00E73E5D" w:rsidSect="00C03B2E">
          <w:pgSz w:w="16838" w:h="11906" w:orient="landscape"/>
          <w:pgMar w:top="1440" w:right="1440" w:bottom="851" w:left="851" w:header="708" w:footer="709" w:gutter="0"/>
          <w:cols w:space="708"/>
          <w:docGrid w:linePitch="360"/>
        </w:sectPr>
      </w:pPr>
      <w:r w:rsidRPr="00BD549B">
        <w:t xml:space="preserve">Source: Office of Aboriginal Affairs Victoria </w:t>
      </w:r>
      <w:r w:rsidR="00675252">
        <w:t>and</w:t>
      </w:r>
      <w:r w:rsidRPr="00BD549B">
        <w:t xml:space="preserve"> Heritage Victoria</w:t>
      </w:r>
    </w:p>
    <w:p w:rsidR="00DB0AAD" w:rsidRPr="008F1881" w:rsidRDefault="00DB0AAD" w:rsidP="008F522C">
      <w:pPr>
        <w:pStyle w:val="bt"/>
      </w:pPr>
      <w:r w:rsidRPr="008F1881">
        <w:lastRenderedPageBreak/>
        <w:t>In addition to these individual sites, the whole region has a strong goldfields heritage that underpins the fabric of many region</w:t>
      </w:r>
      <w:r w:rsidR="00527482">
        <w:t>al</w:t>
      </w:r>
      <w:r w:rsidRPr="008F1881">
        <w:t xml:space="preserve"> towns and is </w:t>
      </w:r>
      <w:r w:rsidR="00527482">
        <w:t xml:space="preserve">visible in </w:t>
      </w:r>
      <w:r w:rsidRPr="008F1881">
        <w:t>relics dotted throughout the landscape. There are a diverse range of heritage tourism opportunities within the region, particularly around its goldfields heritage.</w:t>
      </w:r>
    </w:p>
    <w:p w:rsidR="00DB0AAD" w:rsidRPr="008F1881" w:rsidRDefault="001D4868" w:rsidP="008F522C">
      <w:pPr>
        <w:pStyle w:val="bt"/>
      </w:pPr>
      <w:r w:rsidRPr="008F1881">
        <w:t xml:space="preserve">Councils in </w:t>
      </w:r>
      <w:r w:rsidR="00527482">
        <w:t>the Central Highlands</w:t>
      </w:r>
      <w:r w:rsidRPr="008F1881">
        <w:t xml:space="preserve"> and the neighbouring </w:t>
      </w:r>
      <w:r w:rsidR="00DB0AAD" w:rsidRPr="008F1881">
        <w:t xml:space="preserve">Loddon Mallee </w:t>
      </w:r>
      <w:r w:rsidR="00710A26">
        <w:t xml:space="preserve">South </w:t>
      </w:r>
      <w:r w:rsidRPr="008F1881">
        <w:t>region are developing</w:t>
      </w:r>
      <w:r w:rsidR="00DB0AAD" w:rsidRPr="008F1881">
        <w:t xml:space="preserve"> a joint initiative to create worldwide awareness of the area as Australia’s premier heritage region, and to obtain World Heritage listing for the Castlemaine Diggings National Heritage Park. The initiative</w:t>
      </w:r>
      <w:r w:rsidR="00710A26">
        <w:t>,</w:t>
      </w:r>
      <w:r w:rsidR="00DB0AAD" w:rsidRPr="008F1881">
        <w:t xml:space="preserve"> </w:t>
      </w:r>
      <w:r w:rsidR="001F619E" w:rsidRPr="00227110">
        <w:t xml:space="preserve">Goldfields – Australia’s Premier Heritage </w:t>
      </w:r>
      <w:r w:rsidR="00547E46" w:rsidRPr="00227110">
        <w:t>Region</w:t>
      </w:r>
      <w:r w:rsidR="00547E46">
        <w:t>,</w:t>
      </w:r>
      <w:r w:rsidR="00547E46" w:rsidRPr="008F1881">
        <w:t xml:space="preserve"> looks</w:t>
      </w:r>
      <w:r w:rsidR="00DB0AAD" w:rsidRPr="008F1881">
        <w:t xml:space="preserve"> to promote heritage-based tourism opportunities throughout </w:t>
      </w:r>
      <w:r w:rsidR="00527482">
        <w:t xml:space="preserve">both </w:t>
      </w:r>
      <w:r w:rsidR="00DB0AAD" w:rsidRPr="008F1881">
        <w:t>regions. Heritage tourism is viewed by these regions as a key driver for economic diversification and development, population growth and improved quality of life.</w:t>
      </w:r>
    </w:p>
    <w:p w:rsidR="00DB0AAD" w:rsidRPr="008F1881" w:rsidRDefault="00DB0AAD" w:rsidP="008F522C">
      <w:pPr>
        <w:pStyle w:val="bt"/>
      </w:pPr>
      <w:r w:rsidRPr="008F1881">
        <w:t xml:space="preserve">The </w:t>
      </w:r>
      <w:r w:rsidR="00527482">
        <w:t xml:space="preserve">Central Highlands </w:t>
      </w:r>
      <w:r w:rsidRPr="008F1881">
        <w:t xml:space="preserve">region already attracts many </w:t>
      </w:r>
      <w:r w:rsidR="00527482">
        <w:t xml:space="preserve">domestic and international </w:t>
      </w:r>
      <w:r w:rsidR="00497195" w:rsidRPr="008F1881">
        <w:t xml:space="preserve">day </w:t>
      </w:r>
      <w:r w:rsidRPr="008F1881">
        <w:t xml:space="preserve">visitors for its </w:t>
      </w:r>
      <w:r w:rsidR="00CB224C">
        <w:t xml:space="preserve">cultural </w:t>
      </w:r>
      <w:r w:rsidRPr="008F1881">
        <w:t>heritage values, through Sovereign Hill</w:t>
      </w:r>
      <w:r w:rsidR="00497195" w:rsidRPr="008F1881">
        <w:t xml:space="preserve"> in Ballarat</w:t>
      </w:r>
      <w:r w:rsidRPr="008F1881">
        <w:t xml:space="preserve">. </w:t>
      </w:r>
      <w:r w:rsidR="00497195" w:rsidRPr="008F1881">
        <w:t xml:space="preserve">There are </w:t>
      </w:r>
      <w:r w:rsidRPr="008F1881">
        <w:t>opportunit</w:t>
      </w:r>
      <w:r w:rsidR="00497195" w:rsidRPr="008F1881">
        <w:t>ies</w:t>
      </w:r>
      <w:r w:rsidRPr="008F1881">
        <w:t xml:space="preserve"> to </w:t>
      </w:r>
      <w:r w:rsidR="00497195" w:rsidRPr="008F1881">
        <w:t xml:space="preserve">encourage visitors to </w:t>
      </w:r>
      <w:r w:rsidRPr="008F1881">
        <w:t xml:space="preserve">stay </w:t>
      </w:r>
      <w:r w:rsidR="00497195" w:rsidRPr="008F1881">
        <w:t xml:space="preserve">longer in the region </w:t>
      </w:r>
      <w:r w:rsidRPr="008F1881">
        <w:t xml:space="preserve">and explore heritage tourism beyond Sovereign Hill, </w:t>
      </w:r>
      <w:r w:rsidR="00497195" w:rsidRPr="008F1881">
        <w:t xml:space="preserve">through </w:t>
      </w:r>
      <w:r w:rsidRPr="008F1881">
        <w:t>overnight and multi-night experiences. This would include improving access to surviving gold rush heritage sites</w:t>
      </w:r>
      <w:r w:rsidR="00B65C10">
        <w:t>,</w:t>
      </w:r>
      <w:r w:rsidRPr="008F1881">
        <w:t xml:space="preserve"> </w:t>
      </w:r>
      <w:r w:rsidR="00527482">
        <w:t>f</w:t>
      </w:r>
      <w:r w:rsidRPr="008F1881">
        <w:t xml:space="preserve">or example at Smythesdale and Linton. </w:t>
      </w:r>
      <w:r w:rsidR="00B523A6">
        <w:t>A further unique goldfields attraction is the Gum San Heritage Centre in Ararat which captures insights into the role of Chinese immigrants in the gold rush.</w:t>
      </w:r>
      <w:r w:rsidRPr="008F1881">
        <w:t xml:space="preserve"> The Grampians (Gariwerd) also attracts many tourists through its combination of Aboriginal cultural heritage and environmental assets.</w:t>
      </w:r>
    </w:p>
    <w:p w:rsidR="001F66D6" w:rsidRPr="00F95347" w:rsidRDefault="00DB0AAD" w:rsidP="00F95347">
      <w:pPr>
        <w:pStyle w:val="bt"/>
      </w:pPr>
      <w:r w:rsidRPr="008F1881">
        <w:t xml:space="preserve">Cultural heritage is protected by the </w:t>
      </w:r>
      <w:r w:rsidRPr="008F1881">
        <w:rPr>
          <w:i/>
        </w:rPr>
        <w:t>Aboriginal Heritage Act 2006</w:t>
      </w:r>
      <w:r w:rsidRPr="008F1881">
        <w:t xml:space="preserve"> and the </w:t>
      </w:r>
      <w:r w:rsidRPr="008F1881">
        <w:rPr>
          <w:i/>
        </w:rPr>
        <w:t>Heritage Act 1995</w:t>
      </w:r>
      <w:r w:rsidRPr="008F1881">
        <w:t xml:space="preserve">. The </w:t>
      </w:r>
      <w:r w:rsidRPr="008F1881">
        <w:rPr>
          <w:i/>
        </w:rPr>
        <w:t>Planning and Environment Act 1987</w:t>
      </w:r>
      <w:r w:rsidRPr="008F1881">
        <w:t xml:space="preserve"> requires that state and local government planning take cultural heritage and its management into account.  </w:t>
      </w:r>
    </w:p>
    <w:p w:rsidR="00F93A5F" w:rsidRPr="005B01F7" w:rsidRDefault="009F09AE" w:rsidP="005B01F7">
      <w:pPr>
        <w:pStyle w:val="Heading3"/>
      </w:pPr>
      <w:r w:rsidRPr="005B01F7">
        <w:t xml:space="preserve">Land </w:t>
      </w:r>
      <w:r w:rsidR="00661931" w:rsidRPr="005B01F7">
        <w:t>use planning response</w:t>
      </w:r>
    </w:p>
    <w:p w:rsidR="00C569D0" w:rsidRPr="008F1881" w:rsidRDefault="00167767" w:rsidP="008F522C">
      <w:pPr>
        <w:pStyle w:val="bt"/>
      </w:pPr>
      <w:r w:rsidRPr="008F1881">
        <w:t xml:space="preserve">The </w:t>
      </w:r>
      <w:r w:rsidR="00F37D25">
        <w:t>plan</w:t>
      </w:r>
      <w:r w:rsidRPr="008F1881">
        <w:t xml:space="preserve"> recognises the important role land use planning plays in protecting the cultural </w:t>
      </w:r>
      <w:r w:rsidR="009C2397" w:rsidRPr="008F1881">
        <w:t xml:space="preserve">heritage of the region </w:t>
      </w:r>
      <w:r w:rsidR="00527482">
        <w:t>by</w:t>
      </w:r>
      <w:r w:rsidR="009C2397" w:rsidRPr="008F1881">
        <w:t xml:space="preserve"> ensuring growth and new development is complementary to heritage values. Land use planning should seek to encourage </w:t>
      </w:r>
      <w:r w:rsidR="00C569D0" w:rsidRPr="008F1881">
        <w:t>the expansion of cultural heritage tourism within the region</w:t>
      </w:r>
      <w:r w:rsidR="009B1BBE">
        <w:t>, in consultation with Traditional Owners</w:t>
      </w:r>
      <w:r w:rsidR="00B85BFF">
        <w:t xml:space="preserve">, </w:t>
      </w:r>
      <w:r w:rsidR="009B1BBE">
        <w:t>Registered Aboriginal Parties and others</w:t>
      </w:r>
      <w:r w:rsidR="00C569D0" w:rsidRPr="008F1881">
        <w:t>.</w:t>
      </w:r>
    </w:p>
    <w:p w:rsidR="00497195" w:rsidRPr="008F1881" w:rsidRDefault="009C2397" w:rsidP="008F522C">
      <w:pPr>
        <w:pStyle w:val="bt"/>
      </w:pPr>
      <w:r w:rsidRPr="008F1881">
        <w:t xml:space="preserve">Cultural heritage is recognised as an important </w:t>
      </w:r>
      <w:r w:rsidR="00317702" w:rsidRPr="008F1881">
        <w:t>asset for</w:t>
      </w:r>
      <w:r w:rsidRPr="008F1881">
        <w:t xml:space="preserve"> the region, in  community, economic and social terms. The </w:t>
      </w:r>
      <w:r w:rsidR="00F37D25">
        <w:t>plan</w:t>
      </w:r>
      <w:r w:rsidRPr="008F1881">
        <w:t xml:space="preserve"> </w:t>
      </w:r>
      <w:r w:rsidR="00527482">
        <w:t xml:space="preserve">acknowledges </w:t>
      </w:r>
      <w:r w:rsidRPr="008F1881">
        <w:t xml:space="preserve">the significant opportunities </w:t>
      </w:r>
      <w:r w:rsidR="00527482">
        <w:t xml:space="preserve">that exist as a result of </w:t>
      </w:r>
      <w:r w:rsidRPr="008F1881">
        <w:t xml:space="preserve">the region’s unique cultural heritage, including positioning </w:t>
      </w:r>
      <w:r w:rsidR="00C569D0" w:rsidRPr="008F1881">
        <w:t xml:space="preserve">the goldfields </w:t>
      </w:r>
      <w:r w:rsidRPr="008F1881">
        <w:t>as Australia’s premier heritage region.</w:t>
      </w:r>
    </w:p>
    <w:p w:rsidR="00B055FA" w:rsidRPr="008F1881" w:rsidRDefault="00B055FA" w:rsidP="007649C1">
      <w:pPr>
        <w:pStyle w:val="Heading11"/>
        <w:rPr>
          <w:szCs w:val="20"/>
        </w:rPr>
      </w:pPr>
      <w:bookmarkStart w:id="141" w:name="_Toc353805629"/>
      <w:bookmarkStart w:id="142" w:name="_Toc353805630"/>
      <w:bookmarkEnd w:id="141"/>
      <w:bookmarkEnd w:id="142"/>
      <w:r w:rsidRPr="008F1881">
        <w:br w:type="page"/>
      </w:r>
      <w:bookmarkStart w:id="143" w:name="_Toc349557708"/>
      <w:bookmarkStart w:id="144" w:name="_Ref349558672"/>
      <w:bookmarkStart w:id="145" w:name="_Toc374527606"/>
      <w:r w:rsidRPr="008F1881">
        <w:lastRenderedPageBreak/>
        <w:t>Economic prosperity</w:t>
      </w:r>
      <w:bookmarkEnd w:id="143"/>
      <w:bookmarkEnd w:id="144"/>
      <w:bookmarkEnd w:id="145"/>
    </w:p>
    <w:p w:rsidR="008F1881" w:rsidRPr="005B01F7" w:rsidRDefault="00B055FA" w:rsidP="005B01F7">
      <w:pPr>
        <w:pStyle w:val="Heading2"/>
      </w:pPr>
      <w:bookmarkStart w:id="146" w:name="_Toc349557709"/>
      <w:bookmarkStart w:id="147" w:name="_Toc374527607"/>
      <w:r w:rsidRPr="005B01F7">
        <w:t>Context</w:t>
      </w:r>
      <w:bookmarkEnd w:id="146"/>
      <w:bookmarkEnd w:id="147"/>
    </w:p>
    <w:p w:rsidR="004676F1" w:rsidRPr="008F1881" w:rsidRDefault="004676F1" w:rsidP="008F522C">
      <w:pPr>
        <w:pStyle w:val="bt"/>
      </w:pPr>
      <w:r w:rsidRPr="008F1881">
        <w:t>An analysis of the region’s economic prosperity undertaken by Regional Development Victoria</w:t>
      </w:r>
      <w:r w:rsidR="00F24E71">
        <w:t xml:space="preserve"> in 2013</w:t>
      </w:r>
      <w:r w:rsidR="00CF57AF" w:rsidRPr="008F1881">
        <w:rPr>
          <w:rStyle w:val="FootnoteReference"/>
          <w:szCs w:val="20"/>
        </w:rPr>
        <w:footnoteReference w:id="4"/>
      </w:r>
      <w:r w:rsidRPr="008F1881">
        <w:t xml:space="preserve"> found that over the past decade the region has grown at a similar rate to the rest of Victoria</w:t>
      </w:r>
      <w:r w:rsidR="00996EFF" w:rsidRPr="008F1881">
        <w:t>,</w:t>
      </w:r>
      <w:r w:rsidRPr="008F1881">
        <w:t xml:space="preserve"> with Ballarat driving economic growth</w:t>
      </w:r>
      <w:r w:rsidR="00996EFF" w:rsidRPr="008F1881">
        <w:t xml:space="preserve"> within the region</w:t>
      </w:r>
      <w:r w:rsidRPr="008F1881">
        <w:t xml:space="preserve">. </w:t>
      </w:r>
      <w:r w:rsidR="00013259">
        <w:t xml:space="preserve">In addition to population growth, </w:t>
      </w:r>
      <w:r w:rsidRPr="008F1881">
        <w:t xml:space="preserve">the region has also experienced productivity growth and labour utilisation growth </w:t>
      </w:r>
      <w:r w:rsidR="00C41FD9" w:rsidRPr="008F1881">
        <w:t>over the last decade. The</w:t>
      </w:r>
      <w:r w:rsidR="00094C9F">
        <w:t xml:space="preserve"> Central Highlands</w:t>
      </w:r>
      <w:r w:rsidR="00C41FD9" w:rsidRPr="008F1881">
        <w:t xml:space="preserve"> features a relatively diverse economy, particularly for a regional area, which has helped it to adapt to changing economic conditions</w:t>
      </w:r>
      <w:r w:rsidR="00996EFF" w:rsidRPr="008F1881">
        <w:t>.</w:t>
      </w:r>
    </w:p>
    <w:p w:rsidR="00662EDC" w:rsidRPr="008F1881" w:rsidRDefault="00662EDC" w:rsidP="008F522C">
      <w:pPr>
        <w:pStyle w:val="bt"/>
        <w:rPr>
          <w:rFonts w:cs="Tahoma"/>
          <w:szCs w:val="20"/>
        </w:rPr>
      </w:pPr>
      <w:r w:rsidRPr="008F1881">
        <w:rPr>
          <w:rFonts w:cs="Tahoma"/>
          <w:szCs w:val="20"/>
        </w:rPr>
        <w:t>The key features of the Central Highlands’ economy are</w:t>
      </w:r>
      <w:r w:rsidR="00094C9F">
        <w:rPr>
          <w:rFonts w:cs="Tahoma"/>
          <w:szCs w:val="20"/>
        </w:rPr>
        <w:t xml:space="preserve"> as follows</w:t>
      </w:r>
      <w:r w:rsidRPr="008F1881">
        <w:rPr>
          <w:rFonts w:cs="Tahoma"/>
          <w:szCs w:val="20"/>
        </w:rPr>
        <w:t>:</w:t>
      </w:r>
    </w:p>
    <w:p w:rsidR="00662EDC" w:rsidRPr="008F1881" w:rsidRDefault="00662EDC" w:rsidP="008F522C">
      <w:pPr>
        <w:pStyle w:val="ListBullet"/>
      </w:pPr>
      <w:r w:rsidRPr="008F1881">
        <w:t>Manufacturing, healthcare and construction contribute</w:t>
      </w:r>
      <w:r w:rsidR="00094C9F">
        <w:t>d</w:t>
      </w:r>
      <w:r w:rsidRPr="008F1881">
        <w:t xml:space="preserve"> around 35</w:t>
      </w:r>
      <w:r w:rsidR="00F24E71">
        <w:t xml:space="preserve"> </w:t>
      </w:r>
      <w:r w:rsidR="001F619E" w:rsidRPr="001F619E">
        <w:t>per cent</w:t>
      </w:r>
      <w:r w:rsidRPr="008F1881">
        <w:t xml:space="preserve"> of the gross regional product in 2011</w:t>
      </w:r>
      <w:r w:rsidR="00F24E71">
        <w:t>.</w:t>
      </w:r>
    </w:p>
    <w:p w:rsidR="00662EDC" w:rsidRPr="008F1881" w:rsidRDefault="00662EDC" w:rsidP="008F522C">
      <w:pPr>
        <w:pStyle w:val="ListBullet"/>
      </w:pPr>
      <w:r w:rsidRPr="008F1881">
        <w:t xml:space="preserve">The </w:t>
      </w:r>
      <w:r w:rsidR="00F24E71">
        <w:t xml:space="preserve">region’s </w:t>
      </w:r>
      <w:r w:rsidRPr="008F1881">
        <w:t>manufacturing industry has strong link</w:t>
      </w:r>
      <w:r w:rsidR="00F24E71">
        <w:t>s</w:t>
      </w:r>
      <w:r w:rsidRPr="008F1881">
        <w:t xml:space="preserve"> to the agriculture sector</w:t>
      </w:r>
      <w:r w:rsidR="00F24E71">
        <w:t xml:space="preserve">. In </w:t>
      </w:r>
      <w:r w:rsidRPr="008F1881">
        <w:t>2011, 32</w:t>
      </w:r>
      <w:r w:rsidR="00F24E71">
        <w:t xml:space="preserve"> </w:t>
      </w:r>
      <w:r w:rsidR="001F619E" w:rsidRPr="001F619E">
        <w:t>per cent</w:t>
      </w:r>
      <w:r w:rsidRPr="00F24E71">
        <w:t xml:space="preserve"> </w:t>
      </w:r>
      <w:r w:rsidRPr="008F1881">
        <w:t xml:space="preserve">of the </w:t>
      </w:r>
      <w:r w:rsidR="00F24E71">
        <w:t xml:space="preserve">regional </w:t>
      </w:r>
      <w:r w:rsidRPr="008F1881">
        <w:t>manufacturing sector’s output was from the food product manufacturing sub-sector, the highest among all manufacturing sub-sectors</w:t>
      </w:r>
      <w:r w:rsidR="00F24E71">
        <w:t>.</w:t>
      </w:r>
    </w:p>
    <w:p w:rsidR="00662EDC" w:rsidRPr="008F1881" w:rsidRDefault="00662EDC" w:rsidP="008F522C">
      <w:pPr>
        <w:pStyle w:val="ListBullet"/>
      </w:pPr>
      <w:r w:rsidRPr="008F1881">
        <w:t>Transport equipment manufacturing was the second biggest manufacturing sub-sector in the region</w:t>
      </w:r>
      <w:r w:rsidR="00F24E71">
        <w:t>.</w:t>
      </w:r>
    </w:p>
    <w:p w:rsidR="008F1881" w:rsidRPr="008F1881" w:rsidRDefault="00662EDC" w:rsidP="008F522C">
      <w:pPr>
        <w:pStyle w:val="ListBullet"/>
      </w:pPr>
      <w:r w:rsidRPr="008F1881">
        <w:t>Population</w:t>
      </w:r>
      <w:r w:rsidR="00F24E71">
        <w:t>-</w:t>
      </w:r>
      <w:r w:rsidRPr="008F1881">
        <w:t xml:space="preserve">driven sectors such as healthcare, construction, education and retail trade are also significant sectors of the regional economy. </w:t>
      </w:r>
    </w:p>
    <w:p w:rsidR="00B055FA" w:rsidRPr="008F1881" w:rsidRDefault="00B055FA" w:rsidP="008F522C">
      <w:pPr>
        <w:pStyle w:val="bt"/>
      </w:pPr>
      <w:r w:rsidRPr="008F1881">
        <w:t>The Central Highlands region is well represented in the</w:t>
      </w:r>
      <w:r w:rsidR="00710A26">
        <w:t xml:space="preserve"> following employment sectors: </w:t>
      </w:r>
      <w:r w:rsidRPr="008F1881">
        <w:t xml:space="preserve">manufacturing, construction, retail trade, education and training, and healthcare and social assistance  </w:t>
      </w:r>
      <w:r w:rsidR="000A44A6">
        <w:t>(refer to</w:t>
      </w:r>
      <w:r w:rsidRPr="008F1881">
        <w:t xml:space="preserve"> </w:t>
      </w:r>
      <w:r w:rsidR="00631B16">
        <w:fldChar w:fldCharType="begin"/>
      </w:r>
      <w:r w:rsidR="00631B16">
        <w:instrText xml:space="preserve"> REF _Ref349222049 \h  \* MERGEFORMAT </w:instrText>
      </w:r>
      <w:r w:rsidR="00631B16">
        <w:fldChar w:fldCharType="separate"/>
      </w:r>
      <w:r w:rsidR="00907B42" w:rsidRPr="003737BB">
        <w:t xml:space="preserve">Figure </w:t>
      </w:r>
      <w:r w:rsidR="00907B42">
        <w:rPr>
          <w:noProof/>
        </w:rPr>
        <w:t>19</w:t>
      </w:r>
      <w:r w:rsidR="00631B16">
        <w:fldChar w:fldCharType="end"/>
      </w:r>
      <w:r w:rsidRPr="008F1881">
        <w:t xml:space="preserve">). </w:t>
      </w:r>
    </w:p>
    <w:p w:rsidR="008F1881" w:rsidRPr="003737BB" w:rsidRDefault="00C820C0" w:rsidP="003737BB">
      <w:pPr>
        <w:pStyle w:val="Caption"/>
      </w:pPr>
      <w:bookmarkStart w:id="148" w:name="_Ref349222049"/>
      <w:r w:rsidRPr="003737BB">
        <w:rPr>
          <w:noProof/>
        </w:rPr>
        <w:drawing>
          <wp:anchor distT="0" distB="0" distL="114300" distR="114300" simplePos="0" relativeHeight="251674624" behindDoc="0" locked="0" layoutInCell="1" allowOverlap="1">
            <wp:simplePos x="0" y="0"/>
            <wp:positionH relativeFrom="column">
              <wp:posOffset>95250</wp:posOffset>
            </wp:positionH>
            <wp:positionV relativeFrom="paragraph">
              <wp:posOffset>248920</wp:posOffset>
            </wp:positionV>
            <wp:extent cx="5501640" cy="3911600"/>
            <wp:effectExtent l="19050" t="0" r="3810" b="0"/>
            <wp:wrapTopAndBottom/>
            <wp:docPr id="12" name="Picture 9" descr="Chart showing employed people by industr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email"/>
                    <a:stretch>
                      <a:fillRect/>
                    </a:stretch>
                  </pic:blipFill>
                  <pic:spPr bwMode="auto">
                    <a:xfrm>
                      <a:off x="0" y="0"/>
                      <a:ext cx="5501640" cy="3911600"/>
                    </a:xfrm>
                    <a:prstGeom prst="rect">
                      <a:avLst/>
                    </a:prstGeom>
                    <a:noFill/>
                    <a:ln w="9525">
                      <a:noFill/>
                      <a:miter lim="800000"/>
                      <a:headEnd/>
                      <a:tailEnd/>
                    </a:ln>
                  </pic:spPr>
                </pic:pic>
              </a:graphicData>
            </a:graphic>
          </wp:anchor>
        </w:drawing>
      </w:r>
      <w:bookmarkStart w:id="149" w:name="_Toc381698019"/>
      <w:r w:rsidR="00A96D58" w:rsidRPr="003737BB">
        <w:t xml:space="preserve">Figure </w:t>
      </w:r>
      <w:r w:rsidR="009F388E" w:rsidRPr="003737BB">
        <w:fldChar w:fldCharType="begin"/>
      </w:r>
      <w:r w:rsidR="00821C7F" w:rsidRPr="003737BB">
        <w:instrText xml:space="preserve"> SEQ Figure \* ARABIC </w:instrText>
      </w:r>
      <w:r w:rsidR="009F388E" w:rsidRPr="003737BB">
        <w:fldChar w:fldCharType="separate"/>
      </w:r>
      <w:r w:rsidR="00907B42">
        <w:rPr>
          <w:noProof/>
        </w:rPr>
        <w:t>19</w:t>
      </w:r>
      <w:r w:rsidR="009F388E" w:rsidRPr="003737BB">
        <w:fldChar w:fldCharType="end"/>
      </w:r>
      <w:bookmarkEnd w:id="148"/>
      <w:r w:rsidR="00F24E71" w:rsidRPr="003737BB">
        <w:t>:</w:t>
      </w:r>
      <w:r w:rsidR="00B055FA" w:rsidRPr="003737BB">
        <w:t xml:space="preserve"> Employed </w:t>
      </w:r>
      <w:r w:rsidR="00BD549B" w:rsidRPr="003737BB">
        <w:t>people by industry</w:t>
      </w:r>
      <w:r w:rsidR="003737BB">
        <w:t xml:space="preserve"> </w:t>
      </w:r>
      <w:r w:rsidR="003737BB" w:rsidRPr="003737BB">
        <w:t>sector</w:t>
      </w:r>
      <w:bookmarkEnd w:id="149"/>
    </w:p>
    <w:p w:rsidR="00C820C0" w:rsidRDefault="008F522C" w:rsidP="00070916">
      <w:pPr>
        <w:pStyle w:val="Source0"/>
      </w:pPr>
      <w:r>
        <w:t>S</w:t>
      </w:r>
      <w:r w:rsidRPr="008F1881">
        <w:t xml:space="preserve">ource: </w:t>
      </w:r>
      <w:r>
        <w:t>Regional Development Victoria, 2013</w:t>
      </w:r>
    </w:p>
    <w:p w:rsidR="0060609C" w:rsidRPr="008F1881" w:rsidRDefault="000E72BF" w:rsidP="008F522C">
      <w:pPr>
        <w:pStyle w:val="bt"/>
        <w:rPr>
          <w:lang w:bidi="en-US"/>
        </w:rPr>
      </w:pPr>
      <w:r>
        <w:lastRenderedPageBreak/>
        <w:t>However, t</w:t>
      </w:r>
      <w:r w:rsidR="0060609C" w:rsidRPr="008F1881">
        <w:rPr>
          <w:lang w:bidi="en-US"/>
        </w:rPr>
        <w:t>he economic profile across the region is diverse and not captured by region-wide statistics. For example</w:t>
      </w:r>
      <w:r>
        <w:rPr>
          <w:lang w:bidi="en-US"/>
        </w:rPr>
        <w:t>,</w:t>
      </w:r>
      <w:r w:rsidR="0060609C" w:rsidRPr="008F1881">
        <w:rPr>
          <w:lang w:bidi="en-US"/>
        </w:rPr>
        <w:t xml:space="preserve"> </w:t>
      </w:r>
      <w:r w:rsidR="00C549F4">
        <w:rPr>
          <w:lang w:bidi="en-US"/>
        </w:rPr>
        <w:t xml:space="preserve">in </w:t>
      </w:r>
      <w:r w:rsidR="0060609C" w:rsidRPr="008F1881">
        <w:rPr>
          <w:lang w:bidi="en-US"/>
        </w:rPr>
        <w:t>2011 agriculture accounted for 63</w:t>
      </w:r>
      <w:r w:rsidR="00B65C10">
        <w:rPr>
          <w:lang w:bidi="en-US"/>
        </w:rPr>
        <w:t xml:space="preserve"> </w:t>
      </w:r>
      <w:r w:rsidR="0060609C" w:rsidRPr="008F1881">
        <w:rPr>
          <w:lang w:bidi="en-US"/>
        </w:rPr>
        <w:t>and 36</w:t>
      </w:r>
      <w:r w:rsidR="00B65C10">
        <w:rPr>
          <w:lang w:bidi="en-US"/>
        </w:rPr>
        <w:t xml:space="preserve"> per cent</w:t>
      </w:r>
      <w:r w:rsidR="00B65C10" w:rsidRPr="008F1881">
        <w:rPr>
          <w:lang w:bidi="en-US"/>
        </w:rPr>
        <w:t xml:space="preserve"> </w:t>
      </w:r>
      <w:r w:rsidRPr="008F1881">
        <w:rPr>
          <w:lang w:bidi="en-US"/>
        </w:rPr>
        <w:t xml:space="preserve">respectively </w:t>
      </w:r>
      <w:r w:rsidR="0060609C" w:rsidRPr="008F1881">
        <w:rPr>
          <w:lang w:bidi="en-US"/>
        </w:rPr>
        <w:t>of the exports from Pyrenees and Hepburn</w:t>
      </w:r>
      <w:r w:rsidR="00C549F4">
        <w:rPr>
          <w:lang w:bidi="en-US"/>
        </w:rPr>
        <w:t xml:space="preserve">, </w:t>
      </w:r>
      <w:r>
        <w:rPr>
          <w:lang w:bidi="en-US"/>
        </w:rPr>
        <w:t xml:space="preserve">while </w:t>
      </w:r>
      <w:r w:rsidR="0060609C" w:rsidRPr="008F1881">
        <w:rPr>
          <w:lang w:bidi="en-US"/>
        </w:rPr>
        <w:t>manufacturing was the top export sector for Moorabool, Ararat and Ballarat. Most of the region’s exports in 2011 came from Ballarat</w:t>
      </w:r>
      <w:r w:rsidR="00C549F4">
        <w:rPr>
          <w:lang w:bidi="en-US"/>
        </w:rPr>
        <w:t xml:space="preserve"> (76</w:t>
      </w:r>
      <w:r w:rsidR="00B65C10">
        <w:rPr>
          <w:lang w:bidi="en-US"/>
        </w:rPr>
        <w:t xml:space="preserve"> per cent)</w:t>
      </w:r>
      <w:r w:rsidR="00B65C10" w:rsidRPr="008F1881">
        <w:rPr>
          <w:lang w:bidi="en-US"/>
        </w:rPr>
        <w:t xml:space="preserve">. </w:t>
      </w:r>
      <w:r w:rsidR="0060609C" w:rsidRPr="008F1881">
        <w:rPr>
          <w:lang w:bidi="en-US"/>
        </w:rPr>
        <w:t xml:space="preserve">Ararat and Moorabool accounted for </w:t>
      </w:r>
      <w:r>
        <w:rPr>
          <w:lang w:bidi="en-US"/>
        </w:rPr>
        <w:t xml:space="preserve">nine </w:t>
      </w:r>
      <w:r w:rsidR="00B65C10">
        <w:rPr>
          <w:lang w:bidi="en-US"/>
        </w:rPr>
        <w:t>per cent</w:t>
      </w:r>
      <w:r w:rsidR="00B65C10" w:rsidRPr="008F1881">
        <w:rPr>
          <w:lang w:bidi="en-US"/>
        </w:rPr>
        <w:t xml:space="preserve"> </w:t>
      </w:r>
      <w:r w:rsidR="0060609C" w:rsidRPr="008F1881">
        <w:rPr>
          <w:lang w:bidi="en-US"/>
        </w:rPr>
        <w:t xml:space="preserve">and </w:t>
      </w:r>
      <w:r>
        <w:rPr>
          <w:lang w:bidi="en-US"/>
        </w:rPr>
        <w:t xml:space="preserve">seven </w:t>
      </w:r>
      <w:r w:rsidR="00B65C10">
        <w:rPr>
          <w:lang w:bidi="en-US"/>
        </w:rPr>
        <w:t>per cent</w:t>
      </w:r>
      <w:r w:rsidR="00B65C10" w:rsidRPr="008F1881">
        <w:rPr>
          <w:lang w:bidi="en-US"/>
        </w:rPr>
        <w:t xml:space="preserve"> </w:t>
      </w:r>
      <w:r w:rsidR="0060609C" w:rsidRPr="008F1881">
        <w:rPr>
          <w:lang w:bidi="en-US"/>
        </w:rPr>
        <w:t xml:space="preserve">of the region’s total 2011 exports, respectively. </w:t>
      </w:r>
    </w:p>
    <w:p w:rsidR="00CF57AF" w:rsidRDefault="00CF57AF" w:rsidP="008F522C">
      <w:pPr>
        <w:pStyle w:val="bt"/>
        <w:rPr>
          <w:lang w:bidi="en-US"/>
        </w:rPr>
      </w:pPr>
      <w:r w:rsidRPr="008F1881">
        <w:rPr>
          <w:lang w:bidi="en-US"/>
        </w:rPr>
        <w:t>It is projected that the shift in the economy toward service sectors</w:t>
      </w:r>
      <w:r w:rsidRPr="008F1881">
        <w:rPr>
          <w:vertAlign w:val="superscript"/>
          <w:lang w:bidi="en-US"/>
        </w:rPr>
        <w:footnoteReference w:id="5"/>
      </w:r>
      <w:r w:rsidRPr="008F1881">
        <w:rPr>
          <w:lang w:bidi="en-US"/>
        </w:rPr>
        <w:t xml:space="preserve"> will continue over the next decade. The largest sectors in terms of output (by 2031) will be </w:t>
      </w:r>
      <w:r w:rsidR="000E72BF">
        <w:rPr>
          <w:lang w:bidi="en-US"/>
        </w:rPr>
        <w:t>h</w:t>
      </w:r>
      <w:r w:rsidRPr="008F1881">
        <w:rPr>
          <w:lang w:bidi="en-US"/>
        </w:rPr>
        <w:t>ealth</w:t>
      </w:r>
      <w:r w:rsidR="000E72BF">
        <w:rPr>
          <w:lang w:bidi="en-US"/>
        </w:rPr>
        <w:t>care</w:t>
      </w:r>
      <w:r w:rsidRPr="008F1881">
        <w:rPr>
          <w:lang w:bidi="en-US"/>
        </w:rPr>
        <w:t xml:space="preserve">, </w:t>
      </w:r>
      <w:r w:rsidR="000E72BF">
        <w:rPr>
          <w:lang w:bidi="en-US"/>
        </w:rPr>
        <w:t>m</w:t>
      </w:r>
      <w:r w:rsidRPr="008F1881">
        <w:rPr>
          <w:lang w:bidi="en-US"/>
        </w:rPr>
        <w:t xml:space="preserve">anufacturing, </w:t>
      </w:r>
      <w:r w:rsidR="000E72BF">
        <w:rPr>
          <w:lang w:bidi="en-US"/>
        </w:rPr>
        <w:t>p</w:t>
      </w:r>
      <w:r w:rsidRPr="008F1881">
        <w:rPr>
          <w:lang w:bidi="en-US"/>
        </w:rPr>
        <w:t xml:space="preserve">rofessional </w:t>
      </w:r>
      <w:r w:rsidR="000E72BF">
        <w:rPr>
          <w:lang w:bidi="en-US"/>
        </w:rPr>
        <w:t>s</w:t>
      </w:r>
      <w:r w:rsidRPr="008F1881">
        <w:rPr>
          <w:lang w:bidi="en-US"/>
        </w:rPr>
        <w:t xml:space="preserve">ervices, </w:t>
      </w:r>
      <w:r w:rsidR="000E72BF">
        <w:rPr>
          <w:lang w:bidi="en-US"/>
        </w:rPr>
        <w:t>c</w:t>
      </w:r>
      <w:r w:rsidRPr="008F1881">
        <w:rPr>
          <w:lang w:bidi="en-US"/>
        </w:rPr>
        <w:t xml:space="preserve">onstruction and </w:t>
      </w:r>
      <w:r w:rsidR="000E72BF">
        <w:rPr>
          <w:lang w:bidi="en-US"/>
        </w:rPr>
        <w:t>e</w:t>
      </w:r>
      <w:r w:rsidRPr="008F1881">
        <w:rPr>
          <w:lang w:bidi="en-US"/>
        </w:rPr>
        <w:t>ducation (</w:t>
      </w:r>
      <w:r w:rsidR="00631B16">
        <w:fldChar w:fldCharType="begin"/>
      </w:r>
      <w:r w:rsidR="00631B16">
        <w:instrText xml:space="preserve"> REF _Ref350250652 \h  \* MERGEFORMAT </w:instrText>
      </w:r>
      <w:r w:rsidR="00631B16">
        <w:fldChar w:fldCharType="separate"/>
      </w:r>
      <w:r w:rsidR="00907B42" w:rsidRPr="00D42DE9">
        <w:t xml:space="preserve">Figure </w:t>
      </w:r>
      <w:r w:rsidR="00907B42">
        <w:rPr>
          <w:noProof/>
        </w:rPr>
        <w:t>20</w:t>
      </w:r>
      <w:r w:rsidR="00631B16">
        <w:fldChar w:fldCharType="end"/>
      </w:r>
      <w:r w:rsidRPr="008F1881">
        <w:rPr>
          <w:lang w:bidi="en-US"/>
        </w:rPr>
        <w:t>). These sectors are projected to account for 51</w:t>
      </w:r>
      <w:r w:rsidR="00B65C10">
        <w:rPr>
          <w:lang w:bidi="en-US"/>
        </w:rPr>
        <w:t xml:space="preserve"> per cent</w:t>
      </w:r>
      <w:r w:rsidR="00B65C10" w:rsidRPr="008F1881">
        <w:rPr>
          <w:lang w:bidi="en-US"/>
        </w:rPr>
        <w:t xml:space="preserve"> </w:t>
      </w:r>
      <w:r w:rsidRPr="008F1881">
        <w:rPr>
          <w:lang w:bidi="en-US"/>
        </w:rPr>
        <w:t>of the gross regional product by 2031. Of these high value sectors, the highest growth is projected to be in the</w:t>
      </w:r>
      <w:r w:rsidR="00B65C10">
        <w:rPr>
          <w:lang w:bidi="en-US"/>
        </w:rPr>
        <w:t xml:space="preserve"> h</w:t>
      </w:r>
      <w:r w:rsidRPr="008F1881">
        <w:rPr>
          <w:lang w:bidi="en-US"/>
        </w:rPr>
        <w:t>ealthcare</w:t>
      </w:r>
      <w:r w:rsidR="00B65C10">
        <w:rPr>
          <w:lang w:bidi="en-US"/>
        </w:rPr>
        <w:t xml:space="preserve"> and p</w:t>
      </w:r>
      <w:r w:rsidRPr="008F1881">
        <w:rPr>
          <w:lang w:bidi="en-US"/>
        </w:rPr>
        <w:t>rofessional services</w:t>
      </w:r>
      <w:r w:rsidR="00B65C10">
        <w:rPr>
          <w:lang w:bidi="en-US"/>
        </w:rPr>
        <w:t xml:space="preserve"> sectors</w:t>
      </w:r>
      <w:r w:rsidRPr="008F1881">
        <w:rPr>
          <w:lang w:bidi="en-US"/>
        </w:rPr>
        <w:t>.</w:t>
      </w:r>
    </w:p>
    <w:p w:rsidR="00CF57AF" w:rsidRPr="008F1881" w:rsidRDefault="00CF57AF" w:rsidP="008F522C">
      <w:pPr>
        <w:pStyle w:val="bt"/>
        <w:rPr>
          <w:lang w:bidi="en-US"/>
        </w:rPr>
      </w:pPr>
      <w:r w:rsidRPr="008F1881">
        <w:rPr>
          <w:lang w:bidi="en-US"/>
        </w:rPr>
        <w:t xml:space="preserve">Other high growth sectors include </w:t>
      </w:r>
      <w:r w:rsidR="00B65C10">
        <w:rPr>
          <w:lang w:bidi="en-US"/>
        </w:rPr>
        <w:t>a</w:t>
      </w:r>
      <w:r w:rsidR="00B65C10" w:rsidRPr="008F1881">
        <w:rPr>
          <w:lang w:bidi="en-US"/>
        </w:rPr>
        <w:t>ccommodation</w:t>
      </w:r>
      <w:r w:rsidRPr="008F1881">
        <w:rPr>
          <w:lang w:bidi="en-US"/>
        </w:rPr>
        <w:t xml:space="preserve">, </w:t>
      </w:r>
      <w:r w:rsidR="00B65C10">
        <w:rPr>
          <w:lang w:bidi="en-US"/>
        </w:rPr>
        <w:t>a</w:t>
      </w:r>
      <w:r w:rsidR="00B65C10" w:rsidRPr="008F1881">
        <w:rPr>
          <w:lang w:bidi="en-US"/>
        </w:rPr>
        <w:t xml:space="preserve">dministrative </w:t>
      </w:r>
      <w:r w:rsidR="00B65C10">
        <w:rPr>
          <w:lang w:bidi="en-US"/>
        </w:rPr>
        <w:t>and</w:t>
      </w:r>
      <w:r w:rsidR="00B65C10" w:rsidRPr="008F1881">
        <w:rPr>
          <w:lang w:bidi="en-US"/>
        </w:rPr>
        <w:t xml:space="preserve"> </w:t>
      </w:r>
      <w:r w:rsidR="00B65C10">
        <w:rPr>
          <w:lang w:bidi="en-US"/>
        </w:rPr>
        <w:t>s</w:t>
      </w:r>
      <w:r w:rsidR="00B65C10" w:rsidRPr="008F1881">
        <w:rPr>
          <w:lang w:bidi="en-US"/>
        </w:rPr>
        <w:t xml:space="preserve">upport </w:t>
      </w:r>
      <w:r w:rsidR="00B65C10">
        <w:rPr>
          <w:lang w:bidi="en-US"/>
        </w:rPr>
        <w:t>s</w:t>
      </w:r>
      <w:r w:rsidR="00B65C10" w:rsidRPr="008F1881">
        <w:rPr>
          <w:lang w:bidi="en-US"/>
        </w:rPr>
        <w:t>ervices</w:t>
      </w:r>
      <w:r w:rsidR="00B65C10">
        <w:rPr>
          <w:lang w:bidi="en-US"/>
        </w:rPr>
        <w:t>,</w:t>
      </w:r>
      <w:r w:rsidR="00B65C10" w:rsidRPr="008F1881">
        <w:rPr>
          <w:lang w:bidi="en-US"/>
        </w:rPr>
        <w:t xml:space="preserve"> </w:t>
      </w:r>
      <w:r w:rsidRPr="008F1881">
        <w:rPr>
          <w:lang w:bidi="en-US"/>
        </w:rPr>
        <w:t xml:space="preserve">and </w:t>
      </w:r>
      <w:r w:rsidR="00B65C10">
        <w:rPr>
          <w:lang w:bidi="en-US"/>
        </w:rPr>
        <w:t>o</w:t>
      </w:r>
      <w:r w:rsidR="00B65C10" w:rsidRPr="008F1881">
        <w:rPr>
          <w:lang w:bidi="en-US"/>
        </w:rPr>
        <w:t xml:space="preserve">ther </w:t>
      </w:r>
      <w:r w:rsidR="00B65C10">
        <w:rPr>
          <w:lang w:bidi="en-US"/>
        </w:rPr>
        <w:t>s</w:t>
      </w:r>
      <w:r w:rsidR="00B65C10" w:rsidRPr="008F1881">
        <w:rPr>
          <w:lang w:bidi="en-US"/>
        </w:rPr>
        <w:t>ervices</w:t>
      </w:r>
      <w:r w:rsidRPr="008F1881">
        <w:rPr>
          <w:lang w:bidi="en-US"/>
        </w:rPr>
        <w:t>.</w:t>
      </w:r>
    </w:p>
    <w:p w:rsidR="00CF57AF" w:rsidRPr="008F1881" w:rsidRDefault="00CF57AF" w:rsidP="008F522C">
      <w:pPr>
        <w:pStyle w:val="bt"/>
        <w:rPr>
          <w:lang w:bidi="en-US"/>
        </w:rPr>
      </w:pPr>
      <w:r w:rsidRPr="008F1881">
        <w:rPr>
          <w:lang w:bidi="en-US"/>
        </w:rPr>
        <w:t>Manufacturing is projected to decline at an annual average rate of -0.3</w:t>
      </w:r>
      <w:r w:rsidR="00B65C10">
        <w:rPr>
          <w:lang w:bidi="en-US"/>
        </w:rPr>
        <w:t xml:space="preserve"> per cent</w:t>
      </w:r>
      <w:r w:rsidR="00B65C10" w:rsidRPr="008F1881">
        <w:rPr>
          <w:lang w:bidi="en-US"/>
        </w:rPr>
        <w:t xml:space="preserve">. </w:t>
      </w:r>
      <w:r w:rsidRPr="008F1881">
        <w:rPr>
          <w:lang w:bidi="en-US"/>
        </w:rPr>
        <w:t xml:space="preserve">However, manufacturing will still remain important to the regional economy. Agriculture is projected to grow at a relatively faster rate of </w:t>
      </w:r>
      <w:r w:rsidR="000E72BF">
        <w:rPr>
          <w:lang w:bidi="en-US"/>
        </w:rPr>
        <w:t xml:space="preserve">two </w:t>
      </w:r>
      <w:r w:rsidR="00B65C10" w:rsidRPr="003D1722">
        <w:rPr>
          <w:lang w:bidi="en-US"/>
        </w:rPr>
        <w:t>per cent</w:t>
      </w:r>
      <w:r w:rsidRPr="008F1881">
        <w:rPr>
          <w:lang w:bidi="en-US"/>
        </w:rPr>
        <w:t xml:space="preserve"> over the </w:t>
      </w:r>
      <w:r w:rsidR="000E72BF">
        <w:rPr>
          <w:lang w:bidi="en-US"/>
        </w:rPr>
        <w:t xml:space="preserve">same 10-year </w:t>
      </w:r>
      <w:r w:rsidRPr="008F1881">
        <w:rPr>
          <w:lang w:bidi="en-US"/>
        </w:rPr>
        <w:t xml:space="preserve">time period. </w:t>
      </w:r>
    </w:p>
    <w:p w:rsidR="0060609C" w:rsidRPr="008F1881" w:rsidRDefault="000E72BF" w:rsidP="008F522C">
      <w:pPr>
        <w:pStyle w:val="bt"/>
        <w:rPr>
          <w:lang w:bidi="en-US"/>
        </w:rPr>
      </w:pPr>
      <w:r>
        <w:rPr>
          <w:lang w:bidi="en-US"/>
        </w:rPr>
        <w:t>H</w:t>
      </w:r>
      <w:r w:rsidR="0060609C" w:rsidRPr="008F1881">
        <w:rPr>
          <w:lang w:bidi="en-US"/>
        </w:rPr>
        <w:t>igh</w:t>
      </w:r>
      <w:r>
        <w:rPr>
          <w:lang w:bidi="en-US"/>
        </w:rPr>
        <w:t>-</w:t>
      </w:r>
      <w:r w:rsidR="0060609C" w:rsidRPr="008F1881">
        <w:rPr>
          <w:lang w:bidi="en-US"/>
        </w:rPr>
        <w:t xml:space="preserve">performing employment sectors will be mostly those that are services </w:t>
      </w:r>
      <w:r w:rsidR="0060609C" w:rsidRPr="008F1881">
        <w:t>orient</w:t>
      </w:r>
      <w:r w:rsidR="00B65C10">
        <w:t>at</w:t>
      </w:r>
      <w:r w:rsidR="0060609C" w:rsidRPr="008F1881">
        <w:t>ed.</w:t>
      </w:r>
    </w:p>
    <w:p w:rsidR="0060609C" w:rsidRDefault="0060609C" w:rsidP="008F522C">
      <w:pPr>
        <w:pStyle w:val="bt"/>
        <w:rPr>
          <w:lang w:bidi="en-US"/>
        </w:rPr>
      </w:pPr>
      <w:r w:rsidRPr="008F1881">
        <w:rPr>
          <w:lang w:bidi="en-US"/>
        </w:rPr>
        <w:t>In terms of growth factors</w:t>
      </w:r>
      <w:r w:rsidR="000E72BF">
        <w:rPr>
          <w:lang w:bidi="en-US"/>
        </w:rPr>
        <w:t>,</w:t>
      </w:r>
      <w:r w:rsidRPr="008F1881">
        <w:rPr>
          <w:lang w:bidi="en-US"/>
        </w:rPr>
        <w:t xml:space="preserve"> the region benefits from high levels of amenity and transport links to Melbourne which drive population growth. The agglomeration of economic activity around Ballarat is reflected in its high levels of growth and productivity. The region faces challenges in terms of human capital, future workforce size and innovative capacity. </w:t>
      </w:r>
    </w:p>
    <w:p w:rsidR="002D3BE7" w:rsidRPr="008F1881" w:rsidRDefault="002D3BE7" w:rsidP="008F522C">
      <w:pPr>
        <w:pStyle w:val="bt"/>
        <w:rPr>
          <w:lang w:bidi="en-US"/>
        </w:rPr>
      </w:pPr>
      <w:r>
        <w:t>Although p</w:t>
      </w:r>
      <w:r w:rsidRPr="008F1881">
        <w:t>opulation growth has been the main driver of economic growth</w:t>
      </w:r>
      <w:r>
        <w:t xml:space="preserve">, a strong and resilient economy in the region will not result from population growth alone. Jain and Courvisanos (2009) describe the factors such as investment in innovation, education and public infrastructure, which help to develop the strength of a region. </w:t>
      </w:r>
      <w:r w:rsidRPr="008F1881">
        <w:t xml:space="preserve"> </w:t>
      </w:r>
    </w:p>
    <w:p w:rsidR="0060609C" w:rsidRPr="008F1881" w:rsidRDefault="0060609C" w:rsidP="008F522C">
      <w:pPr>
        <w:pStyle w:val="bt"/>
        <w:rPr>
          <w:lang w:bidi="en-US"/>
        </w:rPr>
      </w:pPr>
      <w:r w:rsidRPr="008F1881">
        <w:rPr>
          <w:lang w:bidi="en-US"/>
        </w:rPr>
        <w:t>Regional Development Victoria</w:t>
      </w:r>
      <w:r w:rsidR="00754FA1">
        <w:rPr>
          <w:lang w:bidi="en-US"/>
        </w:rPr>
        <w:t xml:space="preserve"> (2013)</w:t>
      </w:r>
      <w:r w:rsidRPr="008F1881">
        <w:rPr>
          <w:lang w:bidi="en-US"/>
        </w:rPr>
        <w:t xml:space="preserve"> identifie</w:t>
      </w:r>
      <w:r w:rsidR="000E72BF">
        <w:rPr>
          <w:lang w:bidi="en-US"/>
        </w:rPr>
        <w:t xml:space="preserve">d </w:t>
      </w:r>
      <w:r w:rsidRPr="008F1881">
        <w:rPr>
          <w:lang w:bidi="en-US"/>
        </w:rPr>
        <w:t xml:space="preserve">the region’s competitive strengths </w:t>
      </w:r>
      <w:r w:rsidR="000E72BF">
        <w:rPr>
          <w:lang w:bidi="en-US"/>
        </w:rPr>
        <w:t>as</w:t>
      </w:r>
      <w:r w:rsidRPr="008F1881">
        <w:rPr>
          <w:lang w:bidi="en-US"/>
        </w:rPr>
        <w:t>:</w:t>
      </w:r>
    </w:p>
    <w:p w:rsidR="0060609C" w:rsidRPr="008F1881" w:rsidRDefault="000E72BF" w:rsidP="008F522C">
      <w:pPr>
        <w:pStyle w:val="ListBullet"/>
        <w:rPr>
          <w:lang w:bidi="en-US"/>
        </w:rPr>
      </w:pPr>
      <w:r>
        <w:rPr>
          <w:lang w:bidi="en-US"/>
        </w:rPr>
        <w:t>e</w:t>
      </w:r>
      <w:r w:rsidR="0060609C" w:rsidRPr="008F1881">
        <w:rPr>
          <w:lang w:bidi="en-US"/>
        </w:rPr>
        <w:t>ducation infrastructure, institutions and delivery model of post-secondary school education (university and vocational education and training) provided by the University of Ballarat</w:t>
      </w:r>
    </w:p>
    <w:p w:rsidR="0060609C" w:rsidRPr="008F1881" w:rsidRDefault="000E72BF" w:rsidP="008F522C">
      <w:pPr>
        <w:pStyle w:val="ListBullet"/>
        <w:rPr>
          <w:lang w:bidi="en-US"/>
        </w:rPr>
      </w:pPr>
      <w:r>
        <w:rPr>
          <w:lang w:bidi="en-US"/>
        </w:rPr>
        <w:t>b</w:t>
      </w:r>
      <w:r w:rsidR="0060609C" w:rsidRPr="008F1881">
        <w:rPr>
          <w:lang w:bidi="en-US"/>
        </w:rPr>
        <w:t>uilt heritage including goldfields heritage</w:t>
      </w:r>
    </w:p>
    <w:p w:rsidR="0060609C" w:rsidRPr="008F1881" w:rsidRDefault="000E72BF" w:rsidP="008F522C">
      <w:pPr>
        <w:pStyle w:val="ListBullet"/>
        <w:rPr>
          <w:lang w:bidi="en-US"/>
        </w:rPr>
      </w:pPr>
      <w:r>
        <w:rPr>
          <w:lang w:bidi="en-US"/>
        </w:rPr>
        <w:t>the h</w:t>
      </w:r>
      <w:r w:rsidR="0060609C" w:rsidRPr="008F1881">
        <w:rPr>
          <w:lang w:bidi="en-US"/>
        </w:rPr>
        <w:t>ealth and wellbeing</w:t>
      </w:r>
      <w:r>
        <w:rPr>
          <w:lang w:bidi="en-US"/>
        </w:rPr>
        <w:t xml:space="preserve"> sector in </w:t>
      </w:r>
      <w:r w:rsidR="0060609C" w:rsidRPr="008F1881">
        <w:rPr>
          <w:lang w:bidi="en-US"/>
        </w:rPr>
        <w:t>Daylesford-Hepburn</w:t>
      </w:r>
      <w:r w:rsidR="00B65C10">
        <w:rPr>
          <w:lang w:bidi="en-US"/>
        </w:rPr>
        <w:t>,</w:t>
      </w:r>
      <w:r w:rsidR="0060609C" w:rsidRPr="008F1881">
        <w:rPr>
          <w:lang w:bidi="en-US"/>
        </w:rPr>
        <w:t xml:space="preserve"> and goldfields </w:t>
      </w:r>
      <w:r w:rsidR="00B65C10">
        <w:rPr>
          <w:lang w:bidi="en-US"/>
        </w:rPr>
        <w:t>tourism</w:t>
      </w:r>
      <w:r>
        <w:rPr>
          <w:lang w:bidi="en-US"/>
        </w:rPr>
        <w:t xml:space="preserve"> drawcards such as</w:t>
      </w:r>
      <w:r w:rsidR="0060609C" w:rsidRPr="008F1881">
        <w:rPr>
          <w:lang w:bidi="en-US"/>
        </w:rPr>
        <w:t xml:space="preserve"> Sovereign Hill</w:t>
      </w:r>
      <w:r>
        <w:rPr>
          <w:lang w:bidi="en-US"/>
        </w:rPr>
        <w:t xml:space="preserve"> and the</w:t>
      </w:r>
      <w:r w:rsidR="0060609C" w:rsidRPr="008F1881">
        <w:rPr>
          <w:lang w:bidi="en-US"/>
        </w:rPr>
        <w:t xml:space="preserve"> Eureka </w:t>
      </w:r>
      <w:r w:rsidR="005E7368">
        <w:rPr>
          <w:lang w:bidi="en-US"/>
        </w:rPr>
        <w:t xml:space="preserve">Centre </w:t>
      </w:r>
    </w:p>
    <w:p w:rsidR="0060609C" w:rsidRPr="008F1881" w:rsidRDefault="000E72BF" w:rsidP="008F522C">
      <w:pPr>
        <w:pStyle w:val="ListBullet"/>
        <w:rPr>
          <w:lang w:bidi="en-US"/>
        </w:rPr>
      </w:pPr>
      <w:r>
        <w:rPr>
          <w:lang w:bidi="en-US"/>
        </w:rPr>
        <w:t>i</w:t>
      </w:r>
      <w:r w:rsidR="0060609C" w:rsidRPr="008F1881">
        <w:rPr>
          <w:lang w:bidi="en-US"/>
        </w:rPr>
        <w:t>nformation technology sector capabilities</w:t>
      </w:r>
    </w:p>
    <w:p w:rsidR="0060609C" w:rsidRPr="008F1881" w:rsidRDefault="000E72BF" w:rsidP="008F522C">
      <w:pPr>
        <w:pStyle w:val="ListBullet"/>
        <w:rPr>
          <w:lang w:bidi="en-US"/>
        </w:rPr>
      </w:pPr>
      <w:r>
        <w:rPr>
          <w:lang w:bidi="en-US"/>
        </w:rPr>
        <w:t>m</w:t>
      </w:r>
      <w:r w:rsidR="0060609C" w:rsidRPr="008F1881">
        <w:rPr>
          <w:lang w:bidi="en-US"/>
        </w:rPr>
        <w:t>anufacturing sector capabilities</w:t>
      </w:r>
    </w:p>
    <w:p w:rsidR="0060609C" w:rsidRPr="008F1881" w:rsidRDefault="000E72BF" w:rsidP="008F522C">
      <w:pPr>
        <w:pStyle w:val="ListBullet"/>
        <w:rPr>
          <w:lang w:bidi="en-US"/>
        </w:rPr>
      </w:pPr>
      <w:r>
        <w:rPr>
          <w:lang w:bidi="en-US"/>
        </w:rPr>
        <w:t>s</w:t>
      </w:r>
      <w:r w:rsidR="0060609C" w:rsidRPr="008F1881">
        <w:rPr>
          <w:lang w:bidi="en-US"/>
        </w:rPr>
        <w:t xml:space="preserve">trong forecast growth in knowledge intensive sectors </w:t>
      </w:r>
      <w:r>
        <w:rPr>
          <w:lang w:bidi="en-US"/>
        </w:rPr>
        <w:t xml:space="preserve">such as </w:t>
      </w:r>
      <w:r w:rsidR="00B65C10">
        <w:rPr>
          <w:lang w:bidi="en-US"/>
        </w:rPr>
        <w:t>p</w:t>
      </w:r>
      <w:r w:rsidR="00B65C10" w:rsidRPr="008F1881">
        <w:rPr>
          <w:lang w:bidi="en-US"/>
        </w:rPr>
        <w:t>rofessional</w:t>
      </w:r>
      <w:r w:rsidR="0060609C" w:rsidRPr="008F1881">
        <w:rPr>
          <w:lang w:bidi="en-US"/>
        </w:rPr>
        <w:t xml:space="preserve">, </w:t>
      </w:r>
      <w:r w:rsidR="00B65C10">
        <w:rPr>
          <w:lang w:bidi="en-US"/>
        </w:rPr>
        <w:t>s</w:t>
      </w:r>
      <w:r w:rsidR="00B65C10" w:rsidRPr="008F1881">
        <w:rPr>
          <w:lang w:bidi="en-US"/>
        </w:rPr>
        <w:t xml:space="preserve">cientific </w:t>
      </w:r>
      <w:r w:rsidR="00B65C10">
        <w:rPr>
          <w:lang w:bidi="en-US"/>
        </w:rPr>
        <w:t>and</w:t>
      </w:r>
      <w:r w:rsidR="00B65C10" w:rsidRPr="008F1881">
        <w:rPr>
          <w:lang w:bidi="en-US"/>
        </w:rPr>
        <w:t xml:space="preserve"> </w:t>
      </w:r>
      <w:r w:rsidR="00B65C10">
        <w:rPr>
          <w:lang w:bidi="en-US"/>
        </w:rPr>
        <w:t>t</w:t>
      </w:r>
      <w:r w:rsidR="00B65C10" w:rsidRPr="008F1881">
        <w:rPr>
          <w:lang w:bidi="en-US"/>
        </w:rPr>
        <w:t xml:space="preserve">echnical </w:t>
      </w:r>
      <w:r w:rsidR="00B65C10">
        <w:rPr>
          <w:lang w:bidi="en-US"/>
        </w:rPr>
        <w:t>s</w:t>
      </w:r>
      <w:r w:rsidR="00B65C10" w:rsidRPr="008F1881">
        <w:rPr>
          <w:lang w:bidi="en-US"/>
        </w:rPr>
        <w:t>ervices</w:t>
      </w:r>
      <w:r w:rsidR="00B65C10">
        <w:rPr>
          <w:lang w:bidi="en-US"/>
        </w:rPr>
        <w:t>,</w:t>
      </w:r>
      <w:r w:rsidR="00B65C10" w:rsidRPr="008F1881">
        <w:rPr>
          <w:lang w:bidi="en-US"/>
        </w:rPr>
        <w:t xml:space="preserve"> </w:t>
      </w:r>
      <w:r w:rsidR="0060609C" w:rsidRPr="008F1881">
        <w:rPr>
          <w:lang w:bidi="en-US"/>
        </w:rPr>
        <w:t xml:space="preserve">and </w:t>
      </w:r>
      <w:r w:rsidR="00B65C10">
        <w:rPr>
          <w:lang w:bidi="en-US"/>
        </w:rPr>
        <w:t>f</w:t>
      </w:r>
      <w:r w:rsidR="00B65C10" w:rsidRPr="008F1881">
        <w:rPr>
          <w:lang w:bidi="en-US"/>
        </w:rPr>
        <w:t xml:space="preserve">inancial </w:t>
      </w:r>
      <w:r w:rsidR="00B65C10">
        <w:rPr>
          <w:lang w:bidi="en-US"/>
        </w:rPr>
        <w:t>and</w:t>
      </w:r>
      <w:r w:rsidR="00B65C10" w:rsidRPr="008F1881">
        <w:rPr>
          <w:lang w:bidi="en-US"/>
        </w:rPr>
        <w:t xml:space="preserve"> </w:t>
      </w:r>
      <w:r w:rsidR="00B65C10">
        <w:rPr>
          <w:lang w:bidi="en-US"/>
        </w:rPr>
        <w:t>i</w:t>
      </w:r>
      <w:r w:rsidR="00B65C10" w:rsidRPr="008F1881">
        <w:rPr>
          <w:lang w:bidi="en-US"/>
        </w:rPr>
        <w:t xml:space="preserve">nsurance </w:t>
      </w:r>
      <w:r>
        <w:rPr>
          <w:lang w:bidi="en-US"/>
        </w:rPr>
        <w:t>s</w:t>
      </w:r>
      <w:r w:rsidR="0060609C" w:rsidRPr="008F1881">
        <w:rPr>
          <w:lang w:bidi="en-US"/>
        </w:rPr>
        <w:t>ervices</w:t>
      </w:r>
    </w:p>
    <w:p w:rsidR="0060609C" w:rsidRDefault="000E72BF" w:rsidP="008F522C">
      <w:pPr>
        <w:pStyle w:val="ListBullet"/>
        <w:rPr>
          <w:lang w:bidi="en-US"/>
        </w:rPr>
      </w:pPr>
      <w:r>
        <w:rPr>
          <w:lang w:bidi="en-US"/>
        </w:rPr>
        <w:t>p</w:t>
      </w:r>
      <w:r w:rsidR="0060609C" w:rsidRPr="008F1881">
        <w:rPr>
          <w:lang w:bidi="en-US"/>
        </w:rPr>
        <w:t>roximity to Melbourne.</w:t>
      </w:r>
    </w:p>
    <w:p w:rsidR="00B055FA" w:rsidRPr="00D42DE9" w:rsidRDefault="00C820C0" w:rsidP="00D42DE9">
      <w:pPr>
        <w:pStyle w:val="Caption"/>
      </w:pPr>
      <w:bookmarkStart w:id="150" w:name="_Ref349222142"/>
      <w:bookmarkStart w:id="151" w:name="_Ref350250652"/>
      <w:r>
        <w:rPr>
          <w:noProof/>
        </w:rPr>
        <w:lastRenderedPageBreak/>
        <w:drawing>
          <wp:anchor distT="0" distB="0" distL="114300" distR="114300" simplePos="0" relativeHeight="251675648" behindDoc="0" locked="0" layoutInCell="1" allowOverlap="1">
            <wp:simplePos x="0" y="0"/>
            <wp:positionH relativeFrom="column">
              <wp:posOffset>5715</wp:posOffset>
            </wp:positionH>
            <wp:positionV relativeFrom="paragraph">
              <wp:posOffset>177165</wp:posOffset>
            </wp:positionV>
            <wp:extent cx="6264910" cy="3898900"/>
            <wp:effectExtent l="19050" t="0" r="2540" b="0"/>
            <wp:wrapTopAndBottom/>
            <wp:docPr id="13" name="Picture 2" descr="Chart showing industry output performance forecast by percentage share from 2011 to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srcRect/>
                    <a:stretch>
                      <a:fillRect/>
                    </a:stretch>
                  </pic:blipFill>
                  <pic:spPr bwMode="auto">
                    <a:xfrm>
                      <a:off x="0" y="0"/>
                      <a:ext cx="6264910" cy="3898900"/>
                    </a:xfrm>
                    <a:prstGeom prst="rect">
                      <a:avLst/>
                    </a:prstGeom>
                    <a:noFill/>
                    <a:ln w="9525">
                      <a:noFill/>
                      <a:miter lim="800000"/>
                      <a:headEnd/>
                      <a:tailEnd/>
                    </a:ln>
                  </pic:spPr>
                </pic:pic>
              </a:graphicData>
            </a:graphic>
          </wp:anchor>
        </w:drawing>
      </w:r>
      <w:bookmarkStart w:id="152" w:name="_Toc381698020"/>
      <w:r w:rsidR="00A96D58" w:rsidRPr="00D42DE9">
        <w:t xml:space="preserve">Figure </w:t>
      </w:r>
      <w:r w:rsidR="009F388E">
        <w:fldChar w:fldCharType="begin"/>
      </w:r>
      <w:r w:rsidR="00821C7F">
        <w:instrText xml:space="preserve"> SEQ Figure \* ARABIC </w:instrText>
      </w:r>
      <w:r w:rsidR="009F388E">
        <w:fldChar w:fldCharType="separate"/>
      </w:r>
      <w:r w:rsidR="00907B42">
        <w:rPr>
          <w:noProof/>
        </w:rPr>
        <w:t>20</w:t>
      </w:r>
      <w:r w:rsidR="009F388E">
        <w:fldChar w:fldCharType="end"/>
      </w:r>
      <w:bookmarkEnd w:id="150"/>
      <w:bookmarkEnd w:id="151"/>
      <w:r w:rsidR="00B9530A" w:rsidRPr="00D42DE9">
        <w:t>:</w:t>
      </w:r>
      <w:r w:rsidR="00BD549B" w:rsidRPr="00BD549B">
        <w:t xml:space="preserve"> Industry output performance forecast by percentage share 2011 to 2031</w:t>
      </w:r>
      <w:bookmarkEnd w:id="152"/>
    </w:p>
    <w:p w:rsidR="00C820C0" w:rsidRDefault="008F522C" w:rsidP="00CB41DC">
      <w:pPr>
        <w:pStyle w:val="Source0"/>
      </w:pPr>
      <w:r>
        <w:t>S</w:t>
      </w:r>
      <w:r w:rsidRPr="008F1881">
        <w:t>ource: R</w:t>
      </w:r>
      <w:r>
        <w:t xml:space="preserve">egional Development </w:t>
      </w:r>
      <w:r w:rsidRPr="008F1881">
        <w:t>V</w:t>
      </w:r>
      <w:r>
        <w:t>ictoria</w:t>
      </w:r>
      <w:r w:rsidRPr="008F1881">
        <w:t>, 201</w:t>
      </w:r>
      <w:r>
        <w:t>3</w:t>
      </w:r>
    </w:p>
    <w:p w:rsidR="008F1881" w:rsidRPr="005B01F7" w:rsidRDefault="00687605" w:rsidP="005B01F7">
      <w:pPr>
        <w:pStyle w:val="Heading2"/>
      </w:pPr>
      <w:bookmarkStart w:id="153" w:name="_Toc353805633"/>
      <w:bookmarkStart w:id="154" w:name="_Toc349557710"/>
      <w:bookmarkStart w:id="155" w:name="_Toc374527608"/>
      <w:bookmarkEnd w:id="153"/>
      <w:r w:rsidRPr="005B01F7">
        <w:t>Agriculture and earth resources</w:t>
      </w:r>
      <w:bookmarkEnd w:id="154"/>
      <w:bookmarkEnd w:id="155"/>
    </w:p>
    <w:p w:rsidR="008F1881" w:rsidRPr="005B01F7" w:rsidRDefault="009F09AE" w:rsidP="00F95347">
      <w:pPr>
        <w:pStyle w:val="Heading3"/>
        <w:spacing w:before="240"/>
      </w:pPr>
      <w:r w:rsidRPr="005B01F7">
        <w:t xml:space="preserve">Description and </w:t>
      </w:r>
      <w:r w:rsidR="00661931" w:rsidRPr="005B01F7">
        <w:t>analysis</w:t>
      </w:r>
    </w:p>
    <w:p w:rsidR="008F1881" w:rsidRPr="000A2E0D" w:rsidRDefault="009F09AE" w:rsidP="000A2E0D">
      <w:pPr>
        <w:pStyle w:val="Heading40"/>
      </w:pPr>
      <w:r w:rsidRPr="000A2E0D">
        <w:t>Agriculture</w:t>
      </w:r>
    </w:p>
    <w:p w:rsidR="00B055FA" w:rsidRPr="008F1881" w:rsidRDefault="00B055FA" w:rsidP="008F522C">
      <w:pPr>
        <w:pStyle w:val="bt"/>
      </w:pPr>
      <w:r w:rsidRPr="008F1881">
        <w:t xml:space="preserve">The Central Highlands region has </w:t>
      </w:r>
      <w:r w:rsidR="00710A26">
        <w:t xml:space="preserve">infrastructure that is well connected to Melbourne and Geelong and </w:t>
      </w:r>
      <w:r w:rsidRPr="008F1881">
        <w:t xml:space="preserve">highly productive agricultural land which supports strong horticulture and livestock sectors </w:t>
      </w:r>
      <w:r w:rsidR="00710A26">
        <w:t xml:space="preserve"> </w:t>
      </w:r>
      <w:r w:rsidRPr="008F1881">
        <w:t>In 2008</w:t>
      </w:r>
      <w:r w:rsidR="00B9530A">
        <w:t>–</w:t>
      </w:r>
      <w:r w:rsidRPr="008F1881">
        <w:t xml:space="preserve">09 the gross value of agriculture production in the Central Highlands region was $495 million, which represents around </w:t>
      </w:r>
      <w:r w:rsidR="00B9530A">
        <w:t xml:space="preserve">five </w:t>
      </w:r>
      <w:r w:rsidRPr="008F1881">
        <w:t>per cent of the total state agricultural Gross Victorian Product.</w:t>
      </w:r>
    </w:p>
    <w:p w:rsidR="00B055FA" w:rsidRPr="008F1881" w:rsidRDefault="00B055FA" w:rsidP="009B1BBE">
      <w:pPr>
        <w:pStyle w:val="bt"/>
      </w:pPr>
      <w:r w:rsidRPr="008F1881">
        <w:t xml:space="preserve">In addition to the agricultural production within the region there are significant quantities of agricultural products moving through the region towards distribution centres and ports. The Central Victorian Livestock Exchange (Ballarat saleyards) manages the exchange of stock from within and outside the region and has a </w:t>
      </w:r>
      <w:r w:rsidR="00B9530A">
        <w:t>10-</w:t>
      </w:r>
      <w:r w:rsidRPr="008F1881">
        <w:t>year throughput average in excess of 1.3 million sheep and 56,000 cattle</w:t>
      </w:r>
      <w:r w:rsidR="0007440E">
        <w:t xml:space="preserve"> (Central Victorian Livestock </w:t>
      </w:r>
      <w:r w:rsidR="004935DA">
        <w:t>Exchange</w:t>
      </w:r>
      <w:r w:rsidR="0007440E">
        <w:t>, 2013)</w:t>
      </w:r>
      <w:r w:rsidR="00B9530A">
        <w:t>.</w:t>
      </w:r>
      <w:r w:rsidRPr="008F1881">
        <w:t xml:space="preserve"> </w:t>
      </w:r>
    </w:p>
    <w:p w:rsidR="00B055FA" w:rsidRPr="008F1881" w:rsidRDefault="00B055FA" w:rsidP="008F522C">
      <w:pPr>
        <w:pStyle w:val="bt"/>
      </w:pPr>
      <w:r w:rsidRPr="008F1881">
        <w:t>Agricultural production consists mainly of livestock (predominantly sheep), cropping, vegetables, (particularly potatoes) and timber. Other industries include a growing organic industry as well as pig and poultry production</w:t>
      </w:r>
      <w:r w:rsidR="0007440E">
        <w:t xml:space="preserve"> (D</w:t>
      </w:r>
      <w:r w:rsidR="00B9530A">
        <w:t>epartment of Primary Industries</w:t>
      </w:r>
      <w:r w:rsidR="0007440E">
        <w:t>, 2013</w:t>
      </w:r>
      <w:r w:rsidR="00754FA1">
        <w:t>)</w:t>
      </w:r>
      <w:r w:rsidRPr="008F1881">
        <w:t>.</w:t>
      </w:r>
    </w:p>
    <w:p w:rsidR="008F1881" w:rsidRPr="000A2E0D" w:rsidRDefault="009F09AE" w:rsidP="000A2E0D">
      <w:pPr>
        <w:pStyle w:val="Heading40"/>
      </w:pPr>
      <w:r w:rsidRPr="000A2E0D">
        <w:t>Major agricultural industries</w:t>
      </w:r>
    </w:p>
    <w:p w:rsidR="00B055FA" w:rsidRPr="008F1881" w:rsidRDefault="00B055FA" w:rsidP="008F522C">
      <w:pPr>
        <w:pStyle w:val="bt"/>
      </w:pPr>
      <w:r w:rsidRPr="008F1881">
        <w:t>The type and volume of industry varies throughout the region, largely dependent on climate (high rainfall) and mixed soil types. Cropping, livestock and horticulture comprise the major primary industries, with potato production particularly important around Ballarat. Intensive livestock industries also contribute significantly to the economy, mainly poultry for meat and egg production</w:t>
      </w:r>
      <w:r w:rsidR="00710A26">
        <w:t>,</w:t>
      </w:r>
      <w:r w:rsidRPr="008F1881">
        <w:t xml:space="preserve"> and pig production.</w:t>
      </w:r>
    </w:p>
    <w:p w:rsidR="00B055FA" w:rsidRPr="008F1881" w:rsidRDefault="00B055FA" w:rsidP="008F522C">
      <w:pPr>
        <w:pStyle w:val="bt"/>
      </w:pPr>
      <w:r w:rsidRPr="008F1881">
        <w:lastRenderedPageBreak/>
        <w:t>Commercial forestry is a major industry in the Central Highlands and looks set to continue through the establishment of native hardwood and softwood plantations, rather than through reliance on harvesting native forests.</w:t>
      </w:r>
    </w:p>
    <w:p w:rsidR="00B055FA" w:rsidRPr="008F1881" w:rsidRDefault="00B055FA" w:rsidP="008F522C">
      <w:pPr>
        <w:pStyle w:val="bt"/>
      </w:pPr>
      <w:r w:rsidRPr="008F1881">
        <w:t xml:space="preserve">Some of Australia’s leading food manufacturing companies are located in Ballarat including Mars Confectionary, McCain Foods and Japanese noodle processing company, Hakubaku. </w:t>
      </w:r>
    </w:p>
    <w:p w:rsidR="008F1881" w:rsidRPr="000A2E0D" w:rsidRDefault="009F09AE" w:rsidP="000A2E0D">
      <w:pPr>
        <w:pStyle w:val="Heading40"/>
      </w:pPr>
      <w:r w:rsidRPr="000A2E0D">
        <w:t>Diversification and value</w:t>
      </w:r>
      <w:r w:rsidR="00FE3E27" w:rsidRPr="000A2E0D">
        <w:t>-</w:t>
      </w:r>
      <w:r w:rsidRPr="000A2E0D">
        <w:t>adding</w:t>
      </w:r>
    </w:p>
    <w:p w:rsidR="00B055FA" w:rsidRPr="008F1881" w:rsidRDefault="00B055FA" w:rsidP="008F522C">
      <w:pPr>
        <w:pStyle w:val="bt"/>
      </w:pPr>
      <w:r w:rsidRPr="008F1881">
        <w:t xml:space="preserve">In recent years many Central Highlands landholders have diversified into alternative enterprises such as private forestry, prime lambs and high value crops, including intensive horticulture such as Asian vegetables. Any significant changes in agricultural production will have various implications for freight transport and other related land uses. </w:t>
      </w:r>
    </w:p>
    <w:p w:rsidR="00B055FA" w:rsidRPr="008F1881" w:rsidRDefault="0007440E" w:rsidP="008F522C">
      <w:pPr>
        <w:pStyle w:val="bt"/>
      </w:pPr>
      <w:r>
        <w:t>There is a need for planning to</w:t>
      </w:r>
      <w:r w:rsidR="00B055FA" w:rsidRPr="008F1881">
        <w:t xml:space="preserve"> support opportunities for agricultural diversification and productivity growth to provide for a productive and sustainable agricultural base that contributes to the growth of the region’s economy. This will include maximising opportunities and allowing the flexibility necessary to assist the development and adoption of sustainable, diverse and innovative farming practices.</w:t>
      </w:r>
    </w:p>
    <w:p w:rsidR="008F1881" w:rsidRPr="000A2E0D" w:rsidRDefault="009F09AE" w:rsidP="000A2E0D">
      <w:pPr>
        <w:pStyle w:val="Heading40"/>
      </w:pPr>
      <w:r w:rsidRPr="000A2E0D">
        <w:t>Sustainability and vulnerability of agriculture</w:t>
      </w:r>
    </w:p>
    <w:p w:rsidR="00B055FA" w:rsidRPr="008F1881" w:rsidRDefault="00B055FA" w:rsidP="008F522C">
      <w:pPr>
        <w:pStyle w:val="bt"/>
      </w:pPr>
      <w:r w:rsidRPr="008F1881">
        <w:t xml:space="preserve">The </w:t>
      </w:r>
      <w:r w:rsidRPr="00227110">
        <w:t>Ballarat Rural Land Use Strategy</w:t>
      </w:r>
      <w:r w:rsidR="00FE3E27" w:rsidRPr="00227110">
        <w:t xml:space="preserve"> </w:t>
      </w:r>
      <w:r w:rsidRPr="008F1881">
        <w:t>(Parsons Brinckerhoff, 2010b) noted the dairy and beef industries are expanding output and intensifying their activities. A shift towards large farm consolidation has been observed th</w:t>
      </w:r>
      <w:r w:rsidR="008F522C">
        <w:t>roughout Victoria (Barr, 2009).</w:t>
      </w:r>
    </w:p>
    <w:p w:rsidR="00B055FA" w:rsidRPr="008F1881" w:rsidRDefault="00B055FA" w:rsidP="008F522C">
      <w:pPr>
        <w:pStyle w:val="bt"/>
      </w:pPr>
      <w:r w:rsidRPr="008F1881">
        <w:t>There is a need to consider and plan for the impacts of climate change on the region. These impacts are likely to impact on the sustainability and vulnerability of some agricultural activities. Identification of the opportunities presented by changing climatic conditions will also assist adaptation. This might include supporting the agricultural mix in parts of the region to transition to a new mix.</w:t>
      </w:r>
      <w:r w:rsidRPr="008F1881">
        <w:rPr>
          <w:b/>
        </w:rPr>
        <w:t xml:space="preserve"> </w:t>
      </w:r>
      <w:r w:rsidRPr="008F1881">
        <w:t xml:space="preserve">An area of particular vulnerability may be the intensively farmed river flats at Bacchus Marsh which rely on irrigation water from the </w:t>
      </w:r>
      <w:r w:rsidR="008F522C">
        <w:t>Lerderderg and Werribee Rivers.</w:t>
      </w:r>
    </w:p>
    <w:p w:rsidR="008F1881" w:rsidRPr="000A2E0D" w:rsidRDefault="009F09AE" w:rsidP="000A2E0D">
      <w:pPr>
        <w:pStyle w:val="Heading40"/>
      </w:pPr>
      <w:r w:rsidRPr="000A2E0D">
        <w:t>Opportunities for intensive agriculture</w:t>
      </w:r>
    </w:p>
    <w:p w:rsidR="00B055FA" w:rsidRPr="008F1881" w:rsidRDefault="00B055FA" w:rsidP="008F522C">
      <w:pPr>
        <w:pStyle w:val="bt"/>
      </w:pPr>
      <w:r w:rsidRPr="008F1881">
        <w:t xml:space="preserve">The region’s planning schemes, </w:t>
      </w:r>
      <w:r w:rsidR="00FE3E27">
        <w:t xml:space="preserve">while </w:t>
      </w:r>
      <w:r w:rsidRPr="008F1881">
        <w:t>supporting diversification of rural industry, generally take a reactive approach, that is, ensuring intensive agriculture is located where it will minimise negative externalities.</w:t>
      </w:r>
    </w:p>
    <w:p w:rsidR="00B055FA" w:rsidRPr="008F1881" w:rsidRDefault="00B055FA" w:rsidP="008F522C">
      <w:pPr>
        <w:pStyle w:val="bt"/>
      </w:pPr>
      <w:r w:rsidRPr="008F1881">
        <w:rPr>
          <w:iCs/>
        </w:rPr>
        <w:t xml:space="preserve">Community acceptance of some of these more intense forms of agriculture, potential land use conflicts and protection of the environment can present challenges. These factors could make it more difficult to establish and expand intensive agriculture in some parts of the </w:t>
      </w:r>
      <w:r w:rsidR="001E15E1" w:rsidRPr="008F1881">
        <w:rPr>
          <w:iCs/>
        </w:rPr>
        <w:t>r</w:t>
      </w:r>
      <w:r w:rsidRPr="008F1881">
        <w:rPr>
          <w:iCs/>
        </w:rPr>
        <w:t xml:space="preserve">egion. The </w:t>
      </w:r>
      <w:r w:rsidR="0003305E">
        <w:rPr>
          <w:iCs/>
        </w:rPr>
        <w:t>plan seeks</w:t>
      </w:r>
      <w:r w:rsidRPr="008F1881">
        <w:rPr>
          <w:iCs/>
        </w:rPr>
        <w:t xml:space="preserve"> to balance these concerns </w:t>
      </w:r>
      <w:r w:rsidR="00FE3E27">
        <w:rPr>
          <w:iCs/>
        </w:rPr>
        <w:t>by</w:t>
      </w:r>
      <w:r w:rsidRPr="008F1881">
        <w:rPr>
          <w:iCs/>
        </w:rPr>
        <w:t xml:space="preserve"> developing an appropriate policy response consistent with the S</w:t>
      </w:r>
      <w:r w:rsidR="00FE3E27">
        <w:rPr>
          <w:iCs/>
        </w:rPr>
        <w:t xml:space="preserve">tate Planning Policy </w:t>
      </w:r>
      <w:r w:rsidRPr="008F1881">
        <w:rPr>
          <w:iCs/>
        </w:rPr>
        <w:t>F</w:t>
      </w:r>
      <w:r w:rsidR="00FE3E27">
        <w:rPr>
          <w:iCs/>
        </w:rPr>
        <w:t>ramework,</w:t>
      </w:r>
      <w:r w:rsidRPr="008F1881">
        <w:rPr>
          <w:iCs/>
        </w:rPr>
        <w:t xml:space="preserve"> which seeks to encourage the establishment and expansion of intensive agricultural activities in appropriate loc</w:t>
      </w:r>
      <w:r w:rsidR="008F522C">
        <w:rPr>
          <w:iCs/>
        </w:rPr>
        <w:t>ations.</w:t>
      </w:r>
    </w:p>
    <w:p w:rsidR="00B055FA" w:rsidRPr="008F1881" w:rsidRDefault="0003305E" w:rsidP="008F522C">
      <w:pPr>
        <w:pStyle w:val="bt"/>
      </w:pPr>
      <w:r>
        <w:t>T</w:t>
      </w:r>
      <w:r w:rsidR="00B055FA" w:rsidRPr="008F1881">
        <w:t xml:space="preserve">he </w:t>
      </w:r>
      <w:r w:rsidR="00F37D25">
        <w:t>plan</w:t>
      </w:r>
      <w:r w:rsidR="00794B56" w:rsidRPr="008F1881">
        <w:t xml:space="preserve"> </w:t>
      </w:r>
      <w:r>
        <w:t>broadly identifies</w:t>
      </w:r>
      <w:r w:rsidR="00B055FA" w:rsidRPr="008F1881">
        <w:t xml:space="preserve"> preferred areas for some forms of intensive agriculture</w:t>
      </w:r>
      <w:r>
        <w:t>,</w:t>
      </w:r>
      <w:r w:rsidR="00B055FA" w:rsidRPr="008F1881">
        <w:t xml:space="preserve"> including for types of specialist agricultural functions that may have the potential for off-site amenity impacts</w:t>
      </w:r>
      <w:r>
        <w:t xml:space="preserve">, in </w:t>
      </w:r>
      <w:r w:rsidR="00FE3E27">
        <w:t xml:space="preserve">the </w:t>
      </w:r>
      <w:r>
        <w:t>Pyrenees and Golden Plains shires</w:t>
      </w:r>
      <w:r w:rsidR="00B055FA" w:rsidRPr="008F1881">
        <w:t xml:space="preserve">. </w:t>
      </w:r>
      <w:r w:rsidRPr="008F1881">
        <w:t xml:space="preserve">There is already some support for intensive agriculture in the </w:t>
      </w:r>
      <w:r w:rsidRPr="00227110">
        <w:t>Golden Plains Shire Rural Strategy</w:t>
      </w:r>
      <w:r w:rsidR="00FE3E27" w:rsidRPr="00227110">
        <w:t xml:space="preserve"> 2008</w:t>
      </w:r>
      <w:r w:rsidRPr="008F1881">
        <w:t xml:space="preserve"> and local policy in that shire’s planning scheme.</w:t>
      </w:r>
      <w:r>
        <w:t xml:space="preserve"> </w:t>
      </w:r>
      <w:r w:rsidR="00FE3E27">
        <w:t>However, t</w:t>
      </w:r>
      <w:r w:rsidR="00B055FA" w:rsidRPr="008F1881">
        <w:t>he need for site</w:t>
      </w:r>
      <w:r w:rsidR="00FE3E27">
        <w:t>-</w:t>
      </w:r>
      <w:r w:rsidR="00B055FA" w:rsidRPr="008F1881">
        <w:t>specific assessments</w:t>
      </w:r>
      <w:r w:rsidR="00FE3E27">
        <w:t>,</w:t>
      </w:r>
      <w:r w:rsidR="00B055FA" w:rsidRPr="008F1881">
        <w:t xml:space="preserve"> and the application of relevant codes of practice</w:t>
      </w:r>
      <w:r w:rsidR="00FE3E27">
        <w:t>,</w:t>
      </w:r>
      <w:r w:rsidR="00B055FA" w:rsidRPr="008F1881">
        <w:t xml:space="preserve"> will continue to guide </w:t>
      </w:r>
      <w:r>
        <w:t xml:space="preserve">detailed </w:t>
      </w:r>
      <w:r w:rsidR="00B055FA" w:rsidRPr="008F1881">
        <w:t>decision</w:t>
      </w:r>
      <w:r w:rsidR="00FE3E27">
        <w:t>-</w:t>
      </w:r>
      <w:r w:rsidR="00B055FA" w:rsidRPr="008F1881">
        <w:t>making regarding the siting of int</w:t>
      </w:r>
      <w:r w:rsidR="008F522C">
        <w:t>ensive agricultural operations.</w:t>
      </w:r>
    </w:p>
    <w:p w:rsidR="00B055FA" w:rsidRPr="008F1881" w:rsidRDefault="00B055FA" w:rsidP="008F522C">
      <w:pPr>
        <w:pStyle w:val="bt"/>
      </w:pPr>
      <w:r w:rsidRPr="008F1881">
        <w:t xml:space="preserve">The </w:t>
      </w:r>
      <w:r w:rsidR="00F37D25">
        <w:t>plan</w:t>
      </w:r>
      <w:r w:rsidR="00794B56" w:rsidRPr="008F1881">
        <w:t xml:space="preserve"> </w:t>
      </w:r>
      <w:r w:rsidRPr="008F1881">
        <w:t>provide</w:t>
      </w:r>
      <w:r w:rsidR="00794B56" w:rsidRPr="008F1881">
        <w:t>s</w:t>
      </w:r>
      <w:r w:rsidRPr="008F1881">
        <w:t xml:space="preserve"> an opportunity to approach this issue on a more strategic basis and thereby support the diversification of the regional economy. The close proximity of much of the Central Highlands to Melbourne </w:t>
      </w:r>
      <w:r w:rsidR="001E15E1" w:rsidRPr="008F1881">
        <w:t xml:space="preserve">and Geelong </w:t>
      </w:r>
      <w:r w:rsidRPr="008F1881">
        <w:t>makes it well placed to support int</w:t>
      </w:r>
      <w:r w:rsidR="008F522C">
        <w:t>ensive agricultural production.</w:t>
      </w:r>
    </w:p>
    <w:p w:rsidR="008F1881" w:rsidRPr="000A2E0D" w:rsidRDefault="009F09AE" w:rsidP="000A2E0D">
      <w:pPr>
        <w:pStyle w:val="Heading40"/>
      </w:pPr>
      <w:r w:rsidRPr="000A2E0D">
        <w:lastRenderedPageBreak/>
        <w:t>Land capability</w:t>
      </w:r>
    </w:p>
    <w:p w:rsidR="00710A26" w:rsidRDefault="00B055FA" w:rsidP="00F47983">
      <w:pPr>
        <w:pStyle w:val="bt"/>
      </w:pPr>
      <w:r w:rsidRPr="008F1881">
        <w:t>Agricultural practices must be informed by land capability to ensure long</w:t>
      </w:r>
      <w:r w:rsidR="00FE3E27">
        <w:t>-</w:t>
      </w:r>
      <w:r w:rsidRPr="008F1881">
        <w:t xml:space="preserve">term sustainability and avoid land degradation. Land capability studies have been undertaken for some areas within the Central Highlands </w:t>
      </w:r>
      <w:r w:rsidR="0003305E">
        <w:t>r</w:t>
      </w:r>
      <w:r w:rsidRPr="008F1881">
        <w:t xml:space="preserve">egion, including </w:t>
      </w:r>
      <w:r w:rsidR="00D06A85" w:rsidRPr="00227110">
        <w:t xml:space="preserve">the </w:t>
      </w:r>
      <w:bookmarkStart w:id="156" w:name="OLE_LINK1"/>
      <w:bookmarkStart w:id="157" w:name="OLE_LINK2"/>
      <w:r w:rsidR="00D06A85" w:rsidRPr="00227110">
        <w:t>Land Suitability Analysis of the Shire of Moorabool</w:t>
      </w:r>
      <w:bookmarkEnd w:id="156"/>
      <w:bookmarkEnd w:id="157"/>
      <w:r w:rsidR="009F09AE" w:rsidRPr="008F1881">
        <w:t xml:space="preserve"> </w:t>
      </w:r>
      <w:r w:rsidRPr="008F1881">
        <w:t>(</w:t>
      </w:r>
      <w:r w:rsidR="00FE3E27">
        <w:t xml:space="preserve">former </w:t>
      </w:r>
      <w:r w:rsidRPr="008F1881">
        <w:t>D</w:t>
      </w:r>
      <w:r w:rsidR="00FE3E27">
        <w:t>epartment of Primary Industries</w:t>
      </w:r>
      <w:r w:rsidRPr="008F1881">
        <w:t>, 2006)</w:t>
      </w:r>
      <w:r w:rsidR="00A60F15">
        <w:t xml:space="preserve"> </w:t>
      </w:r>
      <w:r w:rsidR="003B147B" w:rsidRPr="008F1881">
        <w:t xml:space="preserve">and the </w:t>
      </w:r>
      <w:r w:rsidR="00D06A85" w:rsidRPr="00227110">
        <w:t>Review of Agricultural Land and Rural Land Use in Hepburn Shire</w:t>
      </w:r>
      <w:r w:rsidR="009F09AE" w:rsidRPr="008F1881">
        <w:t xml:space="preserve"> </w:t>
      </w:r>
      <w:r w:rsidR="003B147B" w:rsidRPr="008F1881">
        <w:t xml:space="preserve">(EnPlan Partners, 2007). </w:t>
      </w:r>
    </w:p>
    <w:p w:rsidR="00C03B2E" w:rsidRDefault="003B147B" w:rsidP="00F47983">
      <w:pPr>
        <w:pStyle w:val="bt"/>
        <w:sectPr w:rsidR="00C03B2E" w:rsidSect="00C03B2E">
          <w:pgSz w:w="11906" w:h="16838"/>
          <w:pgMar w:top="1440" w:right="1440" w:bottom="851" w:left="1440" w:header="708" w:footer="709" w:gutter="0"/>
          <w:cols w:space="708"/>
          <w:docGrid w:linePitch="360"/>
        </w:sectPr>
      </w:pPr>
      <w:r w:rsidRPr="008F1881">
        <w:t xml:space="preserve">The former report </w:t>
      </w:r>
      <w:r w:rsidR="00B055FA" w:rsidRPr="008F1881">
        <w:t xml:space="preserve">provides a detailed analysis of the relative suitability of land within </w:t>
      </w:r>
      <w:r w:rsidR="00BB5EEE">
        <w:t xml:space="preserve">Moorabool Shire </w:t>
      </w:r>
      <w:r w:rsidR="00B055FA" w:rsidRPr="008F1881">
        <w:t>for a wide range of agricultural activities and has been designed to inform existing and prospective farmers as to suitable practices for specific parts of the municipality</w:t>
      </w:r>
      <w:r w:rsidR="00154163" w:rsidRPr="008F1881">
        <w:t xml:space="preserve"> </w:t>
      </w:r>
      <w:r w:rsidR="000A44A6">
        <w:t>(refer to</w:t>
      </w:r>
      <w:r w:rsidR="00A60F15">
        <w:t xml:space="preserve"> </w:t>
      </w:r>
      <w:r w:rsidR="009F388E">
        <w:fldChar w:fldCharType="begin"/>
      </w:r>
      <w:r w:rsidR="003825FA">
        <w:instrText xml:space="preserve"> REF _Ref366055428 \h </w:instrText>
      </w:r>
      <w:r w:rsidR="009F388E">
        <w:fldChar w:fldCharType="separate"/>
      </w:r>
      <w:r w:rsidR="00907B42" w:rsidRPr="00D42DE9">
        <w:t xml:space="preserve">Figure </w:t>
      </w:r>
      <w:r w:rsidR="00907B42">
        <w:rPr>
          <w:noProof/>
        </w:rPr>
        <w:t>21</w:t>
      </w:r>
      <w:r w:rsidR="009F388E">
        <w:fldChar w:fldCharType="end"/>
      </w:r>
      <w:r w:rsidR="00154163" w:rsidRPr="008F1881">
        <w:t>)</w:t>
      </w:r>
      <w:r w:rsidR="00B055FA" w:rsidRPr="008F1881">
        <w:t>.</w:t>
      </w:r>
      <w:r w:rsidRPr="008F1881">
        <w:t xml:space="preserve"> This study identified </w:t>
      </w:r>
      <w:r w:rsidR="00D11E32">
        <w:t xml:space="preserve">the </w:t>
      </w:r>
      <w:r w:rsidRPr="008F1881">
        <w:t>versatil</w:t>
      </w:r>
      <w:r w:rsidR="00D11E32">
        <w:t xml:space="preserve">ity of </w:t>
      </w:r>
      <w:r w:rsidRPr="008F1881">
        <w:t>agricultural land</w:t>
      </w:r>
      <w:r w:rsidR="00D11E32">
        <w:t xml:space="preserve"> across the shire</w:t>
      </w:r>
      <w:r w:rsidRPr="008F1881">
        <w:t>, in terms of the range of crops that could potentially be grown commercially.</w:t>
      </w:r>
      <w:r w:rsidR="00B3356B" w:rsidRPr="008F1881">
        <w:t xml:space="preserve"> The Hepburn Shire report identifies the relative quality of agricultural land across the municipalit</w:t>
      </w:r>
      <w:r w:rsidR="00154163" w:rsidRPr="008F1881">
        <w:t xml:space="preserve">y </w:t>
      </w:r>
      <w:r w:rsidR="000A44A6">
        <w:t>(refer t</w:t>
      </w:r>
      <w:r w:rsidR="003825FA">
        <w:t xml:space="preserve">o </w:t>
      </w:r>
      <w:r w:rsidR="009F388E">
        <w:fldChar w:fldCharType="begin"/>
      </w:r>
      <w:r w:rsidR="003825FA">
        <w:instrText xml:space="preserve"> REF _Ref365989995 \h </w:instrText>
      </w:r>
      <w:r w:rsidR="009F388E">
        <w:fldChar w:fldCharType="separate"/>
      </w:r>
      <w:r w:rsidR="00907B42" w:rsidRPr="00D42DE9">
        <w:t xml:space="preserve">Figure </w:t>
      </w:r>
      <w:r w:rsidR="00907B42">
        <w:rPr>
          <w:noProof/>
        </w:rPr>
        <w:t>22</w:t>
      </w:r>
      <w:r w:rsidR="009F388E">
        <w:fldChar w:fldCharType="end"/>
      </w:r>
      <w:r w:rsidR="00CC296A">
        <w:t>)</w:t>
      </w:r>
      <w:r w:rsidR="009A55CC">
        <w:t xml:space="preserve">. </w:t>
      </w:r>
    </w:p>
    <w:p w:rsidR="003737BB" w:rsidRDefault="00A47912" w:rsidP="00A47912">
      <w:pPr>
        <w:pStyle w:val="Caption"/>
      </w:pPr>
      <w:bookmarkStart w:id="158" w:name="_Ref366055428"/>
      <w:r>
        <w:rPr>
          <w:noProof/>
        </w:rPr>
        <w:lastRenderedPageBreak/>
        <w:drawing>
          <wp:anchor distT="0" distB="0" distL="114300" distR="114300" simplePos="0" relativeHeight="251702272" behindDoc="0" locked="0" layoutInCell="1" allowOverlap="1">
            <wp:simplePos x="0" y="0"/>
            <wp:positionH relativeFrom="column">
              <wp:posOffset>-51435</wp:posOffset>
            </wp:positionH>
            <wp:positionV relativeFrom="paragraph">
              <wp:posOffset>202565</wp:posOffset>
            </wp:positionV>
            <wp:extent cx="7680960" cy="5372100"/>
            <wp:effectExtent l="19050" t="0" r="0" b="0"/>
            <wp:wrapTopAndBottom/>
            <wp:docPr id="7" name="Picture 6" descr="Map showing agricultural land quality in Moorabool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a.jpg"/>
                    <pic:cNvPicPr/>
                  </pic:nvPicPr>
                  <pic:blipFill>
                    <a:blip r:embed="rId42" cstate="email"/>
                    <a:srcRect/>
                    <a:stretch>
                      <a:fillRect/>
                    </a:stretch>
                  </pic:blipFill>
                  <pic:spPr>
                    <a:xfrm>
                      <a:off x="0" y="0"/>
                      <a:ext cx="7680960" cy="5372100"/>
                    </a:xfrm>
                    <a:prstGeom prst="rect">
                      <a:avLst/>
                    </a:prstGeom>
                  </pic:spPr>
                </pic:pic>
              </a:graphicData>
            </a:graphic>
          </wp:anchor>
        </w:drawing>
      </w:r>
      <w:bookmarkStart w:id="159" w:name="_Toc381698021"/>
      <w:r w:rsidR="003825FA" w:rsidRPr="00D42DE9">
        <w:t xml:space="preserve">Figure </w:t>
      </w:r>
      <w:r w:rsidR="009F388E">
        <w:fldChar w:fldCharType="begin"/>
      </w:r>
      <w:r w:rsidR="003825FA">
        <w:instrText xml:space="preserve"> SEQ Figure \* ARABIC </w:instrText>
      </w:r>
      <w:r w:rsidR="009F388E">
        <w:fldChar w:fldCharType="separate"/>
      </w:r>
      <w:r w:rsidR="00907B42">
        <w:rPr>
          <w:noProof/>
        </w:rPr>
        <w:t>21</w:t>
      </w:r>
      <w:r w:rsidR="009F388E">
        <w:fldChar w:fldCharType="end"/>
      </w:r>
      <w:bookmarkEnd w:id="158"/>
      <w:r w:rsidR="0062714A">
        <w:t>:</w:t>
      </w:r>
      <w:r w:rsidR="003825FA">
        <w:t xml:space="preserve"> Agricultural land quality in Moorabool Shire</w:t>
      </w:r>
      <w:bookmarkStart w:id="160" w:name="_Ref349222569"/>
      <w:bookmarkEnd w:id="159"/>
    </w:p>
    <w:p w:rsidR="00C03B2E" w:rsidRDefault="003737BB" w:rsidP="003737BB">
      <w:pPr>
        <w:pStyle w:val="Source0"/>
        <w:sectPr w:rsidR="00C03B2E" w:rsidSect="00C03B2E">
          <w:pgSz w:w="16838" w:h="11906" w:orient="landscape"/>
          <w:pgMar w:top="1440" w:right="1440" w:bottom="851" w:left="851" w:header="708" w:footer="709" w:gutter="0"/>
          <w:cols w:space="708"/>
          <w:docGrid w:linePitch="360"/>
        </w:sectPr>
      </w:pPr>
      <w:r>
        <w:t>Source: Department of Primary Industries, 2006</w:t>
      </w:r>
    </w:p>
    <w:p w:rsidR="008F1881" w:rsidRPr="00D42DE9" w:rsidRDefault="00CB41DC" w:rsidP="00D42DE9">
      <w:pPr>
        <w:pStyle w:val="Caption"/>
      </w:pPr>
      <w:bookmarkStart w:id="161" w:name="_Ref365989995"/>
      <w:r>
        <w:rPr>
          <w:noProof/>
        </w:rPr>
        <w:lastRenderedPageBreak/>
        <w:drawing>
          <wp:anchor distT="0" distB="0" distL="114300" distR="114300" simplePos="0" relativeHeight="251676672" behindDoc="0" locked="0" layoutInCell="1" allowOverlap="1">
            <wp:simplePos x="0" y="0"/>
            <wp:positionH relativeFrom="column">
              <wp:posOffset>-51435</wp:posOffset>
            </wp:positionH>
            <wp:positionV relativeFrom="paragraph">
              <wp:posOffset>202565</wp:posOffset>
            </wp:positionV>
            <wp:extent cx="9553575" cy="5359400"/>
            <wp:effectExtent l="19050" t="0" r="9525" b="0"/>
            <wp:wrapTopAndBottom/>
            <wp:docPr id="35" name="Picture 35" descr="Map showing agricultural land quality in Hepburn 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stretch>
                      <a:fillRect/>
                    </a:stretch>
                  </pic:blipFill>
                  <pic:spPr bwMode="auto">
                    <a:xfrm>
                      <a:off x="0" y="0"/>
                      <a:ext cx="9553575" cy="5359400"/>
                    </a:xfrm>
                    <a:prstGeom prst="rect">
                      <a:avLst/>
                    </a:prstGeom>
                    <a:ln>
                      <a:noFill/>
                    </a:ln>
                    <a:extLst>
                      <a:ext uri="{53640926-AAD7-44D8-BBD7-CCE9431645EC}">
                        <a14:shadowObscured xmlns:a14="http://schemas.microsoft.com/office/drawing/2010/main"/>
                      </a:ext>
                    </a:extLst>
                  </pic:spPr>
                </pic:pic>
              </a:graphicData>
            </a:graphic>
          </wp:anchor>
        </w:drawing>
      </w:r>
      <w:bookmarkStart w:id="162" w:name="_Toc381698022"/>
      <w:r w:rsidR="00154163" w:rsidRPr="00D42DE9">
        <w:t xml:space="preserve">Figure </w:t>
      </w:r>
      <w:r w:rsidR="009F388E">
        <w:fldChar w:fldCharType="begin"/>
      </w:r>
      <w:r w:rsidR="00821C7F">
        <w:instrText xml:space="preserve"> SEQ Figure \* ARABIC </w:instrText>
      </w:r>
      <w:r w:rsidR="009F388E">
        <w:fldChar w:fldCharType="separate"/>
      </w:r>
      <w:r w:rsidR="00907B42">
        <w:rPr>
          <w:noProof/>
        </w:rPr>
        <w:t>22</w:t>
      </w:r>
      <w:r w:rsidR="009F388E">
        <w:fldChar w:fldCharType="end"/>
      </w:r>
      <w:bookmarkEnd w:id="160"/>
      <w:bookmarkEnd w:id="161"/>
      <w:r w:rsidR="00342CE3" w:rsidRPr="00D42DE9">
        <w:t>:</w:t>
      </w:r>
      <w:r w:rsidR="00B3356B" w:rsidRPr="00D42DE9">
        <w:t xml:space="preserve"> Agricultural land quality</w:t>
      </w:r>
      <w:r w:rsidR="00A60F15">
        <w:t xml:space="preserve"> in Hepburn Shire</w:t>
      </w:r>
      <w:bookmarkEnd w:id="162"/>
    </w:p>
    <w:p w:rsidR="00C03B2E" w:rsidRDefault="00BD549B" w:rsidP="00CB41DC">
      <w:pPr>
        <w:pStyle w:val="Source0"/>
        <w:sectPr w:rsidR="00C03B2E" w:rsidSect="00A47912">
          <w:pgSz w:w="16838" w:h="11906" w:orient="landscape"/>
          <w:pgMar w:top="1440" w:right="1440" w:bottom="993" w:left="851" w:header="708" w:footer="709" w:gutter="0"/>
          <w:cols w:space="708"/>
          <w:docGrid w:linePitch="360"/>
        </w:sectPr>
      </w:pPr>
      <w:r w:rsidRPr="00BD549B">
        <w:t>Source: EnPlan Partners, 2007</w:t>
      </w:r>
    </w:p>
    <w:p w:rsidR="00B055FA" w:rsidRPr="008F1881" w:rsidRDefault="00B055FA" w:rsidP="008F522C">
      <w:pPr>
        <w:pStyle w:val="bt"/>
      </w:pPr>
      <w:r w:rsidRPr="008F1881">
        <w:lastRenderedPageBreak/>
        <w:t xml:space="preserve">Land capability assessments are a useful tool for profiling land and informing agricultural production decisions and practices although they are not a comprehensive marker for identifying the productive capacity or suitability of land for alternative agricultural land uses.   </w:t>
      </w:r>
    </w:p>
    <w:p w:rsidR="00B055FA" w:rsidRPr="008F1881" w:rsidRDefault="00B055FA" w:rsidP="008F522C">
      <w:pPr>
        <w:pStyle w:val="bt"/>
      </w:pPr>
      <w:r w:rsidRPr="008F1881">
        <w:t>Land capability assessment</w:t>
      </w:r>
      <w:r w:rsidR="0003305E">
        <w:t>s</w:t>
      </w:r>
      <w:r w:rsidRPr="008F1881">
        <w:t xml:space="preserve"> may provide the basis for further strategic analysis and assessment to introduce</w:t>
      </w:r>
      <w:r w:rsidR="00CC5514">
        <w:t>,</w:t>
      </w:r>
      <w:r w:rsidRPr="008F1881">
        <w:t xml:space="preserve"> where necessary, an appropriate planning scheme overlay to minimise the potential for further land degradation from certain practices. </w:t>
      </w:r>
    </w:p>
    <w:p w:rsidR="001F66D6" w:rsidRDefault="00B055FA" w:rsidP="00F95347">
      <w:pPr>
        <w:pStyle w:val="bt"/>
      </w:pPr>
      <w:r w:rsidRPr="008F1881">
        <w:t>The impacts of climate change are likely to lead to changes in the capacity of land to support different types of agriculture as weather patterns change. This will need to be considered in land use planning for the region, in particular in terms of the flow</w:t>
      </w:r>
      <w:r w:rsidR="00CC5514">
        <w:t>-</w:t>
      </w:r>
      <w:r w:rsidRPr="008F1881">
        <w:t>on implications to supporting industries</w:t>
      </w:r>
      <w:r w:rsidR="00F625D2">
        <w:t>,</w:t>
      </w:r>
      <w:r w:rsidRPr="008F1881">
        <w:t xml:space="preserve"> including food processing industries.</w:t>
      </w:r>
    </w:p>
    <w:p w:rsidR="008F1881" w:rsidRPr="000A2E0D" w:rsidRDefault="00CB77A7" w:rsidP="000A2E0D">
      <w:pPr>
        <w:pStyle w:val="Heading40"/>
      </w:pPr>
      <w:r w:rsidRPr="000A2E0D">
        <w:t>Maintaining productive rural land</w:t>
      </w:r>
    </w:p>
    <w:p w:rsidR="00111DEA" w:rsidRPr="008F1881" w:rsidRDefault="00B055FA" w:rsidP="008F522C">
      <w:pPr>
        <w:pStyle w:val="bt"/>
        <w:rPr>
          <w:rFonts w:cs="Tahoma"/>
          <w:szCs w:val="20"/>
        </w:rPr>
      </w:pPr>
      <w:r w:rsidRPr="008F1881">
        <w:rPr>
          <w:rFonts w:cs="Tahoma"/>
          <w:szCs w:val="20"/>
        </w:rPr>
        <w:t xml:space="preserve">Agriculture in some parts of the Central Highlands </w:t>
      </w:r>
      <w:r w:rsidR="001E15E1" w:rsidRPr="008F1881">
        <w:rPr>
          <w:rFonts w:cs="Tahoma"/>
          <w:szCs w:val="20"/>
        </w:rPr>
        <w:t>r</w:t>
      </w:r>
      <w:r w:rsidRPr="008F1881">
        <w:rPr>
          <w:rFonts w:cs="Tahoma"/>
          <w:szCs w:val="20"/>
        </w:rPr>
        <w:t xml:space="preserve">egion, particularly in the eastern most parts of the region which form part of Melbourne’s peri-urban area, are vulnerable to fragmentation for residential uses and subject to potential land use conflict between residential </w:t>
      </w:r>
      <w:r w:rsidR="00CC5514">
        <w:rPr>
          <w:rFonts w:cs="Tahoma"/>
          <w:szCs w:val="20"/>
        </w:rPr>
        <w:t xml:space="preserve">use </w:t>
      </w:r>
      <w:r w:rsidRPr="008F1881">
        <w:rPr>
          <w:rFonts w:cs="Tahoma"/>
          <w:szCs w:val="20"/>
        </w:rPr>
        <w:t>and agriculture.</w:t>
      </w:r>
      <w:r w:rsidR="00111DEA" w:rsidRPr="008F1881">
        <w:rPr>
          <w:rFonts w:cs="Tahoma"/>
          <w:szCs w:val="20"/>
        </w:rPr>
        <w:t xml:space="preserve"> </w:t>
      </w:r>
      <w:r w:rsidRPr="008F1881">
        <w:rPr>
          <w:rFonts w:cs="Tahoma"/>
          <w:szCs w:val="20"/>
        </w:rPr>
        <w:t xml:space="preserve">Locations where pressure has existed for urban growth include the highly fertile river flats that adjoin the township of Bacchus Marsh. </w:t>
      </w:r>
    </w:p>
    <w:p w:rsidR="00B055FA" w:rsidRPr="008F1881" w:rsidRDefault="00111DEA" w:rsidP="008F522C">
      <w:pPr>
        <w:pStyle w:val="bt"/>
        <w:rPr>
          <w:rFonts w:cs="Tahoma"/>
          <w:szCs w:val="20"/>
        </w:rPr>
      </w:pPr>
      <w:r w:rsidRPr="008F1881">
        <w:rPr>
          <w:rFonts w:cs="Tahoma"/>
          <w:szCs w:val="20"/>
        </w:rPr>
        <w:t xml:space="preserve">In order to </w:t>
      </w:r>
      <w:r w:rsidR="003F038B" w:rsidRPr="008F1881">
        <w:rPr>
          <w:rFonts w:cs="Tahoma"/>
          <w:szCs w:val="20"/>
        </w:rPr>
        <w:t>protect</w:t>
      </w:r>
      <w:r w:rsidRPr="008F1881">
        <w:rPr>
          <w:rFonts w:cs="Tahoma"/>
          <w:szCs w:val="20"/>
        </w:rPr>
        <w:t xml:space="preserve"> the </w:t>
      </w:r>
      <w:r w:rsidR="003F038B" w:rsidRPr="008F1881">
        <w:rPr>
          <w:rFonts w:cs="Tahoma"/>
          <w:szCs w:val="20"/>
        </w:rPr>
        <w:t>region’s</w:t>
      </w:r>
      <w:r w:rsidRPr="008F1881">
        <w:rPr>
          <w:rFonts w:cs="Tahoma"/>
          <w:szCs w:val="20"/>
        </w:rPr>
        <w:t xml:space="preserve"> productive agricultural base, there is a need</w:t>
      </w:r>
      <w:r w:rsidR="00B055FA" w:rsidRPr="008F1881">
        <w:rPr>
          <w:rFonts w:cs="Tahoma"/>
          <w:szCs w:val="20"/>
        </w:rPr>
        <w:t xml:space="preserve"> to reduce the potential for land use conflict between urban and residential uses and agricultural activities </w:t>
      </w:r>
      <w:r w:rsidR="00B021DB" w:rsidRPr="008F1881">
        <w:rPr>
          <w:rFonts w:cs="Tahoma"/>
          <w:szCs w:val="20"/>
        </w:rPr>
        <w:t xml:space="preserve">by providing </w:t>
      </w:r>
      <w:r w:rsidR="00B055FA" w:rsidRPr="008F1881">
        <w:rPr>
          <w:rFonts w:cs="Tahoma"/>
          <w:szCs w:val="20"/>
        </w:rPr>
        <w:t xml:space="preserve">clear direction as to locations where highly productive agricultural land is to be protected from encroachment </w:t>
      </w:r>
      <w:r w:rsidR="00B021DB" w:rsidRPr="008F1881">
        <w:rPr>
          <w:rFonts w:cs="Tahoma"/>
          <w:szCs w:val="20"/>
        </w:rPr>
        <w:t xml:space="preserve">by </w:t>
      </w:r>
      <w:r w:rsidR="00B055FA" w:rsidRPr="008F1881">
        <w:rPr>
          <w:rFonts w:cs="Tahoma"/>
          <w:szCs w:val="20"/>
        </w:rPr>
        <w:t>such uses.</w:t>
      </w:r>
      <w:r w:rsidRPr="008F1881">
        <w:rPr>
          <w:rFonts w:cs="Tahoma"/>
          <w:szCs w:val="20"/>
        </w:rPr>
        <w:t xml:space="preserve"> </w:t>
      </w:r>
      <w:r w:rsidR="00F81AA1" w:rsidRPr="008F1881">
        <w:rPr>
          <w:rFonts w:cs="Tahoma"/>
          <w:szCs w:val="20"/>
        </w:rPr>
        <w:t xml:space="preserve">In </w:t>
      </w:r>
      <w:r w:rsidRPr="008F1881">
        <w:rPr>
          <w:rFonts w:cs="Tahoma"/>
          <w:szCs w:val="20"/>
        </w:rPr>
        <w:t>addition, productive rural land can be supported by ensuring</w:t>
      </w:r>
      <w:r w:rsidR="00F81AA1" w:rsidRPr="008F1881">
        <w:rPr>
          <w:rFonts w:cs="Tahoma"/>
          <w:szCs w:val="20"/>
        </w:rPr>
        <w:t xml:space="preserve"> it remains viable and supports investment. This can be achieved by </w:t>
      </w:r>
      <w:r w:rsidR="00B055FA" w:rsidRPr="008F1881">
        <w:rPr>
          <w:rFonts w:cs="Tahoma"/>
          <w:szCs w:val="20"/>
        </w:rPr>
        <w:t>provid</w:t>
      </w:r>
      <w:r w:rsidR="00F81AA1" w:rsidRPr="008F1881">
        <w:rPr>
          <w:rFonts w:cs="Tahoma"/>
          <w:szCs w:val="20"/>
        </w:rPr>
        <w:t>ing</w:t>
      </w:r>
      <w:r w:rsidR="00B055FA" w:rsidRPr="008F1881">
        <w:rPr>
          <w:rFonts w:cs="Tahoma"/>
          <w:szCs w:val="20"/>
        </w:rPr>
        <w:t xml:space="preserve"> the flexibility necessary to enable opportunities for agricultural diversification, development and productivity growth including intensification where appropriate, to sustain a robust agricultural base for the region.</w:t>
      </w:r>
    </w:p>
    <w:p w:rsidR="00B055FA" w:rsidRPr="008F1881" w:rsidRDefault="00B055FA" w:rsidP="008F522C">
      <w:pPr>
        <w:pStyle w:val="bt"/>
        <w:rPr>
          <w:rFonts w:cs="Tahoma"/>
          <w:iCs/>
          <w:szCs w:val="20"/>
        </w:rPr>
      </w:pPr>
      <w:r w:rsidRPr="008F1881">
        <w:rPr>
          <w:rFonts w:cs="Tahoma"/>
          <w:szCs w:val="20"/>
        </w:rPr>
        <w:t xml:space="preserve">The </w:t>
      </w:r>
      <w:r w:rsidR="00B021DB" w:rsidRPr="008F1881">
        <w:rPr>
          <w:rFonts w:cs="Tahoma"/>
          <w:szCs w:val="20"/>
        </w:rPr>
        <w:t>plan define</w:t>
      </w:r>
      <w:r w:rsidR="0003305E">
        <w:rPr>
          <w:rFonts w:cs="Tahoma"/>
          <w:szCs w:val="20"/>
        </w:rPr>
        <w:t>s some of the</w:t>
      </w:r>
      <w:r w:rsidR="00B021DB" w:rsidRPr="008F1881">
        <w:rPr>
          <w:rFonts w:cs="Tahoma"/>
          <w:szCs w:val="20"/>
        </w:rPr>
        <w:t xml:space="preserve"> regionally </w:t>
      </w:r>
      <w:r w:rsidRPr="008F1881">
        <w:rPr>
          <w:rFonts w:cs="Tahoma"/>
          <w:szCs w:val="20"/>
        </w:rPr>
        <w:t xml:space="preserve">significant agricultural </w:t>
      </w:r>
      <w:r w:rsidR="0003305E">
        <w:rPr>
          <w:rFonts w:cs="Tahoma"/>
          <w:szCs w:val="20"/>
        </w:rPr>
        <w:t>assets</w:t>
      </w:r>
      <w:r w:rsidRPr="008F1881">
        <w:rPr>
          <w:rFonts w:cs="Tahoma"/>
          <w:szCs w:val="20"/>
        </w:rPr>
        <w:t xml:space="preserve"> and </w:t>
      </w:r>
      <w:r w:rsidR="00B021DB" w:rsidRPr="008F1881">
        <w:rPr>
          <w:rFonts w:cs="Tahoma"/>
          <w:szCs w:val="20"/>
        </w:rPr>
        <w:t>identif</w:t>
      </w:r>
      <w:r w:rsidR="0003305E">
        <w:rPr>
          <w:rFonts w:cs="Tahoma"/>
          <w:szCs w:val="20"/>
        </w:rPr>
        <w:t>ies</w:t>
      </w:r>
      <w:r w:rsidR="00B021DB" w:rsidRPr="008F1881">
        <w:rPr>
          <w:rFonts w:cs="Tahoma"/>
          <w:szCs w:val="20"/>
        </w:rPr>
        <w:t xml:space="preserve"> </w:t>
      </w:r>
      <w:r w:rsidR="0003305E">
        <w:rPr>
          <w:rFonts w:cs="Tahoma"/>
          <w:szCs w:val="20"/>
        </w:rPr>
        <w:t xml:space="preserve">them </w:t>
      </w:r>
      <w:r w:rsidR="00B021DB" w:rsidRPr="008F1881">
        <w:rPr>
          <w:rFonts w:cs="Tahoma"/>
          <w:szCs w:val="20"/>
        </w:rPr>
        <w:t>at a regional scale</w:t>
      </w:r>
      <w:r w:rsidRPr="008F1881">
        <w:rPr>
          <w:rFonts w:cs="Tahoma"/>
          <w:szCs w:val="20"/>
        </w:rPr>
        <w:t xml:space="preserve">. The productive potential of land for agriculture is influenced by a variety of factors, of which land capability is an important </w:t>
      </w:r>
      <w:r w:rsidR="00CC5514">
        <w:rPr>
          <w:rFonts w:cs="Tahoma"/>
          <w:szCs w:val="20"/>
        </w:rPr>
        <w:t xml:space="preserve">component </w:t>
      </w:r>
      <w:r w:rsidRPr="008F1881">
        <w:rPr>
          <w:rFonts w:cs="Tahoma"/>
          <w:szCs w:val="20"/>
        </w:rPr>
        <w:t>but does not provide the whole picture.</w:t>
      </w:r>
    </w:p>
    <w:p w:rsidR="00B055FA" w:rsidRPr="008F1881" w:rsidRDefault="00B055FA" w:rsidP="008F522C">
      <w:pPr>
        <w:pStyle w:val="bt"/>
      </w:pPr>
      <w:r w:rsidRPr="008F1881">
        <w:t>Alternative forms of agriculture, such as intensive animal industries and greenhouse production systems</w:t>
      </w:r>
      <w:r w:rsidR="00CC5514">
        <w:t>,</w:t>
      </w:r>
      <w:r w:rsidRPr="008F1881">
        <w:t xml:space="preserve"> also contribute significantly to agricultural and food production as they can generate large outputs on small areas of land and are not dependent on high quality soils as the driver for location. Other criteria, such as access to roads, power, water, processing and feed supply can be important indicators or drivers for identifying the productive potential of farmland.</w:t>
      </w:r>
    </w:p>
    <w:p w:rsidR="00CB77A7" w:rsidRPr="008F1881" w:rsidRDefault="00B055FA" w:rsidP="008F522C">
      <w:pPr>
        <w:pStyle w:val="bt"/>
      </w:pPr>
      <w:r w:rsidRPr="008F1881">
        <w:t xml:space="preserve">In agricultural areas where broadacre cropping and grazing are the predominant uses, lots are often already smaller than would support a self-sufficient broad acre agricultural enterprise. The fragmentation of lots in these areas could further undermine the viability of agricultural enterprises, particularly if land values reflect rural–residential purposes rather than the ability to support agriculture. </w:t>
      </w:r>
    </w:p>
    <w:p w:rsidR="00CB77A7" w:rsidRPr="008F1881" w:rsidRDefault="00BD5983" w:rsidP="008F522C">
      <w:pPr>
        <w:pStyle w:val="bt"/>
      </w:pPr>
      <w:r w:rsidRPr="008F1881">
        <w:t xml:space="preserve">A number of councils have noted the issues associated with the diversity of lots sizes and predominance of small lots in some areas. </w:t>
      </w:r>
      <w:r w:rsidR="00CB77A7" w:rsidRPr="008F1881">
        <w:t xml:space="preserve">Moorabool Shire’s </w:t>
      </w:r>
      <w:r w:rsidR="00D06A85" w:rsidRPr="00227110">
        <w:t>Rural Growth Policy Statement</w:t>
      </w:r>
      <w:r w:rsidR="00CB77A7" w:rsidRPr="008F1881">
        <w:t xml:space="preserve"> (2012</w:t>
      </w:r>
      <w:r w:rsidRPr="008F1881">
        <w:t>) identifies that small lots are</w:t>
      </w:r>
      <w:r w:rsidR="0069249A" w:rsidRPr="008F1881">
        <w:t xml:space="preserve"> a notable characteristic of </w:t>
      </w:r>
      <w:r w:rsidR="00CC5514">
        <w:t xml:space="preserve">the shire’s </w:t>
      </w:r>
      <w:r w:rsidR="0069249A" w:rsidRPr="008F1881">
        <w:t xml:space="preserve">rural areas and that policy should be tailored to recognise this pattern. </w:t>
      </w:r>
      <w:r w:rsidR="00F81AA1" w:rsidRPr="008F1881">
        <w:t>To this end</w:t>
      </w:r>
      <w:r w:rsidR="00CC5514">
        <w:t>,</w:t>
      </w:r>
      <w:r w:rsidR="00F81AA1" w:rsidRPr="008F1881">
        <w:t xml:space="preserve"> the </w:t>
      </w:r>
      <w:r w:rsidR="00CC5514">
        <w:t>s</w:t>
      </w:r>
      <w:r w:rsidR="00F86AC2">
        <w:t>hire</w:t>
      </w:r>
      <w:r w:rsidR="00F81AA1" w:rsidRPr="008F1881">
        <w:t xml:space="preserve"> supports protecting agricultural land from permanent loss, such as through supporting investment in small</w:t>
      </w:r>
      <w:r w:rsidR="00CC5514">
        <w:t>-</w:t>
      </w:r>
      <w:r w:rsidR="00F81AA1" w:rsidRPr="008F1881">
        <w:t xml:space="preserve">scale, more intensive agricultural enterprises. </w:t>
      </w:r>
      <w:r w:rsidR="0069249A" w:rsidRPr="008F1881">
        <w:t xml:space="preserve"> </w:t>
      </w:r>
      <w:r w:rsidRPr="008F1881">
        <w:t xml:space="preserve"> </w:t>
      </w:r>
      <w:r w:rsidR="00CB77A7" w:rsidRPr="008F1881">
        <w:t xml:space="preserve">  </w:t>
      </w:r>
    </w:p>
    <w:p w:rsidR="00CB77A7" w:rsidRPr="008F1881" w:rsidRDefault="00B055FA" w:rsidP="008F522C">
      <w:pPr>
        <w:pStyle w:val="bt"/>
      </w:pPr>
      <w:r w:rsidRPr="008F1881">
        <w:t xml:space="preserve">The </w:t>
      </w:r>
      <w:r w:rsidRPr="00227110">
        <w:t xml:space="preserve">Golden Plains Rural Land Use Strategy </w:t>
      </w:r>
      <w:r w:rsidRPr="008F1881">
        <w:t xml:space="preserve">(Parsons Brinckerhoff, 2008b) recognises the need to prevent fragmentation of </w:t>
      </w:r>
      <w:r w:rsidR="00A70AFD">
        <w:t>rural lots and retain large lot</w:t>
      </w:r>
      <w:r w:rsidRPr="008F1881">
        <w:t xml:space="preserve"> sizes to support broadacre agricultural enterprises in productive agricultural areas. The Rural Activity Zone has been applied to areas within the Golden Plains Shire based on the recommendations of the rural strategy. This approach ensures a wider range of rural uses are provided for in appropriate locations away from those areas where broadacre farming is the main focus. However</w:t>
      </w:r>
      <w:r w:rsidR="00CC5514">
        <w:t>,</w:t>
      </w:r>
      <w:r w:rsidRPr="008F1881">
        <w:t xml:space="preserve"> from a </w:t>
      </w:r>
      <w:r w:rsidRPr="008F1881">
        <w:lastRenderedPageBreak/>
        <w:t>regional perspective</w:t>
      </w:r>
      <w:r w:rsidR="00CC5514">
        <w:t>,</w:t>
      </w:r>
      <w:r w:rsidRPr="008F1881">
        <w:t xml:space="preserve"> such zoning changes mean a disparity in rural land use approaches across regional boundaries that may require further consideration. </w:t>
      </w:r>
    </w:p>
    <w:p w:rsidR="0042540F" w:rsidRPr="008F1881" w:rsidRDefault="0042540F" w:rsidP="008F522C">
      <w:pPr>
        <w:pStyle w:val="bt"/>
      </w:pPr>
      <w:r w:rsidRPr="008F1881">
        <w:t xml:space="preserve">The </w:t>
      </w:r>
      <w:r w:rsidRPr="00227110">
        <w:t xml:space="preserve">Stawell-Ararat-Halls Gap Rural Zones Review </w:t>
      </w:r>
      <w:r w:rsidRPr="008F1881">
        <w:t xml:space="preserve">(2012) has been prepared to develop policy settings across an area between the settlements of Stawell, Halls Gap, Moyston, Pomonal, Great Western, Armstrong and Ararat. This study area includes land in both the Ararat and Northern Grampians </w:t>
      </w:r>
      <w:r w:rsidR="00CC5514">
        <w:t>local government areas</w:t>
      </w:r>
      <w:r w:rsidRPr="008F1881">
        <w:t xml:space="preserve"> and it identifies the potential for consistent approaches to land use controls across the two planning schemes. The study area has been identified as a major tourist, agricultural/viticultural and rural residential area. The study recommends protecting the agricultural base of the region by focusing development in settlements, whilst allowing for some diversification of land use to support tourism which is a major economic driver </w:t>
      </w:r>
      <w:r w:rsidR="00CC5514">
        <w:t xml:space="preserve">of the </w:t>
      </w:r>
      <w:r w:rsidRPr="008F1881">
        <w:t>r</w:t>
      </w:r>
      <w:r w:rsidR="008F522C">
        <w:t>e</w:t>
      </w:r>
      <w:r w:rsidRPr="008F1881">
        <w:t xml:space="preserve">gion. </w:t>
      </w:r>
    </w:p>
    <w:p w:rsidR="008F1881" w:rsidRPr="000A2E0D" w:rsidRDefault="009F09AE" w:rsidP="000A2E0D">
      <w:pPr>
        <w:pStyle w:val="Heading40"/>
      </w:pPr>
      <w:r w:rsidRPr="000A2E0D">
        <w:t>Impacts of changing agricultural practices on regional settlements</w:t>
      </w:r>
    </w:p>
    <w:p w:rsidR="00B055FA" w:rsidRPr="008F1881" w:rsidRDefault="00B055FA" w:rsidP="008F522C">
      <w:pPr>
        <w:pStyle w:val="bt"/>
        <w:rPr>
          <w:rFonts w:cs="Tahoma"/>
          <w:szCs w:val="20"/>
        </w:rPr>
      </w:pPr>
      <w:r w:rsidRPr="008F1881">
        <w:rPr>
          <w:rFonts w:cs="Tahoma"/>
          <w:szCs w:val="20"/>
        </w:rPr>
        <w:t>The sustainability of smaller rural settlements can be impacted significantly by changing agricultural practices. In some parts of the region a change from broadacre cropping and grazing to agroforestry may have contributed to reduced support for nearby service centres. Decline in smaller townships may also be caused by reduced labour inputs on larger consolidated farms.</w:t>
      </w:r>
    </w:p>
    <w:p w:rsidR="008F1881" w:rsidRPr="000A2E0D" w:rsidRDefault="009F09AE" w:rsidP="000A2E0D">
      <w:pPr>
        <w:pStyle w:val="Heading40"/>
      </w:pPr>
      <w:r w:rsidRPr="000A2E0D">
        <w:t xml:space="preserve">Earth </w:t>
      </w:r>
      <w:r w:rsidR="00CB77A7" w:rsidRPr="000A2E0D">
        <w:t>r</w:t>
      </w:r>
      <w:r w:rsidRPr="000A2E0D">
        <w:t>esources</w:t>
      </w:r>
    </w:p>
    <w:p w:rsidR="00F625D2" w:rsidRDefault="00B055FA" w:rsidP="008F522C">
      <w:pPr>
        <w:pStyle w:val="bt"/>
        <w:rPr>
          <w:rFonts w:cs="Tahoma"/>
          <w:szCs w:val="20"/>
        </w:rPr>
      </w:pPr>
      <w:r w:rsidRPr="008F1881">
        <w:rPr>
          <w:rFonts w:cs="Tahoma"/>
          <w:szCs w:val="20"/>
        </w:rPr>
        <w:t xml:space="preserve">While the Central Highlands has a long and continuing history of mining activity, this sector is </w:t>
      </w:r>
      <w:r w:rsidR="00061E07" w:rsidRPr="008F1881">
        <w:rPr>
          <w:rFonts w:cs="Tahoma"/>
          <w:szCs w:val="20"/>
        </w:rPr>
        <w:t>neither currently, nor expected in the future</w:t>
      </w:r>
      <w:r w:rsidR="00211E5F">
        <w:rPr>
          <w:rFonts w:cs="Tahoma"/>
          <w:szCs w:val="20"/>
        </w:rPr>
        <w:t>,</w:t>
      </w:r>
      <w:r w:rsidR="00061E07" w:rsidRPr="008F1881">
        <w:rPr>
          <w:rFonts w:cs="Tahoma"/>
          <w:szCs w:val="20"/>
        </w:rPr>
        <w:t xml:space="preserve"> to become a </w:t>
      </w:r>
      <w:r w:rsidRPr="008F1881">
        <w:rPr>
          <w:rFonts w:cs="Tahoma"/>
          <w:szCs w:val="20"/>
        </w:rPr>
        <w:t xml:space="preserve">major employer. Mineral resources within the region include </w:t>
      </w:r>
      <w:r w:rsidR="00AD1DA7" w:rsidRPr="008F1881">
        <w:rPr>
          <w:rFonts w:cs="Tahoma"/>
          <w:szCs w:val="20"/>
        </w:rPr>
        <w:t xml:space="preserve">copper deposits in the vicinity of Ararat and west of Lake Bolac, gold </w:t>
      </w:r>
      <w:r w:rsidR="00211E5F">
        <w:rPr>
          <w:rFonts w:cs="Tahoma"/>
          <w:szCs w:val="20"/>
        </w:rPr>
        <w:t>in</w:t>
      </w:r>
      <w:r w:rsidR="00AD1DA7" w:rsidRPr="008F1881">
        <w:rPr>
          <w:rFonts w:cs="Tahoma"/>
          <w:szCs w:val="20"/>
        </w:rPr>
        <w:t xml:space="preserve"> Ballarat </w:t>
      </w:r>
      <w:r w:rsidRPr="008F1881">
        <w:rPr>
          <w:rFonts w:cs="Tahoma"/>
          <w:szCs w:val="20"/>
        </w:rPr>
        <w:t xml:space="preserve">and the significant coal resources currently being explored in the vicinity of Bacchus Marsh. </w:t>
      </w:r>
    </w:p>
    <w:p w:rsidR="00B055FA" w:rsidRDefault="00B055FA" w:rsidP="008F522C">
      <w:pPr>
        <w:pStyle w:val="bt"/>
        <w:rPr>
          <w:rFonts w:cs="Tahoma"/>
          <w:szCs w:val="20"/>
        </w:rPr>
      </w:pPr>
      <w:r w:rsidRPr="008F1881">
        <w:rPr>
          <w:rFonts w:cs="Tahoma"/>
          <w:szCs w:val="20"/>
        </w:rPr>
        <w:t>The Maddingley No.2 open cut coal mine</w:t>
      </w:r>
      <w:r w:rsidR="00211E5F">
        <w:rPr>
          <w:rFonts w:cs="Tahoma"/>
          <w:szCs w:val="20"/>
        </w:rPr>
        <w:t>,</w:t>
      </w:r>
      <w:r w:rsidRPr="008F1881">
        <w:rPr>
          <w:rFonts w:cs="Tahoma"/>
          <w:szCs w:val="20"/>
        </w:rPr>
        <w:t xml:space="preserve"> south of Bacchus Marsh</w:t>
      </w:r>
      <w:r w:rsidR="00211E5F">
        <w:rPr>
          <w:rFonts w:cs="Tahoma"/>
          <w:szCs w:val="20"/>
        </w:rPr>
        <w:t>,</w:t>
      </w:r>
      <w:r w:rsidRPr="008F1881">
        <w:rPr>
          <w:rFonts w:cs="Tahoma"/>
          <w:szCs w:val="20"/>
        </w:rPr>
        <w:t xml:space="preserve"> provides coal of a lesser grade than the La</w:t>
      </w:r>
      <w:r w:rsidR="00211E5F">
        <w:rPr>
          <w:rFonts w:cs="Tahoma"/>
          <w:szCs w:val="20"/>
        </w:rPr>
        <w:t>t</w:t>
      </w:r>
      <w:r w:rsidRPr="008F1881">
        <w:rPr>
          <w:rFonts w:cs="Tahoma"/>
          <w:szCs w:val="20"/>
        </w:rPr>
        <w:t xml:space="preserve">robe </w:t>
      </w:r>
      <w:r w:rsidR="00AD1DA7" w:rsidRPr="008F1881">
        <w:rPr>
          <w:rFonts w:cs="Tahoma"/>
          <w:szCs w:val="20"/>
        </w:rPr>
        <w:t>V</w:t>
      </w:r>
      <w:r w:rsidRPr="008F1881">
        <w:rPr>
          <w:rFonts w:cs="Tahoma"/>
          <w:szCs w:val="20"/>
        </w:rPr>
        <w:t>alley coal but is suitable as an industrial fuel. The coal seam is the third largest known in Victoria</w:t>
      </w:r>
      <w:r w:rsidR="008832CA">
        <w:rPr>
          <w:rFonts w:cs="Tahoma"/>
          <w:szCs w:val="20"/>
        </w:rPr>
        <w:t xml:space="preserve">, </w:t>
      </w:r>
      <w:r w:rsidRPr="008F1881">
        <w:rPr>
          <w:rFonts w:cs="Tahoma"/>
          <w:szCs w:val="20"/>
        </w:rPr>
        <w:t>after the La</w:t>
      </w:r>
      <w:r w:rsidR="00A13EBC">
        <w:rPr>
          <w:rFonts w:cs="Tahoma"/>
          <w:szCs w:val="20"/>
        </w:rPr>
        <w:t>t</w:t>
      </w:r>
      <w:r w:rsidRPr="008F1881">
        <w:rPr>
          <w:rFonts w:cs="Tahoma"/>
          <w:szCs w:val="20"/>
        </w:rPr>
        <w:t xml:space="preserve">robe Valley area and Anglesea deposits. Any potential expansion of coal mining within proximity to Bacchus Marsh will present some challenges in terms of existing agricultural and residential land uses. State </w:t>
      </w:r>
      <w:r w:rsidR="00827679">
        <w:rPr>
          <w:rFonts w:cs="Tahoma"/>
          <w:szCs w:val="20"/>
        </w:rPr>
        <w:t>p</w:t>
      </w:r>
      <w:r w:rsidRPr="008F1881">
        <w:rPr>
          <w:rFonts w:cs="Tahoma"/>
          <w:szCs w:val="20"/>
        </w:rPr>
        <w:t xml:space="preserve">lanning </w:t>
      </w:r>
      <w:r w:rsidR="00827679">
        <w:rPr>
          <w:rFonts w:cs="Tahoma"/>
          <w:szCs w:val="20"/>
        </w:rPr>
        <w:t>p</w:t>
      </w:r>
      <w:r w:rsidRPr="008F1881">
        <w:rPr>
          <w:rFonts w:cs="Tahoma"/>
          <w:szCs w:val="20"/>
        </w:rPr>
        <w:t>olicy encourages the exploration and extraction of natural resources in accordance with acceptable environmental standards, and provides for the long</w:t>
      </w:r>
      <w:r w:rsidR="00A13EBC">
        <w:rPr>
          <w:rFonts w:cs="Tahoma"/>
          <w:szCs w:val="20"/>
        </w:rPr>
        <w:t>-</w:t>
      </w:r>
      <w:r w:rsidRPr="008F1881">
        <w:rPr>
          <w:rFonts w:cs="Tahoma"/>
          <w:szCs w:val="20"/>
        </w:rPr>
        <w:t>term protection of these resources, consistent with the relevant legislation.</w:t>
      </w:r>
    </w:p>
    <w:p w:rsidR="006006DC" w:rsidRDefault="006006DC" w:rsidP="008F522C">
      <w:pPr>
        <w:pStyle w:val="bt"/>
        <w:rPr>
          <w:rFonts w:cs="Tahoma"/>
          <w:szCs w:val="20"/>
        </w:rPr>
      </w:pPr>
      <w:r>
        <w:rPr>
          <w:rFonts w:cs="Tahoma"/>
          <w:szCs w:val="20"/>
        </w:rPr>
        <w:t>Coal seam gas is another form of natural gas trapped by water pressure in coal seams. There is currently no coal seam gas production in Victoria, however some exploration licences have been granted to examine the feasibility of extraction, including in the Central Highlands region.</w:t>
      </w:r>
    </w:p>
    <w:p w:rsidR="006006DC" w:rsidRDefault="006006DC" w:rsidP="006006DC">
      <w:pPr>
        <w:pStyle w:val="bt"/>
      </w:pPr>
      <w:r>
        <w:t>The planning and regulation of the coal seam gas industry is overseen by state and federal governments. At a national level, t</w:t>
      </w:r>
      <w:r w:rsidRPr="00260D4D">
        <w:t xml:space="preserve">he Standing Council on Energy and Resources has endorsed a </w:t>
      </w:r>
      <w:r w:rsidR="00D44127" w:rsidRPr="00D44127">
        <w:t>National Harmonised Regulatory Framework for Natural Gas from Coal Seams</w:t>
      </w:r>
      <w:r>
        <w:t xml:space="preserve"> (May 2013). The Framework </w:t>
      </w:r>
      <w:r w:rsidRPr="00260D4D">
        <w:t>delivers on a commitment by Australia</w:t>
      </w:r>
      <w:r>
        <w:t xml:space="preserve">n governments to put in place </w:t>
      </w:r>
      <w:r w:rsidRPr="00260D4D">
        <w:t xml:space="preserve">leading practice principles, </w:t>
      </w:r>
      <w:r>
        <w:t xml:space="preserve">to </w:t>
      </w:r>
      <w:r w:rsidRPr="00260D4D">
        <w:t>provid</w:t>
      </w:r>
      <w:r>
        <w:t>e</w:t>
      </w:r>
      <w:r w:rsidRPr="00260D4D">
        <w:t xml:space="preserve"> guidance to regulators in the management of natural gas from coals seams</w:t>
      </w:r>
      <w:r>
        <w:t>,</w:t>
      </w:r>
      <w:r w:rsidRPr="00260D4D">
        <w:t xml:space="preserve"> and </w:t>
      </w:r>
      <w:r>
        <w:t xml:space="preserve">to </w:t>
      </w:r>
      <w:r w:rsidRPr="00260D4D">
        <w:t>ensur</w:t>
      </w:r>
      <w:r>
        <w:t>e</w:t>
      </w:r>
      <w:r w:rsidRPr="00260D4D">
        <w:t xml:space="preserve"> </w:t>
      </w:r>
      <w:r>
        <w:t xml:space="preserve">that </w:t>
      </w:r>
      <w:r w:rsidRPr="00260D4D">
        <w:t>regulatory regimes are robust, consistent and transparent across all Australian jurisdictions</w:t>
      </w:r>
      <w:r>
        <w:t xml:space="preserve">. The </w:t>
      </w:r>
      <w:r w:rsidR="0013722C">
        <w:t>Victorian Government</w:t>
      </w:r>
      <w:r>
        <w:t xml:space="preserve"> has endorsed the outcomes of the National Framework and will ensure that state legislation is consistent with its findings.</w:t>
      </w:r>
    </w:p>
    <w:p w:rsidR="006006DC" w:rsidRDefault="006006DC" w:rsidP="006006DC">
      <w:pPr>
        <w:pStyle w:val="bt"/>
      </w:pPr>
      <w:r w:rsidRPr="004D6CAA">
        <w:t xml:space="preserve">While the primary purpose of the </w:t>
      </w:r>
      <w:r w:rsidR="0013722C">
        <w:t>F</w:t>
      </w:r>
      <w:r w:rsidRPr="004D6CAA">
        <w:t>ramework is to be a guidance document to governments, it will benefit communities, farmers, other land users and industry by providing increased levels of consistency, certainty and transparency in the management of natural gas from coal seams in Australia.</w:t>
      </w:r>
    </w:p>
    <w:p w:rsidR="00A509A2" w:rsidRPr="00C31BD9" w:rsidRDefault="00A509A2" w:rsidP="00A509A2">
      <w:pPr>
        <w:pStyle w:val="bt"/>
      </w:pPr>
      <w:r w:rsidRPr="00C31BD9">
        <w:t xml:space="preserve">Coal seam gas exploration and production in Victoria is regulated under the </w:t>
      </w:r>
      <w:r w:rsidRPr="000224DC">
        <w:rPr>
          <w:i/>
        </w:rPr>
        <w:t>Mineral Resources (Sustainable Development) Act 1990</w:t>
      </w:r>
      <w:r w:rsidRPr="00C31BD9">
        <w:t>. The</w:t>
      </w:r>
      <w:r>
        <w:t xml:space="preserve"> Act and supporting</w:t>
      </w:r>
      <w:r w:rsidRPr="00C31BD9">
        <w:t xml:space="preserve"> </w:t>
      </w:r>
      <w:r>
        <w:t>Regulation</w:t>
      </w:r>
      <w:r w:rsidRPr="00C31BD9">
        <w:t xml:space="preserve"> stipulate</w:t>
      </w:r>
      <w:r>
        <w:t>s</w:t>
      </w:r>
      <w:r w:rsidRPr="00C31BD9">
        <w:t xml:space="preserve"> that the community must be kept informed</w:t>
      </w:r>
      <w:r>
        <w:t xml:space="preserve"> and provides</w:t>
      </w:r>
      <w:r w:rsidRPr="00C31BD9">
        <w:t xml:space="preserve"> strict requirements for licensing and approval.</w:t>
      </w:r>
      <w:r>
        <w:t xml:space="preserve"> </w:t>
      </w:r>
      <w:r w:rsidRPr="00C31BD9">
        <w:t xml:space="preserve">Licensees are </w:t>
      </w:r>
      <w:r>
        <w:t>subject to regulator monitoring</w:t>
      </w:r>
      <w:r w:rsidRPr="00C31BD9">
        <w:t xml:space="preserve"> and companies must adhere to</w:t>
      </w:r>
      <w:r>
        <w:t xml:space="preserve"> licence conditions</w:t>
      </w:r>
      <w:r w:rsidRPr="00C31BD9">
        <w:t xml:space="preserve"> or </w:t>
      </w:r>
      <w:r>
        <w:t>be subject to a range of enforcement actions up to and including, loss of licence</w:t>
      </w:r>
      <w:r w:rsidRPr="00C31BD9">
        <w:t>.</w:t>
      </w:r>
    </w:p>
    <w:p w:rsidR="00A509A2" w:rsidRPr="00C31BD9" w:rsidRDefault="00A509A2" w:rsidP="00A509A2">
      <w:pPr>
        <w:pStyle w:val="bt"/>
      </w:pPr>
      <w:r w:rsidRPr="00C31BD9">
        <w:lastRenderedPageBreak/>
        <w:t xml:space="preserve">In order to undertake exploration activities, a company must apply for an exploration licence. </w:t>
      </w:r>
      <w:r>
        <w:t>Exploration activities are predominantly desk-based, reviewing existing data and information</w:t>
      </w:r>
      <w:r w:rsidR="00E50B17">
        <w:t>, c</w:t>
      </w:r>
      <w:r>
        <w:t>ollecting and analysing rock samples or airborne geotechnical surveys. While e</w:t>
      </w:r>
      <w:r w:rsidRPr="00C31BD9">
        <w:t xml:space="preserve">xploration licences </w:t>
      </w:r>
      <w:r>
        <w:t>allow for</w:t>
      </w:r>
      <w:r w:rsidRPr="00C31BD9">
        <w:t xml:space="preserve"> low impact activities</w:t>
      </w:r>
      <w:r>
        <w:t>, ground intrusive works</w:t>
      </w:r>
      <w:r w:rsidRPr="00C31BD9">
        <w:t xml:space="preserve"> </w:t>
      </w:r>
      <w:r>
        <w:t>such as drilling, trenching or costeaning are subject to further approvals and conditions. The Department of State Development, Business and Industry is the regulatory authority for the issuing of licences and for enforcing compliance with licence conditions. Conditions are specific to each licence and are statutorily referred to other relevant agencies such as Department of Environment and Primary Industr</w:t>
      </w:r>
      <w:r w:rsidR="001D1B11">
        <w:t>ies</w:t>
      </w:r>
      <w:r>
        <w:t xml:space="preserve">, the Environmental Protection Authority and water corporations for input prior to being finalised. </w:t>
      </w:r>
      <w:r w:rsidRPr="00C31BD9">
        <w:t xml:space="preserve"> </w:t>
      </w:r>
    </w:p>
    <w:p w:rsidR="006006DC" w:rsidRPr="008F1881" w:rsidRDefault="006006DC" w:rsidP="006006DC">
      <w:pPr>
        <w:pStyle w:val="bt"/>
        <w:rPr>
          <w:rFonts w:cs="Tahoma"/>
          <w:szCs w:val="20"/>
        </w:rPr>
      </w:pPr>
      <w:r>
        <w:t>T</w:t>
      </w:r>
      <w:r w:rsidRPr="00C31BD9">
        <w:t xml:space="preserve">he mining licence application process and the planning process provide </w:t>
      </w:r>
      <w:r>
        <w:t xml:space="preserve">for detailed environmental investigation and </w:t>
      </w:r>
      <w:r w:rsidRPr="00C31BD9">
        <w:t>further opportunities for public input and comment.</w:t>
      </w:r>
    </w:p>
    <w:p w:rsidR="00B055FA" w:rsidRDefault="00AD1DA7" w:rsidP="008F522C">
      <w:pPr>
        <w:pStyle w:val="bt"/>
        <w:rPr>
          <w:rFonts w:cs="Tahoma"/>
          <w:szCs w:val="20"/>
        </w:rPr>
      </w:pPr>
      <w:r w:rsidRPr="008F1881">
        <w:rPr>
          <w:rFonts w:cs="Tahoma"/>
          <w:szCs w:val="20"/>
        </w:rPr>
        <w:t xml:space="preserve">There are significant stone resources within the region that are critical for the construction industry. Locations where stone resources </w:t>
      </w:r>
      <w:r w:rsidR="00661DFE" w:rsidRPr="008F1881">
        <w:rPr>
          <w:rFonts w:cs="Tahoma"/>
          <w:szCs w:val="20"/>
        </w:rPr>
        <w:t xml:space="preserve">are particularly important include </w:t>
      </w:r>
      <w:r w:rsidR="00B055FA" w:rsidRPr="008F1881">
        <w:rPr>
          <w:rFonts w:cs="Tahoma"/>
          <w:szCs w:val="20"/>
        </w:rPr>
        <w:t>to the north of Bacchus Marsh in Darley</w:t>
      </w:r>
      <w:r w:rsidR="00661DFE" w:rsidRPr="008F1881">
        <w:rPr>
          <w:rFonts w:cs="Tahoma"/>
          <w:szCs w:val="20"/>
        </w:rPr>
        <w:t xml:space="preserve"> and the kaolin deposits at Pittong</w:t>
      </w:r>
      <w:r w:rsidR="00B055FA" w:rsidRPr="008F1881">
        <w:rPr>
          <w:rFonts w:cs="Tahoma"/>
          <w:szCs w:val="20"/>
        </w:rPr>
        <w:t>.</w:t>
      </w:r>
    </w:p>
    <w:p w:rsidR="00C820C0" w:rsidRPr="009437B4" w:rsidRDefault="00426264" w:rsidP="002D3BE7">
      <w:pPr>
        <w:pStyle w:val="bt"/>
      </w:pPr>
      <w:r w:rsidRPr="009437B4">
        <w:t>In May 2012, the Economic Development and Infrastructure Committee of the Parliament of Victoria tabled the results of its inquiry into the benefits and drivers of, and possible barriers to, greenfields</w:t>
      </w:r>
      <w:r w:rsidR="004F36C7" w:rsidRPr="009437B4">
        <w:rPr>
          <w:rStyle w:val="FootnoteReference"/>
          <w:szCs w:val="20"/>
        </w:rPr>
        <w:footnoteReference w:id="6"/>
      </w:r>
      <w:r w:rsidRPr="009437B4">
        <w:t xml:space="preserve"> mineral exploration and project developments in Victoria. The Victorian Government’s response to the Inquiry was released in May 2013, supporting all recommendations. Key aspects of the response include:</w:t>
      </w:r>
    </w:p>
    <w:p w:rsidR="00D91477" w:rsidRDefault="00426264" w:rsidP="00D91477">
      <w:pPr>
        <w:pStyle w:val="ListBullet"/>
        <w:rPr>
          <w:rFonts w:cs="Calibri"/>
          <w:szCs w:val="20"/>
        </w:rPr>
      </w:pPr>
      <w:r w:rsidRPr="009437B4">
        <w:rPr>
          <w:rFonts w:cs="Calibri"/>
          <w:szCs w:val="20"/>
        </w:rPr>
        <w:t>establish Minerals Development Victoria as a single point of entry for investors dealing with Government on their projects</w:t>
      </w:r>
    </w:p>
    <w:p w:rsidR="00D91477" w:rsidRDefault="00426264" w:rsidP="00D91477">
      <w:pPr>
        <w:pStyle w:val="ListBullet"/>
        <w:rPr>
          <w:rFonts w:cs="Calibri"/>
          <w:szCs w:val="20"/>
        </w:rPr>
      </w:pPr>
      <w:r w:rsidRPr="009437B4">
        <w:rPr>
          <w:rFonts w:cs="Calibri"/>
          <w:szCs w:val="20"/>
        </w:rPr>
        <w:t>actions to reduce regulatory burden imposed in legislation</w:t>
      </w:r>
    </w:p>
    <w:p w:rsidR="00D91477" w:rsidRDefault="00426264" w:rsidP="00D91477">
      <w:pPr>
        <w:pStyle w:val="ListBullet"/>
        <w:rPr>
          <w:rFonts w:cs="Calibri"/>
          <w:szCs w:val="20"/>
        </w:rPr>
      </w:pPr>
      <w:r w:rsidRPr="009437B4">
        <w:rPr>
          <w:rFonts w:cs="Calibri"/>
          <w:szCs w:val="20"/>
        </w:rPr>
        <w:t>actions to build community confidence through greater engagement and clearer communication of information</w:t>
      </w:r>
    </w:p>
    <w:p w:rsidR="00D91477" w:rsidRDefault="00426264" w:rsidP="00D91477">
      <w:pPr>
        <w:pStyle w:val="ListBullet"/>
        <w:rPr>
          <w:rFonts w:cs="Calibri"/>
          <w:szCs w:val="20"/>
        </w:rPr>
      </w:pPr>
      <w:r w:rsidRPr="009437B4">
        <w:rPr>
          <w:rFonts w:cs="Calibri"/>
          <w:szCs w:val="20"/>
        </w:rPr>
        <w:t>additional funding for geosciences research and greater investment attraction</w:t>
      </w:r>
    </w:p>
    <w:p w:rsidR="00D91477" w:rsidRDefault="00426264" w:rsidP="00D91477">
      <w:pPr>
        <w:pStyle w:val="ListBullet"/>
        <w:rPr>
          <w:rFonts w:cs="Calibri"/>
          <w:szCs w:val="20"/>
        </w:rPr>
      </w:pPr>
      <w:r w:rsidRPr="009437B4">
        <w:rPr>
          <w:rFonts w:cs="Calibri"/>
          <w:szCs w:val="20"/>
        </w:rPr>
        <w:t>steps to improve mechanisms to maintain appropriate access to extractive resources while supporting ongoing development and optimum land use.</w:t>
      </w:r>
    </w:p>
    <w:p w:rsidR="00426264" w:rsidRPr="009437B4" w:rsidRDefault="00426264" w:rsidP="000939CB">
      <w:pPr>
        <w:pStyle w:val="bt"/>
      </w:pPr>
      <w:r w:rsidRPr="009437B4">
        <w:t>While it is important to acknowledge these and other aspects of the response, it is beyond the scope of the regional growth plans to deal with the majority of the commitments and they will need to be addressed through other suitable government initiatives. The response did include a commitment to incorporate existing extractive industry interest areas into regional growth plans. The plan recognises these areas accordingly.</w:t>
      </w:r>
    </w:p>
    <w:p w:rsidR="00426264" w:rsidRDefault="00BD549B" w:rsidP="000939CB">
      <w:pPr>
        <w:pStyle w:val="bt"/>
      </w:pPr>
      <w:r w:rsidRPr="009437B4">
        <w:t>Current minerals and extractive industry activities, along with the extractive industry interest areas and other potential resources that occur with</w:t>
      </w:r>
      <w:r w:rsidR="00F471F4">
        <w:t>in</w:t>
      </w:r>
      <w:r w:rsidRPr="009437B4">
        <w:t xml:space="preserve"> the region are shown in</w:t>
      </w:r>
      <w:r w:rsidRPr="00BD549B">
        <w:rPr>
          <w:color w:val="0000FF"/>
        </w:rPr>
        <w:t xml:space="preserve"> </w:t>
      </w:r>
      <w:r w:rsidR="009F388E">
        <w:rPr>
          <w:color w:val="0000FF"/>
        </w:rPr>
        <w:fldChar w:fldCharType="begin"/>
      </w:r>
      <w:r w:rsidR="000939CB">
        <w:rPr>
          <w:color w:val="0000FF"/>
        </w:rPr>
        <w:instrText xml:space="preserve"> REF _Ref365367479 \h </w:instrText>
      </w:r>
      <w:r w:rsidR="009F388E">
        <w:rPr>
          <w:color w:val="0000FF"/>
        </w:rPr>
      </w:r>
      <w:r w:rsidR="009F388E">
        <w:rPr>
          <w:color w:val="0000FF"/>
        </w:rPr>
        <w:fldChar w:fldCharType="separate"/>
      </w:r>
      <w:r w:rsidR="00907B42">
        <w:t xml:space="preserve">Figure </w:t>
      </w:r>
      <w:r w:rsidR="00907B42">
        <w:rPr>
          <w:noProof/>
        </w:rPr>
        <w:t>23</w:t>
      </w:r>
      <w:r w:rsidR="009F388E">
        <w:rPr>
          <w:color w:val="0000FF"/>
        </w:rPr>
        <w:fldChar w:fldCharType="end"/>
      </w:r>
      <w:r w:rsidRPr="000939CB">
        <w:t>.</w:t>
      </w:r>
    </w:p>
    <w:p w:rsidR="008F1881" w:rsidRPr="005B01F7" w:rsidRDefault="009F09AE" w:rsidP="005B01F7">
      <w:pPr>
        <w:pStyle w:val="Heading3"/>
      </w:pPr>
      <w:r w:rsidRPr="005B01F7">
        <w:t xml:space="preserve">Land </w:t>
      </w:r>
      <w:r w:rsidR="00661931" w:rsidRPr="005B01F7">
        <w:t>use planning response</w:t>
      </w:r>
    </w:p>
    <w:p w:rsidR="008F1881" w:rsidRPr="008F1881" w:rsidRDefault="00661DFE" w:rsidP="008F522C">
      <w:pPr>
        <w:pStyle w:val="bt"/>
      </w:pPr>
      <w:r w:rsidRPr="008F1881">
        <w:t xml:space="preserve">The </w:t>
      </w:r>
      <w:r w:rsidR="00F37D25">
        <w:t>plan</w:t>
      </w:r>
      <w:r w:rsidRPr="008F1881">
        <w:t xml:space="preserve"> identifies strategically important </w:t>
      </w:r>
      <w:r w:rsidR="00B055FA" w:rsidRPr="008F1881">
        <w:t xml:space="preserve">agricultural </w:t>
      </w:r>
      <w:r w:rsidR="00F81AA1" w:rsidRPr="008F1881">
        <w:t>assets</w:t>
      </w:r>
      <w:r w:rsidR="00B055FA" w:rsidRPr="008F1881">
        <w:t xml:space="preserve"> that should be protected from non-agricultural uses including urban encroachment.</w:t>
      </w:r>
      <w:r w:rsidRPr="008F1881">
        <w:t xml:space="preserve"> </w:t>
      </w:r>
      <w:r w:rsidR="000B6410">
        <w:t>It</w:t>
      </w:r>
      <w:r w:rsidR="00614778" w:rsidRPr="008F1881">
        <w:t xml:space="preserve"> also recognises the need for </w:t>
      </w:r>
      <w:r w:rsidR="00B055FA" w:rsidRPr="008F1881">
        <w:t xml:space="preserve">land use planning to </w:t>
      </w:r>
      <w:r w:rsidR="00A07354">
        <w:t xml:space="preserve">provide </w:t>
      </w:r>
      <w:r w:rsidR="00B055FA" w:rsidRPr="008F1881">
        <w:t xml:space="preserve">the flexibility to </w:t>
      </w:r>
      <w:r w:rsidR="00614778" w:rsidRPr="008F1881">
        <w:t>support investment in agriculture</w:t>
      </w:r>
      <w:r w:rsidR="00A07354">
        <w:t xml:space="preserve">, </w:t>
      </w:r>
      <w:r w:rsidR="00614778" w:rsidRPr="008F1881">
        <w:t>revitalise this important sector of the economy</w:t>
      </w:r>
      <w:r w:rsidR="00A07354">
        <w:t>,</w:t>
      </w:r>
      <w:r w:rsidR="00614778" w:rsidRPr="008F1881">
        <w:t xml:space="preserve"> and enable </w:t>
      </w:r>
      <w:r w:rsidR="00B055FA" w:rsidRPr="008F1881">
        <w:t>diversification of agricultural related industries.</w:t>
      </w:r>
      <w:r w:rsidR="00687605" w:rsidRPr="008F1881">
        <w:t xml:space="preserve"> </w:t>
      </w:r>
      <w:r w:rsidR="00614778" w:rsidRPr="008F1881">
        <w:t xml:space="preserve">The </w:t>
      </w:r>
      <w:r w:rsidR="00F37D25">
        <w:t>plan</w:t>
      </w:r>
      <w:r w:rsidR="00614778" w:rsidRPr="008F1881">
        <w:t xml:space="preserve"> identifies where </w:t>
      </w:r>
      <w:r w:rsidR="00B055FA" w:rsidRPr="008F1881">
        <w:t xml:space="preserve">intensive animal or agricultural production </w:t>
      </w:r>
      <w:r w:rsidR="00614778" w:rsidRPr="008F1881">
        <w:t>is to be supported and protected from incompatible land uses.</w:t>
      </w:r>
      <w:r w:rsidR="001E1425">
        <w:t xml:space="preserve"> The plan encourages further investigations into the region’s strategic agricultural land assets and recognises that rural areas make an important contribution to the landscape values of the region.</w:t>
      </w:r>
    </w:p>
    <w:p w:rsidR="008F1881" w:rsidRDefault="00443D65" w:rsidP="008F522C">
      <w:pPr>
        <w:pStyle w:val="bt"/>
      </w:pPr>
      <w:r w:rsidRPr="008F1881">
        <w:t>Th</w:t>
      </w:r>
      <w:r>
        <w:t>e</w:t>
      </w:r>
      <w:r w:rsidRPr="008F1881">
        <w:t xml:space="preserve"> </w:t>
      </w:r>
      <w:r w:rsidR="00F37D25">
        <w:t>plan</w:t>
      </w:r>
      <w:r w:rsidR="008169D7" w:rsidRPr="008F1881">
        <w:t xml:space="preserve"> also provides for improved resilience under changing climate conditions. Measures the </w:t>
      </w:r>
      <w:r w:rsidR="00F37D25">
        <w:t>plan</w:t>
      </w:r>
      <w:r w:rsidR="008169D7" w:rsidRPr="008F1881">
        <w:t xml:space="preserve"> considers include assisting in diversifying agricultural practices, allowing for technological change and changing management practices. </w:t>
      </w:r>
    </w:p>
    <w:p w:rsidR="00E24BB7" w:rsidRDefault="001E1425" w:rsidP="008F522C">
      <w:pPr>
        <w:pStyle w:val="bt"/>
        <w:sectPr w:rsidR="00E24BB7" w:rsidSect="00C03B2E">
          <w:pgSz w:w="11906" w:h="16838"/>
          <w:pgMar w:top="1440" w:right="1440" w:bottom="851" w:left="1440" w:header="708" w:footer="709" w:gutter="0"/>
          <w:cols w:space="708"/>
          <w:docGrid w:linePitch="360"/>
        </w:sectPr>
      </w:pPr>
      <w:r>
        <w:lastRenderedPageBreak/>
        <w:t xml:space="preserve">The plan </w:t>
      </w:r>
      <w:r w:rsidR="004F36C7">
        <w:t xml:space="preserve">recognises the importance of earth resources for the region’s growth, infrastructure provision and economic diversity. It </w:t>
      </w:r>
      <w:r>
        <w:t>aim</w:t>
      </w:r>
      <w:r w:rsidR="008A42A9">
        <w:t>s</w:t>
      </w:r>
      <w:r>
        <w:t xml:space="preserve"> to </w:t>
      </w:r>
      <w:r w:rsidR="000939CB">
        <w:t>maintain access to these</w:t>
      </w:r>
      <w:r>
        <w:t xml:space="preserve"> resources and encourages growth to </w:t>
      </w:r>
      <w:r w:rsidR="008A42A9">
        <w:t xml:space="preserve">be </w:t>
      </w:r>
      <w:r>
        <w:t xml:space="preserve">steered away from areas that would reduce </w:t>
      </w:r>
      <w:r w:rsidR="008A42A9">
        <w:t xml:space="preserve">the capacity for valued earth resources to be capitalised on. </w:t>
      </w:r>
      <w:r>
        <w:t xml:space="preserve"> </w:t>
      </w:r>
    </w:p>
    <w:p w:rsidR="000939CB" w:rsidRDefault="00E24BB7" w:rsidP="00976598">
      <w:pPr>
        <w:pStyle w:val="Caption"/>
      </w:pPr>
      <w:bookmarkStart w:id="163" w:name="_Ref365367479"/>
      <w:r>
        <w:rPr>
          <w:noProof/>
        </w:rPr>
        <w:lastRenderedPageBreak/>
        <w:drawing>
          <wp:anchor distT="0" distB="0" distL="114300" distR="114300" simplePos="0" relativeHeight="251715584" behindDoc="0" locked="0" layoutInCell="1" allowOverlap="1">
            <wp:simplePos x="0" y="0"/>
            <wp:positionH relativeFrom="column">
              <wp:posOffset>10795</wp:posOffset>
            </wp:positionH>
            <wp:positionV relativeFrom="paragraph">
              <wp:posOffset>189865</wp:posOffset>
            </wp:positionV>
            <wp:extent cx="7259320" cy="5499100"/>
            <wp:effectExtent l="19050" t="0" r="0" b="0"/>
            <wp:wrapTopAndBottom/>
            <wp:docPr id="10" name="Picture 1" descr="Map showing mining and extractive industries, tenements and lic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DPCD Permanent All Staff\_Project Support Transfer\RGP Extractive Industry Maps\CH Extractive Industry  Licences and tenements 3Sep2013.jpg"/>
                    <pic:cNvPicPr>
                      <a:picLocks noChangeAspect="1" noChangeArrowheads="1"/>
                    </pic:cNvPicPr>
                  </pic:nvPicPr>
                  <pic:blipFill>
                    <a:blip r:embed="rId44" cstate="email"/>
                    <a:srcRect/>
                    <a:stretch>
                      <a:fillRect/>
                    </a:stretch>
                  </pic:blipFill>
                  <pic:spPr bwMode="auto">
                    <a:xfrm>
                      <a:off x="0" y="0"/>
                      <a:ext cx="7259320" cy="5499100"/>
                    </a:xfrm>
                    <a:prstGeom prst="rect">
                      <a:avLst/>
                    </a:prstGeom>
                    <a:noFill/>
                    <a:ln w="9525">
                      <a:noFill/>
                      <a:miter lim="800000"/>
                      <a:headEnd/>
                      <a:tailEnd/>
                    </a:ln>
                  </pic:spPr>
                </pic:pic>
              </a:graphicData>
            </a:graphic>
          </wp:anchor>
        </w:drawing>
      </w:r>
      <w:bookmarkStart w:id="164" w:name="_Toc381698023"/>
      <w:r w:rsidR="000939CB">
        <w:t xml:space="preserve">Figure </w:t>
      </w:r>
      <w:r w:rsidR="009F388E">
        <w:fldChar w:fldCharType="begin"/>
      </w:r>
      <w:r w:rsidR="00821C7F">
        <w:instrText xml:space="preserve"> SEQ Figure \* ARABIC </w:instrText>
      </w:r>
      <w:r w:rsidR="009F388E">
        <w:fldChar w:fldCharType="separate"/>
      </w:r>
      <w:r w:rsidR="00907B42">
        <w:rPr>
          <w:noProof/>
        </w:rPr>
        <w:t>23</w:t>
      </w:r>
      <w:r w:rsidR="009F388E">
        <w:fldChar w:fldCharType="end"/>
      </w:r>
      <w:bookmarkEnd w:id="163"/>
      <w:r w:rsidR="000939CB">
        <w:t>: Min</w:t>
      </w:r>
      <w:r w:rsidR="00976598">
        <w:t>ing</w:t>
      </w:r>
      <w:r w:rsidR="000939CB">
        <w:t xml:space="preserve"> and extractive industr</w:t>
      </w:r>
      <w:r w:rsidR="00976598">
        <w:t>ies, tenements and licences</w:t>
      </w:r>
      <w:bookmarkEnd w:id="164"/>
    </w:p>
    <w:p w:rsidR="00E24BB7" w:rsidRDefault="000939CB" w:rsidP="00CB41DC">
      <w:pPr>
        <w:pStyle w:val="Source0"/>
        <w:sectPr w:rsidR="00E24BB7" w:rsidSect="00C03B2E">
          <w:pgSz w:w="16838" w:h="11906" w:orient="landscape"/>
          <w:pgMar w:top="1440" w:right="1440" w:bottom="851" w:left="993" w:header="708" w:footer="709" w:gutter="0"/>
          <w:cols w:space="708"/>
          <w:docGrid w:linePitch="360"/>
        </w:sectPr>
      </w:pPr>
      <w:r>
        <w:t xml:space="preserve">Source: Department of </w:t>
      </w:r>
      <w:r w:rsidR="00976598">
        <w:t>Environment and Primary Industries</w:t>
      </w:r>
    </w:p>
    <w:p w:rsidR="008F1881" w:rsidRPr="005B01F7" w:rsidRDefault="00B055FA" w:rsidP="00537648">
      <w:pPr>
        <w:pStyle w:val="Heading2"/>
        <w:spacing w:after="120"/>
      </w:pPr>
      <w:bookmarkStart w:id="165" w:name="_Toc300560904"/>
      <w:bookmarkStart w:id="166" w:name="_Toc349557711"/>
      <w:bookmarkStart w:id="167" w:name="_Toc374527609"/>
      <w:r w:rsidRPr="005B01F7">
        <w:lastRenderedPageBreak/>
        <w:t xml:space="preserve">Commercial </w:t>
      </w:r>
      <w:r w:rsidR="00661931" w:rsidRPr="005B01F7">
        <w:t xml:space="preserve">development </w:t>
      </w:r>
      <w:r w:rsidRPr="005B01F7">
        <w:t xml:space="preserve">and </w:t>
      </w:r>
      <w:bookmarkEnd w:id="165"/>
      <w:bookmarkEnd w:id="166"/>
      <w:r w:rsidR="00661931" w:rsidRPr="005B01F7">
        <w:t>tourism</w:t>
      </w:r>
      <w:bookmarkEnd w:id="167"/>
    </w:p>
    <w:p w:rsidR="008F1881" w:rsidRPr="005B01F7" w:rsidRDefault="009F09AE" w:rsidP="00537648">
      <w:pPr>
        <w:pStyle w:val="Heading3"/>
        <w:spacing w:before="120"/>
      </w:pPr>
      <w:r w:rsidRPr="005B01F7">
        <w:t xml:space="preserve">Description and </w:t>
      </w:r>
      <w:r w:rsidR="00661931" w:rsidRPr="005B01F7">
        <w:t>analysis</w:t>
      </w:r>
    </w:p>
    <w:p w:rsidR="008F1881" w:rsidRPr="000A2E0D" w:rsidRDefault="009F09AE" w:rsidP="000A2E0D">
      <w:pPr>
        <w:pStyle w:val="Heading40"/>
      </w:pPr>
      <w:bookmarkStart w:id="168" w:name="_Toc302132874"/>
      <w:bookmarkStart w:id="169" w:name="_Toc303236810"/>
      <w:bookmarkStart w:id="170" w:name="_Toc304894702"/>
      <w:r w:rsidRPr="000A2E0D">
        <w:t>Commercial development</w:t>
      </w:r>
      <w:bookmarkEnd w:id="168"/>
      <w:bookmarkEnd w:id="169"/>
      <w:bookmarkEnd w:id="170"/>
      <w:r w:rsidR="00467D1C" w:rsidRPr="000A2E0D">
        <w:t xml:space="preserve"> and activity centres</w:t>
      </w:r>
    </w:p>
    <w:p w:rsidR="00B055FA" w:rsidRPr="008F1881" w:rsidRDefault="00B055FA" w:rsidP="008F522C">
      <w:pPr>
        <w:pStyle w:val="bt"/>
      </w:pPr>
      <w:r w:rsidRPr="008F1881">
        <w:t>The largest commercial centre within the Central Highlands</w:t>
      </w:r>
      <w:r w:rsidR="004F2AC7">
        <w:t xml:space="preserve"> region</w:t>
      </w:r>
      <w:r w:rsidRPr="008F1881">
        <w:t xml:space="preserve"> is Ballarat</w:t>
      </w:r>
      <w:r w:rsidR="00A07354">
        <w:t xml:space="preserve">’s </w:t>
      </w:r>
      <w:r w:rsidR="008832CA">
        <w:t>central business district</w:t>
      </w:r>
      <w:r w:rsidRPr="008F1881">
        <w:t xml:space="preserve">. Most local planning schemes within the Central Highlands  provide limited direction about commercial development, beyond stating </w:t>
      </w:r>
      <w:r w:rsidR="004F2AC7">
        <w:t xml:space="preserve">that </w:t>
      </w:r>
      <w:r w:rsidRPr="008F1881">
        <w:t>the provision of services and business is encouraged. The City of Ballarat has adopted an activities centre strategy (Hill PDA and Hansen, 2011) that establish</w:t>
      </w:r>
      <w:r w:rsidR="007A07B3" w:rsidRPr="008F1881">
        <w:t>es</w:t>
      </w:r>
      <w:r w:rsidRPr="008F1881">
        <w:t xml:space="preserve"> a hierarchy for activity centres within the municipality. </w:t>
      </w:r>
      <w:r w:rsidR="00A07354">
        <w:t xml:space="preserve">The </w:t>
      </w:r>
      <w:r w:rsidRPr="008F1881">
        <w:t xml:space="preserve">strategy identifies </w:t>
      </w:r>
      <w:r w:rsidR="00A07354">
        <w:t xml:space="preserve">that </w:t>
      </w:r>
      <w:r w:rsidRPr="008F1881">
        <w:t xml:space="preserve">the catchment </w:t>
      </w:r>
      <w:r w:rsidR="00A07354">
        <w:t xml:space="preserve">for </w:t>
      </w:r>
      <w:r w:rsidRPr="008F1881">
        <w:t>the municipality’s largest activity centre</w:t>
      </w:r>
      <w:r w:rsidR="00506B88">
        <w:t>s</w:t>
      </w:r>
      <w:r w:rsidRPr="008F1881">
        <w:t xml:space="preserve"> extends well into surrounding municipalities, particularly to the west.</w:t>
      </w:r>
    </w:p>
    <w:p w:rsidR="00B055FA" w:rsidRPr="008F1881" w:rsidRDefault="00B055FA" w:rsidP="008F522C">
      <w:pPr>
        <w:pStyle w:val="bt"/>
      </w:pPr>
      <w:r w:rsidRPr="008F1881">
        <w:t xml:space="preserve">Smaller towns within the Central Highlands perform a local role </w:t>
      </w:r>
      <w:r w:rsidR="00A07354">
        <w:t xml:space="preserve">by </w:t>
      </w:r>
      <w:r w:rsidRPr="008F1881">
        <w:t>providing retail, office and commercial services to their local catchments. The western half of the region functions quite differently to the eastern half which falls within Melbourne’s peri-urban region. The Municipal Strategic Statement of the Moorabool Planning Scheme identifies that towns in the eastern half of the region, such as Bacchus Marsh, while providing retail and commercial services to local residents</w:t>
      </w:r>
      <w:r w:rsidR="00A1400F" w:rsidRPr="008F1881">
        <w:t>,</w:t>
      </w:r>
      <w:r w:rsidRPr="008F1881">
        <w:t xml:space="preserve"> are subject to significant trade leakage to Melbourne, with many residents commuting to </w:t>
      </w:r>
      <w:r w:rsidR="00A07354">
        <w:t xml:space="preserve">metropolitan </w:t>
      </w:r>
      <w:r w:rsidRPr="008F1881">
        <w:t>Melbourne for employment.</w:t>
      </w:r>
    </w:p>
    <w:p w:rsidR="00B055FA" w:rsidRPr="008F1881" w:rsidRDefault="00B055FA" w:rsidP="008F522C">
      <w:pPr>
        <w:pStyle w:val="bt"/>
      </w:pPr>
      <w:r w:rsidRPr="008F1881">
        <w:t>In the western half of the region</w:t>
      </w:r>
      <w:r w:rsidR="00A07354">
        <w:t>,</w:t>
      </w:r>
      <w:r w:rsidRPr="008F1881">
        <w:t xml:space="preserve"> Ballarat provides higher order commercial services for the range of smaller towns in its surrounds. </w:t>
      </w:r>
      <w:r w:rsidR="00A07354">
        <w:t>E</w:t>
      </w:r>
      <w:r w:rsidRPr="008F1881">
        <w:t xml:space="preserve">conomic strategies such as the </w:t>
      </w:r>
      <w:r w:rsidRPr="00227110">
        <w:t xml:space="preserve">Growing Moorabool Economic Development Strategy </w:t>
      </w:r>
      <w:r w:rsidRPr="008F1881">
        <w:t>(SGS, 2006) recognis</w:t>
      </w:r>
      <w:r w:rsidR="00A07354">
        <w:t>e</w:t>
      </w:r>
      <w:r w:rsidRPr="008F1881">
        <w:t xml:space="preserve"> that Ballarat is the preferred location for Moorabool</w:t>
      </w:r>
      <w:r w:rsidR="00313C08">
        <w:t xml:space="preserve"> Shire</w:t>
      </w:r>
      <w:r w:rsidRPr="008F1881">
        <w:t xml:space="preserve"> residents for comparative shopping and for entertainment, recreation and leisure</w:t>
      </w:r>
      <w:r w:rsidR="00A07354">
        <w:t>,</w:t>
      </w:r>
      <w:r w:rsidRPr="008F1881">
        <w:t xml:space="preserve"> despite Moorabool</w:t>
      </w:r>
      <w:r w:rsidR="00313C08">
        <w:t xml:space="preserve"> Shire’</w:t>
      </w:r>
      <w:r w:rsidRPr="008F1881">
        <w:t xml:space="preserve">s proximity to activity centres within metropolitan Melbourne. This is likely to be reflected in other </w:t>
      </w:r>
      <w:r w:rsidR="00A07354">
        <w:t xml:space="preserve">local government areas </w:t>
      </w:r>
      <w:r w:rsidRPr="008F1881">
        <w:t xml:space="preserve">within the Central Highlands. The regional </w:t>
      </w:r>
      <w:r w:rsidR="00F625D2">
        <w:t>cities</w:t>
      </w:r>
      <w:r w:rsidR="00F625D2" w:rsidRPr="008F1881">
        <w:t xml:space="preserve"> </w:t>
      </w:r>
      <w:r w:rsidRPr="008F1881">
        <w:t>of Geelong and Bendigo are also likely to draw some expenditure from the southern and north</w:t>
      </w:r>
      <w:r w:rsidR="00A07354">
        <w:t>-</w:t>
      </w:r>
      <w:r w:rsidRPr="008F1881">
        <w:t xml:space="preserve">eastern peripheries of the region respectively. </w:t>
      </w:r>
    </w:p>
    <w:p w:rsidR="00B055FA" w:rsidRPr="008F1881" w:rsidRDefault="00B055FA" w:rsidP="008F522C">
      <w:pPr>
        <w:pStyle w:val="bt"/>
      </w:pPr>
      <w:r w:rsidRPr="008F1881">
        <w:t>Department stores are located in Ballarat while medium</w:t>
      </w:r>
      <w:r w:rsidR="00A07354">
        <w:t>-</w:t>
      </w:r>
      <w:r w:rsidRPr="008F1881">
        <w:t xml:space="preserve">sized rural towns such as Maryborough, Ararat and Bacchus Marsh have discount department stores. Towns in the region have generally </w:t>
      </w:r>
      <w:r w:rsidR="00A07354">
        <w:t xml:space="preserve">been </w:t>
      </w:r>
      <w:r w:rsidRPr="008F1881">
        <w:t xml:space="preserve">successful in containing prime retailing to their central cores, with the </w:t>
      </w:r>
      <w:r w:rsidR="004C014C">
        <w:t>Commercial</w:t>
      </w:r>
      <w:r w:rsidRPr="008F1881">
        <w:t xml:space="preserve"> 1 Zone applied to designated retail centres.</w:t>
      </w:r>
    </w:p>
    <w:p w:rsidR="00B055FA" w:rsidRPr="008F1881" w:rsidRDefault="00B055FA" w:rsidP="008F522C">
      <w:pPr>
        <w:pStyle w:val="bt"/>
      </w:pPr>
      <w:r w:rsidRPr="008F1881">
        <w:t>Activity centre planning to date has been undertaken at a municipal level, with no coordinated regional approach to the demand and supply of business zoned land and the relationship between different commercial centres. However</w:t>
      </w:r>
      <w:r w:rsidR="00555753">
        <w:t>,</w:t>
      </w:r>
      <w:r w:rsidRPr="008F1881">
        <w:t xml:space="preserve"> studies have been </w:t>
      </w:r>
      <w:r w:rsidR="00555753">
        <w:t xml:space="preserve">developed </w:t>
      </w:r>
      <w:r w:rsidRPr="008F1881">
        <w:t>or are in the process of being undertaken in the areas of highest population growth including Ballarat and Bacchus Marsh.</w:t>
      </w:r>
    </w:p>
    <w:p w:rsidR="00B055FA" w:rsidRPr="008F1881" w:rsidRDefault="00B055FA" w:rsidP="008F522C">
      <w:pPr>
        <w:pStyle w:val="bt"/>
      </w:pPr>
      <w:r w:rsidRPr="008F1881">
        <w:t>Given the low rate of growth or decline of smaller towns in the western half of the region the lack of commercial land supply and demand information is unlikely to be a significant issue. However</w:t>
      </w:r>
      <w:r w:rsidR="00D55617">
        <w:t>,</w:t>
      </w:r>
      <w:r w:rsidRPr="008F1881">
        <w:t xml:space="preserve"> it is essential to have a strong evidence base for the eastern half of the region for growing centres such as Ballarat and Bacchus Marsh to ensure </w:t>
      </w:r>
      <w:r w:rsidR="00467D1C">
        <w:t>these settlements</w:t>
      </w:r>
      <w:r w:rsidRPr="008F1881">
        <w:t xml:space="preserve"> are able to provide for office and retail investment as required. Meeting retail needs is an important factor in maintaining the liveability of the region, providing for economic self-sufficiency and providing a basis to attract in-migration.</w:t>
      </w:r>
    </w:p>
    <w:p w:rsidR="008F1881" w:rsidRPr="000A2E0D" w:rsidRDefault="009F09AE" w:rsidP="000A2E0D">
      <w:pPr>
        <w:pStyle w:val="Heading40"/>
      </w:pPr>
      <w:r w:rsidRPr="000A2E0D">
        <w:t>Tourism</w:t>
      </w:r>
    </w:p>
    <w:p w:rsidR="00B055FA" w:rsidRPr="008F1881" w:rsidRDefault="00B055FA" w:rsidP="008F522C">
      <w:pPr>
        <w:pStyle w:val="bt"/>
      </w:pPr>
      <w:r w:rsidRPr="008F1881">
        <w:t>Tourism forms an important part of the economy of the Central Highlands. International tourism currently reflects less than three per</w:t>
      </w:r>
      <w:r w:rsidR="005E7368">
        <w:t xml:space="preserve"> </w:t>
      </w:r>
      <w:r w:rsidRPr="008F1881">
        <w:t xml:space="preserve">cent of visits to Victoria but represents a longer-term opportunity, along with local tourism, for the Central Highlands </w:t>
      </w:r>
      <w:r w:rsidR="00467D1C">
        <w:t>r</w:t>
      </w:r>
      <w:r w:rsidRPr="008F1881">
        <w:t>egion. Capturing a greater share of international tourism presents a significant opportunity given that the average number of nights stay and average spend</w:t>
      </w:r>
      <w:r w:rsidR="00871A24">
        <w:t>ing</w:t>
      </w:r>
      <w:r w:rsidRPr="008F1881">
        <w:t xml:space="preserve"> is greater for international visitors than domestic travellers.</w:t>
      </w:r>
    </w:p>
    <w:p w:rsidR="00B055FA" w:rsidRPr="008F1881" w:rsidRDefault="00B055FA" w:rsidP="008F522C">
      <w:pPr>
        <w:pStyle w:val="bt"/>
      </w:pPr>
      <w:r w:rsidRPr="008F1881">
        <w:lastRenderedPageBreak/>
        <w:t xml:space="preserve">The economic importance of tourism to </w:t>
      </w:r>
      <w:r w:rsidR="005E7368">
        <w:t>the s</w:t>
      </w:r>
      <w:r w:rsidRPr="008F1881">
        <w:t xml:space="preserve">pa </w:t>
      </w:r>
      <w:r w:rsidR="005E7368">
        <w:t>c</w:t>
      </w:r>
      <w:r w:rsidRPr="008F1881">
        <w:t xml:space="preserve">ountry, in the Hepburn </w:t>
      </w:r>
      <w:r w:rsidR="005E7368">
        <w:t xml:space="preserve">local government area, </w:t>
      </w:r>
      <w:r w:rsidRPr="008F1881">
        <w:t>was 14.3</w:t>
      </w:r>
      <w:r w:rsidR="005E7368">
        <w:t xml:space="preserve"> </w:t>
      </w:r>
      <w:r w:rsidR="001F619E" w:rsidRPr="001F619E">
        <w:t>per cent</w:t>
      </w:r>
      <w:r w:rsidRPr="008F1881">
        <w:t xml:space="preserve"> of total regional output</w:t>
      </w:r>
      <w:r w:rsidRPr="008F1881">
        <w:rPr>
          <w:rStyle w:val="FootnoteReference"/>
          <w:rFonts w:cs="Tahoma"/>
          <w:color w:val="000000"/>
          <w:szCs w:val="20"/>
        </w:rPr>
        <w:footnoteReference w:id="7"/>
      </w:r>
      <w:r w:rsidRPr="008F1881">
        <w:t xml:space="preserve">, which placed this region in the top 20 tourism regions by economic importance of tourism </w:t>
      </w:r>
      <w:r w:rsidR="005E7368">
        <w:t xml:space="preserve">in Australia </w:t>
      </w:r>
      <w:r w:rsidRPr="008F1881">
        <w:t>(Australian Government Department of Resources, Energy and Tourism, 2011).</w:t>
      </w:r>
    </w:p>
    <w:p w:rsidR="00B055FA" w:rsidRPr="008F1881" w:rsidRDefault="00B055FA" w:rsidP="008F522C">
      <w:pPr>
        <w:pStyle w:val="bt"/>
      </w:pPr>
      <w:r w:rsidRPr="008F1881">
        <w:t xml:space="preserve">The Central Highlands region supports almost 3500 tourism businesses, of which just over half are classified as non-employing businesses </w:t>
      </w:r>
      <w:r w:rsidR="005E7368">
        <w:t xml:space="preserve">or </w:t>
      </w:r>
      <w:r w:rsidRPr="008F1881">
        <w:t>owner-operated. Micro businesses (1-4 employees) account for around 900 and small businesses (5-19 employees) another 525. Only 222 businesses employ 20 or more employees. The bulk of these (165) are in the City of Ballarat (Australian Government Department of Resources, Energy and Tourism, 2008).</w:t>
      </w:r>
    </w:p>
    <w:p w:rsidR="00B055FA" w:rsidRPr="008F1881" w:rsidRDefault="00B055FA" w:rsidP="00537648">
      <w:pPr>
        <w:pStyle w:val="bt"/>
        <w:spacing w:after="120"/>
      </w:pPr>
      <w:r w:rsidRPr="008F1881">
        <w:t>There are a number of key tourism assets and opportunities within the region:</w:t>
      </w:r>
    </w:p>
    <w:p w:rsidR="00B055FA" w:rsidRPr="008F1881" w:rsidRDefault="00B055FA" w:rsidP="008F522C">
      <w:pPr>
        <w:pStyle w:val="ListBullet"/>
      </w:pPr>
      <w:r w:rsidRPr="008F1881">
        <w:t>Natural assets such as the Grampians National Park, Brisbane Ranges Enfield State Park and Lerderderg State Park. Opportunities to expand eco-tourism ventures within the Central Highlands should be explored given the natural assets of the region, including forests and mountains and the high level of accessibility to Melbourne.</w:t>
      </w:r>
    </w:p>
    <w:p w:rsidR="00B055FA" w:rsidRPr="008F1881" w:rsidRDefault="00B055FA" w:rsidP="008F522C">
      <w:pPr>
        <w:pStyle w:val="ListBullet"/>
      </w:pPr>
      <w:r w:rsidRPr="008F1881">
        <w:t xml:space="preserve">The </w:t>
      </w:r>
      <w:r w:rsidR="00CB224C">
        <w:t xml:space="preserve">cultural </w:t>
      </w:r>
      <w:r w:rsidRPr="008F1881">
        <w:t>heritage values of the Central Highlands are a key attraction for visitors to the region</w:t>
      </w:r>
      <w:r w:rsidR="005E7368">
        <w:t xml:space="preserve">, such as the </w:t>
      </w:r>
      <w:r w:rsidR="001A5CFD">
        <w:t xml:space="preserve">icons </w:t>
      </w:r>
      <w:r w:rsidR="005E7368">
        <w:t xml:space="preserve">of </w:t>
      </w:r>
      <w:r w:rsidR="001A5CFD">
        <w:t xml:space="preserve">Sovereign Hill and the </w:t>
      </w:r>
      <w:r w:rsidR="00F9641F" w:rsidRPr="00F9641F">
        <w:rPr>
          <w:rFonts w:cstheme="minorHAnsi"/>
        </w:rPr>
        <w:t>Museum of Australian Democracy at Eureka</w:t>
      </w:r>
      <w:r w:rsidRPr="008F1881">
        <w:t xml:space="preserve">. To reinforce this opportunity, the </w:t>
      </w:r>
      <w:r w:rsidR="0069443A" w:rsidRPr="00227110">
        <w:t>Central Highlands Regional Strategic Plan</w:t>
      </w:r>
      <w:r w:rsidRPr="008F1881">
        <w:t xml:space="preserve"> seeks to develop a coordinated approach to identify this as </w:t>
      </w:r>
      <w:r w:rsidR="005E7368">
        <w:t>‘</w:t>
      </w:r>
      <w:r w:rsidR="00467D1C">
        <w:t xml:space="preserve">Goldfields </w:t>
      </w:r>
      <w:r w:rsidR="005E7368">
        <w:t>–</w:t>
      </w:r>
      <w:r w:rsidR="00467D1C">
        <w:t xml:space="preserve"> </w:t>
      </w:r>
      <w:r w:rsidRPr="008F1881">
        <w:t xml:space="preserve">Australia’s </w:t>
      </w:r>
      <w:r w:rsidR="00467D1C">
        <w:t>Premier</w:t>
      </w:r>
      <w:r w:rsidRPr="008F1881">
        <w:t xml:space="preserve"> Heritage Region</w:t>
      </w:r>
      <w:r w:rsidR="005E7368">
        <w:t>’.</w:t>
      </w:r>
      <w:r w:rsidRPr="008F1881">
        <w:t xml:space="preserve"> Land use planning plays a key role in ensuring </w:t>
      </w:r>
      <w:r w:rsidR="00CB224C">
        <w:t xml:space="preserve">cultural </w:t>
      </w:r>
      <w:r w:rsidRPr="008F1881">
        <w:t xml:space="preserve">heritage </w:t>
      </w:r>
      <w:r w:rsidR="00467D1C">
        <w:t>assets</w:t>
      </w:r>
      <w:r w:rsidRPr="008F1881">
        <w:t xml:space="preserve"> are protected from threats such as inappropriate development</w:t>
      </w:r>
      <w:r w:rsidR="00467D1C">
        <w:t xml:space="preserve"> and </w:t>
      </w:r>
      <w:r w:rsidR="005E7368">
        <w:t xml:space="preserve">that </w:t>
      </w:r>
      <w:r w:rsidR="00467D1C">
        <w:t>other tourism opportunities can develop to take advantage of the heritage offer</w:t>
      </w:r>
      <w:r w:rsidRPr="008F1881">
        <w:t>.</w:t>
      </w:r>
    </w:p>
    <w:p w:rsidR="008F1881" w:rsidRPr="003F038B" w:rsidRDefault="00B055FA" w:rsidP="008F522C">
      <w:pPr>
        <w:pStyle w:val="ListBullet"/>
      </w:pPr>
      <w:r w:rsidRPr="008F1881">
        <w:t>The Pyrenees and other wine</w:t>
      </w:r>
      <w:r w:rsidR="005E7368">
        <w:t>-</w:t>
      </w:r>
      <w:r w:rsidRPr="008F1881">
        <w:t xml:space="preserve">producing regions are significant tourism attractors for the northern and western parts of the region and </w:t>
      </w:r>
      <w:r w:rsidR="006A7A6D" w:rsidRPr="008F1881">
        <w:t xml:space="preserve">are </w:t>
      </w:r>
      <w:r w:rsidRPr="008F1881">
        <w:t xml:space="preserve">recognised in the </w:t>
      </w:r>
      <w:r w:rsidR="00F37D25">
        <w:t>plan</w:t>
      </w:r>
      <w:r w:rsidRPr="008F1881">
        <w:t>. Opportunities for these wine</w:t>
      </w:r>
      <w:r w:rsidR="005E7368">
        <w:t>-</w:t>
      </w:r>
      <w:r w:rsidRPr="008F1881">
        <w:t xml:space="preserve">producing regions to further develop their tourism offering should be considered, including within serviced towns such as Avoca. The </w:t>
      </w:r>
      <w:r w:rsidR="006A7A6D" w:rsidRPr="008F1881">
        <w:t xml:space="preserve">2012 </w:t>
      </w:r>
      <w:r w:rsidRPr="008F1881">
        <w:t>rezoning of land in Moonambel to Rural Activity Zone will enable the establishment of tourism</w:t>
      </w:r>
      <w:r w:rsidR="005E7368">
        <w:t>-</w:t>
      </w:r>
      <w:r w:rsidRPr="008F1881">
        <w:t>related uses in the Mountain Creek area</w:t>
      </w:r>
      <w:r w:rsidR="006A7A6D" w:rsidRPr="008F1881">
        <w:t xml:space="preserve"> which </w:t>
      </w:r>
      <w:r w:rsidR="005E7368">
        <w:t xml:space="preserve">will </w:t>
      </w:r>
      <w:r w:rsidR="006A7A6D" w:rsidRPr="008F1881">
        <w:t xml:space="preserve">build </w:t>
      </w:r>
      <w:r w:rsidR="005E7368">
        <w:t>o</w:t>
      </w:r>
      <w:r w:rsidR="006A7A6D" w:rsidRPr="008F1881">
        <w:t>n the wine tourism offer of the local area</w:t>
      </w:r>
      <w:r w:rsidRPr="008F1881">
        <w:t xml:space="preserve">. A similar rezoning has taken place in the Moorabool Valley to facilitate tourism and other complementary rural uses. </w:t>
      </w:r>
    </w:p>
    <w:p w:rsidR="008F1881" w:rsidRPr="005B01F7" w:rsidRDefault="009F09AE" w:rsidP="00703973">
      <w:pPr>
        <w:pStyle w:val="Heading3"/>
        <w:spacing w:before="240"/>
      </w:pPr>
      <w:r w:rsidRPr="005B01F7">
        <w:t xml:space="preserve">Land </w:t>
      </w:r>
      <w:r w:rsidR="00661931" w:rsidRPr="005B01F7">
        <w:t>use planning response</w:t>
      </w:r>
    </w:p>
    <w:p w:rsidR="008F1881" w:rsidRPr="008F1881" w:rsidRDefault="00732EBD" w:rsidP="00703973">
      <w:pPr>
        <w:pStyle w:val="bt"/>
        <w:spacing w:before="120" w:after="120"/>
      </w:pPr>
      <w:r w:rsidRPr="008F1881">
        <w:t xml:space="preserve">The </w:t>
      </w:r>
      <w:r w:rsidR="00F37D25">
        <w:t>plan</w:t>
      </w:r>
      <w:r w:rsidRPr="008F1881">
        <w:t xml:space="preserve"> recognises the need to support commercial development in keeping with the role and function of each settlement</w:t>
      </w:r>
      <w:r w:rsidR="000A6640" w:rsidRPr="008F1881">
        <w:t xml:space="preserve"> and which is well located to support town centres</w:t>
      </w:r>
      <w:r w:rsidRPr="008F1881">
        <w:t>. The need for settlements in the eastern part of the region to reduce trade leak</w:t>
      </w:r>
      <w:r w:rsidR="008F522C">
        <w:t>age to Melbourne is identified.</w:t>
      </w:r>
    </w:p>
    <w:p w:rsidR="001F66D6" w:rsidRDefault="000A6640" w:rsidP="00F95347">
      <w:pPr>
        <w:pStyle w:val="bt"/>
      </w:pPr>
      <w:r w:rsidRPr="008F1881">
        <w:t xml:space="preserve">Regionally important tourism precincts and locations are identified in the </w:t>
      </w:r>
      <w:r w:rsidR="00F37D25">
        <w:t>plan</w:t>
      </w:r>
      <w:r w:rsidRPr="008F1881">
        <w:t xml:space="preserve"> along with the need to encourage tourism development that is consistent with the </w:t>
      </w:r>
      <w:r w:rsidR="00CB224C">
        <w:t xml:space="preserve">cultural </w:t>
      </w:r>
      <w:r w:rsidRPr="008F1881">
        <w:t>heritage and environmental values of the region. Infrastructure investment decisions should factor in the potential benefits of particular infrastructure proposals</w:t>
      </w:r>
      <w:r w:rsidR="00095C4A">
        <w:t xml:space="preserve"> for </w:t>
      </w:r>
      <w:r w:rsidR="00B52753">
        <w:t xml:space="preserve">the </w:t>
      </w:r>
      <w:r w:rsidR="00095C4A">
        <w:t>tourism sector</w:t>
      </w:r>
      <w:r w:rsidRPr="008F1881">
        <w:t>.</w:t>
      </w:r>
    </w:p>
    <w:p w:rsidR="008F1881" w:rsidRPr="005B01F7" w:rsidRDefault="00B055FA" w:rsidP="005B01F7">
      <w:pPr>
        <w:pStyle w:val="Heading2"/>
      </w:pPr>
      <w:bookmarkStart w:id="171" w:name="_Toc300560908"/>
      <w:bookmarkStart w:id="172" w:name="_Toc349557712"/>
      <w:bookmarkStart w:id="173" w:name="_Toc374527610"/>
      <w:r w:rsidRPr="005B01F7">
        <w:t xml:space="preserve">Diversification of the </w:t>
      </w:r>
      <w:r w:rsidR="00661931" w:rsidRPr="005B01F7">
        <w:t xml:space="preserve">regional </w:t>
      </w:r>
      <w:bookmarkEnd w:id="171"/>
      <w:bookmarkEnd w:id="172"/>
      <w:r w:rsidR="00661931" w:rsidRPr="005B01F7">
        <w:t>economy</w:t>
      </w:r>
      <w:bookmarkEnd w:id="173"/>
    </w:p>
    <w:p w:rsidR="008F1881" w:rsidRPr="005B01F7" w:rsidRDefault="009F09AE" w:rsidP="005B01F7">
      <w:pPr>
        <w:pStyle w:val="Heading3"/>
      </w:pPr>
      <w:r w:rsidRPr="005B01F7">
        <w:t xml:space="preserve">Description and </w:t>
      </w:r>
      <w:r w:rsidR="00661931" w:rsidRPr="005B01F7">
        <w:t>analysis</w:t>
      </w:r>
    </w:p>
    <w:p w:rsidR="008F1881" w:rsidRPr="000A2E0D" w:rsidRDefault="009F09AE" w:rsidP="000A2E0D">
      <w:pPr>
        <w:pStyle w:val="Heading40"/>
      </w:pPr>
      <w:r w:rsidRPr="000A2E0D">
        <w:t>Comparative advantages</w:t>
      </w:r>
    </w:p>
    <w:p w:rsidR="00B055FA" w:rsidRPr="008F1881" w:rsidRDefault="00B055FA" w:rsidP="008F522C">
      <w:pPr>
        <w:pStyle w:val="bt"/>
        <w:rPr>
          <w:rFonts w:cs="Tahoma"/>
          <w:szCs w:val="20"/>
        </w:rPr>
      </w:pPr>
      <w:r w:rsidRPr="008F1881">
        <w:rPr>
          <w:rFonts w:cs="Tahoma"/>
          <w:szCs w:val="20"/>
        </w:rPr>
        <w:t>The regional economic outlook for the region varies significantly between</w:t>
      </w:r>
      <w:r w:rsidR="00467D1C">
        <w:rPr>
          <w:rFonts w:cs="Tahoma"/>
          <w:szCs w:val="20"/>
        </w:rPr>
        <w:t xml:space="preserve"> its sub-regions.</w:t>
      </w:r>
      <w:r w:rsidRPr="008F1881">
        <w:rPr>
          <w:rFonts w:cs="Tahoma"/>
          <w:szCs w:val="20"/>
        </w:rPr>
        <w:t xml:space="preserve"> Ballarat and the peri-urban parts of the region</w:t>
      </w:r>
      <w:r w:rsidR="00F34FDF" w:rsidRPr="008F1881">
        <w:rPr>
          <w:rFonts w:cs="Tahoma"/>
          <w:szCs w:val="20"/>
        </w:rPr>
        <w:t xml:space="preserve"> are </w:t>
      </w:r>
      <w:r w:rsidRPr="008F1881">
        <w:rPr>
          <w:rFonts w:cs="Tahoma"/>
          <w:szCs w:val="20"/>
        </w:rPr>
        <w:t xml:space="preserve">growing roughly in line with the </w:t>
      </w:r>
      <w:r w:rsidR="00467D1C">
        <w:rPr>
          <w:rFonts w:cs="Tahoma"/>
          <w:szCs w:val="20"/>
        </w:rPr>
        <w:t>s</w:t>
      </w:r>
      <w:r w:rsidRPr="008F1881">
        <w:rPr>
          <w:rFonts w:cs="Tahoma"/>
          <w:szCs w:val="20"/>
        </w:rPr>
        <w:t>tate average</w:t>
      </w:r>
      <w:r w:rsidR="00F34FDF" w:rsidRPr="008F1881">
        <w:rPr>
          <w:rFonts w:cs="Tahoma"/>
          <w:szCs w:val="20"/>
        </w:rPr>
        <w:t>,</w:t>
      </w:r>
      <w:r w:rsidRPr="008F1881">
        <w:rPr>
          <w:rFonts w:cs="Tahoma"/>
          <w:szCs w:val="20"/>
        </w:rPr>
        <w:t xml:space="preserve"> </w:t>
      </w:r>
      <w:r w:rsidR="00467D1C">
        <w:rPr>
          <w:rFonts w:cs="Tahoma"/>
          <w:szCs w:val="20"/>
        </w:rPr>
        <w:t>whilst</w:t>
      </w:r>
      <w:r w:rsidRPr="008F1881">
        <w:rPr>
          <w:rFonts w:cs="Tahoma"/>
          <w:szCs w:val="20"/>
        </w:rPr>
        <w:t xml:space="preserve"> the western parts of the region </w:t>
      </w:r>
      <w:r w:rsidR="00467D1C">
        <w:rPr>
          <w:rFonts w:cs="Tahoma"/>
          <w:szCs w:val="20"/>
        </w:rPr>
        <w:t xml:space="preserve">are </w:t>
      </w:r>
      <w:r w:rsidRPr="008F1881">
        <w:rPr>
          <w:rFonts w:cs="Tahoma"/>
          <w:szCs w:val="20"/>
        </w:rPr>
        <w:t xml:space="preserve">lagging behind. If Ballarat is able to continue to integrate itself </w:t>
      </w:r>
      <w:r w:rsidR="00095C4A">
        <w:rPr>
          <w:rFonts w:cs="Tahoma"/>
          <w:szCs w:val="20"/>
        </w:rPr>
        <w:t xml:space="preserve">with the </w:t>
      </w:r>
      <w:r w:rsidRPr="008F1881">
        <w:rPr>
          <w:rFonts w:cs="Tahoma"/>
          <w:szCs w:val="20"/>
        </w:rPr>
        <w:t xml:space="preserve">broader employment </w:t>
      </w:r>
      <w:r w:rsidRPr="008F1881">
        <w:rPr>
          <w:rFonts w:cs="Tahoma"/>
          <w:szCs w:val="20"/>
        </w:rPr>
        <w:lastRenderedPageBreak/>
        <w:t xml:space="preserve">market </w:t>
      </w:r>
      <w:r w:rsidR="00095C4A">
        <w:rPr>
          <w:rFonts w:cs="Tahoma"/>
          <w:szCs w:val="20"/>
        </w:rPr>
        <w:t xml:space="preserve">in Melbourne </w:t>
      </w:r>
      <w:r w:rsidRPr="008F1881">
        <w:rPr>
          <w:rFonts w:cs="Tahoma"/>
          <w:szCs w:val="20"/>
        </w:rPr>
        <w:t xml:space="preserve">while maintaining its regional character, then it will attract </w:t>
      </w:r>
      <w:r w:rsidR="00095C4A">
        <w:rPr>
          <w:rFonts w:cs="Tahoma"/>
          <w:szCs w:val="20"/>
        </w:rPr>
        <w:t xml:space="preserve">an </w:t>
      </w:r>
      <w:r w:rsidRPr="008F1881">
        <w:rPr>
          <w:rFonts w:cs="Tahoma"/>
          <w:szCs w:val="20"/>
        </w:rPr>
        <w:t>expanding ‘tree changer’ population interested in continued employment</w:t>
      </w:r>
      <w:r w:rsidR="00467D1C">
        <w:rPr>
          <w:rFonts w:cs="Tahoma"/>
          <w:szCs w:val="20"/>
        </w:rPr>
        <w:t>,</w:t>
      </w:r>
      <w:r w:rsidRPr="008F1881">
        <w:rPr>
          <w:rFonts w:cs="Tahoma"/>
          <w:szCs w:val="20"/>
        </w:rPr>
        <w:t xml:space="preserve"> but at a slightly slower pace.</w:t>
      </w:r>
    </w:p>
    <w:p w:rsidR="00B055FA" w:rsidRPr="008F1881" w:rsidRDefault="00B055FA" w:rsidP="008F522C">
      <w:pPr>
        <w:pStyle w:val="bt"/>
        <w:rPr>
          <w:rFonts w:cs="Tahoma"/>
          <w:szCs w:val="20"/>
        </w:rPr>
      </w:pPr>
      <w:r w:rsidRPr="008F1881">
        <w:rPr>
          <w:rFonts w:cs="Tahoma"/>
          <w:szCs w:val="20"/>
        </w:rPr>
        <w:t xml:space="preserve">This outcome would see Ballarat holding its own in the longer run, offsetting the broader demographic weakness associated with an over-representation of older </w:t>
      </w:r>
      <w:r w:rsidR="00095C4A">
        <w:rPr>
          <w:rFonts w:cs="Tahoma"/>
          <w:szCs w:val="20"/>
        </w:rPr>
        <w:t xml:space="preserve">people </w:t>
      </w:r>
      <w:r w:rsidRPr="008F1881">
        <w:rPr>
          <w:rFonts w:cs="Tahoma"/>
          <w:szCs w:val="20"/>
        </w:rPr>
        <w:t xml:space="preserve">that </w:t>
      </w:r>
      <w:r w:rsidR="00D93A00" w:rsidRPr="008F1881">
        <w:rPr>
          <w:rFonts w:cs="Tahoma"/>
          <w:szCs w:val="20"/>
        </w:rPr>
        <w:t xml:space="preserve">is likely to continue to characterise </w:t>
      </w:r>
      <w:r w:rsidRPr="008F1881">
        <w:rPr>
          <w:rFonts w:cs="Tahoma"/>
          <w:szCs w:val="20"/>
        </w:rPr>
        <w:t>smaller settlements within the region. It would also broaden the employment base of the region</w:t>
      </w:r>
      <w:r w:rsidR="00F625D2">
        <w:rPr>
          <w:rFonts w:cs="Tahoma"/>
          <w:szCs w:val="20"/>
        </w:rPr>
        <w:t>,</w:t>
      </w:r>
      <w:r w:rsidRPr="008F1881">
        <w:rPr>
          <w:rFonts w:cs="Tahoma"/>
          <w:szCs w:val="20"/>
        </w:rPr>
        <w:t xml:space="preserve"> due </w:t>
      </w:r>
      <w:r w:rsidR="00F625D2">
        <w:rPr>
          <w:rFonts w:cs="Tahoma"/>
          <w:szCs w:val="20"/>
        </w:rPr>
        <w:t xml:space="preserve">both </w:t>
      </w:r>
      <w:r w:rsidRPr="008F1881">
        <w:rPr>
          <w:rFonts w:cs="Tahoma"/>
          <w:szCs w:val="20"/>
        </w:rPr>
        <w:t xml:space="preserve">to the expanding population </w:t>
      </w:r>
      <w:r w:rsidR="00F625D2">
        <w:rPr>
          <w:rFonts w:cs="Tahoma"/>
          <w:szCs w:val="20"/>
        </w:rPr>
        <w:t>and</w:t>
      </w:r>
      <w:r w:rsidRPr="008F1881">
        <w:rPr>
          <w:rFonts w:cs="Tahoma"/>
          <w:szCs w:val="20"/>
        </w:rPr>
        <w:t xml:space="preserve"> the broader skills base that new workers are likely to bring. Building on the existing comparative advantage in education and </w:t>
      </w:r>
      <w:r w:rsidR="003C3A8E">
        <w:rPr>
          <w:rFonts w:cs="Tahoma"/>
          <w:szCs w:val="20"/>
        </w:rPr>
        <w:t>information technology</w:t>
      </w:r>
      <w:r w:rsidRPr="008F1881">
        <w:rPr>
          <w:rFonts w:cs="Tahoma"/>
          <w:szCs w:val="20"/>
        </w:rPr>
        <w:t xml:space="preserve">, the region must seek to expand its services base to ensure growth and reduce the risks that stem from a narrow economic base.  </w:t>
      </w:r>
    </w:p>
    <w:p w:rsidR="00B055FA" w:rsidRPr="00537648" w:rsidRDefault="00B055FA" w:rsidP="00537648">
      <w:pPr>
        <w:pStyle w:val="bt"/>
      </w:pPr>
      <w:r w:rsidRPr="00537648">
        <w:t xml:space="preserve">The comparative advantages of the region from an economic perspective include: </w:t>
      </w:r>
    </w:p>
    <w:p w:rsidR="00B055FA" w:rsidRPr="008F1881" w:rsidRDefault="00095C4A" w:rsidP="008F522C">
      <w:pPr>
        <w:pStyle w:val="ListBullet"/>
      </w:pPr>
      <w:r>
        <w:t>s</w:t>
      </w:r>
      <w:r w:rsidR="00B055FA" w:rsidRPr="008F1881">
        <w:t xml:space="preserve">ustained population growth of </w:t>
      </w:r>
      <w:r>
        <w:t xml:space="preserve">one </w:t>
      </w:r>
      <w:r w:rsidR="00B65C10" w:rsidRPr="003D1722">
        <w:t>per cent</w:t>
      </w:r>
      <w:r w:rsidR="00B055FA" w:rsidRPr="008F1881">
        <w:t xml:space="preserve"> </w:t>
      </w:r>
      <w:r w:rsidR="00F625D2">
        <w:t>per annum</w:t>
      </w:r>
    </w:p>
    <w:p w:rsidR="00B055FA" w:rsidRPr="008F1881" w:rsidRDefault="00095C4A" w:rsidP="008F522C">
      <w:pPr>
        <w:pStyle w:val="ListBullet"/>
      </w:pPr>
      <w:r>
        <w:t>l</w:t>
      </w:r>
      <w:r w:rsidR="00B055FA" w:rsidRPr="008F1881">
        <w:t>ocated on the east-west transport corridor connecting Melbourne, western Victoria and Adelaide</w:t>
      </w:r>
    </w:p>
    <w:p w:rsidR="00B055FA" w:rsidRPr="008F1881" w:rsidRDefault="00095C4A" w:rsidP="008F522C">
      <w:pPr>
        <w:pStyle w:val="ListBullet"/>
      </w:pPr>
      <w:r>
        <w:t>l</w:t>
      </w:r>
      <w:r w:rsidR="00B055FA" w:rsidRPr="008F1881">
        <w:t xml:space="preserve">arge areas within Melbourne’s </w:t>
      </w:r>
      <w:r w:rsidR="0069443A" w:rsidRPr="003D1722">
        <w:t>peri-urban</w:t>
      </w:r>
      <w:r w:rsidR="00B055FA" w:rsidRPr="008F1881">
        <w:t xml:space="preserve"> influence and network</w:t>
      </w:r>
    </w:p>
    <w:p w:rsidR="00B055FA" w:rsidRPr="008F1881" w:rsidRDefault="00095C4A" w:rsidP="008F522C">
      <w:pPr>
        <w:pStyle w:val="ListBullet"/>
      </w:pPr>
      <w:r>
        <w:t>a</w:t>
      </w:r>
      <w:r w:rsidR="00B055FA" w:rsidRPr="008F1881">
        <w:t>djoining the western metro</w:t>
      </w:r>
      <w:r>
        <w:t>politan</w:t>
      </w:r>
      <w:r w:rsidR="00B055FA" w:rsidRPr="008F1881">
        <w:t xml:space="preserve"> area, the site of major current and future infrastructure investment and much of Melbourne’s population growth</w:t>
      </w:r>
    </w:p>
    <w:p w:rsidR="00B055FA" w:rsidRPr="008F1881" w:rsidRDefault="00095C4A" w:rsidP="008F522C">
      <w:pPr>
        <w:pStyle w:val="ListBullet"/>
      </w:pPr>
      <w:r>
        <w:t>t</w:t>
      </w:r>
      <w:r w:rsidR="00B055FA" w:rsidRPr="008F1881">
        <w:t>he major concentration of Australia’s gold mining heritage</w:t>
      </w:r>
    </w:p>
    <w:p w:rsidR="00B055FA" w:rsidRPr="008F1881" w:rsidRDefault="00B055FA" w:rsidP="008F522C">
      <w:pPr>
        <w:pStyle w:val="ListBullet"/>
      </w:pPr>
      <w:r w:rsidRPr="008F1881">
        <w:t xml:space="preserve">Victoria’s best developed and integrated regional higher education and training </w:t>
      </w:r>
      <w:r w:rsidR="00095C4A">
        <w:t>network</w:t>
      </w:r>
    </w:p>
    <w:p w:rsidR="00B055FA" w:rsidRPr="008F1881" w:rsidRDefault="00095C4A" w:rsidP="008F522C">
      <w:pPr>
        <w:pStyle w:val="ListBullet"/>
      </w:pPr>
      <w:r>
        <w:t>r</w:t>
      </w:r>
      <w:r w:rsidR="00B055FA" w:rsidRPr="008F1881">
        <w:t xml:space="preserve">egional Victoria’s strongest concentration of </w:t>
      </w:r>
      <w:r w:rsidR="003C3A8E">
        <w:t>information technology</w:t>
      </w:r>
      <w:r w:rsidR="003C3A8E" w:rsidRPr="008F1881">
        <w:t xml:space="preserve"> </w:t>
      </w:r>
      <w:r w:rsidR="00B055FA" w:rsidRPr="008F1881">
        <w:t>and computing services and capacity</w:t>
      </w:r>
    </w:p>
    <w:p w:rsidR="00B055FA" w:rsidRPr="008F1881" w:rsidRDefault="00095C4A" w:rsidP="008F522C">
      <w:pPr>
        <w:pStyle w:val="ListBullet"/>
      </w:pPr>
      <w:r>
        <w:t>s</w:t>
      </w:r>
      <w:r w:rsidR="00B055FA" w:rsidRPr="008F1881">
        <w:t>ome of Victoria’s most productive soils and quality horticultural growing conditions</w:t>
      </w:r>
    </w:p>
    <w:p w:rsidR="00B055FA" w:rsidRPr="008F1881" w:rsidRDefault="00095C4A" w:rsidP="008F522C">
      <w:pPr>
        <w:pStyle w:val="ListBullet"/>
      </w:pPr>
      <w:r>
        <w:t>a</w:t>
      </w:r>
      <w:r w:rsidR="00B055FA" w:rsidRPr="008F1881">
        <w:t xml:space="preserve"> restructuring economy embracing new opportunities in such areas as </w:t>
      </w:r>
      <w:r w:rsidR="003C3A8E">
        <w:t>information technology</w:t>
      </w:r>
      <w:r w:rsidR="00B055FA" w:rsidRPr="008F1881">
        <w:t>, advanced manufacturing, education and tourism</w:t>
      </w:r>
    </w:p>
    <w:p w:rsidR="00B055FA" w:rsidRPr="008F1881" w:rsidRDefault="00B055FA" w:rsidP="008F522C">
      <w:pPr>
        <w:pStyle w:val="ListBullet"/>
      </w:pPr>
      <w:r w:rsidRPr="008F1881">
        <w:t>Ballarat</w:t>
      </w:r>
      <w:r w:rsidR="00095C4A">
        <w:t>,</w:t>
      </w:r>
      <w:r w:rsidRPr="008F1881">
        <w:t xml:space="preserve"> Victoria’s third largest urban area</w:t>
      </w:r>
      <w:r w:rsidR="00F625D2">
        <w:t>.</w:t>
      </w:r>
    </w:p>
    <w:p w:rsidR="008F1881" w:rsidRPr="000A2E0D" w:rsidRDefault="009F09AE" w:rsidP="000A2E0D">
      <w:pPr>
        <w:pStyle w:val="Heading40"/>
      </w:pPr>
      <w:r w:rsidRPr="000A2E0D">
        <w:t>Sustaining Ballarat as an economic hub for the region</w:t>
      </w:r>
    </w:p>
    <w:p w:rsidR="00B055FA" w:rsidRPr="008F1881" w:rsidRDefault="00B055FA" w:rsidP="008F522C">
      <w:pPr>
        <w:pStyle w:val="bt"/>
        <w:rPr>
          <w:rFonts w:cs="Tahoma"/>
          <w:szCs w:val="20"/>
        </w:rPr>
      </w:pPr>
      <w:r w:rsidRPr="008F1881">
        <w:rPr>
          <w:rFonts w:cs="Tahoma"/>
          <w:szCs w:val="20"/>
        </w:rPr>
        <w:t>Manufacturing provides 12.8</w:t>
      </w:r>
      <w:r w:rsidR="00095C4A">
        <w:rPr>
          <w:rFonts w:cs="Tahoma"/>
          <w:szCs w:val="20"/>
        </w:rPr>
        <w:t xml:space="preserve"> </w:t>
      </w:r>
      <w:r w:rsidR="001F619E" w:rsidRPr="001F619E">
        <w:rPr>
          <w:rFonts w:cs="Tahoma"/>
          <w:szCs w:val="20"/>
        </w:rPr>
        <w:t>per cent</w:t>
      </w:r>
      <w:r w:rsidRPr="008F1881">
        <w:rPr>
          <w:rFonts w:cs="Tahoma"/>
          <w:szCs w:val="20"/>
        </w:rPr>
        <w:t xml:space="preserve"> of employment in the Ballarat economy</w:t>
      </w:r>
      <w:r w:rsidR="00B52753">
        <w:rPr>
          <w:rFonts w:cs="Tahoma"/>
          <w:szCs w:val="20"/>
        </w:rPr>
        <w:t xml:space="preserve"> </w:t>
      </w:r>
      <w:r w:rsidR="00B52753" w:rsidRPr="008F1881">
        <w:rPr>
          <w:rFonts w:cs="Tahoma"/>
          <w:szCs w:val="20"/>
        </w:rPr>
        <w:t>(Essential Economics, 2011)</w:t>
      </w:r>
      <w:r w:rsidRPr="008F1881">
        <w:rPr>
          <w:rFonts w:cs="Tahoma"/>
          <w:szCs w:val="20"/>
        </w:rPr>
        <w:t>, and is responsible for 34.</w:t>
      </w:r>
      <w:r w:rsidRPr="00095C4A">
        <w:rPr>
          <w:rFonts w:cs="Tahoma"/>
          <w:szCs w:val="20"/>
        </w:rPr>
        <w:t>3</w:t>
      </w:r>
      <w:r w:rsidR="00095C4A">
        <w:rPr>
          <w:rFonts w:cs="Tahoma"/>
          <w:szCs w:val="20"/>
        </w:rPr>
        <w:t xml:space="preserve"> </w:t>
      </w:r>
      <w:r w:rsidR="001F619E" w:rsidRPr="001F619E">
        <w:rPr>
          <w:rFonts w:cs="Tahoma"/>
          <w:szCs w:val="20"/>
        </w:rPr>
        <w:t>per cent</w:t>
      </w:r>
      <w:r w:rsidRPr="00095C4A">
        <w:rPr>
          <w:rFonts w:cs="Tahoma"/>
          <w:szCs w:val="20"/>
        </w:rPr>
        <w:t xml:space="preserve"> (</w:t>
      </w:r>
      <w:r w:rsidRPr="008F1881">
        <w:rPr>
          <w:rFonts w:cs="Tahoma"/>
          <w:szCs w:val="20"/>
        </w:rPr>
        <w:t>REMPLAN, 2010) of the output of the economy. Clearly it is an important generator of wealth and employment for the regional economy.</w:t>
      </w:r>
    </w:p>
    <w:p w:rsidR="00B055FA" w:rsidRPr="008F1881" w:rsidRDefault="00B055FA" w:rsidP="008F522C">
      <w:pPr>
        <w:pStyle w:val="bt"/>
        <w:rPr>
          <w:rFonts w:cs="Tahoma"/>
          <w:szCs w:val="20"/>
        </w:rPr>
      </w:pPr>
      <w:r w:rsidRPr="008F1881">
        <w:rPr>
          <w:rFonts w:cs="Tahoma"/>
          <w:szCs w:val="20"/>
        </w:rPr>
        <w:t xml:space="preserve">Ballarat is one of regional Victoria’s success stories. People are attracted to the region </w:t>
      </w:r>
      <w:r w:rsidR="00095C4A">
        <w:rPr>
          <w:rFonts w:cs="Tahoma"/>
          <w:szCs w:val="20"/>
        </w:rPr>
        <w:t xml:space="preserve">for its </w:t>
      </w:r>
      <w:r w:rsidRPr="008F1881">
        <w:rPr>
          <w:rFonts w:cs="Tahoma"/>
          <w:szCs w:val="20"/>
        </w:rPr>
        <w:t>vibrant community, lifestyle and economy. It is for these very reasons that the population of Ballarat is expected to increase by just under 25,000 people over the next 15 years, representing an average annual growth rate of 1.4</w:t>
      </w:r>
      <w:r w:rsidR="00095C4A">
        <w:rPr>
          <w:rFonts w:cs="Tahoma"/>
          <w:szCs w:val="20"/>
        </w:rPr>
        <w:t xml:space="preserve"> </w:t>
      </w:r>
      <w:r w:rsidR="001F619E" w:rsidRPr="001F619E">
        <w:rPr>
          <w:rFonts w:cs="Tahoma"/>
          <w:szCs w:val="20"/>
        </w:rPr>
        <w:t>per cent</w:t>
      </w:r>
      <w:r w:rsidRPr="008F1881">
        <w:rPr>
          <w:rFonts w:cs="Tahoma"/>
          <w:szCs w:val="20"/>
        </w:rPr>
        <w:t xml:space="preserve"> per year (Essential Economics, 2011). </w:t>
      </w:r>
    </w:p>
    <w:p w:rsidR="00B055FA" w:rsidRPr="008F1881" w:rsidRDefault="00B055FA" w:rsidP="008F522C">
      <w:pPr>
        <w:pStyle w:val="bt"/>
        <w:rPr>
          <w:rFonts w:cs="Tahoma"/>
          <w:szCs w:val="20"/>
        </w:rPr>
      </w:pPr>
      <w:r w:rsidRPr="008F1881">
        <w:rPr>
          <w:rFonts w:cs="Tahoma"/>
          <w:szCs w:val="20"/>
        </w:rPr>
        <w:t>This rate of growth is on average around 0.15</w:t>
      </w:r>
      <w:r w:rsidR="00F625D2">
        <w:rPr>
          <w:rFonts w:cs="Tahoma"/>
          <w:szCs w:val="20"/>
        </w:rPr>
        <w:t xml:space="preserve"> </w:t>
      </w:r>
      <w:r w:rsidR="00B65C10" w:rsidRPr="003D1722">
        <w:rPr>
          <w:rFonts w:cs="Tahoma"/>
          <w:szCs w:val="20"/>
        </w:rPr>
        <w:t>per cent</w:t>
      </w:r>
      <w:r w:rsidRPr="008F1881">
        <w:rPr>
          <w:rFonts w:cs="Tahoma"/>
          <w:szCs w:val="20"/>
        </w:rPr>
        <w:t xml:space="preserve"> (Essential Economics, 2011) higher than expected for regional Victoria as a whole, making Ballarat one of Victoria’s fastest growing region</w:t>
      </w:r>
      <w:r w:rsidR="00D93A00" w:rsidRPr="008F1881">
        <w:rPr>
          <w:rFonts w:cs="Tahoma"/>
          <w:szCs w:val="20"/>
        </w:rPr>
        <w:t>al settlements</w:t>
      </w:r>
      <w:r w:rsidRPr="008F1881">
        <w:rPr>
          <w:rFonts w:cs="Tahoma"/>
          <w:szCs w:val="20"/>
        </w:rPr>
        <w:t>.</w:t>
      </w:r>
      <w:r w:rsidR="00095C4A">
        <w:rPr>
          <w:rFonts w:cs="Tahoma"/>
          <w:szCs w:val="20"/>
        </w:rPr>
        <w:t xml:space="preserve"> </w:t>
      </w:r>
      <w:r w:rsidRPr="008F1881">
        <w:rPr>
          <w:rFonts w:cs="Tahoma"/>
          <w:szCs w:val="20"/>
        </w:rPr>
        <w:t xml:space="preserve">If the expected increase in Ballarat’s population eventuates this will be the continuation of a decade of population growth. </w:t>
      </w:r>
    </w:p>
    <w:p w:rsidR="00B055FA" w:rsidRPr="008F1881" w:rsidRDefault="00B055FA" w:rsidP="008F522C">
      <w:pPr>
        <w:pStyle w:val="bt"/>
        <w:rPr>
          <w:rFonts w:cs="Tahoma"/>
          <w:szCs w:val="20"/>
        </w:rPr>
      </w:pPr>
      <w:r w:rsidRPr="008F1881">
        <w:rPr>
          <w:rFonts w:cs="Tahoma"/>
          <w:szCs w:val="20"/>
        </w:rPr>
        <w:t xml:space="preserve">The Ballarat economy currently provides enough local employment to meet demand from </w:t>
      </w:r>
      <w:r w:rsidR="006E04AA">
        <w:rPr>
          <w:rFonts w:cs="Tahoma"/>
          <w:szCs w:val="20"/>
        </w:rPr>
        <w:t>its</w:t>
      </w:r>
      <w:r w:rsidRPr="008F1881">
        <w:rPr>
          <w:rFonts w:cs="Tahoma"/>
          <w:szCs w:val="20"/>
        </w:rPr>
        <w:t xml:space="preserve"> local workforce. However, there is emerging evidence that a decline in the competitiveness of industry and other business sectors in the Ballarat regional economy is limiting job creation capacity. This is particularly the case for the low value</w:t>
      </w:r>
      <w:r w:rsidR="006E04AA">
        <w:rPr>
          <w:rFonts w:cs="Tahoma"/>
          <w:szCs w:val="20"/>
        </w:rPr>
        <w:t>-</w:t>
      </w:r>
      <w:r w:rsidRPr="008F1881">
        <w:rPr>
          <w:rFonts w:cs="Tahoma"/>
          <w:szCs w:val="20"/>
        </w:rPr>
        <w:t>add manufacturing sector, which was forced to cut hundreds of jobs during the 2008</w:t>
      </w:r>
      <w:r w:rsidR="00095C4A">
        <w:rPr>
          <w:rFonts w:cs="Tahoma"/>
          <w:szCs w:val="20"/>
        </w:rPr>
        <w:t>–0</w:t>
      </w:r>
      <w:r w:rsidRPr="008F1881">
        <w:rPr>
          <w:rFonts w:cs="Tahoma"/>
          <w:szCs w:val="20"/>
        </w:rPr>
        <w:t>9 economic downturn (SED Consulting, 2010). This in turn could undermine the sustainability of the expected increase in the population of Ballarat.</w:t>
      </w:r>
    </w:p>
    <w:p w:rsidR="00B055FA" w:rsidRPr="008F1881" w:rsidRDefault="006E04AA" w:rsidP="008F522C">
      <w:pPr>
        <w:pStyle w:val="bt"/>
        <w:rPr>
          <w:rFonts w:cs="Tahoma"/>
          <w:szCs w:val="20"/>
        </w:rPr>
      </w:pPr>
      <w:r>
        <w:rPr>
          <w:rFonts w:cs="Tahoma"/>
          <w:szCs w:val="20"/>
        </w:rPr>
        <w:t>O</w:t>
      </w:r>
      <w:r w:rsidR="00B055FA" w:rsidRPr="008F1881">
        <w:rPr>
          <w:rFonts w:cs="Tahoma"/>
          <w:szCs w:val="20"/>
        </w:rPr>
        <w:t xml:space="preserve">f particular concern </w:t>
      </w:r>
      <w:r>
        <w:rPr>
          <w:rFonts w:cs="Tahoma"/>
          <w:szCs w:val="20"/>
        </w:rPr>
        <w:t xml:space="preserve">is </w:t>
      </w:r>
      <w:r w:rsidR="00B055FA" w:rsidRPr="008F1881">
        <w:rPr>
          <w:rFonts w:cs="Tahoma"/>
          <w:szCs w:val="20"/>
        </w:rPr>
        <w:t>the number of manufacturing jobs available in Ballarat</w:t>
      </w:r>
      <w:r>
        <w:rPr>
          <w:rFonts w:cs="Tahoma"/>
          <w:szCs w:val="20"/>
        </w:rPr>
        <w:t>, which</w:t>
      </w:r>
      <w:r w:rsidR="00B055FA" w:rsidRPr="008F1881">
        <w:rPr>
          <w:rFonts w:cs="Tahoma"/>
          <w:szCs w:val="20"/>
        </w:rPr>
        <w:t xml:space="preserve"> is forecast to fall </w:t>
      </w:r>
      <w:r>
        <w:rPr>
          <w:rFonts w:cs="Tahoma"/>
          <w:szCs w:val="20"/>
        </w:rPr>
        <w:t xml:space="preserve"> </w:t>
      </w:r>
      <w:r w:rsidR="00B055FA" w:rsidRPr="008F1881">
        <w:rPr>
          <w:rFonts w:cs="Tahoma"/>
          <w:szCs w:val="20"/>
        </w:rPr>
        <w:t xml:space="preserve">over the next 15 years despite the fact that the labour force will need to grow by 16,450 over the same period (Essential Economics, 2011). If transformation of the manufacturing sector is not achieved, or jobs are not </w:t>
      </w:r>
      <w:r w:rsidR="00B055FA" w:rsidRPr="008F1881">
        <w:rPr>
          <w:rFonts w:cs="Tahoma"/>
          <w:szCs w:val="20"/>
        </w:rPr>
        <w:lastRenderedPageBreak/>
        <w:t>created in other sectors, growth in employment will not match population growth. This is a substantial and long</w:t>
      </w:r>
      <w:r>
        <w:rPr>
          <w:rFonts w:cs="Tahoma"/>
          <w:szCs w:val="20"/>
        </w:rPr>
        <w:t>-</w:t>
      </w:r>
      <w:r w:rsidR="00B055FA" w:rsidRPr="008F1881">
        <w:rPr>
          <w:rFonts w:cs="Tahoma"/>
          <w:szCs w:val="20"/>
        </w:rPr>
        <w:t xml:space="preserve">term challenge, </w:t>
      </w:r>
      <w:r>
        <w:rPr>
          <w:rFonts w:cs="Tahoma"/>
          <w:szCs w:val="20"/>
        </w:rPr>
        <w:t>which</w:t>
      </w:r>
      <w:r w:rsidR="00B055FA" w:rsidRPr="008F1881">
        <w:rPr>
          <w:rFonts w:cs="Tahoma"/>
          <w:szCs w:val="20"/>
        </w:rPr>
        <w:t xml:space="preserve"> if not met</w:t>
      </w:r>
      <w:r>
        <w:rPr>
          <w:rFonts w:cs="Tahoma"/>
          <w:szCs w:val="20"/>
        </w:rPr>
        <w:t>,</w:t>
      </w:r>
      <w:r w:rsidR="00B055FA" w:rsidRPr="008F1881">
        <w:rPr>
          <w:rFonts w:cs="Tahoma"/>
          <w:szCs w:val="20"/>
        </w:rPr>
        <w:t xml:space="preserve"> could result in higher unemployment in Ballarat, and threaten the liveability of the region as people are forced to travel long distances to Melbourne and other regional economies to work.</w:t>
      </w:r>
    </w:p>
    <w:p w:rsidR="008F522C" w:rsidRDefault="00B055FA" w:rsidP="001F66D6">
      <w:pPr>
        <w:pStyle w:val="bt"/>
        <w:rPr>
          <w:rFonts w:cs="Tahoma"/>
          <w:szCs w:val="20"/>
        </w:rPr>
      </w:pPr>
      <w:r w:rsidRPr="008F1881">
        <w:rPr>
          <w:rFonts w:cs="Tahoma"/>
          <w:szCs w:val="20"/>
        </w:rPr>
        <w:t>The factors contributing to that decline in competitiveness must be addressed now if Ballarat is to provide the employment opportunities needed both now and over the coming 15 to 20 years. The current structure of the Ballarat regional economy may need to change if greater wealth and employment is to be created. One third of the manufacturing industry in Ballarat is in decline, and is exposed to the global economic forces that are undermining simple manufacturing enterprises in the majority of the developed world (SED Consulting, 2010).</w:t>
      </w:r>
    </w:p>
    <w:p w:rsidR="008F1881" w:rsidRPr="000A2E0D" w:rsidRDefault="00535057" w:rsidP="000A2E0D">
      <w:pPr>
        <w:pStyle w:val="Heading40"/>
      </w:pPr>
      <w:r w:rsidRPr="000A2E0D">
        <w:t>Hopkins Correctional Centre</w:t>
      </w:r>
      <w:r w:rsidR="009F09AE" w:rsidRPr="000A2E0D">
        <w:t xml:space="preserve"> expansion </w:t>
      </w:r>
    </w:p>
    <w:p w:rsidR="00B055FA" w:rsidRPr="008F1881" w:rsidRDefault="00535057" w:rsidP="008F522C">
      <w:pPr>
        <w:pStyle w:val="bt"/>
        <w:rPr>
          <w:rFonts w:cs="Tahoma"/>
          <w:szCs w:val="20"/>
        </w:rPr>
      </w:pPr>
      <w:r>
        <w:rPr>
          <w:rFonts w:cs="Tahoma"/>
          <w:szCs w:val="20"/>
        </w:rPr>
        <w:t>Hopkins Correctional Centre</w:t>
      </w:r>
      <w:r w:rsidR="00B055FA" w:rsidRPr="008F1881">
        <w:rPr>
          <w:rFonts w:cs="Tahoma"/>
          <w:szCs w:val="20"/>
        </w:rPr>
        <w:t xml:space="preserve"> is located approximately 200 kilometres west of Melbourne</w:t>
      </w:r>
      <w:r w:rsidR="00443D65">
        <w:rPr>
          <w:rFonts w:cs="Tahoma"/>
          <w:szCs w:val="20"/>
        </w:rPr>
        <w:t xml:space="preserve"> in Ararat</w:t>
      </w:r>
      <w:r w:rsidR="00B055FA" w:rsidRPr="008F1881">
        <w:rPr>
          <w:rFonts w:cs="Tahoma"/>
          <w:szCs w:val="20"/>
        </w:rPr>
        <w:t>. It is currently a 382</w:t>
      </w:r>
      <w:r w:rsidR="006E04AA">
        <w:rPr>
          <w:rFonts w:cs="Tahoma"/>
          <w:szCs w:val="20"/>
        </w:rPr>
        <w:t>-</w:t>
      </w:r>
      <w:r w:rsidR="00B055FA" w:rsidRPr="008F1881">
        <w:rPr>
          <w:rFonts w:cs="Tahoma"/>
          <w:szCs w:val="20"/>
        </w:rPr>
        <w:t xml:space="preserve">bed medium security protection prison.  </w:t>
      </w:r>
    </w:p>
    <w:p w:rsidR="00B055FA" w:rsidRPr="008F1881" w:rsidRDefault="00B055FA" w:rsidP="008F522C">
      <w:pPr>
        <w:pStyle w:val="bt"/>
        <w:rPr>
          <w:rFonts w:cs="Tahoma"/>
          <w:szCs w:val="20"/>
        </w:rPr>
      </w:pPr>
      <w:r w:rsidRPr="008F1881">
        <w:rPr>
          <w:rFonts w:cs="Tahoma"/>
          <w:szCs w:val="20"/>
        </w:rPr>
        <w:t xml:space="preserve">The redevelopment will increase the number of beds within the prison to 740. Key features of the redevelopment include a new secure perimeter, new prisoner accommodation, new visits centre, store, medical and education centres, new and existing industries, multi-faith chapel and Koori resource centre.  </w:t>
      </w:r>
    </w:p>
    <w:p w:rsidR="00B055FA" w:rsidRPr="008F1881" w:rsidRDefault="00B055FA" w:rsidP="008F522C">
      <w:pPr>
        <w:pStyle w:val="bt"/>
        <w:rPr>
          <w:rFonts w:cs="Tahoma"/>
          <w:szCs w:val="20"/>
        </w:rPr>
      </w:pPr>
      <w:r w:rsidRPr="008F1881">
        <w:rPr>
          <w:rFonts w:cs="Tahoma"/>
          <w:szCs w:val="20"/>
        </w:rPr>
        <w:t xml:space="preserve">The prison redevelopment will ensure the </w:t>
      </w:r>
      <w:r w:rsidR="00F04318">
        <w:rPr>
          <w:rFonts w:cs="Tahoma"/>
          <w:szCs w:val="20"/>
        </w:rPr>
        <w:t>s</w:t>
      </w:r>
      <w:r w:rsidRPr="008F1881">
        <w:rPr>
          <w:rFonts w:cs="Tahoma"/>
          <w:szCs w:val="20"/>
        </w:rPr>
        <w:t xml:space="preserve">tate's correctional and rehabilitation systems meet increased demand. During the construction phase </w:t>
      </w:r>
      <w:r w:rsidR="00535057">
        <w:rPr>
          <w:rFonts w:cs="Tahoma"/>
          <w:szCs w:val="20"/>
        </w:rPr>
        <w:t>up to 500 contractors may be operating on the site</w:t>
      </w:r>
      <w:r w:rsidRPr="008F1881">
        <w:rPr>
          <w:rFonts w:cs="Tahoma"/>
          <w:szCs w:val="20"/>
        </w:rPr>
        <w:t>. The prison expansion will result in an additional 150 positions once commissioned</w:t>
      </w:r>
      <w:r w:rsidR="00DC4653" w:rsidRPr="008F1881">
        <w:rPr>
          <w:rFonts w:cs="Tahoma"/>
          <w:szCs w:val="20"/>
        </w:rPr>
        <w:t xml:space="preserve"> in late 2014</w:t>
      </w:r>
      <w:r w:rsidR="00F625D2">
        <w:rPr>
          <w:rFonts w:cs="Tahoma"/>
          <w:szCs w:val="20"/>
        </w:rPr>
        <w:t>.</w:t>
      </w:r>
    </w:p>
    <w:p w:rsidR="008F1881" w:rsidRPr="000A2E0D" w:rsidRDefault="009F09AE" w:rsidP="000A2E0D">
      <w:pPr>
        <w:pStyle w:val="Heading40"/>
      </w:pPr>
      <w:r w:rsidRPr="000A2E0D">
        <w:t>Renewable energy</w:t>
      </w:r>
    </w:p>
    <w:p w:rsidR="00B055FA" w:rsidRPr="008F1881" w:rsidRDefault="00B055FA" w:rsidP="008F522C">
      <w:pPr>
        <w:pStyle w:val="bt"/>
        <w:rPr>
          <w:rFonts w:cs="Tahoma"/>
          <w:color w:val="000000"/>
          <w:szCs w:val="20"/>
        </w:rPr>
      </w:pPr>
      <w:r w:rsidRPr="008F1881">
        <w:rPr>
          <w:rFonts w:cs="Tahoma"/>
          <w:color w:val="000000"/>
          <w:szCs w:val="20"/>
        </w:rPr>
        <w:t xml:space="preserve">There is potential for renewable energy to contribute to Victoria’s future economic prosperity. Growth in the renewable energy sector will create new industries across the state that will stimulate local economies and generate skilled jobs. </w:t>
      </w:r>
      <w:r w:rsidR="00F04318" w:rsidRPr="004519CD">
        <w:t>The main sources of renewable energy that could be harnessed to create electricity in Victoria are solar, wind, hydro</w:t>
      </w:r>
      <w:r w:rsidR="00F04318">
        <w:t xml:space="preserve">electricity and </w:t>
      </w:r>
      <w:r w:rsidR="00F04318" w:rsidRPr="004519CD">
        <w:t>bioenergy. Wind, bioenergy and hydroelectricity account for over 9</w:t>
      </w:r>
      <w:r w:rsidR="00F04318">
        <w:t>3</w:t>
      </w:r>
      <w:r w:rsidR="00F04318" w:rsidRPr="004519CD">
        <w:t xml:space="preserve"> per</w:t>
      </w:r>
      <w:r w:rsidR="00F04318">
        <w:t xml:space="preserve"> </w:t>
      </w:r>
      <w:r w:rsidR="00F04318" w:rsidRPr="004519CD">
        <w:t xml:space="preserve">cent of renewable energy in Victoria compared with </w:t>
      </w:r>
      <w:r w:rsidR="006E04AA">
        <w:t xml:space="preserve">seven </w:t>
      </w:r>
      <w:r w:rsidR="00F04318" w:rsidRPr="004519CD">
        <w:t>per</w:t>
      </w:r>
      <w:r w:rsidR="00F04318">
        <w:t xml:space="preserve"> </w:t>
      </w:r>
      <w:r w:rsidR="00F04318" w:rsidRPr="004519CD">
        <w:t>cent for solar</w:t>
      </w:r>
      <w:r w:rsidR="00F04318">
        <w:t xml:space="preserve"> (Sustainability Victoria, 2012)</w:t>
      </w:r>
      <w:r w:rsidR="00F04318" w:rsidRPr="004519CD">
        <w:t>.</w:t>
      </w:r>
    </w:p>
    <w:p w:rsidR="00B055FA" w:rsidRPr="008F1881" w:rsidRDefault="00605A6C" w:rsidP="008F522C">
      <w:pPr>
        <w:pStyle w:val="bt"/>
        <w:rPr>
          <w:rFonts w:cs="Tahoma"/>
          <w:szCs w:val="20"/>
        </w:rPr>
      </w:pPr>
      <w:r w:rsidRPr="008F1881">
        <w:rPr>
          <w:rFonts w:cs="Tahoma"/>
          <w:szCs w:val="20"/>
        </w:rPr>
        <w:t>Large parts of the region have been identified as having excellent wind resources</w:t>
      </w:r>
      <w:r w:rsidR="00872FD7" w:rsidRPr="008F1881">
        <w:rPr>
          <w:rFonts w:cs="Tahoma"/>
          <w:szCs w:val="20"/>
        </w:rPr>
        <w:t xml:space="preserve">, as shown in </w:t>
      </w:r>
      <w:r w:rsidR="00631B16">
        <w:fldChar w:fldCharType="begin"/>
      </w:r>
      <w:r w:rsidR="00631B16">
        <w:instrText xml:space="preserve"> REF _Ref349223142 \h  \* MERGEFORMAT </w:instrText>
      </w:r>
      <w:r w:rsidR="00631B16">
        <w:fldChar w:fldCharType="separate"/>
      </w:r>
      <w:r w:rsidR="00907B42" w:rsidRPr="00D42DE9">
        <w:t xml:space="preserve">Figure </w:t>
      </w:r>
      <w:r w:rsidR="00907B42">
        <w:rPr>
          <w:noProof/>
        </w:rPr>
        <w:t>24</w:t>
      </w:r>
      <w:r w:rsidR="00631B16">
        <w:fldChar w:fldCharType="end"/>
      </w:r>
      <w:r w:rsidR="00872FD7" w:rsidRPr="008F1881">
        <w:rPr>
          <w:rFonts w:cs="Tahoma"/>
          <w:szCs w:val="20"/>
        </w:rPr>
        <w:t>.</w:t>
      </w:r>
      <w:r w:rsidR="00443D65">
        <w:rPr>
          <w:rFonts w:cs="Tahoma"/>
          <w:szCs w:val="20"/>
        </w:rPr>
        <w:t xml:space="preserve"> </w:t>
      </w:r>
      <w:r w:rsidR="00B055FA" w:rsidRPr="008F1881">
        <w:rPr>
          <w:rFonts w:cs="Tahoma"/>
          <w:szCs w:val="20"/>
        </w:rPr>
        <w:t xml:space="preserve">The Central Highlands is home to a number of </w:t>
      </w:r>
      <w:r w:rsidR="004935DA" w:rsidRPr="008F1881">
        <w:rPr>
          <w:rFonts w:cs="Tahoma"/>
          <w:szCs w:val="20"/>
        </w:rPr>
        <w:t>wind farms</w:t>
      </w:r>
      <w:r w:rsidR="00B055FA" w:rsidRPr="008F1881">
        <w:rPr>
          <w:rFonts w:cs="Tahoma"/>
          <w:szCs w:val="20"/>
        </w:rPr>
        <w:t xml:space="preserve"> including 128 turbines, at Waubra, and a community-owned facility at Leonards Hill of two turbines. The other operating wind farm in the Central Highlands region is Challicum Hills, east of Ararat, which generates 52.</w:t>
      </w:r>
      <w:r w:rsidR="00F625D2" w:rsidRPr="008F1881">
        <w:rPr>
          <w:rFonts w:cs="Tahoma"/>
          <w:szCs w:val="20"/>
        </w:rPr>
        <w:t>5</w:t>
      </w:r>
      <w:r w:rsidR="006E04AA">
        <w:rPr>
          <w:rFonts w:cs="Tahoma"/>
          <w:szCs w:val="20"/>
        </w:rPr>
        <w:t xml:space="preserve"> megawatts </w:t>
      </w:r>
      <w:r w:rsidR="00B055FA" w:rsidRPr="008F1881">
        <w:rPr>
          <w:rFonts w:cs="Tahoma"/>
          <w:szCs w:val="20"/>
        </w:rPr>
        <w:t xml:space="preserve">from 35 turbines, powering up to 25,000 houses and saving 170,000 tonnes of greenhouse gas each year. There are another eight wind farms that have been approved within the Central Highlands </w:t>
      </w:r>
      <w:r w:rsidR="00111DEA" w:rsidRPr="008F1881">
        <w:rPr>
          <w:rFonts w:cs="Tahoma"/>
          <w:szCs w:val="20"/>
        </w:rPr>
        <w:t>r</w:t>
      </w:r>
      <w:r w:rsidR="00B055FA" w:rsidRPr="008F1881">
        <w:rPr>
          <w:rFonts w:cs="Tahoma"/>
          <w:szCs w:val="20"/>
        </w:rPr>
        <w:t>egion but are not currently operational. Many of these approved wind farms</w:t>
      </w:r>
      <w:r w:rsidR="006E04AA">
        <w:rPr>
          <w:rFonts w:cs="Tahoma"/>
          <w:szCs w:val="20"/>
        </w:rPr>
        <w:t xml:space="preserve">, which </w:t>
      </w:r>
      <w:r w:rsidR="00B055FA" w:rsidRPr="008F1881">
        <w:rPr>
          <w:rFonts w:cs="Tahoma"/>
          <w:szCs w:val="20"/>
        </w:rPr>
        <w:t>are yet to be constructed</w:t>
      </w:r>
      <w:r w:rsidR="004C014C">
        <w:rPr>
          <w:rFonts w:cs="Tahoma"/>
          <w:szCs w:val="20"/>
        </w:rPr>
        <w:t xml:space="preserve"> or are under construction</w:t>
      </w:r>
      <w:r w:rsidR="006E04AA">
        <w:rPr>
          <w:rFonts w:cs="Tahoma"/>
          <w:szCs w:val="20"/>
        </w:rPr>
        <w:t>,</w:t>
      </w:r>
      <w:r w:rsidR="00B055FA" w:rsidRPr="008F1881">
        <w:rPr>
          <w:rFonts w:cs="Tahoma"/>
          <w:szCs w:val="20"/>
        </w:rPr>
        <w:t xml:space="preserve"> are located in the local government areas of Ararat, Moorabool and Pyrenees.</w:t>
      </w:r>
    </w:p>
    <w:p w:rsidR="00B055FA" w:rsidRPr="008F1881" w:rsidRDefault="006E04AA" w:rsidP="008F522C">
      <w:pPr>
        <w:pStyle w:val="bt"/>
        <w:rPr>
          <w:rFonts w:cs="Tahoma"/>
          <w:szCs w:val="20"/>
        </w:rPr>
      </w:pPr>
      <w:r>
        <w:rPr>
          <w:rFonts w:cs="Tahoma"/>
          <w:szCs w:val="20"/>
        </w:rPr>
        <w:t>Although o</w:t>
      </w:r>
      <w:r w:rsidR="00B055FA" w:rsidRPr="008F1881">
        <w:rPr>
          <w:rFonts w:cs="Tahoma"/>
          <w:szCs w:val="20"/>
        </w:rPr>
        <w:t xml:space="preserve">ther wind farms </w:t>
      </w:r>
      <w:r>
        <w:rPr>
          <w:rFonts w:cs="Tahoma"/>
          <w:szCs w:val="20"/>
        </w:rPr>
        <w:t xml:space="preserve">are </w:t>
      </w:r>
      <w:r w:rsidR="00B055FA" w:rsidRPr="008F1881">
        <w:rPr>
          <w:rFonts w:cs="Tahoma"/>
          <w:szCs w:val="20"/>
        </w:rPr>
        <w:t xml:space="preserve">in the planning </w:t>
      </w:r>
      <w:r>
        <w:rPr>
          <w:rFonts w:cs="Tahoma"/>
          <w:szCs w:val="20"/>
        </w:rPr>
        <w:t>stages</w:t>
      </w:r>
      <w:r w:rsidR="00B055FA" w:rsidRPr="008F1881">
        <w:rPr>
          <w:rFonts w:cs="Tahoma"/>
          <w:szCs w:val="20"/>
        </w:rPr>
        <w:t xml:space="preserve">, the region is at a competitive disadvantage </w:t>
      </w:r>
      <w:r>
        <w:rPr>
          <w:rFonts w:cs="Tahoma"/>
          <w:szCs w:val="20"/>
        </w:rPr>
        <w:t xml:space="preserve">when compared </w:t>
      </w:r>
      <w:r w:rsidR="00B055FA" w:rsidRPr="008F1881">
        <w:rPr>
          <w:rFonts w:cs="Tahoma"/>
          <w:szCs w:val="20"/>
        </w:rPr>
        <w:t>to less populated regional areas in terms of attracting new wind farm development due to the presence of dwellings in rural areas</w:t>
      </w:r>
      <w:r>
        <w:rPr>
          <w:rFonts w:cs="Tahoma"/>
          <w:szCs w:val="20"/>
        </w:rPr>
        <w:t>. T</w:t>
      </w:r>
      <w:r w:rsidR="00B055FA" w:rsidRPr="008F1881">
        <w:rPr>
          <w:rFonts w:cs="Tahoma"/>
          <w:szCs w:val="20"/>
        </w:rPr>
        <w:t>h</w:t>
      </w:r>
      <w:r w:rsidR="00AF3C75">
        <w:rPr>
          <w:rFonts w:cs="Tahoma"/>
          <w:szCs w:val="20"/>
        </w:rPr>
        <w:t xml:space="preserve">is </w:t>
      </w:r>
      <w:r w:rsidR="00B055FA" w:rsidRPr="008F1881">
        <w:rPr>
          <w:rFonts w:cs="Tahoma"/>
          <w:szCs w:val="20"/>
        </w:rPr>
        <w:t xml:space="preserve">may make obtaining approvals more difficult for wind farm proponents. Most notably, </w:t>
      </w:r>
      <w:r w:rsidR="00605A6C" w:rsidRPr="008F1881">
        <w:rPr>
          <w:rFonts w:cs="Tahoma"/>
          <w:szCs w:val="20"/>
        </w:rPr>
        <w:t xml:space="preserve">any </w:t>
      </w:r>
      <w:r w:rsidR="00B055FA" w:rsidRPr="008F1881">
        <w:rPr>
          <w:rFonts w:cs="Tahoma"/>
          <w:szCs w:val="20"/>
        </w:rPr>
        <w:t xml:space="preserve">application that would result in a turbine being located within two kilometres of an existing dwelling </w:t>
      </w:r>
      <w:r w:rsidR="00605A6C" w:rsidRPr="008F1881">
        <w:rPr>
          <w:rFonts w:cs="Tahoma"/>
          <w:szCs w:val="20"/>
        </w:rPr>
        <w:t xml:space="preserve">is required to </w:t>
      </w:r>
      <w:r w:rsidR="00B055FA" w:rsidRPr="008F1881">
        <w:rPr>
          <w:rFonts w:cs="Tahoma"/>
          <w:szCs w:val="20"/>
        </w:rPr>
        <w:t>be accompanied by written consent from the owner</w:t>
      </w:r>
      <w:r w:rsidR="00605A6C" w:rsidRPr="008F1881">
        <w:rPr>
          <w:rFonts w:cs="Tahoma"/>
          <w:szCs w:val="20"/>
        </w:rPr>
        <w:t xml:space="preserve"> of the dwelling</w:t>
      </w:r>
      <w:r w:rsidR="00B055FA" w:rsidRPr="008F1881">
        <w:rPr>
          <w:rFonts w:cs="Tahoma"/>
          <w:szCs w:val="20"/>
        </w:rPr>
        <w:t xml:space="preserve">, otherwise it is not permissible. This </w:t>
      </w:r>
      <w:r w:rsidR="00605A6C" w:rsidRPr="008F1881">
        <w:rPr>
          <w:rFonts w:cs="Tahoma"/>
          <w:szCs w:val="20"/>
        </w:rPr>
        <w:t xml:space="preserve">requirement recognises the </w:t>
      </w:r>
      <w:r w:rsidR="00B055FA" w:rsidRPr="008F1881">
        <w:rPr>
          <w:rFonts w:cs="Tahoma"/>
          <w:szCs w:val="20"/>
        </w:rPr>
        <w:t xml:space="preserve">potential </w:t>
      </w:r>
      <w:r w:rsidR="00605A6C" w:rsidRPr="008F1881">
        <w:rPr>
          <w:rFonts w:cs="Tahoma"/>
          <w:szCs w:val="20"/>
        </w:rPr>
        <w:t xml:space="preserve">amenity </w:t>
      </w:r>
      <w:r w:rsidR="00B055FA" w:rsidRPr="008F1881">
        <w:rPr>
          <w:rFonts w:cs="Tahoma"/>
          <w:szCs w:val="20"/>
        </w:rPr>
        <w:t xml:space="preserve">impacts that may be caused to residents located in close proximity to wind farms. </w:t>
      </w:r>
    </w:p>
    <w:p w:rsidR="00B055FA" w:rsidRPr="008F1881" w:rsidRDefault="00B055FA" w:rsidP="008F522C">
      <w:pPr>
        <w:pStyle w:val="bt"/>
        <w:rPr>
          <w:rFonts w:cs="Tahoma"/>
          <w:szCs w:val="20"/>
        </w:rPr>
      </w:pPr>
      <w:r w:rsidRPr="008F1881">
        <w:rPr>
          <w:rFonts w:cs="Tahoma"/>
          <w:szCs w:val="20"/>
        </w:rPr>
        <w:t xml:space="preserve">Opposition to wind farms resulting from their perceived impact on rural landscapes and potential amenity impacts </w:t>
      </w:r>
      <w:r w:rsidR="00F625D2">
        <w:rPr>
          <w:rFonts w:cs="Tahoma"/>
          <w:szCs w:val="20"/>
        </w:rPr>
        <w:t>has</w:t>
      </w:r>
      <w:r w:rsidR="00F625D2" w:rsidRPr="008F1881">
        <w:rPr>
          <w:rFonts w:cs="Tahoma"/>
          <w:szCs w:val="20"/>
        </w:rPr>
        <w:t xml:space="preserve"> </w:t>
      </w:r>
      <w:r w:rsidRPr="008F1881">
        <w:rPr>
          <w:rFonts w:cs="Tahoma"/>
          <w:szCs w:val="20"/>
        </w:rPr>
        <w:t>been significant in the Central Highlands and need</w:t>
      </w:r>
      <w:r w:rsidR="00F625D2">
        <w:rPr>
          <w:rFonts w:cs="Tahoma"/>
          <w:szCs w:val="20"/>
        </w:rPr>
        <w:t>s</w:t>
      </w:r>
      <w:r w:rsidRPr="008F1881">
        <w:rPr>
          <w:rFonts w:cs="Tahoma"/>
          <w:szCs w:val="20"/>
        </w:rPr>
        <w:t xml:space="preserve"> to be recognised when considering further wind farm developments.</w:t>
      </w:r>
    </w:p>
    <w:p w:rsidR="001F66D6" w:rsidRDefault="00B055FA" w:rsidP="001F66D6">
      <w:pPr>
        <w:pStyle w:val="bt"/>
        <w:rPr>
          <w:rFonts w:cs="Tahoma"/>
          <w:color w:val="000000"/>
          <w:szCs w:val="20"/>
        </w:rPr>
      </w:pPr>
      <w:r w:rsidRPr="008F1881">
        <w:rPr>
          <w:rFonts w:cs="Tahoma"/>
          <w:color w:val="000000"/>
          <w:szCs w:val="20"/>
        </w:rPr>
        <w:lastRenderedPageBreak/>
        <w:t>There is potential for growth in solar power in Victoria</w:t>
      </w:r>
      <w:r w:rsidR="00D0650C">
        <w:rPr>
          <w:rFonts w:cs="Tahoma"/>
          <w:color w:val="000000"/>
          <w:szCs w:val="20"/>
        </w:rPr>
        <w:t>,</w:t>
      </w:r>
      <w:r w:rsidRPr="008F1881">
        <w:rPr>
          <w:rFonts w:cs="Tahoma"/>
          <w:color w:val="000000"/>
          <w:szCs w:val="20"/>
        </w:rPr>
        <w:t xml:space="preserve"> </w:t>
      </w:r>
      <w:r w:rsidR="00AF3C75">
        <w:rPr>
          <w:rFonts w:cs="Tahoma"/>
          <w:color w:val="000000"/>
          <w:szCs w:val="20"/>
        </w:rPr>
        <w:t>although</w:t>
      </w:r>
      <w:r w:rsidRPr="008F1881">
        <w:rPr>
          <w:rFonts w:cs="Tahoma"/>
          <w:color w:val="000000"/>
          <w:szCs w:val="20"/>
        </w:rPr>
        <w:t xml:space="preserve"> the best solar resources are far from population centres and at the margins of existing transmission infrastructure. W</w:t>
      </w:r>
      <w:r w:rsidRPr="008F1881">
        <w:rPr>
          <w:rFonts w:cs="Tahoma"/>
          <w:szCs w:val="20"/>
        </w:rPr>
        <w:t xml:space="preserve">ork conducted to date has identified potential sites for solar installations that align with available </w:t>
      </w:r>
      <w:r w:rsidR="00AF3C75">
        <w:rPr>
          <w:rFonts w:cs="Tahoma"/>
          <w:szCs w:val="20"/>
        </w:rPr>
        <w:t xml:space="preserve">infrastructure </w:t>
      </w:r>
      <w:r w:rsidRPr="008F1881">
        <w:rPr>
          <w:rFonts w:cs="Tahoma"/>
          <w:szCs w:val="20"/>
        </w:rPr>
        <w:t>capacity</w:t>
      </w:r>
      <w:r w:rsidRPr="008F1881">
        <w:rPr>
          <w:rFonts w:cs="Tahoma"/>
          <w:color w:val="000000"/>
          <w:szCs w:val="20"/>
        </w:rPr>
        <w:t>. In the Central Highlands region the Central Victoria Solar Cities Ballarat Solar Park consists of more than 1850 solar panels at Ballarat University and was one of the first examples in Australia of integrated solar panels.</w:t>
      </w:r>
    </w:p>
    <w:p w:rsidR="001F66D6" w:rsidRPr="008F1881" w:rsidRDefault="001F66D6" w:rsidP="001F66D6">
      <w:pPr>
        <w:pStyle w:val="bt"/>
        <w:rPr>
          <w:color w:val="000000"/>
        </w:rPr>
      </w:pPr>
      <w:r w:rsidRPr="008F1881">
        <w:rPr>
          <w:color w:val="000000"/>
        </w:rPr>
        <w:t>Organic matter, or biomass, can be converted into bioenergy (heat, electricity and biofuels) using a variety of technologies. Bioenergy generators tend to be small</w:t>
      </w:r>
      <w:r>
        <w:rPr>
          <w:color w:val="000000"/>
        </w:rPr>
        <w:t>-</w:t>
      </w:r>
      <w:r w:rsidRPr="008F1881">
        <w:rPr>
          <w:color w:val="000000"/>
        </w:rPr>
        <w:t xml:space="preserve">scale and are best suited for local applications such as municipal waste facilities or for on-farm applications. Through the Victorian Local Sustainability Accord, Pyrenees Shire was recognised as the lead council for the Bioenergy Project. This project has received $600,000 of funding from the </w:t>
      </w:r>
      <w:r w:rsidR="003C3A8E">
        <w:rPr>
          <w:color w:val="000000"/>
        </w:rPr>
        <w:t>s</w:t>
      </w:r>
      <w:r w:rsidR="00D815C1">
        <w:rPr>
          <w:color w:val="000000"/>
        </w:rPr>
        <w:t>tate government</w:t>
      </w:r>
      <w:r w:rsidRPr="008F1881">
        <w:rPr>
          <w:color w:val="000000"/>
        </w:rPr>
        <w:t xml:space="preserve"> with the overall aim of develop</w:t>
      </w:r>
      <w:r>
        <w:rPr>
          <w:color w:val="000000"/>
        </w:rPr>
        <w:t>ing</w:t>
      </w:r>
      <w:r w:rsidRPr="008F1881">
        <w:rPr>
          <w:color w:val="000000"/>
        </w:rPr>
        <w:t xml:space="preserve"> bioenergy potential in the </w:t>
      </w:r>
      <w:r>
        <w:rPr>
          <w:color w:val="000000"/>
        </w:rPr>
        <w:t>region.</w:t>
      </w:r>
    </w:p>
    <w:p w:rsidR="001F66D6" w:rsidRPr="008F1881" w:rsidRDefault="001F66D6" w:rsidP="001F66D6">
      <w:pPr>
        <w:pStyle w:val="bt"/>
        <w:rPr>
          <w:color w:val="000000"/>
        </w:rPr>
      </w:pPr>
      <w:r w:rsidRPr="008F1881">
        <w:rPr>
          <w:color w:val="000000"/>
        </w:rPr>
        <w:t xml:space="preserve">One of the region’s biggest employers, McCain Foods, produces 10 per cent of its energy by turning food waste into biogas. Berrybank Farm in the Learmonth/Windermere district has installed a </w:t>
      </w:r>
      <w:r>
        <w:rPr>
          <w:color w:val="000000"/>
        </w:rPr>
        <w:t>‘</w:t>
      </w:r>
      <w:r w:rsidRPr="008F1881">
        <w:rPr>
          <w:color w:val="000000"/>
        </w:rPr>
        <w:t>biodigestor</w:t>
      </w:r>
      <w:r>
        <w:rPr>
          <w:color w:val="000000"/>
        </w:rPr>
        <w:t>’</w:t>
      </w:r>
      <w:r w:rsidRPr="008F1881">
        <w:rPr>
          <w:color w:val="000000"/>
        </w:rPr>
        <w:t xml:space="preserve"> to process piggery manure, producing electricity for its own operation and selling power to the grid. The residue is worked back into crops and used to blend with pine bark to create quality compost and soil conditioners. All City of Ballarat trucks, graders, mowers, utes and garbage compactors are running on </w:t>
      </w:r>
      <w:r>
        <w:rPr>
          <w:color w:val="000000"/>
        </w:rPr>
        <w:t>b</w:t>
      </w:r>
      <w:r w:rsidRPr="008F1881">
        <w:rPr>
          <w:color w:val="000000"/>
        </w:rPr>
        <w:t>iodiesel. The City of Ballarat</w:t>
      </w:r>
      <w:r>
        <w:rPr>
          <w:color w:val="000000"/>
        </w:rPr>
        <w:t>’s</w:t>
      </w:r>
      <w:r w:rsidRPr="008F1881">
        <w:rPr>
          <w:color w:val="000000"/>
        </w:rPr>
        <w:t xml:space="preserve"> landfill at Smythesdale has gas capture and an electricity generation plant which sells clean electricity to the grid.</w:t>
      </w:r>
    </w:p>
    <w:p w:rsidR="00984D0F" w:rsidRDefault="001F66D6" w:rsidP="001F66D6">
      <w:pPr>
        <w:pStyle w:val="bt"/>
        <w:sectPr w:rsidR="00984D0F" w:rsidSect="00C03B2E">
          <w:pgSz w:w="11906" w:h="16838"/>
          <w:pgMar w:top="1560" w:right="1440" w:bottom="851" w:left="1440" w:header="708" w:footer="709" w:gutter="0"/>
          <w:cols w:space="708"/>
          <w:docGrid w:linePitch="360"/>
        </w:sectPr>
      </w:pPr>
      <w:r w:rsidRPr="008F1881">
        <w:t xml:space="preserve">A biodiesel trial is also underway at the </w:t>
      </w:r>
      <w:r w:rsidRPr="008F1881">
        <w:rPr>
          <w:color w:val="000000"/>
        </w:rPr>
        <w:t xml:space="preserve">Ararat Rural City Council </w:t>
      </w:r>
      <w:r>
        <w:rPr>
          <w:color w:val="000000"/>
        </w:rPr>
        <w:t xml:space="preserve">whereby </w:t>
      </w:r>
      <w:r w:rsidRPr="008F1881">
        <w:rPr>
          <w:color w:val="000000"/>
        </w:rPr>
        <w:t xml:space="preserve">algae ponds </w:t>
      </w:r>
      <w:r>
        <w:rPr>
          <w:color w:val="000000"/>
        </w:rPr>
        <w:t xml:space="preserve">are used to </w:t>
      </w:r>
      <w:r w:rsidRPr="008F1881">
        <w:rPr>
          <w:color w:val="000000"/>
        </w:rPr>
        <w:t>produc</w:t>
      </w:r>
      <w:r>
        <w:rPr>
          <w:color w:val="000000"/>
        </w:rPr>
        <w:t xml:space="preserve">e </w:t>
      </w:r>
      <w:r w:rsidRPr="008F1881">
        <w:rPr>
          <w:color w:val="000000"/>
        </w:rPr>
        <w:t>oil</w:t>
      </w:r>
      <w:r>
        <w:rPr>
          <w:color w:val="000000"/>
        </w:rPr>
        <w:t>,</w:t>
      </w:r>
      <w:r w:rsidRPr="008F1881">
        <w:rPr>
          <w:color w:val="000000"/>
        </w:rPr>
        <w:t xml:space="preserve"> which is </w:t>
      </w:r>
      <w:r>
        <w:rPr>
          <w:color w:val="000000"/>
        </w:rPr>
        <w:t xml:space="preserve">then </w:t>
      </w:r>
      <w:r w:rsidRPr="008F1881">
        <w:rPr>
          <w:color w:val="000000"/>
        </w:rPr>
        <w:t xml:space="preserve">transformed into biodiesel. This could lead to the establishment of a </w:t>
      </w:r>
      <w:r>
        <w:rPr>
          <w:color w:val="000000"/>
        </w:rPr>
        <w:t xml:space="preserve">local </w:t>
      </w:r>
      <w:r w:rsidRPr="008F1881">
        <w:rPr>
          <w:color w:val="000000"/>
        </w:rPr>
        <w:t>biodiesel plant. The aim of the trial is to determine which species of algae produces the best oil.</w:t>
      </w:r>
      <w:r w:rsidRPr="008F1881">
        <w:t xml:space="preserve"> </w:t>
      </w:r>
    </w:p>
    <w:p w:rsidR="008F1881" w:rsidRPr="00D42DE9" w:rsidRDefault="00EA2570" w:rsidP="00D42DE9">
      <w:pPr>
        <w:pStyle w:val="Caption"/>
      </w:pPr>
      <w:bookmarkStart w:id="174" w:name="_Ref349223142"/>
      <w:r>
        <w:rPr>
          <w:noProof/>
        </w:rPr>
        <w:lastRenderedPageBreak/>
        <w:drawing>
          <wp:anchor distT="0" distB="0" distL="114300" distR="114300" simplePos="0" relativeHeight="251677696" behindDoc="0" locked="0" layoutInCell="1" allowOverlap="1">
            <wp:simplePos x="0" y="0"/>
            <wp:positionH relativeFrom="column">
              <wp:posOffset>10160</wp:posOffset>
            </wp:positionH>
            <wp:positionV relativeFrom="paragraph">
              <wp:posOffset>190500</wp:posOffset>
            </wp:positionV>
            <wp:extent cx="8640445" cy="5435600"/>
            <wp:effectExtent l="19050" t="0" r="8255" b="0"/>
            <wp:wrapTopAndBottom/>
            <wp:docPr id="21" name="Picture 42" descr="Map of Victoria showing energy in the fu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p of Victoria showing energy in the future "/>
                    <pic:cNvPicPr>
                      <a:picLocks noChangeAspect="1" noChangeArrowheads="1"/>
                    </pic:cNvPicPr>
                  </pic:nvPicPr>
                  <pic:blipFill>
                    <a:blip r:embed="rId45" cstate="email"/>
                    <a:srcRect/>
                    <a:stretch>
                      <a:fillRect/>
                    </a:stretch>
                  </pic:blipFill>
                  <pic:spPr bwMode="auto">
                    <a:xfrm>
                      <a:off x="0" y="0"/>
                      <a:ext cx="8640445" cy="5435600"/>
                    </a:xfrm>
                    <a:prstGeom prst="rect">
                      <a:avLst/>
                    </a:prstGeom>
                    <a:noFill/>
                    <a:ln w="9525">
                      <a:noFill/>
                      <a:miter lim="800000"/>
                      <a:headEnd/>
                      <a:tailEnd/>
                    </a:ln>
                  </pic:spPr>
                </pic:pic>
              </a:graphicData>
            </a:graphic>
          </wp:anchor>
        </w:drawing>
      </w:r>
      <w:bookmarkStart w:id="175" w:name="_Toc381698024"/>
      <w:r w:rsidR="00872FD7" w:rsidRPr="00D42DE9">
        <w:t xml:space="preserve">Figure </w:t>
      </w:r>
      <w:r w:rsidR="009F388E">
        <w:fldChar w:fldCharType="begin"/>
      </w:r>
      <w:r w:rsidR="00821C7F">
        <w:instrText xml:space="preserve"> SEQ Figure \* ARABIC </w:instrText>
      </w:r>
      <w:r w:rsidR="009F388E">
        <w:fldChar w:fldCharType="separate"/>
      </w:r>
      <w:r w:rsidR="00907B42">
        <w:rPr>
          <w:noProof/>
        </w:rPr>
        <w:t>24</w:t>
      </w:r>
      <w:r w:rsidR="009F388E">
        <w:fldChar w:fldCharType="end"/>
      </w:r>
      <w:bookmarkEnd w:id="174"/>
      <w:r w:rsidR="006E04AA" w:rsidRPr="00D42DE9">
        <w:t>:</w:t>
      </w:r>
      <w:r w:rsidR="00BD549B" w:rsidRPr="00BD549B">
        <w:t xml:space="preserve"> Energy in the future</w:t>
      </w:r>
      <w:bookmarkEnd w:id="175"/>
      <w:r w:rsidR="00BD549B" w:rsidRPr="00BD549B">
        <w:t xml:space="preserve"> </w:t>
      </w:r>
    </w:p>
    <w:p w:rsidR="00984D0F" w:rsidRPr="00984D0F" w:rsidRDefault="008F522C" w:rsidP="00CB41DC">
      <w:pPr>
        <w:pStyle w:val="Source0"/>
        <w:sectPr w:rsidR="00984D0F" w:rsidRPr="00984D0F" w:rsidSect="00C03B2E">
          <w:pgSz w:w="16838" w:h="11906" w:orient="landscape"/>
          <w:pgMar w:top="1560" w:right="1440" w:bottom="851" w:left="993" w:header="708" w:footer="709" w:gutter="0"/>
          <w:cols w:space="708"/>
          <w:docGrid w:linePitch="360"/>
        </w:sectPr>
      </w:pPr>
      <w:r w:rsidRPr="00984D0F">
        <w:t xml:space="preserve">Source: Department of </w:t>
      </w:r>
      <w:r w:rsidR="00EA2570">
        <w:t xml:space="preserve">Environment and </w:t>
      </w:r>
      <w:r w:rsidRPr="00984D0F">
        <w:t xml:space="preserve">Primary </w:t>
      </w:r>
      <w:r w:rsidR="00547E46" w:rsidRPr="00984D0F">
        <w:t>Industr</w:t>
      </w:r>
      <w:r w:rsidR="00EA2570">
        <w:t>ies</w:t>
      </w:r>
    </w:p>
    <w:p w:rsidR="008F1881" w:rsidRPr="0081230E" w:rsidRDefault="009F09AE" w:rsidP="0081230E">
      <w:pPr>
        <w:pStyle w:val="Heading40"/>
      </w:pPr>
      <w:r w:rsidRPr="0081230E">
        <w:lastRenderedPageBreak/>
        <w:t>Carbon economy</w:t>
      </w:r>
    </w:p>
    <w:p w:rsidR="00B055FA" w:rsidRPr="008F522C" w:rsidRDefault="00E040E7" w:rsidP="008F522C">
      <w:pPr>
        <w:pStyle w:val="bt"/>
        <w:rPr>
          <w:szCs w:val="20"/>
        </w:rPr>
      </w:pPr>
      <w:r>
        <w:t>C</w:t>
      </w:r>
      <w:r w:rsidR="00B055FA" w:rsidRPr="008F522C">
        <w:t xml:space="preserve">arbon </w:t>
      </w:r>
      <w:r>
        <w:t>trading</w:t>
      </w:r>
      <w:r w:rsidR="00B055FA" w:rsidRPr="008F522C">
        <w:t xml:space="preserve"> is still quite new </w:t>
      </w:r>
      <w:r w:rsidR="00D0650C" w:rsidRPr="008F522C">
        <w:t>and accordingly there are only limited</w:t>
      </w:r>
      <w:r w:rsidR="00B055FA" w:rsidRPr="008F522C">
        <w:t xml:space="preserve"> projects identified around the carbon economy. As broadacre farming is the major </w:t>
      </w:r>
      <w:r w:rsidR="00605A6C" w:rsidRPr="008F522C">
        <w:t xml:space="preserve">rural land use in </w:t>
      </w:r>
      <w:r w:rsidR="00B055FA" w:rsidRPr="008F522C">
        <w:t>the</w:t>
      </w:r>
      <w:r w:rsidR="00557367" w:rsidRPr="008F522C">
        <w:t xml:space="preserve"> </w:t>
      </w:r>
      <w:r w:rsidR="00B055FA" w:rsidRPr="008F522C">
        <w:t>region</w:t>
      </w:r>
      <w:r w:rsidR="00557367" w:rsidRPr="008F522C">
        <w:t>,</w:t>
      </w:r>
      <w:r w:rsidR="00B055FA" w:rsidRPr="008F522C">
        <w:t xml:space="preserve"> work to identify possible opportunities and threats </w:t>
      </w:r>
      <w:r w:rsidR="00557367" w:rsidRPr="008F522C">
        <w:t xml:space="preserve">is underway through collaboration between the </w:t>
      </w:r>
      <w:r w:rsidR="003C3A8E">
        <w:t>s</w:t>
      </w:r>
      <w:r w:rsidR="00D815C1">
        <w:t>tate government</w:t>
      </w:r>
      <w:r w:rsidR="00F625D2" w:rsidRPr="008F522C">
        <w:t xml:space="preserve"> </w:t>
      </w:r>
      <w:r w:rsidR="00B055FA" w:rsidRPr="008F522C">
        <w:t xml:space="preserve">and regional primary producers. Some smaller industries have started to align their operations to take </w:t>
      </w:r>
      <w:r w:rsidR="00B055FA" w:rsidRPr="008F522C">
        <w:rPr>
          <w:szCs w:val="20"/>
        </w:rPr>
        <w:t>advantage of a</w:t>
      </w:r>
      <w:r w:rsidR="008F522C" w:rsidRPr="008F522C">
        <w:t xml:space="preserve"> less carbon intensive economy.</w:t>
      </w:r>
    </w:p>
    <w:p w:rsidR="00703973" w:rsidRDefault="00B055FA" w:rsidP="002F1357">
      <w:pPr>
        <w:pStyle w:val="bt"/>
        <w:rPr>
          <w:szCs w:val="20"/>
        </w:rPr>
      </w:pPr>
      <w:r w:rsidRPr="008F522C">
        <w:rPr>
          <w:szCs w:val="20"/>
        </w:rPr>
        <w:t xml:space="preserve">The Carbon Farming Initiative will enable farmers to enter the carbon market, and be paid to provide carbon offsets. This could be through soil carbon storage or through the planting of vegetation. </w:t>
      </w:r>
      <w:r w:rsidR="00F625D2" w:rsidRPr="008F522C">
        <w:rPr>
          <w:szCs w:val="20"/>
        </w:rPr>
        <w:t>L</w:t>
      </w:r>
      <w:r w:rsidRPr="008F522C">
        <w:rPr>
          <w:szCs w:val="20"/>
        </w:rPr>
        <w:t>andholder</w:t>
      </w:r>
      <w:r w:rsidR="00F625D2" w:rsidRPr="008F522C">
        <w:rPr>
          <w:szCs w:val="20"/>
        </w:rPr>
        <w:t>s,</w:t>
      </w:r>
      <w:r w:rsidRPr="008F522C">
        <w:rPr>
          <w:szCs w:val="20"/>
        </w:rPr>
        <w:t xml:space="preserve"> including small landholders</w:t>
      </w:r>
      <w:r w:rsidR="00F625D2" w:rsidRPr="008F522C">
        <w:rPr>
          <w:szCs w:val="20"/>
        </w:rPr>
        <w:t>,</w:t>
      </w:r>
      <w:r w:rsidRPr="008F522C">
        <w:rPr>
          <w:szCs w:val="20"/>
        </w:rPr>
        <w:t xml:space="preserve"> could choose to </w:t>
      </w:r>
      <w:r w:rsidR="00557367" w:rsidRPr="008F522C">
        <w:rPr>
          <w:szCs w:val="20"/>
        </w:rPr>
        <w:t xml:space="preserve">establish </w:t>
      </w:r>
      <w:r w:rsidRPr="008F522C">
        <w:rPr>
          <w:szCs w:val="20"/>
        </w:rPr>
        <w:t>plantations on their property</w:t>
      </w:r>
      <w:r w:rsidR="00557367" w:rsidRPr="008F522C">
        <w:rPr>
          <w:szCs w:val="20"/>
        </w:rPr>
        <w:t xml:space="preserve"> to capture carbon</w:t>
      </w:r>
      <w:r w:rsidRPr="008F522C">
        <w:rPr>
          <w:szCs w:val="20"/>
        </w:rPr>
        <w:t xml:space="preserve">. This could have significant implications for future rural land use in a similar way to the widespread establishment of plantations in </w:t>
      </w:r>
      <w:r w:rsidR="008C15E2" w:rsidRPr="008F522C">
        <w:rPr>
          <w:szCs w:val="20"/>
        </w:rPr>
        <w:t xml:space="preserve">Victoria’s </w:t>
      </w:r>
      <w:r w:rsidRPr="008F522C">
        <w:rPr>
          <w:szCs w:val="20"/>
        </w:rPr>
        <w:t>south</w:t>
      </w:r>
      <w:r w:rsidR="008C15E2" w:rsidRPr="008F522C">
        <w:rPr>
          <w:szCs w:val="20"/>
        </w:rPr>
        <w:t>-</w:t>
      </w:r>
      <w:r w:rsidRPr="008F522C">
        <w:rPr>
          <w:szCs w:val="20"/>
        </w:rPr>
        <w:t>west</w:t>
      </w:r>
      <w:r w:rsidR="008C15E2" w:rsidRPr="008F522C">
        <w:rPr>
          <w:szCs w:val="20"/>
        </w:rPr>
        <w:t xml:space="preserve">, </w:t>
      </w:r>
      <w:r w:rsidRPr="008F522C">
        <w:rPr>
          <w:szCs w:val="20"/>
        </w:rPr>
        <w:t xml:space="preserve">which have replaced livestock. This may also have implications for </w:t>
      </w:r>
      <w:r w:rsidR="00596988">
        <w:rPr>
          <w:szCs w:val="20"/>
        </w:rPr>
        <w:t>bush</w:t>
      </w:r>
      <w:r w:rsidRPr="008F522C">
        <w:rPr>
          <w:szCs w:val="20"/>
        </w:rPr>
        <w:t>fire risk.</w:t>
      </w:r>
    </w:p>
    <w:p w:rsidR="008F1881" w:rsidRPr="0081230E" w:rsidRDefault="009F09AE" w:rsidP="0081230E">
      <w:pPr>
        <w:pStyle w:val="Heading40"/>
      </w:pPr>
      <w:r w:rsidRPr="0081230E">
        <w:t>Industrial land supply and opportunities</w:t>
      </w:r>
    </w:p>
    <w:p w:rsidR="00B055FA" w:rsidRPr="008F1881" w:rsidRDefault="00B055FA" w:rsidP="008F522C">
      <w:pPr>
        <w:pStyle w:val="bt"/>
        <w:rPr>
          <w:rFonts w:cs="Tahoma"/>
          <w:szCs w:val="20"/>
        </w:rPr>
      </w:pPr>
      <w:r w:rsidRPr="008F1881">
        <w:rPr>
          <w:rFonts w:cs="Tahoma"/>
          <w:szCs w:val="20"/>
        </w:rPr>
        <w:t xml:space="preserve">There is a need to ensure sufficient land supply for industrial and commercial uses to support expansion of local industry and </w:t>
      </w:r>
      <w:r w:rsidR="008C15E2">
        <w:rPr>
          <w:rFonts w:cs="Tahoma"/>
          <w:szCs w:val="20"/>
        </w:rPr>
        <w:t xml:space="preserve">help </w:t>
      </w:r>
      <w:r w:rsidRPr="008F1881">
        <w:rPr>
          <w:rFonts w:cs="Tahoma"/>
          <w:szCs w:val="20"/>
        </w:rPr>
        <w:t>diversif</w:t>
      </w:r>
      <w:r w:rsidR="008C15E2">
        <w:rPr>
          <w:rFonts w:cs="Tahoma"/>
          <w:szCs w:val="20"/>
        </w:rPr>
        <w:t>y</w:t>
      </w:r>
      <w:r w:rsidRPr="008F1881">
        <w:rPr>
          <w:rFonts w:cs="Tahoma"/>
          <w:szCs w:val="20"/>
        </w:rPr>
        <w:t xml:space="preserve"> the local economy. A lack of industrial or commercial land supply could place constraints on </w:t>
      </w:r>
      <w:r w:rsidR="00557367" w:rsidRPr="008F1881">
        <w:rPr>
          <w:rFonts w:cs="Tahoma"/>
          <w:szCs w:val="20"/>
        </w:rPr>
        <w:t>the establishment or expansion of industry</w:t>
      </w:r>
      <w:r w:rsidRPr="008F1881">
        <w:rPr>
          <w:rFonts w:cs="Tahoma"/>
          <w:szCs w:val="20"/>
        </w:rPr>
        <w:t xml:space="preserve">. There are varying levels of information available in the region about industrial land requirements. </w:t>
      </w:r>
    </w:p>
    <w:p w:rsidR="00B055FA" w:rsidRPr="008F1881" w:rsidRDefault="00B055FA" w:rsidP="008F522C">
      <w:pPr>
        <w:pStyle w:val="bt"/>
        <w:rPr>
          <w:rFonts w:cs="Tahoma"/>
          <w:szCs w:val="20"/>
        </w:rPr>
      </w:pPr>
      <w:r w:rsidRPr="008F1881">
        <w:rPr>
          <w:rFonts w:cs="Tahoma"/>
          <w:szCs w:val="20"/>
        </w:rPr>
        <w:t xml:space="preserve">The most recent, systematic collection of industrial land supply across the region was undertaken in 2007 as part of the Urban Development Program </w:t>
      </w:r>
      <w:r w:rsidR="003C3A8E">
        <w:rPr>
          <w:rFonts w:cs="Tahoma"/>
          <w:szCs w:val="20"/>
        </w:rPr>
        <w:t xml:space="preserve">which is </w:t>
      </w:r>
      <w:r w:rsidRPr="008F1881">
        <w:rPr>
          <w:rFonts w:cs="Tahoma"/>
          <w:szCs w:val="20"/>
        </w:rPr>
        <w:t>managed by the</w:t>
      </w:r>
      <w:r w:rsidR="00994898">
        <w:rPr>
          <w:rFonts w:cs="Tahoma"/>
          <w:szCs w:val="20"/>
        </w:rPr>
        <w:t xml:space="preserve"> </w:t>
      </w:r>
      <w:r w:rsidRPr="008F1881">
        <w:rPr>
          <w:rFonts w:cs="Tahoma"/>
          <w:szCs w:val="20"/>
        </w:rPr>
        <w:t xml:space="preserve">Department of </w:t>
      </w:r>
      <w:r w:rsidR="003C3A8E">
        <w:rPr>
          <w:rFonts w:cs="Tahoma"/>
          <w:szCs w:val="20"/>
        </w:rPr>
        <w:t xml:space="preserve">Transport, </w:t>
      </w:r>
      <w:r w:rsidRPr="008F1881">
        <w:rPr>
          <w:rFonts w:cs="Tahoma"/>
          <w:szCs w:val="20"/>
        </w:rPr>
        <w:t xml:space="preserve">Planning and </w:t>
      </w:r>
      <w:r w:rsidR="003C3A8E">
        <w:rPr>
          <w:rFonts w:cs="Tahoma"/>
          <w:szCs w:val="20"/>
        </w:rPr>
        <w:t>Local Infrastructure</w:t>
      </w:r>
      <w:r w:rsidRPr="008F1881">
        <w:rPr>
          <w:rFonts w:cs="Tahoma"/>
          <w:szCs w:val="20"/>
        </w:rPr>
        <w:t xml:space="preserve">. The </w:t>
      </w:r>
      <w:r w:rsidR="003C3A8E">
        <w:rPr>
          <w:rFonts w:cs="Tahoma"/>
          <w:szCs w:val="20"/>
        </w:rPr>
        <w:t>a</w:t>
      </w:r>
      <w:r w:rsidRPr="00227110">
        <w:rPr>
          <w:rFonts w:cs="Tahoma"/>
          <w:szCs w:val="20"/>
        </w:rPr>
        <w:t xml:space="preserve">udit of </w:t>
      </w:r>
      <w:r w:rsidR="00DD3EE6" w:rsidRPr="00227110">
        <w:rPr>
          <w:rFonts w:cs="Tahoma"/>
          <w:szCs w:val="20"/>
        </w:rPr>
        <w:t>i</w:t>
      </w:r>
      <w:r w:rsidRPr="00227110">
        <w:rPr>
          <w:rFonts w:cs="Tahoma"/>
          <w:szCs w:val="20"/>
        </w:rPr>
        <w:t xml:space="preserve">ndustrial </w:t>
      </w:r>
      <w:r w:rsidR="00DD3EE6" w:rsidRPr="00227110">
        <w:rPr>
          <w:rFonts w:cs="Tahoma"/>
          <w:szCs w:val="20"/>
        </w:rPr>
        <w:t>l</w:t>
      </w:r>
      <w:r w:rsidRPr="00227110">
        <w:rPr>
          <w:rFonts w:cs="Tahoma"/>
          <w:szCs w:val="20"/>
        </w:rPr>
        <w:t xml:space="preserve">and in </w:t>
      </w:r>
      <w:r w:rsidR="00DD3EE6" w:rsidRPr="00227110">
        <w:rPr>
          <w:rFonts w:cs="Tahoma"/>
          <w:szCs w:val="20"/>
        </w:rPr>
        <w:t>p</w:t>
      </w:r>
      <w:r w:rsidRPr="00227110">
        <w:rPr>
          <w:rFonts w:cs="Tahoma"/>
          <w:szCs w:val="20"/>
        </w:rPr>
        <w:t xml:space="preserve">rovincial Victoria </w:t>
      </w:r>
      <w:r w:rsidRPr="008F1881">
        <w:rPr>
          <w:rFonts w:cs="Tahoma"/>
          <w:szCs w:val="20"/>
        </w:rPr>
        <w:t xml:space="preserve">identified total industrial zoned land and how much of this is occupied or vacant. </w:t>
      </w:r>
    </w:p>
    <w:p w:rsidR="001966B1" w:rsidRDefault="00631B16" w:rsidP="001F66D6">
      <w:pPr>
        <w:pStyle w:val="bt"/>
        <w:rPr>
          <w:rFonts w:cs="Tahoma"/>
          <w:szCs w:val="20"/>
        </w:rPr>
      </w:pPr>
      <w:r>
        <w:fldChar w:fldCharType="begin"/>
      </w:r>
      <w:r>
        <w:instrText xml:space="preserve"> REF _Ref349223371 \h  \* MERGEFORMAT </w:instrText>
      </w:r>
      <w:r>
        <w:fldChar w:fldCharType="separate"/>
      </w:r>
      <w:r w:rsidR="00907B42" w:rsidRPr="00D42DE9">
        <w:t xml:space="preserve">Figure </w:t>
      </w:r>
      <w:r w:rsidR="00907B42">
        <w:rPr>
          <w:noProof/>
        </w:rPr>
        <w:t>25</w:t>
      </w:r>
      <w:r>
        <w:fldChar w:fldCharType="end"/>
      </w:r>
      <w:r w:rsidR="00DD3825" w:rsidRPr="008F1881">
        <w:rPr>
          <w:rFonts w:cs="Tahoma"/>
          <w:szCs w:val="20"/>
        </w:rPr>
        <w:t xml:space="preserve"> </w:t>
      </w:r>
      <w:r w:rsidR="00B055FA" w:rsidRPr="008F1881">
        <w:rPr>
          <w:rFonts w:cs="Tahoma"/>
          <w:szCs w:val="20"/>
        </w:rPr>
        <w:t xml:space="preserve">shows </w:t>
      </w:r>
      <w:r w:rsidR="00E72E55">
        <w:rPr>
          <w:rFonts w:cs="Tahoma"/>
          <w:szCs w:val="20"/>
        </w:rPr>
        <w:t xml:space="preserve">the </w:t>
      </w:r>
      <w:r w:rsidR="00B055FA" w:rsidRPr="008F1881">
        <w:rPr>
          <w:rFonts w:cs="Tahoma"/>
          <w:szCs w:val="20"/>
        </w:rPr>
        <w:t>vacancy rates of industrial land are above the regional Victorian average of 33</w:t>
      </w:r>
      <w:r w:rsidR="00E72E55">
        <w:rPr>
          <w:rFonts w:cs="Tahoma"/>
          <w:szCs w:val="20"/>
        </w:rPr>
        <w:t xml:space="preserve"> </w:t>
      </w:r>
      <w:r w:rsidR="001F619E" w:rsidRPr="001F619E">
        <w:rPr>
          <w:rFonts w:cs="Tahoma"/>
          <w:szCs w:val="20"/>
        </w:rPr>
        <w:t>per cent</w:t>
      </w:r>
      <w:r w:rsidR="00B055FA" w:rsidRPr="00E72E55">
        <w:rPr>
          <w:rFonts w:cs="Tahoma"/>
          <w:szCs w:val="20"/>
        </w:rPr>
        <w:t xml:space="preserve"> in</w:t>
      </w:r>
      <w:r w:rsidR="00B055FA" w:rsidRPr="008F1881">
        <w:rPr>
          <w:rFonts w:cs="Tahoma"/>
          <w:szCs w:val="20"/>
        </w:rPr>
        <w:t xml:space="preserve"> all </w:t>
      </w:r>
      <w:r w:rsidR="00E72E55">
        <w:rPr>
          <w:rFonts w:cs="Tahoma"/>
          <w:szCs w:val="20"/>
        </w:rPr>
        <w:t xml:space="preserve">local government areas, </w:t>
      </w:r>
      <w:r w:rsidR="00B055FA" w:rsidRPr="008F1881">
        <w:rPr>
          <w:rFonts w:cs="Tahoma"/>
          <w:szCs w:val="20"/>
        </w:rPr>
        <w:t>except for Ararat and Moorabool.</w:t>
      </w:r>
    </w:p>
    <w:p w:rsidR="00934BE8" w:rsidRPr="00934BE8" w:rsidRDefault="00872FD7" w:rsidP="00934BE8">
      <w:pPr>
        <w:pStyle w:val="Caption"/>
      </w:pPr>
      <w:bookmarkStart w:id="176" w:name="_Ref349223371"/>
      <w:bookmarkStart w:id="177" w:name="_Toc381698025"/>
      <w:r w:rsidRPr="00D42DE9">
        <w:t xml:space="preserve">Figure </w:t>
      </w:r>
      <w:r w:rsidR="009F388E">
        <w:fldChar w:fldCharType="begin"/>
      </w:r>
      <w:r w:rsidR="00821C7F">
        <w:instrText xml:space="preserve"> SEQ Figure \* ARABIC </w:instrText>
      </w:r>
      <w:r w:rsidR="009F388E">
        <w:fldChar w:fldCharType="separate"/>
      </w:r>
      <w:r w:rsidR="00907B42">
        <w:rPr>
          <w:noProof/>
        </w:rPr>
        <w:t>25</w:t>
      </w:r>
      <w:r w:rsidR="009F388E">
        <w:fldChar w:fldCharType="end"/>
      </w:r>
      <w:bookmarkEnd w:id="176"/>
      <w:r w:rsidR="00E72E55" w:rsidRPr="00D42DE9">
        <w:t>:</w:t>
      </w:r>
      <w:r w:rsidR="00B055FA" w:rsidRPr="00D42DE9">
        <w:t xml:space="preserve"> Industrial land supply</w:t>
      </w:r>
      <w:bookmarkEnd w:id="177"/>
      <w:r w:rsidR="00B055FA" w:rsidRPr="00D42DE9">
        <w:t xml:space="preserve"> </w:t>
      </w:r>
    </w:p>
    <w:p w:rsidR="00934BE8" w:rsidRDefault="00934BE8" w:rsidP="00934BE8">
      <w:pPr>
        <w:pStyle w:val="bt"/>
        <w:spacing w:after="120"/>
        <w:rPr>
          <w:rFonts w:eastAsia="Times New Roman"/>
        </w:rPr>
      </w:pPr>
      <w:r w:rsidRPr="006B57D9">
        <w:rPr>
          <w:rFonts w:eastAsia="Times New Roman"/>
        </w:rPr>
        <w:t>Ararat</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Total hectares</w:t>
      </w:r>
      <w:r>
        <w:rPr>
          <w:rFonts w:eastAsia="Times New Roman"/>
        </w:rPr>
        <w:t xml:space="preserve"> – 186</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Occupied hectares</w:t>
      </w:r>
      <w:r>
        <w:rPr>
          <w:rFonts w:eastAsia="Times New Roman"/>
        </w:rPr>
        <w:t xml:space="preserve"> – 147</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Vacant hectares</w:t>
      </w:r>
      <w:r>
        <w:rPr>
          <w:rFonts w:eastAsia="Times New Roman"/>
        </w:rPr>
        <w:t xml:space="preserve"> – 39</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Vacancy rate by total area</w:t>
      </w:r>
      <w:r>
        <w:rPr>
          <w:rFonts w:eastAsia="Times New Roman"/>
        </w:rPr>
        <w:t xml:space="preserve"> – 21%</w:t>
      </w:r>
    </w:p>
    <w:p w:rsidR="00934BE8" w:rsidRPr="00934BE8" w:rsidRDefault="00934BE8" w:rsidP="00934BE8">
      <w:pPr>
        <w:pStyle w:val="bt"/>
        <w:numPr>
          <w:ilvl w:val="0"/>
          <w:numId w:val="41"/>
        </w:numPr>
        <w:spacing w:before="120" w:after="120"/>
        <w:ind w:left="714" w:hanging="357"/>
      </w:pPr>
      <w:r w:rsidRPr="00934BE8">
        <w:rPr>
          <w:rFonts w:eastAsia="Times New Roman"/>
        </w:rPr>
        <w:t>Occupancy rate by total area</w:t>
      </w:r>
      <w:r>
        <w:rPr>
          <w:rFonts w:eastAsia="Times New Roman"/>
        </w:rPr>
        <w:t xml:space="preserve"> – 79%</w:t>
      </w:r>
    </w:p>
    <w:p w:rsidR="00934BE8" w:rsidRDefault="00934BE8" w:rsidP="00934BE8">
      <w:pPr>
        <w:pStyle w:val="bt"/>
        <w:spacing w:after="120"/>
        <w:rPr>
          <w:rFonts w:eastAsia="Times New Roman"/>
        </w:rPr>
      </w:pPr>
      <w:r>
        <w:rPr>
          <w:rFonts w:eastAsia="Times New Roman"/>
        </w:rPr>
        <w:t>Ballarat</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Total hectares</w:t>
      </w:r>
      <w:r>
        <w:rPr>
          <w:rFonts w:eastAsia="Times New Roman"/>
        </w:rPr>
        <w:t xml:space="preserve"> – 1103</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Occupied hectares</w:t>
      </w:r>
      <w:r>
        <w:rPr>
          <w:rFonts w:eastAsia="Times New Roman"/>
        </w:rPr>
        <w:t xml:space="preserve"> – 623</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Vacant hectares</w:t>
      </w:r>
      <w:r>
        <w:rPr>
          <w:rFonts w:eastAsia="Times New Roman"/>
        </w:rPr>
        <w:t xml:space="preserve"> – 480</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Vacancy rate by total area</w:t>
      </w:r>
      <w:r>
        <w:rPr>
          <w:rFonts w:eastAsia="Times New Roman"/>
        </w:rPr>
        <w:t xml:space="preserve"> – 44%</w:t>
      </w:r>
    </w:p>
    <w:p w:rsidR="00934BE8" w:rsidRPr="00934BE8" w:rsidRDefault="00934BE8" w:rsidP="00934BE8">
      <w:pPr>
        <w:pStyle w:val="bt"/>
        <w:numPr>
          <w:ilvl w:val="0"/>
          <w:numId w:val="41"/>
        </w:numPr>
        <w:spacing w:before="120" w:after="120"/>
        <w:ind w:left="714" w:hanging="357"/>
      </w:pPr>
      <w:r w:rsidRPr="00934BE8">
        <w:rPr>
          <w:rFonts w:eastAsia="Times New Roman"/>
        </w:rPr>
        <w:t>Occupancy rate by total area</w:t>
      </w:r>
      <w:r>
        <w:rPr>
          <w:rFonts w:eastAsia="Times New Roman"/>
        </w:rPr>
        <w:t xml:space="preserve"> – 56%</w:t>
      </w:r>
    </w:p>
    <w:p w:rsidR="00934BE8" w:rsidRDefault="00934BE8" w:rsidP="00934BE8">
      <w:pPr>
        <w:pStyle w:val="bt"/>
        <w:spacing w:after="120"/>
        <w:rPr>
          <w:rFonts w:eastAsia="Times New Roman"/>
        </w:rPr>
      </w:pPr>
      <w:r>
        <w:rPr>
          <w:rFonts w:eastAsia="Times New Roman"/>
        </w:rPr>
        <w:t>Golden Plains</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Total hectares</w:t>
      </w:r>
      <w:r>
        <w:rPr>
          <w:rFonts w:eastAsia="Times New Roman"/>
        </w:rPr>
        <w:t xml:space="preserve"> – 18</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lastRenderedPageBreak/>
        <w:t>Occupied hectares</w:t>
      </w:r>
      <w:r>
        <w:rPr>
          <w:rFonts w:eastAsia="Times New Roman"/>
        </w:rPr>
        <w:t xml:space="preserve"> – 7</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Vacant hectares</w:t>
      </w:r>
      <w:r>
        <w:rPr>
          <w:rFonts w:eastAsia="Times New Roman"/>
        </w:rPr>
        <w:t xml:space="preserve"> – 11</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Vacancy rate by total area</w:t>
      </w:r>
      <w:r>
        <w:rPr>
          <w:rFonts w:eastAsia="Times New Roman"/>
        </w:rPr>
        <w:t xml:space="preserve"> – 61%</w:t>
      </w:r>
    </w:p>
    <w:p w:rsidR="00934BE8" w:rsidRPr="00934BE8" w:rsidRDefault="00934BE8" w:rsidP="00934BE8">
      <w:pPr>
        <w:pStyle w:val="bt"/>
        <w:numPr>
          <w:ilvl w:val="0"/>
          <w:numId w:val="41"/>
        </w:numPr>
        <w:spacing w:before="120" w:after="120"/>
        <w:ind w:left="714" w:hanging="357"/>
      </w:pPr>
      <w:r w:rsidRPr="00934BE8">
        <w:rPr>
          <w:rFonts w:eastAsia="Times New Roman"/>
        </w:rPr>
        <w:t>Occupancy rate by total area</w:t>
      </w:r>
      <w:r>
        <w:rPr>
          <w:rFonts w:eastAsia="Times New Roman"/>
        </w:rPr>
        <w:t xml:space="preserve"> – 18%</w:t>
      </w:r>
    </w:p>
    <w:p w:rsidR="00934BE8" w:rsidRDefault="00934BE8" w:rsidP="00934BE8">
      <w:pPr>
        <w:pStyle w:val="bt"/>
        <w:spacing w:after="120"/>
        <w:rPr>
          <w:rFonts w:eastAsia="Times New Roman"/>
        </w:rPr>
      </w:pPr>
      <w:r>
        <w:rPr>
          <w:rFonts w:eastAsia="Times New Roman"/>
        </w:rPr>
        <w:t>Hepburn</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Total hectares</w:t>
      </w:r>
      <w:r>
        <w:rPr>
          <w:rFonts w:eastAsia="Times New Roman"/>
        </w:rPr>
        <w:t xml:space="preserve"> – 68</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Occupied hectares</w:t>
      </w:r>
      <w:r>
        <w:rPr>
          <w:rFonts w:eastAsia="Times New Roman"/>
        </w:rPr>
        <w:t xml:space="preserve"> – 40</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Vacant hectares</w:t>
      </w:r>
      <w:r>
        <w:rPr>
          <w:rFonts w:eastAsia="Times New Roman"/>
        </w:rPr>
        <w:t xml:space="preserve"> – 28</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Vacancy rate by total area</w:t>
      </w:r>
      <w:r>
        <w:rPr>
          <w:rFonts w:eastAsia="Times New Roman"/>
        </w:rPr>
        <w:t xml:space="preserve"> – 41%</w:t>
      </w:r>
    </w:p>
    <w:p w:rsidR="00934BE8" w:rsidRPr="00934BE8" w:rsidRDefault="00934BE8" w:rsidP="00934BE8">
      <w:pPr>
        <w:pStyle w:val="bt"/>
        <w:numPr>
          <w:ilvl w:val="0"/>
          <w:numId w:val="41"/>
        </w:numPr>
        <w:spacing w:before="120" w:after="120"/>
        <w:ind w:left="714" w:hanging="357"/>
      </w:pPr>
      <w:r w:rsidRPr="00934BE8">
        <w:rPr>
          <w:rFonts w:eastAsia="Times New Roman"/>
        </w:rPr>
        <w:t>Occupancy rate by total area</w:t>
      </w:r>
      <w:r>
        <w:rPr>
          <w:rFonts w:eastAsia="Times New Roman"/>
        </w:rPr>
        <w:t xml:space="preserve"> – 59%</w:t>
      </w:r>
    </w:p>
    <w:p w:rsidR="00934BE8" w:rsidRDefault="00934BE8" w:rsidP="00934BE8">
      <w:pPr>
        <w:pStyle w:val="bt"/>
        <w:spacing w:after="120"/>
        <w:rPr>
          <w:rFonts w:eastAsia="Times New Roman"/>
        </w:rPr>
      </w:pPr>
      <w:r>
        <w:rPr>
          <w:rFonts w:eastAsia="Times New Roman"/>
        </w:rPr>
        <w:t>Moorabool</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Total hectares</w:t>
      </w:r>
      <w:r>
        <w:rPr>
          <w:rFonts w:eastAsia="Times New Roman"/>
        </w:rPr>
        <w:t xml:space="preserve"> – 339</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Occupied hectares</w:t>
      </w:r>
      <w:r>
        <w:rPr>
          <w:rFonts w:eastAsia="Times New Roman"/>
        </w:rPr>
        <w:t xml:space="preserve"> – 255</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Vacant hectares</w:t>
      </w:r>
      <w:r>
        <w:rPr>
          <w:rFonts w:eastAsia="Times New Roman"/>
        </w:rPr>
        <w:t xml:space="preserve"> – 84</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Vacancy rate by total area</w:t>
      </w:r>
      <w:r>
        <w:rPr>
          <w:rFonts w:eastAsia="Times New Roman"/>
        </w:rPr>
        <w:t xml:space="preserve"> – 25%</w:t>
      </w:r>
    </w:p>
    <w:p w:rsidR="00934BE8" w:rsidRPr="00934BE8" w:rsidRDefault="00934BE8" w:rsidP="00934BE8">
      <w:pPr>
        <w:pStyle w:val="bt"/>
        <w:numPr>
          <w:ilvl w:val="0"/>
          <w:numId w:val="41"/>
        </w:numPr>
        <w:spacing w:before="120" w:after="120"/>
        <w:ind w:left="714" w:hanging="357"/>
      </w:pPr>
      <w:r w:rsidRPr="00934BE8">
        <w:rPr>
          <w:rFonts w:eastAsia="Times New Roman"/>
        </w:rPr>
        <w:t>Occupancy rate by total area</w:t>
      </w:r>
      <w:r>
        <w:rPr>
          <w:rFonts w:eastAsia="Times New Roman"/>
        </w:rPr>
        <w:t xml:space="preserve"> – 75%</w:t>
      </w:r>
    </w:p>
    <w:p w:rsidR="00934BE8" w:rsidRDefault="00934BE8" w:rsidP="00934BE8">
      <w:pPr>
        <w:pStyle w:val="bt"/>
        <w:spacing w:after="120"/>
        <w:rPr>
          <w:rFonts w:eastAsia="Times New Roman"/>
        </w:rPr>
      </w:pPr>
      <w:r>
        <w:rPr>
          <w:rFonts w:eastAsia="Times New Roman"/>
        </w:rPr>
        <w:t>Pyrenees</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Total hectares</w:t>
      </w:r>
      <w:r>
        <w:rPr>
          <w:rFonts w:eastAsia="Times New Roman"/>
        </w:rPr>
        <w:t xml:space="preserve"> – 64</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Occupied hectares</w:t>
      </w:r>
      <w:r>
        <w:rPr>
          <w:rFonts w:eastAsia="Times New Roman"/>
        </w:rPr>
        <w:t xml:space="preserve"> – 28</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Vacant hectares</w:t>
      </w:r>
      <w:r>
        <w:rPr>
          <w:rFonts w:eastAsia="Times New Roman"/>
        </w:rPr>
        <w:t xml:space="preserve"> – 36</w:t>
      </w:r>
    </w:p>
    <w:p w:rsidR="00934BE8" w:rsidRPr="00934BE8" w:rsidRDefault="00934BE8" w:rsidP="00934BE8">
      <w:pPr>
        <w:pStyle w:val="bt"/>
        <w:numPr>
          <w:ilvl w:val="0"/>
          <w:numId w:val="41"/>
        </w:numPr>
        <w:spacing w:before="120" w:after="120"/>
        <w:ind w:left="714" w:hanging="357"/>
        <w:rPr>
          <w:rFonts w:eastAsia="Times New Roman"/>
        </w:rPr>
      </w:pPr>
      <w:r w:rsidRPr="00934BE8">
        <w:rPr>
          <w:rFonts w:eastAsia="Times New Roman"/>
        </w:rPr>
        <w:t>Vacancy rate by total area</w:t>
      </w:r>
      <w:r>
        <w:rPr>
          <w:rFonts w:eastAsia="Times New Roman"/>
        </w:rPr>
        <w:t xml:space="preserve"> – 56%</w:t>
      </w:r>
    </w:p>
    <w:p w:rsidR="00A0638C" w:rsidRDefault="00934BE8" w:rsidP="00720AA9">
      <w:pPr>
        <w:pStyle w:val="bt"/>
        <w:numPr>
          <w:ilvl w:val="0"/>
          <w:numId w:val="41"/>
        </w:numPr>
        <w:spacing w:before="120" w:after="120"/>
        <w:ind w:left="714" w:hanging="357"/>
      </w:pPr>
      <w:r w:rsidRPr="00934BE8">
        <w:rPr>
          <w:rFonts w:eastAsia="Times New Roman"/>
        </w:rPr>
        <w:t>Occupancy rate by total area</w:t>
      </w:r>
      <w:r>
        <w:rPr>
          <w:rFonts w:eastAsia="Times New Roman"/>
        </w:rPr>
        <w:t xml:space="preserve"> – 44%</w:t>
      </w:r>
    </w:p>
    <w:p w:rsidR="00C820C0" w:rsidRDefault="008F522C" w:rsidP="00720AA9">
      <w:pPr>
        <w:pStyle w:val="Source0"/>
      </w:pPr>
      <w:r w:rsidRPr="00D42DE9">
        <w:t>Source: Audit of industrial land in provincial Victoria (</w:t>
      </w:r>
      <w:r w:rsidR="00BD549B" w:rsidRPr="00BD549B">
        <w:t xml:space="preserve">Parsons Brinckerhoff, 2008a) </w:t>
      </w:r>
    </w:p>
    <w:p w:rsidR="00B055FA" w:rsidRPr="008F1881" w:rsidRDefault="00B055FA" w:rsidP="008F522C">
      <w:pPr>
        <w:pStyle w:val="bt"/>
      </w:pPr>
      <w:r w:rsidRPr="008F1881">
        <w:t>Moorabool</w:t>
      </w:r>
      <w:r w:rsidR="00313C08">
        <w:t xml:space="preserve"> Shire’s</w:t>
      </w:r>
      <w:r w:rsidRPr="008F1881">
        <w:t xml:space="preserve"> economic development strategy (SGS, 2006) identified </w:t>
      </w:r>
      <w:r w:rsidR="00111DEA" w:rsidRPr="008F1881">
        <w:t>issues with regard to the characteristics of its industrial land.</w:t>
      </w:r>
      <w:r w:rsidRPr="008F1881">
        <w:t xml:space="preserve"> </w:t>
      </w:r>
      <w:r w:rsidR="008E4ABA">
        <w:t xml:space="preserve">While </w:t>
      </w:r>
      <w:r w:rsidRPr="008F1881">
        <w:t xml:space="preserve">the </w:t>
      </w:r>
      <w:r w:rsidR="008E4ABA">
        <w:t>s</w:t>
      </w:r>
      <w:r w:rsidRPr="008F1881">
        <w:t xml:space="preserve">hire has a sufficient </w:t>
      </w:r>
      <w:r w:rsidR="008E4ABA">
        <w:t>amount</w:t>
      </w:r>
      <w:r w:rsidRPr="008F1881">
        <w:t xml:space="preserve"> of industrial land to meet demand, much of </w:t>
      </w:r>
      <w:r w:rsidR="008E4ABA">
        <w:t>this</w:t>
      </w:r>
      <w:r w:rsidRPr="008F1881">
        <w:t xml:space="preserve"> industrial land supply suffers from constraints such as inadequate infrastructure, or being unsuitable for large-scale industry. </w:t>
      </w:r>
    </w:p>
    <w:p w:rsidR="00B055FA" w:rsidRPr="008F1881" w:rsidRDefault="00B055FA" w:rsidP="008F522C">
      <w:pPr>
        <w:pStyle w:val="bt"/>
        <w:rPr>
          <w:color w:val="000000"/>
        </w:rPr>
      </w:pPr>
      <w:r w:rsidRPr="008F1881">
        <w:rPr>
          <w:color w:val="000000"/>
        </w:rPr>
        <w:t xml:space="preserve">Within the Pyrenees Shire, the Beaufort and Avoca </w:t>
      </w:r>
      <w:r w:rsidR="008E4ABA">
        <w:rPr>
          <w:color w:val="000000"/>
        </w:rPr>
        <w:t>i</w:t>
      </w:r>
      <w:r w:rsidRPr="008F1881">
        <w:rPr>
          <w:color w:val="000000"/>
        </w:rPr>
        <w:t>ndustrial estates play an important role in generating local employment opportunities and providing industrial land that can support uses associated with servicing the local rural economy.</w:t>
      </w:r>
    </w:p>
    <w:p w:rsidR="00B055FA" w:rsidRPr="008F1881" w:rsidRDefault="00B055FA" w:rsidP="008F522C">
      <w:pPr>
        <w:pStyle w:val="bt"/>
      </w:pPr>
      <w:r w:rsidRPr="008F1881">
        <w:t xml:space="preserve">In Ballarat, </w:t>
      </w:r>
      <w:r w:rsidR="009C6019" w:rsidRPr="008F1881">
        <w:t>a</w:t>
      </w:r>
      <w:r w:rsidRPr="008F1881">
        <w:t xml:space="preserve"> study </w:t>
      </w:r>
      <w:r w:rsidR="003C3A8E">
        <w:t xml:space="preserve">prepared by </w:t>
      </w:r>
      <w:r w:rsidR="003C3A8E" w:rsidRPr="008F1881">
        <w:t xml:space="preserve">CPG </w:t>
      </w:r>
      <w:r w:rsidR="003C3A8E">
        <w:t xml:space="preserve">Australia </w:t>
      </w:r>
      <w:r w:rsidRPr="008F1881">
        <w:t xml:space="preserve">(2009) found that without an increase in the supply of industrial land suitable for modern industry, the role of Ballarat as the economic hub for the western region of Victoria </w:t>
      </w:r>
      <w:r w:rsidR="008E4ABA">
        <w:t xml:space="preserve">would </w:t>
      </w:r>
      <w:r w:rsidRPr="008F1881">
        <w:t xml:space="preserve">be threatened.  </w:t>
      </w:r>
    </w:p>
    <w:p w:rsidR="008F1881" w:rsidRPr="008F1881" w:rsidRDefault="00B055FA" w:rsidP="008F522C">
      <w:pPr>
        <w:pStyle w:val="bt"/>
      </w:pPr>
      <w:r w:rsidRPr="008F1881">
        <w:t xml:space="preserve">The Ballarat West </w:t>
      </w:r>
      <w:r w:rsidR="00557367" w:rsidRPr="008F1881">
        <w:t>E</w:t>
      </w:r>
      <w:r w:rsidRPr="008F1881">
        <w:t xml:space="preserve">mployment </w:t>
      </w:r>
      <w:r w:rsidR="00557367" w:rsidRPr="008F1881">
        <w:t>Z</w:t>
      </w:r>
      <w:r w:rsidRPr="008F1881">
        <w:t>one</w:t>
      </w:r>
      <w:r w:rsidR="009C6019" w:rsidRPr="008F1881">
        <w:t xml:space="preserve"> is now being developed</w:t>
      </w:r>
      <w:r w:rsidR="00D0650C">
        <w:t xml:space="preserve"> as</w:t>
      </w:r>
      <w:r w:rsidR="009C6019" w:rsidRPr="008F1881">
        <w:t xml:space="preserve"> a key regional focus for employment growth which will generate up to 9000 jobs. It is located</w:t>
      </w:r>
      <w:r w:rsidRPr="008F1881">
        <w:t xml:space="preserve"> </w:t>
      </w:r>
      <w:r w:rsidR="00557367" w:rsidRPr="008F1881">
        <w:t xml:space="preserve">on </w:t>
      </w:r>
      <w:r w:rsidR="009C6019" w:rsidRPr="008F1881">
        <w:t xml:space="preserve">621 hectares of </w:t>
      </w:r>
      <w:r w:rsidR="00557367" w:rsidRPr="008F1881">
        <w:t xml:space="preserve">land adjacent to </w:t>
      </w:r>
      <w:r w:rsidRPr="008F1881">
        <w:t xml:space="preserve">the Ballarat Airport </w:t>
      </w:r>
      <w:r w:rsidR="009C6019" w:rsidRPr="008F1881">
        <w:t>and</w:t>
      </w:r>
      <w:r w:rsidRPr="008F1881">
        <w:t xml:space="preserve"> leverages off the advantages of the excellent road access</w:t>
      </w:r>
      <w:r w:rsidR="008E4ABA">
        <w:t>,</w:t>
      </w:r>
      <w:r w:rsidRPr="008F1881">
        <w:t xml:space="preserve"> presented by the convergence of the Western Freeway, Sunraysia Highway and Midland Highway and the Melbourne</w:t>
      </w:r>
      <w:r w:rsidR="003C6C3E">
        <w:t>-</w:t>
      </w:r>
      <w:r w:rsidRPr="008F1881">
        <w:t xml:space="preserve">Ararat </w:t>
      </w:r>
      <w:r w:rsidR="003C6C3E">
        <w:t>r</w:t>
      </w:r>
      <w:r w:rsidRPr="008F1881">
        <w:t xml:space="preserve">ailway </w:t>
      </w:r>
      <w:r w:rsidR="003C6C3E">
        <w:t>l</w:t>
      </w:r>
      <w:r w:rsidRPr="008F1881">
        <w:t xml:space="preserve">ine. </w:t>
      </w:r>
      <w:r w:rsidR="009C6019" w:rsidRPr="008F1881">
        <w:t>A masterplan has been prepared which sets out a 20</w:t>
      </w:r>
      <w:r w:rsidR="003C6C3E">
        <w:t>-</w:t>
      </w:r>
      <w:r w:rsidR="009C6019" w:rsidRPr="008F1881">
        <w:t xml:space="preserve">year development timeframe for development. Key industries to be </w:t>
      </w:r>
      <w:r w:rsidR="009C6019" w:rsidRPr="008F1881">
        <w:lastRenderedPageBreak/>
        <w:t xml:space="preserve">accommodated include transport and logistics, construction services, food processing, machinery and equipment manufacturing </w:t>
      </w:r>
      <w:r w:rsidR="008F522C">
        <w:t>and research and development.</w:t>
      </w:r>
    </w:p>
    <w:p w:rsidR="00111DEA" w:rsidRPr="008F1881" w:rsidRDefault="00B055FA" w:rsidP="008F522C">
      <w:pPr>
        <w:pStyle w:val="bt"/>
        <w:rPr>
          <w:rFonts w:cs="Tahoma"/>
          <w:szCs w:val="20"/>
        </w:rPr>
      </w:pPr>
      <w:r w:rsidRPr="008F1881">
        <w:rPr>
          <w:rFonts w:cs="Tahoma"/>
          <w:szCs w:val="20"/>
        </w:rPr>
        <w:t>Ararat also contains a number of regionally</w:t>
      </w:r>
      <w:r w:rsidR="003C6C3E">
        <w:rPr>
          <w:rFonts w:cs="Tahoma"/>
          <w:szCs w:val="20"/>
        </w:rPr>
        <w:t xml:space="preserve"> </w:t>
      </w:r>
      <w:r w:rsidRPr="008F1881">
        <w:rPr>
          <w:rFonts w:cs="Tahoma"/>
          <w:szCs w:val="20"/>
        </w:rPr>
        <w:t xml:space="preserve">significant industries including engineering and machinery manufacturing businesses which provide products for national and international markets. </w:t>
      </w:r>
      <w:r w:rsidR="003C6C3E">
        <w:rPr>
          <w:rFonts w:cs="Tahoma"/>
          <w:szCs w:val="20"/>
        </w:rPr>
        <w:t xml:space="preserve">However, </w:t>
      </w:r>
      <w:r w:rsidRPr="008F1881">
        <w:rPr>
          <w:rFonts w:cs="Tahoma"/>
          <w:szCs w:val="20"/>
        </w:rPr>
        <w:t xml:space="preserve">the town’s industrial areas are dispersed and </w:t>
      </w:r>
      <w:r w:rsidR="003C6C3E">
        <w:rPr>
          <w:rFonts w:cs="Tahoma"/>
          <w:szCs w:val="20"/>
        </w:rPr>
        <w:t xml:space="preserve">may </w:t>
      </w:r>
      <w:r w:rsidRPr="008F1881">
        <w:rPr>
          <w:rFonts w:cs="Tahoma"/>
          <w:szCs w:val="20"/>
        </w:rPr>
        <w:t xml:space="preserve">need to </w:t>
      </w:r>
      <w:r w:rsidR="003C6C3E">
        <w:rPr>
          <w:rFonts w:cs="Tahoma"/>
          <w:szCs w:val="20"/>
        </w:rPr>
        <w:t xml:space="preserve">be </w:t>
      </w:r>
      <w:r w:rsidRPr="008F1881">
        <w:rPr>
          <w:rFonts w:cs="Tahoma"/>
          <w:szCs w:val="20"/>
        </w:rPr>
        <w:t>rationalise</w:t>
      </w:r>
      <w:r w:rsidR="003C6C3E">
        <w:rPr>
          <w:rFonts w:cs="Tahoma"/>
          <w:szCs w:val="20"/>
        </w:rPr>
        <w:t>d</w:t>
      </w:r>
      <w:r w:rsidRPr="008F1881">
        <w:rPr>
          <w:rFonts w:cs="Tahoma"/>
          <w:szCs w:val="20"/>
        </w:rPr>
        <w:t xml:space="preserve"> over time to provide a more suitable land use framework for the city.</w:t>
      </w:r>
    </w:p>
    <w:p w:rsidR="00B055FA" w:rsidRPr="008F1881" w:rsidRDefault="00111DEA" w:rsidP="008F522C">
      <w:pPr>
        <w:pStyle w:val="bt"/>
        <w:rPr>
          <w:rFonts w:cs="Tahoma"/>
          <w:szCs w:val="20"/>
        </w:rPr>
      </w:pPr>
      <w:r w:rsidRPr="008F1881">
        <w:rPr>
          <w:rFonts w:cs="Tahoma"/>
          <w:szCs w:val="20"/>
        </w:rPr>
        <w:t xml:space="preserve">Hepburn Shire has recognised the </w:t>
      </w:r>
      <w:r w:rsidR="00122182">
        <w:rPr>
          <w:rFonts w:cs="Tahoma"/>
          <w:szCs w:val="20"/>
        </w:rPr>
        <w:t>potential</w:t>
      </w:r>
      <w:r w:rsidRPr="008F1881">
        <w:rPr>
          <w:rFonts w:cs="Tahoma"/>
          <w:szCs w:val="20"/>
        </w:rPr>
        <w:t xml:space="preserve"> need for additional industrial land </w:t>
      </w:r>
      <w:r w:rsidR="009C6019" w:rsidRPr="008F1881">
        <w:rPr>
          <w:rFonts w:cs="Tahoma"/>
          <w:szCs w:val="20"/>
        </w:rPr>
        <w:t>in key tow</w:t>
      </w:r>
      <w:r w:rsidRPr="008F1881">
        <w:rPr>
          <w:rFonts w:cs="Tahoma"/>
          <w:szCs w:val="20"/>
        </w:rPr>
        <w:t xml:space="preserve">ns such as Creswick and Daylesford to provide appropriate locations for local business and minimise leakages to larger centres. </w:t>
      </w:r>
      <w:r w:rsidR="009C6019" w:rsidRPr="008F1881">
        <w:rPr>
          <w:rFonts w:cs="Tahoma"/>
          <w:szCs w:val="20"/>
        </w:rPr>
        <w:t xml:space="preserve">It is seeking to undertake a study to further investigate opportunities for industrial land. </w:t>
      </w:r>
    </w:p>
    <w:p w:rsidR="00B055FA" w:rsidRPr="008F1881" w:rsidRDefault="00B055FA" w:rsidP="008F522C">
      <w:pPr>
        <w:pStyle w:val="bt"/>
        <w:rPr>
          <w:rFonts w:cs="Tahoma"/>
          <w:szCs w:val="20"/>
        </w:rPr>
      </w:pPr>
      <w:r w:rsidRPr="008F1881">
        <w:rPr>
          <w:rFonts w:cs="Tahoma"/>
          <w:szCs w:val="20"/>
        </w:rPr>
        <w:t xml:space="preserve">Other parts of the Central Highlands </w:t>
      </w:r>
      <w:r w:rsidR="00C9577F">
        <w:rPr>
          <w:rFonts w:cs="Tahoma"/>
          <w:szCs w:val="20"/>
        </w:rPr>
        <w:t xml:space="preserve">region </w:t>
      </w:r>
      <w:r w:rsidRPr="008F1881">
        <w:rPr>
          <w:rFonts w:cs="Tahoma"/>
          <w:szCs w:val="20"/>
        </w:rPr>
        <w:t>have industrial areas</w:t>
      </w:r>
      <w:r w:rsidR="00C9577F">
        <w:rPr>
          <w:rFonts w:cs="Tahoma"/>
          <w:szCs w:val="20"/>
        </w:rPr>
        <w:t xml:space="preserve"> too</w:t>
      </w:r>
      <w:r w:rsidRPr="008F1881">
        <w:rPr>
          <w:rFonts w:cs="Tahoma"/>
          <w:szCs w:val="20"/>
        </w:rPr>
        <w:t xml:space="preserve">, predominantly providing </w:t>
      </w:r>
      <w:r w:rsidR="00C9577F">
        <w:rPr>
          <w:rFonts w:cs="Tahoma"/>
          <w:szCs w:val="20"/>
        </w:rPr>
        <w:t xml:space="preserve">for </w:t>
      </w:r>
      <w:r w:rsidRPr="008F1881">
        <w:rPr>
          <w:rFonts w:cs="Tahoma"/>
          <w:szCs w:val="20"/>
        </w:rPr>
        <w:t xml:space="preserve">light industry to </w:t>
      </w:r>
      <w:r w:rsidR="00C9577F">
        <w:rPr>
          <w:rFonts w:cs="Tahoma"/>
          <w:szCs w:val="20"/>
        </w:rPr>
        <w:t xml:space="preserve">service </w:t>
      </w:r>
      <w:r w:rsidRPr="008F1881">
        <w:rPr>
          <w:rFonts w:cs="Tahoma"/>
          <w:szCs w:val="20"/>
        </w:rPr>
        <w:t>local communities and agricultural industries. Consideration needs to be given at the regional level as to whether further investigations are necessary to plan for industrial land uses within these areas.</w:t>
      </w:r>
    </w:p>
    <w:p w:rsidR="00B055FA" w:rsidRPr="008F1881" w:rsidRDefault="00B055FA" w:rsidP="008F522C">
      <w:pPr>
        <w:pStyle w:val="bt"/>
        <w:rPr>
          <w:rFonts w:cs="Tahoma"/>
          <w:szCs w:val="20"/>
        </w:rPr>
      </w:pPr>
      <w:r w:rsidRPr="008F1881">
        <w:rPr>
          <w:rFonts w:cs="Tahoma"/>
          <w:szCs w:val="20"/>
        </w:rPr>
        <w:t xml:space="preserve">One cross-regional issue that will need to be considered is the proximity of Central Highlands to western Melbourne and the availability of well-serviced industrial land there which can be easily accessed by workers from the peri-urban parts of the Central Highlands (SGS, 2006). </w:t>
      </w:r>
    </w:p>
    <w:p w:rsidR="008F1881" w:rsidRPr="005B01F7" w:rsidRDefault="009F09AE" w:rsidP="005B01F7">
      <w:pPr>
        <w:pStyle w:val="Heading3"/>
      </w:pPr>
      <w:r w:rsidRPr="005B01F7">
        <w:t xml:space="preserve">Land </w:t>
      </w:r>
      <w:r w:rsidR="00661931" w:rsidRPr="005B01F7">
        <w:t>use planning response</w:t>
      </w:r>
    </w:p>
    <w:p w:rsidR="00B055FA" w:rsidRDefault="00557367" w:rsidP="008F522C">
      <w:pPr>
        <w:pStyle w:val="bt"/>
      </w:pPr>
      <w:r w:rsidRPr="008F1881">
        <w:t xml:space="preserve">The </w:t>
      </w:r>
      <w:r w:rsidR="00F37D25">
        <w:t>plan</w:t>
      </w:r>
      <w:r w:rsidR="007B5A90" w:rsidRPr="008F1881">
        <w:t xml:space="preserve"> recognises</w:t>
      </w:r>
      <w:r w:rsidR="00BD3EFF">
        <w:t xml:space="preserve"> that</w:t>
      </w:r>
      <w:r w:rsidR="007B5A90" w:rsidRPr="008F1881">
        <w:t xml:space="preserve"> it is critical </w:t>
      </w:r>
      <w:r w:rsidR="00BD3EFF">
        <w:t>to plan for the provision of</w:t>
      </w:r>
      <w:r w:rsidR="007B5A90" w:rsidRPr="008F1881">
        <w:t xml:space="preserve"> sufficient land for employment purposes, including industrial zoned land that </w:t>
      </w:r>
      <w:r w:rsidR="00BD3EFF">
        <w:t>is appropriate</w:t>
      </w:r>
      <w:r w:rsidR="007B5A90" w:rsidRPr="008F1881">
        <w:t xml:space="preserve"> for a wide range of industries.</w:t>
      </w:r>
      <w:r w:rsidR="00BD3EFF">
        <w:t xml:space="preserve"> The plan supports the creation and expansion of industries and recognises the need to retain buffers between industrial and sensitive land uses. </w:t>
      </w:r>
      <w:r w:rsidR="007B5A90" w:rsidRPr="008F1881">
        <w:t>The Ballarat West Employment Zone is recognise</w:t>
      </w:r>
      <w:r w:rsidR="002A2E91" w:rsidRPr="008F1881">
        <w:t>d</w:t>
      </w:r>
      <w:r w:rsidR="007B5A90" w:rsidRPr="008F1881">
        <w:t xml:space="preserve"> as the most significant planned </w:t>
      </w:r>
      <w:r w:rsidR="002A2E91" w:rsidRPr="008F1881">
        <w:t xml:space="preserve">employment </w:t>
      </w:r>
      <w:r w:rsidR="007B5A90" w:rsidRPr="008F1881">
        <w:t>growth area within the region.</w:t>
      </w:r>
    </w:p>
    <w:p w:rsidR="00CC296A" w:rsidRDefault="00CC296A" w:rsidP="008F522C">
      <w:pPr>
        <w:pStyle w:val="bt"/>
      </w:pPr>
      <w:r>
        <w:t>The plan recognises the need to accommodate initiatives that support national and global action to reduce greenhouse gas emissions.</w:t>
      </w:r>
    </w:p>
    <w:p w:rsidR="00CC296A" w:rsidRDefault="00CC296A">
      <w:pPr>
        <w:spacing w:after="200" w:line="276" w:lineRule="auto"/>
        <w:jc w:val="left"/>
        <w:rPr>
          <w:rFonts w:ascii="Calibri" w:eastAsiaTheme="minorEastAsia" w:hAnsi="Calibri" w:cstheme="minorBidi"/>
        </w:rPr>
      </w:pPr>
      <w:r>
        <w:br w:type="page"/>
      </w:r>
    </w:p>
    <w:p w:rsidR="00B055FA" w:rsidRPr="007649C1" w:rsidRDefault="006006DC" w:rsidP="001C2583">
      <w:pPr>
        <w:pStyle w:val="Heading11"/>
        <w:tabs>
          <w:tab w:val="clear" w:pos="432"/>
          <w:tab w:val="num" w:pos="0"/>
        </w:tabs>
        <w:ind w:left="0" w:firstLine="0"/>
      </w:pPr>
      <w:bookmarkStart w:id="178" w:name="_Ref370377007"/>
      <w:bookmarkStart w:id="179" w:name="_Toc374527611"/>
      <w:r>
        <w:lastRenderedPageBreak/>
        <w:t>T</w:t>
      </w:r>
      <w:r w:rsidR="004C5F97">
        <w:t>ransport and i</w:t>
      </w:r>
      <w:r w:rsidR="00CC296A">
        <w:t>nfrastructure</w:t>
      </w:r>
      <w:bookmarkEnd w:id="178"/>
      <w:bookmarkEnd w:id="179"/>
    </w:p>
    <w:p w:rsidR="008F1881" w:rsidRPr="005B01F7" w:rsidRDefault="00B055FA" w:rsidP="00537648">
      <w:pPr>
        <w:pStyle w:val="Heading2"/>
        <w:spacing w:before="120" w:after="360"/>
      </w:pPr>
      <w:bookmarkStart w:id="180" w:name="_Toc349557714"/>
      <w:bookmarkStart w:id="181" w:name="_Toc374527612"/>
      <w:r w:rsidRPr="005B01F7">
        <w:t>Context</w:t>
      </w:r>
      <w:bookmarkEnd w:id="180"/>
      <w:bookmarkEnd w:id="181"/>
    </w:p>
    <w:p w:rsidR="008F1881" w:rsidRDefault="00C70C65" w:rsidP="00537648">
      <w:pPr>
        <w:pStyle w:val="bt"/>
        <w:spacing w:before="120" w:after="360"/>
      </w:pPr>
      <w:r w:rsidRPr="008F1881">
        <w:t>Existing t</w:t>
      </w:r>
      <w:r w:rsidR="00B055FA" w:rsidRPr="008F1881">
        <w:t xml:space="preserve">ransport </w:t>
      </w:r>
      <w:r w:rsidRPr="008F1881">
        <w:t>infrastructure and services provide an important comparative advantage to the Central Highlands over other regional areas, with the region enjoying good access to Melbourne, Geelong, Bendigo</w:t>
      </w:r>
      <w:r w:rsidR="00D54227" w:rsidRPr="008F1881">
        <w:t>, Portland</w:t>
      </w:r>
      <w:r w:rsidRPr="008F1881">
        <w:t xml:space="preserve"> and Adelaide</w:t>
      </w:r>
      <w:r w:rsidR="009B46A1" w:rsidRPr="008F1881">
        <w:t xml:space="preserve"> </w:t>
      </w:r>
      <w:r w:rsidR="000A44A6">
        <w:t>(refer to</w:t>
      </w:r>
      <w:r w:rsidR="009B46A1" w:rsidRPr="008F1881">
        <w:t xml:space="preserve"> </w:t>
      </w:r>
      <w:r w:rsidR="00631B16">
        <w:fldChar w:fldCharType="begin"/>
      </w:r>
      <w:r w:rsidR="00631B16">
        <w:instrText xml:space="preserve"> REF _Ref349223590 \h  \* MERGEFORMAT </w:instrText>
      </w:r>
      <w:r w:rsidR="00631B16">
        <w:fldChar w:fldCharType="separate"/>
      </w:r>
      <w:r w:rsidR="00907B42" w:rsidRPr="00CD2959">
        <w:t xml:space="preserve">Figure </w:t>
      </w:r>
      <w:r w:rsidR="00907B42">
        <w:t>26</w:t>
      </w:r>
      <w:r w:rsidR="00631B16">
        <w:fldChar w:fldCharType="end"/>
      </w:r>
      <w:r w:rsidR="009B46A1" w:rsidRPr="008F1881">
        <w:t>)</w:t>
      </w:r>
      <w:r w:rsidRPr="008F1881">
        <w:t xml:space="preserve">. Transport </w:t>
      </w:r>
      <w:r w:rsidR="00B055FA" w:rsidRPr="008F1881">
        <w:t>in the Central Highlands is heavily focused around the western corridor linking Melbourne and Adelaide. The Western Highway is the principal road link along this corridor and forms part of the National Land Transport Network. Rail corridors included in the National Land Transport Network include the Melbourne</w:t>
      </w:r>
      <w:r w:rsidR="00FE5CC5">
        <w:t>-</w:t>
      </w:r>
      <w:r w:rsidR="00B055FA" w:rsidRPr="008F1881">
        <w:t xml:space="preserve">Mildura </w:t>
      </w:r>
      <w:r w:rsidR="00FE5CC5">
        <w:t>r</w:t>
      </w:r>
      <w:r w:rsidR="00B055FA" w:rsidRPr="008F1881">
        <w:t>ailway</w:t>
      </w:r>
      <w:r w:rsidR="00F625D2">
        <w:t xml:space="preserve">, </w:t>
      </w:r>
      <w:r w:rsidR="00B055FA" w:rsidRPr="008F1881">
        <w:t>which links Geelong, Ballarat and Maryborough</w:t>
      </w:r>
      <w:r w:rsidR="00F625D2">
        <w:t>,</w:t>
      </w:r>
      <w:r w:rsidR="00B055FA" w:rsidRPr="008F1881">
        <w:t xml:space="preserve"> and the Melbourne</w:t>
      </w:r>
      <w:r w:rsidR="00FE5CC5">
        <w:t>-</w:t>
      </w:r>
      <w:r w:rsidR="00B055FA" w:rsidRPr="008F1881">
        <w:t xml:space="preserve">Adelaide </w:t>
      </w:r>
      <w:r w:rsidR="00FE5CC5">
        <w:t>r</w:t>
      </w:r>
      <w:r w:rsidR="00B055FA" w:rsidRPr="008F1881">
        <w:t>ailway</w:t>
      </w:r>
      <w:r w:rsidR="00F625D2">
        <w:t xml:space="preserve">, </w:t>
      </w:r>
      <w:r w:rsidR="00B055FA" w:rsidRPr="008F1881">
        <w:t>which links Geelong and Ararat.</w:t>
      </w:r>
      <w:r w:rsidR="005F42C8" w:rsidRPr="008F1881">
        <w:t xml:space="preserve"> </w:t>
      </w:r>
      <w:r w:rsidR="00D54227" w:rsidRPr="008F1881">
        <w:t>The region has good access to a</w:t>
      </w:r>
      <w:r w:rsidR="005F42C8" w:rsidRPr="008F1881">
        <w:t>irport facilities includ</w:t>
      </w:r>
      <w:r w:rsidR="00D54227" w:rsidRPr="008F1881">
        <w:t>ing</w:t>
      </w:r>
      <w:r w:rsidR="005F42C8" w:rsidRPr="008F1881">
        <w:t xml:space="preserve"> those at Melbourne Airport, Avalon Airport and regional airports such as Ballarat</w:t>
      </w:r>
      <w:r w:rsidR="00D54227" w:rsidRPr="008F1881">
        <w:t xml:space="preserve">, </w:t>
      </w:r>
      <w:r w:rsidR="006B19FF">
        <w:t xml:space="preserve">Ararat, </w:t>
      </w:r>
      <w:r w:rsidR="00D54227" w:rsidRPr="008F1881">
        <w:t>Lethbridge and Bacchus Marsh</w:t>
      </w:r>
      <w:r w:rsidR="005F42C8" w:rsidRPr="008F1881">
        <w:t xml:space="preserve">. </w:t>
      </w:r>
    </w:p>
    <w:p w:rsidR="00B055FA" w:rsidRDefault="00457D09" w:rsidP="00CD2959">
      <w:pPr>
        <w:pStyle w:val="Caption"/>
      </w:pPr>
      <w:bookmarkStart w:id="182" w:name="_Ref349223590"/>
      <w:r>
        <w:rPr>
          <w:noProof/>
        </w:rPr>
        <w:drawing>
          <wp:anchor distT="0" distB="0" distL="114300" distR="114300" simplePos="0" relativeHeight="251719680" behindDoc="0" locked="0" layoutInCell="1" allowOverlap="1">
            <wp:simplePos x="0" y="0"/>
            <wp:positionH relativeFrom="column">
              <wp:posOffset>-31750</wp:posOffset>
            </wp:positionH>
            <wp:positionV relativeFrom="paragraph">
              <wp:posOffset>222885</wp:posOffset>
            </wp:positionV>
            <wp:extent cx="6390005" cy="4183380"/>
            <wp:effectExtent l="19050" t="0" r="0" b="0"/>
            <wp:wrapTopAndBottom/>
            <wp:docPr id="28" name="Picture 3" descr="Map showing Central Highlands transpor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DPCD Permanent All Staff\Regional Growth Plans\Phase 5 CH RGP Products\CH Background Report\Replacement maps\Map26_Pg67_CH Transport Network_21November2013.jpg"/>
                    <pic:cNvPicPr>
                      <a:picLocks noChangeAspect="1" noChangeArrowheads="1"/>
                    </pic:cNvPicPr>
                  </pic:nvPicPr>
                  <pic:blipFill>
                    <a:blip r:embed="rId46" cstate="email"/>
                    <a:stretch>
                      <a:fillRect/>
                    </a:stretch>
                  </pic:blipFill>
                  <pic:spPr bwMode="auto">
                    <a:xfrm>
                      <a:off x="0" y="0"/>
                      <a:ext cx="6390005" cy="4183380"/>
                    </a:xfrm>
                    <a:prstGeom prst="rect">
                      <a:avLst/>
                    </a:prstGeom>
                    <a:noFill/>
                    <a:ln w="9525">
                      <a:noFill/>
                      <a:miter lim="800000"/>
                      <a:headEnd/>
                      <a:tailEnd/>
                    </a:ln>
                  </pic:spPr>
                </pic:pic>
              </a:graphicData>
            </a:graphic>
          </wp:anchor>
        </w:drawing>
      </w:r>
      <w:bookmarkStart w:id="183" w:name="_Toc381698026"/>
      <w:r w:rsidR="009B46A1" w:rsidRPr="00CD2959">
        <w:t xml:space="preserve">Figure </w:t>
      </w:r>
      <w:r w:rsidR="009F388E">
        <w:fldChar w:fldCharType="begin"/>
      </w:r>
      <w:r w:rsidR="00821C7F">
        <w:instrText xml:space="preserve"> SEQ Figure \* ARABIC </w:instrText>
      </w:r>
      <w:r w:rsidR="009F388E">
        <w:fldChar w:fldCharType="separate"/>
      </w:r>
      <w:r w:rsidR="00907B42">
        <w:rPr>
          <w:noProof/>
        </w:rPr>
        <w:t>26</w:t>
      </w:r>
      <w:r w:rsidR="009F388E">
        <w:fldChar w:fldCharType="end"/>
      </w:r>
      <w:bookmarkEnd w:id="182"/>
      <w:r w:rsidR="00C9577F" w:rsidRPr="00CD2959">
        <w:t>:</w:t>
      </w:r>
      <w:r w:rsidR="003F038B" w:rsidRPr="00CD2959">
        <w:t xml:space="preserve"> Central Highlands transport n</w:t>
      </w:r>
      <w:r w:rsidR="00B055FA" w:rsidRPr="00CD2959">
        <w:t>etwork</w:t>
      </w:r>
      <w:bookmarkEnd w:id="183"/>
    </w:p>
    <w:p w:rsidR="00C820C0" w:rsidRDefault="00BD549B" w:rsidP="004E330D">
      <w:pPr>
        <w:pStyle w:val="Source0"/>
      </w:pPr>
      <w:r w:rsidRPr="00BD549B">
        <w:t xml:space="preserve">Source: </w:t>
      </w:r>
      <w:r w:rsidR="009D6C50">
        <w:t>Department of Transport, Planning an</w:t>
      </w:r>
      <w:r w:rsidR="00F70F4D">
        <w:t>d</w:t>
      </w:r>
      <w:r w:rsidR="009D6C50">
        <w:t xml:space="preserve"> Local Infrastructure</w:t>
      </w:r>
    </w:p>
    <w:p w:rsidR="00B055FA" w:rsidRPr="008F1881" w:rsidRDefault="00B055FA" w:rsidP="001F66D6">
      <w:pPr>
        <w:pStyle w:val="bt"/>
        <w:spacing w:before="120" w:after="120"/>
      </w:pPr>
      <w:r w:rsidRPr="008F1881">
        <w:t>There are a number of key contextual factors that influence transport requirements for the Central Highlands:</w:t>
      </w:r>
    </w:p>
    <w:p w:rsidR="00B055FA" w:rsidRPr="008F1881" w:rsidRDefault="00B055FA" w:rsidP="00250493">
      <w:pPr>
        <w:pStyle w:val="ListBullet"/>
      </w:pPr>
      <w:r w:rsidRPr="008F1881">
        <w:t>Ballarat is the major city in the Central Highlands region serving not only the community within its region but acting as an attractor to those living outside the region</w:t>
      </w:r>
      <w:r w:rsidR="00DD0540" w:rsidRPr="008F1881">
        <w:t xml:space="preserve">, particularly </w:t>
      </w:r>
      <w:r w:rsidRPr="008F1881">
        <w:t>for employment, leisure and education.</w:t>
      </w:r>
    </w:p>
    <w:p w:rsidR="00B055FA" w:rsidRPr="00F625D2" w:rsidRDefault="00B055FA" w:rsidP="00250493">
      <w:pPr>
        <w:pStyle w:val="ListBullet"/>
      </w:pPr>
      <w:r w:rsidRPr="008F1881">
        <w:t>Central Highlands is developing a strong service</w:t>
      </w:r>
      <w:r w:rsidR="00FE5CC5">
        <w:t>-</w:t>
      </w:r>
      <w:r w:rsidRPr="008F1881">
        <w:t xml:space="preserve">based economy with strengths in </w:t>
      </w:r>
      <w:r w:rsidR="003C3A8E">
        <w:t>information technology</w:t>
      </w:r>
      <w:r w:rsidRPr="008F1881">
        <w:t>, education, health services and tourism which account for approximately 72</w:t>
      </w:r>
      <w:r w:rsidR="00FE5CC5">
        <w:t xml:space="preserve"> </w:t>
      </w:r>
      <w:r w:rsidR="00B65C10" w:rsidRPr="003D1722">
        <w:t>per cent</w:t>
      </w:r>
      <w:r w:rsidRPr="00F625D2">
        <w:t xml:space="preserve"> of employment</w:t>
      </w:r>
      <w:r w:rsidR="00FE5CC5">
        <w:t>.</w:t>
      </w:r>
    </w:p>
    <w:p w:rsidR="00B055FA" w:rsidRPr="008F1881" w:rsidRDefault="00B055FA" w:rsidP="00250493">
      <w:pPr>
        <w:pStyle w:val="ListBullet"/>
      </w:pPr>
      <w:r w:rsidRPr="008F1881">
        <w:t>The region has a strong timber industry with establishment of hard and softwood plantations</w:t>
      </w:r>
      <w:r w:rsidR="00FE5CC5">
        <w:t>,</w:t>
      </w:r>
      <w:r w:rsidRPr="008F1881">
        <w:t xml:space="preserve"> as opposed to harvesting native forests</w:t>
      </w:r>
      <w:r w:rsidR="00FE5CC5">
        <w:t>.</w:t>
      </w:r>
    </w:p>
    <w:p w:rsidR="00B055FA" w:rsidRPr="008F1881" w:rsidRDefault="00B055FA" w:rsidP="00250493">
      <w:pPr>
        <w:pStyle w:val="ListBullet"/>
      </w:pPr>
      <w:r w:rsidRPr="008F1881">
        <w:lastRenderedPageBreak/>
        <w:t>Agriculture</w:t>
      </w:r>
      <w:r w:rsidR="00FE5CC5">
        <w:t>,</w:t>
      </w:r>
      <w:r w:rsidRPr="008F1881">
        <w:t xml:space="preserve"> in particular cattle and sheep</w:t>
      </w:r>
      <w:r w:rsidR="00FE5CC5">
        <w:t>,</w:t>
      </w:r>
      <w:r w:rsidRPr="008F1881">
        <w:t xml:space="preserve"> along with potatoes, other vegetables, orchard fruits and associated food processing are also impo</w:t>
      </w:r>
      <w:r w:rsidR="00250493">
        <w:t>rtant to the region’s economy.</w:t>
      </w:r>
    </w:p>
    <w:p w:rsidR="00B055FA" w:rsidRPr="008F1881" w:rsidRDefault="00B055FA" w:rsidP="00250493">
      <w:pPr>
        <w:pStyle w:val="bt"/>
      </w:pPr>
      <w:r w:rsidRPr="008F1881">
        <w:t>Rail and road networks service both freight and passenger requirements and are</w:t>
      </w:r>
      <w:r w:rsidR="003F038B">
        <w:t xml:space="preserve"> crucial to the local economy. </w:t>
      </w:r>
      <w:r w:rsidRPr="008F1881">
        <w:t xml:space="preserve">Freight movements occur not only internally within the region but to the ports </w:t>
      </w:r>
      <w:r w:rsidR="00FE5CC5">
        <w:t xml:space="preserve">of </w:t>
      </w:r>
      <w:r w:rsidRPr="008F1881">
        <w:t>Melbourne, Portland and Geelong for produce export. Passenger services provide links not only to Melbourne but to other parts of the region, notably the rail corridors to Ararat and Maryborough.</w:t>
      </w:r>
    </w:p>
    <w:p w:rsidR="00363278" w:rsidRPr="00363278" w:rsidRDefault="003A1040" w:rsidP="00363278">
      <w:pPr>
        <w:pStyle w:val="bt"/>
      </w:pPr>
      <w:r w:rsidRPr="008F1881">
        <w:t xml:space="preserve">While the </w:t>
      </w:r>
      <w:r w:rsidR="00BE4540" w:rsidRPr="008F1881">
        <w:t>east</w:t>
      </w:r>
      <w:r w:rsidR="00FE5CC5">
        <w:t>-</w:t>
      </w:r>
      <w:r w:rsidR="00BE4540" w:rsidRPr="008F1881">
        <w:t xml:space="preserve">west transport corridors (the </w:t>
      </w:r>
      <w:r w:rsidRPr="008F1881">
        <w:t xml:space="preserve">Western Highway </w:t>
      </w:r>
      <w:r w:rsidR="00BE4540" w:rsidRPr="008F1881">
        <w:t>and Adelaide</w:t>
      </w:r>
      <w:r w:rsidR="00FE5CC5">
        <w:t>-</w:t>
      </w:r>
      <w:r w:rsidR="00BE4540" w:rsidRPr="008F1881">
        <w:t xml:space="preserve">Melbourne railway) are </w:t>
      </w:r>
      <w:r w:rsidRPr="008F1881">
        <w:t xml:space="preserve">an order of magnitude busier than other </w:t>
      </w:r>
      <w:r w:rsidR="00BE4540" w:rsidRPr="008F1881">
        <w:t xml:space="preserve">transport </w:t>
      </w:r>
      <w:r w:rsidRPr="008F1881">
        <w:t>corridors in the region, there are also important n</w:t>
      </w:r>
      <w:r w:rsidR="00B055FA" w:rsidRPr="008F1881">
        <w:t>orth</w:t>
      </w:r>
      <w:r w:rsidR="00FE5CC5">
        <w:t>-</w:t>
      </w:r>
      <w:r w:rsidR="00B055FA" w:rsidRPr="008F1881">
        <w:t>south transport corridors, such as the Midland Highway, Sunraysia Highway and Geelong</w:t>
      </w:r>
      <w:r w:rsidR="00FE5CC5">
        <w:t>-</w:t>
      </w:r>
      <w:r w:rsidR="00B055FA" w:rsidRPr="008F1881">
        <w:t>Ballarat</w:t>
      </w:r>
      <w:r w:rsidR="00FE5CC5">
        <w:t>-</w:t>
      </w:r>
      <w:r w:rsidR="00B055FA" w:rsidRPr="008F1881">
        <w:t>Maryborough railway l</w:t>
      </w:r>
      <w:r w:rsidR="003F038B">
        <w:t>ine</w:t>
      </w:r>
      <w:r w:rsidR="00B055FA" w:rsidRPr="008F1881">
        <w:t xml:space="preserve">. </w:t>
      </w:r>
      <w:r w:rsidR="00FE5CC5">
        <w:t xml:space="preserve">A </w:t>
      </w:r>
      <w:r w:rsidR="00B055FA" w:rsidRPr="008F1881">
        <w:t xml:space="preserve">Rail Revival Study has been </w:t>
      </w:r>
      <w:r w:rsidR="00363278">
        <w:t>undertaken</w:t>
      </w:r>
      <w:r w:rsidR="00B055FA" w:rsidRPr="008F1881">
        <w:t xml:space="preserve"> by the Victorian Government to consider the long</w:t>
      </w:r>
      <w:r w:rsidR="00FE5CC5">
        <w:t>-</w:t>
      </w:r>
      <w:r w:rsidR="00B055FA" w:rsidRPr="008F1881">
        <w:t xml:space="preserve">term feasibility of returning passenger rail services between Geelong, Ballarat and Bendigo. </w:t>
      </w:r>
      <w:r w:rsidR="00363278">
        <w:t>The study recommends</w:t>
      </w:r>
      <w:r w:rsidR="00363278" w:rsidRPr="00363278">
        <w:t xml:space="preserve"> </w:t>
      </w:r>
      <w:r w:rsidR="00363278">
        <w:t>increases</w:t>
      </w:r>
      <w:r w:rsidR="00363278" w:rsidRPr="00363278">
        <w:t xml:space="preserve"> to coach services in the short-term with the return of rail services to form part of a longer-term plan for the region.</w:t>
      </w:r>
    </w:p>
    <w:p w:rsidR="00B055FA" w:rsidRPr="008F1881" w:rsidRDefault="00B055FA" w:rsidP="00250493">
      <w:pPr>
        <w:pStyle w:val="bt"/>
      </w:pPr>
      <w:r w:rsidRPr="008F1881">
        <w:t xml:space="preserve">These </w:t>
      </w:r>
      <w:r w:rsidR="00363278">
        <w:t xml:space="preserve">enhanced transport </w:t>
      </w:r>
      <w:r w:rsidRPr="008F1881">
        <w:t>services would further develop the importance of north</w:t>
      </w:r>
      <w:r w:rsidR="00FE5CC5">
        <w:t>-</w:t>
      </w:r>
      <w:r w:rsidRPr="008F1881">
        <w:t>south transport within the region should they be realised.</w:t>
      </w:r>
    </w:p>
    <w:p w:rsidR="008F1881" w:rsidRPr="005B01F7" w:rsidRDefault="00B055FA" w:rsidP="001966B1">
      <w:pPr>
        <w:pStyle w:val="Heading2"/>
        <w:spacing w:before="240" w:after="120"/>
      </w:pPr>
      <w:bookmarkStart w:id="184" w:name="_Toc349557715"/>
      <w:bookmarkStart w:id="185" w:name="_Toc374527613"/>
      <w:r w:rsidRPr="005B01F7">
        <w:t xml:space="preserve">Regional </w:t>
      </w:r>
      <w:r w:rsidR="00661931" w:rsidRPr="005B01F7">
        <w:t xml:space="preserve">transport </w:t>
      </w:r>
      <w:bookmarkEnd w:id="184"/>
      <w:r w:rsidR="00661931" w:rsidRPr="005B01F7">
        <w:t>links</w:t>
      </w:r>
      <w:bookmarkEnd w:id="185"/>
    </w:p>
    <w:p w:rsidR="008F1881" w:rsidRPr="005B01F7" w:rsidRDefault="009F09AE" w:rsidP="001966B1">
      <w:pPr>
        <w:pStyle w:val="Heading3"/>
        <w:spacing w:before="120"/>
      </w:pPr>
      <w:r w:rsidRPr="005B01F7">
        <w:t xml:space="preserve">Description and </w:t>
      </w:r>
      <w:r w:rsidR="00661931" w:rsidRPr="005B01F7">
        <w:t>analysis</w:t>
      </w:r>
    </w:p>
    <w:p w:rsidR="00933847" w:rsidRPr="0021254E" w:rsidRDefault="009F09AE" w:rsidP="0021254E">
      <w:pPr>
        <w:pStyle w:val="Heading40"/>
      </w:pPr>
      <w:r w:rsidRPr="0021254E">
        <w:t>Overview of travel patterns and trends</w:t>
      </w:r>
    </w:p>
    <w:p w:rsidR="00B055FA" w:rsidRPr="008F1881" w:rsidRDefault="00B055FA" w:rsidP="001966B1">
      <w:pPr>
        <w:pStyle w:val="bt"/>
        <w:spacing w:after="120"/>
      </w:pPr>
      <w:r w:rsidRPr="008F1881">
        <w:t>Ballarat is the main centre providing a number of high order services and facilities that relate in particular to medical</w:t>
      </w:r>
      <w:r w:rsidR="00122182">
        <w:t xml:space="preserve"> services</w:t>
      </w:r>
      <w:r w:rsidR="00FE5CC5">
        <w:t>,</w:t>
      </w:r>
      <w:r w:rsidRPr="008F1881">
        <w:t xml:space="preserve"> he</w:t>
      </w:r>
      <w:r w:rsidR="00FC3810">
        <w:t>alth services and education. Federation</w:t>
      </w:r>
      <w:r w:rsidRPr="008F1881">
        <w:t xml:space="preserve"> University </w:t>
      </w:r>
      <w:r w:rsidR="00FC3810">
        <w:t>Australia</w:t>
      </w:r>
      <w:r w:rsidRPr="008F1881">
        <w:t xml:space="preserve"> attracts students from all over the region and </w:t>
      </w:r>
      <w:r w:rsidR="00FE5CC5">
        <w:t xml:space="preserve">the </w:t>
      </w:r>
      <w:r w:rsidRPr="008F1881">
        <w:t xml:space="preserve">country and is internationally recognised. Ballarat is also home to a campus of the Australian Catholic University. </w:t>
      </w:r>
      <w:r w:rsidR="00FE5CC5">
        <w:t>T</w:t>
      </w:r>
      <w:r w:rsidRPr="008F1881">
        <w:t>herefore</w:t>
      </w:r>
      <w:r w:rsidR="009B30A0">
        <w:t>,</w:t>
      </w:r>
      <w:r w:rsidRPr="008F1881">
        <w:t xml:space="preserve"> </w:t>
      </w:r>
      <w:r w:rsidR="00FE5CC5">
        <w:t xml:space="preserve">it is </w:t>
      </w:r>
      <w:r w:rsidRPr="008F1881">
        <w:t>important to ensure transport links for passenger transport services are available</w:t>
      </w:r>
      <w:r w:rsidR="00FE5CC5">
        <w:t>,</w:t>
      </w:r>
      <w:r w:rsidRPr="008F1881">
        <w:t xml:space="preserve"> not only to Melbourne to ensure that people can access specialist services and facilities, but </w:t>
      </w:r>
      <w:r w:rsidR="00D8773C" w:rsidRPr="008F1881">
        <w:t xml:space="preserve">also to </w:t>
      </w:r>
      <w:r w:rsidRPr="008F1881">
        <w:t>Ballarat so that students can access the universities.</w:t>
      </w:r>
    </w:p>
    <w:p w:rsidR="003C3A8E" w:rsidRDefault="00FE5CC5" w:rsidP="001966B1">
      <w:pPr>
        <w:pStyle w:val="bt"/>
        <w:spacing w:after="120"/>
      </w:pPr>
      <w:r>
        <w:t xml:space="preserve">Since </w:t>
      </w:r>
      <w:r w:rsidR="00B055FA" w:rsidRPr="008F1881">
        <w:t xml:space="preserve">the advent of the Regional Fast Rail project services on flagship trains have provided a commute time from Ballarat </w:t>
      </w:r>
      <w:r>
        <w:t xml:space="preserve">to Melbourne </w:t>
      </w:r>
      <w:r w:rsidR="00B055FA" w:rsidRPr="008F1881">
        <w:t xml:space="preserve">of just over </w:t>
      </w:r>
      <w:r w:rsidR="00F625D2">
        <w:t>one</w:t>
      </w:r>
      <w:r w:rsidR="00F625D2" w:rsidRPr="008F1881">
        <w:t xml:space="preserve"> </w:t>
      </w:r>
      <w:r w:rsidR="00B055FA" w:rsidRPr="008F1881">
        <w:t xml:space="preserve">hour. Services run approximately every forty minutes in the AM and PM peaks and hourly after that. Rail at Ararat connects to Ballarat and then to Melbourne and likewise rail services from Maryborough connect with Ballarat and then Melbourne. </w:t>
      </w:r>
      <w:r w:rsidR="00BE4540" w:rsidRPr="008F1881">
        <w:t xml:space="preserve">The rail network in the region is entirely single track operating with regularly spaced passing loops. </w:t>
      </w:r>
    </w:p>
    <w:p w:rsidR="001B4172" w:rsidRPr="008F1881" w:rsidRDefault="00BE4540" w:rsidP="001966B1">
      <w:pPr>
        <w:pStyle w:val="bt"/>
        <w:spacing w:after="120"/>
      </w:pPr>
      <w:r w:rsidRPr="008F1881">
        <w:t xml:space="preserve">Most of the region’s rail infrastructure is in reasonable to good condition having been extensively refurbished during the last decade as part of various freight and passenger rail projects (AECOM, 2011). </w:t>
      </w:r>
      <w:r w:rsidR="00B055FA" w:rsidRPr="008F1881">
        <w:t>The re-establishment of passenger rail services between Maryborough and Ballarat may also result in some changes to the orientation of Maryborough residents towards Ballarat for higher order services</w:t>
      </w:r>
      <w:r w:rsidR="00F625D2">
        <w:t>,</w:t>
      </w:r>
      <w:r w:rsidR="00B055FA" w:rsidRPr="008F1881">
        <w:t xml:space="preserve"> where their regional catchment is located. Ballarat has an inter-regional role in providing services and facilities.</w:t>
      </w:r>
    </w:p>
    <w:p w:rsidR="00B055FA" w:rsidRPr="008F1881" w:rsidRDefault="00B055FA" w:rsidP="007B0C62">
      <w:pPr>
        <w:pStyle w:val="bt"/>
      </w:pPr>
      <w:r w:rsidRPr="008F1881">
        <w:t xml:space="preserve">Enhancements to passenger rail services and infrastructure linking Melbourne and the Central Highlands have helped encourage a </w:t>
      </w:r>
      <w:r w:rsidR="001B4172" w:rsidRPr="008F1881">
        <w:t>significant rise in the number of people using rail to travel to Melbourne</w:t>
      </w:r>
      <w:r w:rsidRPr="008F1881">
        <w:t xml:space="preserve">, as shown </w:t>
      </w:r>
      <w:r w:rsidR="007337C6" w:rsidRPr="008F1881">
        <w:t xml:space="preserve">in </w:t>
      </w:r>
      <w:r w:rsidR="00631B16">
        <w:fldChar w:fldCharType="begin"/>
      </w:r>
      <w:r w:rsidR="00631B16">
        <w:instrText xml:space="preserve"> REF _Ref349223760 \h  \* MERGEFORMAT </w:instrText>
      </w:r>
      <w:r w:rsidR="00631B16">
        <w:fldChar w:fldCharType="separate"/>
      </w:r>
      <w:r w:rsidR="00907B42" w:rsidRPr="00CD2959">
        <w:t xml:space="preserve">Figure </w:t>
      </w:r>
      <w:r w:rsidR="00907B42">
        <w:rPr>
          <w:noProof/>
        </w:rPr>
        <w:t>27</w:t>
      </w:r>
      <w:r w:rsidR="00631B16">
        <w:fldChar w:fldCharType="end"/>
      </w:r>
      <w:r w:rsidR="009B46A1" w:rsidRPr="008F1881">
        <w:t xml:space="preserve"> and</w:t>
      </w:r>
      <w:r w:rsidR="001966B1">
        <w:t xml:space="preserve"> </w:t>
      </w:r>
      <w:r w:rsidR="00631B16">
        <w:fldChar w:fldCharType="begin"/>
      </w:r>
      <w:r w:rsidR="00631B16">
        <w:instrText xml:space="preserve"> REF _Ref357771931 \h  \* MERGEFORMAT </w:instrText>
      </w:r>
      <w:r w:rsidR="00631B16">
        <w:fldChar w:fldCharType="separate"/>
      </w:r>
      <w:r w:rsidR="00907B42" w:rsidRPr="00CD2959">
        <w:t xml:space="preserve">Figure </w:t>
      </w:r>
      <w:r w:rsidR="00907B42">
        <w:rPr>
          <w:noProof/>
        </w:rPr>
        <w:t>28</w:t>
      </w:r>
      <w:r w:rsidR="00631B16">
        <w:fldChar w:fldCharType="end"/>
      </w:r>
      <w:r w:rsidR="007B0C62">
        <w:t xml:space="preserve"> </w:t>
      </w:r>
      <w:r w:rsidRPr="008F1881">
        <w:t xml:space="preserve">although the absolute numbers of </w:t>
      </w:r>
      <w:r w:rsidR="001B4172" w:rsidRPr="008F1881">
        <w:t xml:space="preserve">people </w:t>
      </w:r>
      <w:r w:rsidR="00D8773C" w:rsidRPr="008F1881">
        <w:t xml:space="preserve">using rail </w:t>
      </w:r>
      <w:r w:rsidRPr="008F1881">
        <w:t xml:space="preserve">remains </w:t>
      </w:r>
      <w:r w:rsidR="001B4172" w:rsidRPr="008F1881">
        <w:t>significantly less than those travelling by car</w:t>
      </w:r>
      <w:r w:rsidRPr="008F1881">
        <w:t>.</w:t>
      </w:r>
      <w:r w:rsidR="001B4172" w:rsidRPr="008F1881">
        <w:t xml:space="preserve"> The number of people travelling from the Shire of Moorabool to metropolitan Melbourne, by both car and public transport, has also increased considerably, reflecting the strong commuter relationship between Bacchus Marsh and metropolitan Melbourne.</w:t>
      </w:r>
    </w:p>
    <w:p w:rsidR="007337C6" w:rsidRPr="008F1881" w:rsidRDefault="007337C6" w:rsidP="007B0C62">
      <w:pPr>
        <w:pStyle w:val="bt"/>
      </w:pPr>
      <w:r w:rsidRPr="008F1881">
        <w:t>In terms of the numbers of weekday rail passengers using particular railway stations within the region</w:t>
      </w:r>
      <w:r w:rsidR="00D0650C">
        <w:t>,</w:t>
      </w:r>
      <w:r w:rsidRPr="008F1881">
        <w:t xml:space="preserve"> </w:t>
      </w:r>
      <w:r w:rsidR="00653EAF" w:rsidRPr="008F1881">
        <w:t>Ballarat railway station has by far the greatest patronage, with Bacchus Marsh also having significant patronage.</w:t>
      </w:r>
      <w:r w:rsidRPr="008F1881">
        <w:t xml:space="preserve"> </w:t>
      </w:r>
    </w:p>
    <w:p w:rsidR="00907B42" w:rsidRDefault="009F388E" w:rsidP="00696EF2">
      <w:pPr>
        <w:pStyle w:val="bt"/>
      </w:pPr>
      <w:r>
        <w:fldChar w:fldCharType="begin"/>
      </w:r>
      <w:r w:rsidR="002A67F3">
        <w:instrText xml:space="preserve"> REF _Ref349224052 \h  \* MERGEFORMAT </w:instrText>
      </w:r>
      <w:r>
        <w:fldChar w:fldCharType="separate"/>
      </w:r>
    </w:p>
    <w:p w:rsidR="00907B42" w:rsidRDefault="00907B42" w:rsidP="00696EF2">
      <w:pPr>
        <w:pStyle w:val="bt"/>
      </w:pPr>
    </w:p>
    <w:p w:rsidR="001966B1" w:rsidRDefault="00907B42" w:rsidP="00E77DA0">
      <w:pPr>
        <w:pStyle w:val="bt"/>
      </w:pPr>
      <w:r w:rsidRPr="00250493">
        <w:rPr>
          <w:noProof/>
        </w:rPr>
        <w:t>Figure</w:t>
      </w:r>
      <w:r w:rsidRPr="00250493">
        <w:t xml:space="preserve"> </w:t>
      </w:r>
      <w:r>
        <w:rPr>
          <w:noProof/>
        </w:rPr>
        <w:t>29</w:t>
      </w:r>
      <w:r w:rsidR="009F388E">
        <w:fldChar w:fldCharType="end"/>
      </w:r>
      <w:r w:rsidR="008423D3" w:rsidRPr="008F1881">
        <w:t xml:space="preserve"> provides the number of journeys by car and by public transport from some of the larger settlements within the region. This figure demonstrates the strong commuter relationship between Bacchus Marsh and metropolitan </w:t>
      </w:r>
      <w:r w:rsidR="00F0025A">
        <w:t>Melbourne</w:t>
      </w:r>
      <w:r w:rsidR="008423D3" w:rsidRPr="008F1881">
        <w:t>. It also shows travel is limited between places such as Ararat and Ballarat and Bacchus Marsh and Ballarat.</w:t>
      </w:r>
    </w:p>
    <w:p w:rsidR="001966B1" w:rsidRPr="00CD2959" w:rsidRDefault="004E330D" w:rsidP="00CD2959">
      <w:pPr>
        <w:pStyle w:val="Caption"/>
      </w:pPr>
      <w:bookmarkStart w:id="186" w:name="_Ref349223760"/>
      <w:r>
        <w:rPr>
          <w:noProof/>
        </w:rPr>
        <w:drawing>
          <wp:anchor distT="0" distB="0" distL="114300" distR="114300" simplePos="0" relativeHeight="251681792" behindDoc="0" locked="0" layoutInCell="1" allowOverlap="1">
            <wp:simplePos x="0" y="0"/>
            <wp:positionH relativeFrom="column">
              <wp:posOffset>-300127</wp:posOffset>
            </wp:positionH>
            <wp:positionV relativeFrom="paragraph">
              <wp:posOffset>207034</wp:posOffset>
            </wp:positionV>
            <wp:extent cx="3414263" cy="5210355"/>
            <wp:effectExtent l="19050" t="0" r="0" b="0"/>
            <wp:wrapTopAndBottom/>
            <wp:docPr id="15" name="Chart 1" descr="Chart showing journeys made by car to Melbourne from Central Highlands by local government area"/>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FC4A9D">
        <w:rPr>
          <w:noProof/>
        </w:rPr>
        <w:drawing>
          <wp:anchor distT="0" distB="0" distL="114300" distR="114300" simplePos="0" relativeHeight="251683840" behindDoc="0" locked="0" layoutInCell="1" allowOverlap="1">
            <wp:simplePos x="0" y="0"/>
            <wp:positionH relativeFrom="column">
              <wp:posOffset>2959100</wp:posOffset>
            </wp:positionH>
            <wp:positionV relativeFrom="paragraph">
              <wp:posOffset>203200</wp:posOffset>
            </wp:positionV>
            <wp:extent cx="3314700" cy="5219700"/>
            <wp:effectExtent l="0" t="0" r="0" b="0"/>
            <wp:wrapNone/>
            <wp:docPr id="16" name="Chart 2" descr="Chart showing journeys made by public transport to Melbourne from Central Highlands by local government area"/>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bookmarkStart w:id="187" w:name="_Toc381698027"/>
      <w:r w:rsidR="009B46A1" w:rsidRPr="00CD2959">
        <w:t xml:space="preserve">Figure </w:t>
      </w:r>
      <w:r w:rsidR="009F388E">
        <w:fldChar w:fldCharType="begin"/>
      </w:r>
      <w:r w:rsidR="00821C7F">
        <w:instrText xml:space="preserve"> SEQ Figure \* ARABIC </w:instrText>
      </w:r>
      <w:r w:rsidR="009F388E">
        <w:fldChar w:fldCharType="separate"/>
      </w:r>
      <w:r w:rsidR="00907B42">
        <w:rPr>
          <w:noProof/>
        </w:rPr>
        <w:t>27</w:t>
      </w:r>
      <w:r w:rsidR="009F388E">
        <w:fldChar w:fldCharType="end"/>
      </w:r>
      <w:bookmarkEnd w:id="186"/>
      <w:r w:rsidR="00F40D59" w:rsidRPr="00CD2959">
        <w:t>:</w:t>
      </w:r>
      <w:r w:rsidR="001B4172" w:rsidRPr="00CD2959">
        <w:t xml:space="preserve"> Journeys to Melbourne from the Central Highlands </w:t>
      </w:r>
      <w:r w:rsidR="00653EAF" w:rsidRPr="00CD2959">
        <w:t>by local government area</w:t>
      </w:r>
      <w:bookmarkStart w:id="188" w:name="_Ref357535846"/>
      <w:bookmarkEnd w:id="187"/>
    </w:p>
    <w:p w:rsidR="004B6283" w:rsidRPr="00CD2959" w:rsidRDefault="00BD549B" w:rsidP="00CB41DC">
      <w:pPr>
        <w:pStyle w:val="Source0"/>
      </w:pPr>
      <w:r w:rsidRPr="00BD549B">
        <w:t>Source: Department of Transport</w:t>
      </w:r>
      <w:r w:rsidR="00122182">
        <w:t>, Planning and Local Infrastructure</w:t>
      </w:r>
    </w:p>
    <w:p w:rsidR="00F304F1" w:rsidRPr="00CD2959" w:rsidRDefault="00CB41DC" w:rsidP="00CD2959">
      <w:pPr>
        <w:pStyle w:val="Caption"/>
      </w:pPr>
      <w:bookmarkStart w:id="189" w:name="_Ref357771931"/>
      <w:r>
        <w:rPr>
          <w:noProof/>
        </w:rPr>
        <w:lastRenderedPageBreak/>
        <w:drawing>
          <wp:anchor distT="0" distB="0" distL="114300" distR="114300" simplePos="0" relativeHeight="251684864" behindDoc="0" locked="0" layoutInCell="1" allowOverlap="1">
            <wp:simplePos x="0" y="0"/>
            <wp:positionH relativeFrom="column">
              <wp:posOffset>0</wp:posOffset>
            </wp:positionH>
            <wp:positionV relativeFrom="paragraph">
              <wp:posOffset>215265</wp:posOffset>
            </wp:positionV>
            <wp:extent cx="6210300" cy="2705100"/>
            <wp:effectExtent l="0" t="0" r="0" b="0"/>
            <wp:wrapTopAndBottom/>
            <wp:docPr id="17" name="Chart 6" descr="Chart showing estimated rail patronage by station from 2005 to 2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bookmarkStart w:id="190" w:name="_Toc381698028"/>
      <w:r w:rsidR="001966B1" w:rsidRPr="00CD2959">
        <w:t xml:space="preserve">Figure </w:t>
      </w:r>
      <w:r w:rsidR="009F388E">
        <w:fldChar w:fldCharType="begin"/>
      </w:r>
      <w:r w:rsidR="00821C7F">
        <w:instrText xml:space="preserve"> SEQ Figure \* ARABIC </w:instrText>
      </w:r>
      <w:r w:rsidR="009F388E">
        <w:fldChar w:fldCharType="separate"/>
      </w:r>
      <w:r w:rsidR="00907B42">
        <w:rPr>
          <w:noProof/>
        </w:rPr>
        <w:t>28</w:t>
      </w:r>
      <w:r w:rsidR="009F388E">
        <w:fldChar w:fldCharType="end"/>
      </w:r>
      <w:bookmarkEnd w:id="188"/>
      <w:bookmarkEnd w:id="189"/>
      <w:r w:rsidR="001966B1" w:rsidRPr="00CD2959">
        <w:t>: Estimated rail patronage (normal weekday) by station 2005 to 2011</w:t>
      </w:r>
      <w:bookmarkEnd w:id="190"/>
    </w:p>
    <w:p w:rsidR="004B6283" w:rsidRDefault="00BD549B" w:rsidP="00CB41DC">
      <w:pPr>
        <w:pStyle w:val="Source0"/>
      </w:pPr>
      <w:r w:rsidRPr="00BD549B">
        <w:t>Source: Public Transport Victoria</w:t>
      </w:r>
    </w:p>
    <w:p w:rsidR="00696EF2" w:rsidRDefault="00122182" w:rsidP="00696EF2">
      <w:pPr>
        <w:pStyle w:val="bt"/>
      </w:pPr>
      <w:r w:rsidRPr="008F1881">
        <w:t xml:space="preserve">Constraints affecting Ballarat-Melbourne rail services in the western approaches to Melbourne are being addressed through the Regional Rail Link </w:t>
      </w:r>
      <w:r>
        <w:t xml:space="preserve">project </w:t>
      </w:r>
      <w:r w:rsidRPr="008F1881">
        <w:t xml:space="preserve">which is currently under construction and is expected to be completed in early 2016. The resulting increase in capacity provided on the western railway lines approaching Melbourne may lead to reduced demand on roads, </w:t>
      </w:r>
      <w:r>
        <w:t xml:space="preserve">thereby </w:t>
      </w:r>
      <w:r w:rsidRPr="008F1881">
        <w:t>improving access to the region from Melbourne</w:t>
      </w:r>
      <w:r w:rsidR="00852ABD">
        <w:t>.</w:t>
      </w:r>
      <w:bookmarkStart w:id="191" w:name="_Ref349224052"/>
    </w:p>
    <w:p w:rsidR="00B863D3" w:rsidRDefault="00B863D3" w:rsidP="00696EF2">
      <w:pPr>
        <w:pStyle w:val="bt"/>
      </w:pPr>
    </w:p>
    <w:p w:rsidR="00D51DD8" w:rsidRDefault="00F304F1" w:rsidP="00696EF2">
      <w:pPr>
        <w:pStyle w:val="Caption"/>
      </w:pPr>
      <w:bookmarkStart w:id="192" w:name="_Toc381698029"/>
      <w:r w:rsidRPr="00250493">
        <w:t xml:space="preserve">Figure </w:t>
      </w:r>
      <w:r w:rsidR="009F388E">
        <w:fldChar w:fldCharType="begin"/>
      </w:r>
      <w:r w:rsidR="00821C7F">
        <w:instrText xml:space="preserve"> SEQ Figure \* ARABIC </w:instrText>
      </w:r>
      <w:r w:rsidR="009F388E">
        <w:fldChar w:fldCharType="separate"/>
      </w:r>
      <w:r w:rsidR="00907B42">
        <w:rPr>
          <w:noProof/>
        </w:rPr>
        <w:t>29</w:t>
      </w:r>
      <w:r w:rsidR="009F388E">
        <w:fldChar w:fldCharType="end"/>
      </w:r>
      <w:bookmarkEnd w:id="191"/>
      <w:r w:rsidR="00F0025A" w:rsidRPr="00250493">
        <w:t>:</w:t>
      </w:r>
      <w:r w:rsidRPr="00250493">
        <w:t xml:space="preserve"> Journeys from urban centres to destinations within the region and to Melbourne 2011</w:t>
      </w:r>
      <w:bookmarkEnd w:id="192"/>
    </w:p>
    <w:p w:rsidR="00696EF2" w:rsidRPr="00843708" w:rsidRDefault="00843708" w:rsidP="00696EF2">
      <w:pPr>
        <w:pStyle w:val="bt"/>
        <w:rPr>
          <w:rStyle w:val="Strong"/>
        </w:rPr>
      </w:pPr>
      <w:r w:rsidRPr="00843708">
        <w:rPr>
          <w:rStyle w:val="Strong"/>
        </w:rPr>
        <w:t>Origin Ballarat</w:t>
      </w:r>
      <w:r w:rsidR="00B863D3">
        <w:rPr>
          <w:rStyle w:val="Strong"/>
        </w:rPr>
        <w:t xml:space="preserve"> </w:t>
      </w:r>
      <w:r w:rsidR="00C076F8">
        <w:rPr>
          <w:rStyle w:val="Strong"/>
        </w:rPr>
        <w:t>(urban centre)</w:t>
      </w:r>
      <w:r w:rsidRPr="00843708">
        <w:rPr>
          <w:rStyle w:val="Strong"/>
        </w:rPr>
        <w:t xml:space="preserve"> - Journeys to....</w:t>
      </w:r>
    </w:p>
    <w:p w:rsidR="00696EF2" w:rsidRDefault="00696EF2" w:rsidP="00696EF2">
      <w:pPr>
        <w:pStyle w:val="ListBullet"/>
      </w:pPr>
      <w:r>
        <w:t>Metropolitan Melbourne</w:t>
      </w:r>
    </w:p>
    <w:p w:rsidR="00696EF2" w:rsidRDefault="00696EF2" w:rsidP="00696EF2">
      <w:pPr>
        <w:pStyle w:val="ListBullet2"/>
      </w:pPr>
      <w:r>
        <w:t xml:space="preserve">Using car – </w:t>
      </w:r>
      <w:r w:rsidR="00843708">
        <w:t>848</w:t>
      </w:r>
    </w:p>
    <w:p w:rsidR="00696EF2" w:rsidRDefault="00696EF2" w:rsidP="00696EF2">
      <w:pPr>
        <w:pStyle w:val="ListBullet2"/>
      </w:pPr>
      <w:r>
        <w:t xml:space="preserve">Using public transport – </w:t>
      </w:r>
      <w:r w:rsidR="00843708">
        <w:t>646</w:t>
      </w:r>
    </w:p>
    <w:p w:rsidR="00696EF2" w:rsidRDefault="00696EF2" w:rsidP="00696EF2">
      <w:pPr>
        <w:pStyle w:val="ListBullet"/>
      </w:pPr>
      <w:r>
        <w:t>Ballarat</w:t>
      </w:r>
    </w:p>
    <w:p w:rsidR="00696EF2" w:rsidRDefault="00696EF2" w:rsidP="00696EF2">
      <w:pPr>
        <w:pStyle w:val="ListBullet2"/>
      </w:pPr>
      <w:r>
        <w:t xml:space="preserve">Using car – </w:t>
      </w:r>
      <w:r w:rsidR="00843708">
        <w:t>22,098</w:t>
      </w:r>
    </w:p>
    <w:p w:rsidR="00696EF2" w:rsidRDefault="00696EF2" w:rsidP="00696EF2">
      <w:pPr>
        <w:pStyle w:val="ListBullet2"/>
      </w:pPr>
      <w:r>
        <w:t xml:space="preserve">Using public transport – </w:t>
      </w:r>
      <w:r w:rsidR="00843708">
        <w:t>420</w:t>
      </w:r>
    </w:p>
    <w:p w:rsidR="00696EF2" w:rsidRDefault="00696EF2" w:rsidP="00696EF2">
      <w:pPr>
        <w:pStyle w:val="ListBullet"/>
      </w:pPr>
      <w:r>
        <w:t>Hepburn</w:t>
      </w:r>
    </w:p>
    <w:p w:rsidR="00696EF2" w:rsidRDefault="00696EF2" w:rsidP="00696EF2">
      <w:pPr>
        <w:pStyle w:val="ListBullet2"/>
      </w:pPr>
      <w:r>
        <w:t xml:space="preserve">Using car – </w:t>
      </w:r>
      <w:r w:rsidR="00843708">
        <w:t>417</w:t>
      </w:r>
    </w:p>
    <w:p w:rsidR="00696EF2" w:rsidRDefault="00696EF2" w:rsidP="00696EF2">
      <w:pPr>
        <w:pStyle w:val="ListBullet2"/>
      </w:pPr>
      <w:r>
        <w:t xml:space="preserve">Using public transport – </w:t>
      </w:r>
      <w:r w:rsidR="00843708">
        <w:t>6</w:t>
      </w:r>
    </w:p>
    <w:p w:rsidR="00696EF2" w:rsidRDefault="00696EF2" w:rsidP="00696EF2">
      <w:pPr>
        <w:pStyle w:val="ListBullet"/>
      </w:pPr>
      <w:r>
        <w:t>Moorabool</w:t>
      </w:r>
    </w:p>
    <w:p w:rsidR="00696EF2" w:rsidRDefault="00696EF2" w:rsidP="00696EF2">
      <w:pPr>
        <w:pStyle w:val="ListBullet2"/>
      </w:pPr>
      <w:r>
        <w:t xml:space="preserve">Using car – </w:t>
      </w:r>
      <w:r w:rsidR="00843708">
        <w:t>276</w:t>
      </w:r>
    </w:p>
    <w:p w:rsidR="00696EF2" w:rsidRDefault="00696EF2" w:rsidP="00696EF2">
      <w:pPr>
        <w:pStyle w:val="ListBullet2"/>
      </w:pPr>
      <w:r>
        <w:t xml:space="preserve">Using public transport – </w:t>
      </w:r>
      <w:r w:rsidR="00843708">
        <w:t>8</w:t>
      </w:r>
    </w:p>
    <w:p w:rsidR="00696EF2" w:rsidRDefault="00696EF2" w:rsidP="00696EF2">
      <w:pPr>
        <w:pStyle w:val="ListBullet"/>
      </w:pPr>
      <w:r>
        <w:t>Pyrenees</w:t>
      </w:r>
    </w:p>
    <w:p w:rsidR="00696EF2" w:rsidRDefault="00696EF2" w:rsidP="00696EF2">
      <w:pPr>
        <w:pStyle w:val="ListBullet2"/>
      </w:pPr>
      <w:r>
        <w:t xml:space="preserve">Using car – </w:t>
      </w:r>
      <w:r w:rsidR="00843708">
        <w:t>142</w:t>
      </w:r>
    </w:p>
    <w:p w:rsidR="00696EF2" w:rsidRDefault="00696EF2" w:rsidP="00696EF2">
      <w:pPr>
        <w:pStyle w:val="ListBullet2"/>
      </w:pPr>
      <w:r>
        <w:t xml:space="preserve">Using public transport – </w:t>
      </w:r>
      <w:r w:rsidR="00843708">
        <w:t>0</w:t>
      </w:r>
    </w:p>
    <w:p w:rsidR="00696EF2" w:rsidRDefault="00696EF2" w:rsidP="00696EF2">
      <w:pPr>
        <w:pStyle w:val="ListBullet"/>
      </w:pPr>
      <w:r>
        <w:t>Ararat</w:t>
      </w:r>
    </w:p>
    <w:p w:rsidR="00696EF2" w:rsidRDefault="00696EF2" w:rsidP="00696EF2">
      <w:pPr>
        <w:pStyle w:val="ListBullet2"/>
      </w:pPr>
      <w:r>
        <w:t xml:space="preserve">Using car – </w:t>
      </w:r>
      <w:r w:rsidR="00843708">
        <w:t>109</w:t>
      </w:r>
    </w:p>
    <w:p w:rsidR="00696EF2" w:rsidRDefault="00696EF2" w:rsidP="00696EF2">
      <w:pPr>
        <w:pStyle w:val="ListBullet2"/>
      </w:pPr>
      <w:r>
        <w:t xml:space="preserve">Using public transport – </w:t>
      </w:r>
      <w:r w:rsidR="00843708">
        <w:t>5</w:t>
      </w:r>
    </w:p>
    <w:p w:rsidR="00696EF2" w:rsidRDefault="00696EF2" w:rsidP="00696EF2">
      <w:pPr>
        <w:pStyle w:val="ListBullet"/>
      </w:pPr>
      <w:r>
        <w:t>Golden Plains</w:t>
      </w:r>
      <w:r w:rsidRPr="00696EF2">
        <w:t xml:space="preserve"> </w:t>
      </w:r>
    </w:p>
    <w:p w:rsidR="00696EF2" w:rsidRDefault="00696EF2" w:rsidP="00696EF2">
      <w:pPr>
        <w:pStyle w:val="ListBullet2"/>
      </w:pPr>
      <w:r>
        <w:t xml:space="preserve">Using car – </w:t>
      </w:r>
      <w:r w:rsidR="00843708">
        <w:t>200</w:t>
      </w:r>
    </w:p>
    <w:p w:rsidR="00696EF2" w:rsidRDefault="00696EF2" w:rsidP="00696EF2">
      <w:pPr>
        <w:pStyle w:val="ListBullet2"/>
      </w:pPr>
      <w:r>
        <w:t xml:space="preserve">Using public transport – </w:t>
      </w:r>
      <w:r w:rsidR="00843708">
        <w:t>0</w:t>
      </w:r>
    </w:p>
    <w:p w:rsidR="00843708" w:rsidRPr="00843708" w:rsidRDefault="00843708" w:rsidP="00843708">
      <w:pPr>
        <w:pStyle w:val="bt"/>
        <w:rPr>
          <w:rStyle w:val="Strong"/>
        </w:rPr>
      </w:pPr>
      <w:r w:rsidRPr="00843708">
        <w:rPr>
          <w:rStyle w:val="Strong"/>
        </w:rPr>
        <w:lastRenderedPageBreak/>
        <w:t>Origin Bacchus Marsh</w:t>
      </w:r>
      <w:r w:rsidR="00C076F8">
        <w:rPr>
          <w:rStyle w:val="Strong"/>
        </w:rPr>
        <w:t xml:space="preserve"> (urban centre)</w:t>
      </w:r>
      <w:r w:rsidRPr="00843708">
        <w:rPr>
          <w:rStyle w:val="Strong"/>
        </w:rPr>
        <w:t xml:space="preserve"> - Journeys to....</w:t>
      </w:r>
    </w:p>
    <w:p w:rsidR="00843708" w:rsidRDefault="00843708" w:rsidP="00843708">
      <w:pPr>
        <w:pStyle w:val="ListBullet"/>
      </w:pPr>
      <w:r>
        <w:t>Metropolitan Melbourne</w:t>
      </w:r>
    </w:p>
    <w:p w:rsidR="00843708" w:rsidRDefault="00843708" w:rsidP="00843708">
      <w:pPr>
        <w:pStyle w:val="ListBullet2"/>
      </w:pPr>
      <w:r>
        <w:t>Using car – 2645</w:t>
      </w:r>
      <w:r>
        <w:tab/>
      </w:r>
    </w:p>
    <w:p w:rsidR="00843708" w:rsidRDefault="00843708" w:rsidP="00843708">
      <w:pPr>
        <w:pStyle w:val="ListBullet2"/>
      </w:pPr>
      <w:r>
        <w:t>Using public transport – 447</w:t>
      </w:r>
    </w:p>
    <w:p w:rsidR="00843708" w:rsidRDefault="00843708" w:rsidP="00843708">
      <w:pPr>
        <w:pStyle w:val="ListBullet"/>
      </w:pPr>
      <w:r>
        <w:t>Ballarat</w:t>
      </w:r>
    </w:p>
    <w:p w:rsidR="00843708" w:rsidRDefault="00843708" w:rsidP="00843708">
      <w:pPr>
        <w:pStyle w:val="ListBullet2"/>
      </w:pPr>
      <w:r>
        <w:t>Using car – 92</w:t>
      </w:r>
    </w:p>
    <w:p w:rsidR="00843708" w:rsidRDefault="00843708" w:rsidP="00843708">
      <w:pPr>
        <w:pStyle w:val="ListBullet2"/>
      </w:pPr>
      <w:r>
        <w:t>Using public transport – 8</w:t>
      </w:r>
    </w:p>
    <w:p w:rsidR="00843708" w:rsidRDefault="00843708" w:rsidP="00843708">
      <w:pPr>
        <w:pStyle w:val="ListBullet"/>
      </w:pPr>
      <w:r>
        <w:t>Hepburn</w:t>
      </w:r>
    </w:p>
    <w:p w:rsidR="00843708" w:rsidRDefault="00843708" w:rsidP="00843708">
      <w:pPr>
        <w:pStyle w:val="ListBullet2"/>
      </w:pPr>
      <w:r>
        <w:t>Using car – 12</w:t>
      </w:r>
    </w:p>
    <w:p w:rsidR="00843708" w:rsidRDefault="00843708" w:rsidP="00843708">
      <w:pPr>
        <w:pStyle w:val="ListBullet2"/>
      </w:pPr>
      <w:r>
        <w:t>Using public transport – 0</w:t>
      </w:r>
    </w:p>
    <w:p w:rsidR="00843708" w:rsidRDefault="00843708" w:rsidP="00843708">
      <w:pPr>
        <w:pStyle w:val="ListBullet"/>
      </w:pPr>
      <w:r>
        <w:t>Moorabool</w:t>
      </w:r>
    </w:p>
    <w:p w:rsidR="00843708" w:rsidRDefault="00843708" w:rsidP="00843708">
      <w:pPr>
        <w:pStyle w:val="ListBullet2"/>
      </w:pPr>
      <w:r>
        <w:t>Using car – 1596</w:t>
      </w:r>
    </w:p>
    <w:p w:rsidR="00843708" w:rsidRDefault="00843708" w:rsidP="00843708">
      <w:pPr>
        <w:pStyle w:val="ListBullet2"/>
      </w:pPr>
      <w:r>
        <w:t>Using public transport – 13</w:t>
      </w:r>
    </w:p>
    <w:p w:rsidR="00843708" w:rsidRDefault="00843708" w:rsidP="00843708">
      <w:pPr>
        <w:pStyle w:val="ListBullet"/>
      </w:pPr>
      <w:r>
        <w:t>Pyrenees</w:t>
      </w:r>
    </w:p>
    <w:p w:rsidR="00843708" w:rsidRDefault="00843708" w:rsidP="00843708">
      <w:pPr>
        <w:pStyle w:val="ListBullet2"/>
      </w:pPr>
      <w:r>
        <w:t>Using car – 0</w:t>
      </w:r>
    </w:p>
    <w:p w:rsidR="00843708" w:rsidRDefault="00843708" w:rsidP="00843708">
      <w:pPr>
        <w:pStyle w:val="ListBullet2"/>
      </w:pPr>
      <w:r>
        <w:t>Using public transport – 0</w:t>
      </w:r>
    </w:p>
    <w:p w:rsidR="00843708" w:rsidRDefault="00843708" w:rsidP="00843708">
      <w:pPr>
        <w:pStyle w:val="ListBullet"/>
      </w:pPr>
      <w:r>
        <w:t>Ararat</w:t>
      </w:r>
    </w:p>
    <w:p w:rsidR="00843708" w:rsidRDefault="00843708" w:rsidP="00843708">
      <w:pPr>
        <w:pStyle w:val="ListBullet2"/>
      </w:pPr>
      <w:r>
        <w:t>Using car – 0</w:t>
      </w:r>
    </w:p>
    <w:p w:rsidR="00843708" w:rsidRDefault="00843708" w:rsidP="00843708">
      <w:pPr>
        <w:pStyle w:val="ListBullet2"/>
      </w:pPr>
      <w:r>
        <w:t>Using public transport – 0</w:t>
      </w:r>
    </w:p>
    <w:p w:rsidR="00843708" w:rsidRDefault="00843708" w:rsidP="00843708">
      <w:pPr>
        <w:pStyle w:val="ListBullet"/>
      </w:pPr>
      <w:r>
        <w:t>Golden Plains</w:t>
      </w:r>
      <w:r w:rsidRPr="00696EF2">
        <w:t xml:space="preserve"> </w:t>
      </w:r>
    </w:p>
    <w:p w:rsidR="00843708" w:rsidRDefault="00843708" w:rsidP="00843708">
      <w:pPr>
        <w:pStyle w:val="ListBullet2"/>
      </w:pPr>
      <w:r>
        <w:t>Using car – 0</w:t>
      </w:r>
    </w:p>
    <w:p w:rsidR="00843708" w:rsidRDefault="00843708" w:rsidP="00843708">
      <w:pPr>
        <w:pStyle w:val="ListBullet2"/>
      </w:pPr>
      <w:r>
        <w:t>Using public transport – 0</w:t>
      </w:r>
    </w:p>
    <w:p w:rsidR="00843708" w:rsidRPr="00843708" w:rsidRDefault="00843708" w:rsidP="00843708">
      <w:pPr>
        <w:pStyle w:val="bt"/>
        <w:rPr>
          <w:rStyle w:val="Strong"/>
        </w:rPr>
      </w:pPr>
      <w:r>
        <w:rPr>
          <w:rStyle w:val="Strong"/>
        </w:rPr>
        <w:t>Origin Ararat</w:t>
      </w:r>
      <w:r w:rsidR="00C076F8">
        <w:rPr>
          <w:rStyle w:val="Strong"/>
        </w:rPr>
        <w:t xml:space="preserve"> (urban centre)</w:t>
      </w:r>
      <w:r w:rsidRPr="00843708">
        <w:rPr>
          <w:rStyle w:val="Strong"/>
        </w:rPr>
        <w:t xml:space="preserve"> - Journeys to....</w:t>
      </w:r>
    </w:p>
    <w:p w:rsidR="00843708" w:rsidRDefault="00843708" w:rsidP="00843708">
      <w:pPr>
        <w:pStyle w:val="ListBullet"/>
      </w:pPr>
      <w:r>
        <w:t>Metropolitan Melbourne</w:t>
      </w:r>
    </w:p>
    <w:p w:rsidR="00843708" w:rsidRDefault="00843708" w:rsidP="00843708">
      <w:pPr>
        <w:pStyle w:val="ListBullet2"/>
      </w:pPr>
      <w:r>
        <w:t>Using car – 32</w:t>
      </w:r>
    </w:p>
    <w:p w:rsidR="00843708" w:rsidRDefault="00843708" w:rsidP="00843708">
      <w:pPr>
        <w:pStyle w:val="ListBullet2"/>
      </w:pPr>
      <w:r>
        <w:t>Using public transport – 5</w:t>
      </w:r>
    </w:p>
    <w:p w:rsidR="00843708" w:rsidRDefault="00843708" w:rsidP="00843708">
      <w:pPr>
        <w:pStyle w:val="ListBullet"/>
      </w:pPr>
      <w:r>
        <w:t>Ballarat</w:t>
      </w:r>
    </w:p>
    <w:p w:rsidR="00843708" w:rsidRDefault="00843708" w:rsidP="00843708">
      <w:pPr>
        <w:pStyle w:val="ListBullet2"/>
      </w:pPr>
      <w:r>
        <w:t>Using car – 32</w:t>
      </w:r>
    </w:p>
    <w:p w:rsidR="00843708" w:rsidRDefault="00843708" w:rsidP="00843708">
      <w:pPr>
        <w:pStyle w:val="ListBullet2"/>
      </w:pPr>
      <w:r>
        <w:t>Using public transport – 7</w:t>
      </w:r>
    </w:p>
    <w:p w:rsidR="00843708" w:rsidRDefault="00843708" w:rsidP="00843708">
      <w:pPr>
        <w:pStyle w:val="ListBullet"/>
      </w:pPr>
      <w:r>
        <w:t>Hepburn</w:t>
      </w:r>
    </w:p>
    <w:p w:rsidR="00843708" w:rsidRDefault="00843708" w:rsidP="00843708">
      <w:pPr>
        <w:pStyle w:val="ListBullet2"/>
      </w:pPr>
      <w:r>
        <w:t>Using car – 0</w:t>
      </w:r>
    </w:p>
    <w:p w:rsidR="00843708" w:rsidRDefault="00843708" w:rsidP="00843708">
      <w:pPr>
        <w:pStyle w:val="ListBullet2"/>
      </w:pPr>
      <w:r>
        <w:t>Using public transport – 0</w:t>
      </w:r>
    </w:p>
    <w:p w:rsidR="00843708" w:rsidRDefault="00843708" w:rsidP="00843708">
      <w:pPr>
        <w:pStyle w:val="ListBullet"/>
      </w:pPr>
      <w:r>
        <w:t>Moorabool</w:t>
      </w:r>
    </w:p>
    <w:p w:rsidR="00843708" w:rsidRDefault="00843708" w:rsidP="00843708">
      <w:pPr>
        <w:pStyle w:val="ListBullet2"/>
      </w:pPr>
      <w:r>
        <w:t>Using car – 4</w:t>
      </w:r>
    </w:p>
    <w:p w:rsidR="00843708" w:rsidRDefault="00843708" w:rsidP="00843708">
      <w:pPr>
        <w:pStyle w:val="ListBullet2"/>
      </w:pPr>
      <w:r>
        <w:t>Using public transport – 0</w:t>
      </w:r>
    </w:p>
    <w:p w:rsidR="00843708" w:rsidRDefault="00843708" w:rsidP="00843708">
      <w:pPr>
        <w:pStyle w:val="ListBullet"/>
      </w:pPr>
      <w:r>
        <w:t>Pyrenees</w:t>
      </w:r>
    </w:p>
    <w:p w:rsidR="00843708" w:rsidRDefault="00843708" w:rsidP="00843708">
      <w:pPr>
        <w:pStyle w:val="ListBullet2"/>
      </w:pPr>
      <w:r>
        <w:t>Using car – 6</w:t>
      </w:r>
    </w:p>
    <w:p w:rsidR="00843708" w:rsidRDefault="00843708" w:rsidP="00843708">
      <w:pPr>
        <w:pStyle w:val="ListBullet2"/>
      </w:pPr>
      <w:r>
        <w:t>Using public transport – 0</w:t>
      </w:r>
    </w:p>
    <w:p w:rsidR="00843708" w:rsidRDefault="00843708" w:rsidP="00843708">
      <w:pPr>
        <w:pStyle w:val="ListBullet"/>
      </w:pPr>
      <w:r>
        <w:t>Ararat</w:t>
      </w:r>
    </w:p>
    <w:p w:rsidR="00843708" w:rsidRDefault="00843708" w:rsidP="00843708">
      <w:pPr>
        <w:pStyle w:val="ListBullet2"/>
      </w:pPr>
      <w:r>
        <w:t>Using car – 1844</w:t>
      </w:r>
    </w:p>
    <w:p w:rsidR="00843708" w:rsidRDefault="00843708" w:rsidP="00843708">
      <w:pPr>
        <w:pStyle w:val="ListBullet2"/>
      </w:pPr>
      <w:r>
        <w:t>Using public transport – 0</w:t>
      </w:r>
    </w:p>
    <w:p w:rsidR="00843708" w:rsidRDefault="00843708" w:rsidP="00843708">
      <w:pPr>
        <w:pStyle w:val="ListBullet"/>
      </w:pPr>
      <w:r>
        <w:t>Golden Plains</w:t>
      </w:r>
      <w:r w:rsidRPr="00696EF2">
        <w:t xml:space="preserve"> </w:t>
      </w:r>
    </w:p>
    <w:p w:rsidR="00843708" w:rsidRDefault="00843708" w:rsidP="00843708">
      <w:pPr>
        <w:pStyle w:val="ListBullet2"/>
      </w:pPr>
      <w:r>
        <w:t xml:space="preserve">Using car – </w:t>
      </w:r>
      <w:r w:rsidR="00C076F8">
        <w:t>0</w:t>
      </w:r>
    </w:p>
    <w:p w:rsidR="00843708" w:rsidRDefault="00843708" w:rsidP="00843708">
      <w:pPr>
        <w:pStyle w:val="ListBullet2"/>
      </w:pPr>
      <w:r>
        <w:t xml:space="preserve">Using public transport – </w:t>
      </w:r>
      <w:r w:rsidR="00C076F8">
        <w:t>0</w:t>
      </w:r>
    </w:p>
    <w:p w:rsidR="00843708" w:rsidRPr="00843708" w:rsidRDefault="00C076F8" w:rsidP="00843708">
      <w:pPr>
        <w:pStyle w:val="bt"/>
        <w:rPr>
          <w:rStyle w:val="Strong"/>
        </w:rPr>
      </w:pPr>
      <w:r>
        <w:rPr>
          <w:rStyle w:val="Strong"/>
        </w:rPr>
        <w:lastRenderedPageBreak/>
        <w:t>Origin Ballan (urban centre)</w:t>
      </w:r>
      <w:r w:rsidR="00843708" w:rsidRPr="00843708">
        <w:rPr>
          <w:rStyle w:val="Strong"/>
        </w:rPr>
        <w:t xml:space="preserve"> - Journeys to....</w:t>
      </w:r>
    </w:p>
    <w:p w:rsidR="00843708" w:rsidRDefault="00843708" w:rsidP="00843708">
      <w:pPr>
        <w:pStyle w:val="ListBullet"/>
      </w:pPr>
      <w:r>
        <w:t>Metropolitan Melbourne</w:t>
      </w:r>
    </w:p>
    <w:p w:rsidR="00843708" w:rsidRDefault="00843708" w:rsidP="00843708">
      <w:pPr>
        <w:pStyle w:val="ListBullet2"/>
      </w:pPr>
      <w:r>
        <w:t xml:space="preserve">Using car – </w:t>
      </w:r>
      <w:r w:rsidR="00C076F8">
        <w:t>182</w:t>
      </w:r>
    </w:p>
    <w:p w:rsidR="00843708" w:rsidRDefault="00843708" w:rsidP="00843708">
      <w:pPr>
        <w:pStyle w:val="ListBullet2"/>
      </w:pPr>
      <w:r>
        <w:t xml:space="preserve">Using public transport – </w:t>
      </w:r>
      <w:r w:rsidR="00C076F8">
        <w:t>52</w:t>
      </w:r>
    </w:p>
    <w:p w:rsidR="00843708" w:rsidRDefault="00843708" w:rsidP="00843708">
      <w:pPr>
        <w:pStyle w:val="ListBullet"/>
      </w:pPr>
      <w:r>
        <w:t>Ballarat</w:t>
      </w:r>
    </w:p>
    <w:p w:rsidR="00843708" w:rsidRDefault="00843708" w:rsidP="00843708">
      <w:pPr>
        <w:pStyle w:val="ListBullet2"/>
      </w:pPr>
      <w:r>
        <w:t xml:space="preserve">Using car – </w:t>
      </w:r>
      <w:r w:rsidR="00C076F8">
        <w:t>86</w:t>
      </w:r>
    </w:p>
    <w:p w:rsidR="00843708" w:rsidRDefault="00843708" w:rsidP="00843708">
      <w:pPr>
        <w:pStyle w:val="ListBullet2"/>
      </w:pPr>
      <w:r>
        <w:t xml:space="preserve">Using public transport – </w:t>
      </w:r>
      <w:r w:rsidR="00C076F8">
        <w:t>7</w:t>
      </w:r>
    </w:p>
    <w:p w:rsidR="00843708" w:rsidRDefault="00843708" w:rsidP="00843708">
      <w:pPr>
        <w:pStyle w:val="ListBullet"/>
      </w:pPr>
      <w:r>
        <w:t>Hepburn</w:t>
      </w:r>
    </w:p>
    <w:p w:rsidR="00843708" w:rsidRDefault="00843708" w:rsidP="00843708">
      <w:pPr>
        <w:pStyle w:val="ListBullet2"/>
      </w:pPr>
      <w:r>
        <w:t xml:space="preserve">Using car – </w:t>
      </w:r>
      <w:r w:rsidR="00C076F8">
        <w:t>15</w:t>
      </w:r>
    </w:p>
    <w:p w:rsidR="00843708" w:rsidRDefault="00843708" w:rsidP="00843708">
      <w:pPr>
        <w:pStyle w:val="ListBullet2"/>
      </w:pPr>
      <w:r>
        <w:t xml:space="preserve">Using public transport – </w:t>
      </w:r>
      <w:r w:rsidR="00C076F8">
        <w:t>0</w:t>
      </w:r>
    </w:p>
    <w:p w:rsidR="00843708" w:rsidRDefault="00843708" w:rsidP="00843708">
      <w:pPr>
        <w:pStyle w:val="ListBullet"/>
      </w:pPr>
      <w:r>
        <w:t>Moorabool</w:t>
      </w:r>
    </w:p>
    <w:p w:rsidR="00843708" w:rsidRDefault="00843708" w:rsidP="00843708">
      <w:pPr>
        <w:pStyle w:val="ListBullet2"/>
      </w:pPr>
      <w:r>
        <w:t xml:space="preserve">Using car – </w:t>
      </w:r>
      <w:r w:rsidR="00C076F8">
        <w:t>179</w:t>
      </w:r>
    </w:p>
    <w:p w:rsidR="00843708" w:rsidRDefault="00843708" w:rsidP="00843708">
      <w:pPr>
        <w:pStyle w:val="ListBullet2"/>
      </w:pPr>
      <w:r>
        <w:t xml:space="preserve">Using public transport – </w:t>
      </w:r>
      <w:r w:rsidR="00C076F8">
        <w:t>3</w:t>
      </w:r>
    </w:p>
    <w:p w:rsidR="00843708" w:rsidRDefault="00843708" w:rsidP="00843708">
      <w:pPr>
        <w:pStyle w:val="ListBullet"/>
      </w:pPr>
      <w:r>
        <w:t>Pyrenees</w:t>
      </w:r>
    </w:p>
    <w:p w:rsidR="00843708" w:rsidRDefault="00843708" w:rsidP="00843708">
      <w:pPr>
        <w:pStyle w:val="ListBullet2"/>
      </w:pPr>
      <w:r>
        <w:t xml:space="preserve">Using car – </w:t>
      </w:r>
      <w:r w:rsidR="00C076F8">
        <w:t>0</w:t>
      </w:r>
    </w:p>
    <w:p w:rsidR="00843708" w:rsidRDefault="00843708" w:rsidP="00843708">
      <w:pPr>
        <w:pStyle w:val="ListBullet2"/>
      </w:pPr>
      <w:r>
        <w:t xml:space="preserve">Using public transport – </w:t>
      </w:r>
      <w:r w:rsidR="00C076F8">
        <w:t>0</w:t>
      </w:r>
    </w:p>
    <w:p w:rsidR="00843708" w:rsidRDefault="00843708" w:rsidP="00843708">
      <w:pPr>
        <w:pStyle w:val="ListBullet"/>
      </w:pPr>
      <w:r>
        <w:t>Ararat</w:t>
      </w:r>
    </w:p>
    <w:p w:rsidR="00843708" w:rsidRDefault="00843708" w:rsidP="00843708">
      <w:pPr>
        <w:pStyle w:val="ListBullet2"/>
      </w:pPr>
      <w:r>
        <w:t xml:space="preserve">Using car – </w:t>
      </w:r>
      <w:r w:rsidR="00C076F8">
        <w:t>0</w:t>
      </w:r>
    </w:p>
    <w:p w:rsidR="00843708" w:rsidRDefault="00843708" w:rsidP="00843708">
      <w:pPr>
        <w:pStyle w:val="ListBullet2"/>
      </w:pPr>
      <w:r>
        <w:t xml:space="preserve">Using public transport – </w:t>
      </w:r>
      <w:r w:rsidR="00C076F8">
        <w:t>0</w:t>
      </w:r>
    </w:p>
    <w:p w:rsidR="00843708" w:rsidRDefault="00843708" w:rsidP="00843708">
      <w:pPr>
        <w:pStyle w:val="ListBullet"/>
      </w:pPr>
      <w:r>
        <w:t>Golden Plains</w:t>
      </w:r>
      <w:r w:rsidRPr="00696EF2">
        <w:t xml:space="preserve"> </w:t>
      </w:r>
    </w:p>
    <w:p w:rsidR="00843708" w:rsidRDefault="00843708" w:rsidP="00843708">
      <w:pPr>
        <w:pStyle w:val="ListBullet2"/>
      </w:pPr>
      <w:r>
        <w:t xml:space="preserve">Using car – </w:t>
      </w:r>
      <w:r w:rsidR="00C076F8">
        <w:t>0</w:t>
      </w:r>
    </w:p>
    <w:p w:rsidR="00843708" w:rsidRDefault="00843708" w:rsidP="00843708">
      <w:pPr>
        <w:pStyle w:val="ListBullet2"/>
      </w:pPr>
      <w:r>
        <w:t xml:space="preserve">Using public transport – </w:t>
      </w:r>
      <w:r w:rsidR="00C076F8">
        <w:t>0</w:t>
      </w:r>
    </w:p>
    <w:p w:rsidR="00843708" w:rsidRPr="00843708" w:rsidRDefault="00C076F8" w:rsidP="00843708">
      <w:pPr>
        <w:pStyle w:val="bt"/>
        <w:rPr>
          <w:rStyle w:val="Strong"/>
        </w:rPr>
      </w:pPr>
      <w:r>
        <w:rPr>
          <w:rStyle w:val="Strong"/>
        </w:rPr>
        <w:t>Origin Creswick (urban centre)</w:t>
      </w:r>
      <w:r w:rsidR="00843708" w:rsidRPr="00843708">
        <w:rPr>
          <w:rStyle w:val="Strong"/>
        </w:rPr>
        <w:t xml:space="preserve"> - Journeys to....</w:t>
      </w:r>
    </w:p>
    <w:p w:rsidR="00843708" w:rsidRDefault="00843708" w:rsidP="00843708">
      <w:pPr>
        <w:pStyle w:val="ListBullet"/>
      </w:pPr>
      <w:r>
        <w:t>Metropolitan Melbourne</w:t>
      </w:r>
    </w:p>
    <w:p w:rsidR="00843708" w:rsidRDefault="00843708" w:rsidP="00843708">
      <w:pPr>
        <w:pStyle w:val="ListBullet2"/>
      </w:pPr>
      <w:r>
        <w:t xml:space="preserve">Using car – </w:t>
      </w:r>
      <w:r w:rsidR="00C076F8">
        <w:t>34</w:t>
      </w:r>
    </w:p>
    <w:p w:rsidR="00843708" w:rsidRDefault="00843708" w:rsidP="00843708">
      <w:pPr>
        <w:pStyle w:val="ListBullet2"/>
      </w:pPr>
      <w:r>
        <w:t xml:space="preserve">Using public transport – </w:t>
      </w:r>
      <w:r w:rsidR="00C076F8">
        <w:t>17</w:t>
      </w:r>
    </w:p>
    <w:p w:rsidR="00843708" w:rsidRDefault="00843708" w:rsidP="00843708">
      <w:pPr>
        <w:pStyle w:val="ListBullet"/>
      </w:pPr>
      <w:r>
        <w:t>Ballarat</w:t>
      </w:r>
    </w:p>
    <w:p w:rsidR="00843708" w:rsidRDefault="00843708" w:rsidP="00843708">
      <w:pPr>
        <w:pStyle w:val="ListBullet2"/>
      </w:pPr>
      <w:r>
        <w:t xml:space="preserve">Using car – </w:t>
      </w:r>
      <w:r w:rsidR="00C076F8">
        <w:t>364</w:t>
      </w:r>
    </w:p>
    <w:p w:rsidR="00843708" w:rsidRDefault="00843708" w:rsidP="00843708">
      <w:pPr>
        <w:pStyle w:val="ListBullet2"/>
      </w:pPr>
      <w:r>
        <w:t xml:space="preserve">Using public transport – </w:t>
      </w:r>
      <w:r w:rsidR="00C076F8">
        <w:t>12</w:t>
      </w:r>
    </w:p>
    <w:p w:rsidR="00843708" w:rsidRDefault="00843708" w:rsidP="00843708">
      <w:pPr>
        <w:pStyle w:val="ListBullet"/>
      </w:pPr>
      <w:r>
        <w:t>Hepburn</w:t>
      </w:r>
    </w:p>
    <w:p w:rsidR="00843708" w:rsidRDefault="00843708" w:rsidP="00843708">
      <w:pPr>
        <w:pStyle w:val="ListBullet2"/>
      </w:pPr>
      <w:r>
        <w:t xml:space="preserve">Using car – </w:t>
      </w:r>
      <w:r w:rsidR="00C076F8">
        <w:t>192</w:t>
      </w:r>
    </w:p>
    <w:p w:rsidR="00843708" w:rsidRDefault="00843708" w:rsidP="00843708">
      <w:pPr>
        <w:pStyle w:val="ListBullet2"/>
      </w:pPr>
      <w:r>
        <w:t xml:space="preserve">Using public transport – </w:t>
      </w:r>
      <w:r w:rsidR="00C076F8">
        <w:t>0</w:t>
      </w:r>
    </w:p>
    <w:p w:rsidR="00843708" w:rsidRDefault="00843708" w:rsidP="00843708">
      <w:pPr>
        <w:pStyle w:val="ListBullet"/>
      </w:pPr>
      <w:r>
        <w:t>Moorabool</w:t>
      </w:r>
    </w:p>
    <w:p w:rsidR="00843708" w:rsidRDefault="00843708" w:rsidP="00843708">
      <w:pPr>
        <w:pStyle w:val="ListBullet2"/>
      </w:pPr>
      <w:r>
        <w:t xml:space="preserve">Using car – </w:t>
      </w:r>
      <w:r w:rsidR="00C076F8">
        <w:t>10</w:t>
      </w:r>
    </w:p>
    <w:p w:rsidR="00843708" w:rsidRDefault="00843708" w:rsidP="00843708">
      <w:pPr>
        <w:pStyle w:val="ListBullet2"/>
      </w:pPr>
      <w:r>
        <w:t xml:space="preserve">Using public transport – </w:t>
      </w:r>
      <w:r w:rsidR="00C076F8">
        <w:t>0</w:t>
      </w:r>
    </w:p>
    <w:p w:rsidR="00843708" w:rsidRDefault="00843708" w:rsidP="00843708">
      <w:pPr>
        <w:pStyle w:val="ListBullet"/>
      </w:pPr>
      <w:r>
        <w:t>Pyrenees</w:t>
      </w:r>
    </w:p>
    <w:p w:rsidR="00843708" w:rsidRDefault="00843708" w:rsidP="00843708">
      <w:pPr>
        <w:pStyle w:val="ListBullet2"/>
      </w:pPr>
      <w:r>
        <w:t xml:space="preserve">Using car – </w:t>
      </w:r>
      <w:r w:rsidR="00C076F8">
        <w:t>3</w:t>
      </w:r>
    </w:p>
    <w:p w:rsidR="00843708" w:rsidRDefault="00843708" w:rsidP="00843708">
      <w:pPr>
        <w:pStyle w:val="ListBullet2"/>
      </w:pPr>
      <w:r>
        <w:t xml:space="preserve">Using public transport – </w:t>
      </w:r>
      <w:r w:rsidR="00C076F8">
        <w:t>0</w:t>
      </w:r>
    </w:p>
    <w:p w:rsidR="00843708" w:rsidRDefault="00843708" w:rsidP="00843708">
      <w:pPr>
        <w:pStyle w:val="ListBullet"/>
      </w:pPr>
      <w:r>
        <w:t>Ararat</w:t>
      </w:r>
    </w:p>
    <w:p w:rsidR="00843708" w:rsidRDefault="00843708" w:rsidP="00843708">
      <w:pPr>
        <w:pStyle w:val="ListBullet2"/>
      </w:pPr>
      <w:r>
        <w:t xml:space="preserve">Using car – </w:t>
      </w:r>
      <w:r w:rsidR="00C076F8">
        <w:t>0</w:t>
      </w:r>
    </w:p>
    <w:p w:rsidR="00843708" w:rsidRDefault="00843708" w:rsidP="00843708">
      <w:pPr>
        <w:pStyle w:val="ListBullet2"/>
      </w:pPr>
      <w:r>
        <w:t xml:space="preserve">Using public transport – </w:t>
      </w:r>
      <w:r w:rsidR="00C076F8">
        <w:t>0</w:t>
      </w:r>
    </w:p>
    <w:p w:rsidR="00843708" w:rsidRDefault="00843708" w:rsidP="00843708">
      <w:pPr>
        <w:pStyle w:val="ListBullet"/>
      </w:pPr>
      <w:r>
        <w:t>Golden Plains</w:t>
      </w:r>
      <w:r w:rsidRPr="00696EF2">
        <w:t xml:space="preserve"> </w:t>
      </w:r>
    </w:p>
    <w:p w:rsidR="00843708" w:rsidRDefault="00843708" w:rsidP="00843708">
      <w:pPr>
        <w:pStyle w:val="ListBullet2"/>
      </w:pPr>
      <w:r>
        <w:t xml:space="preserve">Using car – </w:t>
      </w:r>
      <w:r w:rsidR="00C076F8">
        <w:t>0</w:t>
      </w:r>
    </w:p>
    <w:p w:rsidR="00843708" w:rsidRDefault="00843708" w:rsidP="00843708">
      <w:pPr>
        <w:pStyle w:val="ListBullet2"/>
      </w:pPr>
      <w:r>
        <w:t xml:space="preserve">Using public transport – </w:t>
      </w:r>
      <w:r w:rsidR="00C076F8">
        <w:t>0</w:t>
      </w:r>
    </w:p>
    <w:p w:rsidR="00843708" w:rsidRPr="00843708" w:rsidRDefault="00C076F8" w:rsidP="00843708">
      <w:pPr>
        <w:pStyle w:val="bt"/>
        <w:rPr>
          <w:rStyle w:val="Strong"/>
        </w:rPr>
      </w:pPr>
      <w:r>
        <w:rPr>
          <w:rStyle w:val="Strong"/>
        </w:rPr>
        <w:lastRenderedPageBreak/>
        <w:t>Origin Daylesford – Hepburn Springs (urban centre)</w:t>
      </w:r>
      <w:r w:rsidR="00843708" w:rsidRPr="00843708">
        <w:rPr>
          <w:rStyle w:val="Strong"/>
        </w:rPr>
        <w:t xml:space="preserve"> - Journeys to....</w:t>
      </w:r>
    </w:p>
    <w:p w:rsidR="00843708" w:rsidRDefault="00843708" w:rsidP="00843708">
      <w:pPr>
        <w:pStyle w:val="ListBullet"/>
      </w:pPr>
      <w:r>
        <w:t>Metropolitan Melbourne</w:t>
      </w:r>
    </w:p>
    <w:p w:rsidR="00843708" w:rsidRDefault="00843708" w:rsidP="00843708">
      <w:pPr>
        <w:pStyle w:val="ListBullet2"/>
      </w:pPr>
      <w:r>
        <w:t xml:space="preserve">Using car – </w:t>
      </w:r>
      <w:r w:rsidR="00C076F8">
        <w:t>79</w:t>
      </w:r>
    </w:p>
    <w:p w:rsidR="00843708" w:rsidRDefault="00843708" w:rsidP="00843708">
      <w:pPr>
        <w:pStyle w:val="ListBullet2"/>
      </w:pPr>
      <w:r>
        <w:t xml:space="preserve">Using public transport – </w:t>
      </w:r>
      <w:r w:rsidR="00C076F8">
        <w:t>30</w:t>
      </w:r>
    </w:p>
    <w:p w:rsidR="00843708" w:rsidRDefault="00843708" w:rsidP="00843708">
      <w:pPr>
        <w:pStyle w:val="ListBullet"/>
      </w:pPr>
      <w:r>
        <w:t>Ballarat</w:t>
      </w:r>
    </w:p>
    <w:p w:rsidR="00843708" w:rsidRDefault="00843708" w:rsidP="00843708">
      <w:pPr>
        <w:pStyle w:val="ListBullet2"/>
      </w:pPr>
      <w:r>
        <w:t xml:space="preserve">Using car – </w:t>
      </w:r>
      <w:r w:rsidR="00C076F8">
        <w:t>91</w:t>
      </w:r>
    </w:p>
    <w:p w:rsidR="00843708" w:rsidRDefault="00843708" w:rsidP="00843708">
      <w:pPr>
        <w:pStyle w:val="ListBullet2"/>
      </w:pPr>
      <w:r>
        <w:t xml:space="preserve">Using public transport – </w:t>
      </w:r>
      <w:r w:rsidR="00C076F8">
        <w:t>3</w:t>
      </w:r>
    </w:p>
    <w:p w:rsidR="00843708" w:rsidRDefault="00843708" w:rsidP="00843708">
      <w:pPr>
        <w:pStyle w:val="ListBullet"/>
      </w:pPr>
      <w:r>
        <w:t>Hepburn</w:t>
      </w:r>
    </w:p>
    <w:p w:rsidR="00843708" w:rsidRDefault="00843708" w:rsidP="00843708">
      <w:pPr>
        <w:pStyle w:val="ListBullet2"/>
      </w:pPr>
      <w:r>
        <w:t xml:space="preserve">Using car – </w:t>
      </w:r>
      <w:r w:rsidR="00C076F8">
        <w:t>553</w:t>
      </w:r>
    </w:p>
    <w:p w:rsidR="00843708" w:rsidRDefault="00843708" w:rsidP="00843708">
      <w:pPr>
        <w:pStyle w:val="ListBullet2"/>
      </w:pPr>
      <w:r>
        <w:t xml:space="preserve">Using public transport – </w:t>
      </w:r>
      <w:r w:rsidR="00C076F8">
        <w:t>0</w:t>
      </w:r>
    </w:p>
    <w:p w:rsidR="00843708" w:rsidRDefault="00843708" w:rsidP="00843708">
      <w:pPr>
        <w:pStyle w:val="ListBullet"/>
      </w:pPr>
      <w:r>
        <w:t>Moorabool</w:t>
      </w:r>
    </w:p>
    <w:p w:rsidR="00843708" w:rsidRDefault="00843708" w:rsidP="00843708">
      <w:pPr>
        <w:pStyle w:val="ListBullet2"/>
      </w:pPr>
      <w:r>
        <w:t xml:space="preserve">Using car – </w:t>
      </w:r>
      <w:r w:rsidR="00C076F8">
        <w:t>13</w:t>
      </w:r>
    </w:p>
    <w:p w:rsidR="00843708" w:rsidRDefault="00843708" w:rsidP="00843708">
      <w:pPr>
        <w:pStyle w:val="ListBullet2"/>
      </w:pPr>
      <w:r>
        <w:t xml:space="preserve">Using public transport – </w:t>
      </w:r>
      <w:r w:rsidR="00C076F8">
        <w:t>0</w:t>
      </w:r>
    </w:p>
    <w:p w:rsidR="00843708" w:rsidRDefault="00843708" w:rsidP="00843708">
      <w:pPr>
        <w:pStyle w:val="ListBullet"/>
      </w:pPr>
      <w:r>
        <w:t>Pyrenees</w:t>
      </w:r>
    </w:p>
    <w:p w:rsidR="00843708" w:rsidRDefault="00843708" w:rsidP="00843708">
      <w:pPr>
        <w:pStyle w:val="ListBullet2"/>
      </w:pPr>
      <w:r>
        <w:t xml:space="preserve">Using car – </w:t>
      </w:r>
      <w:r w:rsidR="00C076F8">
        <w:t>0</w:t>
      </w:r>
    </w:p>
    <w:p w:rsidR="00843708" w:rsidRDefault="00843708" w:rsidP="00843708">
      <w:pPr>
        <w:pStyle w:val="ListBullet2"/>
      </w:pPr>
      <w:r>
        <w:t xml:space="preserve">Using public transport – </w:t>
      </w:r>
      <w:r w:rsidR="00C076F8">
        <w:t>0</w:t>
      </w:r>
    </w:p>
    <w:p w:rsidR="00843708" w:rsidRDefault="00843708" w:rsidP="00843708">
      <w:pPr>
        <w:pStyle w:val="ListBullet"/>
      </w:pPr>
      <w:r>
        <w:t>Ararat</w:t>
      </w:r>
    </w:p>
    <w:p w:rsidR="00843708" w:rsidRDefault="00843708" w:rsidP="00843708">
      <w:pPr>
        <w:pStyle w:val="ListBullet2"/>
      </w:pPr>
      <w:r>
        <w:t xml:space="preserve">Using car – </w:t>
      </w:r>
      <w:r w:rsidR="00C076F8">
        <w:t>0</w:t>
      </w:r>
    </w:p>
    <w:p w:rsidR="00843708" w:rsidRDefault="00843708" w:rsidP="00843708">
      <w:pPr>
        <w:pStyle w:val="ListBullet2"/>
      </w:pPr>
      <w:r>
        <w:t xml:space="preserve">Using public transport – </w:t>
      </w:r>
      <w:r w:rsidR="00C076F8">
        <w:t>0</w:t>
      </w:r>
    </w:p>
    <w:p w:rsidR="00843708" w:rsidRDefault="00843708" w:rsidP="00843708">
      <w:pPr>
        <w:pStyle w:val="ListBullet"/>
      </w:pPr>
      <w:r>
        <w:t>Golden Plains</w:t>
      </w:r>
      <w:r w:rsidRPr="00696EF2">
        <w:t xml:space="preserve"> </w:t>
      </w:r>
    </w:p>
    <w:p w:rsidR="00843708" w:rsidRDefault="00843708" w:rsidP="00843708">
      <w:pPr>
        <w:pStyle w:val="ListBullet2"/>
      </w:pPr>
      <w:r>
        <w:t xml:space="preserve">Using car – </w:t>
      </w:r>
      <w:r w:rsidR="00C076F8">
        <w:t>0</w:t>
      </w:r>
    </w:p>
    <w:p w:rsidR="00843708" w:rsidRDefault="00843708" w:rsidP="00843708">
      <w:pPr>
        <w:pStyle w:val="ListBullet2"/>
      </w:pPr>
      <w:r>
        <w:t xml:space="preserve">Using public transport – </w:t>
      </w:r>
      <w:r w:rsidR="00C076F8">
        <w:t>0</w:t>
      </w:r>
    </w:p>
    <w:p w:rsidR="00843708" w:rsidRPr="00843708" w:rsidRDefault="00C076F8" w:rsidP="00843708">
      <w:pPr>
        <w:pStyle w:val="bt"/>
        <w:rPr>
          <w:rStyle w:val="Strong"/>
        </w:rPr>
      </w:pPr>
      <w:r>
        <w:rPr>
          <w:rStyle w:val="Strong"/>
        </w:rPr>
        <w:t>Origin Clunes (locality)</w:t>
      </w:r>
      <w:r w:rsidR="00843708" w:rsidRPr="00843708">
        <w:rPr>
          <w:rStyle w:val="Strong"/>
        </w:rPr>
        <w:t xml:space="preserve"> - Journeys to....</w:t>
      </w:r>
    </w:p>
    <w:p w:rsidR="00843708" w:rsidRDefault="00843708" w:rsidP="00843708">
      <w:pPr>
        <w:pStyle w:val="ListBullet"/>
      </w:pPr>
      <w:r>
        <w:t>Metropolitan Melbourne</w:t>
      </w:r>
    </w:p>
    <w:p w:rsidR="00843708" w:rsidRDefault="00843708" w:rsidP="00843708">
      <w:pPr>
        <w:pStyle w:val="ListBullet2"/>
      </w:pPr>
      <w:r>
        <w:t xml:space="preserve">Using car – </w:t>
      </w:r>
      <w:r w:rsidR="00C076F8">
        <w:t>10</w:t>
      </w:r>
    </w:p>
    <w:p w:rsidR="00843708" w:rsidRDefault="00843708" w:rsidP="00843708">
      <w:pPr>
        <w:pStyle w:val="ListBullet2"/>
      </w:pPr>
      <w:r>
        <w:t xml:space="preserve">Using public transport – </w:t>
      </w:r>
      <w:r w:rsidR="00C076F8">
        <w:t>3</w:t>
      </w:r>
    </w:p>
    <w:p w:rsidR="00843708" w:rsidRDefault="00843708" w:rsidP="00843708">
      <w:pPr>
        <w:pStyle w:val="ListBullet"/>
      </w:pPr>
      <w:r>
        <w:t>Ballarat</w:t>
      </w:r>
    </w:p>
    <w:p w:rsidR="00843708" w:rsidRDefault="00843708" w:rsidP="00843708">
      <w:pPr>
        <w:pStyle w:val="ListBullet2"/>
      </w:pPr>
      <w:r>
        <w:t xml:space="preserve">Using car – </w:t>
      </w:r>
      <w:r w:rsidR="00C076F8">
        <w:t>116</w:t>
      </w:r>
    </w:p>
    <w:p w:rsidR="00843708" w:rsidRDefault="00843708" w:rsidP="00843708">
      <w:pPr>
        <w:pStyle w:val="ListBullet2"/>
      </w:pPr>
      <w:r>
        <w:t xml:space="preserve">Using public transport – </w:t>
      </w:r>
      <w:r w:rsidR="00C076F8">
        <w:t>0</w:t>
      </w:r>
    </w:p>
    <w:p w:rsidR="00843708" w:rsidRDefault="00843708" w:rsidP="00843708">
      <w:pPr>
        <w:pStyle w:val="ListBullet"/>
      </w:pPr>
      <w:r>
        <w:t>Hepburn</w:t>
      </w:r>
    </w:p>
    <w:p w:rsidR="00843708" w:rsidRDefault="00843708" w:rsidP="00843708">
      <w:pPr>
        <w:pStyle w:val="ListBullet2"/>
      </w:pPr>
      <w:r>
        <w:t xml:space="preserve">Using car – </w:t>
      </w:r>
      <w:r w:rsidR="00C076F8">
        <w:t>81</w:t>
      </w:r>
    </w:p>
    <w:p w:rsidR="00843708" w:rsidRDefault="00843708" w:rsidP="00843708">
      <w:pPr>
        <w:pStyle w:val="ListBullet2"/>
      </w:pPr>
      <w:r>
        <w:t xml:space="preserve">Using public transport – </w:t>
      </w:r>
      <w:r w:rsidR="00C076F8">
        <w:t>0</w:t>
      </w:r>
    </w:p>
    <w:p w:rsidR="00843708" w:rsidRDefault="00843708" w:rsidP="00843708">
      <w:pPr>
        <w:pStyle w:val="ListBullet"/>
      </w:pPr>
      <w:r>
        <w:t>Moorabool</w:t>
      </w:r>
    </w:p>
    <w:p w:rsidR="00843708" w:rsidRDefault="00843708" w:rsidP="00843708">
      <w:pPr>
        <w:pStyle w:val="ListBullet2"/>
      </w:pPr>
      <w:r>
        <w:t xml:space="preserve">Using car – </w:t>
      </w:r>
      <w:r w:rsidR="00C076F8">
        <w:t>3</w:t>
      </w:r>
    </w:p>
    <w:p w:rsidR="00843708" w:rsidRDefault="00843708" w:rsidP="00843708">
      <w:pPr>
        <w:pStyle w:val="ListBullet2"/>
      </w:pPr>
      <w:r>
        <w:t xml:space="preserve">Using public transport – </w:t>
      </w:r>
      <w:r w:rsidR="00C076F8">
        <w:t>0</w:t>
      </w:r>
    </w:p>
    <w:p w:rsidR="00843708" w:rsidRDefault="00843708" w:rsidP="00843708">
      <w:pPr>
        <w:pStyle w:val="ListBullet"/>
      </w:pPr>
      <w:r>
        <w:t>Pyrenees</w:t>
      </w:r>
    </w:p>
    <w:p w:rsidR="00843708" w:rsidRDefault="00843708" w:rsidP="00843708">
      <w:pPr>
        <w:pStyle w:val="ListBullet2"/>
      </w:pPr>
      <w:r>
        <w:t xml:space="preserve">Using car – </w:t>
      </w:r>
      <w:r w:rsidR="00C076F8">
        <w:t>0</w:t>
      </w:r>
    </w:p>
    <w:p w:rsidR="00843708" w:rsidRDefault="00843708" w:rsidP="00843708">
      <w:pPr>
        <w:pStyle w:val="ListBullet2"/>
      </w:pPr>
      <w:r>
        <w:t xml:space="preserve">Using public transport – </w:t>
      </w:r>
      <w:r w:rsidR="00C076F8">
        <w:t>0</w:t>
      </w:r>
    </w:p>
    <w:p w:rsidR="00843708" w:rsidRDefault="00843708" w:rsidP="00843708">
      <w:pPr>
        <w:pStyle w:val="ListBullet"/>
      </w:pPr>
      <w:r>
        <w:t>Ararat</w:t>
      </w:r>
    </w:p>
    <w:p w:rsidR="00843708" w:rsidRDefault="00843708" w:rsidP="00843708">
      <w:pPr>
        <w:pStyle w:val="ListBullet2"/>
      </w:pPr>
      <w:r>
        <w:t xml:space="preserve">Using car – </w:t>
      </w:r>
      <w:r w:rsidR="00C076F8">
        <w:t>0</w:t>
      </w:r>
    </w:p>
    <w:p w:rsidR="00843708" w:rsidRDefault="00843708" w:rsidP="00843708">
      <w:pPr>
        <w:pStyle w:val="ListBullet2"/>
      </w:pPr>
      <w:r>
        <w:t xml:space="preserve">Using public transport – </w:t>
      </w:r>
      <w:r w:rsidR="00C076F8">
        <w:t>0</w:t>
      </w:r>
    </w:p>
    <w:p w:rsidR="00843708" w:rsidRDefault="00843708" w:rsidP="00843708">
      <w:pPr>
        <w:pStyle w:val="ListBullet"/>
      </w:pPr>
      <w:r>
        <w:t>Golden Plains</w:t>
      </w:r>
      <w:r w:rsidRPr="00696EF2">
        <w:t xml:space="preserve"> </w:t>
      </w:r>
    </w:p>
    <w:p w:rsidR="00843708" w:rsidRDefault="00843708" w:rsidP="00843708">
      <w:pPr>
        <w:pStyle w:val="ListBullet2"/>
      </w:pPr>
      <w:r>
        <w:t xml:space="preserve">Using car – </w:t>
      </w:r>
      <w:r w:rsidR="00C076F8">
        <w:t>3</w:t>
      </w:r>
    </w:p>
    <w:p w:rsidR="00843708" w:rsidRDefault="00843708" w:rsidP="00843708">
      <w:pPr>
        <w:pStyle w:val="ListBullet2"/>
      </w:pPr>
      <w:r>
        <w:t xml:space="preserve">Using public transport – </w:t>
      </w:r>
      <w:r w:rsidR="00C076F8">
        <w:t>0</w:t>
      </w:r>
    </w:p>
    <w:p w:rsidR="00843708" w:rsidRPr="00843708" w:rsidRDefault="00C076F8" w:rsidP="00843708">
      <w:pPr>
        <w:pStyle w:val="bt"/>
        <w:rPr>
          <w:rStyle w:val="Strong"/>
        </w:rPr>
      </w:pPr>
      <w:r>
        <w:rPr>
          <w:rStyle w:val="Strong"/>
        </w:rPr>
        <w:lastRenderedPageBreak/>
        <w:t>Origin Beaufort (locality)</w:t>
      </w:r>
      <w:r w:rsidR="00843708" w:rsidRPr="00843708">
        <w:rPr>
          <w:rStyle w:val="Strong"/>
        </w:rPr>
        <w:t xml:space="preserve"> - Journeys to....</w:t>
      </w:r>
    </w:p>
    <w:p w:rsidR="00843708" w:rsidRDefault="00843708" w:rsidP="00843708">
      <w:pPr>
        <w:pStyle w:val="ListBullet"/>
      </w:pPr>
      <w:r>
        <w:t>Metropolitan Melbourne</w:t>
      </w:r>
    </w:p>
    <w:p w:rsidR="00843708" w:rsidRDefault="00843708" w:rsidP="00843708">
      <w:pPr>
        <w:pStyle w:val="ListBullet2"/>
      </w:pPr>
      <w:r>
        <w:t xml:space="preserve">Using car – </w:t>
      </w:r>
      <w:r w:rsidR="00461E66">
        <w:t>3</w:t>
      </w:r>
    </w:p>
    <w:p w:rsidR="00843708" w:rsidRDefault="00843708" w:rsidP="00843708">
      <w:pPr>
        <w:pStyle w:val="ListBullet2"/>
      </w:pPr>
      <w:r>
        <w:t xml:space="preserve">Using public transport – </w:t>
      </w:r>
      <w:r w:rsidR="00461E66">
        <w:t>4</w:t>
      </w:r>
    </w:p>
    <w:p w:rsidR="00843708" w:rsidRDefault="00843708" w:rsidP="00843708">
      <w:pPr>
        <w:pStyle w:val="ListBullet"/>
      </w:pPr>
      <w:r>
        <w:t>Ballarat</w:t>
      </w:r>
    </w:p>
    <w:p w:rsidR="00843708" w:rsidRDefault="00843708" w:rsidP="00843708">
      <w:pPr>
        <w:pStyle w:val="ListBullet2"/>
      </w:pPr>
      <w:r>
        <w:t xml:space="preserve">Using car – </w:t>
      </w:r>
      <w:r w:rsidR="00461E66">
        <w:t>42</w:t>
      </w:r>
    </w:p>
    <w:p w:rsidR="00843708" w:rsidRDefault="00843708" w:rsidP="00843708">
      <w:pPr>
        <w:pStyle w:val="ListBullet2"/>
      </w:pPr>
      <w:r>
        <w:t xml:space="preserve">Using public transport – </w:t>
      </w:r>
      <w:r w:rsidR="00461E66">
        <w:t>0</w:t>
      </w:r>
    </w:p>
    <w:p w:rsidR="00843708" w:rsidRDefault="00843708" w:rsidP="00843708">
      <w:pPr>
        <w:pStyle w:val="ListBullet"/>
      </w:pPr>
      <w:r>
        <w:t>Hepburn</w:t>
      </w:r>
    </w:p>
    <w:p w:rsidR="00843708" w:rsidRDefault="00843708" w:rsidP="00843708">
      <w:pPr>
        <w:pStyle w:val="ListBullet2"/>
      </w:pPr>
      <w:r>
        <w:t xml:space="preserve">Using car – </w:t>
      </w:r>
      <w:r w:rsidR="00461E66">
        <w:t>0</w:t>
      </w:r>
    </w:p>
    <w:p w:rsidR="00843708" w:rsidRDefault="00843708" w:rsidP="00843708">
      <w:pPr>
        <w:pStyle w:val="ListBullet2"/>
      </w:pPr>
      <w:r>
        <w:t xml:space="preserve">Using public transport – </w:t>
      </w:r>
      <w:r w:rsidR="00461E66">
        <w:t>0</w:t>
      </w:r>
    </w:p>
    <w:p w:rsidR="00843708" w:rsidRDefault="00843708" w:rsidP="00843708">
      <w:pPr>
        <w:pStyle w:val="ListBullet"/>
      </w:pPr>
      <w:r>
        <w:t>Moorabool</w:t>
      </w:r>
    </w:p>
    <w:p w:rsidR="00843708" w:rsidRDefault="00843708" w:rsidP="00843708">
      <w:pPr>
        <w:pStyle w:val="ListBullet2"/>
      </w:pPr>
      <w:r>
        <w:t xml:space="preserve">Using car – </w:t>
      </w:r>
      <w:r w:rsidR="00461E66">
        <w:t>0</w:t>
      </w:r>
    </w:p>
    <w:p w:rsidR="00843708" w:rsidRDefault="00843708" w:rsidP="00843708">
      <w:pPr>
        <w:pStyle w:val="ListBullet2"/>
      </w:pPr>
      <w:r>
        <w:t xml:space="preserve">Using public transport – </w:t>
      </w:r>
      <w:r w:rsidR="00461E66">
        <w:t>0</w:t>
      </w:r>
    </w:p>
    <w:p w:rsidR="00843708" w:rsidRDefault="00843708" w:rsidP="00843708">
      <w:pPr>
        <w:pStyle w:val="ListBullet"/>
      </w:pPr>
      <w:r>
        <w:t>Pyrenees</w:t>
      </w:r>
    </w:p>
    <w:p w:rsidR="00843708" w:rsidRDefault="00843708" w:rsidP="00843708">
      <w:pPr>
        <w:pStyle w:val="ListBullet2"/>
      </w:pPr>
      <w:r>
        <w:t xml:space="preserve">Using car – </w:t>
      </w:r>
      <w:r w:rsidR="00461E66">
        <w:t>121</w:t>
      </w:r>
    </w:p>
    <w:p w:rsidR="00843708" w:rsidRDefault="00843708" w:rsidP="00843708">
      <w:pPr>
        <w:pStyle w:val="ListBullet2"/>
      </w:pPr>
      <w:r>
        <w:t xml:space="preserve">Using public transport – </w:t>
      </w:r>
      <w:r w:rsidR="00461E66">
        <w:t>0</w:t>
      </w:r>
    </w:p>
    <w:p w:rsidR="00843708" w:rsidRDefault="00843708" w:rsidP="00843708">
      <w:pPr>
        <w:pStyle w:val="ListBullet"/>
      </w:pPr>
      <w:r>
        <w:t>Ararat</w:t>
      </w:r>
    </w:p>
    <w:p w:rsidR="00843708" w:rsidRDefault="00843708" w:rsidP="00843708">
      <w:pPr>
        <w:pStyle w:val="ListBullet2"/>
      </w:pPr>
      <w:r>
        <w:t xml:space="preserve">Using car – </w:t>
      </w:r>
      <w:r w:rsidR="00461E66">
        <w:t>20</w:t>
      </w:r>
    </w:p>
    <w:p w:rsidR="00843708" w:rsidRDefault="00843708" w:rsidP="00843708">
      <w:pPr>
        <w:pStyle w:val="ListBullet2"/>
      </w:pPr>
      <w:r>
        <w:t xml:space="preserve">Using public transport – </w:t>
      </w:r>
      <w:r w:rsidR="00461E66">
        <w:t>0</w:t>
      </w:r>
    </w:p>
    <w:p w:rsidR="00843708" w:rsidRDefault="00843708" w:rsidP="00843708">
      <w:pPr>
        <w:pStyle w:val="ListBullet"/>
      </w:pPr>
      <w:r>
        <w:t>Golden Plains</w:t>
      </w:r>
      <w:r w:rsidRPr="00696EF2">
        <w:t xml:space="preserve"> </w:t>
      </w:r>
    </w:p>
    <w:p w:rsidR="00843708" w:rsidRDefault="00843708" w:rsidP="00843708">
      <w:pPr>
        <w:pStyle w:val="ListBullet2"/>
      </w:pPr>
      <w:r>
        <w:t xml:space="preserve">Using car – </w:t>
      </w:r>
      <w:r w:rsidR="00461E66">
        <w:t>6</w:t>
      </w:r>
    </w:p>
    <w:p w:rsidR="00843708" w:rsidRDefault="00843708" w:rsidP="00843708">
      <w:pPr>
        <w:pStyle w:val="ListBullet2"/>
      </w:pPr>
      <w:r>
        <w:t xml:space="preserve">Using public transport – </w:t>
      </w:r>
      <w:r w:rsidR="00461E66">
        <w:t>0</w:t>
      </w:r>
    </w:p>
    <w:p w:rsidR="00843708" w:rsidRPr="00843708" w:rsidRDefault="00461E66" w:rsidP="00843708">
      <w:pPr>
        <w:pStyle w:val="bt"/>
        <w:rPr>
          <w:rStyle w:val="Strong"/>
        </w:rPr>
      </w:pPr>
      <w:r>
        <w:rPr>
          <w:rStyle w:val="Strong"/>
        </w:rPr>
        <w:t>Origin Avoca (locality)</w:t>
      </w:r>
      <w:r w:rsidR="00843708" w:rsidRPr="00843708">
        <w:rPr>
          <w:rStyle w:val="Strong"/>
        </w:rPr>
        <w:t xml:space="preserve"> - Journeys to....</w:t>
      </w:r>
    </w:p>
    <w:p w:rsidR="00843708" w:rsidRDefault="00843708" w:rsidP="00843708">
      <w:pPr>
        <w:pStyle w:val="ListBullet"/>
      </w:pPr>
      <w:r>
        <w:t>Metropolitan Melbourne</w:t>
      </w:r>
    </w:p>
    <w:p w:rsidR="00843708" w:rsidRDefault="00843708" w:rsidP="00843708">
      <w:pPr>
        <w:pStyle w:val="ListBullet2"/>
      </w:pPr>
      <w:r>
        <w:t xml:space="preserve">Using car – </w:t>
      </w:r>
      <w:r w:rsidR="00461E66">
        <w:t>3</w:t>
      </w:r>
    </w:p>
    <w:p w:rsidR="00843708" w:rsidRDefault="00843708" w:rsidP="00843708">
      <w:pPr>
        <w:pStyle w:val="ListBullet2"/>
      </w:pPr>
      <w:r>
        <w:t xml:space="preserve">Using public transport – </w:t>
      </w:r>
      <w:r w:rsidR="00461E66">
        <w:t>0</w:t>
      </w:r>
    </w:p>
    <w:p w:rsidR="00843708" w:rsidRDefault="00843708" w:rsidP="00843708">
      <w:pPr>
        <w:pStyle w:val="ListBullet"/>
      </w:pPr>
      <w:r>
        <w:t>Ballarat</w:t>
      </w:r>
    </w:p>
    <w:p w:rsidR="00843708" w:rsidRDefault="00843708" w:rsidP="00843708">
      <w:pPr>
        <w:pStyle w:val="ListBullet2"/>
      </w:pPr>
      <w:r>
        <w:t xml:space="preserve">Using car – </w:t>
      </w:r>
      <w:r w:rsidR="00461E66">
        <w:t>11</w:t>
      </w:r>
    </w:p>
    <w:p w:rsidR="00843708" w:rsidRDefault="00843708" w:rsidP="00843708">
      <w:pPr>
        <w:pStyle w:val="ListBullet2"/>
      </w:pPr>
      <w:r>
        <w:t xml:space="preserve">Using public transport – </w:t>
      </w:r>
      <w:r w:rsidR="00461E66">
        <w:t>0</w:t>
      </w:r>
    </w:p>
    <w:p w:rsidR="00843708" w:rsidRDefault="00843708" w:rsidP="00843708">
      <w:pPr>
        <w:pStyle w:val="ListBullet"/>
      </w:pPr>
      <w:r>
        <w:t>Hepburn</w:t>
      </w:r>
    </w:p>
    <w:p w:rsidR="00843708" w:rsidRDefault="00843708" w:rsidP="00843708">
      <w:pPr>
        <w:pStyle w:val="ListBullet2"/>
      </w:pPr>
      <w:r>
        <w:t xml:space="preserve">Using car – </w:t>
      </w:r>
      <w:r w:rsidR="00461E66">
        <w:t>0</w:t>
      </w:r>
    </w:p>
    <w:p w:rsidR="00843708" w:rsidRDefault="00843708" w:rsidP="00843708">
      <w:pPr>
        <w:pStyle w:val="ListBullet2"/>
      </w:pPr>
      <w:r>
        <w:t xml:space="preserve">Using public transport – </w:t>
      </w:r>
      <w:r w:rsidR="00461E66">
        <w:t>0</w:t>
      </w:r>
    </w:p>
    <w:p w:rsidR="00843708" w:rsidRDefault="00843708" w:rsidP="00843708">
      <w:pPr>
        <w:pStyle w:val="ListBullet"/>
      </w:pPr>
      <w:r>
        <w:t>Moorabool</w:t>
      </w:r>
    </w:p>
    <w:p w:rsidR="00843708" w:rsidRDefault="00843708" w:rsidP="00843708">
      <w:pPr>
        <w:pStyle w:val="ListBullet2"/>
      </w:pPr>
      <w:r>
        <w:t xml:space="preserve">Using car – </w:t>
      </w:r>
      <w:r w:rsidR="00461E66">
        <w:t>0</w:t>
      </w:r>
    </w:p>
    <w:p w:rsidR="00843708" w:rsidRDefault="00843708" w:rsidP="00843708">
      <w:pPr>
        <w:pStyle w:val="ListBullet2"/>
      </w:pPr>
      <w:r>
        <w:t xml:space="preserve">Using public transport – </w:t>
      </w:r>
      <w:r w:rsidR="00461E66">
        <w:t>0</w:t>
      </w:r>
    </w:p>
    <w:p w:rsidR="00843708" w:rsidRDefault="00843708" w:rsidP="00843708">
      <w:pPr>
        <w:pStyle w:val="ListBullet"/>
      </w:pPr>
      <w:r>
        <w:t>Pyrenees</w:t>
      </w:r>
    </w:p>
    <w:p w:rsidR="00843708" w:rsidRDefault="00843708" w:rsidP="00843708">
      <w:pPr>
        <w:pStyle w:val="ListBullet2"/>
      </w:pPr>
      <w:r>
        <w:t xml:space="preserve">Using car – </w:t>
      </w:r>
      <w:r w:rsidR="00461E66">
        <w:t>118</w:t>
      </w:r>
    </w:p>
    <w:p w:rsidR="00843708" w:rsidRDefault="00843708" w:rsidP="00843708">
      <w:pPr>
        <w:pStyle w:val="ListBullet2"/>
      </w:pPr>
      <w:r>
        <w:t xml:space="preserve">Using public transport – </w:t>
      </w:r>
      <w:r w:rsidR="00461E66">
        <w:t>0</w:t>
      </w:r>
    </w:p>
    <w:p w:rsidR="00843708" w:rsidRDefault="00843708" w:rsidP="00843708">
      <w:pPr>
        <w:pStyle w:val="ListBullet"/>
      </w:pPr>
      <w:r>
        <w:t>Ararat</w:t>
      </w:r>
    </w:p>
    <w:p w:rsidR="00843708" w:rsidRDefault="00843708" w:rsidP="00843708">
      <w:pPr>
        <w:pStyle w:val="ListBullet2"/>
      </w:pPr>
      <w:r>
        <w:t xml:space="preserve">Using car – </w:t>
      </w:r>
      <w:r w:rsidR="00461E66">
        <w:t>10</w:t>
      </w:r>
    </w:p>
    <w:p w:rsidR="00843708" w:rsidRDefault="00843708" w:rsidP="00843708">
      <w:pPr>
        <w:pStyle w:val="ListBullet2"/>
      </w:pPr>
      <w:r>
        <w:t xml:space="preserve">Using public transport – </w:t>
      </w:r>
      <w:r w:rsidR="00461E66">
        <w:t>0</w:t>
      </w:r>
    </w:p>
    <w:p w:rsidR="00843708" w:rsidRDefault="00843708" w:rsidP="00843708">
      <w:pPr>
        <w:pStyle w:val="ListBullet"/>
      </w:pPr>
      <w:r>
        <w:t>Golden Plains</w:t>
      </w:r>
      <w:r w:rsidRPr="00696EF2">
        <w:t xml:space="preserve"> </w:t>
      </w:r>
    </w:p>
    <w:p w:rsidR="00843708" w:rsidRDefault="00843708" w:rsidP="00843708">
      <w:pPr>
        <w:pStyle w:val="ListBullet2"/>
      </w:pPr>
      <w:r>
        <w:t xml:space="preserve">Using car – </w:t>
      </w:r>
      <w:r w:rsidR="00461E66">
        <w:t>0</w:t>
      </w:r>
    </w:p>
    <w:p w:rsidR="00843708" w:rsidRDefault="00843708" w:rsidP="00843708">
      <w:pPr>
        <w:pStyle w:val="ListBullet2"/>
      </w:pPr>
      <w:r>
        <w:t xml:space="preserve">Using public transport – </w:t>
      </w:r>
      <w:r w:rsidR="00461E66">
        <w:t>0</w:t>
      </w:r>
    </w:p>
    <w:p w:rsidR="004B6283" w:rsidRDefault="00250493" w:rsidP="00CB41DC">
      <w:pPr>
        <w:pStyle w:val="Source0"/>
      </w:pPr>
      <w:r w:rsidRPr="002F1357">
        <w:lastRenderedPageBreak/>
        <w:t xml:space="preserve">Source: Department of </w:t>
      </w:r>
      <w:r w:rsidRPr="00F90473">
        <w:t>Transport</w:t>
      </w:r>
      <w:r w:rsidR="00122182">
        <w:t>, Planning and Local Infrastructure</w:t>
      </w:r>
    </w:p>
    <w:p w:rsidR="00933847" w:rsidRPr="00B704F5" w:rsidRDefault="009F09AE" w:rsidP="004E330D">
      <w:pPr>
        <w:pStyle w:val="Heading40"/>
      </w:pPr>
      <w:r w:rsidRPr="00B704F5">
        <w:t>Road network</w:t>
      </w:r>
    </w:p>
    <w:p w:rsidR="00B055FA" w:rsidRPr="008F1881" w:rsidRDefault="00B055FA" w:rsidP="00EC7BC8">
      <w:pPr>
        <w:pStyle w:val="bt"/>
        <w:spacing w:after="120"/>
      </w:pPr>
      <w:r w:rsidRPr="008F1881">
        <w:t>The region is currently served by a road network comprising the following primary links:</w:t>
      </w:r>
    </w:p>
    <w:p w:rsidR="00B055FA" w:rsidRPr="008F1881" w:rsidRDefault="00866F1A" w:rsidP="00250493">
      <w:pPr>
        <w:pStyle w:val="ListBullet"/>
      </w:pPr>
      <w:r>
        <w:t xml:space="preserve">the </w:t>
      </w:r>
      <w:r w:rsidR="00B055FA" w:rsidRPr="008F1881">
        <w:t xml:space="preserve">Western Freeway/Highway (M8/A8), which comprises an M standard </w:t>
      </w:r>
      <w:r w:rsidR="00D51DD8">
        <w:t>four</w:t>
      </w:r>
      <w:r w:rsidR="00D51DD8" w:rsidRPr="008F1881">
        <w:t xml:space="preserve"> </w:t>
      </w:r>
      <w:r w:rsidR="00B055FA" w:rsidRPr="008F1881">
        <w:t xml:space="preserve">lane divided road between Melbourne and Burrumbeet and a </w:t>
      </w:r>
      <w:r w:rsidR="00D51DD8">
        <w:t>two</w:t>
      </w:r>
      <w:r w:rsidR="00D51DD8" w:rsidRPr="008F1881">
        <w:t xml:space="preserve"> </w:t>
      </w:r>
      <w:r w:rsidR="00B055FA" w:rsidRPr="008F1881">
        <w:t>lane undivided road between Burrumbeet and the South Australian border with overtaking lanes</w:t>
      </w:r>
    </w:p>
    <w:p w:rsidR="00B055FA" w:rsidRPr="008F1881" w:rsidRDefault="00866F1A" w:rsidP="00250493">
      <w:pPr>
        <w:pStyle w:val="ListBullet"/>
      </w:pPr>
      <w:r>
        <w:t xml:space="preserve">the </w:t>
      </w:r>
      <w:r w:rsidR="00B055FA" w:rsidRPr="008F1881">
        <w:t>Midland Highway (A300), which connects Ballarat to Geelong and Bendigo</w:t>
      </w:r>
    </w:p>
    <w:p w:rsidR="00B055FA" w:rsidRPr="008F1881" w:rsidRDefault="00866F1A" w:rsidP="00250493">
      <w:pPr>
        <w:pStyle w:val="ListBullet"/>
      </w:pPr>
      <w:r>
        <w:t xml:space="preserve">the </w:t>
      </w:r>
      <w:r w:rsidR="00B055FA" w:rsidRPr="008F1881">
        <w:t>Glenelg Highway (B160), which connects Ballarat to Hamilton and south</w:t>
      </w:r>
      <w:r>
        <w:t>-</w:t>
      </w:r>
      <w:r w:rsidR="00B055FA" w:rsidRPr="008F1881">
        <w:t>west Victoria</w:t>
      </w:r>
    </w:p>
    <w:p w:rsidR="00B055FA" w:rsidRDefault="00866F1A" w:rsidP="00250493">
      <w:pPr>
        <w:pStyle w:val="ListBullet"/>
      </w:pPr>
      <w:r>
        <w:t xml:space="preserve">the </w:t>
      </w:r>
      <w:r w:rsidR="00B055FA" w:rsidRPr="008F1881">
        <w:t>Sunraysia Highway (B220), which connects Ballarat to Ouyen and north</w:t>
      </w:r>
      <w:r>
        <w:t>-</w:t>
      </w:r>
      <w:r w:rsidR="00B055FA" w:rsidRPr="008F1881">
        <w:t>west Victoria</w:t>
      </w:r>
    </w:p>
    <w:p w:rsidR="00683A54" w:rsidRPr="008F1881" w:rsidRDefault="00866F1A" w:rsidP="00250493">
      <w:pPr>
        <w:pStyle w:val="ListBullet"/>
      </w:pPr>
      <w:r>
        <w:t xml:space="preserve">the </w:t>
      </w:r>
      <w:r w:rsidR="00683A54">
        <w:t>Pyrenees Highway (B180)</w:t>
      </w:r>
      <w:r>
        <w:t>,</w:t>
      </w:r>
      <w:r w:rsidR="00683A54">
        <w:t xml:space="preserve"> which connects Glenthompson to Maryborough and Castlemaine</w:t>
      </w:r>
      <w:r w:rsidR="00D0650C">
        <w:t>.</w:t>
      </w:r>
      <w:r w:rsidR="00683A54">
        <w:t xml:space="preserve"> </w:t>
      </w:r>
    </w:p>
    <w:p w:rsidR="00994FD7" w:rsidRPr="00250493" w:rsidRDefault="00653EAF" w:rsidP="00250493">
      <w:pPr>
        <w:pStyle w:val="bt"/>
      </w:pPr>
      <w:r w:rsidRPr="00250493">
        <w:t xml:space="preserve">The Western Freeway is by far the busiest road transport corridor within the region, with the section between Ballarat and Melbourne carrying considerably more traffic </w:t>
      </w:r>
      <w:r w:rsidR="00866F1A" w:rsidRPr="00250493">
        <w:t xml:space="preserve">than </w:t>
      </w:r>
      <w:r w:rsidRPr="00250493">
        <w:t>the section between Ballarat and Ararat</w:t>
      </w:r>
      <w:r w:rsidR="00866F1A" w:rsidRPr="00250493">
        <w:t>,</w:t>
      </w:r>
      <w:r w:rsidRPr="00250493">
        <w:t xml:space="preserve"> as shown in </w:t>
      </w:r>
      <w:r w:rsidR="00631B16">
        <w:fldChar w:fldCharType="begin"/>
      </w:r>
      <w:r w:rsidR="00631B16">
        <w:instrText xml:space="preserve"> REF _Ref349224093 \h  \* MERGEFORMAT </w:instrText>
      </w:r>
      <w:r w:rsidR="00631B16">
        <w:fldChar w:fldCharType="separate"/>
      </w:r>
      <w:r w:rsidR="00907B42" w:rsidRPr="004B6283">
        <w:t xml:space="preserve">Figure </w:t>
      </w:r>
      <w:r w:rsidR="00907B42">
        <w:t>30</w:t>
      </w:r>
      <w:r w:rsidR="00631B16">
        <w:fldChar w:fldCharType="end"/>
      </w:r>
      <w:r w:rsidR="00994FD7" w:rsidRPr="00250493">
        <w:t>.</w:t>
      </w:r>
    </w:p>
    <w:p w:rsidR="00653EAF" w:rsidRDefault="004E330D" w:rsidP="004B6283">
      <w:pPr>
        <w:pStyle w:val="Caption"/>
      </w:pPr>
      <w:bookmarkStart w:id="193" w:name="_Ref349224093"/>
      <w:r>
        <w:rPr>
          <w:noProof/>
        </w:rPr>
        <w:drawing>
          <wp:anchor distT="0" distB="0" distL="114300" distR="114300" simplePos="0" relativeHeight="251714560" behindDoc="0" locked="0" layoutInCell="1" allowOverlap="1">
            <wp:simplePos x="0" y="0"/>
            <wp:positionH relativeFrom="column">
              <wp:posOffset>79435</wp:posOffset>
            </wp:positionH>
            <wp:positionV relativeFrom="paragraph">
              <wp:posOffset>321094</wp:posOffset>
            </wp:positionV>
            <wp:extent cx="5747684" cy="4140680"/>
            <wp:effectExtent l="19050" t="0" r="24466" b="0"/>
            <wp:wrapTopAndBottom/>
            <wp:docPr id="31" name="Chart 1" descr="Chart showing annual average daily two-way traffic count by road transport corrido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bookmarkStart w:id="194" w:name="_Toc381698030"/>
      <w:r w:rsidR="00994FD7" w:rsidRPr="004B6283">
        <w:t xml:space="preserve">Figure </w:t>
      </w:r>
      <w:r w:rsidR="009F388E">
        <w:fldChar w:fldCharType="begin"/>
      </w:r>
      <w:r w:rsidR="00821C7F">
        <w:instrText xml:space="preserve"> SEQ Figure \* ARABIC </w:instrText>
      </w:r>
      <w:r w:rsidR="009F388E">
        <w:fldChar w:fldCharType="separate"/>
      </w:r>
      <w:r w:rsidR="00907B42">
        <w:rPr>
          <w:noProof/>
        </w:rPr>
        <w:t>30</w:t>
      </w:r>
      <w:r w:rsidR="009F388E">
        <w:fldChar w:fldCharType="end"/>
      </w:r>
      <w:bookmarkEnd w:id="193"/>
      <w:r w:rsidR="00866F1A" w:rsidRPr="004B6283">
        <w:t xml:space="preserve">: </w:t>
      </w:r>
      <w:r w:rsidR="00994FD7" w:rsidRPr="004B6283">
        <w:t xml:space="preserve">Annual average daily </w:t>
      </w:r>
      <w:r w:rsidR="00E26065" w:rsidRPr="004B6283">
        <w:t xml:space="preserve">two-way </w:t>
      </w:r>
      <w:r w:rsidR="00994FD7" w:rsidRPr="004B6283">
        <w:t xml:space="preserve">traffic </w:t>
      </w:r>
      <w:r w:rsidR="00E26065" w:rsidRPr="004B6283">
        <w:t xml:space="preserve">count </w:t>
      </w:r>
      <w:r w:rsidR="00994FD7" w:rsidRPr="004B6283">
        <w:t>by road transport corridor</w:t>
      </w:r>
      <w:bookmarkEnd w:id="194"/>
    </w:p>
    <w:p w:rsidR="00C820C0" w:rsidRDefault="00250493" w:rsidP="00CB41DC">
      <w:pPr>
        <w:pStyle w:val="Source0"/>
        <w:rPr>
          <w:szCs w:val="20"/>
        </w:rPr>
      </w:pPr>
      <w:r>
        <w:t>S</w:t>
      </w:r>
      <w:r w:rsidRPr="008F1881">
        <w:t>ource: VicRoads</w:t>
      </w:r>
    </w:p>
    <w:p w:rsidR="00E26065" w:rsidRPr="008F1881" w:rsidRDefault="00B055FA" w:rsidP="00250493">
      <w:pPr>
        <w:pStyle w:val="bt"/>
      </w:pPr>
      <w:r w:rsidRPr="008F1881">
        <w:t xml:space="preserve">A number of significant road upgrade projects are underway or have been recently completed in the region and were funded through </w:t>
      </w:r>
      <w:r w:rsidR="00866F1A">
        <w:t xml:space="preserve">federal </w:t>
      </w:r>
      <w:r w:rsidRPr="008F1881">
        <w:t xml:space="preserve"> and </w:t>
      </w:r>
      <w:r w:rsidR="00866F1A">
        <w:t>s</w:t>
      </w:r>
      <w:r w:rsidRPr="008F1881">
        <w:t>tate programs</w:t>
      </w:r>
      <w:r w:rsidR="00E26065" w:rsidRPr="008F1881">
        <w:t>. These include:</w:t>
      </w:r>
      <w:r w:rsidRPr="008F1881">
        <w:t xml:space="preserve"> </w:t>
      </w:r>
    </w:p>
    <w:p w:rsidR="008F1881" w:rsidRPr="008F1881" w:rsidRDefault="009F09AE" w:rsidP="00250493">
      <w:pPr>
        <w:pStyle w:val="ListBullet"/>
      </w:pPr>
      <w:r w:rsidRPr="008F1881">
        <w:t>the Anthony's Cutting realignment of the Western Freeway (improving road safety and travel times) between Bacchus Marsh and Melton</w:t>
      </w:r>
    </w:p>
    <w:p w:rsidR="008F1881" w:rsidRPr="008F1881" w:rsidRDefault="009F09AE" w:rsidP="00250493">
      <w:pPr>
        <w:pStyle w:val="ListBullet"/>
      </w:pPr>
      <w:r w:rsidRPr="008F1881">
        <w:t>the Western Highway Duplication project between Ballarat and Stawell</w:t>
      </w:r>
      <w:r w:rsidR="00866F1A">
        <w:t>. W</w:t>
      </w:r>
      <w:r w:rsidRPr="008F1881">
        <w:t xml:space="preserve">orks on the first </w:t>
      </w:r>
      <w:r w:rsidR="00866F1A">
        <w:t xml:space="preserve">eight kilometre </w:t>
      </w:r>
      <w:r w:rsidRPr="008F1881">
        <w:t xml:space="preserve">section between Ballarat and Burrumbeet are due for completion in 2013 and works have </w:t>
      </w:r>
      <w:r w:rsidRPr="008F1881">
        <w:lastRenderedPageBreak/>
        <w:t xml:space="preserve">commenced on the second section between Burrumbeet and Beaufort which is due for completion in 2014. </w:t>
      </w:r>
    </w:p>
    <w:p w:rsidR="00B055FA" w:rsidRPr="008F1881" w:rsidRDefault="00B055FA" w:rsidP="00250493">
      <w:pPr>
        <w:pStyle w:val="bt"/>
      </w:pPr>
      <w:r w:rsidRPr="008F1881">
        <w:t>The Deer Park Bypass has also contributed to improved access to Melbourne.</w:t>
      </w:r>
    </w:p>
    <w:p w:rsidR="00B055FA" w:rsidRPr="008F1881" w:rsidRDefault="00B055FA" w:rsidP="00250493">
      <w:pPr>
        <w:pStyle w:val="bt"/>
      </w:pPr>
      <w:r w:rsidRPr="008F1881">
        <w:t>Route improvement projects have also been completed on the Midland Highway between Geelong and Castlemaine.</w:t>
      </w:r>
    </w:p>
    <w:p w:rsidR="00B055FA" w:rsidRPr="008F1881" w:rsidRDefault="00B055FA" w:rsidP="00250493">
      <w:pPr>
        <w:pStyle w:val="bt"/>
      </w:pPr>
      <w:r w:rsidRPr="008F1881">
        <w:t xml:space="preserve">The </w:t>
      </w:r>
      <w:r w:rsidRPr="00227110">
        <w:t>Ballarat Road Transport Strategy</w:t>
      </w:r>
      <w:r w:rsidRPr="008F1881">
        <w:t xml:space="preserve"> (Ratio, 2007) identified a future Western Link Road around the western fringe of Ballarat from the Sunraysia Highway to the Midland Highway</w:t>
      </w:r>
      <w:r w:rsidR="003F0BD1" w:rsidRPr="008F1881">
        <w:t>. This first stage of this road will provide a north</w:t>
      </w:r>
      <w:r w:rsidR="00866F1A">
        <w:t>-</w:t>
      </w:r>
      <w:r w:rsidR="003F0BD1" w:rsidRPr="008F1881">
        <w:t>south connection between the Ballarat West Growth Area and Ballarat West Employment Zone</w:t>
      </w:r>
      <w:r w:rsidRPr="008F1881">
        <w:t xml:space="preserve">. </w:t>
      </w:r>
      <w:r w:rsidR="00435AD3" w:rsidRPr="008F1881">
        <w:t xml:space="preserve">Construction of the first stage from Sunraysia Highway to the intersection of Remembrance Drive and Dyson Drive </w:t>
      </w:r>
      <w:r w:rsidR="00866F1A">
        <w:t xml:space="preserve">will </w:t>
      </w:r>
      <w:r w:rsidR="00435AD3" w:rsidRPr="008F1881">
        <w:t>commence in 2013</w:t>
      </w:r>
      <w:r w:rsidR="003F0BD1" w:rsidRPr="008F1881">
        <w:t xml:space="preserve"> and is due for completion in 2014.</w:t>
      </w:r>
      <w:r w:rsidRPr="008F1881">
        <w:t xml:space="preserve">  </w:t>
      </w:r>
    </w:p>
    <w:p w:rsidR="00933847" w:rsidRPr="004A7B07" w:rsidRDefault="00933847" w:rsidP="004A7B07">
      <w:pPr>
        <w:pStyle w:val="Heading40"/>
      </w:pPr>
      <w:r w:rsidRPr="004A7B07">
        <w:t>Public transport network</w:t>
      </w:r>
    </w:p>
    <w:p w:rsidR="00933847" w:rsidRPr="008F1881" w:rsidRDefault="00933847" w:rsidP="00250493">
      <w:pPr>
        <w:pStyle w:val="bt"/>
      </w:pPr>
      <w:r w:rsidRPr="008F1881">
        <w:t xml:space="preserve">The V/Line train service in the region carries almost </w:t>
      </w:r>
      <w:r w:rsidR="00866F1A">
        <w:t xml:space="preserve">three </w:t>
      </w:r>
      <w:r w:rsidRPr="008F1881">
        <w:t xml:space="preserve">million passengers </w:t>
      </w:r>
      <w:r w:rsidR="00866F1A">
        <w:t xml:space="preserve">per </w:t>
      </w:r>
      <w:r w:rsidRPr="008F1881">
        <w:t xml:space="preserve">year and the Ballarat town bus network carries just over </w:t>
      </w:r>
      <w:r w:rsidR="00866F1A">
        <w:t xml:space="preserve">two </w:t>
      </w:r>
      <w:r w:rsidRPr="008F1881">
        <w:t>million</w:t>
      </w:r>
      <w:r w:rsidR="00866F1A">
        <w:t xml:space="preserve"> people annually</w:t>
      </w:r>
      <w:r w:rsidRPr="008F1881">
        <w:t>. However</w:t>
      </w:r>
      <w:r w:rsidR="00866F1A">
        <w:t>,</w:t>
      </w:r>
      <w:r w:rsidRPr="008F1881">
        <w:t xml:space="preserve"> on most rural public transport services patronage is less than 50,000 passengers per year (AECOM, 2011).</w:t>
      </w:r>
    </w:p>
    <w:p w:rsidR="00933847" w:rsidRDefault="00933847" w:rsidP="00250493">
      <w:pPr>
        <w:pStyle w:val="bt"/>
      </w:pPr>
      <w:r w:rsidRPr="008F1881">
        <w:t>Other passenger transport services are primarily based around coach services. Coach services enable flexibility because of their ability to use the existing road network</w:t>
      </w:r>
      <w:r w:rsidR="000068B8">
        <w:t xml:space="preserve"> (see</w:t>
      </w:r>
      <w:r w:rsidR="00D572D5">
        <w:t xml:space="preserve"> </w:t>
      </w:r>
      <w:r w:rsidR="009F388E">
        <w:fldChar w:fldCharType="begin"/>
      </w:r>
      <w:r w:rsidR="00D572D5">
        <w:instrText xml:space="preserve"> REF _Ref366055781 \h </w:instrText>
      </w:r>
      <w:r w:rsidR="009F388E">
        <w:fldChar w:fldCharType="separate"/>
      </w:r>
      <w:r w:rsidR="00907B42" w:rsidRPr="0073776B">
        <w:t xml:space="preserve">Figure </w:t>
      </w:r>
      <w:r w:rsidR="00907B42">
        <w:rPr>
          <w:noProof/>
        </w:rPr>
        <w:t>31</w:t>
      </w:r>
      <w:r w:rsidR="009F388E">
        <w:fldChar w:fldCharType="end"/>
      </w:r>
      <w:r w:rsidR="000068B8">
        <w:t>)</w:t>
      </w:r>
      <w:r w:rsidRPr="008F1881">
        <w:t>.</w:t>
      </w:r>
      <w:r w:rsidR="003F038B">
        <w:t xml:space="preserve"> A </w:t>
      </w:r>
      <w:r w:rsidR="00866F1A">
        <w:t>s</w:t>
      </w:r>
      <w:r w:rsidR="003F038B">
        <w:t xml:space="preserve">trategic </w:t>
      </w:r>
      <w:r w:rsidR="00866F1A">
        <w:t>c</w:t>
      </w:r>
      <w:r w:rsidR="003F038B">
        <w:t xml:space="preserve">oach </w:t>
      </w:r>
      <w:r w:rsidR="00866F1A">
        <w:t>n</w:t>
      </w:r>
      <w:r w:rsidR="003F038B">
        <w:t>etwork for r</w:t>
      </w:r>
      <w:r w:rsidRPr="008F1881">
        <w:t>egional Victoria is under development.</w:t>
      </w:r>
    </w:p>
    <w:p w:rsidR="003F038B" w:rsidRDefault="003F038B" w:rsidP="00250493">
      <w:pPr>
        <w:pStyle w:val="bt"/>
      </w:pPr>
      <w:r w:rsidRPr="008F1881">
        <w:t>In addition to connecting the major centres, it is important to consider the region’s rural and remote communities</w:t>
      </w:r>
      <w:r w:rsidR="00866F1A">
        <w:t>. S</w:t>
      </w:r>
      <w:r w:rsidRPr="008F1881">
        <w:t>ettlements with ageing populations may require more flexible and specialist transport services in the future. Most of the townships in the Central Highlands are covered by some form of passenger transpo</w:t>
      </w:r>
      <w:r w:rsidR="00F02EBF">
        <w:t>rt service.</w:t>
      </w:r>
    </w:p>
    <w:p w:rsidR="003F038B" w:rsidRPr="0073776B" w:rsidRDefault="00C820C0" w:rsidP="0073776B">
      <w:pPr>
        <w:pStyle w:val="Caption"/>
      </w:pPr>
      <w:bookmarkStart w:id="195" w:name="_Ref366055781"/>
      <w:r>
        <w:rPr>
          <w:noProof/>
        </w:rPr>
        <w:lastRenderedPageBreak/>
        <w:drawing>
          <wp:anchor distT="0" distB="0" distL="114300" distR="114300" simplePos="0" relativeHeight="251686912" behindDoc="0" locked="0" layoutInCell="1" allowOverlap="1">
            <wp:simplePos x="0" y="0"/>
            <wp:positionH relativeFrom="column">
              <wp:posOffset>-158750</wp:posOffset>
            </wp:positionH>
            <wp:positionV relativeFrom="paragraph">
              <wp:posOffset>311150</wp:posOffset>
            </wp:positionV>
            <wp:extent cx="6643370" cy="4089400"/>
            <wp:effectExtent l="19050" t="0" r="5080" b="0"/>
            <wp:wrapTopAndBottom/>
            <wp:docPr id="18" name="Picture 1" descr="Map showing schematic public transport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0"/>
                    <pic:cNvPicPr>
                      <a:picLocks noChangeAspect="1" noChangeArrowheads="1"/>
                    </pic:cNvPicPr>
                  </pic:nvPicPr>
                  <pic:blipFill>
                    <a:blip r:embed="rId51" cstate="email"/>
                    <a:srcRect/>
                    <a:stretch>
                      <a:fillRect/>
                    </a:stretch>
                  </pic:blipFill>
                  <pic:spPr bwMode="auto">
                    <a:xfrm>
                      <a:off x="0" y="0"/>
                      <a:ext cx="6643370" cy="4089400"/>
                    </a:xfrm>
                    <a:prstGeom prst="rect">
                      <a:avLst/>
                    </a:prstGeom>
                    <a:noFill/>
                    <a:ln w="9525">
                      <a:noFill/>
                      <a:miter lim="800000"/>
                      <a:headEnd/>
                      <a:tailEnd/>
                    </a:ln>
                  </pic:spPr>
                </pic:pic>
              </a:graphicData>
            </a:graphic>
          </wp:anchor>
        </w:drawing>
      </w:r>
      <w:bookmarkStart w:id="196" w:name="_Toc381698031"/>
      <w:r w:rsidR="003F038B" w:rsidRPr="0073776B">
        <w:t xml:space="preserve">Figure </w:t>
      </w:r>
      <w:r w:rsidR="009F388E">
        <w:fldChar w:fldCharType="begin"/>
      </w:r>
      <w:r w:rsidR="00821C7F">
        <w:instrText xml:space="preserve"> SEQ Figure \* ARABIC </w:instrText>
      </w:r>
      <w:r w:rsidR="009F388E">
        <w:fldChar w:fldCharType="separate"/>
      </w:r>
      <w:r w:rsidR="00907B42">
        <w:rPr>
          <w:noProof/>
        </w:rPr>
        <w:t>31</w:t>
      </w:r>
      <w:r w:rsidR="009F388E">
        <w:fldChar w:fldCharType="end"/>
      </w:r>
      <w:bookmarkEnd w:id="195"/>
      <w:r w:rsidR="00866F1A" w:rsidRPr="0073776B">
        <w:t>:</w:t>
      </w:r>
      <w:r w:rsidR="003F038B" w:rsidRPr="0073776B">
        <w:t xml:space="preserve"> Schematic public transport network</w:t>
      </w:r>
      <w:bookmarkEnd w:id="196"/>
    </w:p>
    <w:p w:rsidR="00C820C0" w:rsidRDefault="00250493" w:rsidP="00CB41DC">
      <w:pPr>
        <w:pStyle w:val="Source0"/>
        <w:rPr>
          <w:rStyle w:val="Strong"/>
          <w:rFonts w:cstheme="minorHAnsi"/>
          <w:b w:val="0"/>
          <w:bCs w:val="0"/>
          <w:i w:val="0"/>
          <w:color w:val="000000" w:themeColor="text1"/>
          <w:szCs w:val="20"/>
        </w:rPr>
      </w:pPr>
      <w:r>
        <w:t>S</w:t>
      </w:r>
      <w:r w:rsidRPr="008F1881">
        <w:t>ource: AECOM (2011)</w:t>
      </w:r>
    </w:p>
    <w:p w:rsidR="003F038B" w:rsidRPr="004A7B07" w:rsidRDefault="003F038B" w:rsidP="004A7B07">
      <w:pPr>
        <w:pStyle w:val="Heading40"/>
      </w:pPr>
      <w:r w:rsidRPr="004A7B07">
        <w:t>Central Highlands Regional Transport Strategy</w:t>
      </w:r>
    </w:p>
    <w:p w:rsidR="003F038B" w:rsidRPr="008F1881" w:rsidRDefault="003F038B" w:rsidP="00F95347">
      <w:pPr>
        <w:pStyle w:val="bt"/>
        <w:spacing w:after="120"/>
      </w:pPr>
      <w:r w:rsidRPr="008F1881">
        <w:t xml:space="preserve">The </w:t>
      </w:r>
      <w:r w:rsidRPr="00227110">
        <w:t>Central Highlands Regional Transport Strategy</w:t>
      </w:r>
      <w:r w:rsidRPr="008F1881">
        <w:t xml:space="preserve"> (AECOM, 2011) sets out the region’s aspirations for an effective, sustainable and efficient transport system </w:t>
      </w:r>
      <w:r w:rsidR="00C23B55">
        <w:t xml:space="preserve">that </w:t>
      </w:r>
      <w:r w:rsidRPr="008F1881">
        <w:t xml:space="preserve">services businesses, service providers, employees, residents and visitors travelling to, from, within, and through the region. The strategy provides a response to the transport policy challenges identified in the </w:t>
      </w:r>
      <w:r w:rsidR="0069443A" w:rsidRPr="00AD7504">
        <w:t>Central Highlands Regional Strategic Plan</w:t>
      </w:r>
      <w:r w:rsidRPr="008F1881">
        <w:t xml:space="preserve"> which include:</w:t>
      </w:r>
    </w:p>
    <w:p w:rsidR="003F038B" w:rsidRPr="008F1881" w:rsidRDefault="00C23B55" w:rsidP="00250493">
      <w:pPr>
        <w:pStyle w:val="ListBullet"/>
      </w:pPr>
      <w:r>
        <w:t>r</w:t>
      </w:r>
      <w:r w:rsidR="003F038B" w:rsidRPr="008F1881">
        <w:t>esponding to population and employment change</w:t>
      </w:r>
    </w:p>
    <w:p w:rsidR="003F038B" w:rsidRPr="008F1881" w:rsidRDefault="00C23B55" w:rsidP="00250493">
      <w:pPr>
        <w:pStyle w:val="ListBullet"/>
      </w:pPr>
      <w:r>
        <w:t>a</w:t>
      </w:r>
      <w:r w:rsidR="003F038B" w:rsidRPr="008F1881">
        <w:t>ddressing the ageing population in rural areas</w:t>
      </w:r>
    </w:p>
    <w:p w:rsidR="003F038B" w:rsidRPr="008F1881" w:rsidRDefault="00C23B55" w:rsidP="00250493">
      <w:pPr>
        <w:pStyle w:val="ListBullet"/>
      </w:pPr>
      <w:r>
        <w:t>m</w:t>
      </w:r>
      <w:r w:rsidR="003F038B" w:rsidRPr="008F1881">
        <w:t>anaging the development of freight transport</w:t>
      </w:r>
    </w:p>
    <w:p w:rsidR="003F038B" w:rsidRPr="008F1881" w:rsidRDefault="00C23B55" w:rsidP="00250493">
      <w:pPr>
        <w:pStyle w:val="ListBullet"/>
      </w:pPr>
      <w:r>
        <w:t>r</w:t>
      </w:r>
      <w:r w:rsidR="003F038B" w:rsidRPr="008F1881">
        <w:t>esponding to the changing cost of transport</w:t>
      </w:r>
    </w:p>
    <w:p w:rsidR="003F038B" w:rsidRPr="008F1881" w:rsidRDefault="00C23B55" w:rsidP="00250493">
      <w:pPr>
        <w:pStyle w:val="ListBullet"/>
      </w:pPr>
      <w:r>
        <w:t>d</w:t>
      </w:r>
      <w:r w:rsidR="003F038B" w:rsidRPr="008F1881">
        <w:t>eveloping the service economy</w:t>
      </w:r>
      <w:r w:rsidR="00D0650C">
        <w:t>.</w:t>
      </w:r>
    </w:p>
    <w:p w:rsidR="003F038B" w:rsidRPr="008F1881" w:rsidRDefault="003F038B" w:rsidP="00250493">
      <w:pPr>
        <w:pStyle w:val="bt"/>
        <w:rPr>
          <w:rFonts w:ascii="Arial" w:eastAsiaTheme="minorHAnsi" w:hAnsi="Arial" w:cs="Arial"/>
          <w:sz w:val="18"/>
          <w:szCs w:val="18"/>
          <w:lang w:eastAsia="en-US"/>
        </w:rPr>
      </w:pPr>
      <w:r w:rsidRPr="008F1881">
        <w:t>The strategy identifies six objectives for the transport system’s response to these challenges, as follows:</w:t>
      </w:r>
    </w:p>
    <w:p w:rsidR="003F038B" w:rsidRPr="008F1881" w:rsidRDefault="003F038B" w:rsidP="00250493">
      <w:pPr>
        <w:pStyle w:val="ListNumber"/>
      </w:pPr>
      <w:r w:rsidRPr="008F1881">
        <w:t>Expand transport networks for growing areas</w:t>
      </w:r>
      <w:r w:rsidR="00C23B55">
        <w:t>.</w:t>
      </w:r>
    </w:p>
    <w:p w:rsidR="003F038B" w:rsidRPr="008F1881" w:rsidRDefault="003F038B" w:rsidP="00250493">
      <w:pPr>
        <w:pStyle w:val="ListNumber"/>
      </w:pPr>
      <w:r w:rsidRPr="008F1881">
        <w:t>Manage amenity impacts of freight</w:t>
      </w:r>
      <w:r w:rsidR="00C23B55">
        <w:t>.</w:t>
      </w:r>
    </w:p>
    <w:p w:rsidR="003F038B" w:rsidRPr="008F1881" w:rsidRDefault="003F038B" w:rsidP="00250493">
      <w:pPr>
        <w:pStyle w:val="ListNumber"/>
      </w:pPr>
      <w:r w:rsidRPr="008F1881">
        <w:t>Plan for a ‘networked region’ in transport and land use</w:t>
      </w:r>
      <w:r w:rsidR="00C23B55">
        <w:t>.</w:t>
      </w:r>
    </w:p>
    <w:p w:rsidR="003F038B" w:rsidRPr="008F1881" w:rsidRDefault="003F038B" w:rsidP="00250493">
      <w:pPr>
        <w:pStyle w:val="ListNumber"/>
      </w:pPr>
      <w:r w:rsidRPr="008F1881">
        <w:t xml:space="preserve">Provide efficient access to markets for the </w:t>
      </w:r>
      <w:r w:rsidR="00D0650C">
        <w:t>r</w:t>
      </w:r>
      <w:r w:rsidRPr="008F1881">
        <w:t>egion’s production</w:t>
      </w:r>
      <w:r w:rsidR="00C23B55">
        <w:t>.</w:t>
      </w:r>
    </w:p>
    <w:p w:rsidR="003F038B" w:rsidRPr="008F1881" w:rsidRDefault="003F038B" w:rsidP="00250493">
      <w:pPr>
        <w:pStyle w:val="ListNumber"/>
      </w:pPr>
      <w:r w:rsidRPr="008F1881">
        <w:t xml:space="preserve">Support the needs of visitors to the </w:t>
      </w:r>
      <w:r w:rsidR="00D0650C">
        <w:t>r</w:t>
      </w:r>
      <w:r w:rsidRPr="008F1881">
        <w:t>egion</w:t>
      </w:r>
      <w:r w:rsidR="00C23B55">
        <w:t>.</w:t>
      </w:r>
    </w:p>
    <w:p w:rsidR="003F038B" w:rsidRPr="008F1881" w:rsidRDefault="003F038B" w:rsidP="00250493">
      <w:pPr>
        <w:pStyle w:val="ListNumber"/>
      </w:pPr>
      <w:r w:rsidRPr="008F1881">
        <w:t>Increase the resilience of the transport system under changing circumstances</w:t>
      </w:r>
      <w:r w:rsidR="00D0650C">
        <w:t>.</w:t>
      </w:r>
    </w:p>
    <w:p w:rsidR="003F038B" w:rsidRPr="008F1881" w:rsidRDefault="003F038B" w:rsidP="00250493">
      <w:pPr>
        <w:pStyle w:val="bt"/>
      </w:pPr>
      <w:r w:rsidRPr="008F1881">
        <w:t>A number of key directions are identified to achieve the objectives of the strategy, including one which links directly to growth planning as follows:</w:t>
      </w:r>
    </w:p>
    <w:p w:rsidR="003F038B" w:rsidRPr="008F1881" w:rsidRDefault="003F038B" w:rsidP="00250493">
      <w:pPr>
        <w:pStyle w:val="bt"/>
      </w:pPr>
      <w:r w:rsidRPr="008F1881">
        <w:t>Direction Five: Explore land use opportunities on strategic network links</w:t>
      </w:r>
      <w:r w:rsidR="00C23B55">
        <w:t>.</w:t>
      </w:r>
    </w:p>
    <w:p w:rsidR="003F038B" w:rsidRPr="008F1881" w:rsidRDefault="003F038B" w:rsidP="00250493">
      <w:pPr>
        <w:pStyle w:val="bt"/>
      </w:pPr>
      <w:r w:rsidRPr="008F1881">
        <w:lastRenderedPageBreak/>
        <w:t>This direction recognises the strategic advantage of directing growth to the orbital corridor link</w:t>
      </w:r>
      <w:r w:rsidR="00C23B55">
        <w:t>ing</w:t>
      </w:r>
      <w:r w:rsidRPr="008F1881">
        <w:t xml:space="preserve"> Victoria’s largest regional centres </w:t>
      </w:r>
      <w:r w:rsidR="00C23B55">
        <w:t xml:space="preserve">of </w:t>
      </w:r>
      <w:r w:rsidR="00D0650C">
        <w:t>Geelong, Ballarat and Bendigo</w:t>
      </w:r>
      <w:r w:rsidR="00C23B55">
        <w:t xml:space="preserve">, </w:t>
      </w:r>
      <w:r w:rsidRPr="008F1881">
        <w:t>which include</w:t>
      </w:r>
      <w:r w:rsidR="00C23B55">
        <w:t>s</w:t>
      </w:r>
      <w:r w:rsidRPr="008F1881">
        <w:t>:</w:t>
      </w:r>
    </w:p>
    <w:p w:rsidR="003F038B" w:rsidRPr="008F1881" w:rsidRDefault="003F038B" w:rsidP="00250493">
      <w:pPr>
        <w:pStyle w:val="ListBullet"/>
      </w:pPr>
      <w:r w:rsidRPr="008F1881">
        <w:t>existing road and</w:t>
      </w:r>
      <w:r w:rsidR="00C23B55">
        <w:t xml:space="preserve">, </w:t>
      </w:r>
      <w:r w:rsidRPr="008F1881">
        <w:t>in parts</w:t>
      </w:r>
      <w:r w:rsidR="00C23B55">
        <w:t>,</w:t>
      </w:r>
      <w:r w:rsidRPr="008F1881">
        <w:t xml:space="preserve"> rail infrastructure for both freight and passenger movement</w:t>
      </w:r>
    </w:p>
    <w:p w:rsidR="003F038B" w:rsidRPr="008F1881" w:rsidRDefault="003F038B" w:rsidP="00250493">
      <w:pPr>
        <w:pStyle w:val="ListBullet"/>
      </w:pPr>
      <w:r w:rsidRPr="008F1881">
        <w:t>good connectivity to large regional centres and to Melbourne</w:t>
      </w:r>
    </w:p>
    <w:p w:rsidR="003F038B" w:rsidRPr="008F1881" w:rsidRDefault="003F038B" w:rsidP="00250493">
      <w:pPr>
        <w:pStyle w:val="ListBullet"/>
      </w:pPr>
      <w:r w:rsidRPr="008F1881">
        <w:t>established and emerging employment sectors</w:t>
      </w:r>
    </w:p>
    <w:p w:rsidR="003F038B" w:rsidRPr="008F1881" w:rsidRDefault="003F038B" w:rsidP="00250493">
      <w:pPr>
        <w:pStyle w:val="ListBullet"/>
      </w:pPr>
      <w:r w:rsidRPr="008F1881">
        <w:t>ready access to water</w:t>
      </w:r>
    </w:p>
    <w:p w:rsidR="003F038B" w:rsidRPr="008F1881" w:rsidRDefault="003F038B" w:rsidP="00250493">
      <w:pPr>
        <w:pStyle w:val="ListBullet"/>
      </w:pPr>
      <w:r w:rsidRPr="008F1881">
        <w:t>heritage, cultural and landscapes of national significance.</w:t>
      </w:r>
    </w:p>
    <w:p w:rsidR="003F038B" w:rsidRPr="008F1881" w:rsidRDefault="00C23B55" w:rsidP="00250493">
      <w:pPr>
        <w:pStyle w:val="bt"/>
      </w:pPr>
      <w:r>
        <w:t>However, t</w:t>
      </w:r>
      <w:r w:rsidR="003F038B" w:rsidRPr="008F1881">
        <w:t>he strategy does recognise there are numerous constraints that affect land within this corridor including:</w:t>
      </w:r>
    </w:p>
    <w:p w:rsidR="003F038B" w:rsidRPr="008F1881" w:rsidRDefault="003F038B" w:rsidP="00250493">
      <w:pPr>
        <w:pStyle w:val="ListBullet"/>
      </w:pPr>
      <w:r w:rsidRPr="008F1881">
        <w:t>water catchments for drinking and irrigation purposes</w:t>
      </w:r>
    </w:p>
    <w:p w:rsidR="003F038B" w:rsidRPr="008F1881" w:rsidRDefault="003F038B" w:rsidP="00250493">
      <w:pPr>
        <w:pStyle w:val="ListBullet"/>
      </w:pPr>
      <w:r w:rsidRPr="008F1881">
        <w:t>limited options for wastewater treatment</w:t>
      </w:r>
    </w:p>
    <w:p w:rsidR="003F038B" w:rsidRPr="008F1881" w:rsidRDefault="003F038B" w:rsidP="00250493">
      <w:pPr>
        <w:pStyle w:val="ListBullet"/>
      </w:pPr>
      <w:r w:rsidRPr="008F1881">
        <w:t>high value agricultural land</w:t>
      </w:r>
    </w:p>
    <w:p w:rsidR="003F038B" w:rsidRPr="008F1881" w:rsidRDefault="003F038B" w:rsidP="00250493">
      <w:pPr>
        <w:pStyle w:val="ListBullet"/>
      </w:pPr>
      <w:r w:rsidRPr="008F1881">
        <w:t>sensitive natural values, including natural ecosystems (grasslands, woodlands etc</w:t>
      </w:r>
      <w:r w:rsidR="0041680C">
        <w:t>.</w:t>
      </w:r>
      <w:r w:rsidRPr="008F1881">
        <w:t>) and groundwater (mineral springs)</w:t>
      </w:r>
    </w:p>
    <w:p w:rsidR="003F038B" w:rsidRPr="008F1881" w:rsidRDefault="003F038B" w:rsidP="00250493">
      <w:pPr>
        <w:pStyle w:val="ListBullet"/>
      </w:pPr>
      <w:r w:rsidRPr="008F1881">
        <w:t>steep topography</w:t>
      </w:r>
    </w:p>
    <w:p w:rsidR="003F038B" w:rsidRPr="008F1881" w:rsidRDefault="003F038B" w:rsidP="00250493">
      <w:pPr>
        <w:pStyle w:val="ListBullet"/>
      </w:pPr>
      <w:r w:rsidRPr="008F1881">
        <w:t>competition from competing development options such as wind power generation.</w:t>
      </w:r>
    </w:p>
    <w:p w:rsidR="003F038B" w:rsidRPr="008F1881" w:rsidRDefault="003F038B" w:rsidP="00250493">
      <w:pPr>
        <w:pStyle w:val="bt"/>
      </w:pPr>
      <w:r w:rsidRPr="008F1881">
        <w:t>The strategy recommends that a land use capability assessment is undertaken to identify a feasible</w:t>
      </w:r>
      <w:r w:rsidR="00250493">
        <w:t xml:space="preserve"> </w:t>
      </w:r>
      <w:r w:rsidRPr="008F1881">
        <w:t>long-term settlement structure in this corridor to shape the overall potential of the networked region concept.</w:t>
      </w:r>
    </w:p>
    <w:p w:rsidR="0067256E" w:rsidRDefault="003F038B" w:rsidP="0067256E">
      <w:pPr>
        <w:pStyle w:val="bt"/>
      </w:pPr>
      <w:r w:rsidRPr="008F1881">
        <w:t xml:space="preserve">The strategy recognises transport infrastructure investment should be prioritised on a regional basis, </w:t>
      </w:r>
      <w:r w:rsidR="0041680C">
        <w:t xml:space="preserve">while </w:t>
      </w:r>
      <w:r w:rsidRPr="008F1881">
        <w:t xml:space="preserve">having regard </w:t>
      </w:r>
      <w:r w:rsidR="0041680C">
        <w:t xml:space="preserve">for </w:t>
      </w:r>
      <w:r w:rsidRPr="008F1881">
        <w:t>preferred patterns of growth and development.</w:t>
      </w:r>
    </w:p>
    <w:p w:rsidR="0067256E" w:rsidRDefault="00933847" w:rsidP="0067256E">
      <w:pPr>
        <w:pStyle w:val="Heading40"/>
      </w:pPr>
      <w:r w:rsidRPr="004A7B07">
        <w:t>Integrating transport planning and the future role of Ballarat</w:t>
      </w:r>
    </w:p>
    <w:p w:rsidR="00D51DD8" w:rsidRDefault="00B055FA" w:rsidP="0067256E">
      <w:pPr>
        <w:pStyle w:val="bt"/>
      </w:pPr>
      <w:r w:rsidRPr="008F1881">
        <w:t xml:space="preserve">Careful thought needs to be given to the role Ballarat will </w:t>
      </w:r>
      <w:r w:rsidR="0041680C">
        <w:t xml:space="preserve">play </w:t>
      </w:r>
      <w:r w:rsidRPr="008F1881">
        <w:t xml:space="preserve">into the future. </w:t>
      </w:r>
      <w:r w:rsidR="0041680C">
        <w:t xml:space="preserve">Although it </w:t>
      </w:r>
      <w:r w:rsidRPr="008F1881">
        <w:t>has good connections by road and rail to Melbourne</w:t>
      </w:r>
      <w:r w:rsidR="00D0650C">
        <w:t>,</w:t>
      </w:r>
      <w:r w:rsidRPr="008F1881">
        <w:t xml:space="preserve"> if it wants to attract specialist services and facilities equivalent to Melbourne</w:t>
      </w:r>
      <w:r w:rsidR="004F508C">
        <w:t>,</w:t>
      </w:r>
      <w:r w:rsidRPr="008F1881">
        <w:t xml:space="preserve"> it needs to ensure people </w:t>
      </w:r>
      <w:r w:rsidR="003F0BD1" w:rsidRPr="008F1881">
        <w:t xml:space="preserve">are easily able to travel </w:t>
      </w:r>
      <w:r w:rsidRPr="008F1881">
        <w:t xml:space="preserve">to the city </w:t>
      </w:r>
      <w:r w:rsidR="003F0BD1" w:rsidRPr="008F1881">
        <w:t>during the morning peak</w:t>
      </w:r>
      <w:r w:rsidR="0041680C">
        <w:t>,</w:t>
      </w:r>
      <w:r w:rsidR="003F0BD1" w:rsidRPr="008F1881">
        <w:t xml:space="preserve"> </w:t>
      </w:r>
      <w:r w:rsidRPr="008F1881">
        <w:t xml:space="preserve">rather than </w:t>
      </w:r>
      <w:r w:rsidR="003F0BD1" w:rsidRPr="008F1881">
        <w:t xml:space="preserve">the current focus </w:t>
      </w:r>
      <w:r w:rsidR="0041680C">
        <w:t xml:space="preserve">of </w:t>
      </w:r>
      <w:r w:rsidR="003F0BD1" w:rsidRPr="008F1881">
        <w:t xml:space="preserve">providing services to transport </w:t>
      </w:r>
      <w:r w:rsidRPr="008F1881">
        <w:t xml:space="preserve">people </w:t>
      </w:r>
      <w:r w:rsidR="003F0BD1" w:rsidRPr="008F1881">
        <w:t xml:space="preserve">away from the city </w:t>
      </w:r>
      <w:r w:rsidR="0041680C">
        <w:t xml:space="preserve">towards </w:t>
      </w:r>
      <w:r w:rsidR="003F0BD1" w:rsidRPr="008F1881">
        <w:t>Melbourne</w:t>
      </w:r>
      <w:r w:rsidRPr="008F1881">
        <w:t xml:space="preserve">. </w:t>
      </w:r>
    </w:p>
    <w:p w:rsidR="00B055FA" w:rsidRPr="001F66D6" w:rsidRDefault="00E06F13" w:rsidP="001F66D6">
      <w:pPr>
        <w:pStyle w:val="bt"/>
      </w:pPr>
      <w:r w:rsidRPr="008F1881">
        <w:t>At the time of writing the only morning peak train services to Ballarat from Melbourne arrive at approximately 8am and 9</w:t>
      </w:r>
      <w:r w:rsidR="00733829">
        <w:t>.</w:t>
      </w:r>
      <w:r w:rsidRPr="008F1881">
        <w:t xml:space="preserve">30am. </w:t>
      </w:r>
      <w:r w:rsidR="00631B16">
        <w:fldChar w:fldCharType="begin"/>
      </w:r>
      <w:r w:rsidR="00631B16">
        <w:instrText xml:space="preserve"> REF _Ref349224322 \h  \* MERGEFORMAT </w:instrText>
      </w:r>
      <w:r w:rsidR="00631B16">
        <w:fldChar w:fldCharType="separate"/>
      </w:r>
      <w:r w:rsidR="00907B42" w:rsidRPr="0073776B">
        <w:t xml:space="preserve">Figure </w:t>
      </w:r>
      <w:r w:rsidR="00907B42">
        <w:rPr>
          <w:noProof/>
        </w:rPr>
        <w:t>32</w:t>
      </w:r>
      <w:r w:rsidR="00631B16">
        <w:fldChar w:fldCharType="end"/>
      </w:r>
      <w:r w:rsidR="00B055FA" w:rsidRPr="008F1881">
        <w:t xml:space="preserve"> shows Ballarat </w:t>
      </w:r>
      <w:r w:rsidR="00733829">
        <w:t xml:space="preserve">currently </w:t>
      </w:r>
      <w:r w:rsidR="00B055FA" w:rsidRPr="008F1881">
        <w:t xml:space="preserve">remains a relatively self-sufficient community in terms of </w:t>
      </w:r>
      <w:r w:rsidR="00435D7A" w:rsidRPr="008F1881">
        <w:t xml:space="preserve">source of employment </w:t>
      </w:r>
      <w:r w:rsidR="00B055FA" w:rsidRPr="008F1881">
        <w:t xml:space="preserve">as </w:t>
      </w:r>
      <w:r w:rsidR="00435D7A" w:rsidRPr="008F1881">
        <w:t xml:space="preserve">the vast majority of work journeys </w:t>
      </w:r>
      <w:r w:rsidR="00B055FA" w:rsidRPr="008F1881">
        <w:t xml:space="preserve">generated from Ballarat are made locally. </w:t>
      </w:r>
      <w:r w:rsidR="00435D7A" w:rsidRPr="008F1881">
        <w:t xml:space="preserve">Work journeys to </w:t>
      </w:r>
      <w:r w:rsidR="00733829">
        <w:t xml:space="preserve">metropolitan </w:t>
      </w:r>
      <w:r w:rsidR="00435D7A" w:rsidRPr="008F1881">
        <w:t xml:space="preserve">Melbourne from Ballarat remain relatively low in overall numbers. Likewise journeys to Ballarat from </w:t>
      </w:r>
      <w:r w:rsidR="00733829">
        <w:t xml:space="preserve">metropolitan </w:t>
      </w:r>
      <w:r w:rsidR="00435D7A" w:rsidRPr="008F1881">
        <w:t>Melbourne remain relatively low</w:t>
      </w:r>
      <w:r w:rsidR="007337C6" w:rsidRPr="008F1881">
        <w:t xml:space="preserve"> a</w:t>
      </w:r>
      <w:r w:rsidR="007337C6" w:rsidRPr="001F66D6">
        <w:t>nd are shown in</w:t>
      </w:r>
      <w:r w:rsidR="00994FD7" w:rsidRPr="001F66D6">
        <w:t xml:space="preserve"> </w:t>
      </w:r>
      <w:r w:rsidR="00631B16">
        <w:fldChar w:fldCharType="begin"/>
      </w:r>
      <w:r w:rsidR="00631B16">
        <w:instrText xml:space="preserve"> REF _Ref357155729 \h  \* MERGEFORMAT </w:instrText>
      </w:r>
      <w:r w:rsidR="00631B16">
        <w:fldChar w:fldCharType="separate"/>
      </w:r>
      <w:r w:rsidR="00907B42" w:rsidRPr="0073776B">
        <w:t xml:space="preserve">Figure </w:t>
      </w:r>
      <w:r w:rsidR="00907B42">
        <w:rPr>
          <w:noProof/>
        </w:rPr>
        <w:t>33</w:t>
      </w:r>
      <w:r w:rsidR="00631B16">
        <w:fldChar w:fldCharType="end"/>
      </w:r>
      <w:r w:rsidR="001F66D6" w:rsidRPr="001F66D6">
        <w:t>.</w:t>
      </w:r>
    </w:p>
    <w:p w:rsidR="00F80FF1" w:rsidRPr="0073776B" w:rsidRDefault="00C820C0" w:rsidP="0073776B">
      <w:pPr>
        <w:pStyle w:val="Caption"/>
      </w:pPr>
      <w:bookmarkStart w:id="197" w:name="_Ref349224322"/>
      <w:r>
        <w:rPr>
          <w:noProof/>
        </w:rPr>
        <w:lastRenderedPageBreak/>
        <w:drawing>
          <wp:anchor distT="0" distB="0" distL="114300" distR="114300" simplePos="0" relativeHeight="251687936" behindDoc="0" locked="0" layoutInCell="1" allowOverlap="1">
            <wp:simplePos x="0" y="0"/>
            <wp:positionH relativeFrom="column">
              <wp:posOffset>19050</wp:posOffset>
            </wp:positionH>
            <wp:positionV relativeFrom="paragraph">
              <wp:posOffset>285750</wp:posOffset>
            </wp:positionV>
            <wp:extent cx="6229350" cy="2801620"/>
            <wp:effectExtent l="19050" t="19050" r="19050" b="17780"/>
            <wp:wrapTopAndBottom/>
            <wp:docPr id="1028" name="Picture 4" descr="Chart showing work journeys from Ballarat 1996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52" cstate="email">
                      <a:extLst>
                        <a:ext uri="{28A0092B-C50C-407E-A947-70E740481C1C}">
                          <a14:useLocalDpi xmlns:a14="http://schemas.microsoft.com/office/drawing/2010/main" val="0"/>
                        </a:ext>
                      </a:extLst>
                    </a:blip>
                    <a:srcRect l="2819" t="12873" b="5789"/>
                    <a:stretch/>
                  </pic:blipFill>
                  <pic:spPr bwMode="auto">
                    <a:xfrm>
                      <a:off x="0" y="0"/>
                      <a:ext cx="6229350" cy="2801620"/>
                    </a:xfrm>
                    <a:prstGeom prst="rect">
                      <a:avLst/>
                    </a:prstGeom>
                    <a:noFill/>
                    <a:ln w="9525" cap="flat" cmpd="sng" algn="ctr">
                      <a:solidFill>
                        <a:srgbClr val="4F81BD"/>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anchor>
        </w:drawing>
      </w:r>
      <w:bookmarkStart w:id="198" w:name="_Toc381698032"/>
      <w:r w:rsidR="00994FD7" w:rsidRPr="0073776B">
        <w:t xml:space="preserve">Figure </w:t>
      </w:r>
      <w:r w:rsidR="009F388E">
        <w:fldChar w:fldCharType="begin"/>
      </w:r>
      <w:r w:rsidR="00821C7F">
        <w:instrText xml:space="preserve"> SEQ Figure \* ARABIC </w:instrText>
      </w:r>
      <w:r w:rsidR="009F388E">
        <w:fldChar w:fldCharType="separate"/>
      </w:r>
      <w:r w:rsidR="00907B42">
        <w:rPr>
          <w:noProof/>
        </w:rPr>
        <w:t>32</w:t>
      </w:r>
      <w:r w:rsidR="009F388E">
        <w:fldChar w:fldCharType="end"/>
      </w:r>
      <w:bookmarkEnd w:id="197"/>
      <w:r w:rsidR="0041680C" w:rsidRPr="0073776B">
        <w:t>:</w:t>
      </w:r>
      <w:r w:rsidR="00B055FA" w:rsidRPr="0073776B">
        <w:t xml:space="preserve"> </w:t>
      </w:r>
      <w:r w:rsidR="001E7F21" w:rsidRPr="0073776B">
        <w:t>Work j</w:t>
      </w:r>
      <w:r w:rsidR="00435D7A" w:rsidRPr="0073776B">
        <w:t xml:space="preserve">ourneys from Ballarat 1996 </w:t>
      </w:r>
      <w:r w:rsidR="0041680C" w:rsidRPr="0073776B">
        <w:t xml:space="preserve">to </w:t>
      </w:r>
      <w:r w:rsidR="00435D7A" w:rsidRPr="0073776B">
        <w:t>2011</w:t>
      </w:r>
      <w:bookmarkEnd w:id="198"/>
    </w:p>
    <w:p w:rsidR="00CB41DC" w:rsidRDefault="00250493" w:rsidP="00CB41DC">
      <w:pPr>
        <w:pStyle w:val="Source0"/>
      </w:pPr>
      <w:bookmarkStart w:id="199" w:name="_Ref349224404"/>
      <w:r>
        <w:t>S</w:t>
      </w:r>
      <w:r w:rsidRPr="008F1881">
        <w:t xml:space="preserve">ource: </w:t>
      </w:r>
      <w:r w:rsidR="000D49BF">
        <w:t>Australian Bureau of Statistics</w:t>
      </w:r>
      <w:r w:rsidRPr="008F1881">
        <w:t>, 2011</w:t>
      </w:r>
    </w:p>
    <w:p w:rsidR="00C820C0" w:rsidRDefault="00C820C0">
      <w:pPr>
        <w:pStyle w:val="Caption"/>
      </w:pPr>
      <w:bookmarkStart w:id="200" w:name="_Ref357155729"/>
      <w:r>
        <w:rPr>
          <w:noProof/>
        </w:rPr>
        <w:drawing>
          <wp:anchor distT="0" distB="0" distL="114300" distR="114300" simplePos="0" relativeHeight="251688960" behindDoc="0" locked="0" layoutInCell="1" allowOverlap="1">
            <wp:simplePos x="0" y="0"/>
            <wp:positionH relativeFrom="column">
              <wp:posOffset>19050</wp:posOffset>
            </wp:positionH>
            <wp:positionV relativeFrom="paragraph">
              <wp:posOffset>190500</wp:posOffset>
            </wp:positionV>
            <wp:extent cx="6233160" cy="3056255"/>
            <wp:effectExtent l="19050" t="19050" r="15240" b="10795"/>
            <wp:wrapTopAndBottom/>
            <wp:docPr id="1029" name="Picture 5" descr="Chart showing work journeys to Ballarat 1996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53" cstate="email">
                      <a:extLst>
                        <a:ext uri="{28A0092B-C50C-407E-A947-70E740481C1C}">
                          <a14:useLocalDpi xmlns:a14="http://schemas.microsoft.com/office/drawing/2010/main" val="0"/>
                        </a:ext>
                      </a:extLst>
                    </a:blip>
                    <a:srcRect l="-1" t="13602" r="-4378" b="5989"/>
                    <a:stretch/>
                  </pic:blipFill>
                  <pic:spPr bwMode="auto">
                    <a:xfrm>
                      <a:off x="0" y="0"/>
                      <a:ext cx="6233160" cy="3056255"/>
                    </a:xfrm>
                    <a:prstGeom prst="rect">
                      <a:avLst/>
                    </a:prstGeom>
                    <a:noFill/>
                    <a:ln w="9525" cap="flat" cmpd="sng" algn="ctr">
                      <a:solidFill>
                        <a:srgbClr val="4F81BD"/>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anchor>
        </w:drawing>
      </w:r>
      <w:bookmarkStart w:id="201" w:name="_Toc381698033"/>
      <w:r w:rsidR="00994FD7" w:rsidRPr="0073776B">
        <w:t xml:space="preserve">Figure </w:t>
      </w:r>
      <w:r w:rsidR="009F388E">
        <w:fldChar w:fldCharType="begin"/>
      </w:r>
      <w:r w:rsidR="00821C7F">
        <w:instrText xml:space="preserve"> SEQ Figure \* ARABIC </w:instrText>
      </w:r>
      <w:r w:rsidR="009F388E">
        <w:fldChar w:fldCharType="separate"/>
      </w:r>
      <w:r w:rsidR="00907B42">
        <w:rPr>
          <w:noProof/>
        </w:rPr>
        <w:t>33</w:t>
      </w:r>
      <w:r w:rsidR="009F388E">
        <w:fldChar w:fldCharType="end"/>
      </w:r>
      <w:bookmarkEnd w:id="199"/>
      <w:bookmarkEnd w:id="200"/>
      <w:r w:rsidR="004D422B" w:rsidRPr="0073776B">
        <w:t>:</w:t>
      </w:r>
      <w:r w:rsidR="00435D7A" w:rsidRPr="0073776B">
        <w:t xml:space="preserve"> </w:t>
      </w:r>
      <w:r w:rsidR="001E7F21" w:rsidRPr="0073776B">
        <w:t>Work j</w:t>
      </w:r>
      <w:r w:rsidR="00435D7A" w:rsidRPr="0073776B">
        <w:t xml:space="preserve">ourneys to Ballarat 1996 </w:t>
      </w:r>
      <w:r w:rsidR="004D422B" w:rsidRPr="0073776B">
        <w:t>to</w:t>
      </w:r>
      <w:r w:rsidR="00435D7A" w:rsidRPr="0073776B">
        <w:t xml:space="preserve"> 2011</w:t>
      </w:r>
      <w:bookmarkEnd w:id="201"/>
    </w:p>
    <w:p w:rsidR="00C820C0" w:rsidRDefault="00250493" w:rsidP="00CB41DC">
      <w:pPr>
        <w:pStyle w:val="Source0"/>
        <w:rPr>
          <w:szCs w:val="20"/>
        </w:rPr>
      </w:pPr>
      <w:r w:rsidRPr="00404C4F">
        <w:t xml:space="preserve">Source: </w:t>
      </w:r>
      <w:r w:rsidR="000D49BF">
        <w:t>Australian Bureau of Statistics</w:t>
      </w:r>
      <w:r w:rsidRPr="00404C4F">
        <w:t>, 2011</w:t>
      </w:r>
    </w:p>
    <w:p w:rsidR="00B055FA" w:rsidRPr="008F1881" w:rsidRDefault="00AA71D5" w:rsidP="00250493">
      <w:pPr>
        <w:pStyle w:val="bt"/>
      </w:pPr>
      <w:r>
        <w:t xml:space="preserve">The </w:t>
      </w:r>
      <w:r w:rsidR="00FF7845">
        <w:t>s</w:t>
      </w:r>
      <w:r w:rsidR="00D815C1">
        <w:t>tate government</w:t>
      </w:r>
      <w:r w:rsidR="00B055FA" w:rsidRPr="008F1881">
        <w:t xml:space="preserve"> </w:t>
      </w:r>
      <w:r w:rsidR="00363278">
        <w:t>has</w:t>
      </w:r>
      <w:r w:rsidR="00B055FA" w:rsidRPr="008F1881">
        <w:t xml:space="preserve"> investigat</w:t>
      </w:r>
      <w:r w:rsidR="00363278">
        <w:t>ed</w:t>
      </w:r>
      <w:r>
        <w:t>,</w:t>
      </w:r>
      <w:r w:rsidR="00B055FA" w:rsidRPr="008F1881">
        <w:t xml:space="preserve"> through the Rail Revival Study</w:t>
      </w:r>
      <w:r>
        <w:t>,</w:t>
      </w:r>
      <w:r w:rsidR="00B055FA" w:rsidRPr="008F1881">
        <w:t xml:space="preserve"> the re-establishment of passenger rail services between Geelong and Bendigo via Ballarat and Maryborough, an initiative that would make Ballarat one of the most accessible regional cities in Australia. </w:t>
      </w:r>
      <w:r w:rsidR="00363278">
        <w:t xml:space="preserve">The study’s proposals to enhance coach services in the short term and rail services in the longer term </w:t>
      </w:r>
      <w:r w:rsidR="00B055FA" w:rsidRPr="008F1881">
        <w:t>may strengthen links between Golden Plains residents and Ballarat.</w:t>
      </w:r>
    </w:p>
    <w:p w:rsidR="00B055FA" w:rsidRPr="008F1881" w:rsidRDefault="00B055FA" w:rsidP="00250493">
      <w:pPr>
        <w:pStyle w:val="bt"/>
      </w:pPr>
      <w:r w:rsidRPr="008F1881">
        <w:t>The reopening of Talbot station</w:t>
      </w:r>
      <w:r w:rsidR="00E06F13" w:rsidRPr="008F1881">
        <w:t xml:space="preserve"> in 2013</w:t>
      </w:r>
      <w:r w:rsidRPr="008F1881">
        <w:t xml:space="preserve"> will also help to provide improved connections from communities within the Maryborough-Ballarat corridor to Ballarat. </w:t>
      </w:r>
    </w:p>
    <w:p w:rsidR="00B055FA" w:rsidRPr="008F1881" w:rsidRDefault="00AA71D5" w:rsidP="00F24B48">
      <w:pPr>
        <w:pStyle w:val="bt"/>
      </w:pPr>
      <w:r>
        <w:t>I</w:t>
      </w:r>
      <w:r w:rsidR="00B055FA" w:rsidRPr="008F1881">
        <w:t>ncreasing pressures on the transport system are evident in</w:t>
      </w:r>
      <w:r w:rsidR="00404C4F">
        <w:t xml:space="preserve"> </w:t>
      </w:r>
      <w:r w:rsidR="00631B16">
        <w:fldChar w:fldCharType="begin"/>
      </w:r>
      <w:r w:rsidR="00631B16">
        <w:instrText xml:space="preserve"> REF _Ref357155729 \h  \* MERGEFORMAT </w:instrText>
      </w:r>
      <w:r w:rsidR="00631B16">
        <w:fldChar w:fldCharType="separate"/>
      </w:r>
      <w:r w:rsidR="00907B42" w:rsidRPr="0073776B">
        <w:t xml:space="preserve">Figure </w:t>
      </w:r>
      <w:r w:rsidR="00907B42">
        <w:rPr>
          <w:noProof/>
        </w:rPr>
        <w:t>33</w:t>
      </w:r>
      <w:r w:rsidR="00631B16">
        <w:fldChar w:fldCharType="end"/>
      </w:r>
      <w:r>
        <w:t xml:space="preserve">. The </w:t>
      </w:r>
      <w:r w:rsidR="00B055FA" w:rsidRPr="008F1881">
        <w:t>vast majority of work journeys to Ballarat occur within the same municipality</w:t>
      </w:r>
      <w:r w:rsidR="00603996" w:rsidRPr="008F1881">
        <w:t xml:space="preserve"> and that number </w:t>
      </w:r>
      <w:r w:rsidR="00B055FA" w:rsidRPr="008F1881">
        <w:t>significantly increased between 1996</w:t>
      </w:r>
      <w:r>
        <w:t xml:space="preserve"> and </w:t>
      </w:r>
      <w:r w:rsidR="00B055FA" w:rsidRPr="008F1881">
        <w:t>20</w:t>
      </w:r>
      <w:r w:rsidR="001E7F21" w:rsidRPr="008F1881">
        <w:t>11</w:t>
      </w:r>
      <w:r w:rsidR="00B055FA" w:rsidRPr="008F1881">
        <w:t>. Journeys into Ballarat from outside municipalities also increased</w:t>
      </w:r>
      <w:r w:rsidR="00603996" w:rsidRPr="008F1881">
        <w:t>,</w:t>
      </w:r>
      <w:r w:rsidR="00B055FA" w:rsidRPr="008F1881">
        <w:t xml:space="preserve"> albeit in lesser numbers, with </w:t>
      </w:r>
      <w:r w:rsidR="001E7F21" w:rsidRPr="008F1881">
        <w:t>journey</w:t>
      </w:r>
      <w:r>
        <w:t>s</w:t>
      </w:r>
      <w:r w:rsidR="001E7F21" w:rsidRPr="008F1881">
        <w:t xml:space="preserve"> from </w:t>
      </w:r>
      <w:r>
        <w:t xml:space="preserve">metropolitan </w:t>
      </w:r>
      <w:r w:rsidR="00B055FA" w:rsidRPr="008F1881">
        <w:t xml:space="preserve">Melbourne showing little change and </w:t>
      </w:r>
      <w:r w:rsidR="00603996" w:rsidRPr="008F1881">
        <w:t xml:space="preserve">a </w:t>
      </w:r>
      <w:r w:rsidR="00B055FA" w:rsidRPr="008F1881">
        <w:t>small absolute number.</w:t>
      </w:r>
    </w:p>
    <w:p w:rsidR="00933847" w:rsidRPr="008F1881" w:rsidRDefault="00933847" w:rsidP="00250493">
      <w:pPr>
        <w:pStyle w:val="bt"/>
      </w:pPr>
      <w:r w:rsidRPr="008F1881">
        <w:lastRenderedPageBreak/>
        <w:t xml:space="preserve">Different transport considerations exist for the region’s growth areas, for example Ballarat West. </w:t>
      </w:r>
      <w:r w:rsidR="00C075D2">
        <w:t xml:space="preserve">In these areas </w:t>
      </w:r>
      <w:r w:rsidRPr="008F1881">
        <w:t xml:space="preserve">demand management measures </w:t>
      </w:r>
      <w:r w:rsidR="00C075D2">
        <w:t xml:space="preserve">may be </w:t>
      </w:r>
      <w:r w:rsidRPr="008F1881">
        <w:t xml:space="preserve">needed to ensure </w:t>
      </w:r>
      <w:r w:rsidR="00C075D2">
        <w:t xml:space="preserve">central </w:t>
      </w:r>
      <w:r w:rsidRPr="008F1881">
        <w:t>Ballarat remains attractive and accessible. These measures may include park and ride facilities</w:t>
      </w:r>
      <w:r w:rsidR="00C075D2">
        <w:t>,</w:t>
      </w:r>
      <w:r w:rsidRPr="008F1881">
        <w:t xml:space="preserve"> with bus priority on roads</w:t>
      </w:r>
      <w:r w:rsidR="00C075D2">
        <w:t>,</w:t>
      </w:r>
      <w:r w:rsidRPr="008F1881">
        <w:t xml:space="preserve"> to reduce congestion in the </w:t>
      </w:r>
      <w:r w:rsidR="00251642">
        <w:t xml:space="preserve">city </w:t>
      </w:r>
      <w:r w:rsidRPr="008F1881">
        <w:t xml:space="preserve">centre and enable access to the </w:t>
      </w:r>
      <w:r w:rsidR="00C075D2">
        <w:t>t</w:t>
      </w:r>
      <w:r w:rsidRPr="008F1881">
        <w:t xml:space="preserve">echnology </w:t>
      </w:r>
      <w:r w:rsidR="00C075D2">
        <w:t>p</w:t>
      </w:r>
      <w:r w:rsidRPr="008F1881">
        <w:t xml:space="preserve">ark, </w:t>
      </w:r>
      <w:r w:rsidR="00C075D2">
        <w:t>u</w:t>
      </w:r>
      <w:r w:rsidRPr="008F1881">
        <w:t>niversity and other large residential and employment areas</w:t>
      </w:r>
      <w:r w:rsidR="00C075D2">
        <w:t xml:space="preserve">. </w:t>
      </w:r>
      <w:r w:rsidR="00251642">
        <w:t xml:space="preserve">It </w:t>
      </w:r>
      <w:r w:rsidR="00C075D2">
        <w:t xml:space="preserve">would </w:t>
      </w:r>
      <w:r w:rsidR="00251642">
        <w:t xml:space="preserve">also </w:t>
      </w:r>
      <w:r w:rsidRPr="008F1881">
        <w:t>negate the need for direct travel into the city centre</w:t>
      </w:r>
      <w:r w:rsidR="00C075D2">
        <w:t xml:space="preserve"> and </w:t>
      </w:r>
      <w:r w:rsidRPr="008F1881">
        <w:t xml:space="preserve">may </w:t>
      </w:r>
      <w:r w:rsidR="00C075D2">
        <w:t xml:space="preserve">help </w:t>
      </w:r>
      <w:r w:rsidRPr="008F1881">
        <w:t>reduc</w:t>
      </w:r>
      <w:r w:rsidR="00C075D2">
        <w:t xml:space="preserve">e </w:t>
      </w:r>
      <w:r w:rsidRPr="008F1881">
        <w:t xml:space="preserve">additional parking </w:t>
      </w:r>
      <w:r w:rsidR="00C075D2">
        <w:t xml:space="preserve">requirements </w:t>
      </w:r>
      <w:r w:rsidRPr="008F1881">
        <w:t>and improve traffic flows.</w:t>
      </w:r>
    </w:p>
    <w:p w:rsidR="003F038B" w:rsidRPr="004A7B07" w:rsidRDefault="009F09AE" w:rsidP="004A7B07">
      <w:pPr>
        <w:pStyle w:val="Heading40"/>
      </w:pPr>
      <w:r w:rsidRPr="004A7B07">
        <w:t>Ararat</w:t>
      </w:r>
    </w:p>
    <w:p w:rsidR="00986759" w:rsidRDefault="00986759" w:rsidP="00EC7BC8">
      <w:pPr>
        <w:pStyle w:val="bt"/>
        <w:spacing w:after="120"/>
      </w:pPr>
      <w:r>
        <w:t xml:space="preserve">Ararat would benefit from: </w:t>
      </w:r>
    </w:p>
    <w:p w:rsidR="00E829D0" w:rsidRDefault="00251642" w:rsidP="00250493">
      <w:pPr>
        <w:pStyle w:val="ListBullet"/>
      </w:pPr>
      <w:r>
        <w:t>s</w:t>
      </w:r>
      <w:r w:rsidR="00B055FA" w:rsidRPr="008F1881">
        <w:t xml:space="preserve">trengthening links between Ararat, Stawell and the Grampians </w:t>
      </w:r>
      <w:r w:rsidR="00E43860" w:rsidRPr="008F1881">
        <w:t>National Park</w:t>
      </w:r>
    </w:p>
    <w:p w:rsidR="00E829D0" w:rsidRDefault="00251642" w:rsidP="00250493">
      <w:pPr>
        <w:pStyle w:val="ListBullet"/>
      </w:pPr>
      <w:r>
        <w:t>e</w:t>
      </w:r>
      <w:r w:rsidR="00986759">
        <w:t xml:space="preserve">nsuring </w:t>
      </w:r>
      <w:r w:rsidR="006268F8">
        <w:t xml:space="preserve">employee and visitor </w:t>
      </w:r>
      <w:r w:rsidR="00986759">
        <w:t>access to</w:t>
      </w:r>
      <w:r w:rsidR="00E43860" w:rsidRPr="008F1881">
        <w:t xml:space="preserve"> </w:t>
      </w:r>
      <w:r w:rsidR="00B055FA" w:rsidRPr="008F1881">
        <w:t xml:space="preserve">the </w:t>
      </w:r>
      <w:r w:rsidR="00535057">
        <w:t>Hopkins Correctional Centre</w:t>
      </w:r>
      <w:r w:rsidR="00B055FA" w:rsidRPr="008F1881">
        <w:t xml:space="preserve"> </w:t>
      </w:r>
      <w:r w:rsidR="00986759">
        <w:t xml:space="preserve">as this facility </w:t>
      </w:r>
      <w:r w:rsidR="00B055FA" w:rsidRPr="008F1881">
        <w:t xml:space="preserve">expands.  </w:t>
      </w:r>
    </w:p>
    <w:p w:rsidR="00E829D0" w:rsidRDefault="00B055FA" w:rsidP="00250493">
      <w:pPr>
        <w:pStyle w:val="bt"/>
      </w:pPr>
      <w:r w:rsidRPr="008F1881">
        <w:t xml:space="preserve">Therefore both train and coach services in and around the western corridor will need to be reviewed into the future to ensure the attractiveness and viability of Ararat. It is noted that Ararat has limited train connections to Melbourne and Adelaide. Both Ararat and Ballarat have town bus services. </w:t>
      </w:r>
      <w:r w:rsidR="00251642">
        <w:t>W</w:t>
      </w:r>
      <w:r w:rsidR="00251642" w:rsidRPr="008F1881">
        <w:t>ith future developments occurring</w:t>
      </w:r>
      <w:r w:rsidR="00251642">
        <w:t>, r</w:t>
      </w:r>
      <w:r w:rsidRPr="008F1881">
        <w:t xml:space="preserve">oute reviews </w:t>
      </w:r>
      <w:r w:rsidR="00251642" w:rsidRPr="008F1881">
        <w:t xml:space="preserve">will need to be </w:t>
      </w:r>
      <w:r w:rsidR="00251642">
        <w:t>undertaken</w:t>
      </w:r>
      <w:r w:rsidR="00251642" w:rsidRPr="008F1881">
        <w:t xml:space="preserve"> </w:t>
      </w:r>
      <w:r w:rsidRPr="008F1881">
        <w:t xml:space="preserve">to ensure </w:t>
      </w:r>
      <w:r w:rsidR="00251642">
        <w:t xml:space="preserve">passenger </w:t>
      </w:r>
      <w:r w:rsidRPr="008F1881">
        <w:t xml:space="preserve">access to services, facilities and employment </w:t>
      </w:r>
      <w:r w:rsidR="00251642">
        <w:t xml:space="preserve">is </w:t>
      </w:r>
      <w:r w:rsidRPr="008F1881">
        <w:t>being met. Bus service reviews are conducted on a rolling basis.</w:t>
      </w:r>
    </w:p>
    <w:p w:rsidR="0064379A" w:rsidRPr="004A7B07" w:rsidRDefault="0064379A" w:rsidP="004A7B07">
      <w:pPr>
        <w:pStyle w:val="Heading40"/>
      </w:pPr>
      <w:r w:rsidRPr="004A7B07">
        <w:t>Bacchus Marsh</w:t>
      </w:r>
    </w:p>
    <w:p w:rsidR="008D782E" w:rsidRDefault="008D782E" w:rsidP="00250493">
      <w:pPr>
        <w:pStyle w:val="bt"/>
      </w:pPr>
      <w:r w:rsidRPr="008D782E">
        <w:t>Bacchus Marsh is subject to considerable growth, placing pressure on its road infrastructure and public transport</w:t>
      </w:r>
      <w:r w:rsidR="00251642">
        <w:t xml:space="preserve"> network</w:t>
      </w:r>
      <w:r w:rsidRPr="008D782E">
        <w:t>. A key strategic issue for the town is the need to provide north-south access on the link between Geelong and Gisborne, while minimising the impact of heavy vehicles travelling through the town centre. Moorabool Shire and VicRoads will be undertaking a transport study for Bacchus Marsh to look at options to cater for traffic growth and reduce the stresses on the current network</w:t>
      </w:r>
      <w:r w:rsidR="00251642">
        <w:t>. A</w:t>
      </w:r>
      <w:r w:rsidRPr="008D782E">
        <w:t>lternative arrangements for north-south movements</w:t>
      </w:r>
      <w:r w:rsidR="00251642">
        <w:t xml:space="preserve"> will also be examined</w:t>
      </w:r>
      <w:r w:rsidRPr="008D782E">
        <w:t>. The town’s public transport network will become increasingly important as the population grows</w:t>
      </w:r>
      <w:r w:rsidR="00463C4D">
        <w:t>,</w:t>
      </w:r>
      <w:r w:rsidRPr="008D782E">
        <w:t xml:space="preserve"> given the partial role of the town as a commuter centre</w:t>
      </w:r>
      <w:r w:rsidR="00463C4D">
        <w:t xml:space="preserve"> for metropolitan Melbourne.</w:t>
      </w:r>
    </w:p>
    <w:p w:rsidR="005B1214" w:rsidRPr="004A7B07" w:rsidRDefault="009F09AE" w:rsidP="004A7B07">
      <w:pPr>
        <w:pStyle w:val="Heading40"/>
      </w:pPr>
      <w:r w:rsidRPr="004A7B07">
        <w:t>Airports</w:t>
      </w:r>
    </w:p>
    <w:p w:rsidR="00986759" w:rsidRDefault="005B1214" w:rsidP="00250493">
      <w:pPr>
        <w:pStyle w:val="bt"/>
      </w:pPr>
      <w:r w:rsidRPr="008F1881">
        <w:t xml:space="preserve">Most movements </w:t>
      </w:r>
      <w:r w:rsidR="005F42C8" w:rsidRPr="008F1881">
        <w:t>with</w:t>
      </w:r>
      <w:r w:rsidRPr="008F1881">
        <w:t xml:space="preserve">in </w:t>
      </w:r>
      <w:r w:rsidR="005F42C8" w:rsidRPr="008F1881">
        <w:t xml:space="preserve">the region for </w:t>
      </w:r>
      <w:r w:rsidRPr="008F1881">
        <w:t xml:space="preserve">passenger and freight occur on the road and rail freight network. </w:t>
      </w:r>
      <w:r w:rsidR="005F42C8" w:rsidRPr="008F1881">
        <w:t>Ballarat</w:t>
      </w:r>
      <w:r w:rsidRPr="008F1881">
        <w:t xml:space="preserve"> and other local airports are </w:t>
      </w:r>
      <w:r w:rsidR="00B5510F">
        <w:t xml:space="preserve">used </w:t>
      </w:r>
      <w:r w:rsidRPr="008F1881">
        <w:t xml:space="preserve">for air ambulance and other medical </w:t>
      </w:r>
      <w:r w:rsidRPr="003F038B">
        <w:t xml:space="preserve">air services as well as some freight carriage. </w:t>
      </w:r>
      <w:r w:rsidR="00986759" w:rsidRPr="003F038B">
        <w:t xml:space="preserve">Airport locations are shown </w:t>
      </w:r>
      <w:r w:rsidR="00B5510F">
        <w:t xml:space="preserve">at </w:t>
      </w:r>
      <w:r w:rsidR="00631B16">
        <w:fldChar w:fldCharType="begin"/>
      </w:r>
      <w:r w:rsidR="00631B16">
        <w:instrText xml:space="preserve"> REF _Ref349223590 \h  \* MERGEFORMAT </w:instrText>
      </w:r>
      <w:r w:rsidR="00631B16">
        <w:fldChar w:fldCharType="separate"/>
      </w:r>
      <w:r w:rsidR="00907B42" w:rsidRPr="00CD2959">
        <w:t xml:space="preserve">Figure </w:t>
      </w:r>
      <w:r w:rsidR="00907B42">
        <w:t>26</w:t>
      </w:r>
      <w:r w:rsidR="00631B16">
        <w:fldChar w:fldCharType="end"/>
      </w:r>
      <w:r w:rsidR="00986759" w:rsidRPr="003F038B">
        <w:t xml:space="preserve">. </w:t>
      </w:r>
    </w:p>
    <w:p w:rsidR="003F038B" w:rsidRPr="003F038B" w:rsidRDefault="005B1214" w:rsidP="00250493">
      <w:pPr>
        <w:pStyle w:val="bt"/>
        <w:rPr>
          <w:rFonts w:cs="Tahoma"/>
          <w:szCs w:val="20"/>
        </w:rPr>
      </w:pPr>
      <w:r w:rsidRPr="003F038B">
        <w:t xml:space="preserve">During 2012 states and territories signed up to the </w:t>
      </w:r>
      <w:r w:rsidR="001F619E" w:rsidRPr="00227110">
        <w:t>National Airports Safeguarding Framework</w:t>
      </w:r>
      <w:r w:rsidRPr="003F038B">
        <w:t xml:space="preserve">. This </w:t>
      </w:r>
      <w:r w:rsidR="00B5510F">
        <w:t xml:space="preserve">has resulted in </w:t>
      </w:r>
      <w:r w:rsidRPr="003F038B">
        <w:t xml:space="preserve">the administration of airports </w:t>
      </w:r>
      <w:r w:rsidR="00B5510F">
        <w:t xml:space="preserve">being </w:t>
      </w:r>
      <w:r w:rsidRPr="003F038B">
        <w:t xml:space="preserve">carried out in accordance with the </w:t>
      </w:r>
      <w:r w:rsidR="00B5510F">
        <w:t>f</w:t>
      </w:r>
      <w:r w:rsidRPr="003F038B">
        <w:t>ramework</w:t>
      </w:r>
      <w:r w:rsidR="00B5510F">
        <w:t>,</w:t>
      </w:r>
      <w:r w:rsidRPr="003F038B">
        <w:t xml:space="preserve"> which aims to protect airports and their environs from a variety of potential encroachments. </w:t>
      </w:r>
    </w:p>
    <w:p w:rsidR="005B1214" w:rsidRPr="008F1881" w:rsidRDefault="005B1214" w:rsidP="00EC7BC8">
      <w:pPr>
        <w:pStyle w:val="bt"/>
        <w:spacing w:after="120"/>
      </w:pPr>
      <w:r w:rsidRPr="008F1881">
        <w:t xml:space="preserve">The </w:t>
      </w:r>
      <w:r w:rsidR="00B5510F">
        <w:t>f</w:t>
      </w:r>
      <w:r w:rsidRPr="008F1881">
        <w:t xml:space="preserve">ramework arose out of the Federal Government’s 2009 </w:t>
      </w:r>
      <w:r w:rsidR="001F619E" w:rsidRPr="00227110">
        <w:t>Aviation White Paper</w:t>
      </w:r>
      <w:r w:rsidR="001F619E" w:rsidRPr="001F619E">
        <w:t>,</w:t>
      </w:r>
      <w:r w:rsidRPr="008F1881">
        <w:t xml:space="preserve"> </w:t>
      </w:r>
      <w:r w:rsidR="00B5510F">
        <w:t xml:space="preserve">which </w:t>
      </w:r>
      <w:r w:rsidRPr="008F1881">
        <w:t xml:space="preserve">proposed the development of a national land use planning framework </w:t>
      </w:r>
      <w:r w:rsidR="00B5510F">
        <w:t>to</w:t>
      </w:r>
      <w:r w:rsidRPr="008F1881">
        <w:t>:</w:t>
      </w:r>
    </w:p>
    <w:p w:rsidR="008F1881" w:rsidRPr="003F038B" w:rsidRDefault="00B5510F" w:rsidP="00250493">
      <w:pPr>
        <w:pStyle w:val="ListBullet"/>
      </w:pPr>
      <w:r>
        <w:t>i</w:t>
      </w:r>
      <w:r w:rsidR="009F09AE" w:rsidRPr="003F038B">
        <w:t>mprove community amenity by minimising aircraft noise-sensitive developments near airports including through the use of additional noise metrics and improved noise-disclosure mechanisms</w:t>
      </w:r>
    </w:p>
    <w:p w:rsidR="008F1881" w:rsidRPr="003F038B" w:rsidRDefault="00B5510F" w:rsidP="00250493">
      <w:pPr>
        <w:pStyle w:val="ListBullet"/>
      </w:pPr>
      <w:r>
        <w:t>i</w:t>
      </w:r>
      <w:r w:rsidR="009F09AE" w:rsidRPr="003F038B">
        <w:t>mprove safety outcomes by ensuring aviation safety requirements are recognised in land use planning decisions through guidelines being adopted by jurisdictions on various safety-related issues.</w:t>
      </w:r>
    </w:p>
    <w:p w:rsidR="005B1214" w:rsidRPr="008F1881" w:rsidRDefault="00B5510F" w:rsidP="00EC7BC8">
      <w:pPr>
        <w:pStyle w:val="bt"/>
        <w:spacing w:after="120"/>
      </w:pPr>
      <w:r>
        <w:t xml:space="preserve">Developed by </w:t>
      </w:r>
      <w:r w:rsidR="005B1214" w:rsidRPr="008F1881">
        <w:t>the National Airports Safeguarding Advisory Group</w:t>
      </w:r>
      <w:r>
        <w:t xml:space="preserve"> in 2012,</w:t>
      </w:r>
      <w:r w:rsidR="005B1214" w:rsidRPr="008F1881">
        <w:t xml:space="preserve"> the </w:t>
      </w:r>
      <w:r w:rsidR="001F619E" w:rsidRPr="00227110">
        <w:t>National Airports Safeguarding Framework</w:t>
      </w:r>
      <w:r w:rsidR="005B1214" w:rsidRPr="008F1881">
        <w:t xml:space="preserve"> has a number of guidance notes including:</w:t>
      </w:r>
    </w:p>
    <w:p w:rsidR="005B1214" w:rsidRPr="003F038B" w:rsidRDefault="00B5510F" w:rsidP="00250493">
      <w:pPr>
        <w:pStyle w:val="ListBullet"/>
      </w:pPr>
      <w:r>
        <w:t>t</w:t>
      </w:r>
      <w:r w:rsidR="009F09AE" w:rsidRPr="003F038B">
        <w:t xml:space="preserve">he principles of the </w:t>
      </w:r>
      <w:r>
        <w:t>f</w:t>
      </w:r>
      <w:r w:rsidR="009F09AE" w:rsidRPr="003F038B">
        <w:t>ramework</w:t>
      </w:r>
    </w:p>
    <w:p w:rsidR="005B1214" w:rsidRPr="003F038B" w:rsidRDefault="00B5510F" w:rsidP="00250493">
      <w:pPr>
        <w:pStyle w:val="ListBullet"/>
      </w:pPr>
      <w:r>
        <w:t>m</w:t>
      </w:r>
      <w:r w:rsidR="009F09AE" w:rsidRPr="003F038B">
        <w:t>easures for managing impacts of aircraft noise</w:t>
      </w:r>
    </w:p>
    <w:p w:rsidR="005B1214" w:rsidRPr="003F038B" w:rsidRDefault="00B5510F" w:rsidP="00250493">
      <w:pPr>
        <w:pStyle w:val="ListBullet"/>
      </w:pPr>
      <w:r>
        <w:t>m</w:t>
      </w:r>
      <w:r w:rsidR="009F09AE" w:rsidRPr="003F038B">
        <w:t>anaging the risk of building</w:t>
      </w:r>
      <w:r>
        <w:t>-</w:t>
      </w:r>
      <w:r w:rsidR="009F09AE" w:rsidRPr="003F038B">
        <w:t>generated windshear and turbulence at airports</w:t>
      </w:r>
    </w:p>
    <w:p w:rsidR="005B1214" w:rsidRPr="003F038B" w:rsidRDefault="00B5510F" w:rsidP="00250493">
      <w:pPr>
        <w:pStyle w:val="ListBullet"/>
      </w:pPr>
      <w:r>
        <w:lastRenderedPageBreak/>
        <w:t>m</w:t>
      </w:r>
      <w:r w:rsidR="009F09AE" w:rsidRPr="003F038B">
        <w:t>anaging risk of wildlife strikes in the vicinity of airports</w:t>
      </w:r>
    </w:p>
    <w:p w:rsidR="005B1214" w:rsidRPr="003F038B" w:rsidRDefault="00B5510F" w:rsidP="00250493">
      <w:pPr>
        <w:pStyle w:val="ListBullet"/>
      </w:pPr>
      <w:r>
        <w:t>m</w:t>
      </w:r>
      <w:r w:rsidR="009F09AE" w:rsidRPr="003F038B">
        <w:t>anaging the risk of wind turbines as physical obstacles to air navigation</w:t>
      </w:r>
    </w:p>
    <w:p w:rsidR="005B1214" w:rsidRPr="003F038B" w:rsidRDefault="00B5510F" w:rsidP="00250493">
      <w:pPr>
        <w:pStyle w:val="ListBullet"/>
      </w:pPr>
      <w:r>
        <w:t>m</w:t>
      </w:r>
      <w:r w:rsidR="009F09AE" w:rsidRPr="003F038B">
        <w:t>anaging the risk of intrusions into the protected airspace of airports</w:t>
      </w:r>
    </w:p>
    <w:p w:rsidR="005B1214" w:rsidRPr="003F038B" w:rsidRDefault="00B5510F" w:rsidP="00250493">
      <w:pPr>
        <w:pStyle w:val="ListBullet"/>
      </w:pPr>
      <w:r>
        <w:t xml:space="preserve">a </w:t>
      </w:r>
      <w:r w:rsidR="009F09AE" w:rsidRPr="003F038B">
        <w:t xml:space="preserve">national land use planning framework </w:t>
      </w:r>
      <w:r>
        <w:t xml:space="preserve">to </w:t>
      </w:r>
      <w:r w:rsidR="009F09AE" w:rsidRPr="003F038B">
        <w:t>ensure future airport operations and their economic viability are not constrained by incompatible residential development.</w:t>
      </w:r>
    </w:p>
    <w:p w:rsidR="005B1214" w:rsidRPr="008F1881" w:rsidRDefault="005B1214" w:rsidP="00250493">
      <w:pPr>
        <w:pStyle w:val="bt"/>
      </w:pPr>
      <w:r w:rsidRPr="008F1881">
        <w:t xml:space="preserve">Each </w:t>
      </w:r>
      <w:r w:rsidR="00FF7845">
        <w:t>s</w:t>
      </w:r>
      <w:r w:rsidR="00D815C1">
        <w:t>tate government</w:t>
      </w:r>
      <w:r w:rsidRPr="008F1881">
        <w:t xml:space="preserve"> </w:t>
      </w:r>
      <w:r w:rsidR="00B5510F">
        <w:t xml:space="preserve">will </w:t>
      </w:r>
      <w:r w:rsidRPr="008F1881">
        <w:t xml:space="preserve">implement the framework into </w:t>
      </w:r>
      <w:r w:rsidR="00D51DD8">
        <w:t>its</w:t>
      </w:r>
      <w:r w:rsidR="00D51DD8" w:rsidRPr="008F1881">
        <w:t xml:space="preserve"> </w:t>
      </w:r>
      <w:r w:rsidRPr="008F1881">
        <w:t>respective planning system.</w:t>
      </w:r>
    </w:p>
    <w:p w:rsidR="008F1881" w:rsidRPr="005B01F7" w:rsidRDefault="009F09AE" w:rsidP="00703973">
      <w:pPr>
        <w:pStyle w:val="Heading3"/>
        <w:spacing w:before="240"/>
      </w:pPr>
      <w:r w:rsidRPr="005B01F7">
        <w:t xml:space="preserve">Land </w:t>
      </w:r>
      <w:r w:rsidR="00661931" w:rsidRPr="005B01F7">
        <w:t>use planning response</w:t>
      </w:r>
    </w:p>
    <w:p w:rsidR="00C628F1" w:rsidRPr="008F1881" w:rsidRDefault="009334AC" w:rsidP="00250493">
      <w:pPr>
        <w:pStyle w:val="bt"/>
      </w:pPr>
      <w:r w:rsidRPr="008F1881">
        <w:t>Land use planning and transport planning need to be closely integrated to achieve desired outcomes in sustainability</w:t>
      </w:r>
      <w:r w:rsidR="00365DE5">
        <w:t xml:space="preserve"> and </w:t>
      </w:r>
      <w:r w:rsidRPr="008F1881">
        <w:t>accessibility</w:t>
      </w:r>
      <w:r w:rsidR="00365DE5">
        <w:t>,</w:t>
      </w:r>
      <w:r w:rsidRPr="008F1881">
        <w:t xml:space="preserve"> and </w:t>
      </w:r>
      <w:r w:rsidR="00365DE5">
        <w:t xml:space="preserve">to </w:t>
      </w:r>
      <w:r w:rsidRPr="008F1881">
        <w:t xml:space="preserve">make </w:t>
      </w:r>
      <w:r w:rsidR="00365DE5">
        <w:t xml:space="preserve">the </w:t>
      </w:r>
      <w:r w:rsidRPr="008F1881">
        <w:t xml:space="preserve">best use of infrastructure investment. The </w:t>
      </w:r>
      <w:r w:rsidR="00F37D25">
        <w:t>plan</w:t>
      </w:r>
      <w:r w:rsidRPr="008F1881">
        <w:t xml:space="preserve"> identifies the critical role of transport infrastructure in facilitating economic growth</w:t>
      </w:r>
      <w:r w:rsidR="00812548" w:rsidRPr="008F1881">
        <w:t xml:space="preserve"> and identifies key transport infrastructure within the region.</w:t>
      </w:r>
      <w:r w:rsidR="00213502">
        <w:t xml:space="preserve"> It recognises the need for transport infrastructure to be aligned with anticipated service demands, having improved connections within and </w:t>
      </w:r>
      <w:r w:rsidR="00A70AFD">
        <w:t>beyond</w:t>
      </w:r>
      <w:r w:rsidR="00213502">
        <w:t xml:space="preserve"> the region. </w:t>
      </w:r>
    </w:p>
    <w:p w:rsidR="009334AC" w:rsidRPr="008F1881" w:rsidRDefault="00C628F1" w:rsidP="00250493">
      <w:pPr>
        <w:pStyle w:val="bt"/>
      </w:pPr>
      <w:r w:rsidRPr="008F1881">
        <w:t xml:space="preserve">The </w:t>
      </w:r>
      <w:r w:rsidR="00F37D25">
        <w:t>plan</w:t>
      </w:r>
      <w:r w:rsidRPr="008F1881">
        <w:t xml:space="preserve"> also identifies how each of the identified future directions link to the objectives of the </w:t>
      </w:r>
      <w:r w:rsidR="009F09AE" w:rsidRPr="00227110">
        <w:t>Central Highlands Regional Transport Strategy</w:t>
      </w:r>
      <w:r w:rsidRPr="008F1881">
        <w:t>.</w:t>
      </w:r>
    </w:p>
    <w:p w:rsidR="008F1881" w:rsidRPr="005B01F7" w:rsidRDefault="00B055FA" w:rsidP="00EC7BC8">
      <w:pPr>
        <w:pStyle w:val="Heading2"/>
        <w:spacing w:before="240" w:after="120"/>
      </w:pPr>
      <w:bookmarkStart w:id="202" w:name="_Toc349557716"/>
      <w:bookmarkStart w:id="203" w:name="_Toc374527614"/>
      <w:r w:rsidRPr="005B01F7">
        <w:t xml:space="preserve">Freight </w:t>
      </w:r>
      <w:bookmarkEnd w:id="202"/>
      <w:r w:rsidR="00661931" w:rsidRPr="005B01F7">
        <w:t>transport</w:t>
      </w:r>
      <w:bookmarkEnd w:id="203"/>
    </w:p>
    <w:p w:rsidR="008F1881" w:rsidRPr="005B01F7" w:rsidRDefault="009F09AE" w:rsidP="00EC7BC8">
      <w:pPr>
        <w:pStyle w:val="Heading3"/>
        <w:spacing w:before="120"/>
      </w:pPr>
      <w:r w:rsidRPr="005B01F7">
        <w:t xml:space="preserve">Description and </w:t>
      </w:r>
      <w:r w:rsidR="00661931" w:rsidRPr="005B01F7">
        <w:t>analysis</w:t>
      </w:r>
    </w:p>
    <w:p w:rsidR="0077668B" w:rsidRPr="008F1881" w:rsidRDefault="0077668B" w:rsidP="0077668B">
      <w:pPr>
        <w:pStyle w:val="bt"/>
      </w:pPr>
      <w:r w:rsidRPr="008F1881">
        <w:t xml:space="preserve">The </w:t>
      </w:r>
      <w:r>
        <w:t>state government</w:t>
      </w:r>
      <w:r w:rsidRPr="008F1881">
        <w:t xml:space="preserve"> </w:t>
      </w:r>
      <w:r>
        <w:t xml:space="preserve">has prepared Victoria – The Freight State, the Victorian Freight and Logistics Plan </w:t>
      </w:r>
      <w:r w:rsidRPr="008F1881">
        <w:t xml:space="preserve">which </w:t>
      </w:r>
      <w:r>
        <w:t>is</w:t>
      </w:r>
      <w:r w:rsidRPr="008F1881">
        <w:t xml:space="preserve"> closely coordinated with the regional growth plans. The </w:t>
      </w:r>
      <w:r>
        <w:t xml:space="preserve">freight </w:t>
      </w:r>
      <w:r w:rsidRPr="008F1881">
        <w:t>plan examine</w:t>
      </w:r>
      <w:r>
        <w:t>s</w:t>
      </w:r>
      <w:r w:rsidRPr="008F1881">
        <w:t xml:space="preserve"> long</w:t>
      </w:r>
      <w:r>
        <w:t>-</w:t>
      </w:r>
      <w:r w:rsidRPr="008F1881">
        <w:t xml:space="preserve">term freight forecasts for Victoria up to the year 2050 and </w:t>
      </w:r>
      <w:r>
        <w:t>has used</w:t>
      </w:r>
      <w:r w:rsidRPr="008F1881">
        <w:t xml:space="preserve"> these forecasts to create and model a wide range of freight network scenarios that </w:t>
      </w:r>
      <w:r>
        <w:t xml:space="preserve">will </w:t>
      </w:r>
      <w:r w:rsidRPr="008F1881">
        <w:t>inform decision</w:t>
      </w:r>
      <w:r>
        <w:t>-</w:t>
      </w:r>
      <w:r w:rsidRPr="008F1881">
        <w:t xml:space="preserve">making for future projects and initiatives. The </w:t>
      </w:r>
      <w:r>
        <w:t xml:space="preserve">freight </w:t>
      </w:r>
      <w:r w:rsidRPr="008F1881">
        <w:t>plan encompass</w:t>
      </w:r>
      <w:r>
        <w:t>es</w:t>
      </w:r>
      <w:r w:rsidRPr="008F1881">
        <w:t xml:space="preserve"> previous</w:t>
      </w:r>
      <w:r w:rsidR="00CE65EF">
        <w:t>ly</w:t>
      </w:r>
      <w:r w:rsidRPr="008F1881">
        <w:t xml:space="preserve"> develop</w:t>
      </w:r>
      <w:r>
        <w:t>ed</w:t>
      </w:r>
      <w:r w:rsidRPr="008F1881">
        <w:t xml:space="preserve"> policy such as the </w:t>
      </w:r>
      <w:r w:rsidRPr="00227110">
        <w:t>Transport Solutions Framework</w:t>
      </w:r>
      <w:r w:rsidRPr="008F1881">
        <w:t xml:space="preserve"> and </w:t>
      </w:r>
      <w:r w:rsidRPr="00AD7504">
        <w:t>Growing Freight on Rail</w:t>
      </w:r>
      <w:r w:rsidRPr="008F1881">
        <w:t xml:space="preserve">. The </w:t>
      </w:r>
      <w:r w:rsidRPr="00227110">
        <w:t>Victorian Freight and Logistics Plan</w:t>
      </w:r>
      <w:r w:rsidRPr="008F1881">
        <w:t xml:space="preserve"> </w:t>
      </w:r>
      <w:r w:rsidRPr="008F1881">
        <w:rPr>
          <w:rFonts w:cs="Tahoma"/>
        </w:rPr>
        <w:t>provide</w:t>
      </w:r>
      <w:r>
        <w:rPr>
          <w:rFonts w:cs="Tahoma"/>
        </w:rPr>
        <w:t>s</w:t>
      </w:r>
      <w:r w:rsidRPr="008F1881">
        <w:rPr>
          <w:rFonts w:cs="Tahoma"/>
        </w:rPr>
        <w:t xml:space="preserve"> important support for regional producers and industry.</w:t>
      </w:r>
    </w:p>
    <w:p w:rsidR="00EC7BC8" w:rsidRDefault="00B055FA" w:rsidP="00EC7BC8">
      <w:pPr>
        <w:pStyle w:val="bt"/>
        <w:rPr>
          <w:rFonts w:cs="Tahoma"/>
          <w:szCs w:val="20"/>
        </w:rPr>
      </w:pPr>
      <w:r w:rsidRPr="008F1881">
        <w:rPr>
          <w:rFonts w:cs="Tahoma"/>
          <w:szCs w:val="20"/>
        </w:rPr>
        <w:t xml:space="preserve">The export of timber and livestock via the ports of Geelong and Portland ensures these are key destinations for produce from the region. The Central Victoria Livestock Exchange in Ballarat is a significant attractor of livestock from within and beyond the Central Highlands </w:t>
      </w:r>
      <w:r w:rsidR="001B7961">
        <w:rPr>
          <w:rFonts w:cs="Tahoma"/>
          <w:szCs w:val="20"/>
        </w:rPr>
        <w:t>r</w:t>
      </w:r>
      <w:r w:rsidRPr="008F1881">
        <w:rPr>
          <w:rFonts w:cs="Tahoma"/>
          <w:szCs w:val="20"/>
        </w:rPr>
        <w:t>egion. The movement of livestock to these saleyards and then onto abattoirs and farms within the region and to ports at Geelong and Portland for export is a significant freight transport task. The extractive industries to the north of Bacchus Marsh and landfill operations in the vicinity of Bacchus Marsh also generate significant heavy vehicle movements.</w:t>
      </w:r>
    </w:p>
    <w:p w:rsidR="00B055FA" w:rsidRPr="008F1881" w:rsidRDefault="00B055FA" w:rsidP="00250493">
      <w:pPr>
        <w:pStyle w:val="bt"/>
        <w:rPr>
          <w:rFonts w:cs="Tahoma"/>
          <w:szCs w:val="20"/>
        </w:rPr>
      </w:pPr>
      <w:r w:rsidRPr="008F1881">
        <w:rPr>
          <w:rFonts w:cs="Tahoma"/>
          <w:szCs w:val="20"/>
        </w:rPr>
        <w:t>The main road links are via the Western Highway and Freeway to and from Melbourne, with this road forming part of the National Land Transport Network between Melbourne and Adelaide</w:t>
      </w:r>
      <w:r w:rsidR="002C102C" w:rsidRPr="008F1881">
        <w:rPr>
          <w:rFonts w:cs="Tahoma"/>
          <w:szCs w:val="20"/>
        </w:rPr>
        <w:t xml:space="preserve"> </w:t>
      </w:r>
      <w:r w:rsidR="000A44A6">
        <w:rPr>
          <w:rFonts w:cs="Tahoma"/>
          <w:szCs w:val="20"/>
        </w:rPr>
        <w:t>(refer to</w:t>
      </w:r>
      <w:r w:rsidR="002C102C" w:rsidRPr="008F1881">
        <w:rPr>
          <w:rFonts w:cs="Tahoma"/>
          <w:szCs w:val="20"/>
        </w:rPr>
        <w:t xml:space="preserve"> </w:t>
      </w:r>
      <w:r w:rsidR="00631B16">
        <w:fldChar w:fldCharType="begin"/>
      </w:r>
      <w:r w:rsidR="00631B16">
        <w:instrText xml:space="preserve"> REF _Ref349224812 \h  \* MERGEFORMAT </w:instrText>
      </w:r>
      <w:r w:rsidR="00631B16">
        <w:fldChar w:fldCharType="separate"/>
      </w:r>
      <w:r w:rsidR="00907B42" w:rsidRPr="00C80C40">
        <w:t xml:space="preserve">Figure </w:t>
      </w:r>
      <w:r w:rsidR="00907B42">
        <w:rPr>
          <w:noProof/>
        </w:rPr>
        <w:t>34</w:t>
      </w:r>
      <w:r w:rsidR="00631B16">
        <w:fldChar w:fldCharType="end"/>
      </w:r>
      <w:r w:rsidR="002C102C" w:rsidRPr="008F1881">
        <w:rPr>
          <w:rFonts w:cs="Tahoma"/>
          <w:szCs w:val="20"/>
        </w:rPr>
        <w:t>)</w:t>
      </w:r>
      <w:r w:rsidRPr="008F1881">
        <w:rPr>
          <w:rFonts w:cs="Tahoma"/>
          <w:szCs w:val="20"/>
        </w:rPr>
        <w:t xml:space="preserve">. The Western Highway was also recognised as a component of </w:t>
      </w:r>
      <w:r w:rsidR="00CE65EF">
        <w:rPr>
          <w:rFonts w:cs="Tahoma"/>
          <w:szCs w:val="20"/>
        </w:rPr>
        <w:t>the</w:t>
      </w:r>
      <w:r w:rsidRPr="008F1881">
        <w:rPr>
          <w:rFonts w:cs="Tahoma"/>
          <w:szCs w:val="20"/>
        </w:rPr>
        <w:t xml:space="preserve"> Principal Freight Network.</w:t>
      </w:r>
      <w:r w:rsidRPr="008F1881">
        <w:rPr>
          <w:rFonts w:cs="Tahoma"/>
          <w:b/>
          <w:bCs/>
          <w:color w:val="000000"/>
          <w:szCs w:val="20"/>
        </w:rPr>
        <w:t xml:space="preserve"> </w:t>
      </w:r>
      <w:r w:rsidRPr="008F1881">
        <w:rPr>
          <w:rFonts w:cs="Tahoma"/>
          <w:szCs w:val="20"/>
        </w:rPr>
        <w:t xml:space="preserve">This highway connection is proposed to be further enhanced by </w:t>
      </w:r>
      <w:r w:rsidR="001D260A" w:rsidRPr="008F1881">
        <w:rPr>
          <w:rFonts w:cs="Tahoma"/>
          <w:szCs w:val="20"/>
        </w:rPr>
        <w:t>the</w:t>
      </w:r>
      <w:r w:rsidRPr="008F1881">
        <w:rPr>
          <w:rFonts w:cs="Tahoma"/>
          <w:szCs w:val="20"/>
        </w:rPr>
        <w:t xml:space="preserve"> duplication project which is underway. </w:t>
      </w:r>
    </w:p>
    <w:p w:rsidR="00B055FA" w:rsidRPr="00C80C40" w:rsidRDefault="00CB41DC" w:rsidP="00C80C40">
      <w:pPr>
        <w:pStyle w:val="Caption"/>
      </w:pPr>
      <w:bookmarkStart w:id="204" w:name="_Ref349224812"/>
      <w:r>
        <w:rPr>
          <w:noProof/>
        </w:rPr>
        <w:lastRenderedPageBreak/>
        <w:drawing>
          <wp:anchor distT="0" distB="0" distL="114300" distR="114300" simplePos="0" relativeHeight="251703296" behindDoc="0" locked="0" layoutInCell="1" allowOverlap="1">
            <wp:simplePos x="0" y="0"/>
            <wp:positionH relativeFrom="column">
              <wp:posOffset>-31750</wp:posOffset>
            </wp:positionH>
            <wp:positionV relativeFrom="paragraph">
              <wp:posOffset>189865</wp:posOffset>
            </wp:positionV>
            <wp:extent cx="6419850" cy="6661785"/>
            <wp:effectExtent l="19050" t="0" r="0" b="0"/>
            <wp:wrapSquare wrapText="bothSides"/>
            <wp:docPr id="8" name="Picture 1" descr="Map showing the Principal freight network – road (with potential future additions). The map shows Victoria and a cut-out of metropolitan Melbourne. The map shows the exisiting Pricipal Freight Network (PFN) for Road) - nationally significant links, roads, interstate road network connections, ports and airports. It also shows potential future additions/up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Principal freight network – road (with potential future additions). The map shows Victoria and a cut-out of metropolitan Melbourne. The map shows the exisiting Pricipal Freight Network (PFN) for Road) - nationally significant links, roads, interstate road network connections, ports and airports. It also shows potential future additions/upgrades."/>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6419850" cy="6661785"/>
                    </a:xfrm>
                    <a:prstGeom prst="rect">
                      <a:avLst/>
                    </a:prstGeom>
                    <a:noFill/>
                    <a:ln>
                      <a:noFill/>
                    </a:ln>
                  </pic:spPr>
                </pic:pic>
              </a:graphicData>
            </a:graphic>
          </wp:anchor>
        </w:drawing>
      </w:r>
      <w:bookmarkStart w:id="205" w:name="_Toc381698034"/>
      <w:r w:rsidR="002C102C" w:rsidRPr="00C80C40">
        <w:t xml:space="preserve">Figure </w:t>
      </w:r>
      <w:r w:rsidR="009F388E">
        <w:fldChar w:fldCharType="begin"/>
      </w:r>
      <w:r w:rsidR="00821C7F">
        <w:instrText xml:space="preserve"> SEQ Figure \* ARABIC </w:instrText>
      </w:r>
      <w:r w:rsidR="009F388E">
        <w:fldChar w:fldCharType="separate"/>
      </w:r>
      <w:r w:rsidR="00907B42">
        <w:rPr>
          <w:noProof/>
        </w:rPr>
        <w:t>34</w:t>
      </w:r>
      <w:r w:rsidR="009F388E">
        <w:fldChar w:fldCharType="end"/>
      </w:r>
      <w:bookmarkEnd w:id="204"/>
      <w:r w:rsidR="00C075D2" w:rsidRPr="00C80C40">
        <w:t>:</w:t>
      </w:r>
      <w:r w:rsidR="00B055FA" w:rsidRPr="00C80C40">
        <w:t xml:space="preserve"> The Principal Freight Network</w:t>
      </w:r>
      <w:r w:rsidR="000939CB">
        <w:t xml:space="preserve"> - Road</w:t>
      </w:r>
      <w:bookmarkEnd w:id="205"/>
    </w:p>
    <w:p w:rsidR="00C820C0" w:rsidRDefault="00A31FBD" w:rsidP="00CB41DC">
      <w:pPr>
        <w:pStyle w:val="Source0"/>
        <w:rPr>
          <w:szCs w:val="20"/>
        </w:rPr>
      </w:pPr>
      <w:r>
        <w:t>S</w:t>
      </w:r>
      <w:r w:rsidR="000939CB">
        <w:t>ource: Victoria The Freight State, Victorian Government</w:t>
      </w:r>
      <w:r>
        <w:t xml:space="preserve"> </w:t>
      </w:r>
      <w:r w:rsidR="000939CB">
        <w:t>(2013</w:t>
      </w:r>
      <w:r w:rsidRPr="008F1881">
        <w:t>)</w:t>
      </w:r>
    </w:p>
    <w:p w:rsidR="000939CB" w:rsidRPr="008F1881" w:rsidRDefault="000939CB" w:rsidP="000939CB">
      <w:pPr>
        <w:pStyle w:val="bt"/>
      </w:pPr>
      <w:r w:rsidRPr="008F1881">
        <w:t>The movement of freight on rail is often more expensive than road freight transport over relatively short distances, such as between Melbourne and Ballarat. A</w:t>
      </w:r>
      <w:r>
        <w:t>nother</w:t>
      </w:r>
      <w:r w:rsidRPr="008F1881">
        <w:t xml:space="preserve"> issue is that railways in the region are split between standard and broad gauge lines. </w:t>
      </w:r>
      <w:r w:rsidR="009F388E">
        <w:fldChar w:fldCharType="begin"/>
      </w:r>
      <w:r>
        <w:instrText xml:space="preserve"> REF _Ref365366845 \h </w:instrText>
      </w:r>
      <w:r w:rsidR="009F388E">
        <w:fldChar w:fldCharType="separate"/>
      </w:r>
      <w:r w:rsidR="00907B42">
        <w:t xml:space="preserve">Figure </w:t>
      </w:r>
      <w:r w:rsidR="00907B42">
        <w:rPr>
          <w:noProof/>
        </w:rPr>
        <w:t>35</w:t>
      </w:r>
      <w:r w:rsidR="009F388E">
        <w:fldChar w:fldCharType="end"/>
      </w:r>
      <w:r>
        <w:t xml:space="preserve"> shows Victoria’s rail freight network and opportunities for upgrades and additions.</w:t>
      </w:r>
    </w:p>
    <w:p w:rsidR="000939CB" w:rsidRDefault="00CB41DC" w:rsidP="000939CB">
      <w:pPr>
        <w:pStyle w:val="Caption"/>
      </w:pPr>
      <w:bookmarkStart w:id="206" w:name="_Ref365366845"/>
      <w:r>
        <w:rPr>
          <w:noProof/>
        </w:rPr>
        <w:lastRenderedPageBreak/>
        <w:drawing>
          <wp:anchor distT="0" distB="0" distL="114300" distR="114300" simplePos="0" relativeHeight="251704320" behindDoc="0" locked="0" layoutInCell="1" allowOverlap="1">
            <wp:simplePos x="0" y="0"/>
            <wp:positionH relativeFrom="column">
              <wp:posOffset>-31750</wp:posOffset>
            </wp:positionH>
            <wp:positionV relativeFrom="paragraph">
              <wp:posOffset>189865</wp:posOffset>
            </wp:positionV>
            <wp:extent cx="6419850" cy="6678295"/>
            <wp:effectExtent l="19050" t="0" r="0" b="0"/>
            <wp:wrapSquare wrapText="bothSides"/>
            <wp:docPr id="9" name="Picture 2" descr="Map showing the principal freight network – rail (with potential future additions). The map shows Victorian and a cut-out shows metropolitan Melbourne. The map shows exisiting Pricipal Freight Network (PFN) for rail and potential future PFN additions and upgrades such as standard/dual gauge, broad gauge and intermodal termin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e principal freight network – rail (with potential future additions). The image shows Victorian and a cut-out shows metropolitan Melbourne. The map shows exisiting Pricipal Freight Network (PFN) for rail and potential future PFN additions and upgrades such as standard/dual gauge, broad gauge and intermodal terminals.&#10;"/>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6419850" cy="6678295"/>
                    </a:xfrm>
                    <a:prstGeom prst="rect">
                      <a:avLst/>
                    </a:prstGeom>
                    <a:noFill/>
                    <a:ln>
                      <a:noFill/>
                    </a:ln>
                  </pic:spPr>
                </pic:pic>
              </a:graphicData>
            </a:graphic>
          </wp:anchor>
        </w:drawing>
      </w:r>
      <w:bookmarkStart w:id="207" w:name="_Toc381698035"/>
      <w:r w:rsidR="000939CB">
        <w:t xml:space="preserve">Figure </w:t>
      </w:r>
      <w:r w:rsidR="009F388E">
        <w:fldChar w:fldCharType="begin"/>
      </w:r>
      <w:r w:rsidR="00821C7F">
        <w:instrText xml:space="preserve"> SEQ Figure \* ARABIC </w:instrText>
      </w:r>
      <w:r w:rsidR="009F388E">
        <w:fldChar w:fldCharType="separate"/>
      </w:r>
      <w:r w:rsidR="00907B42">
        <w:rPr>
          <w:noProof/>
        </w:rPr>
        <w:t>35</w:t>
      </w:r>
      <w:r w:rsidR="009F388E">
        <w:fldChar w:fldCharType="end"/>
      </w:r>
      <w:bookmarkEnd w:id="206"/>
      <w:r w:rsidR="000939CB">
        <w:t>: The Principal Freight Network - Railways</w:t>
      </w:r>
      <w:bookmarkEnd w:id="207"/>
    </w:p>
    <w:p w:rsidR="000939CB" w:rsidRDefault="000939CB" w:rsidP="00CB41DC">
      <w:pPr>
        <w:pStyle w:val="Source0"/>
        <w:rPr>
          <w:szCs w:val="20"/>
        </w:rPr>
      </w:pPr>
      <w:r>
        <w:t>Source: Victoria The Freight State, Victorian Government (2013</w:t>
      </w:r>
      <w:r w:rsidRPr="008F1881">
        <w:t>)</w:t>
      </w:r>
    </w:p>
    <w:p w:rsidR="00B055FA" w:rsidRPr="008F1881" w:rsidRDefault="00B055FA" w:rsidP="00A31FBD">
      <w:pPr>
        <w:pStyle w:val="bt"/>
      </w:pPr>
      <w:r w:rsidRPr="008F1881">
        <w:t>For Ballarat</w:t>
      </w:r>
      <w:r w:rsidR="003C0BCA">
        <w:t>,</w:t>
      </w:r>
      <w:r w:rsidRPr="008F1881">
        <w:t xml:space="preserve"> the imperative is </w:t>
      </w:r>
      <w:r w:rsidR="003C0BCA">
        <w:t xml:space="preserve">to </w:t>
      </w:r>
      <w:r w:rsidRPr="008F1881">
        <w:t>ensur</w:t>
      </w:r>
      <w:r w:rsidR="003C0BCA">
        <w:t>e</w:t>
      </w:r>
      <w:r w:rsidRPr="008F1881">
        <w:t xml:space="preserve"> access to Melbourne via the Western Freeway is as effective and efficient into the future as it can be. The Western Freeway and Highway is where the majority of heavy vehicle movements take place</w:t>
      </w:r>
      <w:r w:rsidR="00122182">
        <w:t>,</w:t>
      </w:r>
      <w:r w:rsidRPr="008F1881">
        <w:t xml:space="preserve"> carrying around 1500 to 2000 vehicles per day. </w:t>
      </w:r>
      <w:r w:rsidR="003C0BCA">
        <w:t xml:space="preserve">Although </w:t>
      </w:r>
      <w:r w:rsidRPr="008F1881">
        <w:t>the quality of the freeway to the east</w:t>
      </w:r>
      <w:r w:rsidR="003C0BCA">
        <w:t>,</w:t>
      </w:r>
      <w:r w:rsidRPr="008F1881">
        <w:t xml:space="preserve"> and highway to the west</w:t>
      </w:r>
      <w:r w:rsidR="003C0BCA">
        <w:t>,</w:t>
      </w:r>
      <w:r w:rsidRPr="008F1881">
        <w:t xml:space="preserve"> are </w:t>
      </w:r>
      <w:r w:rsidR="003C0BCA">
        <w:t xml:space="preserve">currently </w:t>
      </w:r>
      <w:r w:rsidRPr="008F1881">
        <w:t>fit</w:t>
      </w:r>
      <w:r w:rsidR="003C0BCA">
        <w:t>-</w:t>
      </w:r>
      <w:r w:rsidRPr="008F1881">
        <w:t>for</w:t>
      </w:r>
      <w:r w:rsidR="003C0BCA">
        <w:t>-</w:t>
      </w:r>
      <w:r w:rsidRPr="008F1881">
        <w:t>purpose</w:t>
      </w:r>
      <w:r w:rsidR="003C0BCA">
        <w:t xml:space="preserve">, this will </w:t>
      </w:r>
      <w:r w:rsidRPr="008F1881">
        <w:t>need to be assured</w:t>
      </w:r>
      <w:r w:rsidR="003C0BCA">
        <w:t xml:space="preserve"> into the future</w:t>
      </w:r>
      <w:r w:rsidRPr="008F1881">
        <w:t>.</w:t>
      </w:r>
    </w:p>
    <w:p w:rsidR="00FF7845" w:rsidRDefault="00B055FA" w:rsidP="00F95347">
      <w:pPr>
        <w:pStyle w:val="bt"/>
      </w:pPr>
      <w:r w:rsidRPr="008F1881">
        <w:t xml:space="preserve">Road links to the ports </w:t>
      </w:r>
      <w:r w:rsidR="003C0BCA">
        <w:t xml:space="preserve">of </w:t>
      </w:r>
      <w:r w:rsidRPr="008F1881">
        <w:t xml:space="preserve">Geelong and Portland are good and there is capacity on the network into the future. Centres such as Bacchus Marsh, which grow fruits and vegetables and has </w:t>
      </w:r>
      <w:r w:rsidR="003C0BCA">
        <w:t>s</w:t>
      </w:r>
      <w:r w:rsidRPr="008F1881">
        <w:t xml:space="preserve">tate significant sand and stone quarries, require road transport to send their produce and resources quickly to market. The impact of truck movements associated with carrying produce and quarried materials is significant on the local road network and leads to an increased maintenance demand for local councils. </w:t>
      </w:r>
    </w:p>
    <w:p w:rsidR="00EC7BC8" w:rsidRDefault="00B055FA" w:rsidP="00F95347">
      <w:pPr>
        <w:pStyle w:val="bt"/>
      </w:pPr>
      <w:r w:rsidRPr="008F1881">
        <w:lastRenderedPageBreak/>
        <w:t>However</w:t>
      </w:r>
      <w:r w:rsidR="003C0BCA">
        <w:t>,</w:t>
      </w:r>
      <w:r w:rsidRPr="008F1881">
        <w:t xml:space="preserve"> it is important to ensure these roads are well maintained as they form part of the freight network which supports a staple for the local economy. Equally</w:t>
      </w:r>
      <w:r w:rsidR="00EC5775">
        <w:t>,</w:t>
      </w:r>
      <w:r w:rsidRPr="008F1881">
        <w:t xml:space="preserve"> conflict between the agricultural base and a growing </w:t>
      </w:r>
      <w:r w:rsidR="003C0BCA">
        <w:t xml:space="preserve">residential </w:t>
      </w:r>
      <w:r w:rsidRPr="008F1881">
        <w:t>community may occur into the future</w:t>
      </w:r>
      <w:r w:rsidR="003C0BCA">
        <w:t>. A</w:t>
      </w:r>
      <w:r w:rsidRPr="008F1881">
        <w:t xml:space="preserve">s the area develops and grows there is </w:t>
      </w:r>
      <w:r w:rsidR="003C0BCA">
        <w:t xml:space="preserve">likely to be more </w:t>
      </w:r>
      <w:r w:rsidRPr="008F1881">
        <w:t xml:space="preserve">competition for access to the road network and issues around amenity. This is </w:t>
      </w:r>
      <w:r w:rsidR="003C0BCA">
        <w:t xml:space="preserve">already </w:t>
      </w:r>
      <w:r w:rsidRPr="008F1881">
        <w:t xml:space="preserve">being seen in places like Bacchus Marsh, Beaufort and Ararat. </w:t>
      </w:r>
      <w:r w:rsidR="003C0BCA">
        <w:t>B</w:t>
      </w:r>
      <w:r w:rsidRPr="008F1881">
        <w:t>alanc</w:t>
      </w:r>
      <w:r w:rsidR="003C0BCA">
        <w:t xml:space="preserve">ing these needs </w:t>
      </w:r>
      <w:r w:rsidR="00235480">
        <w:t xml:space="preserve">will be important </w:t>
      </w:r>
      <w:r w:rsidRPr="008F1881">
        <w:t>to ensure the local economy does not suffer.</w:t>
      </w:r>
    </w:p>
    <w:p w:rsidR="00FF7845" w:rsidRDefault="00B055FA" w:rsidP="00A31FBD">
      <w:pPr>
        <w:pStyle w:val="bt"/>
      </w:pPr>
      <w:r w:rsidRPr="008F1881">
        <w:t>Freight is also carried around the region and may go through Ballarat</w:t>
      </w:r>
      <w:r w:rsidR="002C102C" w:rsidRPr="008F1881">
        <w:t>, as shown in</w:t>
      </w:r>
      <w:r w:rsidR="00F407F3">
        <w:t xml:space="preserve"> </w:t>
      </w:r>
      <w:r w:rsidR="009F388E">
        <w:fldChar w:fldCharType="begin"/>
      </w:r>
      <w:r w:rsidR="00F407F3">
        <w:instrText xml:space="preserve"> REF _Ref365990418 \h </w:instrText>
      </w:r>
      <w:r w:rsidR="009F388E">
        <w:fldChar w:fldCharType="separate"/>
      </w:r>
      <w:r w:rsidR="00907B42" w:rsidRPr="00C80C40">
        <w:t xml:space="preserve">Figure </w:t>
      </w:r>
      <w:r w:rsidR="00907B42">
        <w:rPr>
          <w:noProof/>
        </w:rPr>
        <w:t>36</w:t>
      </w:r>
      <w:r w:rsidR="009F388E">
        <w:fldChar w:fldCharType="end"/>
      </w:r>
      <w:r w:rsidR="00F407F3">
        <w:t>.</w:t>
      </w:r>
      <w:r w:rsidR="002C102C" w:rsidRPr="008F1881">
        <w:t xml:space="preserve"> D</w:t>
      </w:r>
      <w:r w:rsidRPr="008F1881">
        <w:t xml:space="preserve">emand management </w:t>
      </w:r>
      <w:r w:rsidRPr="008D782E">
        <w:t xml:space="preserve">measures may need to be considered in order to reduce conflict between passenger and freight requirements. </w:t>
      </w:r>
      <w:r w:rsidR="008D782E" w:rsidRPr="008D782E">
        <w:t>A long</w:t>
      </w:r>
      <w:r w:rsidR="00235480">
        <w:t>-</w:t>
      </w:r>
      <w:r w:rsidR="008D782E" w:rsidRPr="008D782E">
        <w:t xml:space="preserve">term aspiration is to enhance north-south connectivity, particularly for freight movements. In part this is being implemented through the Ballarat West Link Road between the Western Freeway and Remembrance </w:t>
      </w:r>
      <w:r w:rsidR="008D782E" w:rsidRPr="00A775A3">
        <w:t>Drive.</w:t>
      </w:r>
      <w:r w:rsidR="00A775A3" w:rsidRPr="00A775A3">
        <w:t xml:space="preserve"> </w:t>
      </w:r>
    </w:p>
    <w:p w:rsidR="00B055FA" w:rsidRPr="008F1881" w:rsidRDefault="00A775A3" w:rsidP="00A31FBD">
      <w:pPr>
        <w:pStyle w:val="bt"/>
      </w:pPr>
      <w:r w:rsidRPr="00A775A3">
        <w:t xml:space="preserve">Improved freight access and functioning of the town centre of Bacchus Marsh </w:t>
      </w:r>
      <w:r w:rsidR="00235480">
        <w:t xml:space="preserve">is </w:t>
      </w:r>
      <w:r w:rsidRPr="00A775A3">
        <w:t>also mooted for further investigation.</w:t>
      </w:r>
      <w:r w:rsidR="00B055FA" w:rsidRPr="00A775A3">
        <w:t xml:space="preserve"> This may impact in a positive way by providing quicker access to markets for </w:t>
      </w:r>
      <w:r w:rsidR="00235480">
        <w:t xml:space="preserve">local </w:t>
      </w:r>
      <w:r w:rsidR="00B055FA" w:rsidRPr="00A775A3">
        <w:t xml:space="preserve">commodities </w:t>
      </w:r>
      <w:r w:rsidR="00B055FA" w:rsidRPr="008F1881">
        <w:t>and encourag</w:t>
      </w:r>
      <w:r w:rsidR="00235480">
        <w:t>ing</w:t>
      </w:r>
      <w:r w:rsidR="00B055FA" w:rsidRPr="008F1881">
        <w:t xml:space="preserve"> local employment. However</w:t>
      </w:r>
      <w:r w:rsidR="00235480">
        <w:t>,</w:t>
      </w:r>
      <w:r w:rsidR="00B055FA" w:rsidRPr="008F1881">
        <w:t xml:space="preserve"> bypasses can contribute to a reduction in local economic vibrancy</w:t>
      </w:r>
      <w:r w:rsidR="00D51DD8">
        <w:t>,</w:t>
      </w:r>
      <w:r w:rsidR="00B055FA" w:rsidRPr="008F1881">
        <w:t xml:space="preserve"> </w:t>
      </w:r>
      <w:r w:rsidR="00235480">
        <w:t xml:space="preserve">such as </w:t>
      </w:r>
      <w:r w:rsidR="00B055FA" w:rsidRPr="008F1881">
        <w:t>passing trade</w:t>
      </w:r>
      <w:r w:rsidR="00D51DD8">
        <w:t>,</w:t>
      </w:r>
      <w:r w:rsidR="00B055FA" w:rsidRPr="008F1881">
        <w:t xml:space="preserve"> and so should be carefully considered. In the future there may </w:t>
      </w:r>
      <w:r w:rsidR="00235480">
        <w:t xml:space="preserve">need to </w:t>
      </w:r>
      <w:r w:rsidR="00B055FA" w:rsidRPr="008F1881">
        <w:t>be a balancing act between supporting the local economy, protecting amenity and facilitating the easy movement of goods and people.</w:t>
      </w:r>
    </w:p>
    <w:p w:rsidR="000939CB" w:rsidRPr="005B01F7" w:rsidRDefault="000939CB" w:rsidP="000939CB">
      <w:pPr>
        <w:pStyle w:val="Heading3"/>
        <w:spacing w:before="240"/>
      </w:pPr>
      <w:r w:rsidRPr="005B01F7">
        <w:t>Land use planning response</w:t>
      </w:r>
    </w:p>
    <w:p w:rsidR="000939CB" w:rsidRDefault="000939CB" w:rsidP="000939CB">
      <w:pPr>
        <w:pStyle w:val="bt"/>
      </w:pPr>
      <w:r>
        <w:t>The plan acknowledges that p</w:t>
      </w:r>
      <w:r w:rsidRPr="008F1881">
        <w:t>lanning for employment growth, such as the Ballarat West Employment Zone, needs to be carefully coordinated with freight transport infrastructure planning to ensure required levels of access are achieved.</w:t>
      </w:r>
      <w:r>
        <w:t xml:space="preserve"> It is important that supply chains between producers and markets are made as efficient as possible. </w:t>
      </w:r>
    </w:p>
    <w:p w:rsidR="000939CB" w:rsidRDefault="00CB41DC" w:rsidP="000939CB">
      <w:pPr>
        <w:pStyle w:val="Caption"/>
      </w:pPr>
      <w:bookmarkStart w:id="208" w:name="_Ref349224943"/>
      <w:bookmarkStart w:id="209" w:name="_Ref365990418"/>
      <w:r>
        <w:rPr>
          <w:noProof/>
        </w:rPr>
        <w:lastRenderedPageBreak/>
        <w:drawing>
          <wp:anchor distT="0" distB="0" distL="114300" distR="114300" simplePos="0" relativeHeight="251691008" behindDoc="0" locked="0" layoutInCell="1" allowOverlap="1">
            <wp:simplePos x="0" y="0"/>
            <wp:positionH relativeFrom="column">
              <wp:posOffset>19050</wp:posOffset>
            </wp:positionH>
            <wp:positionV relativeFrom="paragraph">
              <wp:posOffset>298450</wp:posOffset>
            </wp:positionV>
            <wp:extent cx="5403850" cy="6243955"/>
            <wp:effectExtent l="19050" t="19050" r="25400" b="23495"/>
            <wp:wrapTopAndBottom/>
            <wp:docPr id="36" name="Picture 36" descr="Map showing commodities and freight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email"/>
                    <a:srcRect/>
                    <a:stretch/>
                  </pic:blipFill>
                  <pic:spPr bwMode="auto">
                    <a:xfrm>
                      <a:off x="0" y="0"/>
                      <a:ext cx="5403850" cy="624395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bookmarkStart w:id="210" w:name="_Toc381698036"/>
      <w:r w:rsidR="000939CB" w:rsidRPr="00C80C40">
        <w:t xml:space="preserve">Figure </w:t>
      </w:r>
      <w:r w:rsidR="009F388E">
        <w:fldChar w:fldCharType="begin"/>
      </w:r>
      <w:r w:rsidR="00821C7F">
        <w:instrText xml:space="preserve"> SEQ Figure \* ARABIC </w:instrText>
      </w:r>
      <w:r w:rsidR="009F388E">
        <w:fldChar w:fldCharType="separate"/>
      </w:r>
      <w:r w:rsidR="00907B42">
        <w:rPr>
          <w:noProof/>
        </w:rPr>
        <w:t>36</w:t>
      </w:r>
      <w:r w:rsidR="009F388E">
        <w:fldChar w:fldCharType="end"/>
      </w:r>
      <w:bookmarkEnd w:id="208"/>
      <w:bookmarkEnd w:id="209"/>
      <w:r w:rsidR="000939CB" w:rsidRPr="00C80C40">
        <w:t>: Commodities and freight flows</w:t>
      </w:r>
      <w:bookmarkEnd w:id="210"/>
    </w:p>
    <w:p w:rsidR="00C820C0" w:rsidRPr="00397D46" w:rsidRDefault="00A31FBD" w:rsidP="00397D46">
      <w:pPr>
        <w:pStyle w:val="Source0"/>
      </w:pPr>
      <w:r w:rsidRPr="00397D46">
        <w:t xml:space="preserve">Source: </w:t>
      </w:r>
      <w:r w:rsidR="00397D46" w:rsidRPr="00397D46">
        <w:t>Victorian Government submission to Infrastructure Australia 2012</w:t>
      </w:r>
    </w:p>
    <w:p w:rsidR="008F1881" w:rsidRPr="005B01F7" w:rsidRDefault="00B055FA" w:rsidP="005B01F7">
      <w:pPr>
        <w:pStyle w:val="Heading2"/>
      </w:pPr>
      <w:bookmarkStart w:id="211" w:name="_Toc349557717"/>
      <w:bookmarkStart w:id="212" w:name="_Toc374527615"/>
      <w:r w:rsidRPr="005B01F7">
        <w:t xml:space="preserve">Services and </w:t>
      </w:r>
      <w:bookmarkEnd w:id="211"/>
      <w:r w:rsidR="00661931" w:rsidRPr="005B01F7">
        <w:t>infrastructure</w:t>
      </w:r>
      <w:bookmarkEnd w:id="212"/>
    </w:p>
    <w:p w:rsidR="008F1881" w:rsidRPr="005B01F7" w:rsidRDefault="009F09AE" w:rsidP="005B01F7">
      <w:pPr>
        <w:pStyle w:val="Heading3"/>
      </w:pPr>
      <w:r w:rsidRPr="005B01F7">
        <w:t xml:space="preserve">Description and </w:t>
      </w:r>
      <w:r w:rsidR="00661931" w:rsidRPr="005B01F7">
        <w:t>analysis</w:t>
      </w:r>
    </w:p>
    <w:p w:rsidR="00141933" w:rsidRDefault="00D11350" w:rsidP="00A31FBD">
      <w:pPr>
        <w:pStyle w:val="bt"/>
      </w:pPr>
      <w:r w:rsidRPr="008F1881">
        <w:t xml:space="preserve">The </w:t>
      </w:r>
      <w:r w:rsidR="009F09AE" w:rsidRPr="00227110">
        <w:t>Central Highlands Infrastructure Study</w:t>
      </w:r>
      <w:r w:rsidRPr="008F1881">
        <w:t xml:space="preserve"> (PGA, 2013) </w:t>
      </w:r>
      <w:r w:rsidR="00524AE0" w:rsidRPr="008F1881">
        <w:t xml:space="preserve">documents </w:t>
      </w:r>
      <w:r w:rsidRPr="008F1881">
        <w:t xml:space="preserve">infrastructure assets </w:t>
      </w:r>
      <w:r w:rsidR="00524AE0" w:rsidRPr="008F1881">
        <w:t>for 45 settlements within the region. The study identifie</w:t>
      </w:r>
      <w:r w:rsidR="00AB701D" w:rsidRPr="008F1881">
        <w:t>s</w:t>
      </w:r>
      <w:r w:rsidR="00524AE0" w:rsidRPr="008F1881">
        <w:t xml:space="preserve"> the availability of services such as water, sewerage, gas, electricity, telecommunications, solid waste disposal and renewable energy infrastructure</w:t>
      </w:r>
      <w:r w:rsidR="00AB6379">
        <w:t xml:space="preserve">. It outlines </w:t>
      </w:r>
      <w:r w:rsidR="00524AE0" w:rsidRPr="008F1881">
        <w:t xml:space="preserve">the capacity of this infrastructure and </w:t>
      </w:r>
      <w:r w:rsidR="00AB6379">
        <w:t xml:space="preserve">the </w:t>
      </w:r>
      <w:r w:rsidR="00524AE0" w:rsidRPr="008F1881">
        <w:t xml:space="preserve">implications for capacity if growth was to occur. </w:t>
      </w:r>
      <w:r w:rsidR="00AB6379">
        <w:t>Infrastructure o</w:t>
      </w:r>
      <w:r w:rsidR="00524AE0" w:rsidRPr="008F1881">
        <w:t xml:space="preserve">pportunities </w:t>
      </w:r>
      <w:r w:rsidR="00AB6379" w:rsidRPr="008F1881">
        <w:t xml:space="preserve">are also identified </w:t>
      </w:r>
      <w:r w:rsidR="00AB6379">
        <w:t xml:space="preserve">that </w:t>
      </w:r>
      <w:r w:rsidR="00524AE0" w:rsidRPr="008F1881">
        <w:t>could provide the region with a business advantage and assist in settlement</w:t>
      </w:r>
      <w:r w:rsidR="00AB6379">
        <w:t xml:space="preserve"> growth</w:t>
      </w:r>
      <w:r w:rsidR="00524AE0" w:rsidRPr="008F1881">
        <w:t xml:space="preserve">. </w:t>
      </w:r>
      <w:r w:rsidR="00166FE8" w:rsidRPr="008F1881">
        <w:t xml:space="preserve">This </w:t>
      </w:r>
      <w:r w:rsidR="00AB6379">
        <w:t xml:space="preserve">study </w:t>
      </w:r>
      <w:r w:rsidR="00166FE8" w:rsidRPr="008F1881">
        <w:t xml:space="preserve">should be referred to for further information regarding the availability and capacity of services infrastructure within the region. </w:t>
      </w:r>
    </w:p>
    <w:p w:rsidR="008F1881" w:rsidRPr="004A7B07" w:rsidRDefault="009F09AE" w:rsidP="004A7B07">
      <w:pPr>
        <w:pStyle w:val="Heading40"/>
      </w:pPr>
      <w:r w:rsidRPr="004A7B07">
        <w:lastRenderedPageBreak/>
        <w:t xml:space="preserve">Water </w:t>
      </w:r>
      <w:r w:rsidR="00AB6379" w:rsidRPr="004A7B07">
        <w:t>s</w:t>
      </w:r>
      <w:r w:rsidRPr="004A7B07">
        <w:t>uppl</w:t>
      </w:r>
      <w:r w:rsidR="00A31FBD" w:rsidRPr="004A7B07">
        <w:t>y</w:t>
      </w:r>
    </w:p>
    <w:p w:rsidR="007974B0" w:rsidRPr="008F1881" w:rsidRDefault="008352FA" w:rsidP="00A31FBD">
      <w:pPr>
        <w:pStyle w:val="bt"/>
      </w:pPr>
      <w:r w:rsidRPr="008F1881">
        <w:t xml:space="preserve">Victoria has an integrated and adaptive water planning framework, which ensures urban water customers and the broader community have secure supplies of high quality water. These supplies support </w:t>
      </w:r>
      <w:r w:rsidR="000D1746" w:rsidRPr="008F1881">
        <w:t xml:space="preserve">domestic and industry use and other needs </w:t>
      </w:r>
      <w:r w:rsidRPr="008F1881">
        <w:t>such as recreational facilities, parks and gardens.</w:t>
      </w:r>
    </w:p>
    <w:p w:rsidR="008352FA" w:rsidRPr="008F1881" w:rsidRDefault="008352FA" w:rsidP="00A31FBD">
      <w:pPr>
        <w:pStyle w:val="bt"/>
      </w:pPr>
      <w:r w:rsidRPr="008F1881">
        <w:t xml:space="preserve">The </w:t>
      </w:r>
      <w:r w:rsidR="00D815C1">
        <w:t xml:space="preserve">State </w:t>
      </w:r>
      <w:r w:rsidR="00D32B6B">
        <w:t>G</w:t>
      </w:r>
      <w:r w:rsidR="00D815C1">
        <w:t>overnment</w:t>
      </w:r>
      <w:r w:rsidRPr="008F1881">
        <w:t xml:space="preserve">’s </w:t>
      </w:r>
      <w:r w:rsidR="001F619E" w:rsidRPr="00227110">
        <w:t>Living Victoria</w:t>
      </w:r>
      <w:r w:rsidRPr="008F1881">
        <w:t xml:space="preserve"> program was launched in April 2012 and has direct implications for water and urban planning across the </w:t>
      </w:r>
      <w:r w:rsidR="001B7961">
        <w:t>s</w:t>
      </w:r>
      <w:r w:rsidRPr="008F1881">
        <w:t xml:space="preserve">tate. Although the immediate focus of </w:t>
      </w:r>
      <w:r w:rsidR="001F619E" w:rsidRPr="00227110">
        <w:t>Living Victoria</w:t>
      </w:r>
      <w:r w:rsidRPr="008F1881">
        <w:t xml:space="preserve"> is on metropolitan Melbourne, </w:t>
      </w:r>
      <w:r w:rsidR="00AB6379">
        <w:t xml:space="preserve">its </w:t>
      </w:r>
      <w:r w:rsidRPr="008F1881">
        <w:t xml:space="preserve">overarching directions are intended to apply more broadly across the </w:t>
      </w:r>
      <w:r w:rsidR="00D51DD8">
        <w:t>s</w:t>
      </w:r>
      <w:r w:rsidR="00D51DD8" w:rsidRPr="008F1881">
        <w:t xml:space="preserve">tate </w:t>
      </w:r>
      <w:r w:rsidRPr="008F1881">
        <w:t>over time. As this occurs, the plans and strategies produced under this program will gradually supersede and replace existing strategies.</w:t>
      </w:r>
    </w:p>
    <w:p w:rsidR="008352FA" w:rsidRPr="008F1881" w:rsidRDefault="008352FA" w:rsidP="00EC7BC8">
      <w:pPr>
        <w:pStyle w:val="bt"/>
        <w:spacing w:after="120"/>
      </w:pPr>
      <w:r w:rsidRPr="008F1881">
        <w:t xml:space="preserve">The </w:t>
      </w:r>
      <w:r w:rsidR="001F619E" w:rsidRPr="00227110">
        <w:t>Living Victoria</w:t>
      </w:r>
      <w:r w:rsidRPr="008F1881">
        <w:t xml:space="preserve"> program responds to the recognition that:</w:t>
      </w:r>
    </w:p>
    <w:p w:rsidR="008352FA" w:rsidRPr="008F1881" w:rsidRDefault="008352FA" w:rsidP="00A31FBD">
      <w:pPr>
        <w:pStyle w:val="ListBullet"/>
      </w:pPr>
      <w:r w:rsidRPr="008F1881">
        <w:t>water needs to be better integrated into urban landscapes</w:t>
      </w:r>
    </w:p>
    <w:p w:rsidR="008352FA" w:rsidRPr="008F1881" w:rsidRDefault="008352FA" w:rsidP="00A31FBD">
      <w:pPr>
        <w:pStyle w:val="ListBullet"/>
      </w:pPr>
      <w:r w:rsidRPr="008F1881">
        <w:t>the community needs to be better engaged in water planning</w:t>
      </w:r>
    </w:p>
    <w:p w:rsidR="008352FA" w:rsidRPr="008F1881" w:rsidRDefault="008352FA" w:rsidP="00A31FBD">
      <w:pPr>
        <w:pStyle w:val="ListBullet"/>
      </w:pPr>
      <w:r w:rsidRPr="008F1881">
        <w:t>improved evaluation frameworks capable of capturing a broader range of costs and benefits are needed to effectively assess the wide array of options for the provision of urban water services.</w:t>
      </w:r>
    </w:p>
    <w:p w:rsidR="008352FA" w:rsidRDefault="00AB6379" w:rsidP="00A31FBD">
      <w:pPr>
        <w:pStyle w:val="bt"/>
      </w:pPr>
      <w:r>
        <w:t xml:space="preserve">By </w:t>
      </w:r>
      <w:r w:rsidR="008352FA" w:rsidRPr="008F1881">
        <w:t xml:space="preserve">implementing the </w:t>
      </w:r>
      <w:r w:rsidR="001F619E" w:rsidRPr="00227110">
        <w:t>Living Victoria</w:t>
      </w:r>
      <w:r w:rsidR="008352FA" w:rsidRPr="008F1881">
        <w:t xml:space="preserve"> program, the Office of Living Victoria will develop and coordinate new integrated urban and water planning frameworks and develop tools </w:t>
      </w:r>
      <w:r w:rsidR="00D02903">
        <w:t xml:space="preserve">that </w:t>
      </w:r>
      <w:r w:rsidR="008352FA" w:rsidRPr="008F1881">
        <w:t>will apply across the state</w:t>
      </w:r>
      <w:r w:rsidR="00D51DD8">
        <w:t>,</w:t>
      </w:r>
      <w:r w:rsidR="008352FA" w:rsidRPr="008F1881">
        <w:t xml:space="preserve"> such as changes to the Victoria Planning Provisions.</w:t>
      </w:r>
    </w:p>
    <w:p w:rsidR="001B7961" w:rsidRPr="008F1881" w:rsidRDefault="001B7961" w:rsidP="00A31FBD">
      <w:pPr>
        <w:pStyle w:val="bt"/>
      </w:pPr>
      <w:r w:rsidRPr="008F1881">
        <w:t xml:space="preserve">Ballarat is </w:t>
      </w:r>
      <w:r w:rsidR="006B5A7D">
        <w:t xml:space="preserve">also </w:t>
      </w:r>
      <w:r w:rsidRPr="008F1881">
        <w:t>pursuing an integrated water cycle management model via the Living Ballarat project. This seeks to ensure augmentation of the supply is achieved through appropriate use of rainwater, stormwater and recycled water to help manage the impacts of growth and climate change.</w:t>
      </w:r>
    </w:p>
    <w:p w:rsidR="008352FA" w:rsidRPr="008F1881" w:rsidRDefault="008352FA" w:rsidP="00EC7BC8">
      <w:pPr>
        <w:pStyle w:val="bt"/>
        <w:spacing w:after="120"/>
      </w:pPr>
      <w:r w:rsidRPr="008F1881">
        <w:t>At present, the key plans and strategies that guide urban water planning in regional Victoria are:</w:t>
      </w:r>
    </w:p>
    <w:p w:rsidR="008352FA" w:rsidRPr="008F1881" w:rsidRDefault="00D02903" w:rsidP="00A31FBD">
      <w:pPr>
        <w:pStyle w:val="ListBullet"/>
      </w:pPr>
      <w:r>
        <w:t>w</w:t>
      </w:r>
      <w:r w:rsidR="008352FA" w:rsidRPr="008F1881">
        <w:t>ater supply demand strategies</w:t>
      </w:r>
      <w:r w:rsidR="00D51DD8">
        <w:t>,</w:t>
      </w:r>
      <w:r w:rsidR="008352FA" w:rsidRPr="008F1881">
        <w:t xml:space="preserve"> which will be superseded by </w:t>
      </w:r>
      <w:r w:rsidR="00AB701D" w:rsidRPr="008F1881">
        <w:t>i</w:t>
      </w:r>
      <w:r w:rsidR="008352FA" w:rsidRPr="008F1881">
        <w:t xml:space="preserve">ntegrated </w:t>
      </w:r>
      <w:r w:rsidR="00AB701D" w:rsidRPr="008F1881">
        <w:t>w</w:t>
      </w:r>
      <w:r w:rsidR="008352FA" w:rsidRPr="008F1881">
        <w:t xml:space="preserve">ater </w:t>
      </w:r>
      <w:r w:rsidR="00AB701D" w:rsidRPr="008F1881">
        <w:t>c</w:t>
      </w:r>
      <w:r w:rsidR="008352FA" w:rsidRPr="008F1881">
        <w:t xml:space="preserve">ycle </w:t>
      </w:r>
      <w:r w:rsidR="00AB701D" w:rsidRPr="008F1881">
        <w:t>s</w:t>
      </w:r>
      <w:r w:rsidR="008352FA" w:rsidRPr="008F1881">
        <w:t>trategies</w:t>
      </w:r>
    </w:p>
    <w:p w:rsidR="008352FA" w:rsidRPr="008F1881" w:rsidRDefault="00D02903" w:rsidP="00A31FBD">
      <w:pPr>
        <w:pStyle w:val="ListBullet"/>
      </w:pPr>
      <w:r>
        <w:t>r</w:t>
      </w:r>
      <w:r w:rsidR="008352FA" w:rsidRPr="008F1881">
        <w:t>egional sustainable water strategies</w:t>
      </w:r>
    </w:p>
    <w:p w:rsidR="008352FA" w:rsidRPr="008F1881" w:rsidRDefault="00D02903" w:rsidP="00A31FBD">
      <w:pPr>
        <w:pStyle w:val="ListBullet"/>
      </w:pPr>
      <w:r>
        <w:t>d</w:t>
      </w:r>
      <w:r w:rsidR="008352FA" w:rsidRPr="008F1881">
        <w:t xml:space="preserve">rought </w:t>
      </w:r>
      <w:r w:rsidR="00AB701D" w:rsidRPr="008F1881">
        <w:t>r</w:t>
      </w:r>
      <w:r w:rsidR="008352FA" w:rsidRPr="008F1881">
        <w:t xml:space="preserve">esponse </w:t>
      </w:r>
      <w:r w:rsidR="00AB701D" w:rsidRPr="008F1881">
        <w:t>p</w:t>
      </w:r>
      <w:r w:rsidR="008352FA" w:rsidRPr="008F1881">
        <w:t>lans.</w:t>
      </w:r>
    </w:p>
    <w:p w:rsidR="008352FA" w:rsidRPr="008F1881" w:rsidRDefault="008352FA" w:rsidP="00A31FBD">
      <w:pPr>
        <w:pStyle w:val="bt"/>
      </w:pPr>
      <w:r w:rsidRPr="008F1881">
        <w:t>Water supply demand strategies were initially released in 2007. These strategies evaluated future water supply and demand scenarios</w:t>
      </w:r>
      <w:r w:rsidR="00D02903">
        <w:t xml:space="preserve">, </w:t>
      </w:r>
      <w:r w:rsidRPr="008F1881">
        <w:t>including under various climate change scenarios</w:t>
      </w:r>
      <w:r w:rsidR="00D02903">
        <w:t>,</w:t>
      </w:r>
      <w:r w:rsidRPr="008F1881">
        <w:t xml:space="preserve"> and identified the mix of water supply and demand management measures needed to secure safe and reliable town water supplies, with a 50</w:t>
      </w:r>
      <w:r w:rsidR="00D02903">
        <w:t>-</w:t>
      </w:r>
      <w:r w:rsidRPr="008F1881">
        <w:t xml:space="preserve">year outlook. Urban water corporations released updated strategies in early 2012, which included new features to increase their alignment with the </w:t>
      </w:r>
      <w:r w:rsidR="001F619E" w:rsidRPr="00227110">
        <w:t>Living Victoria</w:t>
      </w:r>
      <w:r w:rsidRPr="008F1881">
        <w:t xml:space="preserve"> program including an </w:t>
      </w:r>
      <w:r w:rsidR="001F619E" w:rsidRPr="00227110">
        <w:t>Alternative Water Atlas</w:t>
      </w:r>
      <w:r w:rsidRPr="008F1881">
        <w:t xml:space="preserve"> and an annual </w:t>
      </w:r>
      <w:r w:rsidR="001F619E" w:rsidRPr="00227110">
        <w:t>Water Security Outlook</w:t>
      </w:r>
      <w:r w:rsidRPr="008F1881">
        <w:t>.</w:t>
      </w:r>
    </w:p>
    <w:p w:rsidR="00CB41DC" w:rsidRDefault="008352FA" w:rsidP="00EC7BC8">
      <w:pPr>
        <w:pStyle w:val="bt"/>
        <w:spacing w:after="120"/>
      </w:pPr>
      <w:r w:rsidRPr="008F1881">
        <w:t xml:space="preserve">Based on the </w:t>
      </w:r>
      <w:r w:rsidR="00D51DD8">
        <w:t>water supply demand strategies</w:t>
      </w:r>
      <w:r w:rsidR="00D51DD8" w:rsidRPr="008F1881">
        <w:t xml:space="preserve"> </w:t>
      </w:r>
      <w:r w:rsidRPr="008F1881">
        <w:t xml:space="preserve">across the </w:t>
      </w:r>
      <w:r w:rsidR="005044AE" w:rsidRPr="008F1881">
        <w:t>Central Highlands</w:t>
      </w:r>
      <w:r w:rsidRPr="008F1881">
        <w:t xml:space="preserve">, there is expected to be adequate water supply over most of the region for the next 30 years to meet demand. Some water supply districts may experience a shortage of water based on demand, depending on the </w:t>
      </w:r>
      <w:r w:rsidR="00D02903">
        <w:t xml:space="preserve">emerging </w:t>
      </w:r>
      <w:r w:rsidRPr="008F1881">
        <w:t>impacts of climate change</w:t>
      </w:r>
      <w:r w:rsidR="002C102C" w:rsidRPr="008F1881">
        <w:t xml:space="preserve"> as shown in </w:t>
      </w:r>
      <w:r w:rsidR="00631B16">
        <w:fldChar w:fldCharType="begin"/>
      </w:r>
      <w:r w:rsidR="00631B16">
        <w:instrText xml:space="preserve"> REF _Ref349225062 \h  \* MERGEFORMAT </w:instrText>
      </w:r>
      <w:r w:rsidR="00631B16">
        <w:fldChar w:fldCharType="separate"/>
      </w:r>
      <w:r w:rsidR="00907B42" w:rsidRPr="00CD2959">
        <w:t xml:space="preserve">Figure </w:t>
      </w:r>
      <w:r w:rsidR="00907B42">
        <w:rPr>
          <w:noProof/>
        </w:rPr>
        <w:t>37</w:t>
      </w:r>
      <w:r w:rsidR="00631B16">
        <w:fldChar w:fldCharType="end"/>
      </w:r>
      <w:r w:rsidR="002C102C" w:rsidRPr="008F1881">
        <w:t>.</w:t>
      </w:r>
      <w:r w:rsidRPr="008F1881">
        <w:t xml:space="preserve"> Water corporations have already identified actions to address these potential shortages in supply, through improving efficiency of supply and supplementing supplies</w:t>
      </w:r>
      <w:r w:rsidR="00FF7845">
        <w:t xml:space="preserve">, for </w:t>
      </w:r>
      <w:r w:rsidR="00313C08">
        <w:t>example increasing</w:t>
      </w:r>
      <w:r w:rsidR="00A31FBD">
        <w:t xml:space="preserve"> bulk water supply.</w:t>
      </w:r>
    </w:p>
    <w:p w:rsidR="00CB41DC" w:rsidRDefault="00CB41DC">
      <w:pPr>
        <w:spacing w:after="200" w:line="276" w:lineRule="auto"/>
        <w:jc w:val="left"/>
        <w:rPr>
          <w:rFonts w:ascii="Calibri" w:eastAsiaTheme="minorEastAsia" w:hAnsi="Calibri" w:cstheme="minorBidi"/>
        </w:rPr>
      </w:pPr>
      <w:r>
        <w:br w:type="page"/>
      </w:r>
    </w:p>
    <w:p w:rsidR="008352FA" w:rsidRDefault="002C102C" w:rsidP="00CD2959">
      <w:pPr>
        <w:pStyle w:val="Caption"/>
      </w:pPr>
      <w:bookmarkStart w:id="213" w:name="_Ref349225062"/>
      <w:bookmarkStart w:id="214" w:name="_Ref348356500"/>
      <w:bookmarkStart w:id="215" w:name="_Toc381698037"/>
      <w:r w:rsidRPr="00CD2959">
        <w:lastRenderedPageBreak/>
        <w:t xml:space="preserve">Figure </w:t>
      </w:r>
      <w:r w:rsidR="009F388E">
        <w:fldChar w:fldCharType="begin"/>
      </w:r>
      <w:r w:rsidR="00821C7F">
        <w:instrText xml:space="preserve"> SEQ Figure \* ARABIC </w:instrText>
      </w:r>
      <w:r w:rsidR="009F388E">
        <w:fldChar w:fldCharType="separate"/>
      </w:r>
      <w:r w:rsidR="00907B42">
        <w:rPr>
          <w:noProof/>
        </w:rPr>
        <w:t>37</w:t>
      </w:r>
      <w:r w:rsidR="009F388E">
        <w:fldChar w:fldCharType="end"/>
      </w:r>
      <w:bookmarkEnd w:id="213"/>
      <w:r w:rsidR="001A05CB" w:rsidRPr="00CD2959">
        <w:t>:</w:t>
      </w:r>
      <w:bookmarkEnd w:id="214"/>
      <w:r w:rsidR="003C74C4" w:rsidRPr="00CD2959">
        <w:t xml:space="preserve"> </w:t>
      </w:r>
      <w:r w:rsidR="00BD549B" w:rsidRPr="00BD549B">
        <w:t>Summary of water supply demand strategy outlooks for the Central Highlands region</w:t>
      </w:r>
      <w:bookmarkEnd w:id="215"/>
    </w:p>
    <w:p w:rsidR="007950A6" w:rsidRDefault="007950A6" w:rsidP="007950A6">
      <w:pPr>
        <w:pStyle w:val="bt"/>
        <w:spacing w:after="120"/>
      </w:pPr>
      <w:r w:rsidRPr="008F1881">
        <w:t>Grampians Wimmera Mallee Water</w:t>
      </w:r>
    </w:p>
    <w:p w:rsidR="007950A6" w:rsidRDefault="007950A6" w:rsidP="00D41C22">
      <w:pPr>
        <w:pStyle w:val="bt"/>
        <w:numPr>
          <w:ilvl w:val="0"/>
          <w:numId w:val="42"/>
        </w:numPr>
        <w:spacing w:before="120" w:after="120"/>
        <w:ind w:left="714" w:hanging="357"/>
      </w:pPr>
      <w:r>
        <w:t>Supply system</w:t>
      </w:r>
      <w:r w:rsidR="00D41C22">
        <w:t xml:space="preserve">: </w:t>
      </w:r>
      <w:r w:rsidRPr="008F1881">
        <w:t>Pyrenees and Eastern Grampians Supply System</w:t>
      </w:r>
    </w:p>
    <w:p w:rsidR="007950A6" w:rsidRDefault="007950A6" w:rsidP="00D41C22">
      <w:pPr>
        <w:pStyle w:val="bt"/>
        <w:numPr>
          <w:ilvl w:val="0"/>
          <w:numId w:val="44"/>
        </w:numPr>
        <w:spacing w:before="120" w:after="120"/>
        <w:ind w:left="1134"/>
      </w:pPr>
      <w:r w:rsidRPr="008F1881">
        <w:t>May experience shortages in supply depending on the level of climate change</w:t>
      </w:r>
    </w:p>
    <w:p w:rsidR="007950A6" w:rsidRDefault="007950A6" w:rsidP="00D41C22">
      <w:pPr>
        <w:pStyle w:val="bt"/>
        <w:spacing w:after="120"/>
      </w:pPr>
      <w:r w:rsidRPr="008F1881">
        <w:t>Central Highlands Water</w:t>
      </w:r>
    </w:p>
    <w:p w:rsidR="007950A6" w:rsidRDefault="00D41C22" w:rsidP="007950A6">
      <w:pPr>
        <w:pStyle w:val="bt"/>
        <w:numPr>
          <w:ilvl w:val="0"/>
          <w:numId w:val="42"/>
        </w:numPr>
        <w:spacing w:before="120" w:after="120"/>
        <w:ind w:left="714" w:hanging="357"/>
      </w:pPr>
      <w:r>
        <w:t xml:space="preserve">Supply system: </w:t>
      </w:r>
      <w:r w:rsidR="007950A6" w:rsidRPr="008F1881">
        <w:t xml:space="preserve">Daylesford </w:t>
      </w:r>
    </w:p>
    <w:p w:rsidR="00D41C22" w:rsidRDefault="00D41C22" w:rsidP="00D41C22">
      <w:pPr>
        <w:pStyle w:val="bt"/>
        <w:numPr>
          <w:ilvl w:val="0"/>
          <w:numId w:val="44"/>
        </w:numPr>
        <w:spacing w:before="120" w:after="120"/>
        <w:ind w:left="1134"/>
      </w:pPr>
      <w:r w:rsidRPr="008F1881">
        <w:t>Adequate supply for 30+ years</w:t>
      </w:r>
    </w:p>
    <w:p w:rsidR="007950A6" w:rsidRDefault="00D41C22" w:rsidP="007950A6">
      <w:pPr>
        <w:pStyle w:val="bt"/>
        <w:numPr>
          <w:ilvl w:val="0"/>
          <w:numId w:val="42"/>
        </w:numPr>
        <w:spacing w:before="120" w:after="120"/>
        <w:ind w:left="714" w:hanging="357"/>
      </w:pPr>
      <w:r>
        <w:t xml:space="preserve">Supply system: </w:t>
      </w:r>
      <w:r w:rsidR="007950A6" w:rsidRPr="008F1881">
        <w:t xml:space="preserve">Clunes </w:t>
      </w:r>
    </w:p>
    <w:p w:rsidR="00D41C22" w:rsidRDefault="00D41C22" w:rsidP="00D41C22">
      <w:pPr>
        <w:pStyle w:val="bt"/>
        <w:numPr>
          <w:ilvl w:val="0"/>
          <w:numId w:val="44"/>
        </w:numPr>
        <w:spacing w:before="120" w:after="120"/>
        <w:ind w:left="1134"/>
      </w:pPr>
      <w:r w:rsidRPr="008F1881">
        <w:t>Adequate supply for 50+ years</w:t>
      </w:r>
    </w:p>
    <w:p w:rsidR="007950A6" w:rsidRDefault="00D41C22" w:rsidP="007950A6">
      <w:pPr>
        <w:pStyle w:val="bt"/>
        <w:numPr>
          <w:ilvl w:val="0"/>
          <w:numId w:val="42"/>
        </w:numPr>
        <w:spacing w:before="120" w:after="120"/>
        <w:ind w:left="714" w:hanging="357"/>
      </w:pPr>
      <w:r>
        <w:t xml:space="preserve">Supply system: </w:t>
      </w:r>
      <w:r w:rsidR="007950A6" w:rsidRPr="008F1881">
        <w:t xml:space="preserve">Blackwood </w:t>
      </w:r>
    </w:p>
    <w:p w:rsidR="00D41C22" w:rsidRDefault="00D41C22" w:rsidP="00D41C22">
      <w:pPr>
        <w:pStyle w:val="bt"/>
        <w:numPr>
          <w:ilvl w:val="0"/>
          <w:numId w:val="44"/>
        </w:numPr>
        <w:spacing w:before="120" w:after="120"/>
        <w:ind w:left="1134"/>
      </w:pPr>
      <w:r w:rsidRPr="008F1881">
        <w:t>Adequate supply for 30+ years</w:t>
      </w:r>
    </w:p>
    <w:p w:rsidR="007950A6" w:rsidRDefault="00D41C22" w:rsidP="007950A6">
      <w:pPr>
        <w:pStyle w:val="bt"/>
        <w:numPr>
          <w:ilvl w:val="0"/>
          <w:numId w:val="42"/>
        </w:numPr>
        <w:spacing w:before="120" w:after="120"/>
        <w:ind w:left="714" w:hanging="357"/>
      </w:pPr>
      <w:r>
        <w:t xml:space="preserve">Supply system: </w:t>
      </w:r>
      <w:r w:rsidR="007950A6" w:rsidRPr="008F1881">
        <w:t>Beaufort</w:t>
      </w:r>
    </w:p>
    <w:p w:rsidR="00D41C22" w:rsidRDefault="00D41C22" w:rsidP="00D41C22">
      <w:pPr>
        <w:pStyle w:val="bt"/>
        <w:numPr>
          <w:ilvl w:val="0"/>
          <w:numId w:val="44"/>
        </w:numPr>
        <w:spacing w:before="120" w:after="120"/>
        <w:ind w:left="1134"/>
      </w:pPr>
      <w:r w:rsidRPr="008F1881">
        <w:t>Possible shortage towards the end of the 30 years, depending on climate change</w:t>
      </w:r>
    </w:p>
    <w:p w:rsidR="007950A6" w:rsidRDefault="00D41C22" w:rsidP="007950A6">
      <w:pPr>
        <w:pStyle w:val="bt"/>
        <w:numPr>
          <w:ilvl w:val="0"/>
          <w:numId w:val="42"/>
        </w:numPr>
        <w:spacing w:before="120" w:after="120"/>
        <w:ind w:left="714" w:hanging="357"/>
      </w:pPr>
      <w:r>
        <w:t xml:space="preserve">Supply system: </w:t>
      </w:r>
      <w:r w:rsidR="007950A6" w:rsidRPr="008F1881">
        <w:t>Ballarat and district</w:t>
      </w:r>
    </w:p>
    <w:p w:rsidR="00D41C22" w:rsidRDefault="00D41C22" w:rsidP="00D41C22">
      <w:pPr>
        <w:pStyle w:val="bt"/>
        <w:numPr>
          <w:ilvl w:val="0"/>
          <w:numId w:val="44"/>
        </w:numPr>
        <w:spacing w:before="120" w:after="120"/>
        <w:ind w:left="1134"/>
      </w:pPr>
      <w:r w:rsidRPr="008F1881">
        <w:t>Adequate supply for 30+ years</w:t>
      </w:r>
    </w:p>
    <w:p w:rsidR="007950A6" w:rsidRDefault="00D41C22" w:rsidP="007950A6">
      <w:pPr>
        <w:pStyle w:val="bt"/>
        <w:numPr>
          <w:ilvl w:val="0"/>
          <w:numId w:val="42"/>
        </w:numPr>
        <w:spacing w:before="120" w:after="120"/>
        <w:ind w:left="714" w:hanging="357"/>
      </w:pPr>
      <w:r>
        <w:t xml:space="preserve">Supply system: </w:t>
      </w:r>
      <w:r w:rsidR="007950A6" w:rsidRPr="008F1881">
        <w:t>Avoca</w:t>
      </w:r>
    </w:p>
    <w:p w:rsidR="00D41C22" w:rsidRDefault="00D41C22" w:rsidP="00D41C22">
      <w:pPr>
        <w:pStyle w:val="bt"/>
        <w:numPr>
          <w:ilvl w:val="0"/>
          <w:numId w:val="44"/>
        </w:numPr>
        <w:spacing w:before="120" w:after="120"/>
        <w:ind w:left="1134"/>
      </w:pPr>
      <w:r w:rsidRPr="008F1881">
        <w:t>Adequate supply for 30+ years</w:t>
      </w:r>
    </w:p>
    <w:p w:rsidR="007950A6" w:rsidRDefault="00D41C22" w:rsidP="007950A6">
      <w:pPr>
        <w:pStyle w:val="bt"/>
        <w:numPr>
          <w:ilvl w:val="0"/>
          <w:numId w:val="42"/>
        </w:numPr>
        <w:spacing w:before="120" w:after="120"/>
        <w:ind w:left="714" w:hanging="357"/>
      </w:pPr>
      <w:r>
        <w:t xml:space="preserve">Supply system: </w:t>
      </w:r>
      <w:r w:rsidR="007950A6" w:rsidRPr="008F1881">
        <w:t>Amphitheatre</w:t>
      </w:r>
    </w:p>
    <w:p w:rsidR="00D41C22" w:rsidRDefault="00D41C22" w:rsidP="00D41C22">
      <w:pPr>
        <w:pStyle w:val="bt"/>
        <w:numPr>
          <w:ilvl w:val="0"/>
          <w:numId w:val="44"/>
        </w:numPr>
        <w:spacing w:before="120" w:after="120"/>
        <w:ind w:left="1134"/>
      </w:pPr>
      <w:r w:rsidRPr="008F1881">
        <w:t>Adequate supply for 30+ years</w:t>
      </w:r>
    </w:p>
    <w:p w:rsidR="00D41C22" w:rsidRDefault="00D41C22" w:rsidP="00D41C22">
      <w:pPr>
        <w:pStyle w:val="bt"/>
        <w:spacing w:after="120"/>
      </w:pPr>
      <w:r w:rsidRPr="008F1881">
        <w:t>Western Water</w:t>
      </w:r>
    </w:p>
    <w:p w:rsidR="00D41C22" w:rsidRDefault="00D41C22" w:rsidP="00D41C22">
      <w:pPr>
        <w:pStyle w:val="bt"/>
        <w:numPr>
          <w:ilvl w:val="0"/>
          <w:numId w:val="42"/>
        </w:numPr>
        <w:spacing w:before="120" w:after="120"/>
        <w:ind w:left="714" w:hanging="357"/>
      </w:pPr>
      <w:r>
        <w:t xml:space="preserve">Supply system: </w:t>
      </w:r>
      <w:r w:rsidRPr="008F1881">
        <w:t>Myrniong System</w:t>
      </w:r>
    </w:p>
    <w:p w:rsidR="00D41C22" w:rsidRDefault="00D41C22" w:rsidP="00D41C22">
      <w:pPr>
        <w:pStyle w:val="bt"/>
        <w:numPr>
          <w:ilvl w:val="0"/>
          <w:numId w:val="44"/>
        </w:numPr>
        <w:spacing w:before="120" w:after="120"/>
        <w:ind w:left="1134"/>
      </w:pPr>
      <w:r w:rsidRPr="008F1881">
        <w:t>Adequate supply to meet demand for 50+ years</w:t>
      </w:r>
    </w:p>
    <w:p w:rsidR="00D41C22" w:rsidRDefault="00D41C22" w:rsidP="00D41C22">
      <w:pPr>
        <w:pStyle w:val="bt"/>
        <w:spacing w:after="120"/>
      </w:pPr>
      <w:r w:rsidRPr="008F1881">
        <w:t>Coliban Water</w:t>
      </w:r>
    </w:p>
    <w:p w:rsidR="00D41C22" w:rsidRDefault="00D41C22" w:rsidP="00D41C22">
      <w:pPr>
        <w:pStyle w:val="bt"/>
        <w:numPr>
          <w:ilvl w:val="0"/>
          <w:numId w:val="42"/>
        </w:numPr>
        <w:spacing w:before="120" w:after="120"/>
        <w:ind w:left="714" w:hanging="357"/>
      </w:pPr>
      <w:r>
        <w:t xml:space="preserve">Supply system: </w:t>
      </w:r>
      <w:r w:rsidRPr="008F1881">
        <w:t>Coliban Southern System</w:t>
      </w:r>
    </w:p>
    <w:p w:rsidR="00D41C22" w:rsidRDefault="00D41C22" w:rsidP="00D41C22">
      <w:pPr>
        <w:pStyle w:val="bt"/>
        <w:numPr>
          <w:ilvl w:val="0"/>
          <w:numId w:val="44"/>
        </w:numPr>
        <w:spacing w:before="120" w:after="120"/>
        <w:ind w:left="1134"/>
      </w:pPr>
      <w:r w:rsidRPr="008F1881">
        <w:t>Possible shortages at year 2030, depending on climate change</w:t>
      </w:r>
    </w:p>
    <w:p w:rsidR="00D41C22" w:rsidRDefault="00D41C22" w:rsidP="00D41C22">
      <w:pPr>
        <w:pStyle w:val="bt"/>
        <w:spacing w:after="120"/>
      </w:pPr>
      <w:r>
        <w:t>Barwon</w:t>
      </w:r>
      <w:r w:rsidRPr="008F1881">
        <w:t xml:space="preserve"> Water</w:t>
      </w:r>
    </w:p>
    <w:p w:rsidR="00D41C22" w:rsidRDefault="00D41C22" w:rsidP="00D41C22">
      <w:pPr>
        <w:pStyle w:val="bt"/>
        <w:numPr>
          <w:ilvl w:val="0"/>
          <w:numId w:val="42"/>
        </w:numPr>
        <w:spacing w:before="120" w:after="120"/>
        <w:ind w:left="714" w:hanging="357"/>
      </w:pPr>
      <w:r>
        <w:t xml:space="preserve">Supply system: </w:t>
      </w:r>
      <w:r w:rsidRPr="008F1881">
        <w:t>Greater Geelong Supply System and Moorabool River supply</w:t>
      </w:r>
    </w:p>
    <w:p w:rsidR="007950A6" w:rsidRPr="007950A6" w:rsidRDefault="00D41C22" w:rsidP="007950A6">
      <w:pPr>
        <w:pStyle w:val="bt"/>
        <w:numPr>
          <w:ilvl w:val="0"/>
          <w:numId w:val="44"/>
        </w:numPr>
        <w:spacing w:before="120" w:after="120"/>
        <w:ind w:left="1134"/>
      </w:pPr>
      <w:r w:rsidRPr="008F1881">
        <w:t>Adeq</w:t>
      </w:r>
      <w:r>
        <w:t>uate supply to 2050 (or longer)</w:t>
      </w:r>
    </w:p>
    <w:p w:rsidR="00257D22" w:rsidRDefault="00AE1A5F" w:rsidP="00AE1A5F">
      <w:pPr>
        <w:pStyle w:val="Source0"/>
      </w:pPr>
      <w:r>
        <w:t>Source: Northern Region, Western Region and Central Region Sustainable Water Strategy.</w:t>
      </w:r>
    </w:p>
    <w:p w:rsidR="008352FA" w:rsidRPr="008F1881" w:rsidRDefault="008352FA" w:rsidP="00A31FBD">
      <w:pPr>
        <w:pStyle w:val="bt"/>
      </w:pPr>
      <w:r w:rsidRPr="008F1881">
        <w:t xml:space="preserve">Integrated </w:t>
      </w:r>
      <w:r w:rsidR="005044AE" w:rsidRPr="008F1881">
        <w:t>w</w:t>
      </w:r>
      <w:r w:rsidRPr="008F1881">
        <w:t xml:space="preserve">ater </w:t>
      </w:r>
      <w:r w:rsidR="005044AE" w:rsidRPr="008F1881">
        <w:t>c</w:t>
      </w:r>
      <w:r w:rsidRPr="008F1881">
        <w:t xml:space="preserve">ycle </w:t>
      </w:r>
      <w:r w:rsidR="005044AE" w:rsidRPr="008F1881">
        <w:t>s</w:t>
      </w:r>
      <w:r w:rsidRPr="008F1881">
        <w:t>trategies will identify the best mix of measures to:</w:t>
      </w:r>
    </w:p>
    <w:p w:rsidR="008352FA" w:rsidRPr="008F1881" w:rsidRDefault="008352FA" w:rsidP="00A31FBD">
      <w:pPr>
        <w:pStyle w:val="ListBullet"/>
      </w:pPr>
      <w:r w:rsidRPr="008F1881">
        <w:t>maintain a balance between the demand for water and the supply of water in cities and towns</w:t>
      </w:r>
    </w:p>
    <w:p w:rsidR="008352FA" w:rsidRPr="008F1881" w:rsidRDefault="008352FA" w:rsidP="00A31FBD">
      <w:pPr>
        <w:pStyle w:val="ListBullet"/>
      </w:pPr>
      <w:r w:rsidRPr="008F1881">
        <w:t>facilitate efficient investment in all water cycle services, including recycling sewage or trade waste, stormwater capture and re-use, and demand management</w:t>
      </w:r>
    </w:p>
    <w:p w:rsidR="008352FA" w:rsidRPr="008F1881" w:rsidRDefault="008352FA" w:rsidP="00A31FBD">
      <w:pPr>
        <w:pStyle w:val="ListBullet"/>
      </w:pPr>
      <w:r w:rsidRPr="008F1881">
        <w:t>improve the resilience of water supply systems</w:t>
      </w:r>
      <w:r w:rsidR="00D02903">
        <w:t xml:space="preserve">, </w:t>
      </w:r>
      <w:r w:rsidRPr="008F1881">
        <w:t>including fit-for purpose</w:t>
      </w:r>
      <w:r w:rsidR="00D02903">
        <w:t>,</w:t>
      </w:r>
      <w:r w:rsidRPr="008F1881">
        <w:t xml:space="preserve"> through scenario</w:t>
      </w:r>
      <w:r w:rsidR="003C74C4">
        <w:t>-</w:t>
      </w:r>
      <w:r w:rsidRPr="008F1881">
        <w:t>based planning and adaptive management having regard to risk and uncertainty.</w:t>
      </w:r>
    </w:p>
    <w:p w:rsidR="008352FA" w:rsidRPr="008F1881" w:rsidRDefault="000D1746" w:rsidP="00A31FBD">
      <w:pPr>
        <w:pStyle w:val="bt"/>
      </w:pPr>
      <w:r w:rsidRPr="008F1881">
        <w:lastRenderedPageBreak/>
        <w:t xml:space="preserve">The </w:t>
      </w:r>
      <w:r w:rsidR="005044AE" w:rsidRPr="008F1881">
        <w:t>i</w:t>
      </w:r>
      <w:r w:rsidRPr="008F1881">
        <w:t xml:space="preserve">ntegrated </w:t>
      </w:r>
      <w:r w:rsidR="005044AE" w:rsidRPr="008F1881">
        <w:t>w</w:t>
      </w:r>
      <w:r w:rsidRPr="008F1881">
        <w:t xml:space="preserve">ater </w:t>
      </w:r>
      <w:r w:rsidR="005044AE" w:rsidRPr="008F1881">
        <w:t>c</w:t>
      </w:r>
      <w:r w:rsidRPr="008F1881">
        <w:t xml:space="preserve">ycle </w:t>
      </w:r>
      <w:r w:rsidR="005044AE" w:rsidRPr="008F1881">
        <w:t>s</w:t>
      </w:r>
      <w:r w:rsidRPr="008F1881">
        <w:t xml:space="preserve">trategies to be prepared for the Central Highlands region will </w:t>
      </w:r>
      <w:r w:rsidR="008352FA" w:rsidRPr="008F1881">
        <w:t xml:space="preserve">need to consider the </w:t>
      </w:r>
      <w:r w:rsidRPr="008F1881">
        <w:t xml:space="preserve">direction regarding growth in the </w:t>
      </w:r>
      <w:r w:rsidR="00F37D25">
        <w:t>plan</w:t>
      </w:r>
      <w:r w:rsidRPr="008F1881">
        <w:t>.</w:t>
      </w:r>
    </w:p>
    <w:p w:rsidR="00EC7BC8" w:rsidRDefault="008352FA" w:rsidP="00F95347">
      <w:pPr>
        <w:pStyle w:val="bt"/>
      </w:pPr>
      <w:r w:rsidRPr="008F1881">
        <w:t>Regional sustainable water strategies take a long-term view of water resource planning, considering all sources of water and the needs of towns, industry, agriculture and the environment at a regional scale. They identify threats to reliability of water supply and quality of water, and ways to improve supply and quality of supply for existing and future consumptive users. The</w:t>
      </w:r>
      <w:r w:rsidR="00D02903">
        <w:t xml:space="preserve">se strategies </w:t>
      </w:r>
      <w:r w:rsidRPr="008F1881">
        <w:t>also identify ways to improve, protect and increase</w:t>
      </w:r>
      <w:r w:rsidR="00707F93" w:rsidRPr="008F1881">
        <w:t xml:space="preserve"> environmental water reserves.</w:t>
      </w:r>
    </w:p>
    <w:p w:rsidR="008352FA" w:rsidRPr="008F1881" w:rsidRDefault="00B43E04" w:rsidP="001F66D6">
      <w:pPr>
        <w:pStyle w:val="bt"/>
        <w:spacing w:after="120"/>
      </w:pPr>
      <w:r>
        <w:t>For</w:t>
      </w:r>
      <w:r w:rsidR="008352FA" w:rsidRPr="008F1881">
        <w:t xml:space="preserve"> the Central Highlands </w:t>
      </w:r>
      <w:r w:rsidR="005044AE" w:rsidRPr="008F1881">
        <w:t>r</w:t>
      </w:r>
      <w:r w:rsidR="008352FA" w:rsidRPr="008F1881">
        <w:t>egion:</w:t>
      </w:r>
    </w:p>
    <w:p w:rsidR="008352FA" w:rsidRPr="008F1881" w:rsidRDefault="00AF5C78" w:rsidP="00A31FBD">
      <w:pPr>
        <w:pStyle w:val="ListBullet"/>
      </w:pPr>
      <w:r>
        <w:t>t</w:t>
      </w:r>
      <w:r w:rsidR="008352FA" w:rsidRPr="008F1881">
        <w:t xml:space="preserve">he </w:t>
      </w:r>
      <w:r w:rsidR="009F09AE" w:rsidRPr="00227110">
        <w:t>Western Region Sustainable Water Strategy</w:t>
      </w:r>
      <w:r w:rsidR="000D1746" w:rsidRPr="008F1881">
        <w:t xml:space="preserve"> </w:t>
      </w:r>
      <w:r w:rsidR="008352FA" w:rsidRPr="008F1881">
        <w:t xml:space="preserve">applies to some of the  </w:t>
      </w:r>
      <w:r w:rsidR="00D02903">
        <w:t>r</w:t>
      </w:r>
      <w:r w:rsidR="008352FA" w:rsidRPr="008F1881">
        <w:t>egion and is still being implemented</w:t>
      </w:r>
    </w:p>
    <w:p w:rsidR="008352FA" w:rsidRPr="008F1881" w:rsidRDefault="00AF5C78" w:rsidP="00A31FBD">
      <w:pPr>
        <w:pStyle w:val="ListBullet"/>
      </w:pPr>
      <w:r>
        <w:t>t</w:t>
      </w:r>
      <w:r w:rsidR="008352FA" w:rsidRPr="008F1881">
        <w:t xml:space="preserve">he </w:t>
      </w:r>
      <w:r w:rsidR="009F09AE" w:rsidRPr="00227110">
        <w:t>Northern Region Sustainable Water Strategy</w:t>
      </w:r>
      <w:r w:rsidR="00707F93" w:rsidRPr="008F1881">
        <w:t xml:space="preserve"> </w:t>
      </w:r>
      <w:r w:rsidR="008352FA" w:rsidRPr="008F1881">
        <w:t xml:space="preserve">has mostly been implemented and will now evolve as the </w:t>
      </w:r>
      <w:r w:rsidR="001F619E" w:rsidRPr="00227110">
        <w:t>Murray-Darling Basin Plan</w:t>
      </w:r>
      <w:r w:rsidR="008352FA" w:rsidRPr="008F1881">
        <w:t xml:space="preserve"> is implemented </w:t>
      </w:r>
    </w:p>
    <w:p w:rsidR="00707F93" w:rsidRPr="00A31FBD" w:rsidRDefault="00AF5C78" w:rsidP="00A31FBD">
      <w:pPr>
        <w:pStyle w:val="ListBullet"/>
      </w:pPr>
      <w:r>
        <w:t>t</w:t>
      </w:r>
      <w:r w:rsidR="008352FA" w:rsidRPr="008F1881">
        <w:t xml:space="preserve">he </w:t>
      </w:r>
      <w:r w:rsidR="009F09AE" w:rsidRPr="00227110">
        <w:t>Central Region Sustainable Water Strategy</w:t>
      </w:r>
      <w:r w:rsidR="00707F93" w:rsidRPr="008F1881">
        <w:t xml:space="preserve"> </w:t>
      </w:r>
      <w:r w:rsidR="008352FA" w:rsidRPr="008F1881">
        <w:t xml:space="preserve">has now been superseded by the </w:t>
      </w:r>
      <w:r w:rsidR="001F619E" w:rsidRPr="00227110">
        <w:t>Living Victoria</w:t>
      </w:r>
      <w:r w:rsidR="008352FA" w:rsidRPr="008F1881">
        <w:t xml:space="preserve"> </w:t>
      </w:r>
      <w:r w:rsidR="00D02903">
        <w:t>p</w:t>
      </w:r>
      <w:r w:rsidR="008352FA" w:rsidRPr="008F1881">
        <w:t>rogram.</w:t>
      </w:r>
    </w:p>
    <w:p w:rsidR="00E212D3" w:rsidRDefault="008352FA" w:rsidP="00A31FBD">
      <w:pPr>
        <w:pStyle w:val="bt"/>
      </w:pPr>
      <w:r w:rsidRPr="008F1881">
        <w:t>Drought response plans manage temporary water shortages due to prolonged periods of below average rainfall or other causes such as poor water quality. They outline a range of options to balance supply and demand, which may include imposing water restrictions. The water restriction framework was reviewed in late 2011 to meet community expectations and to apply consistent restriction rules across the state.</w:t>
      </w:r>
    </w:p>
    <w:p w:rsidR="008F1881" w:rsidRPr="00E03E4A" w:rsidRDefault="00A31FBD" w:rsidP="00E03E4A">
      <w:pPr>
        <w:pStyle w:val="Heading40"/>
      </w:pPr>
      <w:r w:rsidRPr="00E03E4A">
        <w:t>Sewer</w:t>
      </w:r>
    </w:p>
    <w:p w:rsidR="00B055FA" w:rsidRPr="008F1881" w:rsidRDefault="00B055FA" w:rsidP="00EC7BC8">
      <w:pPr>
        <w:pStyle w:val="bt"/>
        <w:spacing w:before="120" w:after="120"/>
        <w:rPr>
          <w:rFonts w:cs="Tahoma"/>
          <w:szCs w:val="20"/>
        </w:rPr>
      </w:pPr>
      <w:r w:rsidRPr="008F1881">
        <w:rPr>
          <w:rFonts w:cs="Tahoma"/>
          <w:szCs w:val="20"/>
        </w:rPr>
        <w:t xml:space="preserve">The Central Highlands </w:t>
      </w:r>
      <w:r w:rsidR="00D02903">
        <w:rPr>
          <w:rFonts w:cs="Tahoma"/>
          <w:szCs w:val="20"/>
        </w:rPr>
        <w:t xml:space="preserve">region </w:t>
      </w:r>
      <w:r w:rsidRPr="008F1881">
        <w:rPr>
          <w:rFonts w:cs="Tahoma"/>
          <w:szCs w:val="20"/>
        </w:rPr>
        <w:t xml:space="preserve">comes within the operating area of six different water </w:t>
      </w:r>
      <w:r w:rsidR="00122182">
        <w:rPr>
          <w:rFonts w:cs="Tahoma"/>
          <w:szCs w:val="20"/>
        </w:rPr>
        <w:t>corporations</w:t>
      </w:r>
      <w:r w:rsidRPr="008F1881">
        <w:rPr>
          <w:rFonts w:cs="Tahoma"/>
          <w:szCs w:val="20"/>
        </w:rPr>
        <w:t xml:space="preserve">. </w:t>
      </w:r>
    </w:p>
    <w:p w:rsidR="00B055FA" w:rsidRPr="008F1881" w:rsidRDefault="00707F93" w:rsidP="00EC7BC8">
      <w:pPr>
        <w:pStyle w:val="bt"/>
        <w:spacing w:before="120"/>
        <w:rPr>
          <w:rFonts w:cs="Tahoma"/>
          <w:szCs w:val="20"/>
        </w:rPr>
      </w:pPr>
      <w:r w:rsidRPr="008F1881">
        <w:rPr>
          <w:rFonts w:cs="Tahoma"/>
          <w:szCs w:val="20"/>
        </w:rPr>
        <w:t>S</w:t>
      </w:r>
      <w:r w:rsidR="00B055FA" w:rsidRPr="008F1881">
        <w:rPr>
          <w:rFonts w:cs="Tahoma"/>
          <w:szCs w:val="20"/>
        </w:rPr>
        <w:t>ewerage services are provided by Central Highlands Water to most of the larger and medium sized settlements within the Central Highlands including Ballarat, Maryborough, Daylesford, Beaufort, Clunes and Ballan. Some of the smaller settlements within the Central Highlands</w:t>
      </w:r>
      <w:r w:rsidR="009602FE">
        <w:rPr>
          <w:rFonts w:cs="Tahoma"/>
          <w:szCs w:val="20"/>
        </w:rPr>
        <w:t>,</w:t>
      </w:r>
      <w:r w:rsidR="00B055FA" w:rsidRPr="008F1881">
        <w:rPr>
          <w:rFonts w:cs="Tahoma"/>
          <w:szCs w:val="20"/>
        </w:rPr>
        <w:t xml:space="preserve"> </w:t>
      </w:r>
      <w:r w:rsidR="003C74C4">
        <w:rPr>
          <w:rFonts w:cs="Tahoma"/>
          <w:szCs w:val="20"/>
        </w:rPr>
        <w:t>such as Learmonth</w:t>
      </w:r>
      <w:r w:rsidR="009602FE">
        <w:rPr>
          <w:rFonts w:cs="Tahoma"/>
          <w:szCs w:val="20"/>
        </w:rPr>
        <w:t>,</w:t>
      </w:r>
      <w:r w:rsidR="003C74C4">
        <w:rPr>
          <w:rFonts w:cs="Tahoma"/>
          <w:szCs w:val="20"/>
        </w:rPr>
        <w:t xml:space="preserve"> </w:t>
      </w:r>
      <w:r w:rsidR="00B055FA" w:rsidRPr="008F1881">
        <w:rPr>
          <w:rFonts w:cs="Tahoma"/>
          <w:szCs w:val="20"/>
        </w:rPr>
        <w:t xml:space="preserve">are also provided with </w:t>
      </w:r>
      <w:r w:rsidR="004935DA" w:rsidRPr="008F1881">
        <w:rPr>
          <w:rFonts w:cs="Tahoma"/>
          <w:szCs w:val="20"/>
        </w:rPr>
        <w:t>sewer</w:t>
      </w:r>
      <w:r w:rsidR="004935DA">
        <w:rPr>
          <w:rFonts w:cs="Tahoma"/>
          <w:szCs w:val="20"/>
        </w:rPr>
        <w:t xml:space="preserve">. </w:t>
      </w:r>
      <w:r w:rsidR="004935DA" w:rsidRPr="008F1881">
        <w:rPr>
          <w:rFonts w:cs="Tahoma"/>
          <w:szCs w:val="20"/>
        </w:rPr>
        <w:t>The</w:t>
      </w:r>
      <w:r w:rsidR="00B055FA" w:rsidRPr="008F1881">
        <w:rPr>
          <w:rFonts w:cs="Tahoma"/>
          <w:szCs w:val="20"/>
        </w:rPr>
        <w:t xml:space="preserve"> small townships of Gordon, Snake Valley</w:t>
      </w:r>
      <w:r w:rsidR="005044AE" w:rsidRPr="008F1881">
        <w:rPr>
          <w:rFonts w:cs="Tahoma"/>
          <w:szCs w:val="20"/>
        </w:rPr>
        <w:t>, Waubra</w:t>
      </w:r>
      <w:r w:rsidR="00B055FA" w:rsidRPr="008F1881">
        <w:rPr>
          <w:rFonts w:cs="Tahoma"/>
          <w:szCs w:val="20"/>
        </w:rPr>
        <w:t xml:space="preserve"> and Smythesdale are currently in the process of being sewered. Grampians Wimmera Mallee Water provide</w:t>
      </w:r>
      <w:r w:rsidRPr="008F1881">
        <w:rPr>
          <w:rFonts w:cs="Tahoma"/>
          <w:szCs w:val="20"/>
        </w:rPr>
        <w:t xml:space="preserve">s both </w:t>
      </w:r>
      <w:r w:rsidR="00B055FA" w:rsidRPr="008F1881">
        <w:rPr>
          <w:rFonts w:cs="Tahoma"/>
          <w:szCs w:val="20"/>
        </w:rPr>
        <w:t xml:space="preserve">water and sewer services to Ararat. Lake Bolac has also recently been sewered by </w:t>
      </w:r>
      <w:r w:rsidRPr="008F1881">
        <w:rPr>
          <w:rFonts w:cs="Tahoma"/>
          <w:szCs w:val="20"/>
        </w:rPr>
        <w:t>Gram</w:t>
      </w:r>
      <w:r w:rsidR="0064379A">
        <w:rPr>
          <w:rFonts w:cs="Tahoma"/>
          <w:szCs w:val="20"/>
        </w:rPr>
        <w:t>pians Wimmera Mallee Water</w:t>
      </w:r>
      <w:r w:rsidR="00B055FA" w:rsidRPr="008F1881">
        <w:rPr>
          <w:rFonts w:cs="Tahoma"/>
          <w:szCs w:val="20"/>
        </w:rPr>
        <w:t xml:space="preserve">. Bacchus Marsh is </w:t>
      </w:r>
      <w:r w:rsidRPr="008F1881">
        <w:rPr>
          <w:rFonts w:cs="Tahoma"/>
          <w:szCs w:val="20"/>
        </w:rPr>
        <w:t xml:space="preserve">serviced </w:t>
      </w:r>
      <w:r w:rsidR="00B055FA" w:rsidRPr="008F1881">
        <w:rPr>
          <w:rFonts w:cs="Tahoma"/>
          <w:szCs w:val="20"/>
        </w:rPr>
        <w:t xml:space="preserve">by Western Water, while Trentham is within the Coliban Water region. </w:t>
      </w:r>
    </w:p>
    <w:p w:rsidR="00B055FA" w:rsidRPr="008F1881" w:rsidRDefault="00B055FA" w:rsidP="00A31FBD">
      <w:pPr>
        <w:pStyle w:val="bt"/>
        <w:rPr>
          <w:rFonts w:cs="Tahoma"/>
          <w:szCs w:val="20"/>
        </w:rPr>
      </w:pPr>
      <w:r w:rsidRPr="008F1881">
        <w:rPr>
          <w:rFonts w:cs="Tahoma"/>
          <w:szCs w:val="20"/>
        </w:rPr>
        <w:t>The ability to provide sewer infrastructure may</w:t>
      </w:r>
      <w:r w:rsidR="009602FE">
        <w:rPr>
          <w:rFonts w:cs="Tahoma"/>
          <w:szCs w:val="20"/>
        </w:rPr>
        <w:t>,</w:t>
      </w:r>
      <w:r w:rsidRPr="008F1881">
        <w:rPr>
          <w:rFonts w:cs="Tahoma"/>
          <w:szCs w:val="20"/>
        </w:rPr>
        <w:t xml:space="preserve"> in some locations</w:t>
      </w:r>
      <w:r w:rsidR="009602FE">
        <w:rPr>
          <w:rFonts w:cs="Tahoma"/>
          <w:szCs w:val="20"/>
        </w:rPr>
        <w:t>,</w:t>
      </w:r>
      <w:r w:rsidRPr="008F1881">
        <w:rPr>
          <w:rFonts w:cs="Tahoma"/>
          <w:szCs w:val="20"/>
        </w:rPr>
        <w:t xml:space="preserve"> form a key determinant of the growth potential of towns. For example</w:t>
      </w:r>
      <w:r w:rsidR="009602FE">
        <w:rPr>
          <w:rFonts w:cs="Tahoma"/>
          <w:szCs w:val="20"/>
        </w:rPr>
        <w:t>,</w:t>
      </w:r>
      <w:r w:rsidRPr="008F1881">
        <w:rPr>
          <w:rFonts w:cs="Tahoma"/>
          <w:szCs w:val="20"/>
        </w:rPr>
        <w:t xml:space="preserve"> the sewering of Gordon may facilitate the rezoning of the town </w:t>
      </w:r>
      <w:r w:rsidR="0064379A">
        <w:rPr>
          <w:rFonts w:cs="Tahoma"/>
          <w:szCs w:val="20"/>
        </w:rPr>
        <w:t>and</w:t>
      </w:r>
      <w:r w:rsidR="00A276BA" w:rsidRPr="008F1881">
        <w:rPr>
          <w:rFonts w:cs="Tahoma"/>
          <w:szCs w:val="20"/>
        </w:rPr>
        <w:t xml:space="preserve"> enable smaller lot subdivision to occur</w:t>
      </w:r>
      <w:r w:rsidRPr="008F1881">
        <w:rPr>
          <w:rFonts w:cs="Tahoma"/>
          <w:szCs w:val="20"/>
        </w:rPr>
        <w:t xml:space="preserve">. In other cases the direction of future growth in an already sewered town may be determined by the location of </w:t>
      </w:r>
      <w:r w:rsidR="00A276BA" w:rsidRPr="008F1881">
        <w:rPr>
          <w:rFonts w:cs="Tahoma"/>
          <w:szCs w:val="20"/>
        </w:rPr>
        <w:t xml:space="preserve">existing </w:t>
      </w:r>
      <w:r w:rsidRPr="008F1881">
        <w:rPr>
          <w:rFonts w:cs="Tahoma"/>
          <w:szCs w:val="20"/>
        </w:rPr>
        <w:t>infrastructure, such as in Creswick. Grampians Wimmera Mallee Water has advised that providing sewerage services to parts of Ararat is problematic, including to some areas identified for future growth.</w:t>
      </w:r>
    </w:p>
    <w:p w:rsidR="00B055FA" w:rsidRPr="008F1881" w:rsidRDefault="00A276BA" w:rsidP="00A31FBD">
      <w:pPr>
        <w:pStyle w:val="bt"/>
        <w:rPr>
          <w:rFonts w:cs="Tahoma"/>
          <w:szCs w:val="20"/>
        </w:rPr>
      </w:pPr>
      <w:r w:rsidRPr="008F1881">
        <w:rPr>
          <w:rFonts w:cs="Tahoma"/>
          <w:szCs w:val="20"/>
        </w:rPr>
        <w:t xml:space="preserve">The </w:t>
      </w:r>
      <w:r w:rsidR="00F37D25">
        <w:rPr>
          <w:rFonts w:cs="Tahoma"/>
          <w:szCs w:val="20"/>
        </w:rPr>
        <w:t>plan</w:t>
      </w:r>
      <w:r w:rsidRPr="008F1881">
        <w:rPr>
          <w:rFonts w:cs="Tahoma"/>
          <w:szCs w:val="20"/>
        </w:rPr>
        <w:t xml:space="preserve"> </w:t>
      </w:r>
      <w:r w:rsidR="00B055FA" w:rsidRPr="008F1881">
        <w:rPr>
          <w:rFonts w:cs="Tahoma"/>
          <w:szCs w:val="20"/>
        </w:rPr>
        <w:t>direct</w:t>
      </w:r>
      <w:r w:rsidRPr="008F1881">
        <w:rPr>
          <w:rFonts w:cs="Tahoma"/>
          <w:szCs w:val="20"/>
        </w:rPr>
        <w:t>s</w:t>
      </w:r>
      <w:r w:rsidR="00B055FA" w:rsidRPr="008F1881">
        <w:rPr>
          <w:rFonts w:cs="Tahoma"/>
          <w:szCs w:val="20"/>
        </w:rPr>
        <w:t xml:space="preserve"> new development to locations with suitable infrastructure</w:t>
      </w:r>
      <w:r w:rsidRPr="008F1881">
        <w:rPr>
          <w:rFonts w:cs="Tahoma"/>
          <w:szCs w:val="20"/>
        </w:rPr>
        <w:t xml:space="preserve"> or where infrastruct</w:t>
      </w:r>
      <w:r w:rsidR="00E54FF2">
        <w:rPr>
          <w:rFonts w:cs="Tahoma"/>
          <w:szCs w:val="20"/>
        </w:rPr>
        <w:t>ure upgrades are cost effective</w:t>
      </w:r>
      <w:r w:rsidR="00B055FA" w:rsidRPr="008F1881">
        <w:rPr>
          <w:rFonts w:cs="Tahoma"/>
          <w:szCs w:val="20"/>
        </w:rPr>
        <w:t xml:space="preserve">. </w:t>
      </w:r>
      <w:r w:rsidR="005D3842">
        <w:rPr>
          <w:rFonts w:cs="Tahoma"/>
          <w:szCs w:val="20"/>
        </w:rPr>
        <w:t>I</w:t>
      </w:r>
      <w:r w:rsidR="00B055FA" w:rsidRPr="008F1881">
        <w:rPr>
          <w:rFonts w:cs="Tahoma"/>
          <w:szCs w:val="20"/>
        </w:rPr>
        <w:t xml:space="preserve">t is noted that Talbot, which is presently unsewered, will shortly have its railway station reopened, </w:t>
      </w:r>
      <w:r w:rsidR="005D3842">
        <w:rPr>
          <w:rFonts w:cs="Tahoma"/>
          <w:szCs w:val="20"/>
        </w:rPr>
        <w:t xml:space="preserve">therefore </w:t>
      </w:r>
      <w:r w:rsidR="00B055FA" w:rsidRPr="008F1881">
        <w:rPr>
          <w:rFonts w:cs="Tahoma"/>
          <w:szCs w:val="20"/>
        </w:rPr>
        <w:t>potentially providing an incentive to support additional development on the Maryborough-Ballarat corridor.</w:t>
      </w:r>
      <w:r w:rsidR="00B43E04">
        <w:rPr>
          <w:rFonts w:cs="Tahoma"/>
          <w:szCs w:val="20"/>
        </w:rPr>
        <w:t xml:space="preserve"> The Loddon Mallee South Regional Growth Plan identifies sewering Talbot as a priority.</w:t>
      </w:r>
    </w:p>
    <w:p w:rsidR="008F1881" w:rsidRPr="00E03E4A" w:rsidRDefault="009F09AE" w:rsidP="00E03E4A">
      <w:pPr>
        <w:pStyle w:val="Heading40"/>
      </w:pPr>
      <w:r w:rsidRPr="00E03E4A">
        <w:t>Gas</w:t>
      </w:r>
    </w:p>
    <w:p w:rsidR="00B055FA" w:rsidRPr="008F1881" w:rsidRDefault="00B055FA" w:rsidP="00EC7BC8">
      <w:pPr>
        <w:pStyle w:val="bt"/>
        <w:spacing w:before="120"/>
        <w:rPr>
          <w:rFonts w:cs="Tahoma"/>
          <w:szCs w:val="20"/>
        </w:rPr>
      </w:pPr>
      <w:r w:rsidRPr="008F1881">
        <w:rPr>
          <w:rFonts w:cs="Tahoma"/>
        </w:rPr>
        <w:t>Reticulated gas supplies within the Central Highlands are provided by SP Aus</w:t>
      </w:r>
      <w:r w:rsidR="009602FE">
        <w:rPr>
          <w:rFonts w:cs="Tahoma"/>
        </w:rPr>
        <w:t>N</w:t>
      </w:r>
      <w:r w:rsidRPr="008F1881">
        <w:rPr>
          <w:rFonts w:cs="Tahoma"/>
        </w:rPr>
        <w:t>et. Currently services are generally only provided to larger towns such as Ararat, Maryborough, Stawell, Ballarat, Daylesford and Bacchus Marsh as well a</w:t>
      </w:r>
      <w:r w:rsidR="00A4608B" w:rsidRPr="008F1881">
        <w:rPr>
          <w:rFonts w:cs="Tahoma"/>
        </w:rPr>
        <w:t>s a</w:t>
      </w:r>
      <w:r w:rsidRPr="008F1881">
        <w:rPr>
          <w:rFonts w:cs="Tahoma"/>
        </w:rPr>
        <w:t xml:space="preserve"> few smaller towns including Ballan, Hepburn Springs and Creswick. </w:t>
      </w:r>
      <w:r w:rsidRPr="008F1881">
        <w:rPr>
          <w:rFonts w:cs="Tahoma"/>
          <w:szCs w:val="17"/>
        </w:rPr>
        <w:t xml:space="preserve">The </w:t>
      </w:r>
      <w:r w:rsidR="00FF7845">
        <w:rPr>
          <w:rFonts w:cs="Tahoma"/>
          <w:szCs w:val="17"/>
        </w:rPr>
        <w:t>s</w:t>
      </w:r>
      <w:r w:rsidR="00D815C1">
        <w:rPr>
          <w:rFonts w:cs="Tahoma"/>
          <w:szCs w:val="17"/>
        </w:rPr>
        <w:t xml:space="preserve">tate </w:t>
      </w:r>
      <w:r w:rsidR="00D815C1">
        <w:rPr>
          <w:rFonts w:cs="Tahoma"/>
          <w:szCs w:val="17"/>
        </w:rPr>
        <w:lastRenderedPageBreak/>
        <w:t>government</w:t>
      </w:r>
      <w:r w:rsidRPr="008F1881">
        <w:rPr>
          <w:rFonts w:cs="Tahoma"/>
          <w:szCs w:val="17"/>
        </w:rPr>
        <w:t xml:space="preserve"> </w:t>
      </w:r>
      <w:r w:rsidR="005D3842">
        <w:rPr>
          <w:rFonts w:cs="Tahoma"/>
          <w:szCs w:val="17"/>
        </w:rPr>
        <w:t xml:space="preserve">recently </w:t>
      </w:r>
      <w:r w:rsidRPr="008F1881">
        <w:rPr>
          <w:rFonts w:cs="Tahoma"/>
          <w:szCs w:val="17"/>
        </w:rPr>
        <w:t xml:space="preserve">announced </w:t>
      </w:r>
      <w:r w:rsidR="003C74C4">
        <w:rPr>
          <w:rFonts w:cs="Tahoma"/>
          <w:szCs w:val="17"/>
        </w:rPr>
        <w:t xml:space="preserve">that Avoca will get access to natural gas under </w:t>
      </w:r>
      <w:r w:rsidRPr="008F1881">
        <w:rPr>
          <w:rFonts w:cs="Tahoma"/>
          <w:szCs w:val="17"/>
        </w:rPr>
        <w:t xml:space="preserve">its </w:t>
      </w:r>
      <w:r w:rsidR="001F619E" w:rsidRPr="00227110">
        <w:rPr>
          <w:rFonts w:cs="Tahoma"/>
          <w:szCs w:val="17"/>
        </w:rPr>
        <w:t>Energy for the Regions</w:t>
      </w:r>
      <w:r w:rsidRPr="008F1881">
        <w:rPr>
          <w:rFonts w:cs="Tahoma"/>
          <w:szCs w:val="17"/>
        </w:rPr>
        <w:t xml:space="preserve"> program.</w:t>
      </w:r>
    </w:p>
    <w:p w:rsidR="008F1881" w:rsidRPr="00E03E4A" w:rsidRDefault="00FF7845" w:rsidP="00E03E4A">
      <w:pPr>
        <w:pStyle w:val="Heading40"/>
      </w:pPr>
      <w:r>
        <w:t>Information and communications technology</w:t>
      </w:r>
    </w:p>
    <w:p w:rsidR="00B055FA" w:rsidRPr="008F1881" w:rsidRDefault="00B055FA" w:rsidP="00EC7BC8">
      <w:pPr>
        <w:pStyle w:val="bt"/>
        <w:spacing w:before="120" w:after="120"/>
      </w:pPr>
      <w:r w:rsidRPr="008F1881">
        <w:t xml:space="preserve">The development of the National Broadband Network will provide telecommunications infrastructure that is likely to improve </w:t>
      </w:r>
      <w:r w:rsidR="005D3842">
        <w:t xml:space="preserve">the </w:t>
      </w:r>
      <w:r w:rsidRPr="008F1881">
        <w:t xml:space="preserve">way </w:t>
      </w:r>
      <w:r w:rsidR="005D3842">
        <w:t xml:space="preserve">people </w:t>
      </w:r>
      <w:r w:rsidRPr="008F1881">
        <w:t xml:space="preserve">connect with one another, regardless of geography, </w:t>
      </w:r>
      <w:r w:rsidR="005D3842">
        <w:t xml:space="preserve">for </w:t>
      </w:r>
      <w:r w:rsidRPr="008F1881">
        <w:t>business</w:t>
      </w:r>
      <w:r w:rsidR="005D3842">
        <w:t>,</w:t>
      </w:r>
      <w:r w:rsidRPr="008F1881">
        <w:t xml:space="preserve"> lifestyle</w:t>
      </w:r>
      <w:r w:rsidR="005D3842">
        <w:t>,</w:t>
      </w:r>
      <w:r w:rsidRPr="008F1881">
        <w:t xml:space="preserve"> medical and education purposes. </w:t>
      </w:r>
      <w:r w:rsidR="00161120" w:rsidRPr="008F1881">
        <w:t>Varied coverage will be offered across the region</w:t>
      </w:r>
      <w:r w:rsidR="009F34EC">
        <w:t>.</w:t>
      </w:r>
    </w:p>
    <w:p w:rsidR="00B055FA" w:rsidRPr="008F1881" w:rsidRDefault="00A4608B" w:rsidP="00EC7BC8">
      <w:pPr>
        <w:pStyle w:val="bt"/>
        <w:spacing w:after="120"/>
      </w:pPr>
      <w:r w:rsidRPr="008F1881">
        <w:t xml:space="preserve">Construction of the </w:t>
      </w:r>
      <w:r w:rsidR="00D51DD8" w:rsidRPr="008F1881">
        <w:t>National Broadband Network</w:t>
      </w:r>
      <w:r w:rsidRPr="008F1881">
        <w:t xml:space="preserve"> i</w:t>
      </w:r>
      <w:r w:rsidR="00B055FA" w:rsidRPr="008F1881">
        <w:t xml:space="preserve">n the Central Highlands </w:t>
      </w:r>
      <w:r w:rsidR="00960058" w:rsidRPr="008F1881">
        <w:t>is well underway, having commenced in 2011. Fibre connections are available or currently being rolled out in Ballarat, Bacchus Marsh and Creswick while fixed wireless connections are available or currently being rolled out to a wide hinterland area surrounding Ballarat which extends south as far as Rokewood, west as far as Trawalla, north as far as Smeaton and east as far as M</w:t>
      </w:r>
      <w:r w:rsidR="00C569D0" w:rsidRPr="008F1881">
        <w:t>oun</w:t>
      </w:r>
      <w:r w:rsidR="00317702" w:rsidRPr="008F1881">
        <w:t>t Egerton</w:t>
      </w:r>
      <w:r w:rsidR="00B055FA" w:rsidRPr="008F1881">
        <w:t xml:space="preserve">. </w:t>
      </w:r>
    </w:p>
    <w:p w:rsidR="00B055FA" w:rsidRPr="008F1881" w:rsidRDefault="00B055FA" w:rsidP="00EC7BC8">
      <w:pPr>
        <w:pStyle w:val="bt"/>
        <w:spacing w:after="120"/>
      </w:pPr>
      <w:r w:rsidRPr="008F1881">
        <w:t xml:space="preserve">Access to superfast broadband will give businesses the opportunity to increase productivity, save time and money and </w:t>
      </w:r>
      <w:r w:rsidR="008C0451" w:rsidRPr="008F1881">
        <w:t xml:space="preserve">provide the </w:t>
      </w:r>
      <w:r w:rsidRPr="008F1881">
        <w:t>ability to compete on a global scale.</w:t>
      </w:r>
    </w:p>
    <w:p w:rsidR="00B055FA" w:rsidRPr="008F1881" w:rsidRDefault="00B055FA" w:rsidP="00EC7BC8">
      <w:pPr>
        <w:pStyle w:val="bt"/>
        <w:spacing w:after="120"/>
      </w:pPr>
      <w:r w:rsidRPr="008F1881">
        <w:t xml:space="preserve">The implications of the </w:t>
      </w:r>
      <w:r w:rsidR="00D51DD8" w:rsidRPr="008F1881">
        <w:t>National Broadband Network</w:t>
      </w:r>
      <w:r w:rsidRPr="008F1881">
        <w:t xml:space="preserve"> for land use planning within the Central Highlands could be significant as it may result in fundamental changes to the way that certain activities are undertaken. Travel patterns may alter</w:t>
      </w:r>
      <w:r w:rsidR="005D3842">
        <w:t>,</w:t>
      </w:r>
      <w:r w:rsidRPr="008F1881">
        <w:t xml:space="preserve"> with a reduced need to travel long distances to access certain services if they are able to be provided via a high speed internet connection. Opportunities are also presented by </w:t>
      </w:r>
      <w:r w:rsidR="00FF7845">
        <w:t>information and communications technology</w:t>
      </w:r>
      <w:r w:rsidR="00FF7845" w:rsidRPr="008F1881">
        <w:t xml:space="preserve"> </w:t>
      </w:r>
      <w:r w:rsidRPr="008F1881">
        <w:t>upgrades to enable rural businesses to operate more efficiently, such as</w:t>
      </w:r>
      <w:r w:rsidR="005D3842">
        <w:t xml:space="preserve"> </w:t>
      </w:r>
      <w:r w:rsidRPr="008F1881">
        <w:t xml:space="preserve">the wine industry operating from  areas </w:t>
      </w:r>
      <w:r w:rsidR="00B43E04">
        <w:t>like</w:t>
      </w:r>
      <w:r w:rsidRPr="008F1881">
        <w:t xml:space="preserve"> Moonambel which are some distance from larger centres.</w:t>
      </w:r>
    </w:p>
    <w:p w:rsidR="00CD2959" w:rsidRDefault="005044AE" w:rsidP="00A31FBD">
      <w:pPr>
        <w:pStyle w:val="bt"/>
      </w:pPr>
      <w:r w:rsidRPr="008F1881">
        <w:t xml:space="preserve">There will be a need to monitor the impacts of </w:t>
      </w:r>
      <w:r w:rsidR="006966E5" w:rsidRPr="008F1881">
        <w:t>improved</w:t>
      </w:r>
      <w:r w:rsidRPr="008F1881">
        <w:t xml:space="preserve"> communications technology on settlement and transport patterns </w:t>
      </w:r>
      <w:r w:rsidR="006966E5" w:rsidRPr="008F1881">
        <w:t>over the longer term to ensure the plan’s settlement framework and assumptions about lifestyles and employment choices remain valid.</w:t>
      </w:r>
    </w:p>
    <w:p w:rsidR="008F1881" w:rsidRPr="00E03E4A" w:rsidRDefault="009F09AE" w:rsidP="00E03E4A">
      <w:pPr>
        <w:pStyle w:val="Heading40"/>
      </w:pPr>
      <w:r w:rsidRPr="00E03E4A">
        <w:t xml:space="preserve">Waste </w:t>
      </w:r>
      <w:r w:rsidR="005D3842" w:rsidRPr="00E03E4A">
        <w:t>m</w:t>
      </w:r>
      <w:r w:rsidRPr="00E03E4A">
        <w:t>anagement</w:t>
      </w:r>
    </w:p>
    <w:p w:rsidR="00707F93" w:rsidRPr="008F1881" w:rsidRDefault="00707F93" w:rsidP="00EC7BC8">
      <w:pPr>
        <w:pStyle w:val="bt"/>
        <w:spacing w:before="120"/>
      </w:pPr>
      <w:r w:rsidRPr="008F1881">
        <w:t>Effective waste and resource recovery management is an essential service that protects environmental and public health. The Victorian waste management system includes waste generation, collection and transport, sorting and processing, recycling and reprocessing, export, reuse and disposal. The waste management system operates across all activities in the region</w:t>
      </w:r>
      <w:r w:rsidR="005D3842">
        <w:t xml:space="preserve"> such as </w:t>
      </w:r>
      <w:r w:rsidRPr="008F1881">
        <w:t>household or municipal, commercial and industrial, and construction and demolition.</w:t>
      </w:r>
    </w:p>
    <w:p w:rsidR="00707F93" w:rsidRPr="008F1881" w:rsidRDefault="00707F93" w:rsidP="00054FF7">
      <w:pPr>
        <w:pStyle w:val="bt"/>
      </w:pPr>
      <w:r w:rsidRPr="008F1881">
        <w:t xml:space="preserve">The </w:t>
      </w:r>
      <w:r w:rsidR="00FF7845">
        <w:t>s</w:t>
      </w:r>
      <w:r w:rsidR="00D815C1">
        <w:t>tate government</w:t>
      </w:r>
      <w:r w:rsidR="00D51DD8" w:rsidRPr="008F1881">
        <w:t xml:space="preserve"> </w:t>
      </w:r>
      <w:r w:rsidRPr="008F1881">
        <w:t xml:space="preserve">is responsible for policy development and regulation around waste management, and for promoting environmental sustainability. Local </w:t>
      </w:r>
      <w:r w:rsidR="006966E5" w:rsidRPr="008F1881">
        <w:t>g</w:t>
      </w:r>
      <w:r w:rsidRPr="008F1881">
        <w:t>overnments are responsible for providing waste collection, transport and reprocessing</w:t>
      </w:r>
      <w:r w:rsidR="00122182">
        <w:t>,</w:t>
      </w:r>
      <w:r w:rsidRPr="008F1881">
        <w:t xml:space="preserve"> or disposal to landfill services.</w:t>
      </w:r>
    </w:p>
    <w:p w:rsidR="00707F93" w:rsidRPr="008F1881" w:rsidRDefault="00707F93" w:rsidP="00054FF7">
      <w:pPr>
        <w:pStyle w:val="bt"/>
      </w:pPr>
      <w:r w:rsidRPr="008F1881">
        <w:t xml:space="preserve">Regional </w:t>
      </w:r>
      <w:r w:rsidR="00D51DD8">
        <w:t>w</w:t>
      </w:r>
      <w:r w:rsidR="00D51DD8" w:rsidRPr="008F1881">
        <w:t xml:space="preserve">aste </w:t>
      </w:r>
      <w:r w:rsidR="00D51DD8">
        <w:t>m</w:t>
      </w:r>
      <w:r w:rsidR="00D51DD8" w:rsidRPr="008F1881">
        <w:t xml:space="preserve">anagement </w:t>
      </w:r>
      <w:r w:rsidR="00D51DD8">
        <w:t>g</w:t>
      </w:r>
      <w:r w:rsidR="00D51DD8" w:rsidRPr="008F1881">
        <w:t xml:space="preserve">roups </w:t>
      </w:r>
      <w:r w:rsidRPr="008F1881">
        <w:t xml:space="preserve">are responsible for planning and coordinating the management of municipal solid waste for local governments within their regions, as well as helping them to reduce waste, maximise recovery </w:t>
      </w:r>
      <w:r w:rsidR="0092530D">
        <w:t>and reduce environmental harm.</w:t>
      </w:r>
    </w:p>
    <w:p w:rsidR="00707F93" w:rsidRPr="008F1881" w:rsidRDefault="00707F93" w:rsidP="00054FF7">
      <w:pPr>
        <w:pStyle w:val="bt"/>
      </w:pPr>
      <w:r w:rsidRPr="008F1881">
        <w:t xml:space="preserve">There are many industries existing and emerging in waste management, particularly in terms of recovery, reuse and recycling of waste. Energy generation from waste is an expanding industry </w:t>
      </w:r>
      <w:r w:rsidR="005D3842">
        <w:t xml:space="preserve">across </w:t>
      </w:r>
      <w:r w:rsidRPr="008F1881">
        <w:t>the state.</w:t>
      </w:r>
    </w:p>
    <w:p w:rsidR="00D300E2" w:rsidRPr="008F1881" w:rsidRDefault="00D300E2" w:rsidP="00054FF7">
      <w:pPr>
        <w:pStyle w:val="bt"/>
      </w:pPr>
      <w:r w:rsidRPr="008F1881">
        <w:t xml:space="preserve">Victorian waste generation is expected to increase by around </w:t>
      </w:r>
      <w:r w:rsidR="005D3842">
        <w:t xml:space="preserve">four </w:t>
      </w:r>
      <w:r w:rsidRPr="008F1881">
        <w:t xml:space="preserve">per cent per </w:t>
      </w:r>
      <w:r w:rsidR="005D3842">
        <w:t>annum</w:t>
      </w:r>
      <w:r w:rsidRPr="008F1881">
        <w:t xml:space="preserve">. There is a need to plan for and manage the waste associated with population growth forecast for the region. As the recently released </w:t>
      </w:r>
      <w:r w:rsidR="001F619E" w:rsidRPr="00227110">
        <w:t>Victorian Waste and Resource Recovery Policy</w:t>
      </w:r>
      <w:r w:rsidR="003C74C4">
        <w:t xml:space="preserve"> (D</w:t>
      </w:r>
      <w:r w:rsidR="005D3842">
        <w:t>epartment of Sustainability and Environment</w:t>
      </w:r>
      <w:r w:rsidR="003C74C4">
        <w:t xml:space="preserve">, </w:t>
      </w:r>
      <w:r w:rsidR="00CC2360">
        <w:t>2013</w:t>
      </w:r>
      <w:r w:rsidR="003C74C4">
        <w:t>)</w:t>
      </w:r>
      <w:r w:rsidRPr="008F1881">
        <w:t xml:space="preserve"> states:</w:t>
      </w:r>
    </w:p>
    <w:p w:rsidR="00D300E2" w:rsidRPr="005A0F47" w:rsidRDefault="00D300E2" w:rsidP="005A0F47">
      <w:pPr>
        <w:pStyle w:val="bt"/>
        <w:ind w:left="720"/>
        <w:rPr>
          <w:rStyle w:val="Emphasis"/>
          <w:i w:val="0"/>
        </w:rPr>
      </w:pPr>
      <w:r w:rsidRPr="00AD7504">
        <w:rPr>
          <w:rStyle w:val="Emphasis"/>
          <w:i w:val="0"/>
        </w:rPr>
        <w:t xml:space="preserve">As our cities grow, securing land for our waste management facilities is a challenge. As population increases our waste generation increases and as we strive for world’s best practice environmental </w:t>
      </w:r>
      <w:r w:rsidRPr="00AD7504">
        <w:rPr>
          <w:rStyle w:val="Emphasis"/>
          <w:i w:val="0"/>
        </w:rPr>
        <w:lastRenderedPageBreak/>
        <w:t>standards, finding and securing land for waste management facilities is likely to become even more difficult.</w:t>
      </w:r>
      <w:r w:rsidRPr="00054FF7">
        <w:t xml:space="preserve"> (p</w:t>
      </w:r>
      <w:r w:rsidR="005D3842" w:rsidRPr="00054FF7">
        <w:t>age</w:t>
      </w:r>
      <w:r w:rsidRPr="00054FF7">
        <w:t xml:space="preserve"> </w:t>
      </w:r>
      <w:r w:rsidR="00CC2360" w:rsidRPr="00054FF7">
        <w:t>1</w:t>
      </w:r>
      <w:r w:rsidR="00CC2360">
        <w:t>6</w:t>
      </w:r>
      <w:r w:rsidRPr="00054FF7">
        <w:t>)</w:t>
      </w:r>
    </w:p>
    <w:p w:rsidR="00D300E2" w:rsidRPr="008F1881" w:rsidRDefault="00D300E2" w:rsidP="00054FF7">
      <w:pPr>
        <w:pStyle w:val="bt"/>
      </w:pPr>
      <w:r w:rsidRPr="008F1881">
        <w:t xml:space="preserve">The potential for land use conflict from growth occurring in proximity to landfills needs to be carefully managed through the planning system. The </w:t>
      </w:r>
      <w:r w:rsidR="00F37D25">
        <w:t>plan</w:t>
      </w:r>
      <w:r w:rsidRPr="008F1881">
        <w:t xml:space="preserve"> recognises that regional landfills are located at Smythesdale and Stawell</w:t>
      </w:r>
      <w:r w:rsidR="00D51DD8">
        <w:t>,</w:t>
      </w:r>
      <w:r w:rsidRPr="008F1881">
        <w:t xml:space="preserve"> which although outside the region</w:t>
      </w:r>
      <w:r w:rsidR="005D3842">
        <w:t>,</w:t>
      </w:r>
      <w:r w:rsidRPr="008F1881">
        <w:t xml:space="preserve"> services Ararat and its surrounds. </w:t>
      </w:r>
    </w:p>
    <w:p w:rsidR="00D300E2" w:rsidRDefault="00D300E2" w:rsidP="00054FF7">
      <w:pPr>
        <w:pStyle w:val="bt"/>
      </w:pPr>
      <w:r w:rsidRPr="008F1881">
        <w:t xml:space="preserve">There are opportunities to encourage and support investment into advanced technology that can convert waste into energy or fuel products. The </w:t>
      </w:r>
      <w:r w:rsidR="00F37D25">
        <w:t>plan</w:t>
      </w:r>
      <w:r w:rsidRPr="008F1881">
        <w:t xml:space="preserve"> recognises the need to encourage local energy generation from waste sources. </w:t>
      </w:r>
      <w:r w:rsidR="007B22FD" w:rsidRPr="008F1881">
        <w:t>The region could benefit</w:t>
      </w:r>
      <w:r w:rsidR="005D144B" w:rsidRPr="008F1881">
        <w:t xml:space="preserve"> from a regional </w:t>
      </w:r>
      <w:r w:rsidR="007B22FD" w:rsidRPr="008F1881">
        <w:t>plant</w:t>
      </w:r>
      <w:r w:rsidR="005D144B" w:rsidRPr="008F1881">
        <w:t xml:space="preserve"> that includes material recycling facilit</w:t>
      </w:r>
      <w:r w:rsidR="007B22FD" w:rsidRPr="008F1881">
        <w:t>ies</w:t>
      </w:r>
      <w:r w:rsidR="005D144B" w:rsidRPr="008F1881">
        <w:t>, composting facilities for green</w:t>
      </w:r>
      <w:r w:rsidR="005D3842">
        <w:t xml:space="preserve"> </w:t>
      </w:r>
      <w:r w:rsidR="005D144B" w:rsidRPr="008F1881">
        <w:t>waste</w:t>
      </w:r>
      <w:r w:rsidR="005D3842">
        <w:t>,</w:t>
      </w:r>
      <w:r w:rsidR="005D144B" w:rsidRPr="008F1881">
        <w:t xml:space="preserve"> and bioenergy plants for processing food and animal production wastes.</w:t>
      </w:r>
      <w:r w:rsidR="007B22FD" w:rsidRPr="008F1881">
        <w:t xml:space="preserve"> Any such facility would require suitable buffer zones to </w:t>
      </w:r>
      <w:r w:rsidR="00E54FF2" w:rsidRPr="008F1881">
        <w:t>minimise</w:t>
      </w:r>
      <w:r w:rsidR="007B22FD" w:rsidRPr="008F1881">
        <w:t xml:space="preserve"> conflict with areas of sensitive use</w:t>
      </w:r>
      <w:r w:rsidR="006966E5" w:rsidRPr="008F1881">
        <w:t>s</w:t>
      </w:r>
      <w:r w:rsidR="007B22FD" w:rsidRPr="008F1881">
        <w:t>.</w:t>
      </w:r>
      <w:r w:rsidR="005D144B" w:rsidRPr="008F1881">
        <w:t xml:space="preserve"> </w:t>
      </w:r>
    </w:p>
    <w:p w:rsidR="008F1881" w:rsidRPr="005B01F7" w:rsidRDefault="009F09AE" w:rsidP="005B01F7">
      <w:pPr>
        <w:pStyle w:val="Heading3"/>
      </w:pPr>
      <w:r w:rsidRPr="005B01F7">
        <w:t xml:space="preserve">Land </w:t>
      </w:r>
      <w:r w:rsidR="00661931" w:rsidRPr="005B01F7">
        <w:t>use planning response</w:t>
      </w:r>
    </w:p>
    <w:p w:rsidR="001165CF" w:rsidRPr="008F1881" w:rsidRDefault="00392969" w:rsidP="00054FF7">
      <w:pPr>
        <w:pStyle w:val="bt"/>
      </w:pPr>
      <w:r w:rsidRPr="008F1881">
        <w:t xml:space="preserve">The </w:t>
      </w:r>
      <w:r w:rsidR="00F37D25">
        <w:t>plan</w:t>
      </w:r>
      <w:r w:rsidRPr="008F1881">
        <w:t xml:space="preserve"> has been prepared in collaboration with infrastructure service providers, ensuring growth is directed to locations where it makes best use of existing </w:t>
      </w:r>
      <w:r w:rsidR="00317702" w:rsidRPr="008F1881">
        <w:t>infrastructure</w:t>
      </w:r>
      <w:r w:rsidRPr="008F1881">
        <w:t xml:space="preserve"> and</w:t>
      </w:r>
      <w:r w:rsidR="00135BFF">
        <w:t>,</w:t>
      </w:r>
      <w:r w:rsidRPr="008F1881">
        <w:t xml:space="preserve"> that where additional infrastructure is required</w:t>
      </w:r>
      <w:r w:rsidR="00135BFF">
        <w:t>,</w:t>
      </w:r>
      <w:r w:rsidRPr="008F1881">
        <w:t xml:space="preserve"> it can be provided cost eff</w:t>
      </w:r>
      <w:r w:rsidR="00054FF7">
        <w:t>ectively.</w:t>
      </w:r>
      <w:r w:rsidR="00720811">
        <w:t xml:space="preserve"> The plan supports the identification of regional priorities for improve</w:t>
      </w:r>
      <w:r w:rsidR="003561A4">
        <w:t xml:space="preserve">ments related to utilities, waste management, energy and telecommunications. </w:t>
      </w:r>
    </w:p>
    <w:p w:rsidR="0064379A" w:rsidRDefault="00707F93" w:rsidP="00054FF7">
      <w:pPr>
        <w:pStyle w:val="bt"/>
      </w:pPr>
      <w:r w:rsidRPr="008F1881">
        <w:t xml:space="preserve">Consultation during development of the </w:t>
      </w:r>
      <w:r w:rsidR="00F37D25">
        <w:t>plan</w:t>
      </w:r>
      <w:r w:rsidR="00D300E2" w:rsidRPr="008F1881">
        <w:t xml:space="preserve"> </w:t>
      </w:r>
      <w:r w:rsidRPr="008F1881">
        <w:t xml:space="preserve">identified the need to provide appropriate waste disposal across the region for intensive industries. </w:t>
      </w:r>
      <w:r w:rsidR="00135BFF">
        <w:t>T</w:t>
      </w:r>
      <w:r w:rsidRPr="008F1881">
        <w:t>he need to investigate alternative waste treatment solutions for small towns</w:t>
      </w:r>
      <w:r w:rsidR="00135BFF">
        <w:t xml:space="preserve"> was also noted</w:t>
      </w:r>
      <w:r w:rsidRPr="008F1881">
        <w:t xml:space="preserve">, particularly those in </w:t>
      </w:r>
      <w:r w:rsidR="006006DC" w:rsidRPr="008F1881">
        <w:t>de</w:t>
      </w:r>
      <w:r w:rsidR="006006DC">
        <w:t>clared</w:t>
      </w:r>
      <w:r w:rsidR="006006DC" w:rsidRPr="008F1881">
        <w:t xml:space="preserve"> </w:t>
      </w:r>
      <w:r w:rsidRPr="008F1881">
        <w:t>water supply catchments.</w:t>
      </w:r>
    </w:p>
    <w:p w:rsidR="00B055FA" w:rsidRPr="00B205F4" w:rsidRDefault="00B055FA" w:rsidP="007649C1">
      <w:pPr>
        <w:pStyle w:val="Heading11"/>
      </w:pPr>
      <w:bookmarkStart w:id="216" w:name="_Toc349557718"/>
      <w:bookmarkStart w:id="217" w:name="_Ref349558674"/>
      <w:bookmarkStart w:id="218" w:name="_Toc374527616"/>
      <w:r w:rsidRPr="00B205F4">
        <w:t>Environment</w:t>
      </w:r>
      <w:bookmarkEnd w:id="216"/>
      <w:bookmarkEnd w:id="217"/>
      <w:bookmarkEnd w:id="218"/>
    </w:p>
    <w:p w:rsidR="008F1881" w:rsidRPr="005B01F7" w:rsidRDefault="00B055FA" w:rsidP="005B01F7">
      <w:pPr>
        <w:pStyle w:val="Heading2"/>
      </w:pPr>
      <w:bookmarkStart w:id="219" w:name="_Toc349557719"/>
      <w:bookmarkStart w:id="220" w:name="_Toc374527617"/>
      <w:r w:rsidRPr="005B01F7">
        <w:t>Context</w:t>
      </w:r>
      <w:bookmarkEnd w:id="219"/>
      <w:bookmarkEnd w:id="220"/>
    </w:p>
    <w:p w:rsidR="00FF7845" w:rsidRDefault="00C32E40" w:rsidP="00054FF7">
      <w:pPr>
        <w:pStyle w:val="bt"/>
        <w:rPr>
          <w:rFonts w:cs="Tahoma"/>
          <w:szCs w:val="20"/>
        </w:rPr>
      </w:pPr>
      <w:r w:rsidRPr="008F1881">
        <w:rPr>
          <w:rFonts w:cs="Tahoma"/>
          <w:szCs w:val="20"/>
        </w:rPr>
        <w:t>The Great Dividing Range runs through the middle of the Central Highlands. As a result</w:t>
      </w:r>
      <w:r w:rsidR="008667EC">
        <w:rPr>
          <w:rFonts w:cs="Tahoma"/>
          <w:szCs w:val="20"/>
        </w:rPr>
        <w:t>,</w:t>
      </w:r>
      <w:r w:rsidRPr="008F1881">
        <w:rPr>
          <w:rFonts w:cs="Tahoma"/>
          <w:szCs w:val="20"/>
        </w:rPr>
        <w:t xml:space="preserve"> the region is part of both the Murray Darling Basin as well as various catchments that drain to the Victorian coast. This means that environmentally, the Central Highlands region is closely linked to all </w:t>
      </w:r>
      <w:r w:rsidR="008667EC">
        <w:rPr>
          <w:rFonts w:cs="Tahoma"/>
          <w:szCs w:val="20"/>
        </w:rPr>
        <w:t xml:space="preserve">of </w:t>
      </w:r>
      <w:r w:rsidRPr="008F1881">
        <w:rPr>
          <w:rFonts w:cs="Tahoma"/>
          <w:szCs w:val="20"/>
        </w:rPr>
        <w:t xml:space="preserve">its surrounding regions. This is reflected by the fact that five </w:t>
      </w:r>
      <w:r w:rsidR="00D51DD8">
        <w:rPr>
          <w:rFonts w:cs="Tahoma"/>
          <w:szCs w:val="20"/>
        </w:rPr>
        <w:t>c</w:t>
      </w:r>
      <w:r w:rsidR="00D51DD8" w:rsidRPr="008F1881">
        <w:rPr>
          <w:rFonts w:cs="Tahoma"/>
          <w:szCs w:val="20"/>
        </w:rPr>
        <w:t xml:space="preserve">atchment </w:t>
      </w:r>
      <w:r w:rsidR="00D51DD8">
        <w:rPr>
          <w:rFonts w:cs="Tahoma"/>
          <w:szCs w:val="20"/>
        </w:rPr>
        <w:t>m</w:t>
      </w:r>
      <w:r w:rsidR="00D51DD8" w:rsidRPr="008F1881">
        <w:rPr>
          <w:rFonts w:cs="Tahoma"/>
          <w:szCs w:val="20"/>
        </w:rPr>
        <w:t xml:space="preserve">anagement </w:t>
      </w:r>
      <w:r w:rsidR="00D51DD8">
        <w:rPr>
          <w:rFonts w:cs="Tahoma"/>
          <w:szCs w:val="20"/>
        </w:rPr>
        <w:t>a</w:t>
      </w:r>
      <w:r w:rsidR="00D51DD8" w:rsidRPr="008F1881">
        <w:rPr>
          <w:rFonts w:cs="Tahoma"/>
          <w:szCs w:val="20"/>
        </w:rPr>
        <w:t xml:space="preserve">uthorities </w:t>
      </w:r>
      <w:r w:rsidRPr="008F1881">
        <w:rPr>
          <w:rFonts w:cs="Tahoma"/>
          <w:szCs w:val="20"/>
        </w:rPr>
        <w:t xml:space="preserve">intersect in the Central Highlands </w:t>
      </w:r>
      <w:r w:rsidR="008667EC">
        <w:rPr>
          <w:rFonts w:cs="Tahoma"/>
          <w:szCs w:val="20"/>
        </w:rPr>
        <w:t>r</w:t>
      </w:r>
      <w:r w:rsidRPr="008F1881">
        <w:rPr>
          <w:rFonts w:cs="Tahoma"/>
          <w:szCs w:val="20"/>
        </w:rPr>
        <w:t>egion</w:t>
      </w:r>
      <w:r w:rsidR="00122182">
        <w:rPr>
          <w:rFonts w:cs="Tahoma"/>
          <w:szCs w:val="20"/>
        </w:rPr>
        <w:t>: the</w:t>
      </w:r>
      <w:r w:rsidRPr="008F1881">
        <w:rPr>
          <w:rFonts w:cs="Tahoma"/>
          <w:szCs w:val="20"/>
        </w:rPr>
        <w:t xml:space="preserve"> North Central, Wimmera, Glenelg Hopkins, Corangamite</w:t>
      </w:r>
      <w:r w:rsidR="008667EC">
        <w:rPr>
          <w:rFonts w:cs="Tahoma"/>
          <w:szCs w:val="20"/>
        </w:rPr>
        <w:t>,</w:t>
      </w:r>
      <w:r w:rsidRPr="008F1881">
        <w:rPr>
          <w:rFonts w:cs="Tahoma"/>
          <w:szCs w:val="20"/>
        </w:rPr>
        <w:t xml:space="preserve"> and Port Phillip and Westernport </w:t>
      </w:r>
      <w:r w:rsidR="00D51DD8">
        <w:rPr>
          <w:rFonts w:cs="Tahoma"/>
          <w:szCs w:val="20"/>
        </w:rPr>
        <w:t>c</w:t>
      </w:r>
      <w:r w:rsidR="00D51DD8" w:rsidRPr="008F1881">
        <w:rPr>
          <w:rFonts w:cs="Tahoma"/>
          <w:szCs w:val="20"/>
        </w:rPr>
        <w:t xml:space="preserve">atchment </w:t>
      </w:r>
      <w:r w:rsidR="00D51DD8">
        <w:rPr>
          <w:rFonts w:cs="Tahoma"/>
          <w:szCs w:val="20"/>
        </w:rPr>
        <w:t>m</w:t>
      </w:r>
      <w:r w:rsidR="00D51DD8" w:rsidRPr="008F1881">
        <w:rPr>
          <w:rFonts w:cs="Tahoma"/>
          <w:szCs w:val="20"/>
        </w:rPr>
        <w:t xml:space="preserve">anagement </w:t>
      </w:r>
      <w:r w:rsidR="00D51DD8">
        <w:rPr>
          <w:rFonts w:cs="Tahoma"/>
          <w:szCs w:val="20"/>
        </w:rPr>
        <w:t>a</w:t>
      </w:r>
      <w:r w:rsidR="00D51DD8" w:rsidRPr="008F1881">
        <w:rPr>
          <w:rFonts w:cs="Tahoma"/>
          <w:szCs w:val="20"/>
        </w:rPr>
        <w:t>uthorities</w:t>
      </w:r>
      <w:r w:rsidRPr="008F1881">
        <w:rPr>
          <w:rFonts w:cs="Tahoma"/>
          <w:szCs w:val="20"/>
        </w:rPr>
        <w:t xml:space="preserve"> </w:t>
      </w:r>
      <w:r w:rsidR="000A44A6">
        <w:rPr>
          <w:rFonts w:cs="Tahoma"/>
          <w:szCs w:val="20"/>
        </w:rPr>
        <w:t>(refer to</w:t>
      </w:r>
      <w:r w:rsidR="008667EC">
        <w:rPr>
          <w:rFonts w:cs="Tahoma"/>
          <w:szCs w:val="20"/>
        </w:rPr>
        <w:t xml:space="preserve"> </w:t>
      </w:r>
      <w:r w:rsidR="00631B16">
        <w:fldChar w:fldCharType="begin"/>
      </w:r>
      <w:r w:rsidR="00631B16">
        <w:instrText xml:space="preserve"> REF _Ref350360539 \h  \* MERGEFORMAT </w:instrText>
      </w:r>
      <w:r w:rsidR="00631B16">
        <w:fldChar w:fldCharType="separate"/>
      </w:r>
      <w:r w:rsidR="00907B42" w:rsidRPr="00C80C40">
        <w:t xml:space="preserve">Figure </w:t>
      </w:r>
      <w:r w:rsidR="00907B42">
        <w:rPr>
          <w:noProof/>
        </w:rPr>
        <w:t>38</w:t>
      </w:r>
      <w:r w:rsidR="00631B16">
        <w:fldChar w:fldCharType="end"/>
      </w:r>
      <w:r w:rsidRPr="008F1881">
        <w:rPr>
          <w:rFonts w:cs="Tahoma"/>
          <w:szCs w:val="20"/>
        </w:rPr>
        <w:t xml:space="preserve">). </w:t>
      </w:r>
    </w:p>
    <w:p w:rsidR="00B055FA" w:rsidRDefault="00C32E40" w:rsidP="00054FF7">
      <w:pPr>
        <w:pStyle w:val="bt"/>
        <w:rPr>
          <w:rFonts w:cs="Tahoma"/>
          <w:szCs w:val="20"/>
        </w:rPr>
      </w:pPr>
      <w:r w:rsidRPr="008F1881">
        <w:rPr>
          <w:rFonts w:cs="Tahoma"/>
          <w:szCs w:val="20"/>
        </w:rPr>
        <w:t xml:space="preserve">Each </w:t>
      </w:r>
      <w:r w:rsidR="00D51DD8">
        <w:rPr>
          <w:rFonts w:cs="Tahoma"/>
          <w:szCs w:val="20"/>
        </w:rPr>
        <w:t>c</w:t>
      </w:r>
      <w:r w:rsidR="00D51DD8" w:rsidRPr="008F1881">
        <w:rPr>
          <w:rFonts w:cs="Tahoma"/>
          <w:szCs w:val="20"/>
        </w:rPr>
        <w:t xml:space="preserve">atchment </w:t>
      </w:r>
      <w:r w:rsidR="00D51DD8">
        <w:rPr>
          <w:rFonts w:cs="Tahoma"/>
          <w:szCs w:val="20"/>
        </w:rPr>
        <w:t>m</w:t>
      </w:r>
      <w:r w:rsidR="00D51DD8" w:rsidRPr="008F1881">
        <w:rPr>
          <w:rFonts w:cs="Tahoma"/>
          <w:szCs w:val="20"/>
        </w:rPr>
        <w:t xml:space="preserve">anagement </w:t>
      </w:r>
      <w:r w:rsidR="00D51DD8">
        <w:rPr>
          <w:rFonts w:cs="Tahoma"/>
          <w:szCs w:val="20"/>
        </w:rPr>
        <w:t>authority</w:t>
      </w:r>
      <w:r w:rsidRPr="008F1881">
        <w:rPr>
          <w:rFonts w:cs="Tahoma"/>
          <w:szCs w:val="20"/>
        </w:rPr>
        <w:t xml:space="preserve"> prepares a regional catchment strategy, which becomes the princ</w:t>
      </w:r>
      <w:r w:rsidR="00C81B58">
        <w:rPr>
          <w:rFonts w:cs="Tahoma"/>
          <w:szCs w:val="20"/>
        </w:rPr>
        <w:t>ipal</w:t>
      </w:r>
      <w:r w:rsidRPr="008F1881">
        <w:rPr>
          <w:rFonts w:cs="Tahoma"/>
          <w:szCs w:val="20"/>
        </w:rPr>
        <w:t xml:space="preserve"> strategic document setting regional priorities for maintenance of natural resources. </w:t>
      </w:r>
      <w:r w:rsidR="00441EAD">
        <w:rPr>
          <w:rFonts w:cs="Tahoma"/>
          <w:szCs w:val="20"/>
        </w:rPr>
        <w:t>The strategy is</w:t>
      </w:r>
      <w:r w:rsidRPr="008F1881">
        <w:rPr>
          <w:rFonts w:cs="Tahoma"/>
          <w:szCs w:val="20"/>
        </w:rPr>
        <w:t xml:space="preserve"> completed every five years by each</w:t>
      </w:r>
      <w:r w:rsidR="008667EC">
        <w:rPr>
          <w:rFonts w:cs="Tahoma"/>
          <w:szCs w:val="20"/>
        </w:rPr>
        <w:t xml:space="preserve"> catchment management authority</w:t>
      </w:r>
      <w:r w:rsidRPr="008F1881">
        <w:rPr>
          <w:rFonts w:cs="Tahoma"/>
          <w:szCs w:val="20"/>
        </w:rPr>
        <w:t>, in consultation with the local community,</w:t>
      </w:r>
      <w:r w:rsidR="00C81B58">
        <w:rPr>
          <w:rFonts w:cs="Tahoma"/>
          <w:szCs w:val="20"/>
        </w:rPr>
        <w:t xml:space="preserve"> and</w:t>
      </w:r>
      <w:r w:rsidRPr="008F1881">
        <w:rPr>
          <w:rFonts w:cs="Tahoma"/>
          <w:szCs w:val="20"/>
        </w:rPr>
        <w:t xml:space="preserve"> the Victorian and Austr</w:t>
      </w:r>
      <w:r>
        <w:rPr>
          <w:rFonts w:cs="Tahoma"/>
          <w:szCs w:val="20"/>
        </w:rPr>
        <w:t xml:space="preserve">alian </w:t>
      </w:r>
      <w:r w:rsidR="008667EC">
        <w:rPr>
          <w:rFonts w:cs="Tahoma"/>
          <w:szCs w:val="20"/>
        </w:rPr>
        <w:t>g</w:t>
      </w:r>
      <w:r>
        <w:rPr>
          <w:rFonts w:cs="Tahoma"/>
          <w:szCs w:val="20"/>
        </w:rPr>
        <w:t>overnments.</w:t>
      </w:r>
    </w:p>
    <w:p w:rsidR="00C820C0" w:rsidRDefault="006006DC">
      <w:pPr>
        <w:pStyle w:val="bt"/>
        <w:spacing w:after="120"/>
      </w:pPr>
      <w:r w:rsidRPr="00AE32EA">
        <w:t>Regional catchment strategies and their sub-strategies</w:t>
      </w:r>
      <w:r w:rsidR="0013722C">
        <w:t xml:space="preserve">, </w:t>
      </w:r>
      <w:r w:rsidRPr="00AE32EA">
        <w:t>such as regional waterway strategies</w:t>
      </w:r>
      <w:r w:rsidR="0013722C">
        <w:t>,</w:t>
      </w:r>
      <w:r w:rsidRPr="00AE32EA">
        <w:t xml:space="preserve"> identify priorities for investment in protecting and enhancing h</w:t>
      </w:r>
      <w:r>
        <w:t>igh value environmental assets.</w:t>
      </w:r>
      <w:r w:rsidRPr="00AE32EA">
        <w:t xml:space="preserve"> </w:t>
      </w:r>
    </w:p>
    <w:p w:rsidR="00C32E40" w:rsidRPr="00C80C40" w:rsidRDefault="00C820C0" w:rsidP="00C80C40">
      <w:pPr>
        <w:pStyle w:val="Caption"/>
      </w:pPr>
      <w:bookmarkStart w:id="221" w:name="_Ref350360539"/>
      <w:r>
        <w:rPr>
          <w:noProof/>
        </w:rPr>
        <w:lastRenderedPageBreak/>
        <w:drawing>
          <wp:anchor distT="0" distB="0" distL="114300" distR="114300" simplePos="0" relativeHeight="251692032" behindDoc="0" locked="0" layoutInCell="1" allowOverlap="1">
            <wp:simplePos x="0" y="0"/>
            <wp:positionH relativeFrom="column">
              <wp:posOffset>-69850</wp:posOffset>
            </wp:positionH>
            <wp:positionV relativeFrom="paragraph">
              <wp:posOffset>281305</wp:posOffset>
            </wp:positionV>
            <wp:extent cx="6591300" cy="4533900"/>
            <wp:effectExtent l="19050" t="0" r="0" b="0"/>
            <wp:wrapTopAndBottom/>
            <wp:docPr id="38" name="Picture 1" descr="Map showing catchment management authority and regional growth plan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stretch>
                      <a:fillRect/>
                    </a:stretch>
                  </pic:blipFill>
                  <pic:spPr bwMode="auto">
                    <a:xfrm>
                      <a:off x="0" y="0"/>
                      <a:ext cx="6591300" cy="4533900"/>
                    </a:xfrm>
                    <a:prstGeom prst="rect">
                      <a:avLst/>
                    </a:prstGeom>
                    <a:noFill/>
                    <a:ln w="9525">
                      <a:noFill/>
                      <a:miter lim="800000"/>
                      <a:headEnd/>
                      <a:tailEnd/>
                    </a:ln>
                  </pic:spPr>
                </pic:pic>
              </a:graphicData>
            </a:graphic>
          </wp:anchor>
        </w:drawing>
      </w:r>
      <w:bookmarkStart w:id="222" w:name="_Toc381698038"/>
      <w:r w:rsidR="00C32E40" w:rsidRPr="00C80C40">
        <w:t xml:space="preserve">Figure </w:t>
      </w:r>
      <w:r w:rsidR="009F388E">
        <w:fldChar w:fldCharType="begin"/>
      </w:r>
      <w:r w:rsidR="00821C7F">
        <w:instrText xml:space="preserve"> SEQ Figure \* ARABIC </w:instrText>
      </w:r>
      <w:r w:rsidR="009F388E">
        <w:fldChar w:fldCharType="separate"/>
      </w:r>
      <w:r w:rsidR="00907B42">
        <w:rPr>
          <w:noProof/>
        </w:rPr>
        <w:t>38</w:t>
      </w:r>
      <w:r w:rsidR="009F388E">
        <w:fldChar w:fldCharType="end"/>
      </w:r>
      <w:bookmarkEnd w:id="221"/>
      <w:r w:rsidR="005D3842" w:rsidRPr="00C80C40">
        <w:t>:</w:t>
      </w:r>
      <w:r w:rsidR="00C32E40" w:rsidRPr="00C80C40">
        <w:t xml:space="preserve"> Catchment </w:t>
      </w:r>
      <w:r w:rsidR="005D3842" w:rsidRPr="00C80C40">
        <w:t>m</w:t>
      </w:r>
      <w:r w:rsidR="00C32E40" w:rsidRPr="00C80C40">
        <w:t xml:space="preserve">anagement </w:t>
      </w:r>
      <w:r w:rsidR="005D3842" w:rsidRPr="00C80C40">
        <w:t>a</w:t>
      </w:r>
      <w:r w:rsidR="00C32E40" w:rsidRPr="00C80C40">
        <w:t xml:space="preserve">uthority and </w:t>
      </w:r>
      <w:r w:rsidR="005D3842" w:rsidRPr="00C80C40">
        <w:t>r</w:t>
      </w:r>
      <w:r w:rsidR="00C32E40" w:rsidRPr="00C80C40">
        <w:t xml:space="preserve">egional </w:t>
      </w:r>
      <w:r w:rsidR="005D3842" w:rsidRPr="00C80C40">
        <w:t>g</w:t>
      </w:r>
      <w:r w:rsidR="00C32E40" w:rsidRPr="00C80C40">
        <w:t xml:space="preserve">rowth </w:t>
      </w:r>
      <w:r w:rsidR="005D3842" w:rsidRPr="00C80C40">
        <w:t>p</w:t>
      </w:r>
      <w:r w:rsidR="00C32E40" w:rsidRPr="00C80C40">
        <w:t>lan boundaries</w:t>
      </w:r>
      <w:bookmarkEnd w:id="222"/>
    </w:p>
    <w:p w:rsidR="00C80C40" w:rsidRPr="00CD2959" w:rsidRDefault="00054FF7" w:rsidP="00CB41DC">
      <w:pPr>
        <w:pStyle w:val="Source0"/>
      </w:pPr>
      <w:r w:rsidRPr="00CD2959">
        <w:t xml:space="preserve">Source: </w:t>
      </w:r>
      <w:r w:rsidR="009D6C50">
        <w:t xml:space="preserve">Department of Transport, Planning </w:t>
      </w:r>
      <w:r w:rsidR="006A57C2">
        <w:t>and</w:t>
      </w:r>
      <w:r w:rsidR="009D6C50">
        <w:t xml:space="preserve"> Local Infrastructure</w:t>
      </w:r>
    </w:p>
    <w:p w:rsidR="00753330" w:rsidRPr="008F1881" w:rsidRDefault="00B055FA" w:rsidP="006F7E2E">
      <w:pPr>
        <w:pStyle w:val="bt"/>
        <w:spacing w:after="120"/>
      </w:pPr>
      <w:r w:rsidRPr="008F1881">
        <w:t xml:space="preserve">The Central Highlands region contains many of the </w:t>
      </w:r>
      <w:r w:rsidR="00D51DD8">
        <w:t>s</w:t>
      </w:r>
      <w:r w:rsidR="00D51DD8" w:rsidRPr="008F1881">
        <w:t xml:space="preserve">tate’s </w:t>
      </w:r>
      <w:r w:rsidRPr="008F1881">
        <w:t>significant environmental features, including</w:t>
      </w:r>
      <w:r w:rsidR="008667EC">
        <w:t xml:space="preserve">, </w:t>
      </w:r>
      <w:r w:rsidRPr="008F1881">
        <w:t>(wholly or in part):</w:t>
      </w:r>
    </w:p>
    <w:p w:rsidR="00B055FA" w:rsidRPr="008F1881" w:rsidRDefault="00B055FA" w:rsidP="00054FF7">
      <w:pPr>
        <w:pStyle w:val="ListBullet"/>
      </w:pPr>
      <w:r w:rsidRPr="008F1881">
        <w:t xml:space="preserve">Grampians </w:t>
      </w:r>
      <w:r w:rsidR="009433CE" w:rsidRPr="008F1881">
        <w:t xml:space="preserve">(Gariwerd) </w:t>
      </w:r>
      <w:r w:rsidRPr="008F1881">
        <w:t>National Park</w:t>
      </w:r>
    </w:p>
    <w:p w:rsidR="00B055FA" w:rsidRPr="008F1881" w:rsidRDefault="00B055FA" w:rsidP="00054FF7">
      <w:pPr>
        <w:pStyle w:val="ListBullet"/>
      </w:pPr>
      <w:r w:rsidRPr="008F1881">
        <w:t>St Arnaud Range National Park</w:t>
      </w:r>
    </w:p>
    <w:p w:rsidR="00B055FA" w:rsidRPr="008F1881" w:rsidRDefault="00B055FA" w:rsidP="00054FF7">
      <w:pPr>
        <w:pStyle w:val="ListBullet"/>
      </w:pPr>
      <w:r w:rsidRPr="008F1881">
        <w:t>The Pyrenees Ranges (part of the Great Dividing Range)</w:t>
      </w:r>
    </w:p>
    <w:p w:rsidR="00B055FA" w:rsidRPr="008F1881" w:rsidRDefault="00B055FA" w:rsidP="00054FF7">
      <w:pPr>
        <w:pStyle w:val="ListBullet"/>
      </w:pPr>
      <w:r w:rsidRPr="008F1881">
        <w:t>Lerderderg State Park</w:t>
      </w:r>
    </w:p>
    <w:p w:rsidR="00B055FA" w:rsidRPr="008F1881" w:rsidRDefault="00B055FA" w:rsidP="00054FF7">
      <w:pPr>
        <w:pStyle w:val="ListBullet"/>
      </w:pPr>
      <w:r w:rsidRPr="008F1881">
        <w:t>Daylesford and Hepburn Springs</w:t>
      </w:r>
    </w:p>
    <w:p w:rsidR="00B055FA" w:rsidRPr="008F1881" w:rsidRDefault="00B055FA" w:rsidP="00054FF7">
      <w:pPr>
        <w:pStyle w:val="ListBullet"/>
      </w:pPr>
      <w:r w:rsidRPr="008F1881">
        <w:t>The Castlemaine Diggings National Park</w:t>
      </w:r>
    </w:p>
    <w:p w:rsidR="00B055FA" w:rsidRPr="008F1881" w:rsidRDefault="00B055FA" w:rsidP="00054FF7">
      <w:pPr>
        <w:pStyle w:val="ListBullet"/>
      </w:pPr>
      <w:r w:rsidRPr="008F1881">
        <w:t>Brisbane Ranges National Park</w:t>
      </w:r>
    </w:p>
    <w:p w:rsidR="00B055FA" w:rsidRPr="008F1881" w:rsidRDefault="00B055FA" w:rsidP="00054FF7">
      <w:pPr>
        <w:pStyle w:val="ListBullet"/>
      </w:pPr>
      <w:r w:rsidRPr="008F1881">
        <w:t>Werribee Gorge</w:t>
      </w:r>
      <w:r w:rsidR="008667EC">
        <w:t xml:space="preserve"> State Park</w:t>
      </w:r>
    </w:p>
    <w:p w:rsidR="00B055FA" w:rsidRDefault="00B055FA" w:rsidP="00054FF7">
      <w:pPr>
        <w:pStyle w:val="ListBullet"/>
      </w:pPr>
      <w:r w:rsidRPr="008F1881">
        <w:t>Enfield State Park</w:t>
      </w:r>
    </w:p>
    <w:p w:rsidR="00C32E40" w:rsidRPr="008F1881" w:rsidRDefault="00C32E40" w:rsidP="00054FF7">
      <w:pPr>
        <w:pStyle w:val="ListBullet"/>
      </w:pPr>
      <w:r>
        <w:t>Mount Cole</w:t>
      </w:r>
    </w:p>
    <w:p w:rsidR="00B055FA" w:rsidRPr="008F1881" w:rsidRDefault="009433CE" w:rsidP="00054FF7">
      <w:pPr>
        <w:pStyle w:val="ListBullet"/>
      </w:pPr>
      <w:r w:rsidRPr="008F1881">
        <w:t>Numerous significant rivers, wetlands and lakes</w:t>
      </w:r>
    </w:p>
    <w:p w:rsidR="00B055FA" w:rsidRPr="008F1881" w:rsidRDefault="00B055FA" w:rsidP="006F7E2E">
      <w:pPr>
        <w:pStyle w:val="bt"/>
        <w:spacing w:after="120"/>
      </w:pPr>
      <w:r w:rsidRPr="008F1881">
        <w:t>Landscape connectivity in the region is particularly strong around the ranges and areas of public land, and is poorer in agricultural areas.</w:t>
      </w:r>
    </w:p>
    <w:p w:rsidR="008F1881" w:rsidRPr="008F1881" w:rsidRDefault="00B055FA" w:rsidP="001F66D6">
      <w:pPr>
        <w:pStyle w:val="bt"/>
        <w:rPr>
          <w:rFonts w:ascii="Tahoma" w:hAnsi="Tahoma" w:cs="Tahoma"/>
          <w:szCs w:val="19"/>
        </w:rPr>
      </w:pPr>
      <w:r w:rsidRPr="00054FF7">
        <w:t xml:space="preserve">The </w:t>
      </w:r>
      <w:r w:rsidR="00C81B58">
        <w:t>S</w:t>
      </w:r>
      <w:r w:rsidR="00D815C1">
        <w:t xml:space="preserve">tate </w:t>
      </w:r>
      <w:r w:rsidR="00C81B58">
        <w:t>G</w:t>
      </w:r>
      <w:r w:rsidR="00D815C1">
        <w:t>overnment</w:t>
      </w:r>
      <w:r w:rsidR="00D51DD8" w:rsidRPr="00054FF7">
        <w:t xml:space="preserve"> </w:t>
      </w:r>
      <w:r w:rsidRPr="00054FF7">
        <w:t xml:space="preserve">has identified the need to protect areas of high biodiversity value (catchment assets) and to </w:t>
      </w:r>
      <w:r w:rsidR="009433CE" w:rsidRPr="00054FF7">
        <w:t xml:space="preserve">improve the vegetation corridors </w:t>
      </w:r>
      <w:r w:rsidRPr="00054FF7">
        <w:t xml:space="preserve">between them. The connections between natural habitats have been lost through land clearing and changed land uses. Most remaining examples of native forests, woodlands, </w:t>
      </w:r>
      <w:r w:rsidRPr="00054FF7">
        <w:lastRenderedPageBreak/>
        <w:t>grasslands and seasonal wetlands occur in parks and reserves or as isolated remnants within a matrix of farmland, urban land and other altered areas.</w:t>
      </w:r>
    </w:p>
    <w:p w:rsidR="008F1881" w:rsidRPr="005B01F7" w:rsidRDefault="00B055FA" w:rsidP="006F7E2E">
      <w:pPr>
        <w:pStyle w:val="Heading2"/>
        <w:spacing w:before="0" w:after="120"/>
      </w:pPr>
      <w:bookmarkStart w:id="223" w:name="_Toc349138548"/>
      <w:bookmarkStart w:id="224" w:name="_Toc349138859"/>
      <w:bookmarkStart w:id="225" w:name="_Toc349138916"/>
      <w:bookmarkStart w:id="226" w:name="_Toc349138975"/>
      <w:bookmarkStart w:id="227" w:name="_Toc349139033"/>
      <w:bookmarkStart w:id="228" w:name="_Toc349557720"/>
      <w:bookmarkStart w:id="229" w:name="_Toc349557957"/>
      <w:bookmarkStart w:id="230" w:name="_Toc349558068"/>
      <w:bookmarkStart w:id="231" w:name="_Toc349558179"/>
      <w:bookmarkStart w:id="232" w:name="_Toc349558628"/>
      <w:bookmarkStart w:id="233" w:name="_Toc349138549"/>
      <w:bookmarkStart w:id="234" w:name="_Toc349138860"/>
      <w:bookmarkStart w:id="235" w:name="_Toc349138917"/>
      <w:bookmarkStart w:id="236" w:name="_Toc349138976"/>
      <w:bookmarkStart w:id="237" w:name="_Toc349139034"/>
      <w:bookmarkStart w:id="238" w:name="_Toc349557721"/>
      <w:bookmarkStart w:id="239" w:name="_Toc349557958"/>
      <w:bookmarkStart w:id="240" w:name="_Toc349558069"/>
      <w:bookmarkStart w:id="241" w:name="_Toc349558180"/>
      <w:bookmarkStart w:id="242" w:name="_Toc349558629"/>
      <w:bookmarkStart w:id="243" w:name="_Toc349138550"/>
      <w:bookmarkStart w:id="244" w:name="_Toc349138861"/>
      <w:bookmarkStart w:id="245" w:name="_Toc349138918"/>
      <w:bookmarkStart w:id="246" w:name="_Toc349138977"/>
      <w:bookmarkStart w:id="247" w:name="_Toc349139035"/>
      <w:bookmarkStart w:id="248" w:name="_Toc349557722"/>
      <w:bookmarkStart w:id="249" w:name="_Toc349557959"/>
      <w:bookmarkStart w:id="250" w:name="_Toc349558070"/>
      <w:bookmarkStart w:id="251" w:name="_Toc349558181"/>
      <w:bookmarkStart w:id="252" w:name="_Toc349558630"/>
      <w:bookmarkStart w:id="253" w:name="_Toc349138551"/>
      <w:bookmarkStart w:id="254" w:name="_Toc349138862"/>
      <w:bookmarkStart w:id="255" w:name="_Toc349138919"/>
      <w:bookmarkStart w:id="256" w:name="_Toc349138978"/>
      <w:bookmarkStart w:id="257" w:name="_Toc349139036"/>
      <w:bookmarkStart w:id="258" w:name="_Toc349557723"/>
      <w:bookmarkStart w:id="259" w:name="_Toc349557960"/>
      <w:bookmarkStart w:id="260" w:name="_Toc349558071"/>
      <w:bookmarkStart w:id="261" w:name="_Toc349558182"/>
      <w:bookmarkStart w:id="262" w:name="_Toc349558631"/>
      <w:bookmarkStart w:id="263" w:name="_Toc349138552"/>
      <w:bookmarkStart w:id="264" w:name="_Toc349138863"/>
      <w:bookmarkStart w:id="265" w:name="_Toc349138920"/>
      <w:bookmarkStart w:id="266" w:name="_Toc349138979"/>
      <w:bookmarkStart w:id="267" w:name="_Toc349139037"/>
      <w:bookmarkStart w:id="268" w:name="_Toc349557724"/>
      <w:bookmarkStart w:id="269" w:name="_Toc349557961"/>
      <w:bookmarkStart w:id="270" w:name="_Toc349558072"/>
      <w:bookmarkStart w:id="271" w:name="_Toc349558183"/>
      <w:bookmarkStart w:id="272" w:name="_Toc349558632"/>
      <w:bookmarkStart w:id="273" w:name="_Toc349138553"/>
      <w:bookmarkStart w:id="274" w:name="_Toc349138864"/>
      <w:bookmarkStart w:id="275" w:name="_Toc349138921"/>
      <w:bookmarkStart w:id="276" w:name="_Toc349138980"/>
      <w:bookmarkStart w:id="277" w:name="_Toc349139038"/>
      <w:bookmarkStart w:id="278" w:name="_Toc349557725"/>
      <w:bookmarkStart w:id="279" w:name="_Toc349557962"/>
      <w:bookmarkStart w:id="280" w:name="_Toc349558073"/>
      <w:bookmarkStart w:id="281" w:name="_Toc349558184"/>
      <w:bookmarkStart w:id="282" w:name="_Toc349558633"/>
      <w:bookmarkStart w:id="283" w:name="_Toc349138554"/>
      <w:bookmarkStart w:id="284" w:name="_Toc349138865"/>
      <w:bookmarkStart w:id="285" w:name="_Toc349138922"/>
      <w:bookmarkStart w:id="286" w:name="_Toc349138981"/>
      <w:bookmarkStart w:id="287" w:name="_Toc349139039"/>
      <w:bookmarkStart w:id="288" w:name="_Toc349557726"/>
      <w:bookmarkStart w:id="289" w:name="_Toc349557963"/>
      <w:bookmarkStart w:id="290" w:name="_Toc349558074"/>
      <w:bookmarkStart w:id="291" w:name="_Toc349558185"/>
      <w:bookmarkStart w:id="292" w:name="_Toc349558634"/>
      <w:bookmarkStart w:id="293" w:name="_Toc349138555"/>
      <w:bookmarkStart w:id="294" w:name="_Toc349138866"/>
      <w:bookmarkStart w:id="295" w:name="_Toc349138923"/>
      <w:bookmarkStart w:id="296" w:name="_Toc349138982"/>
      <w:bookmarkStart w:id="297" w:name="_Toc349139040"/>
      <w:bookmarkStart w:id="298" w:name="_Toc349557727"/>
      <w:bookmarkStart w:id="299" w:name="_Toc349557964"/>
      <w:bookmarkStart w:id="300" w:name="_Toc349558075"/>
      <w:bookmarkStart w:id="301" w:name="_Toc349558186"/>
      <w:bookmarkStart w:id="302" w:name="_Toc349558635"/>
      <w:bookmarkStart w:id="303" w:name="_Toc349138556"/>
      <w:bookmarkStart w:id="304" w:name="_Toc349138867"/>
      <w:bookmarkStart w:id="305" w:name="_Toc349138924"/>
      <w:bookmarkStart w:id="306" w:name="_Toc349138983"/>
      <w:bookmarkStart w:id="307" w:name="_Toc349139041"/>
      <w:bookmarkStart w:id="308" w:name="_Toc349557728"/>
      <w:bookmarkStart w:id="309" w:name="_Toc349557965"/>
      <w:bookmarkStart w:id="310" w:name="_Toc349558076"/>
      <w:bookmarkStart w:id="311" w:name="_Toc349558187"/>
      <w:bookmarkStart w:id="312" w:name="_Toc349558636"/>
      <w:bookmarkStart w:id="313" w:name="_Toc349557729"/>
      <w:bookmarkStart w:id="314" w:name="_Toc374527618"/>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r w:rsidRPr="005B01F7">
        <w:t>Natural environment</w:t>
      </w:r>
      <w:bookmarkEnd w:id="313"/>
      <w:bookmarkEnd w:id="314"/>
    </w:p>
    <w:p w:rsidR="00B055FA" w:rsidRPr="00054FF7" w:rsidRDefault="00B055FA" w:rsidP="00054FF7">
      <w:pPr>
        <w:pStyle w:val="bt"/>
        <w:rPr>
          <w:szCs w:val="20"/>
        </w:rPr>
      </w:pPr>
      <w:r w:rsidRPr="00054FF7">
        <w:rPr>
          <w:szCs w:val="20"/>
        </w:rPr>
        <w:t xml:space="preserve">The </w:t>
      </w:r>
      <w:r w:rsidR="008667EC" w:rsidRPr="00054FF7">
        <w:rPr>
          <w:szCs w:val="20"/>
        </w:rPr>
        <w:t xml:space="preserve">Central Highlands </w:t>
      </w:r>
      <w:r w:rsidRPr="00054FF7">
        <w:rPr>
          <w:szCs w:val="20"/>
        </w:rPr>
        <w:t xml:space="preserve">region’s natural environment is highly valued by its residents. </w:t>
      </w:r>
      <w:r w:rsidR="008667EC" w:rsidRPr="00054FF7">
        <w:rPr>
          <w:szCs w:val="20"/>
        </w:rPr>
        <w:t xml:space="preserve">It </w:t>
      </w:r>
      <w:r w:rsidRPr="00054FF7">
        <w:rPr>
          <w:szCs w:val="20"/>
        </w:rPr>
        <w:t xml:space="preserve">is a significant attraction for both residents and visitors. The protection of environmental </w:t>
      </w:r>
      <w:r w:rsidR="00F54478" w:rsidRPr="00054FF7">
        <w:rPr>
          <w:szCs w:val="20"/>
        </w:rPr>
        <w:t xml:space="preserve">assets </w:t>
      </w:r>
      <w:r w:rsidRPr="00054FF7">
        <w:rPr>
          <w:szCs w:val="20"/>
        </w:rPr>
        <w:t xml:space="preserve">is important not only for environmental reasons but also for liveability and productivity. </w:t>
      </w:r>
      <w:r w:rsidR="00F54478" w:rsidRPr="00054FF7">
        <w:rPr>
          <w:szCs w:val="20"/>
        </w:rPr>
        <w:t xml:space="preserve">Environmental </w:t>
      </w:r>
      <w:r w:rsidRPr="00054FF7">
        <w:rPr>
          <w:szCs w:val="20"/>
        </w:rPr>
        <w:t xml:space="preserve">assets such as forests and parks play a key role in protecting biodiversity and ecosystem resilience and provide a major contribution to the region’s social and economic wellbeing by </w:t>
      </w:r>
      <w:r w:rsidR="00C81B58">
        <w:rPr>
          <w:szCs w:val="20"/>
        </w:rPr>
        <w:t>contributing</w:t>
      </w:r>
      <w:r w:rsidRPr="00054FF7">
        <w:rPr>
          <w:szCs w:val="20"/>
        </w:rPr>
        <w:t xml:space="preserve"> </w:t>
      </w:r>
      <w:r w:rsidR="00DB0AAD" w:rsidRPr="00054FF7">
        <w:rPr>
          <w:szCs w:val="20"/>
        </w:rPr>
        <w:t xml:space="preserve">environmental </w:t>
      </w:r>
      <w:r w:rsidRPr="00054FF7">
        <w:rPr>
          <w:szCs w:val="20"/>
        </w:rPr>
        <w:t>services</w:t>
      </w:r>
      <w:r w:rsidR="00D51DD8" w:rsidRPr="00054FF7">
        <w:rPr>
          <w:szCs w:val="20"/>
        </w:rPr>
        <w:t>,</w:t>
      </w:r>
      <w:r w:rsidRPr="00054FF7">
        <w:rPr>
          <w:szCs w:val="20"/>
        </w:rPr>
        <w:t xml:space="preserve"> such as clean air and water</w:t>
      </w:r>
      <w:r w:rsidR="00D51DD8" w:rsidRPr="00054FF7">
        <w:rPr>
          <w:szCs w:val="20"/>
        </w:rPr>
        <w:t>,</w:t>
      </w:r>
      <w:r w:rsidRPr="00054FF7">
        <w:rPr>
          <w:szCs w:val="20"/>
        </w:rPr>
        <w:t xml:space="preserve"> carbon storage</w:t>
      </w:r>
      <w:r w:rsidR="00D51DD8" w:rsidRPr="00054FF7">
        <w:rPr>
          <w:szCs w:val="20"/>
        </w:rPr>
        <w:t>,</w:t>
      </w:r>
      <w:r w:rsidRPr="00054FF7">
        <w:rPr>
          <w:szCs w:val="20"/>
        </w:rPr>
        <w:t xml:space="preserve"> timber products</w:t>
      </w:r>
      <w:r w:rsidR="00D51DD8" w:rsidRPr="00054FF7">
        <w:rPr>
          <w:szCs w:val="20"/>
        </w:rPr>
        <w:t>,</w:t>
      </w:r>
      <w:r w:rsidRPr="00054FF7">
        <w:rPr>
          <w:szCs w:val="20"/>
        </w:rPr>
        <w:t xml:space="preserve"> pollinatio</w:t>
      </w:r>
      <w:r w:rsidR="008667EC" w:rsidRPr="00054FF7">
        <w:rPr>
          <w:szCs w:val="20"/>
        </w:rPr>
        <w:t>n</w:t>
      </w:r>
      <w:r w:rsidRPr="00054FF7">
        <w:rPr>
          <w:szCs w:val="20"/>
        </w:rPr>
        <w:t xml:space="preserve"> and climate regulation.  </w:t>
      </w:r>
    </w:p>
    <w:p w:rsidR="00B055FA" w:rsidRPr="00054FF7" w:rsidRDefault="00B055FA" w:rsidP="00054FF7">
      <w:pPr>
        <w:pStyle w:val="bt"/>
        <w:rPr>
          <w:szCs w:val="20"/>
        </w:rPr>
      </w:pPr>
      <w:r w:rsidRPr="00054FF7">
        <w:rPr>
          <w:szCs w:val="20"/>
        </w:rPr>
        <w:t xml:space="preserve">The benefits to the region from tourism, recreation and natural resource-based industries such as timber, apiculture and mining are significant. </w:t>
      </w:r>
      <w:r w:rsidR="00DB0AAD" w:rsidRPr="00054FF7">
        <w:rPr>
          <w:szCs w:val="20"/>
        </w:rPr>
        <w:t xml:space="preserve">Environmental </w:t>
      </w:r>
      <w:r w:rsidRPr="00054FF7">
        <w:rPr>
          <w:szCs w:val="20"/>
        </w:rPr>
        <w:t xml:space="preserve">assets also provide important open spaces for recreation in urban areas and protect significant cultural values including </w:t>
      </w:r>
      <w:r w:rsidR="00062061" w:rsidRPr="00054FF7">
        <w:rPr>
          <w:szCs w:val="20"/>
        </w:rPr>
        <w:t xml:space="preserve">Aboriginal </w:t>
      </w:r>
      <w:r w:rsidRPr="00054FF7">
        <w:rPr>
          <w:szCs w:val="20"/>
        </w:rPr>
        <w:t xml:space="preserve">and </w:t>
      </w:r>
      <w:r w:rsidR="001D4197">
        <w:rPr>
          <w:szCs w:val="20"/>
        </w:rPr>
        <w:t>historic</w:t>
      </w:r>
      <w:r w:rsidR="00062061" w:rsidRPr="00054FF7">
        <w:rPr>
          <w:szCs w:val="20"/>
        </w:rPr>
        <w:t xml:space="preserve"> </w:t>
      </w:r>
      <w:r w:rsidRPr="00054FF7">
        <w:rPr>
          <w:szCs w:val="20"/>
        </w:rPr>
        <w:t>cultural heritage places.</w:t>
      </w:r>
    </w:p>
    <w:p w:rsidR="008F1881" w:rsidRPr="005B01F7" w:rsidRDefault="009F09AE" w:rsidP="005B01F7">
      <w:pPr>
        <w:pStyle w:val="Heading3"/>
      </w:pPr>
      <w:bookmarkStart w:id="315" w:name="_Toc349557967"/>
      <w:bookmarkStart w:id="316" w:name="_Toc349558078"/>
      <w:bookmarkStart w:id="317" w:name="_Toc349558189"/>
      <w:bookmarkStart w:id="318" w:name="_Toc349558638"/>
      <w:bookmarkStart w:id="319" w:name="_Toc349557968"/>
      <w:bookmarkStart w:id="320" w:name="_Toc349558079"/>
      <w:bookmarkStart w:id="321" w:name="_Toc349558190"/>
      <w:bookmarkStart w:id="322" w:name="_Toc349558639"/>
      <w:bookmarkEnd w:id="315"/>
      <w:bookmarkEnd w:id="316"/>
      <w:bookmarkEnd w:id="317"/>
      <w:bookmarkEnd w:id="318"/>
      <w:bookmarkEnd w:id="319"/>
      <w:bookmarkEnd w:id="320"/>
      <w:bookmarkEnd w:id="321"/>
      <w:bookmarkEnd w:id="322"/>
      <w:r w:rsidRPr="005B01F7">
        <w:t xml:space="preserve">Description and </w:t>
      </w:r>
      <w:r w:rsidR="00661931" w:rsidRPr="005B01F7">
        <w:t>analysis</w:t>
      </w:r>
    </w:p>
    <w:p w:rsidR="00DF4FB3" w:rsidRPr="00E03E4A" w:rsidRDefault="00DF4FB3" w:rsidP="00DF4FB3">
      <w:pPr>
        <w:pStyle w:val="Heading40"/>
      </w:pPr>
      <w:r w:rsidRPr="00E03E4A">
        <w:t>Terrestrial habitat</w:t>
      </w:r>
    </w:p>
    <w:p w:rsidR="002062A6" w:rsidRPr="008F1881" w:rsidRDefault="002062A6" w:rsidP="00054FF7">
      <w:pPr>
        <w:pStyle w:val="bt"/>
      </w:pPr>
      <w:r w:rsidRPr="008F1881">
        <w:t>Native vegetation and habitats (terrestrial habitat) are important as they provide a range of values</w:t>
      </w:r>
      <w:r w:rsidR="00062061">
        <w:t>,</w:t>
      </w:r>
      <w:r w:rsidRPr="008F1881">
        <w:t xml:space="preserve"> such as filtering nutrients, habitat regeneration</w:t>
      </w:r>
      <w:r w:rsidR="00062061">
        <w:t xml:space="preserve"> and</w:t>
      </w:r>
      <w:r w:rsidRPr="008F1881">
        <w:t xml:space="preserve"> climate regulation</w:t>
      </w:r>
      <w:r w:rsidR="00062061">
        <w:t>,</w:t>
      </w:r>
      <w:r w:rsidRPr="008F1881">
        <w:t xml:space="preserve"> that underpin the health of land and water, flora and fauna, and natural communities. Native vegetation and habitats help provid</w:t>
      </w:r>
      <w:r w:rsidR="00062061">
        <w:t>e</w:t>
      </w:r>
      <w:r w:rsidRPr="008F1881">
        <w:t xml:space="preserve"> clean water, carbon sequestration, timber, firewood and health</w:t>
      </w:r>
      <w:r w:rsidR="00062061">
        <w:t>y</w:t>
      </w:r>
      <w:r w:rsidRPr="008F1881">
        <w:t xml:space="preserve"> soils. They also provide important spiritual and aesthetic values at various scales and are a key to many of the tourism values in the region.</w:t>
      </w:r>
    </w:p>
    <w:p w:rsidR="002062A6" w:rsidRPr="008F1881" w:rsidRDefault="002062A6" w:rsidP="00054FF7">
      <w:pPr>
        <w:pStyle w:val="bt"/>
      </w:pPr>
      <w:r w:rsidRPr="008F1881">
        <w:t>Loss of habitat extent and quality through clearing of native vegetation, or from other threatening processes for urban and rural purposes</w:t>
      </w:r>
      <w:r w:rsidR="00062061">
        <w:t>,</w:t>
      </w:r>
      <w:r w:rsidRPr="008F1881">
        <w:t xml:space="preserve"> has been and continues to be a significant threat to native vegetation and habitats across Victoria.</w:t>
      </w:r>
    </w:p>
    <w:p w:rsidR="002062A6" w:rsidRPr="008F1881" w:rsidRDefault="001726C8" w:rsidP="00054FF7">
      <w:pPr>
        <w:pStyle w:val="bt"/>
      </w:pPr>
      <w:r>
        <w:t xml:space="preserve">Central Highlands </w:t>
      </w:r>
      <w:r w:rsidR="00FF2864">
        <w:rPr>
          <w:rFonts w:cs="Tahoma"/>
          <w:szCs w:val="20"/>
        </w:rPr>
        <w:t>c</w:t>
      </w:r>
      <w:r w:rsidR="00FF2864" w:rsidRPr="008F1881">
        <w:rPr>
          <w:rFonts w:cs="Tahoma"/>
          <w:szCs w:val="20"/>
        </w:rPr>
        <w:t xml:space="preserve">atchment </w:t>
      </w:r>
      <w:r w:rsidR="00FF2864">
        <w:rPr>
          <w:rFonts w:cs="Tahoma"/>
          <w:szCs w:val="20"/>
        </w:rPr>
        <w:t>m</w:t>
      </w:r>
      <w:r w:rsidR="00FF2864" w:rsidRPr="008F1881">
        <w:rPr>
          <w:rFonts w:cs="Tahoma"/>
          <w:szCs w:val="20"/>
        </w:rPr>
        <w:t xml:space="preserve">anagement </w:t>
      </w:r>
      <w:r w:rsidR="00FF2864">
        <w:rPr>
          <w:rFonts w:cs="Tahoma"/>
          <w:szCs w:val="20"/>
        </w:rPr>
        <w:t>a</w:t>
      </w:r>
      <w:r w:rsidR="00FF2864" w:rsidRPr="008F1881">
        <w:rPr>
          <w:rFonts w:cs="Tahoma"/>
          <w:szCs w:val="20"/>
        </w:rPr>
        <w:t>uthorities</w:t>
      </w:r>
      <w:r w:rsidR="002062A6" w:rsidRPr="008F1881">
        <w:t xml:space="preserve"> have identified the highest value native vegetation and habitat assets within each of their boundaries. Each </w:t>
      </w:r>
      <w:r w:rsidR="00FF2864">
        <w:rPr>
          <w:rFonts w:cs="Tahoma"/>
          <w:szCs w:val="20"/>
        </w:rPr>
        <w:t>c</w:t>
      </w:r>
      <w:r w:rsidR="00FF2864" w:rsidRPr="008F1881">
        <w:rPr>
          <w:rFonts w:cs="Tahoma"/>
          <w:szCs w:val="20"/>
        </w:rPr>
        <w:t xml:space="preserve">atchment </w:t>
      </w:r>
      <w:r w:rsidR="00FF2864">
        <w:rPr>
          <w:rFonts w:cs="Tahoma"/>
          <w:szCs w:val="20"/>
        </w:rPr>
        <w:t>m</w:t>
      </w:r>
      <w:r w:rsidR="00FF2864" w:rsidRPr="008F1881">
        <w:rPr>
          <w:rFonts w:cs="Tahoma"/>
          <w:szCs w:val="20"/>
        </w:rPr>
        <w:t xml:space="preserve">anagement </w:t>
      </w:r>
      <w:r w:rsidR="00FF2864">
        <w:rPr>
          <w:rFonts w:cs="Tahoma"/>
          <w:szCs w:val="20"/>
        </w:rPr>
        <w:t>authority</w:t>
      </w:r>
      <w:r w:rsidR="002062A6" w:rsidRPr="008F1881">
        <w:t xml:space="preserve"> has used a different method to identify their highest value native vegetation and habitat.</w:t>
      </w:r>
    </w:p>
    <w:p w:rsidR="002062A6" w:rsidRDefault="002062A6" w:rsidP="00054FF7">
      <w:pPr>
        <w:pStyle w:val="bt"/>
      </w:pPr>
      <w:r w:rsidRPr="008F1881">
        <w:t xml:space="preserve">For consistency across the </w:t>
      </w:r>
      <w:r w:rsidR="00F4518F" w:rsidRPr="008F1881">
        <w:t>r</w:t>
      </w:r>
      <w:r w:rsidRPr="008F1881">
        <w:t xml:space="preserve">egional </w:t>
      </w:r>
      <w:r w:rsidR="00F4518F" w:rsidRPr="008F1881">
        <w:t>g</w:t>
      </w:r>
      <w:r w:rsidRPr="008F1881">
        <w:t xml:space="preserve">rowth </w:t>
      </w:r>
      <w:r w:rsidR="00F4518F" w:rsidRPr="008F1881">
        <w:t>p</w:t>
      </w:r>
      <w:r w:rsidRPr="008F1881">
        <w:t xml:space="preserve">lans, </w:t>
      </w:r>
      <w:r w:rsidR="00FF7845">
        <w:t xml:space="preserve">the </w:t>
      </w:r>
      <w:r w:rsidR="004B3AA2">
        <w:t xml:space="preserve">Department of </w:t>
      </w:r>
      <w:r w:rsidR="00994898">
        <w:t>Transport, Planning and Local Infrastructure</w:t>
      </w:r>
      <w:r w:rsidRPr="008F1881">
        <w:t xml:space="preserve"> has used the highest three levels of </w:t>
      </w:r>
      <w:r w:rsidR="001726C8">
        <w:t xml:space="preserve">the  Department of </w:t>
      </w:r>
      <w:r w:rsidR="002C2334">
        <w:t>Environment and Primary Industries’</w:t>
      </w:r>
      <w:r w:rsidRPr="008F1881">
        <w:t xml:space="preserve"> NaturePrint v2.0</w:t>
      </w:r>
      <w:r w:rsidRPr="008F1881">
        <w:rPr>
          <w:rStyle w:val="FootnoteReference"/>
        </w:rPr>
        <w:footnoteReference w:id="8"/>
      </w:r>
      <w:r w:rsidRPr="008F1881">
        <w:t xml:space="preserve"> mapping to identify significant clusters of vegetation across the state </w:t>
      </w:r>
      <w:r w:rsidR="000A44A6">
        <w:t>(refer to</w:t>
      </w:r>
      <w:r w:rsidR="001726C8">
        <w:t xml:space="preserve"> </w:t>
      </w:r>
      <w:r w:rsidR="00631B16">
        <w:fldChar w:fldCharType="begin"/>
      </w:r>
      <w:r w:rsidR="00631B16">
        <w:instrText xml:space="preserve"> REF _Ref349225853 \h  \* MERGEFORMAT </w:instrText>
      </w:r>
      <w:r w:rsidR="00631B16">
        <w:fldChar w:fldCharType="separate"/>
      </w:r>
      <w:r w:rsidR="00907B42" w:rsidRPr="00CD2959">
        <w:t xml:space="preserve">Figure </w:t>
      </w:r>
      <w:r w:rsidR="00907B42">
        <w:rPr>
          <w:noProof/>
        </w:rPr>
        <w:t>39</w:t>
      </w:r>
      <w:r w:rsidR="00631B16">
        <w:fldChar w:fldCharType="end"/>
      </w:r>
      <w:r w:rsidRPr="008F1881">
        <w:t xml:space="preserve">). These align very closely to the terrestrial habitat assets identified by the </w:t>
      </w:r>
      <w:r w:rsidR="00FF2864">
        <w:rPr>
          <w:rFonts w:cs="Tahoma"/>
          <w:szCs w:val="20"/>
        </w:rPr>
        <w:t>c</w:t>
      </w:r>
      <w:r w:rsidR="00FF2864" w:rsidRPr="008F1881">
        <w:rPr>
          <w:rFonts w:cs="Tahoma"/>
          <w:szCs w:val="20"/>
        </w:rPr>
        <w:t xml:space="preserve">atchment </w:t>
      </w:r>
      <w:r w:rsidR="00FF2864">
        <w:rPr>
          <w:rFonts w:cs="Tahoma"/>
          <w:szCs w:val="20"/>
        </w:rPr>
        <w:t>m</w:t>
      </w:r>
      <w:r w:rsidR="00FF2864" w:rsidRPr="008F1881">
        <w:rPr>
          <w:rFonts w:cs="Tahoma"/>
          <w:szCs w:val="20"/>
        </w:rPr>
        <w:t xml:space="preserve">anagement </w:t>
      </w:r>
      <w:r w:rsidR="00FF2864">
        <w:rPr>
          <w:rFonts w:cs="Tahoma"/>
          <w:szCs w:val="20"/>
        </w:rPr>
        <w:t>a</w:t>
      </w:r>
      <w:r w:rsidR="00FF2864" w:rsidRPr="008F1881">
        <w:rPr>
          <w:rFonts w:cs="Tahoma"/>
          <w:szCs w:val="20"/>
        </w:rPr>
        <w:t>uthorities</w:t>
      </w:r>
      <w:r w:rsidR="001726C8">
        <w:rPr>
          <w:rFonts w:cs="Tahoma"/>
          <w:szCs w:val="20"/>
        </w:rPr>
        <w:t xml:space="preserve">, </w:t>
      </w:r>
      <w:r w:rsidR="00987FB3">
        <w:rPr>
          <w:rFonts w:cs="Tahoma"/>
          <w:szCs w:val="20"/>
        </w:rPr>
        <w:t xml:space="preserve">such </w:t>
      </w:r>
      <w:r w:rsidR="00987FB3" w:rsidRPr="008F1881">
        <w:t>as</w:t>
      </w:r>
      <w:r w:rsidRPr="008F1881">
        <w:t xml:space="preserve"> the biodiversity assets identified by the North Central </w:t>
      </w:r>
      <w:r w:rsidR="00FF2864">
        <w:t>Catchment Management Authority</w:t>
      </w:r>
      <w:r w:rsidRPr="008F1881">
        <w:t>. These areas include considerable areas of forested, grassy woodland and grassland communities.</w:t>
      </w:r>
    </w:p>
    <w:p w:rsidR="00BF34EE" w:rsidRPr="008F1881" w:rsidRDefault="00BF34EE" w:rsidP="00BF34EE">
      <w:pPr>
        <w:pStyle w:val="bt"/>
      </w:pPr>
      <w:r w:rsidRPr="008F1881">
        <w:t>Natural resource management activities within the region include actions to protect the high value habitat assets in the region</w:t>
      </w:r>
      <w:r>
        <w:t>,</w:t>
      </w:r>
      <w:r w:rsidRPr="008F1881">
        <w:t xml:space="preserve"> along with waterway</w:t>
      </w:r>
      <w:r>
        <w:t>s</w:t>
      </w:r>
      <w:r w:rsidRPr="008F1881">
        <w:t>, wetland</w:t>
      </w:r>
      <w:r>
        <w:t xml:space="preserve">s </w:t>
      </w:r>
      <w:r w:rsidRPr="008F1881">
        <w:t>and soil assets. These activities will involve actions on both public and private land, but have limited strategic land use planning implications.</w:t>
      </w:r>
    </w:p>
    <w:p w:rsidR="00BF34EE" w:rsidRPr="008F1881" w:rsidRDefault="00BF34EE" w:rsidP="00BF34EE">
      <w:pPr>
        <w:pStyle w:val="bt"/>
      </w:pPr>
      <w:r w:rsidRPr="008F1881">
        <w:t xml:space="preserve">There will continue to be a focus on increasing the extent of native vegetation within the region by creating vegetation corridors in strategic areas. The preferred locations for these corridors may overlap with areas that may experience a future change in land use or a change in industry. </w:t>
      </w:r>
      <w:r w:rsidR="00DF4FB3">
        <w:t xml:space="preserve">Consideration needs to be given to </w:t>
      </w:r>
      <w:r w:rsidR="00DF4FB3">
        <w:lastRenderedPageBreak/>
        <w:t>potential changes in landscape-scale bushfire and flood risk when planning to increase the extent of native vegetation through the landscape.</w:t>
      </w:r>
    </w:p>
    <w:p w:rsidR="00BF34EE" w:rsidRPr="008F1881" w:rsidRDefault="00BF34EE" w:rsidP="00BF34EE">
      <w:pPr>
        <w:pStyle w:val="bt"/>
      </w:pPr>
      <w:r w:rsidRPr="008F1881">
        <w:t>There are emerging economic opportunities on private land centred on environmental values</w:t>
      </w:r>
      <w:r>
        <w:t>,</w:t>
      </w:r>
      <w:r w:rsidRPr="008F1881">
        <w:t xml:space="preserve"> such as in carbon markets, ecoMarkets and offset markets. There is the opportunity to coordinate planning of the preferred locations of these and other native vegetation planting activities to maximise </w:t>
      </w:r>
      <w:r>
        <w:t>the benefits gained from them.</w:t>
      </w:r>
    </w:p>
    <w:p w:rsidR="00BF34EE" w:rsidRPr="008F1881" w:rsidRDefault="00BF34EE" w:rsidP="00054FF7">
      <w:pPr>
        <w:pStyle w:val="bt"/>
      </w:pPr>
      <w:r w:rsidRPr="008F1881">
        <w:t>While many of these activities sit outside the planning system, land use planning should be aware of them in order to ensure integrated decision</w:t>
      </w:r>
      <w:r>
        <w:t>-</w:t>
      </w:r>
      <w:r w:rsidRPr="008F1881">
        <w:t>making. For example, careful consideration will need to be given to the preferred locations of vegetation corridors in light of land use planning strategies including regional growth plans. Such activities could</w:t>
      </w:r>
      <w:r>
        <w:t>,</w:t>
      </w:r>
      <w:r w:rsidRPr="008F1881">
        <w:t xml:space="preserve"> for example</w:t>
      </w:r>
      <w:r>
        <w:t>,</w:t>
      </w:r>
      <w:r w:rsidRPr="008F1881">
        <w:t xml:space="preserve"> lead to changes to the risk profiles of natural hazard</w:t>
      </w:r>
      <w:r>
        <w:t>s</w:t>
      </w:r>
      <w:r w:rsidRPr="008F1881">
        <w:t xml:space="preserve"> which land use planning should take into account</w:t>
      </w:r>
      <w:r>
        <w:t xml:space="preserve">, such as </w:t>
      </w:r>
      <w:r w:rsidRPr="008F1881">
        <w:t>vegetation corridors and bushfire risk. The potential to realise mutual benefits from these activities</w:t>
      </w:r>
      <w:r>
        <w:t xml:space="preserve"> should be considered, for example,</w:t>
      </w:r>
      <w:r w:rsidRPr="008F1881">
        <w:t xml:space="preserve"> establishing vegetation corridors along key tourism routes.</w:t>
      </w:r>
    </w:p>
    <w:p w:rsidR="00C80C40" w:rsidRDefault="002062A6" w:rsidP="00F95347">
      <w:pPr>
        <w:pStyle w:val="bt"/>
      </w:pPr>
      <w:r w:rsidRPr="008F1881">
        <w:t xml:space="preserve">There are numerous individual threatened species that occur in the region, </w:t>
      </w:r>
      <w:r w:rsidR="001726C8">
        <w:t xml:space="preserve">although </w:t>
      </w:r>
      <w:r w:rsidRPr="008F1881">
        <w:t>they are too many and their locations too specific to be considered and mapped for a regionally focused growth plan, particularly when localised planning assessments should consider threatened species. Threatened communities</w:t>
      </w:r>
      <w:r w:rsidR="00FF2864">
        <w:t xml:space="preserve">, </w:t>
      </w:r>
      <w:r w:rsidR="001726C8">
        <w:t xml:space="preserve">such as </w:t>
      </w:r>
      <w:r w:rsidRPr="008F1881">
        <w:t>the Natural Temperate Grassland of the Victorian Volcanic Plain</w:t>
      </w:r>
      <w:r w:rsidR="001726C8">
        <w:t>,</w:t>
      </w:r>
      <w:r w:rsidRPr="008F1881">
        <w:t xml:space="preserve"> are generally captured by NaturePrint and this is considered </w:t>
      </w:r>
      <w:r w:rsidR="00F4518F" w:rsidRPr="008F1881">
        <w:t xml:space="preserve">an appropriate </w:t>
      </w:r>
      <w:r w:rsidRPr="008F1881">
        <w:t>representation for a regional-scale plan.</w:t>
      </w:r>
    </w:p>
    <w:p w:rsidR="008F1881" w:rsidRPr="00CD2959" w:rsidRDefault="00C820C0" w:rsidP="00CD2959">
      <w:pPr>
        <w:pStyle w:val="Caption"/>
      </w:pPr>
      <w:bookmarkStart w:id="323" w:name="_Ref349225853"/>
      <w:bookmarkStart w:id="324" w:name="_Ref339460704"/>
      <w:r>
        <w:rPr>
          <w:noProof/>
        </w:rPr>
        <w:drawing>
          <wp:anchor distT="0" distB="0" distL="114300" distR="114300" simplePos="0" relativeHeight="251694080" behindDoc="0" locked="0" layoutInCell="1" allowOverlap="1">
            <wp:simplePos x="0" y="0"/>
            <wp:positionH relativeFrom="column">
              <wp:posOffset>-57150</wp:posOffset>
            </wp:positionH>
            <wp:positionV relativeFrom="paragraph">
              <wp:posOffset>279400</wp:posOffset>
            </wp:positionV>
            <wp:extent cx="6248400" cy="4354195"/>
            <wp:effectExtent l="19050" t="0" r="0" b="0"/>
            <wp:wrapTopAndBottom/>
            <wp:docPr id="20" name="Picture 4" descr="Map showing native vegetation and habitat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GIS\RGP\Central Highlands\CH_Habitat.jpg"/>
                    <pic:cNvPicPr>
                      <a:picLocks noChangeAspect="1" noChangeArrowheads="1"/>
                    </pic:cNvPicPr>
                  </pic:nvPicPr>
                  <pic:blipFill>
                    <a:blip r:embed="rId58" cstate="email"/>
                    <a:stretch>
                      <a:fillRect/>
                    </a:stretch>
                  </pic:blipFill>
                  <pic:spPr bwMode="auto">
                    <a:xfrm>
                      <a:off x="0" y="0"/>
                      <a:ext cx="6248400" cy="4354195"/>
                    </a:xfrm>
                    <a:prstGeom prst="rect">
                      <a:avLst/>
                    </a:prstGeom>
                    <a:noFill/>
                    <a:ln w="9525">
                      <a:noFill/>
                      <a:miter lim="800000"/>
                      <a:headEnd/>
                      <a:tailEnd/>
                    </a:ln>
                  </pic:spPr>
                </pic:pic>
              </a:graphicData>
            </a:graphic>
          </wp:anchor>
        </w:drawing>
      </w:r>
      <w:bookmarkStart w:id="325" w:name="_Toc381698039"/>
      <w:r w:rsidR="006F7E2E" w:rsidRPr="00CD2959">
        <w:t>F</w:t>
      </w:r>
      <w:r w:rsidR="00161120" w:rsidRPr="00CD2959">
        <w:t xml:space="preserve">igure </w:t>
      </w:r>
      <w:r w:rsidR="009F388E">
        <w:fldChar w:fldCharType="begin"/>
      </w:r>
      <w:r w:rsidR="00821C7F">
        <w:instrText xml:space="preserve"> SEQ Figure \* ARABIC </w:instrText>
      </w:r>
      <w:r w:rsidR="009F388E">
        <w:fldChar w:fldCharType="separate"/>
      </w:r>
      <w:r w:rsidR="00907B42">
        <w:rPr>
          <w:noProof/>
        </w:rPr>
        <w:t>39</w:t>
      </w:r>
      <w:r w:rsidR="009F388E">
        <w:fldChar w:fldCharType="end"/>
      </w:r>
      <w:bookmarkEnd w:id="323"/>
      <w:bookmarkEnd w:id="324"/>
      <w:r w:rsidR="008667EC" w:rsidRPr="00CD2959">
        <w:t>:</w:t>
      </w:r>
      <w:r w:rsidR="00441EAD" w:rsidRPr="00CD2959">
        <w:t xml:space="preserve"> </w:t>
      </w:r>
      <w:r w:rsidR="002062A6" w:rsidRPr="00CD2959">
        <w:t xml:space="preserve">Native </w:t>
      </w:r>
      <w:r w:rsidR="00BD549B" w:rsidRPr="00BD549B">
        <w:t>vegetation and habitat assets</w:t>
      </w:r>
      <w:bookmarkEnd w:id="325"/>
    </w:p>
    <w:p w:rsidR="00AE186F" w:rsidRPr="00CD2959" w:rsidRDefault="00AE186F" w:rsidP="00AE186F">
      <w:pPr>
        <w:pStyle w:val="Source0"/>
      </w:pPr>
      <w:r w:rsidRPr="00CD2959">
        <w:t xml:space="preserve">Source: </w:t>
      </w:r>
      <w:r>
        <w:t>Department of Transport, Planning and Local Infrastructure</w:t>
      </w:r>
    </w:p>
    <w:p w:rsidR="00DF4FB3" w:rsidRPr="00E03E4A" w:rsidRDefault="00DF4FB3" w:rsidP="00DF4FB3">
      <w:pPr>
        <w:pStyle w:val="Heading40"/>
      </w:pPr>
      <w:r w:rsidRPr="00E03E4A">
        <w:t>Waterways (rivers and wetlands)</w:t>
      </w:r>
    </w:p>
    <w:p w:rsidR="00E357AC" w:rsidRPr="008F1881" w:rsidRDefault="00854170" w:rsidP="00054FF7">
      <w:pPr>
        <w:pStyle w:val="bt"/>
      </w:pPr>
      <w:r w:rsidRPr="008F1881">
        <w:lastRenderedPageBreak/>
        <w:t xml:space="preserve">The Central Highlands region spans both sides of the Great Dividing Range and includes river catchments that drain to Victoria’s coast and to the Murray River. Parts of the Avoca, Barwon, Campaspe, Glenelg, Hopkins, Loddon, </w:t>
      </w:r>
      <w:r w:rsidR="00317702" w:rsidRPr="008F1881">
        <w:t>Maribyrnong</w:t>
      </w:r>
      <w:r w:rsidRPr="008F1881">
        <w:t xml:space="preserve">, Moorabool, Werribee and Wimmera-Avon </w:t>
      </w:r>
      <w:r w:rsidR="000A44A6">
        <w:t>r</w:t>
      </w:r>
      <w:r w:rsidRPr="008F1881">
        <w:t xml:space="preserve">iver catchments, and the Lake Corangamite catchment occur within the Central Highlands </w:t>
      </w:r>
      <w:r w:rsidR="00122182">
        <w:t>r</w:t>
      </w:r>
      <w:r w:rsidRPr="008F1881">
        <w:t>egion (</w:t>
      </w:r>
      <w:r w:rsidR="000A44A6">
        <w:t>r</w:t>
      </w:r>
      <w:r w:rsidRPr="008F1881">
        <w:t>efer to</w:t>
      </w:r>
      <w:r w:rsidR="00D20A32" w:rsidRPr="008F1881">
        <w:t xml:space="preserve"> </w:t>
      </w:r>
      <w:r w:rsidR="00631B16">
        <w:fldChar w:fldCharType="begin"/>
      </w:r>
      <w:r w:rsidR="00631B16">
        <w:instrText xml:space="preserve"> REF _Ref349225954 \h  \*</w:instrText>
      </w:r>
      <w:r w:rsidR="00631B16">
        <w:instrText xml:space="preserve"> MERGEFORMAT </w:instrText>
      </w:r>
      <w:r w:rsidR="00631B16">
        <w:fldChar w:fldCharType="separate"/>
      </w:r>
      <w:r w:rsidR="00907B42" w:rsidRPr="00CD2959">
        <w:t xml:space="preserve">Figure </w:t>
      </w:r>
      <w:r w:rsidR="00907B42">
        <w:rPr>
          <w:noProof/>
        </w:rPr>
        <w:t>40</w:t>
      </w:r>
      <w:r w:rsidR="00631B16">
        <w:fldChar w:fldCharType="end"/>
      </w:r>
      <w:r w:rsidRPr="008F1881">
        <w:t>). Some of the region experiences large-scale flooding from these rivers, which can severely impact on both rural and urban areas.</w:t>
      </w:r>
    </w:p>
    <w:p w:rsidR="00854170" w:rsidRPr="008F1881" w:rsidRDefault="00854170" w:rsidP="00054FF7">
      <w:pPr>
        <w:pStyle w:val="bt"/>
      </w:pPr>
      <w:r w:rsidRPr="008F1881">
        <w:t>There are numerous wetlands and wetland complexes throughout the region</w:t>
      </w:r>
      <w:r w:rsidR="00E357AC" w:rsidRPr="008F1881">
        <w:t xml:space="preserve">, including </w:t>
      </w:r>
      <w:r w:rsidRPr="008F1881">
        <w:t>nationally important wetlands</w:t>
      </w:r>
      <w:r w:rsidR="00441EAD">
        <w:t>.</w:t>
      </w:r>
      <w:r w:rsidR="00E357AC" w:rsidRPr="008F1881">
        <w:t xml:space="preserve"> </w:t>
      </w:r>
      <w:r w:rsidRPr="008F1881">
        <w:t xml:space="preserve">The North Central </w:t>
      </w:r>
      <w:r w:rsidR="00FF2864">
        <w:t>Catchment Management Authority</w:t>
      </w:r>
      <w:r w:rsidR="00FF2864" w:rsidRPr="008F1881">
        <w:t xml:space="preserve"> </w:t>
      </w:r>
      <w:r w:rsidRPr="008F1881">
        <w:t xml:space="preserve">has also identified regionally significant wetland complexes as part of developing their </w:t>
      </w:r>
      <w:r w:rsidR="00FF2864">
        <w:t>r</w:t>
      </w:r>
      <w:r w:rsidR="00FF2864" w:rsidRPr="008F1881">
        <w:t xml:space="preserve">egional </w:t>
      </w:r>
      <w:r w:rsidR="00FF2864">
        <w:t>c</w:t>
      </w:r>
      <w:r w:rsidR="00FF2864" w:rsidRPr="008F1881">
        <w:t xml:space="preserve">atchment </w:t>
      </w:r>
      <w:r w:rsidR="00FF2864">
        <w:t>s</w:t>
      </w:r>
      <w:r w:rsidR="00FF2864" w:rsidRPr="008F1881">
        <w:t>trategy</w:t>
      </w:r>
      <w:r w:rsidRPr="008F1881">
        <w:t>. These are also illustrated in</w:t>
      </w:r>
      <w:r w:rsidR="00E357AC" w:rsidRPr="008F1881">
        <w:t xml:space="preserve"> </w:t>
      </w:r>
      <w:r w:rsidR="00631B16">
        <w:fldChar w:fldCharType="begin"/>
      </w:r>
      <w:r w:rsidR="00631B16">
        <w:instrText xml:space="preserve"> REF _Ref349225954 \h  \* MERGEFORMAT </w:instrText>
      </w:r>
      <w:r w:rsidR="00631B16">
        <w:fldChar w:fldCharType="separate"/>
      </w:r>
      <w:r w:rsidR="00907B42" w:rsidRPr="00CD2959">
        <w:t xml:space="preserve">Figure </w:t>
      </w:r>
      <w:r w:rsidR="00907B42">
        <w:rPr>
          <w:noProof/>
        </w:rPr>
        <w:t>40</w:t>
      </w:r>
      <w:r w:rsidR="00631B16">
        <w:fldChar w:fldCharType="end"/>
      </w:r>
      <w:r w:rsidRPr="008F1881">
        <w:t>.</w:t>
      </w:r>
      <w:r w:rsidR="00F71B12" w:rsidRPr="008F1881">
        <w:t xml:space="preserve"> Waterways provide valuable habitat for fish, platypus, frogs, macro-</w:t>
      </w:r>
      <w:r w:rsidR="004935DA" w:rsidRPr="008F1881">
        <w:t>invertebrates</w:t>
      </w:r>
      <w:r w:rsidR="00F71B12" w:rsidRPr="008F1881">
        <w:t xml:space="preserve">, birds and vegetation, as well as creating ecological connectivity and human recreation opportunities. Waterway strategies, the </w:t>
      </w:r>
      <w:r w:rsidR="009F09AE" w:rsidRPr="008F1881">
        <w:rPr>
          <w:i/>
        </w:rPr>
        <w:t>Water Act 1989</w:t>
      </w:r>
      <w:r w:rsidR="00F71B12" w:rsidRPr="008F1881">
        <w:rPr>
          <w:i/>
        </w:rPr>
        <w:t xml:space="preserve"> </w:t>
      </w:r>
      <w:r w:rsidR="009F09AE" w:rsidRPr="008F1881">
        <w:t>and the</w:t>
      </w:r>
      <w:r w:rsidR="00F71B12" w:rsidRPr="008F1881">
        <w:rPr>
          <w:i/>
        </w:rPr>
        <w:t xml:space="preserve"> Planning and Environment Act 1987 </w:t>
      </w:r>
      <w:r w:rsidR="00F71B12" w:rsidRPr="008F1881">
        <w:t xml:space="preserve">can help to support these values through regulation, investment and land use planning. </w:t>
      </w:r>
      <w:r w:rsidR="00441EAD">
        <w:t>T</w:t>
      </w:r>
      <w:r w:rsidR="00441EAD" w:rsidRPr="008F1881">
        <w:t>he Lerderderg River is recognised as a Victorian Heritage River.</w:t>
      </w:r>
    </w:p>
    <w:p w:rsidR="00C80C40" w:rsidRDefault="00854170" w:rsidP="00054FF7">
      <w:pPr>
        <w:pStyle w:val="bt"/>
      </w:pPr>
      <w:r w:rsidRPr="008F1881">
        <w:t xml:space="preserve">Waterways (rivers, wetlands and floodplains) provide the region with its water supply. This water is critical </w:t>
      </w:r>
      <w:r w:rsidR="000A44A6">
        <w:t xml:space="preserve">for </w:t>
      </w:r>
      <w:r w:rsidRPr="008F1881">
        <w:t>supporting the region’s towns, industry and agriculture, as well as the environmental values within and adjacent to rivers, wetlands and floodplains</w:t>
      </w:r>
      <w:r w:rsidR="000A44A6">
        <w:t xml:space="preserve">. </w:t>
      </w:r>
      <w:r w:rsidRPr="008F1881">
        <w:t>Some of the wetlands in the region contain important cultural assets, while some lakes are important tourism assets</w:t>
      </w:r>
      <w:r w:rsidR="00FF2864">
        <w:t>,</w:t>
      </w:r>
      <w:r w:rsidRPr="008F1881">
        <w:t xml:space="preserve"> </w:t>
      </w:r>
      <w:r w:rsidR="000A44A6">
        <w:t xml:space="preserve">such as </w:t>
      </w:r>
      <w:r w:rsidRPr="008F1881">
        <w:rPr>
          <w:rFonts w:cs="Calibri"/>
        </w:rPr>
        <w:t>Lake Wendouree, Green</w:t>
      </w:r>
      <w:r w:rsidR="0075659E">
        <w:rPr>
          <w:rFonts w:cs="Calibri"/>
        </w:rPr>
        <w:t xml:space="preserve"> Hill</w:t>
      </w:r>
      <w:r w:rsidRPr="008F1881">
        <w:rPr>
          <w:rFonts w:cs="Calibri"/>
        </w:rPr>
        <w:t xml:space="preserve"> Lake, Lake Bolac, Lake Learmonth, Lake Burrumbeet and Lake Bunin</w:t>
      </w:r>
      <w:r w:rsidR="00F94B29">
        <w:rPr>
          <w:rFonts w:cs="Calibri"/>
        </w:rPr>
        <w:t>y</w:t>
      </w:r>
      <w:r w:rsidRPr="008F1881">
        <w:rPr>
          <w:rFonts w:cs="Calibri"/>
        </w:rPr>
        <w:t>on</w:t>
      </w:r>
      <w:r w:rsidR="00F94B29">
        <w:rPr>
          <w:rFonts w:cs="Calibri"/>
        </w:rPr>
        <w:t>g</w:t>
      </w:r>
      <w:r w:rsidRPr="008F1881">
        <w:t xml:space="preserve">. </w:t>
      </w:r>
      <w:r w:rsidR="000A44A6">
        <w:t xml:space="preserve">Also of </w:t>
      </w:r>
      <w:r w:rsidR="00951028">
        <w:t xml:space="preserve">note </w:t>
      </w:r>
      <w:r w:rsidR="004935DA">
        <w:t>are</w:t>
      </w:r>
      <w:r w:rsidR="00951028">
        <w:t xml:space="preserve"> t</w:t>
      </w:r>
      <w:r w:rsidR="00951028">
        <w:rPr>
          <w:rFonts w:cs="Calibri"/>
        </w:rPr>
        <w:t xml:space="preserve">he mineral waters </w:t>
      </w:r>
      <w:r w:rsidR="000A44A6">
        <w:rPr>
          <w:rFonts w:cs="Calibri"/>
        </w:rPr>
        <w:t xml:space="preserve">of </w:t>
      </w:r>
      <w:r w:rsidR="00951028">
        <w:rPr>
          <w:rFonts w:cs="Calibri"/>
        </w:rPr>
        <w:t xml:space="preserve">Hepburn Shire that </w:t>
      </w:r>
      <w:r w:rsidR="000A44A6">
        <w:rPr>
          <w:rFonts w:cs="Calibri"/>
        </w:rPr>
        <w:t xml:space="preserve">are </w:t>
      </w:r>
      <w:r w:rsidR="00951028">
        <w:rPr>
          <w:rFonts w:cs="Calibri"/>
        </w:rPr>
        <w:t xml:space="preserve">a </w:t>
      </w:r>
      <w:r w:rsidR="000A44A6">
        <w:rPr>
          <w:rFonts w:cs="Calibri"/>
        </w:rPr>
        <w:t xml:space="preserve">significant </w:t>
      </w:r>
      <w:r w:rsidR="00951028">
        <w:rPr>
          <w:rFonts w:cs="Calibri"/>
        </w:rPr>
        <w:t>tourism asset for the state.</w:t>
      </w:r>
      <w:bookmarkStart w:id="326" w:name="_Ref339529524"/>
      <w:r w:rsidR="00054FF7" w:rsidRPr="00C32E40">
        <w:t xml:space="preserve"> </w:t>
      </w:r>
    </w:p>
    <w:p w:rsidR="005A3976" w:rsidRPr="00CD2959" w:rsidRDefault="00C820C0" w:rsidP="00CD2959">
      <w:pPr>
        <w:pStyle w:val="Caption"/>
      </w:pPr>
      <w:bookmarkStart w:id="327" w:name="_Ref349225954"/>
      <w:r>
        <w:rPr>
          <w:noProof/>
        </w:rPr>
        <w:drawing>
          <wp:anchor distT="0" distB="0" distL="114300" distR="114300" simplePos="0" relativeHeight="251695104" behindDoc="0" locked="0" layoutInCell="1" allowOverlap="1">
            <wp:simplePos x="0" y="0"/>
            <wp:positionH relativeFrom="column">
              <wp:posOffset>19050</wp:posOffset>
            </wp:positionH>
            <wp:positionV relativeFrom="paragraph">
              <wp:posOffset>228600</wp:posOffset>
            </wp:positionV>
            <wp:extent cx="6102350" cy="4286250"/>
            <wp:effectExtent l="19050" t="0" r="0" b="0"/>
            <wp:wrapTopAndBottom/>
            <wp:docPr id="43" name="Picture 5" descr="Map showing significant waterways of the Central Highlands &#10;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GIS\RGP\Central Highlands\CH_waterways.jpg"/>
                    <pic:cNvPicPr>
                      <a:picLocks noChangeAspect="1" noChangeArrowheads="1"/>
                    </pic:cNvPicPr>
                  </pic:nvPicPr>
                  <pic:blipFill>
                    <a:blip r:embed="rId59" cstate="email"/>
                    <a:stretch>
                      <a:fillRect/>
                    </a:stretch>
                  </pic:blipFill>
                  <pic:spPr bwMode="auto">
                    <a:xfrm>
                      <a:off x="0" y="0"/>
                      <a:ext cx="6102350" cy="4286250"/>
                    </a:xfrm>
                    <a:prstGeom prst="rect">
                      <a:avLst/>
                    </a:prstGeom>
                    <a:noFill/>
                    <a:ln w="9525">
                      <a:noFill/>
                      <a:miter lim="800000"/>
                      <a:headEnd/>
                      <a:tailEnd/>
                    </a:ln>
                  </pic:spPr>
                </pic:pic>
              </a:graphicData>
            </a:graphic>
          </wp:anchor>
        </w:drawing>
      </w:r>
      <w:bookmarkStart w:id="328" w:name="_Toc381698040"/>
      <w:r w:rsidR="00D20A32" w:rsidRPr="00CD2959">
        <w:t xml:space="preserve">Figure </w:t>
      </w:r>
      <w:r w:rsidR="009F388E">
        <w:fldChar w:fldCharType="begin"/>
      </w:r>
      <w:r w:rsidR="00821C7F">
        <w:instrText xml:space="preserve"> SEQ Figure \* ARABIC </w:instrText>
      </w:r>
      <w:r w:rsidR="009F388E">
        <w:fldChar w:fldCharType="separate"/>
      </w:r>
      <w:r w:rsidR="00907B42">
        <w:rPr>
          <w:noProof/>
        </w:rPr>
        <w:t>40</w:t>
      </w:r>
      <w:r w:rsidR="009F388E">
        <w:fldChar w:fldCharType="end"/>
      </w:r>
      <w:bookmarkEnd w:id="326"/>
      <w:bookmarkEnd w:id="327"/>
      <w:r w:rsidR="00344EAB" w:rsidRPr="00CD2959">
        <w:t>:</w:t>
      </w:r>
      <w:r w:rsidR="00E357AC" w:rsidRPr="00CD2959">
        <w:t xml:space="preserve"> Sign</w:t>
      </w:r>
      <w:r w:rsidR="00BD549B" w:rsidRPr="00BD549B">
        <w:t>ificant waterways of the region</w:t>
      </w:r>
      <w:bookmarkEnd w:id="328"/>
    </w:p>
    <w:p w:rsidR="00AE186F" w:rsidRPr="00CD2959" w:rsidRDefault="00AE186F" w:rsidP="00AE186F">
      <w:pPr>
        <w:pStyle w:val="Source0"/>
      </w:pPr>
      <w:r w:rsidRPr="00CD2959">
        <w:t xml:space="preserve">Source: </w:t>
      </w:r>
      <w:r>
        <w:t>Department of Transport, Planning and Local Infrastructure</w:t>
      </w:r>
    </w:p>
    <w:p w:rsidR="005A3976" w:rsidRDefault="00CF1967" w:rsidP="00054FF7">
      <w:pPr>
        <w:pStyle w:val="bt"/>
      </w:pPr>
      <w:r w:rsidRPr="008F1881">
        <w:t>Land use change and development can have a wide range of impacts on environmental values. For example</w:t>
      </w:r>
      <w:r w:rsidR="00BF09B6">
        <w:t>,</w:t>
      </w:r>
      <w:r w:rsidRPr="008F1881">
        <w:t xml:space="preserve"> development in proximity to waterways or wetlands can lead to impacts </w:t>
      </w:r>
      <w:r w:rsidR="00BF09B6">
        <w:t xml:space="preserve">such as </w:t>
      </w:r>
      <w:r w:rsidR="005A3976" w:rsidRPr="008F1881">
        <w:t xml:space="preserve">urban stormwater runoff, waste and wastewater and reduced wetland connectivity. </w:t>
      </w:r>
      <w:r w:rsidRPr="008F1881">
        <w:t>P</w:t>
      </w:r>
      <w:r w:rsidR="005A3976" w:rsidRPr="008F1881">
        <w:t>lanning mechanisms</w:t>
      </w:r>
      <w:r w:rsidRPr="008F1881">
        <w:t xml:space="preserve"> are available</w:t>
      </w:r>
      <w:r w:rsidR="005A3976" w:rsidRPr="008F1881">
        <w:t xml:space="preserve">, such as </w:t>
      </w:r>
      <w:r w:rsidR="005A3976" w:rsidRPr="008F1881">
        <w:lastRenderedPageBreak/>
        <w:t>overlays, to detail specific considerations around regionally and locally important waterway assets. This is of particular relevance for wetlands, given the prominence of wetlands on private land.</w:t>
      </w:r>
    </w:p>
    <w:p w:rsidR="008F1881" w:rsidRPr="00E03E4A" w:rsidRDefault="009F09AE" w:rsidP="00E03E4A">
      <w:pPr>
        <w:pStyle w:val="Heading40"/>
      </w:pPr>
      <w:r w:rsidRPr="00E03E4A">
        <w:t>Soils</w:t>
      </w:r>
    </w:p>
    <w:p w:rsidR="003B37F9" w:rsidRPr="008F1881" w:rsidRDefault="003B37F9" w:rsidP="00054FF7">
      <w:pPr>
        <w:pStyle w:val="bt"/>
        <w:rPr>
          <w:rFonts w:cs="Calibri"/>
        </w:rPr>
      </w:pPr>
      <w:r w:rsidRPr="008F1881">
        <w:t xml:space="preserve">The soils in the region vary depending on the geological and land formation history they have experienced. Each </w:t>
      </w:r>
      <w:r w:rsidR="00FF2864">
        <w:t>catchment management authority</w:t>
      </w:r>
      <w:r w:rsidR="00FF2864" w:rsidRPr="008F1881">
        <w:t xml:space="preserve"> </w:t>
      </w:r>
      <w:r w:rsidRPr="008F1881">
        <w:t xml:space="preserve">has described soil differently in their </w:t>
      </w:r>
      <w:r w:rsidR="00A91B5D" w:rsidRPr="008F1881">
        <w:t>respective regional catchment strategies</w:t>
      </w:r>
      <w:r w:rsidRPr="008F1881">
        <w:t xml:space="preserve">. </w:t>
      </w:r>
      <w:r w:rsidRPr="008F1881">
        <w:rPr>
          <w:rFonts w:cs="Calibri"/>
        </w:rPr>
        <w:t xml:space="preserve">The region contains areas of highly productive soils including the Werribee River flats at Bacchus Marsh, the Moorabool River valley near Bannockburn and the volcanic soils to the north and east of Ballarat. Land that is seen traditionally as holding less production value is of high value for some </w:t>
      </w:r>
      <w:r w:rsidR="00A91B5D" w:rsidRPr="008F1881">
        <w:rPr>
          <w:rFonts w:cs="Calibri"/>
        </w:rPr>
        <w:t xml:space="preserve">non-soil dependent </w:t>
      </w:r>
      <w:r w:rsidRPr="008F1881">
        <w:rPr>
          <w:rFonts w:cs="Calibri"/>
        </w:rPr>
        <w:t>intensive animal production industries in the south of the region.</w:t>
      </w:r>
    </w:p>
    <w:p w:rsidR="003B37F9" w:rsidRPr="008F1881" w:rsidRDefault="003B37F9" w:rsidP="00054FF7">
      <w:pPr>
        <w:pStyle w:val="bt"/>
      </w:pPr>
      <w:r w:rsidRPr="008F1881">
        <w:t>Healthy and productive soils are essential for the continued economic success of Victoria, particularly for agricultural enterprises, as well as to continue to support most other environmental assets. However</w:t>
      </w:r>
      <w:r w:rsidR="007106BF">
        <w:t>,</w:t>
      </w:r>
      <w:r w:rsidRPr="008F1881">
        <w:t xml:space="preserve"> soil can also pose a risk to other environmental assets (</w:t>
      </w:r>
      <w:r w:rsidR="0075659E">
        <w:t xml:space="preserve">as </w:t>
      </w:r>
      <w:r w:rsidRPr="008F1881">
        <w:t xml:space="preserve">discussed </w:t>
      </w:r>
      <w:r w:rsidR="007106BF">
        <w:t>in section 7.4:</w:t>
      </w:r>
      <w:r w:rsidR="00441EAD">
        <w:t xml:space="preserve"> Natural </w:t>
      </w:r>
      <w:r w:rsidR="007106BF">
        <w:t>h</w:t>
      </w:r>
      <w:r w:rsidR="00441EAD">
        <w:t xml:space="preserve">azards and </w:t>
      </w:r>
      <w:r w:rsidR="007106BF">
        <w:t>r</w:t>
      </w:r>
      <w:r w:rsidR="00441EAD">
        <w:t>isks</w:t>
      </w:r>
      <w:r w:rsidRPr="008F1881">
        <w:t>)</w:t>
      </w:r>
      <w:r w:rsidR="00A91B5D" w:rsidRPr="008F1881">
        <w:t>.</w:t>
      </w:r>
    </w:p>
    <w:p w:rsidR="00A91B5D" w:rsidRPr="008F1881" w:rsidRDefault="003B37F9" w:rsidP="00054FF7">
      <w:pPr>
        <w:pStyle w:val="bt"/>
        <w:rPr>
          <w:rFonts w:cs="Tahoma"/>
        </w:rPr>
      </w:pPr>
      <w:r w:rsidRPr="008F1881">
        <w:t>Soil</w:t>
      </w:r>
      <w:r w:rsidR="007106BF">
        <w:t xml:space="preserve">, </w:t>
      </w:r>
      <w:r w:rsidRPr="008F1881">
        <w:t>along with water, vegetation and fauna</w:t>
      </w:r>
      <w:r w:rsidR="007106BF">
        <w:t>,</w:t>
      </w:r>
      <w:r w:rsidRPr="008F1881">
        <w:t xml:space="preserve"> is defined as an integral part of land under the </w:t>
      </w:r>
      <w:r w:rsidRPr="008F1881">
        <w:rPr>
          <w:i/>
        </w:rPr>
        <w:t>Catchment and Land Protection Act 1994</w:t>
      </w:r>
      <w:r w:rsidRPr="008F1881">
        <w:t>. Private landholders have primary day</w:t>
      </w:r>
      <w:r w:rsidR="007106BF">
        <w:t>-</w:t>
      </w:r>
      <w:r w:rsidRPr="008F1881">
        <w:t>to</w:t>
      </w:r>
      <w:r w:rsidR="007106BF">
        <w:t>-</w:t>
      </w:r>
      <w:r w:rsidRPr="008F1881">
        <w:t>day management responsibility for soil health on their propert</w:t>
      </w:r>
      <w:r w:rsidR="007106BF">
        <w:t>ies</w:t>
      </w:r>
      <w:r w:rsidRPr="008F1881">
        <w:t xml:space="preserve"> and must take all reasonable steps to conserve soil and avoid doing anything that would cause or contribute to land degradation on someone else’s land. Governments can play a role where markets fail to encourage the long term preservation of soils and the values and services they </w:t>
      </w:r>
      <w:bookmarkStart w:id="329" w:name="_Ref339535797"/>
      <w:r w:rsidR="00A569A1" w:rsidRPr="008F1881">
        <w:t xml:space="preserve">provide </w:t>
      </w:r>
      <w:bookmarkEnd w:id="329"/>
      <w:r w:rsidR="00A569A1">
        <w:rPr>
          <w:rStyle w:val="FootnoteReference"/>
        </w:rPr>
        <w:t xml:space="preserve"> </w:t>
      </w:r>
      <w:r w:rsidR="00A569A1">
        <w:t>(D</w:t>
      </w:r>
      <w:r w:rsidR="007106BF">
        <w:t>epartment of Sustainability and Environment</w:t>
      </w:r>
      <w:r w:rsidR="00441EAD">
        <w:t>,</w:t>
      </w:r>
      <w:r w:rsidR="00A569A1">
        <w:t xml:space="preserve"> 2012a)</w:t>
      </w:r>
      <w:r w:rsidR="00A569A1" w:rsidRPr="008F1881">
        <w:t>.</w:t>
      </w:r>
      <w:r w:rsidR="00A569A1" w:rsidRPr="008F1881">
        <w:rPr>
          <w:rFonts w:cs="Tahoma"/>
        </w:rPr>
        <w:t xml:space="preserve"> </w:t>
      </w:r>
    </w:p>
    <w:p w:rsidR="008F1881" w:rsidRPr="008F1881" w:rsidRDefault="00A91B5D" w:rsidP="00054FF7">
      <w:pPr>
        <w:pStyle w:val="bt"/>
      </w:pPr>
      <w:r w:rsidRPr="008F1881">
        <w:t>Often at the heart of soil issues is a mismatch between land use and management</w:t>
      </w:r>
      <w:r w:rsidR="007106BF">
        <w:t>,</w:t>
      </w:r>
      <w:r w:rsidRPr="008F1881">
        <w:t xml:space="preserve"> and the inherent capability of </w:t>
      </w:r>
      <w:r w:rsidRPr="00A569A1">
        <w:t>the soils</w:t>
      </w:r>
      <w:r w:rsidR="00A569A1" w:rsidRPr="00A569A1">
        <w:t xml:space="preserve"> (</w:t>
      </w:r>
      <w:r w:rsidR="007106BF">
        <w:t>Department of Sustainability and Environment</w:t>
      </w:r>
      <w:r w:rsidR="00441EAD">
        <w:t>,</w:t>
      </w:r>
      <w:r w:rsidR="00A569A1" w:rsidRPr="00A569A1">
        <w:t xml:space="preserve"> 2012a)</w:t>
      </w:r>
      <w:r w:rsidRPr="00A569A1">
        <w:t>. Land capability</w:t>
      </w:r>
      <w:r w:rsidRPr="008F1881">
        <w:t xml:space="preserve"> is a commonly used measure of the value of soil for agricultural production, </w:t>
      </w:r>
      <w:r w:rsidR="007106BF">
        <w:t xml:space="preserve">although </w:t>
      </w:r>
      <w:r w:rsidRPr="008F1881">
        <w:t>it is not the only indicator or driver of the productive capacity of land. Sometimes proximity or security of feed, roads, processors, power and water can be more important considerations.</w:t>
      </w:r>
    </w:p>
    <w:p w:rsidR="008F1881" w:rsidRPr="008F1881" w:rsidRDefault="00A91B5D" w:rsidP="00054FF7">
      <w:pPr>
        <w:pStyle w:val="bt"/>
      </w:pPr>
      <w:r w:rsidRPr="008F1881">
        <w:t>Not all agriculture requires good soil or water to be productive for agricultural purposes</w:t>
      </w:r>
      <w:r w:rsidR="007106BF">
        <w:t>. T</w:t>
      </w:r>
      <w:r w:rsidRPr="008F1881">
        <w:t>herefore</w:t>
      </w:r>
      <w:r w:rsidR="007106BF">
        <w:t>,</w:t>
      </w:r>
      <w:r w:rsidRPr="008F1881">
        <w:t xml:space="preserve"> land capability should not be the only indicator of potential of farmland, nor should soil capability be used to discriminate between different types of legitimate agricultural land uses in rural areas.</w:t>
      </w:r>
    </w:p>
    <w:p w:rsidR="008F1881" w:rsidRPr="008F1881" w:rsidRDefault="00A91B5D" w:rsidP="00054FF7">
      <w:pPr>
        <w:pStyle w:val="bt"/>
      </w:pPr>
      <w:r w:rsidRPr="008F1881">
        <w:t>Continued development of information to support decision</w:t>
      </w:r>
      <w:r w:rsidR="007106BF">
        <w:t>-</w:t>
      </w:r>
      <w:r w:rsidRPr="008F1881">
        <w:t>making</w:t>
      </w:r>
      <w:r w:rsidR="007106BF">
        <w:t>,</w:t>
      </w:r>
      <w:r w:rsidRPr="008F1881">
        <w:t xml:space="preserve"> such as regional soil plans and capability mapping</w:t>
      </w:r>
      <w:r w:rsidR="007106BF">
        <w:t>,</w:t>
      </w:r>
      <w:r w:rsidRPr="008F1881">
        <w:t xml:space="preserve"> will be important to enable growth in productive agriculture and settlements into the future.</w:t>
      </w:r>
    </w:p>
    <w:p w:rsidR="008F1881" w:rsidRPr="008F1881" w:rsidRDefault="00A91B5D" w:rsidP="00054FF7">
      <w:pPr>
        <w:pStyle w:val="bt"/>
      </w:pPr>
      <w:r w:rsidRPr="008F1881">
        <w:t>Soil health considerations</w:t>
      </w:r>
      <w:r w:rsidR="00FF2864">
        <w:t>, including e</w:t>
      </w:r>
      <w:r w:rsidRPr="008F1881">
        <w:t>rosion</w:t>
      </w:r>
      <w:r w:rsidR="00FF2864">
        <w:t xml:space="preserve"> and</w:t>
      </w:r>
      <w:r w:rsidRPr="008F1881">
        <w:t xml:space="preserve"> salinity, are considered in</w:t>
      </w:r>
      <w:r w:rsidR="00FF2864">
        <w:t xml:space="preserve"> section </w:t>
      </w:r>
      <w:r w:rsidR="007106BF">
        <w:t>7</w:t>
      </w:r>
      <w:r w:rsidR="00FF2864">
        <w:t>.4</w:t>
      </w:r>
      <w:r w:rsidR="007106BF">
        <w:t xml:space="preserve">: </w:t>
      </w:r>
      <w:r w:rsidRPr="008F1881">
        <w:t xml:space="preserve">Natural </w:t>
      </w:r>
      <w:r w:rsidR="007106BF">
        <w:t>h</w:t>
      </w:r>
      <w:r w:rsidRPr="008F1881">
        <w:t xml:space="preserve">azards and </w:t>
      </w:r>
      <w:r w:rsidR="007106BF">
        <w:t>r</w:t>
      </w:r>
      <w:r w:rsidRPr="008F1881">
        <w:t>isks.</w:t>
      </w:r>
    </w:p>
    <w:p w:rsidR="008F1881" w:rsidRPr="00E03E4A" w:rsidRDefault="009F09AE" w:rsidP="00E03E4A">
      <w:pPr>
        <w:pStyle w:val="Heading40"/>
      </w:pPr>
      <w:r w:rsidRPr="00E03E4A">
        <w:t xml:space="preserve">Public </w:t>
      </w:r>
      <w:r w:rsidR="00F4518F" w:rsidRPr="00E03E4A">
        <w:t>l</w:t>
      </w:r>
      <w:r w:rsidRPr="00E03E4A">
        <w:t>and</w:t>
      </w:r>
    </w:p>
    <w:p w:rsidR="00F6080A" w:rsidRPr="008F1881" w:rsidRDefault="00F6080A" w:rsidP="00054FF7">
      <w:pPr>
        <w:pStyle w:val="bt"/>
      </w:pPr>
      <w:r w:rsidRPr="008F1881">
        <w:t xml:space="preserve">There is an extensive network of public land reserves in the Central Highlands region that protect numerous environmental, economic and social values. These values include conserving flora and fauna, protecting water catchments and water supply, providing timber for sustainable forestry, protecting </w:t>
      </w:r>
      <w:r w:rsidR="00122182">
        <w:t>landscapes</w:t>
      </w:r>
      <w:r w:rsidRPr="008F1881">
        <w:t xml:space="preserve">, </w:t>
      </w:r>
      <w:r w:rsidR="00BF34EE">
        <w:t>cultural landscapes and historic places</w:t>
      </w:r>
      <w:r w:rsidRPr="008F1881">
        <w:t xml:space="preserve">, and providing recreational and educational opportunities. The public land in the region is illustrated in </w:t>
      </w:r>
      <w:r w:rsidR="00631B16">
        <w:fldChar w:fldCharType="begin"/>
      </w:r>
      <w:r w:rsidR="00631B16">
        <w:instrText xml:space="preserve"> REF _Ref349226075 \h  \* MERGEFORMAT </w:instrText>
      </w:r>
      <w:r w:rsidR="00631B16">
        <w:fldChar w:fldCharType="separate"/>
      </w:r>
      <w:r w:rsidR="00907B42" w:rsidRPr="00CD2959">
        <w:t xml:space="preserve">Figure </w:t>
      </w:r>
      <w:r w:rsidR="00907B42">
        <w:rPr>
          <w:noProof/>
        </w:rPr>
        <w:t>41</w:t>
      </w:r>
      <w:r w:rsidR="00631B16">
        <w:fldChar w:fldCharType="end"/>
      </w:r>
      <w:r w:rsidRPr="008F1881">
        <w:t>. This figure shows that public land captures many of the significant natural values (habitat) of the region, but there are substantial areas of high natural value outside public land.</w:t>
      </w:r>
    </w:p>
    <w:p w:rsidR="00F6080A" w:rsidRPr="00CD2959" w:rsidRDefault="00C820C0" w:rsidP="00CD2959">
      <w:pPr>
        <w:pStyle w:val="Caption"/>
      </w:pPr>
      <w:bookmarkStart w:id="330" w:name="_Ref349226075"/>
      <w:r>
        <w:rPr>
          <w:noProof/>
        </w:rPr>
        <w:lastRenderedPageBreak/>
        <w:drawing>
          <wp:anchor distT="0" distB="0" distL="114300" distR="114300" simplePos="0" relativeHeight="251696128" behindDoc="0" locked="0" layoutInCell="1" allowOverlap="1">
            <wp:simplePos x="0" y="0"/>
            <wp:positionH relativeFrom="column">
              <wp:posOffset>19050</wp:posOffset>
            </wp:positionH>
            <wp:positionV relativeFrom="paragraph">
              <wp:posOffset>247650</wp:posOffset>
            </wp:positionV>
            <wp:extent cx="6134100" cy="4267200"/>
            <wp:effectExtent l="19050" t="0" r="0" b="0"/>
            <wp:wrapTopAndBottom/>
            <wp:docPr id="45" name="Picture 7" descr="Map of public land within the Central High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GIS\RGP\Central Highlands\CH_publicland.jpg"/>
                    <pic:cNvPicPr>
                      <a:picLocks noChangeAspect="1" noChangeArrowheads="1"/>
                    </pic:cNvPicPr>
                  </pic:nvPicPr>
                  <pic:blipFill>
                    <a:blip r:embed="rId60" cstate="email"/>
                    <a:stretch>
                      <a:fillRect/>
                    </a:stretch>
                  </pic:blipFill>
                  <pic:spPr bwMode="auto">
                    <a:xfrm>
                      <a:off x="0" y="0"/>
                      <a:ext cx="6134100" cy="4267200"/>
                    </a:xfrm>
                    <a:prstGeom prst="rect">
                      <a:avLst/>
                    </a:prstGeom>
                    <a:noFill/>
                    <a:ln w="9525">
                      <a:noFill/>
                      <a:miter lim="800000"/>
                      <a:headEnd/>
                      <a:tailEnd/>
                    </a:ln>
                  </pic:spPr>
                </pic:pic>
              </a:graphicData>
            </a:graphic>
          </wp:anchor>
        </w:drawing>
      </w:r>
      <w:bookmarkStart w:id="331" w:name="_Toc381698041"/>
      <w:r w:rsidR="00960671" w:rsidRPr="00CD2959">
        <w:t xml:space="preserve">Figure </w:t>
      </w:r>
      <w:r w:rsidR="009F388E">
        <w:fldChar w:fldCharType="begin"/>
      </w:r>
      <w:r w:rsidR="00821C7F">
        <w:instrText xml:space="preserve"> SEQ Figure \* ARABIC </w:instrText>
      </w:r>
      <w:r w:rsidR="009F388E">
        <w:fldChar w:fldCharType="separate"/>
      </w:r>
      <w:r w:rsidR="00907B42">
        <w:rPr>
          <w:noProof/>
        </w:rPr>
        <w:t>41</w:t>
      </w:r>
      <w:r w:rsidR="009F388E">
        <w:fldChar w:fldCharType="end"/>
      </w:r>
      <w:bookmarkEnd w:id="330"/>
      <w:r w:rsidR="00344EAB" w:rsidRPr="00CD2959">
        <w:t>:</w:t>
      </w:r>
      <w:r w:rsidR="00F6080A" w:rsidRPr="00CD2959">
        <w:t xml:space="preserve"> Public land within the region</w:t>
      </w:r>
      <w:bookmarkEnd w:id="331"/>
    </w:p>
    <w:p w:rsidR="00AE186F" w:rsidRPr="00CD2959" w:rsidRDefault="00AE186F" w:rsidP="00AE186F">
      <w:pPr>
        <w:pStyle w:val="Source0"/>
      </w:pPr>
      <w:r w:rsidRPr="00CD2959">
        <w:t xml:space="preserve">Source: </w:t>
      </w:r>
      <w:r>
        <w:t>Department of Transport, Planning and Local Infrastructure</w:t>
      </w:r>
    </w:p>
    <w:p w:rsidR="00F6080A" w:rsidRPr="008F1881" w:rsidRDefault="00F6080A" w:rsidP="00054FF7">
      <w:pPr>
        <w:pStyle w:val="bt"/>
      </w:pPr>
      <w:r w:rsidRPr="008F1881">
        <w:t xml:space="preserve">There are significant, nationally recognised areas of public land in the Central Highlands region, such as the Grampians </w:t>
      </w:r>
      <w:r w:rsidR="00DE0B8F">
        <w:t xml:space="preserve">National Park </w:t>
      </w:r>
      <w:r w:rsidRPr="008F1881">
        <w:t>and the Hepburn Springs/Daylesford area. These public land assets and their surrounding landscapes attract many visitors and provide significant income to the region</w:t>
      </w:r>
      <w:r w:rsidR="00DE0B8F">
        <w:t xml:space="preserve">. They </w:t>
      </w:r>
      <w:r w:rsidRPr="008F1881">
        <w:t xml:space="preserve">are </w:t>
      </w:r>
      <w:r w:rsidR="00DE0B8F">
        <w:t xml:space="preserve">central </w:t>
      </w:r>
      <w:r w:rsidRPr="008F1881">
        <w:t>to the tourism future of the region</w:t>
      </w:r>
      <w:r w:rsidR="00DE0B8F">
        <w:t xml:space="preserve"> and for </w:t>
      </w:r>
      <w:r w:rsidRPr="008F1881">
        <w:t>protecting its natural values.</w:t>
      </w:r>
    </w:p>
    <w:p w:rsidR="00F6080A" w:rsidRDefault="009F09AE" w:rsidP="00054FF7">
      <w:pPr>
        <w:pStyle w:val="bt"/>
      </w:pPr>
      <w:r w:rsidRPr="008F1881">
        <w:t>Opportunities for tourism development associated with</w:t>
      </w:r>
      <w:r w:rsidR="00DE0B8F">
        <w:t>,</w:t>
      </w:r>
      <w:r w:rsidRPr="008F1881">
        <w:t xml:space="preserve"> or linked to</w:t>
      </w:r>
      <w:r w:rsidR="00DE0B8F">
        <w:t>,</w:t>
      </w:r>
      <w:r w:rsidRPr="008F1881">
        <w:t xml:space="preserve"> public land are encouraged in the </w:t>
      </w:r>
      <w:r w:rsidR="00F37D25">
        <w:t>plan</w:t>
      </w:r>
      <w:r w:rsidRPr="008F1881">
        <w:t>.</w:t>
      </w:r>
      <w:r w:rsidR="00F6080A" w:rsidRPr="008F1881">
        <w:t xml:space="preserve"> This is particularly relevant around the Hepburn Springs/Daylesford and Grampians areas. Within the Grampians there are plans to develop the Grampians Peak Trail, a long distance walking trail (linking M</w:t>
      </w:r>
      <w:r w:rsidR="00DE0B8F">
        <w:t>oun</w:t>
      </w:r>
      <w:r w:rsidR="00F6080A" w:rsidRPr="008F1881">
        <w:t xml:space="preserve">t Zero to Dunkeld). This trail will require accommodation options along the route (away from townships) </w:t>
      </w:r>
      <w:r w:rsidR="00DE0B8F">
        <w:t xml:space="preserve">as well as </w:t>
      </w:r>
      <w:r w:rsidR="00F6080A" w:rsidRPr="008F1881">
        <w:t>tourism infrastructure to support walkers on their 12</w:t>
      </w:r>
      <w:r w:rsidR="00DE0B8F">
        <w:t xml:space="preserve"> to </w:t>
      </w:r>
      <w:r w:rsidR="00F6080A" w:rsidRPr="008F1881">
        <w:t>14 day walking experience. This may create economic diversification opportunities for private land</w:t>
      </w:r>
      <w:r w:rsidR="00E5582D" w:rsidRPr="008F1881">
        <w:t xml:space="preserve">holders close to the Grampians. </w:t>
      </w:r>
      <w:r w:rsidR="00F6080A" w:rsidRPr="008F1881">
        <w:t xml:space="preserve">There are also tourism opportunities </w:t>
      </w:r>
      <w:r w:rsidR="00DE0B8F">
        <w:t xml:space="preserve">related </w:t>
      </w:r>
      <w:r w:rsidR="00F6080A" w:rsidRPr="008F1881">
        <w:t xml:space="preserve">to the </w:t>
      </w:r>
      <w:r w:rsidR="00DE0B8F">
        <w:t>‘</w:t>
      </w:r>
      <w:r w:rsidR="00F6080A" w:rsidRPr="008F1881">
        <w:t>Goldfields – Australia’s Premier Heritage Region</w:t>
      </w:r>
      <w:r w:rsidR="00DE0B8F">
        <w:t>’</w:t>
      </w:r>
      <w:r w:rsidR="00F6080A" w:rsidRPr="008F1881">
        <w:t xml:space="preserve"> initiative and other nature-based tourism opportunities associated with public land.</w:t>
      </w:r>
    </w:p>
    <w:p w:rsidR="008F1881" w:rsidRPr="005B01F7" w:rsidRDefault="009F09AE" w:rsidP="006F7E2E">
      <w:pPr>
        <w:pStyle w:val="Heading3"/>
        <w:spacing w:before="240"/>
      </w:pPr>
      <w:r w:rsidRPr="005B01F7">
        <w:t xml:space="preserve">Land </w:t>
      </w:r>
      <w:r w:rsidR="00661931" w:rsidRPr="005B01F7">
        <w:t>use planning response</w:t>
      </w:r>
    </w:p>
    <w:p w:rsidR="00425CC3" w:rsidRPr="008F1881" w:rsidRDefault="00422C03" w:rsidP="00054FF7">
      <w:pPr>
        <w:pStyle w:val="bt"/>
      </w:pPr>
      <w:r w:rsidRPr="008F1881">
        <w:t xml:space="preserve">The land use planning system plays an important role in protecting environmental assets on private land where new development is proposed. </w:t>
      </w:r>
      <w:r w:rsidR="003A2810" w:rsidRPr="008F1881">
        <w:t>However</w:t>
      </w:r>
      <w:r w:rsidR="00A77E93">
        <w:t>,</w:t>
      </w:r>
      <w:r w:rsidR="003A2810" w:rsidRPr="008F1881">
        <w:t xml:space="preserve"> there are many other strategies and processes which manage environmental values beyond </w:t>
      </w:r>
      <w:r w:rsidRPr="008F1881">
        <w:t>the land use planning system</w:t>
      </w:r>
      <w:r w:rsidR="00C553EE">
        <w:t>. For example</w:t>
      </w:r>
      <w:r w:rsidR="003A2810" w:rsidRPr="008F1881">
        <w:t>:</w:t>
      </w:r>
    </w:p>
    <w:p w:rsidR="00B055FA" w:rsidRPr="008F1881" w:rsidRDefault="00B055FA" w:rsidP="00054FF7">
      <w:pPr>
        <w:pStyle w:val="ListBullet"/>
      </w:pPr>
      <w:r w:rsidRPr="008F1881">
        <w:t xml:space="preserve">Waterway and wetlands health is managed by </w:t>
      </w:r>
      <w:r w:rsidR="00FF2864">
        <w:t>catchment management authorities</w:t>
      </w:r>
      <w:r w:rsidRPr="008F1881">
        <w:t>, through their regional catchment strategies and relevant sub-strategies, including regional river health strategies and wetland management strategies</w:t>
      </w:r>
      <w:r w:rsidR="00DE0B8F">
        <w:t>.</w:t>
      </w:r>
    </w:p>
    <w:p w:rsidR="00B055FA" w:rsidRPr="008F1881" w:rsidRDefault="00B055FA" w:rsidP="00054FF7">
      <w:pPr>
        <w:pStyle w:val="ListBullet"/>
      </w:pPr>
      <w:r w:rsidRPr="008F1881">
        <w:t>Water quality is managed by E</w:t>
      </w:r>
      <w:r w:rsidR="00DE0B8F">
        <w:t xml:space="preserve">nvironment Protection Authority Victoria </w:t>
      </w:r>
      <w:r w:rsidRPr="008F1881">
        <w:t>and rural water authorities</w:t>
      </w:r>
      <w:r w:rsidR="00DE0B8F">
        <w:t>.</w:t>
      </w:r>
    </w:p>
    <w:p w:rsidR="00B055FA" w:rsidRPr="008F1881" w:rsidRDefault="00B055FA" w:rsidP="00054FF7">
      <w:pPr>
        <w:pStyle w:val="ListBullet"/>
      </w:pPr>
      <w:r w:rsidRPr="008F1881">
        <w:lastRenderedPageBreak/>
        <w:t xml:space="preserve">Public land values are managed by Crown </w:t>
      </w:r>
      <w:r w:rsidR="00966E48">
        <w:t>l</w:t>
      </w:r>
      <w:r w:rsidRPr="008F1881">
        <w:t xml:space="preserve">and managers, generally </w:t>
      </w:r>
      <w:r w:rsidR="00966E48">
        <w:t>c</w:t>
      </w:r>
      <w:r w:rsidRPr="008F1881">
        <w:t xml:space="preserve">ouncils, Parks Victoria or the Department of Environment </w:t>
      </w:r>
      <w:r w:rsidR="00FF2864">
        <w:t>and Primary Industries</w:t>
      </w:r>
      <w:r w:rsidR="00966E48">
        <w:t>.</w:t>
      </w:r>
    </w:p>
    <w:p w:rsidR="00B055FA" w:rsidRPr="008F1881" w:rsidRDefault="00422C03" w:rsidP="00054FF7">
      <w:pPr>
        <w:pStyle w:val="ListBullet"/>
      </w:pPr>
      <w:r w:rsidRPr="008F1881">
        <w:t>T</w:t>
      </w:r>
      <w:r w:rsidR="00B055FA" w:rsidRPr="008F1881">
        <w:t xml:space="preserve">hreats to biodiversity values are managed through legislation such as the Victorian </w:t>
      </w:r>
      <w:r w:rsidR="00B055FA" w:rsidRPr="008F1881">
        <w:rPr>
          <w:i/>
        </w:rPr>
        <w:t>Flora and Fauna Guarantee Act</w:t>
      </w:r>
      <w:r w:rsidR="00B055FA" w:rsidRPr="008F1881">
        <w:t xml:space="preserve"> </w:t>
      </w:r>
      <w:r w:rsidR="00B055FA" w:rsidRPr="008F1881">
        <w:rPr>
          <w:i/>
        </w:rPr>
        <w:t xml:space="preserve">1988 </w:t>
      </w:r>
      <w:r w:rsidR="00B055FA" w:rsidRPr="008F1881">
        <w:t xml:space="preserve">and the Commonwealth </w:t>
      </w:r>
      <w:r w:rsidR="00B055FA" w:rsidRPr="008F1881">
        <w:rPr>
          <w:i/>
        </w:rPr>
        <w:t xml:space="preserve">Environment Protection and Biodiversity Conservation Act 1999 </w:t>
      </w:r>
      <w:r w:rsidR="00B055FA" w:rsidRPr="008F1881">
        <w:t xml:space="preserve">as well as </w:t>
      </w:r>
      <w:r w:rsidR="00966E48" w:rsidRPr="008F1881">
        <w:t xml:space="preserve">Department of Environment </w:t>
      </w:r>
      <w:r w:rsidR="00966E48">
        <w:t>and Primary Industries</w:t>
      </w:r>
      <w:r w:rsidR="00966E48" w:rsidRPr="008F1881" w:rsidDel="00966E48">
        <w:t xml:space="preserve"> </w:t>
      </w:r>
      <w:r w:rsidR="00B055FA" w:rsidRPr="008F1881">
        <w:t>action plans</w:t>
      </w:r>
      <w:r w:rsidR="00966E48">
        <w:t>.</w:t>
      </w:r>
      <w:r w:rsidR="00B055FA" w:rsidRPr="008F1881">
        <w:t xml:space="preserve">   </w:t>
      </w:r>
    </w:p>
    <w:p w:rsidR="00B055FA" w:rsidRDefault="00B055FA" w:rsidP="00054FF7">
      <w:pPr>
        <w:pStyle w:val="ListBullet"/>
      </w:pPr>
      <w:r w:rsidRPr="008F1881">
        <w:t xml:space="preserve">Other catchment assets, such as soils, are managed </w:t>
      </w:r>
      <w:r w:rsidR="00422C03" w:rsidRPr="008F1881">
        <w:t xml:space="preserve">by </w:t>
      </w:r>
      <w:r w:rsidR="00FF2864">
        <w:t>catchment management authorities</w:t>
      </w:r>
      <w:r w:rsidR="00FF2864" w:rsidRPr="008F1881">
        <w:t xml:space="preserve"> </w:t>
      </w:r>
      <w:r w:rsidR="00422C03" w:rsidRPr="008F1881">
        <w:t xml:space="preserve">through </w:t>
      </w:r>
      <w:r w:rsidRPr="008F1881">
        <w:t>soil management plans and land and water management plans.</w:t>
      </w:r>
    </w:p>
    <w:p w:rsidR="00B055FA" w:rsidRPr="008F1881" w:rsidRDefault="00B055FA" w:rsidP="00054FF7">
      <w:pPr>
        <w:pStyle w:val="bt"/>
      </w:pPr>
      <w:r w:rsidRPr="008F1881">
        <w:t xml:space="preserve">The </w:t>
      </w:r>
      <w:r w:rsidR="00422C03" w:rsidRPr="008F1881">
        <w:t xml:space="preserve">planning directions set out in the </w:t>
      </w:r>
      <w:r w:rsidR="0075659E">
        <w:t xml:space="preserve">regional growth </w:t>
      </w:r>
      <w:r w:rsidR="00F37D25">
        <w:t>plan</w:t>
      </w:r>
      <w:r w:rsidR="00422C03" w:rsidRPr="008F1881">
        <w:t xml:space="preserve"> </w:t>
      </w:r>
      <w:r w:rsidRPr="008F1881">
        <w:t xml:space="preserve">are consistent with these existing strategies. </w:t>
      </w:r>
      <w:r w:rsidR="00422C03" w:rsidRPr="008F1881">
        <w:t xml:space="preserve">The </w:t>
      </w:r>
      <w:r w:rsidR="00F37D25">
        <w:t>plan</w:t>
      </w:r>
      <w:r w:rsidR="00422C03" w:rsidRPr="008F1881">
        <w:t xml:space="preserve"> </w:t>
      </w:r>
      <w:r w:rsidRPr="008F1881">
        <w:t xml:space="preserve">recognises the key environmental assets of the region and </w:t>
      </w:r>
      <w:r w:rsidR="00422C03" w:rsidRPr="008F1881">
        <w:t xml:space="preserve">identifies the need to give primacy to </w:t>
      </w:r>
      <w:r w:rsidRPr="008F1881">
        <w:t>their protection and enhancement.</w:t>
      </w:r>
    </w:p>
    <w:p w:rsidR="00B055FA" w:rsidRPr="008F1881" w:rsidRDefault="00B055FA" w:rsidP="00054FF7">
      <w:pPr>
        <w:pStyle w:val="bt"/>
        <w:rPr>
          <w:bCs/>
        </w:rPr>
      </w:pPr>
      <w:r w:rsidRPr="008F1881">
        <w:t xml:space="preserve">While the </w:t>
      </w:r>
      <w:r w:rsidR="00F37D25">
        <w:t>plan</w:t>
      </w:r>
      <w:r w:rsidR="00422C03" w:rsidRPr="008F1881">
        <w:t xml:space="preserve"> identifies </w:t>
      </w:r>
      <w:r w:rsidRPr="008F1881">
        <w:rPr>
          <w:bCs/>
        </w:rPr>
        <w:t xml:space="preserve">key environmental assets at the regional scale, detailed localised assessments are beyond the scope of </w:t>
      </w:r>
      <w:r w:rsidR="00422C03" w:rsidRPr="008F1881">
        <w:rPr>
          <w:bCs/>
        </w:rPr>
        <w:t xml:space="preserve">a regional scale plan. </w:t>
      </w:r>
      <w:r w:rsidRPr="008F1881">
        <w:rPr>
          <w:bCs/>
        </w:rPr>
        <w:t xml:space="preserve">As such, </w:t>
      </w:r>
      <w:r w:rsidR="00966E48">
        <w:rPr>
          <w:bCs/>
        </w:rPr>
        <w:t>‘</w:t>
      </w:r>
      <w:r w:rsidRPr="008F1881">
        <w:rPr>
          <w:bCs/>
        </w:rPr>
        <w:t>ground-truthing</w:t>
      </w:r>
      <w:r w:rsidR="00966E48">
        <w:rPr>
          <w:bCs/>
        </w:rPr>
        <w:t>’</w:t>
      </w:r>
      <w:r w:rsidRPr="008F1881">
        <w:rPr>
          <w:bCs/>
        </w:rPr>
        <w:t xml:space="preserve"> of local environmental assets will be required for areas identified for future urban growth. </w:t>
      </w:r>
    </w:p>
    <w:p w:rsidR="00A91B5D" w:rsidRPr="008F1881" w:rsidRDefault="00A91B5D" w:rsidP="00054FF7">
      <w:pPr>
        <w:pStyle w:val="bt"/>
      </w:pPr>
      <w:r w:rsidRPr="008F1881">
        <w:t xml:space="preserve">Consultation during development of the </w:t>
      </w:r>
      <w:r w:rsidR="00F37D25">
        <w:t>plan</w:t>
      </w:r>
      <w:r w:rsidRPr="008F1881">
        <w:t xml:space="preserve"> revealed the need to understand where the most valuable agricultural land is</w:t>
      </w:r>
      <w:r w:rsidR="00966E48">
        <w:t xml:space="preserve">, particularly </w:t>
      </w:r>
      <w:r w:rsidRPr="008F1881">
        <w:t>in the east of the region</w:t>
      </w:r>
      <w:r w:rsidR="00966E48">
        <w:t>, to</w:t>
      </w:r>
      <w:r w:rsidRPr="008F1881">
        <w:t xml:space="preserve"> establish what needs to occur to protect those areas for future agricultural production. Land use planning can identify strategically important agricultural land and specify its protection for future agricultural production or to protect it from inappropriate development.</w:t>
      </w:r>
    </w:p>
    <w:p w:rsidR="006F7E2E" w:rsidRDefault="00A91B5D" w:rsidP="00F95347">
      <w:pPr>
        <w:pStyle w:val="bt"/>
      </w:pPr>
      <w:r w:rsidRPr="008F1881">
        <w:t xml:space="preserve">Land use planning can assist in the protection of the </w:t>
      </w:r>
      <w:r w:rsidR="00960671" w:rsidRPr="008F1881">
        <w:t>s</w:t>
      </w:r>
      <w:r w:rsidRPr="008F1881">
        <w:t>tate’s soil resource by promoting that land use change does not disturb soils to a level that could result in deterioration of the soil assets within each region, or further contribute to pollution of waterways in any significant volume</w:t>
      </w:r>
      <w:r w:rsidR="00966E48">
        <w:t xml:space="preserve">. One </w:t>
      </w:r>
      <w:r w:rsidR="00987FB3">
        <w:t xml:space="preserve">method </w:t>
      </w:r>
      <w:r w:rsidR="00987FB3" w:rsidRPr="008F1881">
        <w:t>could</w:t>
      </w:r>
      <w:r w:rsidR="00966E48">
        <w:t xml:space="preserve"> be to </w:t>
      </w:r>
      <w:r w:rsidR="00FF2864">
        <w:t>apply</w:t>
      </w:r>
      <w:r w:rsidR="00FF2864" w:rsidRPr="008F1881">
        <w:t xml:space="preserve"> </w:t>
      </w:r>
      <w:r w:rsidR="00FF2864">
        <w:t>the E</w:t>
      </w:r>
      <w:r w:rsidR="00FF2864" w:rsidRPr="008F1881">
        <w:t xml:space="preserve">rosion </w:t>
      </w:r>
      <w:r w:rsidR="00FF2864">
        <w:t>M</w:t>
      </w:r>
      <w:r w:rsidRPr="008F1881">
        <w:t xml:space="preserve">anagement </w:t>
      </w:r>
      <w:r w:rsidR="00FF2864">
        <w:t>Overlay</w:t>
      </w:r>
      <w:r w:rsidRPr="008F1881">
        <w:t xml:space="preserve">. </w:t>
      </w:r>
    </w:p>
    <w:p w:rsidR="008F1881" w:rsidRPr="005B01F7" w:rsidRDefault="00B15DF0" w:rsidP="006F7E2E">
      <w:pPr>
        <w:pStyle w:val="Heading2"/>
        <w:spacing w:before="120" w:after="120"/>
      </w:pPr>
      <w:bookmarkStart w:id="332" w:name="_Toc349138558"/>
      <w:bookmarkStart w:id="333" w:name="_Toc349138869"/>
      <w:bookmarkStart w:id="334" w:name="_Toc349138926"/>
      <w:bookmarkStart w:id="335" w:name="_Toc349138985"/>
      <w:bookmarkStart w:id="336" w:name="_Toc349139043"/>
      <w:bookmarkStart w:id="337" w:name="_Toc349557730"/>
      <w:bookmarkStart w:id="338" w:name="_Toc349557971"/>
      <w:bookmarkStart w:id="339" w:name="_Toc349558082"/>
      <w:bookmarkStart w:id="340" w:name="_Toc349558193"/>
      <w:bookmarkStart w:id="341" w:name="_Toc349558642"/>
      <w:bookmarkStart w:id="342" w:name="_Toc349138559"/>
      <w:bookmarkStart w:id="343" w:name="_Toc349138870"/>
      <w:bookmarkStart w:id="344" w:name="_Toc349138927"/>
      <w:bookmarkStart w:id="345" w:name="_Toc349138986"/>
      <w:bookmarkStart w:id="346" w:name="_Toc349139044"/>
      <w:bookmarkStart w:id="347" w:name="_Toc349557731"/>
      <w:bookmarkStart w:id="348" w:name="_Toc349557972"/>
      <w:bookmarkStart w:id="349" w:name="_Toc349558083"/>
      <w:bookmarkStart w:id="350" w:name="_Toc349558194"/>
      <w:bookmarkStart w:id="351" w:name="_Toc349558643"/>
      <w:bookmarkStart w:id="352" w:name="_Toc349138560"/>
      <w:bookmarkStart w:id="353" w:name="_Toc349138871"/>
      <w:bookmarkStart w:id="354" w:name="_Toc349138928"/>
      <w:bookmarkStart w:id="355" w:name="_Toc349138987"/>
      <w:bookmarkStart w:id="356" w:name="_Toc349139045"/>
      <w:bookmarkStart w:id="357" w:name="_Toc349557732"/>
      <w:bookmarkStart w:id="358" w:name="_Toc349557973"/>
      <w:bookmarkStart w:id="359" w:name="_Toc349558084"/>
      <w:bookmarkStart w:id="360" w:name="_Toc349558195"/>
      <w:bookmarkStart w:id="361" w:name="_Toc349558644"/>
      <w:bookmarkStart w:id="362" w:name="_Toc349138561"/>
      <w:bookmarkStart w:id="363" w:name="_Toc349138872"/>
      <w:bookmarkStart w:id="364" w:name="_Toc349138929"/>
      <w:bookmarkStart w:id="365" w:name="_Toc349138988"/>
      <w:bookmarkStart w:id="366" w:name="_Toc349139046"/>
      <w:bookmarkStart w:id="367" w:name="_Toc349557733"/>
      <w:bookmarkStart w:id="368" w:name="_Toc349557974"/>
      <w:bookmarkStart w:id="369" w:name="_Toc349558085"/>
      <w:bookmarkStart w:id="370" w:name="_Toc349558196"/>
      <w:bookmarkStart w:id="371" w:name="_Toc349558645"/>
      <w:bookmarkStart w:id="372" w:name="_Toc349138562"/>
      <w:bookmarkStart w:id="373" w:name="_Toc349138873"/>
      <w:bookmarkStart w:id="374" w:name="_Toc349138930"/>
      <w:bookmarkStart w:id="375" w:name="_Toc349138989"/>
      <w:bookmarkStart w:id="376" w:name="_Toc349139047"/>
      <w:bookmarkStart w:id="377" w:name="_Toc349557734"/>
      <w:bookmarkStart w:id="378" w:name="_Toc349557975"/>
      <w:bookmarkStart w:id="379" w:name="_Toc349558086"/>
      <w:bookmarkStart w:id="380" w:name="_Toc349558197"/>
      <w:bookmarkStart w:id="381" w:name="_Toc349558646"/>
      <w:bookmarkStart w:id="382" w:name="_Toc349138563"/>
      <w:bookmarkStart w:id="383" w:name="_Toc349138874"/>
      <w:bookmarkStart w:id="384" w:name="_Toc349138931"/>
      <w:bookmarkStart w:id="385" w:name="_Toc349138990"/>
      <w:bookmarkStart w:id="386" w:name="_Toc349139048"/>
      <w:bookmarkStart w:id="387" w:name="_Toc349557735"/>
      <w:bookmarkStart w:id="388" w:name="_Toc349557976"/>
      <w:bookmarkStart w:id="389" w:name="_Toc349558087"/>
      <w:bookmarkStart w:id="390" w:name="_Toc349558198"/>
      <w:bookmarkStart w:id="391" w:name="_Toc349558647"/>
      <w:bookmarkStart w:id="392" w:name="_Toc349138564"/>
      <w:bookmarkStart w:id="393" w:name="_Toc349138875"/>
      <w:bookmarkStart w:id="394" w:name="_Toc349138932"/>
      <w:bookmarkStart w:id="395" w:name="_Toc349138991"/>
      <w:bookmarkStart w:id="396" w:name="_Toc349139049"/>
      <w:bookmarkStart w:id="397" w:name="_Toc349557736"/>
      <w:bookmarkStart w:id="398" w:name="_Toc349557977"/>
      <w:bookmarkStart w:id="399" w:name="_Toc349558088"/>
      <w:bookmarkStart w:id="400" w:name="_Toc349558199"/>
      <w:bookmarkStart w:id="401" w:name="_Toc349558648"/>
      <w:bookmarkStart w:id="402" w:name="_Toc374527619"/>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5B01F7">
        <w:t>Water catchments</w:t>
      </w:r>
      <w:bookmarkEnd w:id="402"/>
    </w:p>
    <w:p w:rsidR="008F1881" w:rsidRPr="005B01F7" w:rsidRDefault="00B15DF0" w:rsidP="006F7E2E">
      <w:pPr>
        <w:pStyle w:val="Heading3"/>
        <w:spacing w:before="120"/>
      </w:pPr>
      <w:r w:rsidRPr="005B01F7">
        <w:t xml:space="preserve">Description and </w:t>
      </w:r>
      <w:r w:rsidR="00661931" w:rsidRPr="005B01F7">
        <w:t>analysis</w:t>
      </w:r>
    </w:p>
    <w:p w:rsidR="00B15DF0" w:rsidRPr="008F1881" w:rsidRDefault="00B15DF0" w:rsidP="00054FF7">
      <w:pPr>
        <w:pStyle w:val="bt"/>
      </w:pPr>
      <w:r w:rsidRPr="008F1881">
        <w:t>A significant proportion of the Central Highlands, including much of the shires of Hepburn and Moorabool</w:t>
      </w:r>
      <w:r w:rsidR="00E829D0">
        <w:t>,</w:t>
      </w:r>
      <w:r w:rsidRPr="008F1881">
        <w:t xml:space="preserve"> are located within </w:t>
      </w:r>
      <w:r w:rsidR="003108CC">
        <w:t>d</w:t>
      </w:r>
      <w:r w:rsidRPr="008F1881">
        <w:t xml:space="preserve">eclared </w:t>
      </w:r>
      <w:r w:rsidR="003108CC">
        <w:t>w</w:t>
      </w:r>
      <w:r w:rsidRPr="008F1881">
        <w:t xml:space="preserve">ater </w:t>
      </w:r>
      <w:r w:rsidR="003108CC">
        <w:t>s</w:t>
      </w:r>
      <w:r w:rsidRPr="008F1881">
        <w:t xml:space="preserve">upply </w:t>
      </w:r>
      <w:r w:rsidR="003108CC">
        <w:t>c</w:t>
      </w:r>
      <w:r w:rsidRPr="008F1881">
        <w:t>atchments</w:t>
      </w:r>
      <w:r w:rsidR="00E829D0">
        <w:t>,</w:t>
      </w:r>
      <w:r w:rsidRPr="008F1881">
        <w:t xml:space="preserve"> as shown in</w:t>
      </w:r>
      <w:r w:rsidR="007240CE">
        <w:t xml:space="preserve"> </w:t>
      </w:r>
      <w:r w:rsidR="00631B16">
        <w:fldChar w:fldCharType="begin"/>
      </w:r>
      <w:r w:rsidR="00631B16">
        <w:instrText xml:space="preserve"> REF _Ref350360995 \h  \* MERGEFORMAT </w:instrText>
      </w:r>
      <w:r w:rsidR="00631B16">
        <w:fldChar w:fldCharType="separate"/>
      </w:r>
      <w:r w:rsidR="00907B42" w:rsidRPr="00CD2959">
        <w:t xml:space="preserve">Figure </w:t>
      </w:r>
      <w:r w:rsidR="00907B42">
        <w:rPr>
          <w:noProof/>
        </w:rPr>
        <w:t>42</w:t>
      </w:r>
      <w:r w:rsidR="00631B16">
        <w:fldChar w:fldCharType="end"/>
      </w:r>
      <w:r w:rsidRPr="008F1881">
        <w:t xml:space="preserve">. Many of these catchments are located in areas that are under significant demand for residential development. There are potential risks to water quality in these catchments that need to be managed appropriately.  </w:t>
      </w:r>
    </w:p>
    <w:p w:rsidR="00B15DF0" w:rsidRPr="008F1881" w:rsidRDefault="00B15DF0" w:rsidP="00054FF7">
      <w:pPr>
        <w:pStyle w:val="bt"/>
      </w:pPr>
      <w:r w:rsidRPr="008F1881">
        <w:t xml:space="preserve">The catchment areas within the region supply water for domestic, irrigation or other purposes and are protected under the </w:t>
      </w:r>
      <w:r w:rsidRPr="008F1881">
        <w:rPr>
          <w:i/>
          <w:iCs/>
        </w:rPr>
        <w:t>Catchment and Land Protection Act 1994</w:t>
      </w:r>
      <w:r w:rsidRPr="008F1881">
        <w:t xml:space="preserve">. These catchments have significant values as a source of water supply and much of the land within these catchments is privately owned and used for farming purposes. Within the Central Highlands region these catchment areas collect water for use </w:t>
      </w:r>
      <w:r w:rsidR="003108CC">
        <w:t xml:space="preserve">in </w:t>
      </w:r>
      <w:r w:rsidRPr="008F1881">
        <w:t xml:space="preserve">metropolitan </w:t>
      </w:r>
      <w:r w:rsidR="003108CC">
        <w:t>Melbourne</w:t>
      </w:r>
      <w:r w:rsidRPr="008F1881">
        <w:t xml:space="preserve">, for supply to important irrigation districts, and for supply </w:t>
      </w:r>
      <w:r w:rsidR="003108CC">
        <w:t xml:space="preserve">to </w:t>
      </w:r>
      <w:r w:rsidRPr="008F1881">
        <w:t>Ballarat, Bendigo, Geelon</w:t>
      </w:r>
      <w:r w:rsidR="00054FF7">
        <w:t>g and many smaller settlements.</w:t>
      </w:r>
    </w:p>
    <w:p w:rsidR="00B15DF0" w:rsidRPr="008F1881" w:rsidRDefault="00B15DF0" w:rsidP="00054FF7">
      <w:pPr>
        <w:pStyle w:val="bt"/>
      </w:pPr>
      <w:r w:rsidRPr="008F1881">
        <w:t xml:space="preserve">The land use planning system interacts with </w:t>
      </w:r>
      <w:r w:rsidR="003108CC">
        <w:t>d</w:t>
      </w:r>
      <w:r w:rsidRPr="008F1881">
        <w:t xml:space="preserve">eclared </w:t>
      </w:r>
      <w:r w:rsidR="003108CC">
        <w:t>w</w:t>
      </w:r>
      <w:r w:rsidRPr="008F1881">
        <w:t xml:space="preserve">ater </w:t>
      </w:r>
      <w:r w:rsidR="003108CC">
        <w:t>s</w:t>
      </w:r>
      <w:r w:rsidRPr="008F1881">
        <w:t xml:space="preserve">upply </w:t>
      </w:r>
      <w:r w:rsidR="003108CC">
        <w:t>c</w:t>
      </w:r>
      <w:r w:rsidRPr="008F1881">
        <w:t>atchments by recognising them in planning schemes, typically through an Environmental Significance Overlay such as in the Moorabool Planning Scheme, which triggers the need for a permit for land use or development that may impact on water quality. Water authorities are typically recognised as referral authorities for planning permit applications within the catchments that they manage. There is a need to consider how growth of settlements in the region will interact with objectives around protection of water catchments. Infrastructure upgrades to particular towns may assist in reducing the impact of existing septic systems and allow for further development.</w:t>
      </w:r>
    </w:p>
    <w:p w:rsidR="00B15DF0" w:rsidRPr="008F1881" w:rsidRDefault="00B15DF0" w:rsidP="00054FF7">
      <w:pPr>
        <w:pStyle w:val="bt"/>
      </w:pPr>
      <w:r w:rsidRPr="008F1881">
        <w:t>In November 2012</w:t>
      </w:r>
      <w:r w:rsidR="003108CC">
        <w:t>,</w:t>
      </w:r>
      <w:r w:rsidRPr="008F1881">
        <w:t xml:space="preserve"> the Minister for Water issued guidelines for planning permit applications in open, potable water supply catchment areas. The focus of these guidelines is to manage risks presented to catchments from pollution sources, primarily residential development and agriculture</w:t>
      </w:r>
      <w:r w:rsidR="003108CC">
        <w:t>,</w:t>
      </w:r>
      <w:r w:rsidRPr="008F1881">
        <w:t xml:space="preserve"> which can impact on water quality due to contaminated runoff and wastes, nutrient contributions and sediment to waterways.</w:t>
      </w:r>
    </w:p>
    <w:p w:rsidR="00E829D0" w:rsidRDefault="00B15DF0" w:rsidP="006F7E2E">
      <w:pPr>
        <w:pStyle w:val="bt"/>
        <w:spacing w:after="120"/>
      </w:pPr>
      <w:r w:rsidRPr="008F1881">
        <w:lastRenderedPageBreak/>
        <w:t>The guidelines address such issues as the density of dwellings within open, potable water catchment areas. In the absence of reticulated sewer</w:t>
      </w:r>
      <w:r w:rsidR="003108CC">
        <w:t>,</w:t>
      </w:r>
      <w:r w:rsidRPr="008F1881">
        <w:t xml:space="preserve"> the guidelines state there should not be more than one dwelling per 40 hectares unless</w:t>
      </w:r>
      <w:r w:rsidR="00E829D0">
        <w:t>:</w:t>
      </w:r>
      <w:r w:rsidRPr="008F1881">
        <w:t xml:space="preserve"> </w:t>
      </w:r>
    </w:p>
    <w:p w:rsidR="00E829D0" w:rsidRDefault="00B15DF0" w:rsidP="00054FF7">
      <w:pPr>
        <w:pStyle w:val="ListBullet"/>
      </w:pPr>
      <w:r w:rsidRPr="008F1881">
        <w:t xml:space="preserve">a </w:t>
      </w:r>
      <w:r w:rsidR="003108CC">
        <w:t>c</w:t>
      </w:r>
      <w:r w:rsidRPr="008F1881">
        <w:t xml:space="preserve">atchment </w:t>
      </w:r>
      <w:r w:rsidR="003108CC">
        <w:t>p</w:t>
      </w:r>
      <w:r w:rsidRPr="008F1881">
        <w:t xml:space="preserve">olicy has been prepared </w:t>
      </w:r>
      <w:r w:rsidR="003108CC">
        <w:t xml:space="preserve">that </w:t>
      </w:r>
      <w:r w:rsidRPr="008F1881">
        <w:t>provides for a greater density</w:t>
      </w:r>
      <w:r w:rsidR="00FF2864">
        <w:t>,</w:t>
      </w:r>
      <w:r w:rsidRPr="008F1881">
        <w:t xml:space="preserve"> or </w:t>
      </w:r>
    </w:p>
    <w:p w:rsidR="00E829D0" w:rsidRDefault="00B15DF0" w:rsidP="00054FF7">
      <w:pPr>
        <w:pStyle w:val="ListBullet"/>
      </w:pPr>
      <w:r w:rsidRPr="008F1881">
        <w:t xml:space="preserve">a </w:t>
      </w:r>
      <w:r w:rsidR="00FF2864">
        <w:t>d</w:t>
      </w:r>
      <w:r w:rsidR="00FF2864" w:rsidRPr="008F1881">
        <w:t xml:space="preserve">omestic </w:t>
      </w:r>
      <w:r w:rsidR="00FF2864">
        <w:t>w</w:t>
      </w:r>
      <w:r w:rsidR="00FF2864" w:rsidRPr="008F1881">
        <w:t xml:space="preserve">astewater </w:t>
      </w:r>
      <w:r w:rsidR="00FF2864">
        <w:t>m</w:t>
      </w:r>
      <w:r w:rsidR="00FF2864" w:rsidRPr="008F1881">
        <w:t xml:space="preserve">anagement </w:t>
      </w:r>
      <w:r w:rsidR="00FF2864">
        <w:t>p</w:t>
      </w:r>
      <w:r w:rsidR="00FF2864" w:rsidRPr="008F1881">
        <w:t xml:space="preserve">lan </w:t>
      </w:r>
      <w:r w:rsidRPr="008F1881">
        <w:t xml:space="preserve">has been prepared and a range of other requirements are satisfied. </w:t>
      </w:r>
    </w:p>
    <w:p w:rsidR="00B15DF0" w:rsidRPr="008F1881" w:rsidRDefault="00B15DF0" w:rsidP="00054FF7">
      <w:pPr>
        <w:pStyle w:val="bt"/>
      </w:pPr>
      <w:r w:rsidRPr="008F1881">
        <w:t>Other issues addressed include the maintenance of septic tank systems and other on-site effluent disposal systems, encouragement of vegetated corridors and buffer zones along waterways and agricultural uses.</w:t>
      </w:r>
    </w:p>
    <w:p w:rsidR="00B15DF0" w:rsidRPr="008F1881" w:rsidRDefault="00B15DF0" w:rsidP="00054FF7">
      <w:pPr>
        <w:pStyle w:val="bt"/>
      </w:pPr>
      <w:r w:rsidRPr="008F1881">
        <w:t xml:space="preserve">Special </w:t>
      </w:r>
      <w:r w:rsidR="0060563E">
        <w:t>a</w:t>
      </w:r>
      <w:r w:rsidRPr="008F1881">
        <w:t xml:space="preserve">rea </w:t>
      </w:r>
      <w:r w:rsidR="0060563E">
        <w:t>p</w:t>
      </w:r>
      <w:r w:rsidRPr="008F1881">
        <w:t xml:space="preserve">lans have been prepared for some of the </w:t>
      </w:r>
      <w:r w:rsidR="00FF2864">
        <w:t>d</w:t>
      </w:r>
      <w:r w:rsidR="00FF2864" w:rsidRPr="008F1881">
        <w:t xml:space="preserve">eclared </w:t>
      </w:r>
      <w:r w:rsidR="00FF2864">
        <w:t>w</w:t>
      </w:r>
      <w:r w:rsidR="00FF2864" w:rsidRPr="008F1881">
        <w:t xml:space="preserve">ater </w:t>
      </w:r>
      <w:r w:rsidR="00FF2864">
        <w:t>s</w:t>
      </w:r>
      <w:r w:rsidR="00FF2864" w:rsidRPr="008F1881">
        <w:t xml:space="preserve">upply </w:t>
      </w:r>
      <w:r w:rsidR="00FF2864">
        <w:t>c</w:t>
      </w:r>
      <w:r w:rsidR="00FF2864" w:rsidRPr="008F1881">
        <w:t>atchments</w:t>
      </w:r>
      <w:r w:rsidRPr="008F1881">
        <w:t>. These plans specify where</w:t>
      </w:r>
      <w:r w:rsidR="0060563E">
        <w:t>,</w:t>
      </w:r>
      <w:r w:rsidRPr="008F1881">
        <w:t xml:space="preserve"> within these catchments</w:t>
      </w:r>
      <w:r w:rsidR="0060563E">
        <w:t>,</w:t>
      </w:r>
      <w:r w:rsidRPr="008F1881">
        <w:t xml:space="preserve"> specific land uses may be undertaken and the conditions that apply to any such land uses. The purpose of these plans is to minimise any adverse effects on water</w:t>
      </w:r>
      <w:r w:rsidR="0060563E">
        <w:t>-</w:t>
      </w:r>
      <w:r w:rsidRPr="008F1881">
        <w:t>related values.</w:t>
      </w:r>
    </w:p>
    <w:p w:rsidR="00B15DF0" w:rsidRPr="008F1881" w:rsidRDefault="00B15DF0" w:rsidP="00054FF7">
      <w:pPr>
        <w:pStyle w:val="bt"/>
      </w:pPr>
      <w:r w:rsidRPr="008F1881">
        <w:t xml:space="preserve">Domestic and stock water use continues to be an ‘as of right’ use if used for the purposes defined in the </w:t>
      </w:r>
      <w:r w:rsidRPr="008F1881">
        <w:rPr>
          <w:i/>
        </w:rPr>
        <w:t>Water Act 1989</w:t>
      </w:r>
      <w:r w:rsidR="0060563E">
        <w:rPr>
          <w:i/>
        </w:rPr>
        <w:t>.</w:t>
      </w:r>
      <w:r w:rsidRPr="008F1881">
        <w:t xml:space="preserve"> </w:t>
      </w:r>
      <w:r w:rsidR="0060563E">
        <w:t>H</w:t>
      </w:r>
      <w:r w:rsidRPr="008F1881">
        <w:t>owever</w:t>
      </w:r>
      <w:r w:rsidR="0060563E">
        <w:t>,</w:t>
      </w:r>
      <w:r w:rsidRPr="008F1881">
        <w:t xml:space="preserve"> in 2009 the state introduced policies to improve the management of such uses</w:t>
      </w:r>
      <w:r w:rsidR="00F7689E">
        <w:t xml:space="preserve"> (D</w:t>
      </w:r>
      <w:r w:rsidR="0060563E">
        <w:t>epartment of Sustainability and Environment</w:t>
      </w:r>
      <w:r w:rsidR="00F7689E">
        <w:t>, 2011)</w:t>
      </w:r>
      <w:r w:rsidRPr="008F1881">
        <w:t>. Some of these measures aim to monitor interception activities and ultimately reduce the impact of small catchment dams on overall water availability. Domestic and stock use could undermine the reliability of supply for all water users, particularly as in dryer conditions these dams intercept a greater percentage of rainfall</w:t>
      </w:r>
      <w:r w:rsidR="00F7689E">
        <w:t xml:space="preserve"> (</w:t>
      </w:r>
      <w:r w:rsidR="0060563E">
        <w:t>Department of Sustainability and Environment</w:t>
      </w:r>
      <w:r w:rsidR="00F7689E">
        <w:t>, 2009)</w:t>
      </w:r>
      <w:r w:rsidRPr="008F1881">
        <w:t xml:space="preserve">. </w:t>
      </w:r>
    </w:p>
    <w:p w:rsidR="006F7E2E" w:rsidRDefault="00B15DF0" w:rsidP="006F7E2E">
      <w:pPr>
        <w:pStyle w:val="bt"/>
        <w:spacing w:after="120"/>
      </w:pPr>
      <w:r w:rsidRPr="008F1881">
        <w:t>There are some groundwater resources in the Central Highlands region</w:t>
      </w:r>
      <w:r w:rsidR="0060563E">
        <w:t xml:space="preserve">, including </w:t>
      </w:r>
      <w:r w:rsidRPr="008F1881">
        <w:t>small ones in the upper catchments of rivers that flow south</w:t>
      </w:r>
      <w:r w:rsidR="0060563E">
        <w:t xml:space="preserve">. </w:t>
      </w:r>
      <w:r w:rsidR="00987FB3">
        <w:t xml:space="preserve">The </w:t>
      </w:r>
      <w:r w:rsidR="00987FB3" w:rsidRPr="008F1881">
        <w:t xml:space="preserve">largest one </w:t>
      </w:r>
      <w:r w:rsidR="00987FB3">
        <w:t xml:space="preserve">of these </w:t>
      </w:r>
      <w:r w:rsidR="00987FB3" w:rsidRPr="008F1881">
        <w:t>i</w:t>
      </w:r>
      <w:r w:rsidR="00987FB3">
        <w:t>s in</w:t>
      </w:r>
      <w:r w:rsidR="00987FB3" w:rsidRPr="008F1881">
        <w:t xml:space="preserve"> the Loddon River catchment. </w:t>
      </w:r>
      <w:r w:rsidRPr="008F1881">
        <w:t xml:space="preserve">There is also a small </w:t>
      </w:r>
      <w:r w:rsidR="00F95347">
        <w:t>resource around Bacchus Marsh.</w:t>
      </w:r>
    </w:p>
    <w:p w:rsidR="00B15DF0" w:rsidRPr="00CD2959" w:rsidRDefault="00C820C0" w:rsidP="00CD2959">
      <w:pPr>
        <w:pStyle w:val="Caption"/>
      </w:pPr>
      <w:bookmarkStart w:id="403" w:name="_Ref350360995"/>
      <w:r>
        <w:rPr>
          <w:noProof/>
        </w:rPr>
        <w:drawing>
          <wp:anchor distT="0" distB="0" distL="114300" distR="114300" simplePos="0" relativeHeight="251697152" behindDoc="0" locked="0" layoutInCell="1" allowOverlap="1">
            <wp:simplePos x="0" y="0"/>
            <wp:positionH relativeFrom="column">
              <wp:posOffset>-44450</wp:posOffset>
            </wp:positionH>
            <wp:positionV relativeFrom="paragraph">
              <wp:posOffset>241300</wp:posOffset>
            </wp:positionV>
            <wp:extent cx="6076950" cy="4269105"/>
            <wp:effectExtent l="19050" t="0" r="0" b="0"/>
            <wp:wrapTopAndBottom/>
            <wp:docPr id="23" name="Picture 6" descr="Map showing declared water supply catchments in the Central High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GIS\RGP\Central Highlands\CH_DWSC.jpg"/>
                    <pic:cNvPicPr>
                      <a:picLocks noChangeAspect="1" noChangeArrowheads="1"/>
                    </pic:cNvPicPr>
                  </pic:nvPicPr>
                  <pic:blipFill>
                    <a:blip r:embed="rId61" cstate="email"/>
                    <a:stretch>
                      <a:fillRect/>
                    </a:stretch>
                  </pic:blipFill>
                  <pic:spPr bwMode="auto">
                    <a:xfrm>
                      <a:off x="0" y="0"/>
                      <a:ext cx="6076950" cy="4269105"/>
                    </a:xfrm>
                    <a:prstGeom prst="rect">
                      <a:avLst/>
                    </a:prstGeom>
                    <a:noFill/>
                    <a:ln w="9525">
                      <a:noFill/>
                      <a:miter lim="800000"/>
                      <a:headEnd/>
                      <a:tailEnd/>
                    </a:ln>
                  </pic:spPr>
                </pic:pic>
              </a:graphicData>
            </a:graphic>
          </wp:anchor>
        </w:drawing>
      </w:r>
      <w:bookmarkStart w:id="404" w:name="_Toc381698042"/>
      <w:r w:rsidR="00B15DF0" w:rsidRPr="00CD2959">
        <w:t xml:space="preserve">Figure </w:t>
      </w:r>
      <w:r w:rsidR="009F388E">
        <w:fldChar w:fldCharType="begin"/>
      </w:r>
      <w:r w:rsidR="00821C7F">
        <w:instrText xml:space="preserve"> SEQ Figure \* ARABIC </w:instrText>
      </w:r>
      <w:r w:rsidR="009F388E">
        <w:fldChar w:fldCharType="separate"/>
      </w:r>
      <w:r w:rsidR="00907B42">
        <w:rPr>
          <w:noProof/>
        </w:rPr>
        <w:t>42</w:t>
      </w:r>
      <w:r w:rsidR="009F388E">
        <w:fldChar w:fldCharType="end"/>
      </w:r>
      <w:bookmarkEnd w:id="403"/>
      <w:r w:rsidR="003108CC" w:rsidRPr="00CD2959">
        <w:t>:</w:t>
      </w:r>
      <w:r w:rsidR="00B15DF0" w:rsidRPr="00CD2959">
        <w:t xml:space="preserve"> Declared </w:t>
      </w:r>
      <w:r w:rsidR="003108CC" w:rsidRPr="00CD2959">
        <w:t>w</w:t>
      </w:r>
      <w:r w:rsidR="00B15DF0" w:rsidRPr="00CD2959">
        <w:t xml:space="preserve">ater </w:t>
      </w:r>
      <w:r w:rsidR="003108CC" w:rsidRPr="00CD2959">
        <w:t>s</w:t>
      </w:r>
      <w:r w:rsidR="00B15DF0" w:rsidRPr="00CD2959">
        <w:t xml:space="preserve">upply </w:t>
      </w:r>
      <w:r w:rsidR="00BD549B" w:rsidRPr="00BD549B">
        <w:t>catchments in the region</w:t>
      </w:r>
      <w:bookmarkEnd w:id="404"/>
    </w:p>
    <w:p w:rsidR="00C820C0" w:rsidRDefault="00BD549B" w:rsidP="00455FD8">
      <w:pPr>
        <w:pStyle w:val="Source0"/>
        <w:rPr>
          <w:szCs w:val="20"/>
        </w:rPr>
      </w:pPr>
      <w:r w:rsidRPr="00BD549B">
        <w:t xml:space="preserve">Source: </w:t>
      </w:r>
      <w:r w:rsidR="009D6C50">
        <w:t>Department of Transport, Planning an</w:t>
      </w:r>
      <w:r w:rsidR="009437B4">
        <w:t>d</w:t>
      </w:r>
      <w:r w:rsidR="009D6C50">
        <w:t xml:space="preserve"> Local Infrastructure</w:t>
      </w:r>
    </w:p>
    <w:p w:rsidR="00B15DF0" w:rsidRPr="005B01F7" w:rsidRDefault="00B15DF0" w:rsidP="00CB7669">
      <w:pPr>
        <w:pStyle w:val="Heading3"/>
        <w:spacing w:before="120"/>
      </w:pPr>
      <w:r w:rsidRPr="005B01F7">
        <w:lastRenderedPageBreak/>
        <w:t xml:space="preserve">Land </w:t>
      </w:r>
      <w:r w:rsidR="00661931" w:rsidRPr="005B01F7">
        <w:t>use planning response</w:t>
      </w:r>
    </w:p>
    <w:p w:rsidR="00B15DF0" w:rsidRPr="008F1881" w:rsidRDefault="00B15DF0" w:rsidP="006F7E2E">
      <w:pPr>
        <w:pStyle w:val="bt"/>
        <w:spacing w:before="120"/>
      </w:pPr>
      <w:r w:rsidRPr="008F1881">
        <w:t xml:space="preserve">The designation of land within a </w:t>
      </w:r>
      <w:r w:rsidR="0060563E">
        <w:t>d</w:t>
      </w:r>
      <w:r w:rsidRPr="008F1881">
        <w:t xml:space="preserve">eclared </w:t>
      </w:r>
      <w:r w:rsidR="0060563E">
        <w:t>w</w:t>
      </w:r>
      <w:r w:rsidRPr="008F1881">
        <w:t xml:space="preserve">ater </w:t>
      </w:r>
      <w:r w:rsidR="0060563E">
        <w:t>s</w:t>
      </w:r>
      <w:r w:rsidRPr="008F1881">
        <w:t xml:space="preserve">upply </w:t>
      </w:r>
      <w:r w:rsidR="0060563E">
        <w:t>c</w:t>
      </w:r>
      <w:r w:rsidRPr="008F1881">
        <w:t>atchment places constraints on development, particularly where land is not sewered</w:t>
      </w:r>
      <w:r w:rsidR="00F7689E">
        <w:t>,</w:t>
      </w:r>
      <w:r w:rsidRPr="008F1881">
        <w:t xml:space="preserve"> such as in rural residential areas</w:t>
      </w:r>
      <w:r w:rsidR="00F7689E">
        <w:t>,</w:t>
      </w:r>
      <w:r w:rsidRPr="008F1881">
        <w:t xml:space="preserve"> and can place limitations on agricultural activities </w:t>
      </w:r>
      <w:r w:rsidR="0060563E">
        <w:t xml:space="preserve">such as </w:t>
      </w:r>
      <w:r w:rsidRPr="008F1881">
        <w:t xml:space="preserve">highly intensive agriculture. The cumulative impacts of development within a catchment, such as rural residential development outside settlements, present risks to water quality that need to be carefully managed. </w:t>
      </w:r>
      <w:r w:rsidR="001F0059" w:rsidRPr="008F1881">
        <w:t xml:space="preserve">The </w:t>
      </w:r>
      <w:r w:rsidR="00F37D25">
        <w:t>plan</w:t>
      </w:r>
      <w:r w:rsidR="00F7689E">
        <w:t xml:space="preserve"> </w:t>
      </w:r>
      <w:r w:rsidR="001F0059" w:rsidRPr="008F1881">
        <w:t>identifies the need to protect water catchments as regionally significant asset</w:t>
      </w:r>
      <w:r w:rsidR="00BC7994">
        <w:t>s</w:t>
      </w:r>
      <w:r w:rsidR="001F0059" w:rsidRPr="008F1881">
        <w:t xml:space="preserve"> in local planning and policy development. Furthermore</w:t>
      </w:r>
      <w:r w:rsidR="00A77E93">
        <w:t>,</w:t>
      </w:r>
      <w:r w:rsidR="001F0059" w:rsidRPr="008F1881">
        <w:t xml:space="preserve"> ongoing infrastructure upgrades which achieve multiple benefits, such as sewering settlements in catchment areas, are supported</w:t>
      </w:r>
      <w:r w:rsidR="00F3294B">
        <w:t xml:space="preserve"> in the plan</w:t>
      </w:r>
      <w:r w:rsidR="001F0059" w:rsidRPr="008F1881">
        <w:t>.</w:t>
      </w:r>
    </w:p>
    <w:p w:rsidR="00B15DF0" w:rsidRPr="008F1881" w:rsidRDefault="00B15DF0" w:rsidP="002261EE">
      <w:pPr>
        <w:pStyle w:val="bt"/>
      </w:pPr>
      <w:r w:rsidRPr="008F1881">
        <w:t xml:space="preserve">The guidelines recently released by the Minister for Water provide further direction regarding land use and development within open, potable water supply catchments. The guidelines provide for the preparation of </w:t>
      </w:r>
      <w:r w:rsidR="00BC7994">
        <w:t>c</w:t>
      </w:r>
      <w:r w:rsidRPr="008F1881">
        <w:t xml:space="preserve">atchment </w:t>
      </w:r>
      <w:r w:rsidR="00BC7994">
        <w:t>p</w:t>
      </w:r>
      <w:r w:rsidRPr="008F1881">
        <w:t xml:space="preserve">olicies and </w:t>
      </w:r>
      <w:r w:rsidR="00BC7994">
        <w:t>d</w:t>
      </w:r>
      <w:r w:rsidRPr="008F1881">
        <w:t xml:space="preserve">omestic </w:t>
      </w:r>
      <w:r w:rsidR="00BC7994">
        <w:t>w</w:t>
      </w:r>
      <w:r w:rsidRPr="008F1881">
        <w:t xml:space="preserve">astewater </w:t>
      </w:r>
      <w:r w:rsidR="00BC7994">
        <w:t>m</w:t>
      </w:r>
      <w:r w:rsidRPr="008F1881">
        <w:t xml:space="preserve">anagement </w:t>
      </w:r>
      <w:r w:rsidR="00BC7994">
        <w:t>p</w:t>
      </w:r>
      <w:r w:rsidRPr="008F1881">
        <w:t>lans for specific catchments</w:t>
      </w:r>
      <w:r w:rsidR="00BC7994">
        <w:t>,</w:t>
      </w:r>
      <w:r w:rsidRPr="008F1881">
        <w:t xml:space="preserve"> which can set out the types of development and land use that will be supported.</w:t>
      </w:r>
      <w:r w:rsidR="00F3294B">
        <w:t xml:space="preserve"> The</w:t>
      </w:r>
      <w:r w:rsidR="0075659E">
        <w:t xml:space="preserve"> regional growth</w:t>
      </w:r>
      <w:r w:rsidR="00F3294B">
        <w:t xml:space="preserve"> plan emp</w:t>
      </w:r>
      <w:r w:rsidR="0003293B">
        <w:t>h</w:t>
      </w:r>
      <w:r w:rsidR="00F3294B">
        <w:t xml:space="preserve">asises the need for </w:t>
      </w:r>
      <w:r w:rsidR="00363278">
        <w:t>c</w:t>
      </w:r>
      <w:r w:rsidR="00F3294B">
        <w:t>ouncil</w:t>
      </w:r>
      <w:r w:rsidR="00363278">
        <w:t>s</w:t>
      </w:r>
      <w:r w:rsidR="00F3294B">
        <w:t xml:space="preserve"> to review their domestic wa</w:t>
      </w:r>
      <w:r w:rsidR="0003293B">
        <w:t>ste</w:t>
      </w:r>
      <w:r w:rsidR="00F3294B" w:rsidRPr="008F1881">
        <w:t xml:space="preserve">water </w:t>
      </w:r>
      <w:r w:rsidR="00F3294B">
        <w:t>m</w:t>
      </w:r>
      <w:r w:rsidR="00F3294B" w:rsidRPr="008F1881">
        <w:t xml:space="preserve">anagement </w:t>
      </w:r>
      <w:r w:rsidR="00F3294B">
        <w:t>p</w:t>
      </w:r>
      <w:r w:rsidR="00F3294B" w:rsidRPr="008F1881">
        <w:t>lans</w:t>
      </w:r>
      <w:r w:rsidR="00F3294B">
        <w:t xml:space="preserve"> </w:t>
      </w:r>
      <w:r w:rsidR="0003293B">
        <w:t>particularly</w:t>
      </w:r>
      <w:r w:rsidR="00F3294B">
        <w:t xml:space="preserve"> in areas subject to pressure for ru</w:t>
      </w:r>
      <w:r w:rsidR="0003293B">
        <w:t>ral residential development</w:t>
      </w:r>
      <w:r w:rsidR="00363278">
        <w:t>.</w:t>
      </w:r>
    </w:p>
    <w:p w:rsidR="00B15DF0" w:rsidRPr="008F1881" w:rsidRDefault="00B15DF0" w:rsidP="002261EE">
      <w:pPr>
        <w:pStyle w:val="bt"/>
      </w:pPr>
      <w:r w:rsidRPr="008F1881">
        <w:t>The proliferation of farm dams for domestic and stock use in rural residential areas has impacts on the quantity of water able to be harvested from a catchment area. Water availability is a concern both for maintaining environmental water supplies and for use by people and industry. Land use planning needs to consider these cumulative impacts where planning approval is required for such dams.</w:t>
      </w:r>
    </w:p>
    <w:p w:rsidR="006F7E2E" w:rsidRDefault="00B15DF0" w:rsidP="006F7E2E">
      <w:pPr>
        <w:pStyle w:val="bt"/>
      </w:pPr>
      <w:r w:rsidRPr="008F1881">
        <w:t xml:space="preserve">Plantation timber is an expanding industry in the region, and </w:t>
      </w:r>
      <w:r w:rsidR="00BC7994">
        <w:t>is</w:t>
      </w:r>
      <w:r w:rsidRPr="008F1881">
        <w:t xml:space="preserve"> identified as a future opportunity for future economic diversification</w:t>
      </w:r>
      <w:r w:rsidR="00BC7994">
        <w:t xml:space="preserve"> in the region</w:t>
      </w:r>
      <w:r w:rsidRPr="008F1881">
        <w:t xml:space="preserve">. The implications of plantations on water supply in certain catchments may need to be investigated and land use regulated into the future, in line with the </w:t>
      </w:r>
      <w:r w:rsidRPr="00227110">
        <w:t>Western Region Sustainable Water Strategy</w:t>
      </w:r>
      <w:r w:rsidRPr="008F1881">
        <w:t>.</w:t>
      </w:r>
      <w:bookmarkStart w:id="405" w:name="_Toc349138565"/>
      <w:bookmarkStart w:id="406" w:name="_Toc349138876"/>
      <w:bookmarkStart w:id="407" w:name="_Toc349138933"/>
      <w:bookmarkStart w:id="408" w:name="_Toc349138992"/>
      <w:bookmarkStart w:id="409" w:name="_Toc349139050"/>
      <w:bookmarkStart w:id="410" w:name="_Toc349557737"/>
      <w:bookmarkStart w:id="411" w:name="_Toc349557978"/>
      <w:bookmarkStart w:id="412" w:name="_Toc349558089"/>
      <w:bookmarkStart w:id="413" w:name="_Toc349558200"/>
      <w:bookmarkStart w:id="414" w:name="_Toc349558649"/>
      <w:bookmarkStart w:id="415" w:name="_Toc349557738"/>
      <w:bookmarkEnd w:id="405"/>
      <w:bookmarkEnd w:id="406"/>
      <w:bookmarkEnd w:id="407"/>
      <w:bookmarkEnd w:id="408"/>
      <w:bookmarkEnd w:id="409"/>
      <w:bookmarkEnd w:id="410"/>
      <w:bookmarkEnd w:id="411"/>
      <w:bookmarkEnd w:id="412"/>
      <w:bookmarkEnd w:id="413"/>
      <w:bookmarkEnd w:id="414"/>
    </w:p>
    <w:p w:rsidR="008F1881" w:rsidRPr="005B01F7" w:rsidRDefault="00F7689E" w:rsidP="001F66D6">
      <w:pPr>
        <w:pStyle w:val="Heading2"/>
        <w:spacing w:before="240" w:after="120"/>
      </w:pPr>
      <w:bookmarkStart w:id="416" w:name="_Toc374527620"/>
      <w:r w:rsidRPr="005B01F7">
        <w:t xml:space="preserve">Natural </w:t>
      </w:r>
      <w:r w:rsidR="00661931" w:rsidRPr="005B01F7">
        <w:t xml:space="preserve">hazards </w:t>
      </w:r>
      <w:r w:rsidRPr="005B01F7">
        <w:t>and</w:t>
      </w:r>
      <w:r w:rsidR="00B055FA" w:rsidRPr="005B01F7">
        <w:t xml:space="preserve"> </w:t>
      </w:r>
      <w:bookmarkEnd w:id="415"/>
      <w:r w:rsidR="00661931" w:rsidRPr="005B01F7">
        <w:t>risks</w:t>
      </w:r>
      <w:bookmarkEnd w:id="416"/>
    </w:p>
    <w:p w:rsidR="008F1881" w:rsidRPr="005B01F7" w:rsidRDefault="009F09AE" w:rsidP="001F66D6">
      <w:pPr>
        <w:pStyle w:val="Heading3"/>
        <w:spacing w:before="120"/>
      </w:pPr>
      <w:r w:rsidRPr="005B01F7">
        <w:t xml:space="preserve">Description and </w:t>
      </w:r>
      <w:r w:rsidR="00661931" w:rsidRPr="005B01F7">
        <w:t>analysis</w:t>
      </w:r>
    </w:p>
    <w:p w:rsidR="008F1881" w:rsidRPr="00E03E4A" w:rsidRDefault="009F09AE" w:rsidP="00E03E4A">
      <w:pPr>
        <w:pStyle w:val="Heading40"/>
      </w:pPr>
      <w:r w:rsidRPr="00E03E4A">
        <w:t>Climate change</w:t>
      </w:r>
    </w:p>
    <w:p w:rsidR="00012C05" w:rsidRPr="008F1881" w:rsidRDefault="005D6C64" w:rsidP="002261EE">
      <w:pPr>
        <w:pStyle w:val="bt"/>
      </w:pPr>
      <w:r w:rsidRPr="008F1881">
        <w:t>The Central Highlands region has potential to be signi</w:t>
      </w:r>
      <w:r w:rsidR="00BF11D1" w:rsidRPr="008F1881">
        <w:t>ficantly affected by the consequences</w:t>
      </w:r>
      <w:r w:rsidRPr="008F1881">
        <w:t xml:space="preserve"> o</w:t>
      </w:r>
      <w:r w:rsidR="00BF11D1" w:rsidRPr="008F1881">
        <w:t xml:space="preserve">f </w:t>
      </w:r>
      <w:r w:rsidR="00BC7994">
        <w:t xml:space="preserve">a </w:t>
      </w:r>
      <w:r w:rsidR="00BF11D1" w:rsidRPr="008F1881">
        <w:t>changing climate. Predictions of the climate in 30 years</w:t>
      </w:r>
      <w:r w:rsidR="00012C05" w:rsidRPr="008F1881">
        <w:t>’ time</w:t>
      </w:r>
      <w:r w:rsidR="00BF11D1" w:rsidRPr="008F1881">
        <w:t xml:space="preserve"> </w:t>
      </w:r>
      <w:r w:rsidR="00BC7994">
        <w:t xml:space="preserve">indicate the </w:t>
      </w:r>
      <w:r w:rsidR="00BF11D1" w:rsidRPr="008F1881">
        <w:t xml:space="preserve">region will experience less rainfall, </w:t>
      </w:r>
      <w:r w:rsidR="00012C05" w:rsidRPr="008F1881">
        <w:t xml:space="preserve">have </w:t>
      </w:r>
      <w:r w:rsidR="00BF11D1" w:rsidRPr="008F1881">
        <w:t xml:space="preserve">hotter days and </w:t>
      </w:r>
      <w:r w:rsidR="00F7689E">
        <w:t xml:space="preserve">be subject to </w:t>
      </w:r>
      <w:r w:rsidR="00BF11D1" w:rsidRPr="008F1881">
        <w:t xml:space="preserve">more extreme weather events, such as storms, flooding and bushfires. </w:t>
      </w:r>
    </w:p>
    <w:p w:rsidR="00BF11D1" w:rsidRPr="008F1881" w:rsidRDefault="005D6C64" w:rsidP="002261EE">
      <w:pPr>
        <w:pStyle w:val="bt"/>
      </w:pPr>
      <w:r w:rsidRPr="008F1881">
        <w:t xml:space="preserve">Natural systems such as wetlands, </w:t>
      </w:r>
      <w:r w:rsidR="00BF11D1" w:rsidRPr="008F1881">
        <w:t xml:space="preserve">sectors such as agriculture and settlements in non-urban areas, could be particularly at risk of events such as drought and bushfire. </w:t>
      </w:r>
    </w:p>
    <w:p w:rsidR="008F1881" w:rsidRDefault="00BF11D1" w:rsidP="002261EE">
      <w:pPr>
        <w:pStyle w:val="bt"/>
      </w:pPr>
      <w:r w:rsidRPr="008F1881">
        <w:t xml:space="preserve">Identifying risks from climate change is an important step in preparing to </w:t>
      </w:r>
      <w:r w:rsidR="00012C05" w:rsidRPr="008F1881">
        <w:t xml:space="preserve">minimise negative environmental, social and economic impacts in the region. </w:t>
      </w:r>
    </w:p>
    <w:p w:rsidR="007240CE" w:rsidRPr="008F1881" w:rsidRDefault="007240CE" w:rsidP="002261EE">
      <w:pPr>
        <w:pStyle w:val="bt"/>
        <w:rPr>
          <w:rFonts w:cs="Tahoma"/>
          <w:szCs w:val="20"/>
        </w:rPr>
      </w:pPr>
      <w:bookmarkStart w:id="417" w:name="_Ref304466008"/>
      <w:r w:rsidRPr="008F1881">
        <w:rPr>
          <w:rFonts w:cs="Tahoma"/>
          <w:szCs w:val="20"/>
        </w:rPr>
        <w:t xml:space="preserve">Projected changes in rainfall and higher rates of evaporation will result in less water for our dams and catchments. Most of the catchments in the Central Highlands region are estimated to experience a </w:t>
      </w:r>
      <w:r w:rsidRPr="00A37ACC">
        <w:rPr>
          <w:rFonts w:cs="Tahoma"/>
          <w:szCs w:val="20"/>
        </w:rPr>
        <w:t>30</w:t>
      </w:r>
      <w:r w:rsidR="00BC7994">
        <w:rPr>
          <w:rFonts w:cs="Tahoma"/>
          <w:szCs w:val="20"/>
        </w:rPr>
        <w:t xml:space="preserve"> </w:t>
      </w:r>
      <w:r w:rsidR="001F619E" w:rsidRPr="001F619E">
        <w:rPr>
          <w:rFonts w:cs="Tahoma"/>
          <w:szCs w:val="20"/>
        </w:rPr>
        <w:t>per cent</w:t>
      </w:r>
      <w:r w:rsidRPr="00A37ACC">
        <w:rPr>
          <w:rFonts w:cs="Tahoma"/>
          <w:szCs w:val="20"/>
        </w:rPr>
        <w:t xml:space="preserve"> </w:t>
      </w:r>
      <w:r w:rsidRPr="008F1881">
        <w:rPr>
          <w:rFonts w:cs="Tahoma"/>
          <w:szCs w:val="20"/>
        </w:rPr>
        <w:t xml:space="preserve">reduction in runoff by 2030, and by 2070, will be experiencing reductions in runoff of at </w:t>
      </w:r>
      <w:r w:rsidRPr="00A37ACC">
        <w:rPr>
          <w:rFonts w:cs="Tahoma"/>
          <w:szCs w:val="20"/>
        </w:rPr>
        <w:t xml:space="preserve">least </w:t>
      </w:r>
      <w:r w:rsidR="00BC7994">
        <w:rPr>
          <w:rFonts w:cs="Tahoma"/>
          <w:szCs w:val="20"/>
        </w:rPr>
        <w:t xml:space="preserve">five </w:t>
      </w:r>
      <w:r w:rsidR="001F619E" w:rsidRPr="001F619E">
        <w:rPr>
          <w:rFonts w:cs="Tahoma"/>
          <w:szCs w:val="20"/>
        </w:rPr>
        <w:t>per cent</w:t>
      </w:r>
      <w:r w:rsidRPr="00A37ACC">
        <w:rPr>
          <w:rFonts w:cs="Tahoma"/>
          <w:szCs w:val="20"/>
        </w:rPr>
        <w:t xml:space="preserve"> or up to 50</w:t>
      </w:r>
      <w:r w:rsidR="00BC7994">
        <w:rPr>
          <w:rFonts w:cs="Tahoma"/>
          <w:szCs w:val="20"/>
        </w:rPr>
        <w:t xml:space="preserve"> </w:t>
      </w:r>
      <w:r w:rsidR="001F619E" w:rsidRPr="001F619E">
        <w:rPr>
          <w:rFonts w:cs="Tahoma"/>
          <w:szCs w:val="20"/>
        </w:rPr>
        <w:t>per cent</w:t>
      </w:r>
      <w:r w:rsidRPr="008F1881">
        <w:rPr>
          <w:rFonts w:cs="Tahoma"/>
          <w:szCs w:val="20"/>
        </w:rPr>
        <w:t xml:space="preserve"> (</w:t>
      </w:r>
      <w:r w:rsidR="00FF2864">
        <w:rPr>
          <w:rFonts w:cs="Tahoma"/>
          <w:szCs w:val="20"/>
        </w:rPr>
        <w:t>Department of Sustainability and Environment</w:t>
      </w:r>
      <w:r w:rsidRPr="008F1881">
        <w:rPr>
          <w:rFonts w:cs="Tahoma"/>
          <w:szCs w:val="20"/>
        </w:rPr>
        <w:t>, 2008).</w:t>
      </w:r>
    </w:p>
    <w:p w:rsidR="007240CE" w:rsidRPr="008F1881" w:rsidRDefault="007240CE" w:rsidP="00CB7669">
      <w:pPr>
        <w:pStyle w:val="bt"/>
        <w:spacing w:after="120"/>
      </w:pPr>
      <w:r w:rsidRPr="008F1881">
        <w:t>Although the implications of climate change on specific economic, environmental and social assets are hard to predict, it has been forecast that climatic changes will have long-term consequences for the Central Highlands region, including:</w:t>
      </w:r>
    </w:p>
    <w:p w:rsidR="007240CE" w:rsidRPr="008F1881" w:rsidRDefault="007240CE" w:rsidP="00F21992">
      <w:pPr>
        <w:pStyle w:val="ListBullet"/>
      </w:pPr>
      <w:r w:rsidRPr="008F1881">
        <w:t>implications on water supply and reliability</w:t>
      </w:r>
    </w:p>
    <w:p w:rsidR="007240CE" w:rsidRPr="008F1881" w:rsidRDefault="007240CE" w:rsidP="00F21992">
      <w:pPr>
        <w:pStyle w:val="ListBullet"/>
      </w:pPr>
      <w:r w:rsidRPr="008F1881">
        <w:t xml:space="preserve">altered agricultural commodities within the region, particularly in </w:t>
      </w:r>
      <w:r w:rsidR="00987FB3" w:rsidRPr="008F1881">
        <w:t>dry land</w:t>
      </w:r>
      <w:r w:rsidRPr="008F1881">
        <w:t xml:space="preserve"> farming areas </w:t>
      </w:r>
    </w:p>
    <w:p w:rsidR="007240CE" w:rsidRPr="008F1881" w:rsidRDefault="007240CE" w:rsidP="00F21992">
      <w:pPr>
        <w:pStyle w:val="ListBullet"/>
      </w:pPr>
      <w:r w:rsidRPr="008F1881">
        <w:lastRenderedPageBreak/>
        <w:t>damage to infrastructure, industries and agriculture from severe weather events and natural  hazards</w:t>
      </w:r>
    </w:p>
    <w:p w:rsidR="007240CE" w:rsidRPr="008F1881" w:rsidRDefault="007240CE" w:rsidP="00F21992">
      <w:pPr>
        <w:pStyle w:val="ListBullet"/>
      </w:pPr>
      <w:r w:rsidRPr="008F1881">
        <w:t>pressures on natural ecosystems</w:t>
      </w:r>
    </w:p>
    <w:p w:rsidR="007240CE" w:rsidRPr="008F1881" w:rsidRDefault="007240CE" w:rsidP="00F21992">
      <w:pPr>
        <w:pStyle w:val="ListBullet"/>
      </w:pPr>
      <w:r w:rsidRPr="008F1881">
        <w:t>implications for communities, such as human health, energy use, housing needs and service provision</w:t>
      </w:r>
      <w:r w:rsidR="00FF2864">
        <w:t xml:space="preserve"> </w:t>
      </w:r>
      <w:r w:rsidR="00B16850">
        <w:t>(</w:t>
      </w:r>
      <w:r w:rsidR="00FF2864">
        <w:t>Department of Sustainability and Environment</w:t>
      </w:r>
      <w:r w:rsidR="00B16850">
        <w:t>, 2013)</w:t>
      </w:r>
    </w:p>
    <w:p w:rsidR="007240CE" w:rsidRPr="008F1881" w:rsidRDefault="007240CE" w:rsidP="00F21992">
      <w:pPr>
        <w:pStyle w:val="ListBullet"/>
      </w:pPr>
      <w:r w:rsidRPr="008F1881">
        <w:t>an increasing likelihood of more extreme events such as heatwaves, bushfires and flooding</w:t>
      </w:r>
      <w:r w:rsidR="00B16850">
        <w:t xml:space="preserve"> (</w:t>
      </w:r>
      <w:r w:rsidR="00FF2864">
        <w:t>Department of Sustainability and Environment</w:t>
      </w:r>
      <w:r w:rsidR="00B16850">
        <w:t>, 2013)</w:t>
      </w:r>
      <w:r w:rsidR="00FF2864">
        <w:t>.</w:t>
      </w:r>
    </w:p>
    <w:p w:rsidR="007240CE" w:rsidRPr="008F1881" w:rsidRDefault="007240CE" w:rsidP="00F21992">
      <w:pPr>
        <w:pStyle w:val="bt"/>
      </w:pPr>
      <w:r w:rsidRPr="008F1881">
        <w:t>Climate change may also produce positive benefits for Victorian regions, such as enabling economic diversification into different commodities and industries.</w:t>
      </w:r>
    </w:p>
    <w:bookmarkEnd w:id="417"/>
    <w:p w:rsidR="007240CE" w:rsidRPr="008F1881" w:rsidRDefault="007240CE" w:rsidP="00F95347">
      <w:pPr>
        <w:pStyle w:val="bt"/>
        <w:spacing w:after="360"/>
        <w:rPr>
          <w:rFonts w:cs="Tahoma"/>
          <w:szCs w:val="20"/>
        </w:rPr>
      </w:pPr>
      <w:r w:rsidRPr="008F1881">
        <w:rPr>
          <w:rFonts w:cs="Tahoma"/>
          <w:szCs w:val="20"/>
        </w:rPr>
        <w:t xml:space="preserve">The future water availability in the region is explored in the </w:t>
      </w:r>
      <w:r w:rsidRPr="00227110">
        <w:rPr>
          <w:rFonts w:cs="Tahoma"/>
          <w:szCs w:val="20"/>
        </w:rPr>
        <w:t>Western Region Sustainable Water Strategy</w:t>
      </w:r>
      <w:r w:rsidR="00DF2E82">
        <w:rPr>
          <w:rFonts w:cs="Tahoma"/>
          <w:szCs w:val="20"/>
        </w:rPr>
        <w:t>, Northern Region Sustainable Water Strategy</w:t>
      </w:r>
      <w:r w:rsidRPr="00227110">
        <w:rPr>
          <w:rFonts w:cs="Tahoma"/>
          <w:szCs w:val="20"/>
        </w:rPr>
        <w:t xml:space="preserve"> </w:t>
      </w:r>
      <w:r w:rsidRPr="008F1881">
        <w:rPr>
          <w:rFonts w:cs="Tahoma"/>
          <w:szCs w:val="20"/>
        </w:rPr>
        <w:t xml:space="preserve">and the </w:t>
      </w:r>
      <w:r w:rsidRPr="00227110">
        <w:rPr>
          <w:rFonts w:cs="Tahoma"/>
          <w:szCs w:val="20"/>
        </w:rPr>
        <w:t>Central Region Sustainable Water Strategy</w:t>
      </w:r>
      <w:r w:rsidRPr="008F1881">
        <w:rPr>
          <w:rFonts w:cs="Tahoma"/>
          <w:szCs w:val="20"/>
        </w:rPr>
        <w:t xml:space="preserve">, and </w:t>
      </w:r>
      <w:r w:rsidR="00DF2E82">
        <w:rPr>
          <w:rFonts w:cs="Tahoma"/>
          <w:szCs w:val="20"/>
        </w:rPr>
        <w:t>in section 6.4 of this report.</w:t>
      </w:r>
    </w:p>
    <w:p w:rsidR="007240CE" w:rsidRPr="008F1881" w:rsidRDefault="007240CE" w:rsidP="00CB7669">
      <w:pPr>
        <w:pStyle w:val="bt"/>
        <w:spacing w:after="120"/>
        <w:rPr>
          <w:rFonts w:cs="Tahoma"/>
          <w:szCs w:val="20"/>
        </w:rPr>
      </w:pPr>
      <w:r w:rsidRPr="008F1881">
        <w:rPr>
          <w:rFonts w:cs="Tahoma"/>
          <w:szCs w:val="20"/>
        </w:rPr>
        <w:t>The potential impacts of climate change raise various land use issues including:</w:t>
      </w:r>
    </w:p>
    <w:p w:rsidR="007240CE" w:rsidRPr="008F1881" w:rsidRDefault="00A37ACC" w:rsidP="00F21992">
      <w:pPr>
        <w:pStyle w:val="ListBullet"/>
      </w:pPr>
      <w:r>
        <w:t>d</w:t>
      </w:r>
      <w:r w:rsidR="007240CE" w:rsidRPr="008F1881">
        <w:t xml:space="preserve">etermining areas </w:t>
      </w:r>
      <w:r w:rsidR="00FF2864">
        <w:t xml:space="preserve">that are inappropriate </w:t>
      </w:r>
      <w:r w:rsidR="007240CE" w:rsidRPr="008F1881">
        <w:t>for future urban growth</w:t>
      </w:r>
      <w:r>
        <w:t xml:space="preserve">, </w:t>
      </w:r>
      <w:r w:rsidR="007240CE" w:rsidRPr="008F1881">
        <w:t>or areas that need specific controls</w:t>
      </w:r>
      <w:r>
        <w:t>,</w:t>
      </w:r>
      <w:r w:rsidR="007240CE" w:rsidRPr="008F1881">
        <w:t xml:space="preserve"> based on the future bushfire </w:t>
      </w:r>
      <w:r w:rsidR="00F7689E">
        <w:t xml:space="preserve">and flood </w:t>
      </w:r>
      <w:r w:rsidR="007240CE" w:rsidRPr="008F1881">
        <w:t>hazard under climate change scenarios</w:t>
      </w:r>
    </w:p>
    <w:p w:rsidR="007240CE" w:rsidRPr="008F1881" w:rsidRDefault="00A37ACC" w:rsidP="00F21992">
      <w:pPr>
        <w:pStyle w:val="ListBullet"/>
      </w:pPr>
      <w:r>
        <w:t>t</w:t>
      </w:r>
      <w:r w:rsidR="007240CE" w:rsidRPr="008F1881">
        <w:t>ransitioning to the future agricultural and other industry mix in the region, based on climate change scenarios</w:t>
      </w:r>
    </w:p>
    <w:p w:rsidR="007240CE" w:rsidRPr="008F1881" w:rsidRDefault="00A37ACC" w:rsidP="00F21992">
      <w:pPr>
        <w:pStyle w:val="ListBullet"/>
      </w:pPr>
      <w:r>
        <w:t>a</w:t>
      </w:r>
      <w:r w:rsidR="007240CE" w:rsidRPr="008F1881">
        <w:t xml:space="preserve">ssessing the future carrying capacity of the region based on future water availability, </w:t>
      </w:r>
      <w:r>
        <w:t xml:space="preserve">by </w:t>
      </w:r>
      <w:r w:rsidR="007240CE" w:rsidRPr="008F1881">
        <w:t>considering growth pressures, areas currently experiencing decline in population, climate change scenarios and the future industry potential for the region</w:t>
      </w:r>
    </w:p>
    <w:p w:rsidR="007240CE" w:rsidRPr="008F1881" w:rsidRDefault="00A37ACC" w:rsidP="00F21992">
      <w:pPr>
        <w:pStyle w:val="ListBullet"/>
      </w:pPr>
      <w:r>
        <w:t>t</w:t>
      </w:r>
      <w:r w:rsidR="007240CE" w:rsidRPr="008F1881">
        <w:t xml:space="preserve">ransitioning infrastructure </w:t>
      </w:r>
      <w:r>
        <w:t xml:space="preserve">to deal with </w:t>
      </w:r>
      <w:r w:rsidR="007240CE" w:rsidRPr="008F1881">
        <w:t xml:space="preserve">the anticipated increase in </w:t>
      </w:r>
      <w:r>
        <w:t xml:space="preserve">the </w:t>
      </w:r>
      <w:r w:rsidR="007240CE" w:rsidRPr="008F1881">
        <w:t>number of days with high temperatures</w:t>
      </w:r>
      <w:r w:rsidR="00FF2864">
        <w:t xml:space="preserve">, </w:t>
      </w:r>
      <w:r>
        <w:t xml:space="preserve">such as </w:t>
      </w:r>
      <w:r w:rsidR="007240CE" w:rsidRPr="008F1881">
        <w:t>railway lines, hospital admissions, outdoor work</w:t>
      </w:r>
      <w:r>
        <w:t xml:space="preserve"> and</w:t>
      </w:r>
      <w:r w:rsidR="007240CE" w:rsidRPr="008F1881">
        <w:t xml:space="preserve"> electricity demand</w:t>
      </w:r>
      <w:r w:rsidR="00B16850">
        <w:t>.</w:t>
      </w:r>
    </w:p>
    <w:p w:rsidR="007240CE" w:rsidRPr="008F1881" w:rsidRDefault="007240CE" w:rsidP="00F21992">
      <w:pPr>
        <w:pStyle w:val="bt"/>
      </w:pPr>
      <w:r w:rsidRPr="008F1881">
        <w:t>Climate change will also have various impacts on soils into the future across Victoria. Impacts may include a decrease in soil carbon levels, increased soil erosion and nutrient loss due to reduced vegetation cover</w:t>
      </w:r>
      <w:r w:rsidR="00A37ACC">
        <w:t>,</w:t>
      </w:r>
      <w:r w:rsidRPr="008F1881">
        <w:t xml:space="preserve"> and a shift in the suitability of land for farming.</w:t>
      </w:r>
    </w:p>
    <w:p w:rsidR="008F1881" w:rsidRPr="00E03E4A" w:rsidRDefault="009F09AE" w:rsidP="00E03E4A">
      <w:pPr>
        <w:pStyle w:val="Heading40"/>
      </w:pPr>
      <w:r w:rsidRPr="00E03E4A">
        <w:t>Bushfire</w:t>
      </w:r>
    </w:p>
    <w:p w:rsidR="00A37570" w:rsidRPr="008F1881" w:rsidRDefault="00B055FA" w:rsidP="00F21992">
      <w:pPr>
        <w:pStyle w:val="bt"/>
      </w:pPr>
      <w:r w:rsidRPr="008F1881">
        <w:t>The risks to life and property presented by bushfire are an important consideration in land use planning within the Central Highlands region.</w:t>
      </w:r>
      <w:r w:rsidR="00A37570" w:rsidRPr="008F1881">
        <w:t xml:space="preserve"> Many of the landscapes most attractive to residents and tourists in the region are at the highest risk from bushfire.  </w:t>
      </w:r>
    </w:p>
    <w:p w:rsidR="00A37570" w:rsidRPr="008F1881" w:rsidRDefault="00A37570" w:rsidP="00F21992">
      <w:pPr>
        <w:pStyle w:val="bt"/>
      </w:pPr>
      <w:r w:rsidRPr="008F1881">
        <w:t>Pressure to develop in highly attractive areas in the region are likely to continue into the future and will present a significant</w:t>
      </w:r>
      <w:r w:rsidR="00A37ACC">
        <w:t>,</w:t>
      </w:r>
      <w:r w:rsidRPr="008F1881">
        <w:t xml:space="preserve"> ongoing challenge for land use planning. These areas are also often the most attractive for tourism development.  </w:t>
      </w:r>
    </w:p>
    <w:p w:rsidR="00A37570" w:rsidRPr="008F1881" w:rsidRDefault="00A37570" w:rsidP="00F21992">
      <w:pPr>
        <w:pStyle w:val="bt"/>
      </w:pPr>
      <w:r w:rsidRPr="008F1881">
        <w:t xml:space="preserve">Predictions indicate that as the climate changes there will be an increase in the number of extreme </w:t>
      </w:r>
      <w:r w:rsidR="006C2CC8">
        <w:t>bush</w:t>
      </w:r>
      <w:r w:rsidRPr="008F1881">
        <w:t xml:space="preserve">fire index days each year. Bushfire frequency and intensity is likely to increase as a result of climate change. The impacts of climate change on bushfire risk need to be considered when planning for future development.  </w:t>
      </w:r>
    </w:p>
    <w:p w:rsidR="00A37570" w:rsidRPr="008F1881" w:rsidRDefault="00A37570" w:rsidP="00F21992">
      <w:pPr>
        <w:pStyle w:val="bt"/>
      </w:pPr>
      <w:r w:rsidRPr="008F1881">
        <w:t xml:space="preserve">Following the Victorian Bushfire Royal Commission, Amendment VC 83 was gazetted in November 2011 to incorporate new bushfire planning provisions into the </w:t>
      </w:r>
      <w:r w:rsidR="00256450" w:rsidRPr="008F1881">
        <w:t>Victoria Planning Provisions</w:t>
      </w:r>
      <w:r w:rsidRPr="008F1881">
        <w:t>, and integrate with changes made earlier to building regulations.</w:t>
      </w:r>
    </w:p>
    <w:p w:rsidR="00A37570" w:rsidRPr="008F1881" w:rsidRDefault="00A37570" w:rsidP="00F21992">
      <w:pPr>
        <w:pStyle w:val="bt"/>
      </w:pPr>
      <w:r w:rsidRPr="008F1881">
        <w:t xml:space="preserve">Regional bushfire planning assessments provide extra information about areas (referred to as ‘identified areas’) where a range of land use planning matters intersect with a bushfire hazard to influence the level of risk to life and property from bushfire. This information should be addressed as part of strategic land use and settlement planning at the regional, municipal and local levels. The </w:t>
      </w:r>
      <w:r w:rsidR="00FF2864">
        <w:t>regional bushfire planning assessment</w:t>
      </w:r>
      <w:r w:rsidRPr="008F1881">
        <w:t xml:space="preserve"> map</w:t>
      </w:r>
      <w:r w:rsidR="00FF2864">
        <w:t>s identify</w:t>
      </w:r>
      <w:r w:rsidRPr="008F1881">
        <w:t xml:space="preserve"> where a significant bushfire hazard may affect land use planning, </w:t>
      </w:r>
      <w:r w:rsidR="00FF2864">
        <w:t>as well as</w:t>
      </w:r>
      <w:r w:rsidR="00FF2864" w:rsidRPr="008F1881">
        <w:t xml:space="preserve"> </w:t>
      </w:r>
      <w:r w:rsidRPr="008F1881">
        <w:t xml:space="preserve">features such as </w:t>
      </w:r>
      <w:r w:rsidRPr="008F1881">
        <w:lastRenderedPageBreak/>
        <w:t xml:space="preserve">settlements, urban interfaces and single access roads. The maps aim to assist councils with their strategic planning such as when they are preparing a planning scheme amendment to support land use change or development. </w:t>
      </w:r>
    </w:p>
    <w:p w:rsidR="00BA2920" w:rsidRPr="008F1881" w:rsidRDefault="00BA2920" w:rsidP="00F21992">
      <w:pPr>
        <w:pStyle w:val="bt"/>
      </w:pPr>
      <w:r w:rsidRPr="008F1881">
        <w:t>Of major significance for land use planning is the requirement to prioritise the protection of human life over other policy considerations, reinforced by an explicit requirement to apply the precautionary principle in decision</w:t>
      </w:r>
      <w:r w:rsidR="00A37ACC">
        <w:t>-</w:t>
      </w:r>
      <w:r w:rsidRPr="008F1881">
        <w:t xml:space="preserve">making when assessing the risk to life, property and community infrastructure. </w:t>
      </w:r>
    </w:p>
    <w:p w:rsidR="009D7AE6" w:rsidRDefault="00BA2920" w:rsidP="00F21992">
      <w:pPr>
        <w:pStyle w:val="bt"/>
      </w:pPr>
      <w:r w:rsidRPr="008F1881">
        <w:t>In line with 2009 Victorian Bushfires Royal Commission recommendations, new development should be substantially restricted in the areas of highest bushfire risk, while giving due consideration to biodiversity conservation</w:t>
      </w:r>
      <w:r w:rsidRPr="008F1881">
        <w:rPr>
          <w:rStyle w:val="FootnoteReference"/>
          <w:rFonts w:cs="Arial"/>
        </w:rPr>
        <w:footnoteReference w:id="9"/>
      </w:r>
      <w:r w:rsidRPr="008F1881">
        <w:t xml:space="preserve">. </w:t>
      </w:r>
      <w:r w:rsidR="00BF34EE">
        <w:t>Regional</w:t>
      </w:r>
      <w:r w:rsidR="00BF34EE" w:rsidRPr="008F1881">
        <w:t xml:space="preserve"> </w:t>
      </w:r>
      <w:r w:rsidRPr="008F1881">
        <w:t xml:space="preserve">and settlement planning need to clearly demonstrate how bushfire risk has been considered and how a response to risk has informed that planning. </w:t>
      </w:r>
      <w:r w:rsidR="00631B16">
        <w:fldChar w:fldCharType="begin"/>
      </w:r>
      <w:r w:rsidR="00631B16">
        <w:instrText xml:space="preserve"> REF _Ref349226549 \h  \* MERGEFORMAT </w:instrText>
      </w:r>
      <w:r w:rsidR="00631B16">
        <w:fldChar w:fldCharType="separate"/>
      </w:r>
      <w:r w:rsidR="00907B42" w:rsidRPr="009E7249">
        <w:t xml:space="preserve">Figure </w:t>
      </w:r>
      <w:r w:rsidR="00907B42">
        <w:rPr>
          <w:noProof/>
        </w:rPr>
        <w:t>43</w:t>
      </w:r>
      <w:r w:rsidR="00631B16">
        <w:fldChar w:fldCharType="end"/>
      </w:r>
      <w:r w:rsidR="00960671" w:rsidRPr="008F1881">
        <w:t xml:space="preserve"> illustrates the extent of the </w:t>
      </w:r>
      <w:r w:rsidR="001305A8">
        <w:t>B</w:t>
      </w:r>
      <w:r w:rsidR="001305A8" w:rsidRPr="008F1881">
        <w:t xml:space="preserve">ushfire </w:t>
      </w:r>
      <w:r w:rsidR="001305A8">
        <w:t>M</w:t>
      </w:r>
      <w:r w:rsidR="001305A8" w:rsidRPr="008F1881">
        <w:t xml:space="preserve">anagement </w:t>
      </w:r>
      <w:r w:rsidR="001305A8">
        <w:t>O</w:t>
      </w:r>
      <w:r w:rsidR="001305A8" w:rsidRPr="008F1881">
        <w:t>verlay</w:t>
      </w:r>
      <w:r w:rsidR="00FD1FB2">
        <w:t xml:space="preserve"> in the region</w:t>
      </w:r>
      <w:r w:rsidR="00960671" w:rsidRPr="008F1881">
        <w:t>.</w:t>
      </w:r>
    </w:p>
    <w:p w:rsidR="00F3691C" w:rsidRPr="00BF2BBB" w:rsidRDefault="00B412B0" w:rsidP="00D050ED">
      <w:pPr>
        <w:pStyle w:val="Caption"/>
      </w:pPr>
      <w:bookmarkStart w:id="418" w:name="_Ref349226549"/>
      <w:r>
        <w:rPr>
          <w:noProof/>
        </w:rPr>
        <w:drawing>
          <wp:anchor distT="0" distB="0" distL="114300" distR="114300" simplePos="0" relativeHeight="251699200" behindDoc="0" locked="0" layoutInCell="1" allowOverlap="1">
            <wp:simplePos x="0" y="0"/>
            <wp:positionH relativeFrom="column">
              <wp:posOffset>-57150</wp:posOffset>
            </wp:positionH>
            <wp:positionV relativeFrom="paragraph">
              <wp:posOffset>266700</wp:posOffset>
            </wp:positionV>
            <wp:extent cx="6546850" cy="4285615"/>
            <wp:effectExtent l="19050" t="0" r="6350" b="0"/>
            <wp:wrapSquare wrapText="bothSides"/>
            <wp:docPr id="27" name="Picture 1" descr="Map showing the extent of the Bushfire Management Overlay in Central High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DPCD Permanent All Staff\Regional Growth Plans\Mapping\Central Highlands\RGP Strategic Maps\Background Report Maps\Central Highlands Bushfire Management Overlay-A4-29April2013.jpg"/>
                    <pic:cNvPicPr>
                      <a:picLocks noChangeAspect="1" noChangeArrowheads="1"/>
                    </pic:cNvPicPr>
                  </pic:nvPicPr>
                  <pic:blipFill>
                    <a:blip r:embed="rId62" cstate="email"/>
                    <a:srcRect/>
                    <a:stretch>
                      <a:fillRect/>
                    </a:stretch>
                  </pic:blipFill>
                  <pic:spPr bwMode="auto">
                    <a:xfrm>
                      <a:off x="0" y="0"/>
                      <a:ext cx="6546850" cy="4285615"/>
                    </a:xfrm>
                    <a:prstGeom prst="rect">
                      <a:avLst/>
                    </a:prstGeom>
                    <a:noFill/>
                    <a:ln w="9525">
                      <a:noFill/>
                      <a:miter lim="800000"/>
                      <a:headEnd/>
                      <a:tailEnd/>
                    </a:ln>
                  </pic:spPr>
                </pic:pic>
              </a:graphicData>
            </a:graphic>
          </wp:anchor>
        </w:drawing>
      </w:r>
      <w:bookmarkStart w:id="419" w:name="_Toc381698043"/>
      <w:r w:rsidR="009E7249" w:rsidRPr="009E7249">
        <w:t xml:space="preserve">Figure </w:t>
      </w:r>
      <w:r w:rsidR="009F388E" w:rsidRPr="009E7249">
        <w:fldChar w:fldCharType="begin"/>
      </w:r>
      <w:r w:rsidR="009E7249" w:rsidRPr="009E7249">
        <w:instrText xml:space="preserve"> SEQ Figure \* ARABIC </w:instrText>
      </w:r>
      <w:r w:rsidR="009F388E" w:rsidRPr="009E7249">
        <w:fldChar w:fldCharType="separate"/>
      </w:r>
      <w:r w:rsidR="00907B42">
        <w:rPr>
          <w:noProof/>
        </w:rPr>
        <w:t>43</w:t>
      </w:r>
      <w:r w:rsidR="009F388E" w:rsidRPr="009E7249">
        <w:fldChar w:fldCharType="end"/>
      </w:r>
      <w:bookmarkEnd w:id="418"/>
      <w:r w:rsidR="009E7249" w:rsidRPr="009E7249">
        <w:t>: Extent of the Bushfire Management Overlay</w:t>
      </w:r>
      <w:bookmarkEnd w:id="419"/>
    </w:p>
    <w:p w:rsidR="00C820C0" w:rsidRPr="00D050ED" w:rsidRDefault="001F66D6" w:rsidP="00D050ED">
      <w:pPr>
        <w:pStyle w:val="Source0"/>
        <w:rPr>
          <w:rStyle w:val="Strong"/>
          <w:rFonts w:asciiTheme="minorHAnsi" w:hAnsiTheme="minorHAnsi"/>
          <w:b w:val="0"/>
          <w:bCs w:val="0"/>
          <w:szCs w:val="20"/>
        </w:rPr>
      </w:pPr>
      <w:r w:rsidRPr="00D050ED">
        <w:rPr>
          <w:rStyle w:val="Strong"/>
          <w:rFonts w:asciiTheme="minorHAnsi" w:hAnsiTheme="minorHAnsi"/>
          <w:b w:val="0"/>
          <w:bCs w:val="0"/>
        </w:rPr>
        <w:t xml:space="preserve">Source: </w:t>
      </w:r>
      <w:r w:rsidR="009D6C50" w:rsidRPr="00D050ED">
        <w:rPr>
          <w:rStyle w:val="Strong"/>
          <w:rFonts w:asciiTheme="minorHAnsi" w:hAnsiTheme="minorHAnsi"/>
          <w:b w:val="0"/>
          <w:bCs w:val="0"/>
        </w:rPr>
        <w:t>Department of Transport, Planning an</w:t>
      </w:r>
      <w:r w:rsidR="009437B4" w:rsidRPr="00D050ED">
        <w:rPr>
          <w:rStyle w:val="Strong"/>
          <w:rFonts w:asciiTheme="minorHAnsi" w:hAnsiTheme="minorHAnsi"/>
          <w:b w:val="0"/>
          <w:bCs w:val="0"/>
        </w:rPr>
        <w:t>d</w:t>
      </w:r>
      <w:r w:rsidR="009D6C50" w:rsidRPr="00D050ED">
        <w:rPr>
          <w:rStyle w:val="Strong"/>
          <w:rFonts w:asciiTheme="minorHAnsi" w:hAnsiTheme="minorHAnsi"/>
          <w:b w:val="0"/>
          <w:bCs w:val="0"/>
        </w:rPr>
        <w:t xml:space="preserve"> Local Infrastructure</w:t>
      </w:r>
    </w:p>
    <w:p w:rsidR="008F1881" w:rsidRPr="00E03E4A" w:rsidRDefault="009F09AE" w:rsidP="00AB19C3">
      <w:pPr>
        <w:pStyle w:val="Heading40"/>
        <w:tabs>
          <w:tab w:val="right" w:pos="9026"/>
        </w:tabs>
      </w:pPr>
      <w:r w:rsidRPr="00E03E4A">
        <w:t>Flooding</w:t>
      </w:r>
    </w:p>
    <w:p w:rsidR="00331634" w:rsidRPr="008F1881" w:rsidRDefault="00331634" w:rsidP="00F21992">
      <w:pPr>
        <w:pStyle w:val="bt"/>
      </w:pPr>
      <w:r w:rsidRPr="008F1881">
        <w:t>While flooding is usually a natural event, and one which is important to maintain biological diversity, it can be highly disruptive to the community and the economy. The Central Highlands region has a history of flood</w:t>
      </w:r>
      <w:r w:rsidR="006811C7">
        <w:t>s</w:t>
      </w:r>
      <w:r w:rsidRPr="008F1881">
        <w:t>. The most recent floods in 2010</w:t>
      </w:r>
      <w:r w:rsidR="00A37ACC">
        <w:t>–</w:t>
      </w:r>
      <w:r w:rsidRPr="008F1881">
        <w:t xml:space="preserve">11 were the most extensive ever experienced in the region. Towns affected included Creswick, Skipton, Beaufort, Landsborough, Navarre and Burrumbeet Creek. The severe </w:t>
      </w:r>
      <w:r w:rsidR="00987FB3" w:rsidRPr="008F1881">
        <w:t xml:space="preserve">impact </w:t>
      </w:r>
      <w:r w:rsidR="00987FB3">
        <w:t>of these floods was</w:t>
      </w:r>
      <w:r w:rsidR="00A37ACC">
        <w:t xml:space="preserve"> </w:t>
      </w:r>
      <w:r w:rsidRPr="008F1881">
        <w:t xml:space="preserve">clearly illustrated </w:t>
      </w:r>
      <w:r w:rsidR="00A37ACC">
        <w:t xml:space="preserve">by </w:t>
      </w:r>
      <w:r w:rsidRPr="008F1881">
        <w:t xml:space="preserve">the extensive damage </w:t>
      </w:r>
      <w:r w:rsidR="00A37ACC">
        <w:t xml:space="preserve">caused </w:t>
      </w:r>
      <w:r w:rsidRPr="008F1881">
        <w:t>to important infrastructure in the region.</w:t>
      </w:r>
    </w:p>
    <w:p w:rsidR="00331634" w:rsidRPr="008F1881" w:rsidRDefault="001305A8" w:rsidP="00F21992">
      <w:pPr>
        <w:pStyle w:val="bt"/>
      </w:pPr>
      <w:r>
        <w:lastRenderedPageBreak/>
        <w:t>Catchment management authorities</w:t>
      </w:r>
      <w:r w:rsidRPr="008F1881">
        <w:t xml:space="preserve"> </w:t>
      </w:r>
      <w:r w:rsidR="00331634" w:rsidRPr="008F1881">
        <w:t>develop, oversee and implement regional floodplain management strategies. These strategies integrate local floodplain management issues and prioritise the development of urban and rural floodplain management plans within the region.</w:t>
      </w:r>
    </w:p>
    <w:p w:rsidR="00331634" w:rsidRPr="008F1881" w:rsidRDefault="00331634" w:rsidP="00F21992">
      <w:pPr>
        <w:pStyle w:val="bt"/>
      </w:pPr>
      <w:r w:rsidRPr="008F1881">
        <w:t xml:space="preserve">Municipal councils in regional Victoria </w:t>
      </w:r>
      <w:r w:rsidR="00684400">
        <w:t xml:space="preserve">have </w:t>
      </w:r>
      <w:r w:rsidRPr="008F1881">
        <w:t>historically had operational responsibility for most floodplain management activities occurring within their boundaries</w:t>
      </w:r>
      <w:r w:rsidR="00684400">
        <w:t>. This has occurred by</w:t>
      </w:r>
      <w:r w:rsidRPr="008F1881">
        <w:t xml:space="preserve"> controlling floodplain development through the municipal planning scheme and implementing local floodplain management plans. </w:t>
      </w:r>
    </w:p>
    <w:p w:rsidR="00331634" w:rsidRPr="008F1881" w:rsidRDefault="00331634" w:rsidP="00F21992">
      <w:pPr>
        <w:pStyle w:val="bt"/>
      </w:pPr>
      <w:r w:rsidRPr="008F1881">
        <w:t>Floodplain management is based on making trade</w:t>
      </w:r>
      <w:r w:rsidR="00B16850">
        <w:t>-</w:t>
      </w:r>
      <w:r w:rsidRPr="008F1881">
        <w:t>off decisions about the economic, social and environmental costs and benefits of allowing a broad range of activities to take place on floodplains.</w:t>
      </w:r>
    </w:p>
    <w:p w:rsidR="00331634" w:rsidRPr="008F1881" w:rsidRDefault="00331634" w:rsidP="00F21992">
      <w:pPr>
        <w:pStyle w:val="bt"/>
      </w:pPr>
      <w:r w:rsidRPr="008F1881">
        <w:t xml:space="preserve">The existing flood overlays are shown in </w:t>
      </w:r>
      <w:r w:rsidR="00631B16">
        <w:fldChar w:fldCharType="begin"/>
      </w:r>
      <w:r w:rsidR="00631B16">
        <w:instrText xml:space="preserve"> REF _Ref349226487 \h  \* MERGEFORMAT </w:instrText>
      </w:r>
      <w:r w:rsidR="00631B16">
        <w:fldChar w:fldCharType="separate"/>
      </w:r>
      <w:r w:rsidR="00907B42" w:rsidRPr="00CD2959">
        <w:t xml:space="preserve">Figure </w:t>
      </w:r>
      <w:r w:rsidR="00907B42">
        <w:rPr>
          <w:noProof/>
        </w:rPr>
        <w:t>44</w:t>
      </w:r>
      <w:r w:rsidR="00631B16">
        <w:fldChar w:fldCharType="end"/>
      </w:r>
      <w:r w:rsidRPr="008F1881">
        <w:t xml:space="preserve">. Flood studies have been released for various areas of the region by the </w:t>
      </w:r>
      <w:r w:rsidR="001305A8">
        <w:t>catchment management authorities</w:t>
      </w:r>
      <w:r w:rsidR="001305A8" w:rsidRPr="008F1881">
        <w:t xml:space="preserve"> </w:t>
      </w:r>
      <w:r w:rsidRPr="008F1881">
        <w:t>although some will require updating in l</w:t>
      </w:r>
      <w:r w:rsidR="00F21992">
        <w:t>ight of the most recent floods.</w:t>
      </w:r>
    </w:p>
    <w:p w:rsidR="005A0F47" w:rsidRDefault="00EF36B5" w:rsidP="00F21992">
      <w:pPr>
        <w:pStyle w:val="bt"/>
      </w:pPr>
      <w:r w:rsidRPr="008F1881">
        <w:t>C</w:t>
      </w:r>
      <w:r w:rsidR="00684400">
        <w:t xml:space="preserve">atchment management authorities </w:t>
      </w:r>
      <w:r w:rsidRPr="008F1881">
        <w:t xml:space="preserve">in the Central Highlands have advised that floodplains in the region could be improved by addressing inappropriate development and land use, among other factors. The </w:t>
      </w:r>
      <w:r w:rsidR="00B16850" w:rsidRPr="00227110">
        <w:rPr>
          <w:rFonts w:cs="Tahoma"/>
          <w:szCs w:val="20"/>
        </w:rPr>
        <w:t>Review of the 2010</w:t>
      </w:r>
      <w:r w:rsidR="00684400" w:rsidRPr="00227110">
        <w:rPr>
          <w:rFonts w:cs="Tahoma"/>
          <w:szCs w:val="20"/>
        </w:rPr>
        <w:t>–</w:t>
      </w:r>
      <w:r w:rsidR="00B16850" w:rsidRPr="00227110">
        <w:rPr>
          <w:rFonts w:cs="Tahoma"/>
          <w:szCs w:val="20"/>
        </w:rPr>
        <w:t>11 Flood Warnings and Response</w:t>
      </w:r>
      <w:r w:rsidR="00B16850" w:rsidRPr="00227110">
        <w:t xml:space="preserve"> </w:t>
      </w:r>
      <w:r w:rsidR="00B16850" w:rsidRPr="00B16850">
        <w:t>(Comrie, 2011)</w:t>
      </w:r>
      <w:r w:rsidR="00734BC4">
        <w:t xml:space="preserve"> </w:t>
      </w:r>
      <w:r w:rsidR="00734BC4" w:rsidRPr="008F1881">
        <w:t>(p</w:t>
      </w:r>
      <w:r w:rsidR="00734BC4">
        <w:t>a</w:t>
      </w:r>
      <w:r w:rsidR="00734BC4" w:rsidRPr="008F1881">
        <w:t>g</w:t>
      </w:r>
      <w:r w:rsidR="00734BC4">
        <w:t>e</w:t>
      </w:r>
      <w:r w:rsidR="00734BC4" w:rsidRPr="008F1881">
        <w:t xml:space="preserve"> 194)</w:t>
      </w:r>
      <w:r w:rsidR="00684400">
        <w:t xml:space="preserve"> </w:t>
      </w:r>
      <w:r w:rsidR="005A0F47">
        <w:t xml:space="preserve">notes that the: </w:t>
      </w:r>
    </w:p>
    <w:p w:rsidR="005A0F47" w:rsidRDefault="006811C7" w:rsidP="005A0F47">
      <w:pPr>
        <w:pStyle w:val="bt"/>
        <w:ind w:left="720"/>
      </w:pPr>
      <w:r>
        <w:t>“</w:t>
      </w:r>
      <w:r w:rsidR="00EF36B5" w:rsidRPr="008F1881">
        <w:t xml:space="preserve">North Central </w:t>
      </w:r>
      <w:r w:rsidR="001305A8">
        <w:t>Catchment Management Authority</w:t>
      </w:r>
      <w:r w:rsidR="001305A8" w:rsidRPr="008F1881">
        <w:t xml:space="preserve"> </w:t>
      </w:r>
      <w:r w:rsidR="00EF36B5" w:rsidRPr="008F1881">
        <w:t xml:space="preserve">advised </w:t>
      </w:r>
      <w:r w:rsidR="0061287B" w:rsidRPr="008F1881">
        <w:t>...</w:t>
      </w:r>
      <w:r w:rsidR="00EF36B5" w:rsidRPr="008F1881">
        <w:t xml:space="preserve"> that no towns within its catchment had adequate flood mapping, in particular, it noted that for Carisbrook and Creswick, two towns that flooded in the 2010</w:t>
      </w:r>
      <w:r w:rsidR="00684400">
        <w:t>–</w:t>
      </w:r>
      <w:r w:rsidR="00EF36B5" w:rsidRPr="008F1881">
        <w:t>11 floods, only anecdotal mapping existed</w:t>
      </w:r>
      <w:r>
        <w:t>.”</w:t>
      </w:r>
      <w:r w:rsidR="00EF36B5" w:rsidRPr="008F1881">
        <w:t xml:space="preserve"> </w:t>
      </w:r>
    </w:p>
    <w:p w:rsidR="008F1881" w:rsidRPr="008F1881" w:rsidRDefault="009A7486" w:rsidP="00F21992">
      <w:pPr>
        <w:pStyle w:val="bt"/>
      </w:pPr>
      <w:r w:rsidRPr="008F1881">
        <w:t>Since that time a number of studies have been undertaken to improve the evidence base for flood management, mitigation and planning controls, including for Creswick.</w:t>
      </w:r>
      <w:r w:rsidR="00D53D5D">
        <w:t xml:space="preserve"> The </w:t>
      </w:r>
      <w:r w:rsidR="00D74C75">
        <w:t>Parliamentary</w:t>
      </w:r>
      <w:r w:rsidR="00D53D5D">
        <w:t xml:space="preserve"> Inquiry</w:t>
      </w:r>
      <w:r w:rsidR="00785C9F">
        <w:t xml:space="preserve"> by the Environment and Natural Resources Committee</w:t>
      </w:r>
      <w:r w:rsidR="00D53D5D">
        <w:t xml:space="preserve"> into Flood Mitigation Infrastructure in Victoria (ENRC, 2012) found that the types and effectiveness of flood mitigation infrastructure varied across the state</w:t>
      </w:r>
      <w:r w:rsidR="00AF4BCE">
        <w:t xml:space="preserve">. It also </w:t>
      </w:r>
      <w:r w:rsidR="00785C9F">
        <w:t>found that</w:t>
      </w:r>
      <w:r w:rsidR="00D53D5D">
        <w:t xml:space="preserve"> further work was required to clarify the roles and responsibilities of the various government agencies involved in</w:t>
      </w:r>
      <w:r w:rsidR="00AF4BCE">
        <w:t xml:space="preserve"> flood mitigation, monitoring and management. </w:t>
      </w:r>
      <w:r w:rsidR="00D53D5D">
        <w:t xml:space="preserve"> </w:t>
      </w:r>
    </w:p>
    <w:p w:rsidR="008F1881" w:rsidRPr="008F1881" w:rsidRDefault="009A7486" w:rsidP="00F21992">
      <w:pPr>
        <w:pStyle w:val="bt"/>
      </w:pPr>
      <w:r w:rsidRPr="008F1881">
        <w:t>At present the approach to flood</w:t>
      </w:r>
      <w:r w:rsidR="0002195D">
        <w:t xml:space="preserve"> management</w:t>
      </w:r>
      <w:r w:rsidRPr="008F1881">
        <w:t xml:space="preserve"> in the region’s planning schemes is highly inconsistent. A variety of different approach</w:t>
      </w:r>
      <w:r w:rsidR="00684400">
        <w:t>es</w:t>
      </w:r>
      <w:r w:rsidRPr="008F1881">
        <w:t xml:space="preserve"> and planning tools are in evidence. </w:t>
      </w:r>
      <w:r w:rsidR="0061287B" w:rsidRPr="008F1881">
        <w:t>Settlements as large as</w:t>
      </w:r>
      <w:r w:rsidRPr="008F1881">
        <w:t xml:space="preserve"> Ararat have no flood controls at all. Further work is required to ensure the region’s settlements and rural areas are provided with appropriate planning controls to manage flood.</w:t>
      </w:r>
    </w:p>
    <w:p w:rsidR="00331634" w:rsidRPr="00CD2959" w:rsidRDefault="00AE186F" w:rsidP="00CD2959">
      <w:pPr>
        <w:pStyle w:val="Caption"/>
      </w:pPr>
      <w:bookmarkStart w:id="420" w:name="_Ref349226487"/>
      <w:r>
        <w:rPr>
          <w:noProof/>
        </w:rPr>
        <w:lastRenderedPageBreak/>
        <w:drawing>
          <wp:anchor distT="0" distB="0" distL="114300" distR="114300" simplePos="0" relativeHeight="251700224" behindDoc="0" locked="0" layoutInCell="1" allowOverlap="1">
            <wp:simplePos x="0" y="0"/>
            <wp:positionH relativeFrom="column">
              <wp:posOffset>-133350</wp:posOffset>
            </wp:positionH>
            <wp:positionV relativeFrom="paragraph">
              <wp:posOffset>259080</wp:posOffset>
            </wp:positionV>
            <wp:extent cx="6485890" cy="4236720"/>
            <wp:effectExtent l="19050" t="0" r="0" b="0"/>
            <wp:wrapTopAndBottom/>
            <wp:docPr id="25" name="Picture 1" descr="Map showing extent of flood overlays in Central High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PCD\userdirs\Desktop\Central Highlands Flood Overlays-A4-29April2013.jpg"/>
                    <pic:cNvPicPr>
                      <a:picLocks noChangeAspect="1" noChangeArrowheads="1"/>
                    </pic:cNvPicPr>
                  </pic:nvPicPr>
                  <pic:blipFill>
                    <a:blip r:embed="rId63" cstate="email"/>
                    <a:srcRect/>
                    <a:stretch>
                      <a:fillRect/>
                    </a:stretch>
                  </pic:blipFill>
                  <pic:spPr bwMode="auto">
                    <a:xfrm>
                      <a:off x="0" y="0"/>
                      <a:ext cx="6485890" cy="4236720"/>
                    </a:xfrm>
                    <a:prstGeom prst="rect">
                      <a:avLst/>
                    </a:prstGeom>
                    <a:noFill/>
                    <a:ln w="9525">
                      <a:noFill/>
                      <a:miter lim="800000"/>
                      <a:headEnd/>
                      <a:tailEnd/>
                    </a:ln>
                  </pic:spPr>
                </pic:pic>
              </a:graphicData>
            </a:graphic>
          </wp:anchor>
        </w:drawing>
      </w:r>
      <w:bookmarkStart w:id="421" w:name="_Toc381698044"/>
      <w:r w:rsidR="00960671" w:rsidRPr="00CD2959">
        <w:t xml:space="preserve">Figure </w:t>
      </w:r>
      <w:r w:rsidR="009F388E">
        <w:fldChar w:fldCharType="begin"/>
      </w:r>
      <w:r w:rsidR="00821C7F">
        <w:instrText xml:space="preserve"> SEQ Figure \* ARABIC </w:instrText>
      </w:r>
      <w:r w:rsidR="009F388E">
        <w:fldChar w:fldCharType="separate"/>
      </w:r>
      <w:r w:rsidR="00907B42">
        <w:rPr>
          <w:noProof/>
        </w:rPr>
        <w:t>44</w:t>
      </w:r>
      <w:r w:rsidR="009F388E">
        <w:fldChar w:fldCharType="end"/>
      </w:r>
      <w:bookmarkEnd w:id="420"/>
      <w:r w:rsidR="006F4AFC" w:rsidRPr="00CD2959">
        <w:t>:</w:t>
      </w:r>
      <w:r w:rsidR="00331634" w:rsidRPr="00CD2959">
        <w:t xml:space="preserve"> </w:t>
      </w:r>
      <w:r w:rsidR="001305A8" w:rsidRPr="00CD2959">
        <w:t xml:space="preserve">Extent of </w:t>
      </w:r>
      <w:r w:rsidR="00CE62D2" w:rsidRPr="00CD2959">
        <w:t>flood overlays</w:t>
      </w:r>
      <w:bookmarkEnd w:id="421"/>
    </w:p>
    <w:p w:rsidR="00C820C0" w:rsidRPr="0064415D" w:rsidRDefault="001F66D6" w:rsidP="00D050ED">
      <w:pPr>
        <w:pStyle w:val="Source0"/>
        <w:rPr>
          <w:rStyle w:val="Strong"/>
          <w:rFonts w:asciiTheme="minorHAnsi" w:hAnsiTheme="minorHAnsi"/>
          <w:b w:val="0"/>
          <w:bCs w:val="0"/>
        </w:rPr>
      </w:pPr>
      <w:r w:rsidRPr="0064415D">
        <w:rPr>
          <w:rStyle w:val="Strong"/>
          <w:rFonts w:asciiTheme="minorHAnsi" w:hAnsiTheme="minorHAnsi"/>
          <w:b w:val="0"/>
          <w:bCs w:val="0"/>
        </w:rPr>
        <w:t xml:space="preserve">Source: </w:t>
      </w:r>
      <w:r w:rsidR="009D6C50" w:rsidRPr="0064415D">
        <w:rPr>
          <w:rStyle w:val="Strong"/>
          <w:rFonts w:asciiTheme="minorHAnsi" w:hAnsiTheme="minorHAnsi"/>
          <w:b w:val="0"/>
          <w:bCs w:val="0"/>
        </w:rPr>
        <w:t xml:space="preserve">Department of Transport, </w:t>
      </w:r>
      <w:r w:rsidR="009D6C50" w:rsidRPr="00D050ED">
        <w:rPr>
          <w:rStyle w:val="Strong"/>
          <w:rFonts w:asciiTheme="minorHAnsi" w:hAnsiTheme="minorHAnsi"/>
          <w:b w:val="0"/>
          <w:bCs w:val="0"/>
        </w:rPr>
        <w:t>Planning</w:t>
      </w:r>
      <w:r w:rsidR="009D6C50" w:rsidRPr="0064415D">
        <w:rPr>
          <w:rStyle w:val="Strong"/>
          <w:rFonts w:asciiTheme="minorHAnsi" w:hAnsiTheme="minorHAnsi"/>
          <w:b w:val="0"/>
          <w:bCs w:val="0"/>
        </w:rPr>
        <w:t xml:space="preserve"> an</w:t>
      </w:r>
      <w:r w:rsidR="009437B4" w:rsidRPr="0064415D">
        <w:rPr>
          <w:rStyle w:val="Strong"/>
          <w:rFonts w:asciiTheme="minorHAnsi" w:hAnsiTheme="minorHAnsi"/>
          <w:b w:val="0"/>
          <w:bCs w:val="0"/>
        </w:rPr>
        <w:t>d</w:t>
      </w:r>
      <w:r w:rsidR="009D6C50" w:rsidRPr="0064415D">
        <w:rPr>
          <w:rStyle w:val="Strong"/>
          <w:rFonts w:asciiTheme="minorHAnsi" w:hAnsiTheme="minorHAnsi"/>
          <w:b w:val="0"/>
          <w:bCs w:val="0"/>
        </w:rPr>
        <w:t xml:space="preserve"> Local Infrastructure</w:t>
      </w:r>
    </w:p>
    <w:p w:rsidR="001F66D6" w:rsidRDefault="00EF36B5" w:rsidP="00F95347">
      <w:pPr>
        <w:pStyle w:val="bt"/>
      </w:pPr>
      <w:r w:rsidRPr="008F1881">
        <w:t xml:space="preserve">Climate change predictions indicate that more extreme flood events may occur in the future. Existing flood risk assessments do not take account of these likely increases in the intensity of storm and flood events. The </w:t>
      </w:r>
      <w:r w:rsidR="0061287B" w:rsidRPr="008F1881">
        <w:t xml:space="preserve">potential </w:t>
      </w:r>
      <w:r w:rsidRPr="008F1881">
        <w:t>increase in flood risk should be considere</w:t>
      </w:r>
      <w:r w:rsidR="00F21992">
        <w:t>d in future strategic planning.</w:t>
      </w:r>
    </w:p>
    <w:p w:rsidR="008F1881" w:rsidRPr="00E03E4A" w:rsidRDefault="009F09AE" w:rsidP="00E03E4A">
      <w:pPr>
        <w:pStyle w:val="Heading40"/>
      </w:pPr>
      <w:r w:rsidRPr="00E03E4A">
        <w:t xml:space="preserve">Soil </w:t>
      </w:r>
      <w:r w:rsidR="006F4AFC" w:rsidRPr="00E03E4A">
        <w:t>h</w:t>
      </w:r>
      <w:r w:rsidRPr="00E03E4A">
        <w:t>ealth</w:t>
      </w:r>
    </w:p>
    <w:p w:rsidR="00791759" w:rsidRPr="008F1881" w:rsidRDefault="00FA301D" w:rsidP="00F21992">
      <w:pPr>
        <w:pStyle w:val="bt"/>
      </w:pPr>
      <w:r w:rsidRPr="008F1881">
        <w:t xml:space="preserve">Healthy soil delivers a wide range of environmental </w:t>
      </w:r>
      <w:r w:rsidR="00791759" w:rsidRPr="008F1881">
        <w:t xml:space="preserve">benefits </w:t>
      </w:r>
      <w:r w:rsidRPr="008F1881">
        <w:t>and is less likely to be acidic, saline, compacted, nutrient</w:t>
      </w:r>
      <w:r w:rsidR="00595938">
        <w:t xml:space="preserve"> poor</w:t>
      </w:r>
      <w:r w:rsidRPr="008F1881">
        <w:t>, or eroding. Soil erosion and land degradation have significant economic, social and environmental costs, both on</w:t>
      </w:r>
      <w:r w:rsidR="00595938">
        <w:t xml:space="preserve"> </w:t>
      </w:r>
      <w:r w:rsidRPr="008F1881">
        <w:t>site</w:t>
      </w:r>
      <w:r w:rsidR="001305A8">
        <w:t>, such as</w:t>
      </w:r>
      <w:r w:rsidRPr="008F1881">
        <w:t xml:space="preserve"> loss of carbon storage</w:t>
      </w:r>
      <w:r w:rsidR="001305A8">
        <w:t>,</w:t>
      </w:r>
      <w:r w:rsidRPr="008F1881">
        <w:t xml:space="preserve"> and on downstream assets</w:t>
      </w:r>
      <w:r w:rsidR="001305A8">
        <w:t xml:space="preserve">, </w:t>
      </w:r>
      <w:r w:rsidR="00595938">
        <w:t xml:space="preserve">such as </w:t>
      </w:r>
      <w:r w:rsidRPr="008F1881">
        <w:t>erosion entering rivers</w:t>
      </w:r>
      <w:r w:rsidR="00595938">
        <w:t xml:space="preserve"> and </w:t>
      </w:r>
      <w:r w:rsidRPr="008F1881">
        <w:t>reducing water quality.</w:t>
      </w:r>
    </w:p>
    <w:p w:rsidR="00791759" w:rsidRPr="008F1881" w:rsidRDefault="00FA301D" w:rsidP="00F21992">
      <w:pPr>
        <w:pStyle w:val="bt"/>
      </w:pPr>
      <w:r w:rsidRPr="008F1881">
        <w:t xml:space="preserve">There are areas within the Central Highlands </w:t>
      </w:r>
      <w:r w:rsidR="0061287B" w:rsidRPr="008F1881">
        <w:t>r</w:t>
      </w:r>
      <w:r w:rsidRPr="008F1881">
        <w:t>egion that are particularly susceptible to erosion and landslip. Factors which contribute to these risks include land use</w:t>
      </w:r>
      <w:r w:rsidR="001305A8">
        <w:t>,</w:t>
      </w:r>
      <w:r w:rsidRPr="008F1881">
        <w:t xml:space="preserve"> whether the use is consistent with the land capability, vegetation cover, gradient and aspect.</w:t>
      </w:r>
    </w:p>
    <w:p w:rsidR="00791759" w:rsidRPr="008F1881" w:rsidRDefault="00FA301D" w:rsidP="00F21992">
      <w:pPr>
        <w:pStyle w:val="bt"/>
      </w:pPr>
      <w:r w:rsidRPr="008F1881">
        <w:t xml:space="preserve">Salinity is a significant soil health issue within some parts of the Central Highlands and has the potential to impact </w:t>
      </w:r>
      <w:r w:rsidR="00595938">
        <w:t xml:space="preserve">on </w:t>
      </w:r>
      <w:r w:rsidRPr="008F1881">
        <w:t xml:space="preserve">urban water supply, infrastructure, agriculture and environmental values. Salinity issues in relation to rural areas are managed through land and water management planning activities of </w:t>
      </w:r>
      <w:r w:rsidR="0061287B" w:rsidRPr="008F1881">
        <w:t>c</w:t>
      </w:r>
      <w:r w:rsidRPr="008F1881">
        <w:t xml:space="preserve">atchment </w:t>
      </w:r>
      <w:r w:rsidR="0061287B" w:rsidRPr="008F1881">
        <w:t>m</w:t>
      </w:r>
      <w:r w:rsidRPr="008F1881">
        <w:t xml:space="preserve">anagement </w:t>
      </w:r>
      <w:r w:rsidR="0061287B" w:rsidRPr="008F1881">
        <w:t>a</w:t>
      </w:r>
      <w:r w:rsidRPr="008F1881">
        <w:t>uthorities.</w:t>
      </w:r>
    </w:p>
    <w:p w:rsidR="00791759" w:rsidRPr="008F1881" w:rsidRDefault="00FA301D" w:rsidP="00F21992">
      <w:pPr>
        <w:pStyle w:val="bt"/>
      </w:pPr>
      <w:r w:rsidRPr="008F1881">
        <w:t xml:space="preserve">Urban salinity is an emerging problem across Victoria, causing damage to many natural and built assets including buildings, bridges, pipelines, cemeteries, parks and gardens, lakes and waterways. </w:t>
      </w:r>
    </w:p>
    <w:p w:rsidR="00FA301D" w:rsidRPr="008F1881" w:rsidRDefault="00FA301D" w:rsidP="00F21992">
      <w:pPr>
        <w:pStyle w:val="bt"/>
      </w:pPr>
      <w:r w:rsidRPr="008F1881">
        <w:lastRenderedPageBreak/>
        <w:t>Salinity also affects private homes and gardens. Salinity in urban areas can cause significant damage to structures such as pavements, roads, bricks and mortar, and can corrode and damage underground pipes.  It can also result in dying gardens, bare soils and soils that can only grow salt-tolerant species</w:t>
      </w:r>
      <w:r w:rsidR="00F4278B">
        <w:t>.</w:t>
      </w:r>
    </w:p>
    <w:p w:rsidR="00FA301D" w:rsidRPr="008F1881" w:rsidRDefault="00FA301D" w:rsidP="00F21992">
      <w:pPr>
        <w:pStyle w:val="bt"/>
      </w:pPr>
      <w:r w:rsidRPr="008F1881">
        <w:t>The impacts of salinity both in urban and rural areas decreased during the recent extended drought</w:t>
      </w:r>
      <w:r w:rsidR="00595938">
        <w:t>. H</w:t>
      </w:r>
      <w:r w:rsidRPr="008F1881">
        <w:t>owever</w:t>
      </w:r>
      <w:r w:rsidR="00595938">
        <w:t>,</w:t>
      </w:r>
      <w:r w:rsidRPr="008F1881">
        <w:t xml:space="preserve"> the problem was only temporarily halted. The return to wetter years has seen a return of m</w:t>
      </w:r>
      <w:r w:rsidR="00F21992">
        <w:t>any salinity-related problems.</w:t>
      </w:r>
    </w:p>
    <w:p w:rsidR="008F1881" w:rsidRPr="00E03E4A" w:rsidRDefault="009F09AE" w:rsidP="00E03E4A">
      <w:pPr>
        <w:pStyle w:val="Heading40"/>
      </w:pPr>
      <w:r w:rsidRPr="00E03E4A">
        <w:t xml:space="preserve">Potentially </w:t>
      </w:r>
      <w:r w:rsidR="00595938" w:rsidRPr="00E03E4A">
        <w:t>c</w:t>
      </w:r>
      <w:r w:rsidRPr="00E03E4A">
        <w:t xml:space="preserve">ontaminated </w:t>
      </w:r>
      <w:r w:rsidR="00595938" w:rsidRPr="00E03E4A">
        <w:t>l</w:t>
      </w:r>
      <w:r w:rsidRPr="00E03E4A">
        <w:t>and</w:t>
      </w:r>
    </w:p>
    <w:p w:rsidR="007127C7" w:rsidRPr="008F1881" w:rsidRDefault="007127C7" w:rsidP="00F21992">
      <w:pPr>
        <w:pStyle w:val="bt"/>
      </w:pPr>
      <w:r w:rsidRPr="008F1881">
        <w:t xml:space="preserve">Contaminated sites </w:t>
      </w:r>
      <w:r w:rsidR="00595938">
        <w:t xml:space="preserve">include </w:t>
      </w:r>
      <w:r w:rsidRPr="008F1881">
        <w:t>land, and often also groundwater, where chemical and metal concentrations exceed those specified in policies and regulations.</w:t>
      </w:r>
      <w:r w:rsidR="00595938">
        <w:t xml:space="preserve"> </w:t>
      </w:r>
      <w:r w:rsidRPr="008F1881">
        <w:t>The location and number of contaminated sites across Victoria is not accurately known. A desktop assessment in 1997 estimated there were around 10</w:t>
      </w:r>
      <w:r w:rsidR="001305A8">
        <w:t>,</w:t>
      </w:r>
      <w:r w:rsidRPr="008F1881">
        <w:t>000 contaminated sites in Victoria</w:t>
      </w:r>
      <w:bookmarkStart w:id="422" w:name="_Ref339628022"/>
      <w:r w:rsidR="008506BB">
        <w:t xml:space="preserve"> (Victorian Auditor-General, 2011)</w:t>
      </w:r>
      <w:bookmarkEnd w:id="422"/>
      <w:r w:rsidRPr="008F1881">
        <w:t>.</w:t>
      </w:r>
    </w:p>
    <w:p w:rsidR="007127C7" w:rsidRPr="008F1881" w:rsidRDefault="007127C7" w:rsidP="00F21992">
      <w:pPr>
        <w:pStyle w:val="bt"/>
      </w:pPr>
      <w:r w:rsidRPr="008F1881">
        <w:t>Contaminated sites may pose immediate or longer-term risks to human health and the environment, depending on the type and extent of contamination and on how the site is used.</w:t>
      </w:r>
    </w:p>
    <w:p w:rsidR="007127C7" w:rsidRPr="008F1881" w:rsidRDefault="007127C7" w:rsidP="00F21992">
      <w:pPr>
        <w:pStyle w:val="bt"/>
      </w:pPr>
      <w:r w:rsidRPr="008F1881">
        <w:t>There are many areas that may contain contaminated land in the region, particularly due to its gold mining history. There are also many individual properties that may have contaminated land due to historic land use and management.  Many of these areas could be subject to development pressures, either through infill or urban expansion, given the high occurrence of historic mining sites associated with existing settlements.</w:t>
      </w:r>
    </w:p>
    <w:p w:rsidR="001F66D6" w:rsidRDefault="007127C7" w:rsidP="00F95347">
      <w:pPr>
        <w:pStyle w:val="bt"/>
      </w:pPr>
      <w:r w:rsidRPr="008F1881">
        <w:t xml:space="preserve">Potentially contaminated and known contaminated sites are regulated through a framework that encompasses the </w:t>
      </w:r>
      <w:r w:rsidRPr="008F1881">
        <w:rPr>
          <w:i/>
        </w:rPr>
        <w:t>Planning and Environment Act 1987</w:t>
      </w:r>
      <w:r w:rsidRPr="008F1881">
        <w:t xml:space="preserve">, the </w:t>
      </w:r>
      <w:r w:rsidRPr="008F1881">
        <w:rPr>
          <w:i/>
        </w:rPr>
        <w:t>Environment Protection Act 1970</w:t>
      </w:r>
      <w:r w:rsidRPr="008F1881">
        <w:t>, and a range of complementary regulatory instruments.</w:t>
      </w:r>
    </w:p>
    <w:p w:rsidR="008F1881" w:rsidRPr="00E03E4A" w:rsidRDefault="009F09AE" w:rsidP="00E03E4A">
      <w:pPr>
        <w:pStyle w:val="Heading40"/>
      </w:pPr>
      <w:r w:rsidRPr="00E03E4A">
        <w:t xml:space="preserve">Acid </w:t>
      </w:r>
      <w:r w:rsidR="00BF34EE" w:rsidRPr="00E03E4A">
        <w:t>sulfate</w:t>
      </w:r>
      <w:r w:rsidRPr="00E03E4A">
        <w:t xml:space="preserve"> </w:t>
      </w:r>
      <w:r w:rsidR="00595938" w:rsidRPr="00E03E4A">
        <w:t>s</w:t>
      </w:r>
      <w:r w:rsidRPr="00E03E4A">
        <w:t>oils</w:t>
      </w:r>
    </w:p>
    <w:p w:rsidR="007127C7" w:rsidRPr="008F1881" w:rsidRDefault="00B055FA" w:rsidP="00F21992">
      <w:pPr>
        <w:pStyle w:val="bt"/>
        <w:rPr>
          <w:rFonts w:cs="Tahoma"/>
        </w:rPr>
      </w:pPr>
      <w:r w:rsidRPr="008F1881">
        <w:rPr>
          <w:rFonts w:cs="Tahoma"/>
        </w:rPr>
        <w:t xml:space="preserve">Acid </w:t>
      </w:r>
      <w:r w:rsidR="00BF34EE">
        <w:rPr>
          <w:rFonts w:cs="Tahoma"/>
        </w:rPr>
        <w:t>sulfate</w:t>
      </w:r>
      <w:r w:rsidRPr="008F1881">
        <w:rPr>
          <w:rFonts w:cs="Tahoma"/>
        </w:rPr>
        <w:t xml:space="preserve"> soils are found naturally within the Central Highlands region, although they are not widespread. </w:t>
      </w:r>
      <w:r w:rsidR="007127C7" w:rsidRPr="008F1881">
        <w:t xml:space="preserve">According to mapping available on the Australian Soil Resource Information System, there is a high probability of the presence of acid </w:t>
      </w:r>
      <w:r w:rsidR="00BF34EE">
        <w:t>sulfate</w:t>
      </w:r>
      <w:r w:rsidR="007127C7" w:rsidRPr="008F1881">
        <w:t xml:space="preserve"> soils in certain locations within the Central Highlands region, predominantly associated with wetlan</w:t>
      </w:r>
      <w:r w:rsidR="00F21992">
        <w:t>d sites.</w:t>
      </w:r>
    </w:p>
    <w:p w:rsidR="00B055FA" w:rsidRPr="008F1881" w:rsidRDefault="00B055FA" w:rsidP="00F21992">
      <w:pPr>
        <w:pStyle w:val="bt"/>
        <w:rPr>
          <w:rFonts w:cs="Tahoma"/>
        </w:rPr>
      </w:pPr>
      <w:r w:rsidRPr="008F1881">
        <w:rPr>
          <w:rFonts w:cs="Tahoma"/>
        </w:rPr>
        <w:t>These soils contain iron sulphides, which if disturbed and exposed to oxygen</w:t>
      </w:r>
      <w:r w:rsidR="00595938">
        <w:rPr>
          <w:rFonts w:cs="Tahoma"/>
        </w:rPr>
        <w:t>,</w:t>
      </w:r>
      <w:r w:rsidRPr="008F1881">
        <w:rPr>
          <w:rFonts w:cs="Tahoma"/>
        </w:rPr>
        <w:t xml:space="preserve"> produce sulphuric acid. This can lead to significant damage to infrastructure and the environment. Acid </w:t>
      </w:r>
      <w:r w:rsidR="00BF34EE">
        <w:rPr>
          <w:rFonts w:cs="Tahoma"/>
        </w:rPr>
        <w:t>sulfate</w:t>
      </w:r>
      <w:r w:rsidRPr="008F1881">
        <w:rPr>
          <w:rFonts w:cs="Tahoma"/>
        </w:rPr>
        <w:t xml:space="preserve"> soils can be disturbed as a result of agricultural activities, infrastructure works and urban development. It is best practice to leave acid </w:t>
      </w:r>
      <w:r w:rsidR="00BF34EE">
        <w:rPr>
          <w:rFonts w:cs="Tahoma"/>
        </w:rPr>
        <w:t>sulfate</w:t>
      </w:r>
      <w:r w:rsidRPr="008F1881">
        <w:rPr>
          <w:rFonts w:cs="Tahoma"/>
        </w:rPr>
        <w:t xml:space="preserve"> soils undisturbed, </w:t>
      </w:r>
      <w:r w:rsidR="00595938">
        <w:rPr>
          <w:rFonts w:cs="Tahoma"/>
        </w:rPr>
        <w:t xml:space="preserve">although </w:t>
      </w:r>
      <w:r w:rsidRPr="008F1881">
        <w:rPr>
          <w:rFonts w:cs="Tahoma"/>
        </w:rPr>
        <w:t>this requires knowledge of their location, followed by protective action to ensure they are not disturbed. Investigations of areas subject to disturbance, such as urban growth areas will be necessary at a local level.</w:t>
      </w:r>
    </w:p>
    <w:p w:rsidR="008F1881" w:rsidRPr="005B01F7" w:rsidRDefault="009F09AE" w:rsidP="00F95347">
      <w:pPr>
        <w:pStyle w:val="Heading3"/>
        <w:spacing w:before="240"/>
      </w:pPr>
      <w:r w:rsidRPr="005B01F7">
        <w:t xml:space="preserve">Land </w:t>
      </w:r>
      <w:r w:rsidR="00661931" w:rsidRPr="005B01F7">
        <w:t>use planning response</w:t>
      </w:r>
    </w:p>
    <w:p w:rsidR="008F1881" w:rsidRPr="00E03E4A" w:rsidRDefault="009F09AE" w:rsidP="00E03E4A">
      <w:pPr>
        <w:pStyle w:val="Heading40"/>
      </w:pPr>
      <w:r w:rsidRPr="00E03E4A">
        <w:t>Bushfire</w:t>
      </w:r>
    </w:p>
    <w:p w:rsidR="008F1881" w:rsidRPr="008F1881" w:rsidRDefault="00F3691C" w:rsidP="00F21992">
      <w:pPr>
        <w:pStyle w:val="bt"/>
      </w:pPr>
      <w:r w:rsidRPr="008F1881">
        <w:t>Bushfire risk is a critical consideration when planning for growth within the region. Planning must consider bushfire hazard in detail, with the assistance of planning tools</w:t>
      </w:r>
      <w:r w:rsidR="001305A8">
        <w:t>,</w:t>
      </w:r>
      <w:r w:rsidRPr="008F1881">
        <w:t xml:space="preserve"> such as the Bushfire Management Overlay and Regional Bushfire Planning Assessments, as well as input from key stakeholders such as the Country Fire Authority.</w:t>
      </w:r>
    </w:p>
    <w:p w:rsidR="008F1881" w:rsidRPr="008F1881" w:rsidRDefault="00F3691C" w:rsidP="00F21992">
      <w:pPr>
        <w:pStyle w:val="bt"/>
      </w:pPr>
      <w:r w:rsidRPr="008F1881">
        <w:t xml:space="preserve">The </w:t>
      </w:r>
      <w:r w:rsidR="00F37D25">
        <w:t>plan</w:t>
      </w:r>
      <w:r w:rsidRPr="008F1881">
        <w:t xml:space="preserve"> identifies where bushfire risk is a key consideration for growth of specific settlements. </w:t>
      </w:r>
      <w:r w:rsidR="00455C59" w:rsidRPr="008F1881">
        <w:t xml:space="preserve">The growth of </w:t>
      </w:r>
      <w:r w:rsidR="004935DA" w:rsidRPr="008F1881">
        <w:t>Daylesford</w:t>
      </w:r>
      <w:r w:rsidR="00455C59" w:rsidRPr="008F1881">
        <w:t xml:space="preserve"> has been identified as limited in part because of this risk.</w:t>
      </w:r>
      <w:r w:rsidR="008506BB">
        <w:t xml:space="preserve"> </w:t>
      </w:r>
      <w:r w:rsidR="009F09AE" w:rsidRPr="008F1881">
        <w:t xml:space="preserve">Bushfire risks to tourism and landscape values also need to be considered in rural areas. </w:t>
      </w:r>
    </w:p>
    <w:p w:rsidR="008F1881" w:rsidRPr="00E03E4A" w:rsidRDefault="009F09AE" w:rsidP="00E03E4A">
      <w:pPr>
        <w:pStyle w:val="Heading40"/>
      </w:pPr>
      <w:r w:rsidRPr="00E03E4A">
        <w:lastRenderedPageBreak/>
        <w:t>Flooding</w:t>
      </w:r>
    </w:p>
    <w:p w:rsidR="008F1881" w:rsidRPr="008F1881" w:rsidRDefault="00331634" w:rsidP="00F21992">
      <w:pPr>
        <w:pStyle w:val="bt"/>
      </w:pPr>
      <w:r w:rsidRPr="008F1881">
        <w:t xml:space="preserve">Land use planning is the most effective means of reducing future risks and damages from flooding. The </w:t>
      </w:r>
      <w:r w:rsidR="001305A8">
        <w:t>catchment management authorities</w:t>
      </w:r>
      <w:r w:rsidR="001305A8" w:rsidRPr="008F1881">
        <w:t xml:space="preserve"> </w:t>
      </w:r>
      <w:r w:rsidRPr="008F1881">
        <w:t>are currently undertaking flood studies for the areas that experienced severe flooding in 2010</w:t>
      </w:r>
      <w:r w:rsidR="00595938">
        <w:t>–</w:t>
      </w:r>
      <w:r w:rsidRPr="008F1881">
        <w:t xml:space="preserve">11. This information will be used (where applicable) to update flood overlays in planning schemes. As further </w:t>
      </w:r>
      <w:r w:rsidR="009F09AE" w:rsidRPr="008F1881">
        <w:t>research and modelling is released over time it will better inform land use planning.</w:t>
      </w:r>
      <w:r w:rsidR="00BA2920" w:rsidRPr="008F1881">
        <w:t xml:space="preserve"> </w:t>
      </w:r>
      <w:r w:rsidR="003E649B" w:rsidRPr="008F1881">
        <w:t xml:space="preserve">The need to update planning controls such as overlays to </w:t>
      </w:r>
      <w:r w:rsidRPr="008F1881">
        <w:t>accurately reflect information available on flooding</w:t>
      </w:r>
      <w:r w:rsidR="003E649B" w:rsidRPr="008F1881">
        <w:t xml:space="preserve"> was emphasised in the </w:t>
      </w:r>
      <w:r w:rsidR="008506BB" w:rsidRPr="00227110">
        <w:rPr>
          <w:rFonts w:cs="Tahoma"/>
          <w:szCs w:val="20"/>
        </w:rPr>
        <w:t>Review of the 2010</w:t>
      </w:r>
      <w:r w:rsidR="00595938" w:rsidRPr="00227110">
        <w:rPr>
          <w:rFonts w:cs="Tahoma"/>
          <w:szCs w:val="20"/>
        </w:rPr>
        <w:t>–</w:t>
      </w:r>
      <w:r w:rsidR="008506BB" w:rsidRPr="00227110">
        <w:rPr>
          <w:rFonts w:cs="Tahoma"/>
          <w:szCs w:val="20"/>
        </w:rPr>
        <w:t>11 Flood Warnings and Response</w:t>
      </w:r>
      <w:r w:rsidR="00455C59" w:rsidRPr="008F1881">
        <w:t>,</w:t>
      </w:r>
      <w:r w:rsidR="003E649B" w:rsidRPr="008F1881">
        <w:t xml:space="preserve"> which recognised that in the absence of such controls there are </w:t>
      </w:r>
      <w:r w:rsidR="00EF36B5" w:rsidRPr="008F1881">
        <w:t xml:space="preserve">few </w:t>
      </w:r>
      <w:r w:rsidR="003E649B" w:rsidRPr="008F1881">
        <w:t xml:space="preserve">restrictions </w:t>
      </w:r>
      <w:r w:rsidRPr="008F1881">
        <w:t xml:space="preserve">to </w:t>
      </w:r>
      <w:r w:rsidR="003E649B" w:rsidRPr="008F1881">
        <w:t xml:space="preserve">further </w:t>
      </w:r>
      <w:r w:rsidRPr="008F1881">
        <w:t>development in flood prone</w:t>
      </w:r>
      <w:r w:rsidR="009F09AE" w:rsidRPr="008F1881">
        <w:t xml:space="preserve"> areas.</w:t>
      </w:r>
    </w:p>
    <w:p w:rsidR="008F1881" w:rsidRPr="008F1881" w:rsidRDefault="00331634" w:rsidP="00F21992">
      <w:pPr>
        <w:pStyle w:val="bt"/>
      </w:pPr>
      <w:r w:rsidRPr="008F1881">
        <w:t>Flood provisions in planning schemes should be used consistently across the region to avoid inappropriate development or redevelopment</w:t>
      </w:r>
      <w:r w:rsidR="00595938">
        <w:t>,</w:t>
      </w:r>
      <w:r w:rsidRPr="008F1881">
        <w:t xml:space="preserve"> or </w:t>
      </w:r>
      <w:r w:rsidR="00595938">
        <w:t xml:space="preserve">to </w:t>
      </w:r>
      <w:r w:rsidRPr="008F1881">
        <w:t>require appropriate development responses, as well as apply design respon</w:t>
      </w:r>
      <w:r w:rsidR="00F21992">
        <w:t>ses through the building code.</w:t>
      </w:r>
    </w:p>
    <w:p w:rsidR="001F66D6" w:rsidRDefault="00EF36B5" w:rsidP="00F95347">
      <w:pPr>
        <w:pStyle w:val="bt"/>
      </w:pPr>
      <w:r w:rsidRPr="008F1881">
        <w:t xml:space="preserve">The </w:t>
      </w:r>
      <w:r w:rsidR="00F37D25">
        <w:t>plan</w:t>
      </w:r>
      <w:r w:rsidRPr="008F1881">
        <w:t xml:space="preserve"> recognises </w:t>
      </w:r>
      <w:r w:rsidR="00331634" w:rsidRPr="008F1881">
        <w:t>implications of flood</w:t>
      </w:r>
      <w:r w:rsidR="00A66F11">
        <w:t>s</w:t>
      </w:r>
      <w:r w:rsidR="00331634" w:rsidRPr="008F1881">
        <w:t xml:space="preserve"> on growth, particularly settlement growth. The </w:t>
      </w:r>
      <w:r w:rsidR="00F37D25">
        <w:t>plan</w:t>
      </w:r>
      <w:r w:rsidRPr="008F1881">
        <w:t xml:space="preserve"> identifies </w:t>
      </w:r>
      <w:r w:rsidR="00331634" w:rsidRPr="008F1881">
        <w:t>where flooding is a key consideration for growth of specific settlements. Flood is also an issue across the broader landscape and has implications for rural land use opportunities.</w:t>
      </w:r>
    </w:p>
    <w:p w:rsidR="008F1881" w:rsidRPr="00E03E4A" w:rsidRDefault="009F09AE" w:rsidP="00E03E4A">
      <w:pPr>
        <w:pStyle w:val="Heading40"/>
      </w:pPr>
      <w:r w:rsidRPr="00E03E4A">
        <w:t>Climate change</w:t>
      </w:r>
    </w:p>
    <w:p w:rsidR="007240CE" w:rsidRPr="008F1881" w:rsidRDefault="00FD14C2" w:rsidP="00F21992">
      <w:pPr>
        <w:pStyle w:val="bt"/>
      </w:pPr>
      <w:r w:rsidRPr="008F1881">
        <w:t>Land use planning can play a role in improving the region’s resilience and ability to adapt to a changing climate, such as through facilitating changing agricultural practices and facilitating e</w:t>
      </w:r>
      <w:r w:rsidR="009F09AE" w:rsidRPr="008F1881">
        <w:t>conomic diversification</w:t>
      </w:r>
      <w:r w:rsidR="00595938">
        <w:t>. Examples of diversification include c</w:t>
      </w:r>
      <w:r w:rsidR="009F09AE" w:rsidRPr="008F1881">
        <w:t xml:space="preserve">arbon farming, renewable energies or new industries. The need to plan for altered risk profiles associated with natural hazards such as </w:t>
      </w:r>
      <w:r w:rsidR="006C2CC8">
        <w:t>bush</w:t>
      </w:r>
      <w:r w:rsidR="009F09AE" w:rsidRPr="008F1881">
        <w:t>fire and flood as a result of a changing climate should also be recognised in land use planning.</w:t>
      </w:r>
    </w:p>
    <w:p w:rsidR="008F1881" w:rsidRPr="00E03E4A" w:rsidRDefault="009F09AE" w:rsidP="00E03E4A">
      <w:pPr>
        <w:pStyle w:val="Heading40"/>
      </w:pPr>
      <w:r w:rsidRPr="00E03E4A">
        <w:t>Soils and contaminated land</w:t>
      </w:r>
    </w:p>
    <w:p w:rsidR="008F1881" w:rsidRPr="008F1881" w:rsidRDefault="00791759" w:rsidP="00F21992">
      <w:pPr>
        <w:pStyle w:val="bt"/>
      </w:pPr>
      <w:r w:rsidRPr="008F1881">
        <w:t>Land use planning addresses soil health issues through such mechanisms as the Erosion Management Overlay which has been used in some areas to identify land susceptible to erosion or landslip</w:t>
      </w:r>
      <w:r w:rsidR="009F09AE" w:rsidRPr="008F1881">
        <w:t xml:space="preserve">. </w:t>
      </w:r>
      <w:r w:rsidR="005F41B2">
        <w:t>However, t</w:t>
      </w:r>
      <w:r w:rsidR="009F09AE" w:rsidRPr="008F1881">
        <w:t>his overlay has not been consistently applied between local government areas. The Salinity Management Overlay is likewise used in some areas to highlight salinity issues</w:t>
      </w:r>
      <w:r w:rsidR="001305A8">
        <w:t xml:space="preserve">, such as </w:t>
      </w:r>
      <w:r w:rsidR="009F09AE" w:rsidRPr="008F1881">
        <w:t>areas subject to saline ground water discharge or high ground water recharge</w:t>
      </w:r>
      <w:r w:rsidR="001305A8">
        <w:t>.</w:t>
      </w:r>
      <w:r w:rsidR="009F09AE" w:rsidRPr="008F1881">
        <w:t xml:space="preserve"> </w:t>
      </w:r>
      <w:r w:rsidR="001305A8">
        <w:t>H</w:t>
      </w:r>
      <w:r w:rsidR="001305A8" w:rsidRPr="008F1881">
        <w:t xml:space="preserve">owever </w:t>
      </w:r>
      <w:r w:rsidR="009F09AE" w:rsidRPr="008F1881">
        <w:t>this overlay has also not been applied consistently.</w:t>
      </w:r>
    </w:p>
    <w:p w:rsidR="008F1881" w:rsidRPr="008F1881" w:rsidRDefault="007127C7" w:rsidP="00F21992">
      <w:pPr>
        <w:pStyle w:val="bt"/>
      </w:pPr>
      <w:r w:rsidRPr="008F1881">
        <w:t xml:space="preserve">Land use planning has a very important role to play in managing potentially contaminated land. Given that the location of all contaminated sites is not known, </w:t>
      </w:r>
      <w:r w:rsidR="009F09AE" w:rsidRPr="008F1881">
        <w:t xml:space="preserve">land use planning needs to take a precautionary approach and ensure that investigations are undertaken prior to residential development or other sensitive uses establishing where there is any possibility of contamination. The </w:t>
      </w:r>
      <w:r w:rsidR="00F37D25">
        <w:t>plan</w:t>
      </w:r>
      <w:r w:rsidR="009F09AE" w:rsidRPr="008F1881">
        <w:t xml:space="preserve"> recognises that land contamination is an important issue when planning for growth.</w:t>
      </w:r>
    </w:p>
    <w:p w:rsidR="008F1881" w:rsidRPr="009B74E7" w:rsidRDefault="007C691E" w:rsidP="009B74E7">
      <w:pPr>
        <w:pStyle w:val="bt"/>
      </w:pPr>
      <w:r w:rsidRPr="009B74E7">
        <w:t xml:space="preserve">Acid </w:t>
      </w:r>
      <w:r w:rsidR="00BF34EE">
        <w:t>sulfate</w:t>
      </w:r>
      <w:r w:rsidRPr="009B74E7">
        <w:t xml:space="preserve"> soils need to be likewise managed through a precautionary approach given the location of these soils is not </w:t>
      </w:r>
      <w:r w:rsidR="00A66F11">
        <w:t xml:space="preserve">generally </w:t>
      </w:r>
      <w:r w:rsidRPr="009B74E7">
        <w:t>known. Where development is proposed on land in proximity to a saline wetland/lake</w:t>
      </w:r>
      <w:r w:rsidR="00781671">
        <w:t>,</w:t>
      </w:r>
      <w:r w:rsidRPr="009B74E7">
        <w:t xml:space="preserve"> investigations should be undertaken to determine the presence of these soils.</w:t>
      </w:r>
    </w:p>
    <w:p w:rsidR="008F1881" w:rsidRPr="005B01F7" w:rsidRDefault="00B055FA" w:rsidP="00AA52EF">
      <w:pPr>
        <w:pStyle w:val="Heading2"/>
        <w:spacing w:after="120"/>
      </w:pPr>
      <w:bookmarkStart w:id="423" w:name="_Toc349557739"/>
      <w:bookmarkStart w:id="424" w:name="_Toc374527621"/>
      <w:r w:rsidRPr="005B01F7">
        <w:t xml:space="preserve">Landscape </w:t>
      </w:r>
      <w:bookmarkEnd w:id="423"/>
      <w:r w:rsidR="00661931" w:rsidRPr="005B01F7">
        <w:t>protection</w:t>
      </w:r>
      <w:bookmarkEnd w:id="424"/>
    </w:p>
    <w:p w:rsidR="008F1881" w:rsidRPr="005B01F7" w:rsidRDefault="009F09AE" w:rsidP="00AA52EF">
      <w:pPr>
        <w:pStyle w:val="Heading3"/>
        <w:spacing w:before="120"/>
      </w:pPr>
      <w:r w:rsidRPr="005B01F7">
        <w:t xml:space="preserve">Description and </w:t>
      </w:r>
      <w:r w:rsidR="00661931" w:rsidRPr="005B01F7">
        <w:t>analysis</w:t>
      </w:r>
    </w:p>
    <w:p w:rsidR="00C569D0" w:rsidRDefault="00C569D0" w:rsidP="00AA52EF">
      <w:pPr>
        <w:pStyle w:val="bt"/>
        <w:spacing w:after="120"/>
      </w:pPr>
      <w:r w:rsidRPr="008F1881">
        <w:t>Landscapes may be deemed significant for a combination of</w:t>
      </w:r>
      <w:r w:rsidR="00BF34EE">
        <w:t xml:space="preserve"> cultural heritage</w:t>
      </w:r>
      <w:r w:rsidR="00987FB3">
        <w:t>,</w:t>
      </w:r>
      <w:r w:rsidRPr="008F1881">
        <w:t xml:space="preserve"> aesthetic, scientific, religious and social reasons</w:t>
      </w:r>
      <w:r w:rsidR="00D47A98" w:rsidRPr="008F1881">
        <w:t xml:space="preserve"> and are often integral to the </w:t>
      </w:r>
      <w:r w:rsidRPr="008F1881">
        <w:t xml:space="preserve">amenity of </w:t>
      </w:r>
      <w:r w:rsidR="00D47A98" w:rsidRPr="008F1881">
        <w:t xml:space="preserve">an </w:t>
      </w:r>
      <w:r w:rsidRPr="008F1881">
        <w:t xml:space="preserve">area. There are many significant landscapes in the </w:t>
      </w:r>
      <w:r w:rsidR="002A01F4" w:rsidRPr="008F1881">
        <w:t xml:space="preserve">Central Highlands </w:t>
      </w:r>
      <w:r w:rsidRPr="008F1881">
        <w:t xml:space="preserve">region. The </w:t>
      </w:r>
      <w:r w:rsidRPr="00227110">
        <w:t>South West Victoria Landscape Assessment Study</w:t>
      </w:r>
      <w:r w:rsidR="008506BB" w:rsidRPr="00227110">
        <w:t xml:space="preserve"> </w:t>
      </w:r>
      <w:r w:rsidR="008506BB" w:rsidRPr="008506BB">
        <w:t>(</w:t>
      </w:r>
      <w:r w:rsidR="004B3AA2">
        <w:t xml:space="preserve">Department of </w:t>
      </w:r>
      <w:r w:rsidR="00313C08">
        <w:t>Transport, Planning and Local Infrastructure</w:t>
      </w:r>
      <w:r w:rsidR="008506BB">
        <w:t xml:space="preserve"> and Planisphere, </w:t>
      </w:r>
      <w:r w:rsidR="008506BB" w:rsidRPr="008506BB">
        <w:t>2013)</w:t>
      </w:r>
      <w:r w:rsidR="00D47A98" w:rsidRPr="00227110">
        <w:t xml:space="preserve"> </w:t>
      </w:r>
      <w:r w:rsidR="004845AD">
        <w:t xml:space="preserve">examined the character and significance of the landscapes of the region, to understand how they may be affected by future change; and to protect and </w:t>
      </w:r>
      <w:r w:rsidR="004845AD">
        <w:lastRenderedPageBreak/>
        <w:t xml:space="preserve">manage those values that are most important, for future generations. The study covered the whole region, with </w:t>
      </w:r>
      <w:r w:rsidR="00D47A98" w:rsidRPr="008F1881">
        <w:t>the exception of the northern parts of the Pyrenees Shire</w:t>
      </w:r>
      <w:r w:rsidR="002A01F4" w:rsidRPr="008F1881">
        <w:t xml:space="preserve"> which were outside the study area</w:t>
      </w:r>
      <w:r w:rsidRPr="008F1881">
        <w:t>.</w:t>
      </w:r>
    </w:p>
    <w:p w:rsidR="00D47A98" w:rsidRDefault="00C569D0" w:rsidP="009B74E7">
      <w:pPr>
        <w:pStyle w:val="bt"/>
      </w:pPr>
      <w:r w:rsidRPr="008F1881">
        <w:t>The study</w:t>
      </w:r>
      <w:r w:rsidR="00A32856">
        <w:t xml:space="preserve"> </w:t>
      </w:r>
      <w:r w:rsidRPr="008F1881">
        <w:t xml:space="preserve">designated some landscapes as regionally significant and others as </w:t>
      </w:r>
      <w:r w:rsidR="00D47A98" w:rsidRPr="008F1881">
        <w:t xml:space="preserve">having </w:t>
      </w:r>
      <w:r w:rsidRPr="008F1881">
        <w:t xml:space="preserve">state significance or higher. </w:t>
      </w:r>
      <w:r w:rsidR="00631B16">
        <w:fldChar w:fldCharType="begin"/>
      </w:r>
      <w:r w:rsidR="00631B16">
        <w:instrText xml:space="preserve"> REF _Ref349226921 \h  \* MERGEFORMAT </w:instrText>
      </w:r>
      <w:r w:rsidR="00631B16">
        <w:fldChar w:fldCharType="separate"/>
      </w:r>
      <w:r w:rsidR="00907B42" w:rsidRPr="00CD2959">
        <w:t xml:space="preserve">Figure </w:t>
      </w:r>
      <w:r w:rsidR="00907B42">
        <w:rPr>
          <w:noProof/>
        </w:rPr>
        <w:t>45</w:t>
      </w:r>
      <w:r w:rsidR="00631B16">
        <w:fldChar w:fldCharType="end"/>
      </w:r>
      <w:r w:rsidR="002413DC" w:rsidRPr="008F1881">
        <w:t xml:space="preserve"> </w:t>
      </w:r>
      <w:r w:rsidRPr="008F1881">
        <w:t>shows the levels of significance attributed to the landscapes across the study area</w:t>
      </w:r>
      <w:r w:rsidR="001305A8">
        <w:t>,</w:t>
      </w:r>
      <w:r w:rsidRPr="008F1881">
        <w:t xml:space="preserve"> including the Central Highlands region</w:t>
      </w:r>
      <w:r w:rsidR="001305A8">
        <w:t>,</w:t>
      </w:r>
      <w:r w:rsidRPr="008F1881">
        <w:t xml:space="preserve"> as well as significant viewing locations and viewing corridors.</w:t>
      </w:r>
    </w:p>
    <w:p w:rsidR="001F66D6" w:rsidRPr="008F1881" w:rsidRDefault="001F66D6" w:rsidP="001F66D6">
      <w:pPr>
        <w:pStyle w:val="bt"/>
      </w:pPr>
      <w:r w:rsidRPr="008F1881">
        <w:t xml:space="preserve">Significant landscapes identified within the Central Highlands region include the Grampians (Gariwerd) and surrounds, the plateaus and gorges south of Ballan, the forested uplands around Blackwood, Daylesford, Creswick and Clunes, and the southern Pyrenees uplands.  </w:t>
      </w:r>
    </w:p>
    <w:p w:rsidR="00F471F4" w:rsidRDefault="001F66D6" w:rsidP="009B74E7">
      <w:pPr>
        <w:pStyle w:val="bt"/>
        <w:sectPr w:rsidR="00F471F4" w:rsidSect="00461E66">
          <w:pgSz w:w="11906" w:h="16838"/>
          <w:pgMar w:top="1560" w:right="1440" w:bottom="993" w:left="1440" w:header="708" w:footer="709" w:gutter="0"/>
          <w:cols w:space="708"/>
          <w:docGrid w:linePitch="360"/>
        </w:sectPr>
      </w:pPr>
      <w:r w:rsidRPr="008F1881">
        <w:rPr>
          <w:rFonts w:cs="Tahoma"/>
          <w:szCs w:val="20"/>
        </w:rPr>
        <w:t xml:space="preserve">Throughout the Central Highlands it is notable that the Significant Landscape Overlay is applied inconsistently, in some cases applying to areas on one side of a municipal border, but not the other. The </w:t>
      </w:r>
      <w:r w:rsidRPr="00227110">
        <w:rPr>
          <w:rFonts w:cs="Tahoma"/>
          <w:szCs w:val="20"/>
        </w:rPr>
        <w:t>South West Victoria Landscape Assessment Study</w:t>
      </w:r>
      <w:r w:rsidRPr="008F1881">
        <w:rPr>
          <w:rFonts w:cs="Tahoma"/>
          <w:szCs w:val="20"/>
        </w:rPr>
        <w:t xml:space="preserve"> will help identify tools in planning schemes, including the Significant Landscape Overlay, to protect and manage landscape into the future. </w:t>
      </w:r>
      <w:r w:rsidRPr="008F1881">
        <w:t>The region may need to consider a regionally consistent way to apply suitable planning tools to recogni</w:t>
      </w:r>
      <w:r>
        <w:t>s</w:t>
      </w:r>
      <w:r w:rsidRPr="008F1881">
        <w:t>e these significant landscapes.</w:t>
      </w:r>
    </w:p>
    <w:p w:rsidR="008F1881" w:rsidRPr="00CD2959" w:rsidRDefault="0078671F" w:rsidP="00CD2959">
      <w:pPr>
        <w:pStyle w:val="Caption"/>
      </w:pPr>
      <w:bookmarkStart w:id="425" w:name="_Ref349226921"/>
      <w:r>
        <w:rPr>
          <w:noProof/>
        </w:rPr>
        <w:lastRenderedPageBreak/>
        <w:drawing>
          <wp:anchor distT="0" distB="0" distL="114300" distR="114300" simplePos="0" relativeHeight="251701248" behindDoc="0" locked="0" layoutInCell="1" allowOverlap="1">
            <wp:simplePos x="0" y="0"/>
            <wp:positionH relativeFrom="column">
              <wp:posOffset>76200</wp:posOffset>
            </wp:positionH>
            <wp:positionV relativeFrom="paragraph">
              <wp:posOffset>221615</wp:posOffset>
            </wp:positionV>
            <wp:extent cx="7603490" cy="5403850"/>
            <wp:effectExtent l="19050" t="19050" r="16510" b="25400"/>
            <wp:wrapTopAndBottom/>
            <wp:docPr id="41" name="Picture 4" descr="Map showing significant landscapes in the Central Highland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email"/>
                    <a:stretch>
                      <a:fillRect/>
                    </a:stretch>
                  </pic:blipFill>
                  <pic:spPr bwMode="auto">
                    <a:xfrm>
                      <a:off x="0" y="0"/>
                      <a:ext cx="7603490" cy="5403850"/>
                    </a:xfrm>
                    <a:prstGeom prst="rect">
                      <a:avLst/>
                    </a:prstGeom>
                    <a:noFill/>
                    <a:ln w="31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bookmarkStart w:id="426" w:name="_Toc381698045"/>
      <w:r w:rsidR="002413DC" w:rsidRPr="00CD2959">
        <w:t xml:space="preserve">Figure </w:t>
      </w:r>
      <w:r w:rsidR="009F388E">
        <w:fldChar w:fldCharType="begin"/>
      </w:r>
      <w:r w:rsidR="00821C7F">
        <w:instrText xml:space="preserve"> SEQ Figure \* ARABIC </w:instrText>
      </w:r>
      <w:r w:rsidR="009F388E">
        <w:fldChar w:fldCharType="separate"/>
      </w:r>
      <w:r w:rsidR="00907B42">
        <w:rPr>
          <w:noProof/>
        </w:rPr>
        <w:t>45</w:t>
      </w:r>
      <w:r w:rsidR="009F388E">
        <w:fldChar w:fldCharType="end"/>
      </w:r>
      <w:bookmarkEnd w:id="425"/>
      <w:r w:rsidR="00595938" w:rsidRPr="00CD2959">
        <w:t>:</w:t>
      </w:r>
      <w:r w:rsidR="00D47A98" w:rsidRPr="00CD2959">
        <w:t xml:space="preserve"> </w:t>
      </w:r>
      <w:r w:rsidR="001F619E" w:rsidRPr="00CD2959">
        <w:t>Significant landscapes</w:t>
      </w:r>
      <w:bookmarkEnd w:id="426"/>
    </w:p>
    <w:p w:rsidR="00F471F4" w:rsidRDefault="00BD549B" w:rsidP="0078671F">
      <w:pPr>
        <w:pStyle w:val="Source0"/>
        <w:sectPr w:rsidR="00F471F4" w:rsidSect="00F471F4">
          <w:pgSz w:w="16838" w:h="11906" w:orient="landscape"/>
          <w:pgMar w:top="1440" w:right="1560" w:bottom="993" w:left="851" w:header="708" w:footer="709" w:gutter="0"/>
          <w:cols w:space="708"/>
          <w:docGrid w:linePitch="360"/>
        </w:sectPr>
      </w:pPr>
      <w:r w:rsidRPr="00BD549B">
        <w:t>Source: South West Victoria Landscape Assessment Study, 2013</w:t>
      </w:r>
    </w:p>
    <w:p w:rsidR="00B055FA" w:rsidRPr="00E03E4A" w:rsidRDefault="007240CE" w:rsidP="00E03E4A">
      <w:pPr>
        <w:pStyle w:val="Heading40"/>
      </w:pPr>
      <w:r w:rsidRPr="00E03E4A">
        <w:lastRenderedPageBreak/>
        <w:t>Peri-</w:t>
      </w:r>
      <w:r w:rsidR="005F41B2" w:rsidRPr="00E03E4A">
        <w:t>u</w:t>
      </w:r>
      <w:r w:rsidR="00B055FA" w:rsidRPr="00E03E4A">
        <w:t xml:space="preserve">rban </w:t>
      </w:r>
      <w:r w:rsidR="005F41B2" w:rsidRPr="00E03E4A">
        <w:t>i</w:t>
      </w:r>
      <w:r w:rsidR="00B055FA" w:rsidRPr="00E03E4A">
        <w:t>mpacts</w:t>
      </w:r>
    </w:p>
    <w:p w:rsidR="008814D6" w:rsidRPr="008F1881" w:rsidRDefault="00B055FA" w:rsidP="001F66D6">
      <w:pPr>
        <w:pStyle w:val="bt"/>
        <w:spacing w:before="120" w:after="120"/>
        <w:rPr>
          <w:rFonts w:cs="Tahoma"/>
          <w:szCs w:val="20"/>
        </w:rPr>
      </w:pPr>
      <w:r w:rsidRPr="008F1881">
        <w:rPr>
          <w:rFonts w:cs="Tahoma"/>
          <w:szCs w:val="20"/>
        </w:rPr>
        <w:t>The eastern half of the Central Highlands is located within Melbourne’s peri-urban region. Areas of high landscape value within the region often attract ‘tree changers’ who seek to live in reasonable proximity to Melbourne while enjoying high quality environmental settings.</w:t>
      </w:r>
      <w:r w:rsidR="00317702" w:rsidRPr="008F1881">
        <w:rPr>
          <w:rFonts w:cs="Tahoma"/>
          <w:szCs w:val="20"/>
        </w:rPr>
        <w:t xml:space="preserve"> </w:t>
      </w:r>
      <w:r w:rsidR="008814D6" w:rsidRPr="008F1881">
        <w:rPr>
          <w:rFonts w:cs="Tahoma"/>
          <w:szCs w:val="20"/>
        </w:rPr>
        <w:t xml:space="preserve">Buxton </w:t>
      </w:r>
      <w:r w:rsidR="001F619E" w:rsidRPr="001F619E">
        <w:rPr>
          <w:rFonts w:cs="Tahoma"/>
          <w:szCs w:val="20"/>
        </w:rPr>
        <w:t>et</w:t>
      </w:r>
      <w:r w:rsidR="005651B7">
        <w:rPr>
          <w:rFonts w:cs="Tahoma"/>
          <w:szCs w:val="20"/>
        </w:rPr>
        <w:t>.</w:t>
      </w:r>
      <w:r w:rsidR="001F619E" w:rsidRPr="001F619E">
        <w:rPr>
          <w:rFonts w:cs="Tahoma"/>
          <w:szCs w:val="20"/>
        </w:rPr>
        <w:t xml:space="preserve"> </w:t>
      </w:r>
      <w:r w:rsidR="005651B7">
        <w:rPr>
          <w:rFonts w:cs="Tahoma"/>
          <w:szCs w:val="20"/>
        </w:rPr>
        <w:t>a</w:t>
      </w:r>
      <w:r w:rsidR="001F619E" w:rsidRPr="001F619E">
        <w:rPr>
          <w:rFonts w:cs="Tahoma"/>
          <w:szCs w:val="20"/>
        </w:rPr>
        <w:t>l</w:t>
      </w:r>
      <w:r w:rsidR="005651B7">
        <w:rPr>
          <w:rFonts w:cs="Tahoma"/>
          <w:szCs w:val="20"/>
        </w:rPr>
        <w:t>.</w:t>
      </w:r>
      <w:r w:rsidR="008814D6" w:rsidRPr="00227110">
        <w:rPr>
          <w:rFonts w:cs="Tahoma"/>
          <w:szCs w:val="20"/>
        </w:rPr>
        <w:t xml:space="preserve"> </w:t>
      </w:r>
      <w:r w:rsidR="008814D6" w:rsidRPr="008F1881">
        <w:rPr>
          <w:rFonts w:cs="Tahoma"/>
          <w:szCs w:val="20"/>
        </w:rPr>
        <w:t xml:space="preserve">(2011) identified there are significant implications </w:t>
      </w:r>
      <w:r w:rsidR="005651B7">
        <w:rPr>
          <w:rFonts w:cs="Tahoma"/>
          <w:szCs w:val="20"/>
        </w:rPr>
        <w:t xml:space="preserve">for </w:t>
      </w:r>
      <w:r w:rsidR="008814D6" w:rsidRPr="008F1881">
        <w:rPr>
          <w:rFonts w:cs="Tahoma"/>
          <w:szCs w:val="20"/>
        </w:rPr>
        <w:t>continu</w:t>
      </w:r>
      <w:r w:rsidR="005651B7">
        <w:rPr>
          <w:rFonts w:cs="Tahoma"/>
          <w:szCs w:val="20"/>
        </w:rPr>
        <w:t xml:space="preserve">ing the </w:t>
      </w:r>
      <w:r w:rsidR="008814D6" w:rsidRPr="008F1881">
        <w:rPr>
          <w:rFonts w:cs="Tahoma"/>
          <w:szCs w:val="20"/>
        </w:rPr>
        <w:t xml:space="preserve">current trends </w:t>
      </w:r>
      <w:r w:rsidR="005651B7">
        <w:rPr>
          <w:rFonts w:cs="Tahoma"/>
          <w:szCs w:val="20"/>
        </w:rPr>
        <w:t xml:space="preserve">of </w:t>
      </w:r>
      <w:r w:rsidR="008814D6" w:rsidRPr="008F1881">
        <w:rPr>
          <w:rFonts w:cs="Tahoma"/>
          <w:szCs w:val="20"/>
        </w:rPr>
        <w:t xml:space="preserve">rural living and subdivision of rural land in Melbourne’s </w:t>
      </w:r>
      <w:r w:rsidR="0069443A" w:rsidRPr="003D1722">
        <w:rPr>
          <w:rFonts w:cs="Tahoma"/>
          <w:szCs w:val="20"/>
        </w:rPr>
        <w:t>peri-urban</w:t>
      </w:r>
      <w:r w:rsidR="008814D6" w:rsidRPr="008F1881">
        <w:rPr>
          <w:rFonts w:cs="Tahoma"/>
          <w:szCs w:val="20"/>
        </w:rPr>
        <w:t xml:space="preserve"> region. This report found continued housing development in rural areas would fundamentally alter the appearance and functioning of the region. </w:t>
      </w:r>
      <w:r w:rsidR="00122182">
        <w:rPr>
          <w:rFonts w:cs="Tahoma"/>
          <w:szCs w:val="20"/>
        </w:rPr>
        <w:t>Furthermore, s</w:t>
      </w:r>
      <w:r w:rsidR="008814D6" w:rsidRPr="008F1881">
        <w:rPr>
          <w:rFonts w:cs="Tahoma"/>
          <w:szCs w:val="20"/>
        </w:rPr>
        <w:t xml:space="preserve">ignificant changes to rural landscapes </w:t>
      </w:r>
      <w:r w:rsidR="005651B7">
        <w:rPr>
          <w:rFonts w:cs="Tahoma"/>
          <w:szCs w:val="20"/>
        </w:rPr>
        <w:t xml:space="preserve">would occur </w:t>
      </w:r>
      <w:r w:rsidR="008814D6" w:rsidRPr="008F1881">
        <w:rPr>
          <w:rFonts w:cs="Tahoma"/>
          <w:szCs w:val="20"/>
        </w:rPr>
        <w:t xml:space="preserve">if existing small lots </w:t>
      </w:r>
      <w:r w:rsidR="005651B7">
        <w:rPr>
          <w:rFonts w:cs="Tahoma"/>
          <w:szCs w:val="20"/>
        </w:rPr>
        <w:t xml:space="preserve">were </w:t>
      </w:r>
      <w:r w:rsidR="008814D6" w:rsidRPr="008F1881">
        <w:rPr>
          <w:rFonts w:cs="Tahoma"/>
          <w:szCs w:val="20"/>
        </w:rPr>
        <w:t xml:space="preserve">developed </w:t>
      </w:r>
      <w:r w:rsidR="005651B7">
        <w:rPr>
          <w:rFonts w:cs="Tahoma"/>
          <w:szCs w:val="20"/>
        </w:rPr>
        <w:t xml:space="preserve">in </w:t>
      </w:r>
      <w:r w:rsidR="008814D6" w:rsidRPr="008F1881">
        <w:rPr>
          <w:rFonts w:cs="Tahoma"/>
          <w:szCs w:val="20"/>
        </w:rPr>
        <w:t>rural areas</w:t>
      </w:r>
      <w:r w:rsidR="005651B7">
        <w:rPr>
          <w:rFonts w:cs="Tahoma"/>
          <w:szCs w:val="20"/>
        </w:rPr>
        <w:t xml:space="preserve">, </w:t>
      </w:r>
      <w:r w:rsidR="008814D6" w:rsidRPr="008F1881">
        <w:rPr>
          <w:rFonts w:cs="Tahoma"/>
          <w:szCs w:val="20"/>
        </w:rPr>
        <w:t>threat</w:t>
      </w:r>
      <w:r w:rsidR="005651B7">
        <w:rPr>
          <w:rFonts w:cs="Tahoma"/>
          <w:szCs w:val="20"/>
        </w:rPr>
        <w:t xml:space="preserve">ening </w:t>
      </w:r>
      <w:r w:rsidR="008814D6" w:rsidRPr="008F1881">
        <w:rPr>
          <w:rFonts w:cs="Tahoma"/>
          <w:szCs w:val="20"/>
        </w:rPr>
        <w:t xml:space="preserve">continued agricultural production. Areas </w:t>
      </w:r>
      <w:r w:rsidR="005651B7">
        <w:rPr>
          <w:rFonts w:cs="Tahoma"/>
          <w:szCs w:val="20"/>
        </w:rPr>
        <w:t xml:space="preserve">of the </w:t>
      </w:r>
      <w:r w:rsidR="005651B7" w:rsidRPr="008F1881">
        <w:rPr>
          <w:rFonts w:cs="Tahoma"/>
          <w:szCs w:val="20"/>
        </w:rPr>
        <w:t xml:space="preserve">Moorabool Shire </w:t>
      </w:r>
      <w:r w:rsidR="005651B7">
        <w:rPr>
          <w:rFonts w:cs="Tahoma"/>
          <w:szCs w:val="20"/>
        </w:rPr>
        <w:t xml:space="preserve">were </w:t>
      </w:r>
      <w:r w:rsidR="008814D6" w:rsidRPr="008F1881">
        <w:rPr>
          <w:rFonts w:cs="Tahoma"/>
          <w:szCs w:val="20"/>
        </w:rPr>
        <w:t xml:space="preserve">identified as critically affected by this </w:t>
      </w:r>
      <w:r w:rsidR="005651B7">
        <w:rPr>
          <w:rFonts w:cs="Tahoma"/>
          <w:szCs w:val="20"/>
        </w:rPr>
        <w:t>trend</w:t>
      </w:r>
      <w:r w:rsidR="008814D6" w:rsidRPr="008F1881">
        <w:rPr>
          <w:rFonts w:cs="Tahoma"/>
          <w:szCs w:val="20"/>
        </w:rPr>
        <w:t>, including in the vicinity of Bacchus Marsh.</w:t>
      </w:r>
    </w:p>
    <w:p w:rsidR="00B055FA" w:rsidRPr="008F1881" w:rsidRDefault="00B055FA" w:rsidP="001F66D6">
      <w:pPr>
        <w:pStyle w:val="bt"/>
        <w:spacing w:before="120" w:after="120"/>
        <w:rPr>
          <w:rFonts w:cs="Tahoma"/>
          <w:szCs w:val="20"/>
        </w:rPr>
      </w:pPr>
      <w:r w:rsidRPr="008F1881">
        <w:rPr>
          <w:rFonts w:cs="Tahoma"/>
          <w:szCs w:val="20"/>
        </w:rPr>
        <w:t xml:space="preserve">The development pressures within some highly valued landscapes need to be carefully managed </w:t>
      </w:r>
      <w:r w:rsidR="00A07328">
        <w:rPr>
          <w:rFonts w:cs="Tahoma"/>
          <w:szCs w:val="20"/>
        </w:rPr>
        <w:t xml:space="preserve">to ensure </w:t>
      </w:r>
      <w:r w:rsidRPr="008F1881">
        <w:rPr>
          <w:rFonts w:cs="Tahoma"/>
          <w:szCs w:val="20"/>
        </w:rPr>
        <w:t>they do not detract from the landscape values that have attracted people to these areas</w:t>
      </w:r>
      <w:r w:rsidR="001305A8">
        <w:rPr>
          <w:rFonts w:cs="Tahoma"/>
          <w:szCs w:val="20"/>
        </w:rPr>
        <w:t>,</w:t>
      </w:r>
      <w:r w:rsidR="00A07328">
        <w:rPr>
          <w:rFonts w:cs="Tahoma"/>
          <w:szCs w:val="20"/>
        </w:rPr>
        <w:t xml:space="preserve"> </w:t>
      </w:r>
      <w:r w:rsidR="00D76CBA" w:rsidRPr="008F1881">
        <w:t>along with other assets in these same areas, such as water supply catchments, public land and terrestrial habitat.</w:t>
      </w:r>
    </w:p>
    <w:p w:rsidR="00A85B42" w:rsidRDefault="00CE694F" w:rsidP="001F66D6">
      <w:pPr>
        <w:pStyle w:val="bt"/>
        <w:spacing w:before="120" w:after="120"/>
        <w:rPr>
          <w:rFonts w:cs="Tahoma"/>
          <w:szCs w:val="20"/>
        </w:rPr>
      </w:pPr>
      <w:r w:rsidRPr="008F1881">
        <w:rPr>
          <w:rFonts w:cs="Tahoma"/>
          <w:szCs w:val="20"/>
        </w:rPr>
        <w:t xml:space="preserve">Consultation during the development of the </w:t>
      </w:r>
      <w:r w:rsidR="00F37D25">
        <w:rPr>
          <w:rFonts w:cs="Tahoma"/>
          <w:szCs w:val="20"/>
        </w:rPr>
        <w:t>plan</w:t>
      </w:r>
      <w:r w:rsidRPr="008F1881">
        <w:rPr>
          <w:rFonts w:cs="Tahoma"/>
          <w:szCs w:val="20"/>
        </w:rPr>
        <w:t xml:space="preserve"> identified land between Bacchus Marsh and Ballarat as an area where there is significant competition between land uses, particularly rural residential development, urban expansion and agriculture, which has the potential to permanently alienate high versatility land from agriculture and impact on significant landscape values. The</w:t>
      </w:r>
      <w:r w:rsidR="00713C97" w:rsidRPr="008F1881">
        <w:rPr>
          <w:rFonts w:cs="Tahoma"/>
          <w:szCs w:val="20"/>
        </w:rPr>
        <w:t xml:space="preserve">re will be a need for careful planning at a local level to ensure regionally significant </w:t>
      </w:r>
      <w:r w:rsidR="007240CE" w:rsidRPr="008F1881">
        <w:rPr>
          <w:rFonts w:cs="Tahoma"/>
          <w:szCs w:val="20"/>
        </w:rPr>
        <w:t>assets</w:t>
      </w:r>
      <w:r w:rsidR="007240CE">
        <w:rPr>
          <w:rFonts w:cs="Tahoma"/>
          <w:szCs w:val="20"/>
        </w:rPr>
        <w:t xml:space="preserve"> ar</w:t>
      </w:r>
      <w:r w:rsidR="00250A85">
        <w:rPr>
          <w:rFonts w:cs="Tahoma"/>
          <w:szCs w:val="20"/>
        </w:rPr>
        <w:t>e protected.</w:t>
      </w:r>
    </w:p>
    <w:p w:rsidR="008F1881" w:rsidRPr="005B01F7" w:rsidRDefault="009F09AE" w:rsidP="00AA52EF">
      <w:pPr>
        <w:pStyle w:val="Heading3"/>
        <w:spacing w:before="120"/>
      </w:pPr>
      <w:bookmarkStart w:id="427" w:name="_Toc349557984"/>
      <w:bookmarkStart w:id="428" w:name="_Toc349558095"/>
      <w:bookmarkStart w:id="429" w:name="_Toc349558206"/>
      <w:bookmarkStart w:id="430" w:name="_Toc349558655"/>
      <w:bookmarkStart w:id="431" w:name="_Toc349557985"/>
      <w:bookmarkStart w:id="432" w:name="_Toc349558096"/>
      <w:bookmarkStart w:id="433" w:name="_Toc349558207"/>
      <w:bookmarkStart w:id="434" w:name="_Toc349558656"/>
      <w:bookmarkStart w:id="435" w:name="_Toc349557986"/>
      <w:bookmarkStart w:id="436" w:name="_Toc349558097"/>
      <w:bookmarkStart w:id="437" w:name="_Toc349558208"/>
      <w:bookmarkStart w:id="438" w:name="_Toc349558657"/>
      <w:bookmarkEnd w:id="427"/>
      <w:bookmarkEnd w:id="428"/>
      <w:bookmarkEnd w:id="429"/>
      <w:bookmarkEnd w:id="430"/>
      <w:bookmarkEnd w:id="431"/>
      <w:bookmarkEnd w:id="432"/>
      <w:bookmarkEnd w:id="433"/>
      <w:bookmarkEnd w:id="434"/>
      <w:bookmarkEnd w:id="435"/>
      <w:bookmarkEnd w:id="436"/>
      <w:bookmarkEnd w:id="437"/>
      <w:bookmarkEnd w:id="438"/>
      <w:r w:rsidRPr="005B01F7">
        <w:t xml:space="preserve">Land </w:t>
      </w:r>
      <w:r w:rsidR="00661931" w:rsidRPr="005B01F7">
        <w:t>use planning response</w:t>
      </w:r>
    </w:p>
    <w:p w:rsidR="00645016" w:rsidRPr="008F1881" w:rsidRDefault="00645016" w:rsidP="001F66D6">
      <w:pPr>
        <w:pStyle w:val="bt"/>
        <w:spacing w:before="120" w:after="120"/>
      </w:pPr>
      <w:r w:rsidRPr="008F1881">
        <w:t xml:space="preserve">The </w:t>
      </w:r>
      <w:r w:rsidR="00F37D25">
        <w:t>plan</w:t>
      </w:r>
      <w:r w:rsidRPr="008F1881">
        <w:t xml:space="preserve"> recognises the importance of the region’s landscapes as an attractor </w:t>
      </w:r>
      <w:r w:rsidR="00C713E2">
        <w:t>of</w:t>
      </w:r>
      <w:r w:rsidR="00C713E2" w:rsidRPr="008F1881">
        <w:t xml:space="preserve"> </w:t>
      </w:r>
      <w:r w:rsidRPr="008F1881">
        <w:t xml:space="preserve">residents and visitors and as a key contributor to the region’s amenity. The </w:t>
      </w:r>
      <w:r w:rsidRPr="00227110">
        <w:t xml:space="preserve">South West Victoria Landscape Assessment Study </w:t>
      </w:r>
      <w:r w:rsidRPr="008F1881">
        <w:t>identifies landscapes of regional and higher significance.</w:t>
      </w:r>
      <w:r w:rsidR="00EE1443">
        <w:t xml:space="preserve"> The plan supports the implementation of the study’s findings. </w:t>
      </w:r>
    </w:p>
    <w:p w:rsidR="00AE186F" w:rsidRDefault="00713C97" w:rsidP="00AA52EF">
      <w:pPr>
        <w:pStyle w:val="bt"/>
        <w:spacing w:before="120" w:after="120"/>
      </w:pPr>
      <w:r w:rsidRPr="008F1881">
        <w:t xml:space="preserve">The </w:t>
      </w:r>
      <w:r w:rsidR="00F37D25">
        <w:t>plan</w:t>
      </w:r>
      <w:r w:rsidRPr="008F1881">
        <w:t xml:space="preserve"> also seeks to direct settlement into designated locations and avoid ribbon development along transport corridors to help protect the </w:t>
      </w:r>
      <w:r w:rsidR="00A07328">
        <w:t xml:space="preserve">region’s </w:t>
      </w:r>
      <w:r w:rsidRPr="008F1881">
        <w:t xml:space="preserve">rural landscape character. </w:t>
      </w:r>
    </w:p>
    <w:p w:rsidR="00AE186F" w:rsidRDefault="00AE186F">
      <w:pPr>
        <w:spacing w:after="200" w:line="276" w:lineRule="auto"/>
        <w:jc w:val="left"/>
        <w:rPr>
          <w:rFonts w:asciiTheme="minorHAnsi" w:eastAsiaTheme="minorEastAsia" w:hAnsiTheme="minorHAnsi" w:cstheme="minorBidi"/>
        </w:rPr>
      </w:pPr>
      <w:r>
        <w:br w:type="page"/>
      </w:r>
    </w:p>
    <w:p w:rsidR="00B055FA" w:rsidRPr="008F1881" w:rsidRDefault="00B94E1B" w:rsidP="007649C1">
      <w:pPr>
        <w:pStyle w:val="Heading11"/>
      </w:pPr>
      <w:bookmarkStart w:id="439" w:name="_Toc349557990"/>
      <w:bookmarkStart w:id="440" w:name="_Toc349558101"/>
      <w:bookmarkStart w:id="441" w:name="_Toc349558212"/>
      <w:bookmarkStart w:id="442" w:name="_Toc349558661"/>
      <w:bookmarkStart w:id="443" w:name="_Toc349557991"/>
      <w:bookmarkStart w:id="444" w:name="_Toc349558102"/>
      <w:bookmarkStart w:id="445" w:name="_Toc349558213"/>
      <w:bookmarkStart w:id="446" w:name="_Toc349558662"/>
      <w:bookmarkStart w:id="447" w:name="_Toc349557741"/>
      <w:bookmarkStart w:id="448" w:name="_Toc349557993"/>
      <w:bookmarkStart w:id="449" w:name="_Toc349558104"/>
      <w:bookmarkStart w:id="450" w:name="_Toc349558215"/>
      <w:bookmarkStart w:id="451" w:name="_Toc349558664"/>
      <w:bookmarkStart w:id="452" w:name="_Toc349557742"/>
      <w:bookmarkStart w:id="453" w:name="_Ref349558675"/>
      <w:bookmarkStart w:id="454" w:name="_Toc374527622"/>
      <w:bookmarkEnd w:id="439"/>
      <w:bookmarkEnd w:id="440"/>
      <w:bookmarkEnd w:id="441"/>
      <w:bookmarkEnd w:id="442"/>
      <w:bookmarkEnd w:id="443"/>
      <w:bookmarkEnd w:id="444"/>
      <w:bookmarkEnd w:id="445"/>
      <w:bookmarkEnd w:id="446"/>
      <w:bookmarkEnd w:id="447"/>
      <w:bookmarkEnd w:id="448"/>
      <w:bookmarkEnd w:id="449"/>
      <w:bookmarkEnd w:id="450"/>
      <w:bookmarkEnd w:id="451"/>
      <w:r w:rsidRPr="008F1881">
        <w:lastRenderedPageBreak/>
        <w:t xml:space="preserve">Cross </w:t>
      </w:r>
      <w:r w:rsidR="00661931">
        <w:t>r</w:t>
      </w:r>
      <w:r w:rsidR="00661931" w:rsidRPr="008F1881">
        <w:t xml:space="preserve">egional </w:t>
      </w:r>
      <w:bookmarkEnd w:id="452"/>
      <w:bookmarkEnd w:id="453"/>
      <w:r w:rsidR="00661931">
        <w:t>i</w:t>
      </w:r>
      <w:r w:rsidR="00661931" w:rsidRPr="008F1881">
        <w:t>ssues</w:t>
      </w:r>
      <w:bookmarkEnd w:id="454"/>
    </w:p>
    <w:p w:rsidR="008F1881" w:rsidRPr="005B01F7" w:rsidRDefault="009F09AE" w:rsidP="00AA52EF">
      <w:pPr>
        <w:pStyle w:val="Heading2"/>
        <w:spacing w:before="240" w:after="120"/>
      </w:pPr>
      <w:bookmarkStart w:id="455" w:name="_Toc349557743"/>
      <w:bookmarkStart w:id="456" w:name="_Toc374527623"/>
      <w:r w:rsidRPr="005B01F7">
        <w:t>Context</w:t>
      </w:r>
      <w:bookmarkEnd w:id="455"/>
      <w:bookmarkEnd w:id="456"/>
    </w:p>
    <w:p w:rsidR="008F1881" w:rsidRPr="008F1881" w:rsidRDefault="009F09AE" w:rsidP="00250A85">
      <w:pPr>
        <w:pStyle w:val="bt"/>
      </w:pPr>
      <w:r w:rsidRPr="008F1881">
        <w:t xml:space="preserve">The Central Highlands </w:t>
      </w:r>
      <w:r w:rsidR="008506BB">
        <w:t>r</w:t>
      </w:r>
      <w:r w:rsidRPr="008F1881">
        <w:t>egion has strong connections and relationships with all of the surrounding regions. This section discusses some of these cross-regional issues.</w:t>
      </w:r>
    </w:p>
    <w:p w:rsidR="009B777F" w:rsidRPr="00E03E4A" w:rsidRDefault="009B777F" w:rsidP="00E03E4A">
      <w:pPr>
        <w:pStyle w:val="Heading40"/>
      </w:pPr>
      <w:r w:rsidRPr="00E03E4A">
        <w:t xml:space="preserve">Melbourne </w:t>
      </w:r>
      <w:r w:rsidR="00A07328" w:rsidRPr="00E03E4A">
        <w:t>m</w:t>
      </w:r>
      <w:r w:rsidRPr="00E03E4A">
        <w:t xml:space="preserve">etropolitan </w:t>
      </w:r>
      <w:r w:rsidR="00A07328" w:rsidRPr="00E03E4A">
        <w:t>a</w:t>
      </w:r>
      <w:r w:rsidRPr="00E03E4A">
        <w:t xml:space="preserve">rea </w:t>
      </w:r>
    </w:p>
    <w:p w:rsidR="009B777F" w:rsidRPr="008F1881" w:rsidRDefault="009B777F" w:rsidP="00250A85">
      <w:pPr>
        <w:pStyle w:val="bt"/>
      </w:pPr>
      <w:r w:rsidRPr="008F1881">
        <w:t xml:space="preserve">As detailed throughout this background </w:t>
      </w:r>
      <w:r w:rsidR="008506BB">
        <w:t>report</w:t>
      </w:r>
      <w:r w:rsidRPr="008F1881">
        <w:t xml:space="preserve">, the eastern parts of the Central Highlands fall within Melbourne’s peri-urban region and are strongly influenced by Melbourne. The continued westward expansion of Melbourne presents opportunities and challenges for the Central Highlands. The </w:t>
      </w:r>
      <w:r w:rsidR="00A66F11">
        <w:t>new m</w:t>
      </w:r>
      <w:r w:rsidRPr="008F1881">
        <w:t xml:space="preserve">etropolitan </w:t>
      </w:r>
      <w:r w:rsidR="00A66F11">
        <w:t>p</w:t>
      </w:r>
      <w:r w:rsidRPr="008F1881">
        <w:t xml:space="preserve">lanning </w:t>
      </w:r>
      <w:r w:rsidR="00A66F11">
        <w:t>s</w:t>
      </w:r>
      <w:r w:rsidRPr="008F1881">
        <w:t xml:space="preserve">trategy for Melbourne </w:t>
      </w:r>
      <w:r w:rsidR="009E7249" w:rsidRPr="009E7249">
        <w:rPr>
          <w:i/>
        </w:rPr>
        <w:t>Plan Melbourne</w:t>
      </w:r>
      <w:r w:rsidR="00A66F11">
        <w:t xml:space="preserve"> </w:t>
      </w:r>
      <w:r w:rsidRPr="008F1881">
        <w:t>set</w:t>
      </w:r>
      <w:r w:rsidR="00A66F11">
        <w:t>s</w:t>
      </w:r>
      <w:r w:rsidRPr="008F1881">
        <w:t xml:space="preserve"> out future planning strategies for managing Melbourne’s growth.</w:t>
      </w:r>
    </w:p>
    <w:p w:rsidR="008F1881" w:rsidRPr="00E03E4A" w:rsidRDefault="009F09AE" w:rsidP="00E03E4A">
      <w:pPr>
        <w:pStyle w:val="Heading40"/>
      </w:pPr>
      <w:r w:rsidRPr="00E03E4A">
        <w:t xml:space="preserve">Wimmera Southern Mallee </w:t>
      </w:r>
    </w:p>
    <w:p w:rsidR="008F1881" w:rsidRPr="008F1881" w:rsidRDefault="009F09AE" w:rsidP="00250A85">
      <w:pPr>
        <w:pStyle w:val="bt"/>
      </w:pPr>
      <w:r w:rsidRPr="008F1881">
        <w:t xml:space="preserve">The Wimmera Southern Mallee </w:t>
      </w:r>
      <w:r w:rsidR="00926284">
        <w:t xml:space="preserve">region </w:t>
      </w:r>
      <w:r w:rsidRPr="008F1881">
        <w:t xml:space="preserve">has a very close relationship with the Central Highlands </w:t>
      </w:r>
      <w:r w:rsidR="008506BB">
        <w:t>r</w:t>
      </w:r>
      <w:r w:rsidRPr="008F1881">
        <w:t>egion. At the interface between these two regions there is a particularly strong relationship between Ararat and Stawell</w:t>
      </w:r>
      <w:r w:rsidR="00926284">
        <w:t>,</w:t>
      </w:r>
      <w:r w:rsidRPr="008F1881">
        <w:t xml:space="preserve"> and visitors to the Grampians National Park travel through the Central Highlands when travelling from Melbourne. Ballarat provides higher order services to the residents of the Wimmera Southern Mallee</w:t>
      </w:r>
      <w:r w:rsidR="00A775A3">
        <w:t>.</w:t>
      </w:r>
    </w:p>
    <w:p w:rsidR="008F1881" w:rsidRPr="00E03E4A" w:rsidRDefault="009F09AE" w:rsidP="00E03E4A">
      <w:pPr>
        <w:pStyle w:val="Heading40"/>
      </w:pPr>
      <w:r w:rsidRPr="00E03E4A">
        <w:t xml:space="preserve">Loddon Mallee </w:t>
      </w:r>
    </w:p>
    <w:p w:rsidR="008F1881" w:rsidRPr="008F1881" w:rsidRDefault="009F09AE" w:rsidP="00250A85">
      <w:pPr>
        <w:pStyle w:val="bt"/>
      </w:pPr>
      <w:r w:rsidRPr="008F1881">
        <w:t xml:space="preserve">The Loddon Mallee region is divided into north and south sections, with the latter located to the immediate north of the Central Highlands. The Central Goldfields Shire is located within the Loddon Mallee </w:t>
      </w:r>
      <w:r w:rsidR="00522BF5">
        <w:t xml:space="preserve">South </w:t>
      </w:r>
      <w:r w:rsidRPr="008F1881">
        <w:t>region and has a strong relationship with the Central Highlands through connections between Maryborough and Ballarat. Central Goldfields Shire issues</w:t>
      </w:r>
      <w:r w:rsidR="00926284">
        <w:t>,</w:t>
      </w:r>
      <w:r w:rsidRPr="008F1881">
        <w:t xml:space="preserve"> which are also of relevance to the Central Highlands</w:t>
      </w:r>
      <w:r w:rsidR="00926284">
        <w:t>,</w:t>
      </w:r>
      <w:r w:rsidRPr="008F1881">
        <w:t xml:space="preserve"> are identified and discussed in this background </w:t>
      </w:r>
      <w:r w:rsidR="008506BB">
        <w:t>report</w:t>
      </w:r>
      <w:r w:rsidRPr="008F1881">
        <w:t xml:space="preserve">. However, regional planning for the Central Goldfields Shire is covered by the Loddon Mallee South Regional Growth Plan. </w:t>
      </w:r>
      <w:r w:rsidR="00EE2352">
        <w:t>There are also important links between the eastern part of the region, such as around Trentham, and the Calder Highway corridor.</w:t>
      </w:r>
    </w:p>
    <w:p w:rsidR="009B777F" w:rsidRPr="00E03E4A" w:rsidRDefault="00537648" w:rsidP="00E03E4A">
      <w:pPr>
        <w:pStyle w:val="Heading40"/>
      </w:pPr>
      <w:r w:rsidRPr="00E03E4A">
        <w:t>G21 Region</w:t>
      </w:r>
    </w:p>
    <w:p w:rsidR="009B777F" w:rsidRPr="008F1881" w:rsidRDefault="009B777F" w:rsidP="001550D4">
      <w:pPr>
        <w:pStyle w:val="bt"/>
        <w:spacing w:after="0"/>
      </w:pPr>
      <w:r w:rsidRPr="008F1881">
        <w:t>The G21 region</w:t>
      </w:r>
      <w:r w:rsidR="00926284">
        <w:t>,</w:t>
      </w:r>
      <w:r w:rsidRPr="008F1881">
        <w:t xml:space="preserve"> which surrounds Geelong and includes the southern part of the Golden Plains Shire</w:t>
      </w:r>
      <w:r w:rsidR="00926284">
        <w:t>,</w:t>
      </w:r>
      <w:r w:rsidRPr="008F1881">
        <w:t xml:space="preserve"> is located south of the Central Highlands. There are strong connections between this region and the southern parts of the Central Highlands, particular</w:t>
      </w:r>
      <w:r w:rsidR="00EA3D17">
        <w:t>ly</w:t>
      </w:r>
      <w:r w:rsidRPr="008F1881">
        <w:t xml:space="preserve"> from towns such as Meredith and Rokewood.</w:t>
      </w:r>
      <w:r w:rsidR="007974B0" w:rsidRPr="008F1881">
        <w:t xml:space="preserve"> Important infrastructure of cross-regional significance includes the Port of Geelong and Avalon Airport.</w:t>
      </w:r>
      <w:r w:rsidR="00EA3D17">
        <w:t xml:space="preserve"> The G21 Regional Growth Plan has been released and sets out a framework for developing a region of 500,000 people. This includes supporting the ongoing growth of Bannockburn as a </w:t>
      </w:r>
      <w:r w:rsidR="00926284">
        <w:t>d</w:t>
      </w:r>
      <w:r w:rsidR="00EA3D17">
        <w:t xml:space="preserve">istrict </w:t>
      </w:r>
      <w:r w:rsidR="00926284">
        <w:t>t</w:t>
      </w:r>
      <w:r w:rsidR="00EA3D17">
        <w:t>own and identifying areas for further investigation for potential development to the north and west of Geelong.</w:t>
      </w:r>
    </w:p>
    <w:p w:rsidR="008F1881" w:rsidRPr="00E03E4A" w:rsidRDefault="009F09AE" w:rsidP="00E03E4A">
      <w:pPr>
        <w:pStyle w:val="Heading40"/>
      </w:pPr>
      <w:r w:rsidRPr="00E03E4A">
        <w:t>Gre</w:t>
      </w:r>
      <w:r w:rsidR="00537648" w:rsidRPr="00E03E4A">
        <w:t>at South Coast (Green Triangle)</w:t>
      </w:r>
    </w:p>
    <w:p w:rsidR="008F1881" w:rsidRPr="008F1881" w:rsidRDefault="009F09AE" w:rsidP="00250A85">
      <w:pPr>
        <w:pStyle w:val="bt"/>
      </w:pPr>
      <w:r w:rsidRPr="008F1881">
        <w:t>The Great South Coast region is located to the south</w:t>
      </w:r>
      <w:r w:rsidR="00926284">
        <w:t>-</w:t>
      </w:r>
      <w:r w:rsidRPr="008F1881">
        <w:t>west of the Central Highlands. This region is particularly important for freight movement given that agricultural produce is transported from the Central Highlands to the Port of Portland for export.</w:t>
      </w:r>
      <w:r w:rsidR="007974B0" w:rsidRPr="008F1881">
        <w:t xml:space="preserve"> There are also tourism links through the Grampians National Park </w:t>
      </w:r>
      <w:r w:rsidR="00926284">
        <w:t xml:space="preserve">towards </w:t>
      </w:r>
      <w:r w:rsidR="007974B0" w:rsidRPr="008F1881">
        <w:t>Warrnambool and the coast. Skipton has close connections to other towns on the Glenelg Highway corridor which are largel</w:t>
      </w:r>
      <w:r w:rsidR="00250A85">
        <w:t>y within the Central Highlands.</w:t>
      </w:r>
    </w:p>
    <w:p w:rsidR="008F1881" w:rsidRPr="005B01F7" w:rsidRDefault="009F09AE" w:rsidP="00AA52EF">
      <w:pPr>
        <w:pStyle w:val="Heading3"/>
        <w:spacing w:before="120"/>
      </w:pPr>
      <w:r w:rsidRPr="005B01F7">
        <w:t xml:space="preserve">Land use planning response </w:t>
      </w:r>
    </w:p>
    <w:p w:rsidR="00B055FA" w:rsidRPr="008F1881" w:rsidRDefault="009533DE" w:rsidP="00250A85">
      <w:pPr>
        <w:pStyle w:val="bt"/>
      </w:pPr>
      <w:r>
        <w:t xml:space="preserve">The </w:t>
      </w:r>
      <w:r w:rsidR="00F37D25">
        <w:t>plan</w:t>
      </w:r>
      <w:r>
        <w:t xml:space="preserve"> recognises the need to capitalise on its links to surrounding regions and cities and in particular identifies important cross-regional relationships, such as those referred to above.</w:t>
      </w:r>
    </w:p>
    <w:p w:rsidR="00B055FA" w:rsidRPr="005B01F7" w:rsidRDefault="00B055FA" w:rsidP="00AA52EF">
      <w:pPr>
        <w:pStyle w:val="Heading1"/>
      </w:pPr>
      <w:bookmarkStart w:id="457" w:name="_Toc300065566"/>
      <w:bookmarkStart w:id="458" w:name="_Toc349557744"/>
      <w:bookmarkStart w:id="459" w:name="_Toc374527624"/>
      <w:r w:rsidRPr="005B01F7">
        <w:lastRenderedPageBreak/>
        <w:t>References</w:t>
      </w:r>
      <w:bookmarkEnd w:id="457"/>
      <w:bookmarkEnd w:id="458"/>
      <w:bookmarkEnd w:id="459"/>
    </w:p>
    <w:p w:rsidR="00C820C0" w:rsidRDefault="00E20E43">
      <w:pPr>
        <w:pStyle w:val="ListBullet"/>
        <w:numPr>
          <w:ilvl w:val="0"/>
          <w:numId w:val="22"/>
        </w:numPr>
      </w:pPr>
      <w:r>
        <w:t xml:space="preserve">Access Economics (2011) </w:t>
      </w:r>
      <w:r w:rsidRPr="006B6D07">
        <w:t>Victorian Regional Economic Outlook</w:t>
      </w:r>
    </w:p>
    <w:p w:rsidR="00C820C0" w:rsidRDefault="00E20E43">
      <w:pPr>
        <w:pStyle w:val="ListBullet"/>
        <w:numPr>
          <w:ilvl w:val="0"/>
          <w:numId w:val="22"/>
        </w:numPr>
      </w:pPr>
      <w:r w:rsidRPr="005E2197">
        <w:t>AECOM (2011) Central Highlands Regional Transport Strategy</w:t>
      </w:r>
    </w:p>
    <w:p w:rsidR="00C820C0" w:rsidRDefault="00E20E43">
      <w:pPr>
        <w:pStyle w:val="ListBullet"/>
        <w:numPr>
          <w:ilvl w:val="0"/>
          <w:numId w:val="22"/>
        </w:numPr>
        <w:rPr>
          <w:bCs/>
        </w:rPr>
      </w:pPr>
      <w:r w:rsidRPr="00A31D35">
        <w:rPr>
          <w:bCs/>
        </w:rPr>
        <w:t>Australian Bureau of Statistics, Census of population and housing</w:t>
      </w:r>
      <w:r>
        <w:rPr>
          <w:bCs/>
        </w:rPr>
        <w:t xml:space="preserve"> 2011, </w:t>
      </w:r>
      <w:r w:rsidR="000D49BF">
        <w:rPr>
          <w:bCs/>
        </w:rPr>
        <w:t>Australian Bureau of Statistics</w:t>
      </w:r>
      <w:r>
        <w:rPr>
          <w:bCs/>
        </w:rPr>
        <w:t>, Canberra</w:t>
      </w:r>
    </w:p>
    <w:p w:rsidR="00C820C0" w:rsidRDefault="00E20E43">
      <w:pPr>
        <w:pStyle w:val="ListBullet"/>
        <w:numPr>
          <w:ilvl w:val="0"/>
          <w:numId w:val="22"/>
        </w:numPr>
        <w:rPr>
          <w:bCs/>
        </w:rPr>
      </w:pPr>
      <w:r>
        <w:rPr>
          <w:bCs/>
        </w:rPr>
        <w:t>Australian Government Department of Infrastructure and Transport (2009) Aviation White Paper</w:t>
      </w:r>
    </w:p>
    <w:p w:rsidR="00C820C0" w:rsidRDefault="00E20E43">
      <w:pPr>
        <w:pStyle w:val="ListBullet"/>
        <w:numPr>
          <w:ilvl w:val="0"/>
          <w:numId w:val="22"/>
        </w:numPr>
        <w:rPr>
          <w:b/>
          <w:bCs/>
        </w:rPr>
      </w:pPr>
      <w:r w:rsidRPr="005E2197">
        <w:t>Australian Government Department of Resources, Energy and Tourism (2011) The economic importance of tourism in Australia’s regions, Tourism Research Australia</w:t>
      </w:r>
    </w:p>
    <w:p w:rsidR="00C820C0" w:rsidRDefault="00E20E43">
      <w:pPr>
        <w:pStyle w:val="ListBullet"/>
        <w:numPr>
          <w:ilvl w:val="0"/>
          <w:numId w:val="22"/>
        </w:numPr>
      </w:pPr>
      <w:r w:rsidRPr="005E2197">
        <w:t>Australian Government Department of Resources, Energy and Tourism (2008) Tourism Profiles for Local government Areas in regional Australia, Tourism Research Australia</w:t>
      </w:r>
    </w:p>
    <w:p w:rsidR="00C820C0" w:rsidRDefault="00E20E43">
      <w:pPr>
        <w:pStyle w:val="ListBullet"/>
        <w:numPr>
          <w:ilvl w:val="0"/>
          <w:numId w:val="22"/>
        </w:numPr>
      </w:pPr>
      <w:r>
        <w:t>Australian Housing and Urban Research Institute (2005) Why Low-income Households Move: The Search for Affordable Housing and employment</w:t>
      </w:r>
    </w:p>
    <w:p w:rsidR="00C820C0" w:rsidRDefault="00E20E43">
      <w:pPr>
        <w:pStyle w:val="ListBullet"/>
        <w:numPr>
          <w:ilvl w:val="0"/>
          <w:numId w:val="22"/>
        </w:numPr>
      </w:pPr>
      <w:r w:rsidRPr="005E2197">
        <w:t>Barr, N. (2009) The House on the Hill, Land and Water Australia</w:t>
      </w:r>
    </w:p>
    <w:p w:rsidR="00C820C0" w:rsidRDefault="00E20E43">
      <w:pPr>
        <w:pStyle w:val="ListBullet"/>
        <w:numPr>
          <w:ilvl w:val="0"/>
          <w:numId w:val="22"/>
        </w:numPr>
      </w:pPr>
      <w:r w:rsidRPr="005E2197">
        <w:t>Buxton, M. et al (2011) Scenario Planning for Melbourne’s Peri-urban Region, RMIT</w:t>
      </w:r>
    </w:p>
    <w:p w:rsidR="00C820C0" w:rsidRDefault="00E20E43">
      <w:pPr>
        <w:pStyle w:val="ListBullet"/>
        <w:numPr>
          <w:ilvl w:val="0"/>
          <w:numId w:val="22"/>
        </w:numPr>
      </w:pPr>
      <w:r>
        <w:t xml:space="preserve">Central Victorian Livestock Exchange (2013) Website </w:t>
      </w:r>
      <w:hyperlink r:id="rId65" w:history="1">
        <w:r w:rsidRPr="00180037">
          <w:rPr>
            <w:rStyle w:val="Hyperlink"/>
            <w:rFonts w:cs="Tahoma"/>
            <w:szCs w:val="20"/>
          </w:rPr>
          <w:t>http://www.cvlx.com.au/</w:t>
        </w:r>
      </w:hyperlink>
    </w:p>
    <w:p w:rsidR="00C820C0" w:rsidRDefault="00E20E43">
      <w:pPr>
        <w:pStyle w:val="ListBullet"/>
        <w:numPr>
          <w:ilvl w:val="0"/>
          <w:numId w:val="22"/>
        </w:numPr>
      </w:pPr>
      <w:r>
        <w:t xml:space="preserve">Comrie, N. (2011) </w:t>
      </w:r>
      <w:r w:rsidRPr="006B6D07">
        <w:t>Review of the 2010-11 Flood Warnings and Response</w:t>
      </w:r>
    </w:p>
    <w:p w:rsidR="00C820C0" w:rsidRDefault="00E20E43">
      <w:pPr>
        <w:pStyle w:val="ListBullet"/>
        <w:numPr>
          <w:ilvl w:val="0"/>
          <w:numId w:val="22"/>
        </w:numPr>
      </w:pPr>
      <w:r>
        <w:t>Corangamite Catchment Management Authority (</w:t>
      </w:r>
      <w:r w:rsidR="008C5713">
        <w:t>2013</w:t>
      </w:r>
      <w:r>
        <w:t xml:space="preserve">) </w:t>
      </w:r>
      <w:r w:rsidRPr="006B6D07">
        <w:t>Corang</w:t>
      </w:r>
      <w:r>
        <w:t>a</w:t>
      </w:r>
      <w:r w:rsidRPr="006B6D07">
        <w:t>mite Regional Catchment Strategy</w:t>
      </w:r>
      <w:r w:rsidR="008C5713">
        <w:t xml:space="preserve"> 2013-2019</w:t>
      </w:r>
    </w:p>
    <w:p w:rsidR="00C820C0" w:rsidRDefault="00E20E43">
      <w:pPr>
        <w:pStyle w:val="ListBullet"/>
        <w:numPr>
          <w:ilvl w:val="0"/>
          <w:numId w:val="22"/>
        </w:numPr>
      </w:pPr>
      <w:r w:rsidRPr="005E2197">
        <w:t>CPG Australia (2009) Ballarat Review of Future Industrial Areas</w:t>
      </w:r>
    </w:p>
    <w:p w:rsidR="00531F4A" w:rsidRDefault="00E20E43">
      <w:pPr>
        <w:pStyle w:val="ListBullet"/>
        <w:numPr>
          <w:ilvl w:val="0"/>
          <w:numId w:val="22"/>
        </w:numPr>
        <w:rPr>
          <w:color w:val="000000"/>
        </w:rPr>
      </w:pPr>
      <w:r>
        <w:rPr>
          <w:color w:val="000000"/>
        </w:rPr>
        <w:t>Department of Health</w:t>
      </w:r>
      <w:r w:rsidRPr="005E2197">
        <w:rPr>
          <w:color w:val="000000"/>
        </w:rPr>
        <w:t xml:space="preserve"> (2009) The Grampians Closing the Gap Health Plan (2009-2013)</w:t>
      </w:r>
    </w:p>
    <w:p w:rsidR="00C820C0" w:rsidRDefault="00E20E43">
      <w:pPr>
        <w:pStyle w:val="ListBullet"/>
        <w:numPr>
          <w:ilvl w:val="0"/>
          <w:numId w:val="22"/>
        </w:numPr>
        <w:rPr>
          <w:color w:val="000000"/>
        </w:rPr>
      </w:pPr>
      <w:r>
        <w:rPr>
          <w:color w:val="000000"/>
        </w:rPr>
        <w:t>Department of Health</w:t>
      </w:r>
      <w:r w:rsidRPr="00F7689E">
        <w:rPr>
          <w:color w:val="000000"/>
        </w:rPr>
        <w:t xml:space="preserve"> (2009) Urban Design and Health: A Guide to Relevant Resources for Planning</w:t>
      </w:r>
      <w:r w:rsidR="0075334F">
        <w:rPr>
          <w:color w:val="000000"/>
        </w:rPr>
        <w:t xml:space="preserve"> </w:t>
      </w:r>
      <w:r>
        <w:rPr>
          <w:color w:val="000000"/>
        </w:rPr>
        <w:t>Department of Health</w:t>
      </w:r>
      <w:r w:rsidRPr="00F7689E">
        <w:rPr>
          <w:color w:val="000000"/>
        </w:rPr>
        <w:t xml:space="preserve"> (2010a) Local Government area statistical profiles: Grampians Region</w:t>
      </w:r>
    </w:p>
    <w:p w:rsidR="00C820C0" w:rsidRDefault="00E20E43">
      <w:pPr>
        <w:pStyle w:val="ListBullet"/>
        <w:numPr>
          <w:ilvl w:val="0"/>
          <w:numId w:val="22"/>
        </w:numPr>
        <w:rPr>
          <w:color w:val="000000"/>
        </w:rPr>
      </w:pPr>
      <w:r>
        <w:rPr>
          <w:color w:val="000000"/>
        </w:rPr>
        <w:t>Department of Health</w:t>
      </w:r>
      <w:r w:rsidRPr="00F7689E">
        <w:rPr>
          <w:color w:val="000000"/>
        </w:rPr>
        <w:t xml:space="preserve"> (2010b) Victorian Aboriginal Hospital Data 2007-2008 to 2008-2009 Koori Heal</w:t>
      </w:r>
      <w:r w:rsidRPr="005E2197">
        <w:rPr>
          <w:color w:val="000000"/>
        </w:rPr>
        <w:t>th Counts</w:t>
      </w:r>
    </w:p>
    <w:p w:rsidR="00C820C0" w:rsidRDefault="00E20E43">
      <w:pPr>
        <w:pStyle w:val="ListBullet"/>
        <w:numPr>
          <w:ilvl w:val="0"/>
          <w:numId w:val="22"/>
        </w:numPr>
      </w:pPr>
      <w:r>
        <w:t>Department of Health</w:t>
      </w:r>
      <w:r w:rsidRPr="005E2197">
        <w:t xml:space="preserve"> (2011) Victorian Public Health and Wellbeing Plan 2011-2015. </w:t>
      </w:r>
    </w:p>
    <w:p w:rsidR="00C820C0" w:rsidRDefault="00E20E43">
      <w:pPr>
        <w:pStyle w:val="ListBullet"/>
        <w:numPr>
          <w:ilvl w:val="0"/>
          <w:numId w:val="22"/>
        </w:numPr>
      </w:pPr>
      <w:r>
        <w:t>Department of Health Services (2009) Local Government Area Statistical Profiles</w:t>
      </w:r>
    </w:p>
    <w:p w:rsidR="00C820C0" w:rsidRDefault="00E20E43">
      <w:pPr>
        <w:pStyle w:val="ListBullet"/>
        <w:numPr>
          <w:ilvl w:val="0"/>
          <w:numId w:val="22"/>
        </w:numPr>
      </w:pPr>
      <w:r>
        <w:t>Department of Planning and Community Development (20</w:t>
      </w:r>
      <w:r w:rsidR="00994898">
        <w:t>13</w:t>
      </w:r>
      <w:r>
        <w:t xml:space="preserve">) </w:t>
      </w:r>
      <w:r w:rsidRPr="006B6D07">
        <w:t>Towns in Time</w:t>
      </w:r>
    </w:p>
    <w:p w:rsidR="00C820C0" w:rsidRDefault="00E20E43">
      <w:pPr>
        <w:pStyle w:val="ListBullet"/>
        <w:numPr>
          <w:ilvl w:val="0"/>
          <w:numId w:val="22"/>
        </w:numPr>
        <w:rPr>
          <w:color w:val="000000"/>
        </w:rPr>
      </w:pPr>
      <w:r>
        <w:rPr>
          <w:color w:val="000000"/>
        </w:rPr>
        <w:t xml:space="preserve">Department of Planning and Community Development (2011) </w:t>
      </w:r>
      <w:r w:rsidRPr="006B6D07">
        <w:rPr>
          <w:color w:val="000000"/>
        </w:rPr>
        <w:t>Change and Disadvantage in Regional Victoria: an overview May 2011</w:t>
      </w:r>
    </w:p>
    <w:p w:rsidR="00C820C0" w:rsidRDefault="00E20E43">
      <w:pPr>
        <w:pStyle w:val="ListBullet"/>
        <w:numPr>
          <w:ilvl w:val="0"/>
          <w:numId w:val="22"/>
        </w:numPr>
        <w:rPr>
          <w:color w:val="000000"/>
        </w:rPr>
      </w:pPr>
      <w:r>
        <w:t>Department of Planning and Community Development</w:t>
      </w:r>
      <w:r w:rsidRPr="00171DCC">
        <w:t xml:space="preserve"> (2011)</w:t>
      </w:r>
      <w:r w:rsidRPr="005E2197">
        <w:rPr>
          <w:color w:val="000000"/>
        </w:rPr>
        <w:t xml:space="preserve"> Change and Disadvantage in the Grampians Region, Victoria</w:t>
      </w:r>
    </w:p>
    <w:p w:rsidR="00C820C0" w:rsidRDefault="00E20E43">
      <w:pPr>
        <w:pStyle w:val="ListBullet"/>
        <w:numPr>
          <w:ilvl w:val="0"/>
          <w:numId w:val="22"/>
        </w:numPr>
        <w:rPr>
          <w:color w:val="000000"/>
        </w:rPr>
      </w:pPr>
      <w:r>
        <w:rPr>
          <w:color w:val="000000"/>
        </w:rPr>
        <w:t xml:space="preserve">Department of Planning and Community Development (2012) </w:t>
      </w:r>
      <w:r w:rsidRPr="00275017">
        <w:rPr>
          <w:color w:val="000000"/>
        </w:rPr>
        <w:t>Central Highlands Region Economic Profile and Outlook</w:t>
      </w:r>
    </w:p>
    <w:p w:rsidR="00C820C0" w:rsidRDefault="00E20E43">
      <w:pPr>
        <w:pStyle w:val="ListBullet"/>
        <w:numPr>
          <w:ilvl w:val="0"/>
          <w:numId w:val="22"/>
        </w:numPr>
        <w:rPr>
          <w:color w:val="000000"/>
        </w:rPr>
      </w:pPr>
      <w:r>
        <w:t xml:space="preserve">Department of Planning and Community Development (2012) </w:t>
      </w:r>
      <w:r w:rsidRPr="006B6D07">
        <w:t>Regional Bushfire Planning Assessments</w:t>
      </w:r>
    </w:p>
    <w:p w:rsidR="00C820C0" w:rsidRDefault="00E20E43">
      <w:pPr>
        <w:pStyle w:val="ListBullet"/>
        <w:numPr>
          <w:ilvl w:val="0"/>
          <w:numId w:val="22"/>
        </w:numPr>
        <w:rPr>
          <w:color w:val="000000"/>
        </w:rPr>
      </w:pPr>
      <w:r>
        <w:t xml:space="preserve">Department of Planning and Community Development (2012) </w:t>
      </w:r>
      <w:r w:rsidRPr="006B6D07">
        <w:t>The Metropolitan Planning Strategy – Melbourne – Let</w:t>
      </w:r>
      <w:r>
        <w:t>’</w:t>
      </w:r>
      <w:r w:rsidRPr="006B6D07">
        <w:t>s Talk About the Future</w:t>
      </w:r>
      <w:r>
        <w:t>.</w:t>
      </w:r>
    </w:p>
    <w:p w:rsidR="00C820C0" w:rsidRDefault="00E20E43">
      <w:pPr>
        <w:pStyle w:val="ListBullet"/>
        <w:numPr>
          <w:ilvl w:val="0"/>
          <w:numId w:val="22"/>
        </w:numPr>
        <w:rPr>
          <w:color w:val="000000"/>
        </w:rPr>
      </w:pPr>
      <w:r>
        <w:rPr>
          <w:color w:val="000000"/>
        </w:rPr>
        <w:t>Department of Planning and Community Development (2012</w:t>
      </w:r>
      <w:r w:rsidRPr="005E2197">
        <w:rPr>
          <w:color w:val="000000"/>
        </w:rPr>
        <w:t>) Victoria in Future</w:t>
      </w:r>
    </w:p>
    <w:p w:rsidR="00C820C0" w:rsidRDefault="00E20E43">
      <w:pPr>
        <w:pStyle w:val="ListBullet"/>
        <w:numPr>
          <w:ilvl w:val="0"/>
          <w:numId w:val="22"/>
        </w:numPr>
      </w:pPr>
      <w:r>
        <w:t xml:space="preserve">Department of </w:t>
      </w:r>
      <w:r w:rsidR="00531F4A">
        <w:t xml:space="preserve">Transport, </w:t>
      </w:r>
      <w:r>
        <w:t xml:space="preserve">Planning and </w:t>
      </w:r>
      <w:r w:rsidR="00531F4A">
        <w:t xml:space="preserve">Local Infrastructure </w:t>
      </w:r>
      <w:r>
        <w:t>and Planisphere (2013) South West Victoria Landscape Assessment Study</w:t>
      </w:r>
    </w:p>
    <w:p w:rsidR="00C820C0" w:rsidRDefault="00E20E43">
      <w:pPr>
        <w:pStyle w:val="ListBullet"/>
        <w:numPr>
          <w:ilvl w:val="0"/>
          <w:numId w:val="22"/>
        </w:numPr>
      </w:pPr>
      <w:r w:rsidRPr="005E2197">
        <w:t>Department of Primary Industries (2006) Land Suitability Analysis of the Shire of Moorabool</w:t>
      </w:r>
    </w:p>
    <w:p w:rsidR="00C820C0" w:rsidRDefault="00E20E43">
      <w:pPr>
        <w:pStyle w:val="ListBullet"/>
        <w:numPr>
          <w:ilvl w:val="0"/>
          <w:numId w:val="22"/>
        </w:numPr>
      </w:pPr>
      <w:r w:rsidRPr="006B6D07">
        <w:t>Department of Primary Industries</w:t>
      </w:r>
      <w:r>
        <w:t xml:space="preserve"> (2008) </w:t>
      </w:r>
      <w:r w:rsidRPr="006B6D07">
        <w:t>Improving Rural Land Use Report: Future Farming Strategy</w:t>
      </w:r>
    </w:p>
    <w:p w:rsidR="00531F4A" w:rsidRDefault="00E20E43">
      <w:pPr>
        <w:pStyle w:val="ListBullet"/>
        <w:numPr>
          <w:ilvl w:val="0"/>
          <w:numId w:val="22"/>
        </w:numPr>
      </w:pPr>
      <w:r w:rsidRPr="00D06A85">
        <w:t>Department of Primary Industries (2013)</w:t>
      </w:r>
      <w:r>
        <w:t xml:space="preserve"> </w:t>
      </w:r>
      <w:r w:rsidRPr="00D06A85">
        <w:t>Website - Central Highlands Region Overview</w:t>
      </w:r>
      <w:r>
        <w:t xml:space="preserve"> </w:t>
      </w:r>
      <w:hyperlink r:id="rId66" w:history="1">
        <w:r w:rsidR="00531F4A" w:rsidRPr="0065029D">
          <w:rPr>
            <w:rStyle w:val="Hyperlink"/>
            <w:rFonts w:cstheme="minorBidi"/>
          </w:rPr>
          <w:t>http://www.dpi.vic.gov.au/agriculture/investment-trade/region-overviews/central-highlands</w:t>
        </w:r>
      </w:hyperlink>
    </w:p>
    <w:p w:rsidR="00C820C0" w:rsidRDefault="00E20E43">
      <w:pPr>
        <w:pStyle w:val="ListBullet"/>
        <w:numPr>
          <w:ilvl w:val="0"/>
          <w:numId w:val="22"/>
        </w:numPr>
      </w:pPr>
      <w:r>
        <w:t xml:space="preserve">Department of Sustainability and Environment (2013) Website - </w:t>
      </w:r>
      <w:r w:rsidRPr="00F7689E">
        <w:t>Understanding climate change</w:t>
      </w:r>
    </w:p>
    <w:p w:rsidR="00C820C0" w:rsidRDefault="00E20E43">
      <w:pPr>
        <w:pStyle w:val="ListBullet"/>
        <w:numPr>
          <w:ilvl w:val="0"/>
          <w:numId w:val="22"/>
        </w:numPr>
      </w:pPr>
      <w:r w:rsidRPr="005E2197">
        <w:t>Department of Sustainability and Environment (2006), Sustainable Water Strategy Central Region: Action to 2055</w:t>
      </w:r>
    </w:p>
    <w:p w:rsidR="00C820C0" w:rsidRDefault="00E20E43">
      <w:pPr>
        <w:pStyle w:val="ListBullet"/>
        <w:numPr>
          <w:ilvl w:val="0"/>
          <w:numId w:val="22"/>
        </w:numPr>
      </w:pPr>
      <w:r w:rsidRPr="005E2197">
        <w:lastRenderedPageBreak/>
        <w:t>Department of Sustainability and Environment (2008), Climate Change in Victoria: 2008 Summary</w:t>
      </w:r>
    </w:p>
    <w:p w:rsidR="00C820C0" w:rsidRDefault="00E20E43">
      <w:pPr>
        <w:pStyle w:val="ListBullet"/>
        <w:numPr>
          <w:ilvl w:val="0"/>
          <w:numId w:val="22"/>
        </w:numPr>
      </w:pPr>
      <w:r>
        <w:t xml:space="preserve">Department of Sustainability and Environment (2009) </w:t>
      </w:r>
      <w:r w:rsidRPr="00F7689E">
        <w:t>Northern Region Sustainable Water Strategy</w:t>
      </w:r>
    </w:p>
    <w:p w:rsidR="00C820C0" w:rsidRDefault="00E20E43">
      <w:pPr>
        <w:pStyle w:val="ListBullet"/>
        <w:numPr>
          <w:ilvl w:val="0"/>
          <w:numId w:val="22"/>
        </w:numPr>
      </w:pPr>
      <w:r w:rsidRPr="005E2197">
        <w:t>Department of Sustainability and Environment (2011) Western Region Sustainable Water Strategy</w:t>
      </w:r>
    </w:p>
    <w:p w:rsidR="00C820C0" w:rsidRDefault="00E20E43">
      <w:pPr>
        <w:pStyle w:val="ListBullet"/>
        <w:numPr>
          <w:ilvl w:val="0"/>
          <w:numId w:val="22"/>
        </w:numPr>
      </w:pPr>
      <w:r>
        <w:t xml:space="preserve">Department of Sustainability and Environment (2012a) </w:t>
      </w:r>
      <w:r w:rsidRPr="006B6D07">
        <w:t>Soil Health Strategy: Protecting Soil Health for Environmental Values on Public and Private Land</w:t>
      </w:r>
    </w:p>
    <w:p w:rsidR="00C820C0" w:rsidRDefault="00E20E43">
      <w:pPr>
        <w:pStyle w:val="ListBullet"/>
        <w:numPr>
          <w:ilvl w:val="0"/>
          <w:numId w:val="22"/>
        </w:numPr>
      </w:pPr>
      <w:r>
        <w:t xml:space="preserve">Department of Sustainability and Environment (2013) </w:t>
      </w:r>
      <w:r w:rsidRPr="006B6D07">
        <w:t>Draft Victorian Waste and Resource Recovery Policy</w:t>
      </w:r>
    </w:p>
    <w:p w:rsidR="00C820C0" w:rsidRDefault="00E20E43">
      <w:pPr>
        <w:pStyle w:val="ListBullet"/>
        <w:numPr>
          <w:ilvl w:val="0"/>
          <w:numId w:val="22"/>
        </w:numPr>
      </w:pPr>
      <w:r>
        <w:t xml:space="preserve">Earth Systems (2012) Energy Futures </w:t>
      </w:r>
      <w:r w:rsidRPr="00B65C10">
        <w:t>and</w:t>
      </w:r>
      <w:r>
        <w:t xml:space="preserve"> Vulnerability in the Grampians</w:t>
      </w:r>
    </w:p>
    <w:p w:rsidR="00C820C0" w:rsidRDefault="00E20E43">
      <w:pPr>
        <w:pStyle w:val="ListBullet"/>
        <w:numPr>
          <w:ilvl w:val="0"/>
          <w:numId w:val="22"/>
        </w:numPr>
        <w:rPr>
          <w:color w:val="000000"/>
        </w:rPr>
      </w:pPr>
      <w:r>
        <w:t xml:space="preserve">EnPlan Partners (2007) </w:t>
      </w:r>
      <w:r w:rsidRPr="006B6D07">
        <w:t>The Review of Agricultural Land and Rural Land Use in Hepburn Shire</w:t>
      </w:r>
    </w:p>
    <w:p w:rsidR="00C820C0" w:rsidRDefault="00E20E43">
      <w:pPr>
        <w:pStyle w:val="ListBullet"/>
        <w:numPr>
          <w:ilvl w:val="0"/>
          <w:numId w:val="22"/>
        </w:numPr>
      </w:pPr>
      <w:r>
        <w:t>ENRC (2012) Inquiry into Flood Mitigation Infrastructure in Victoria</w:t>
      </w:r>
    </w:p>
    <w:p w:rsidR="00C820C0" w:rsidRDefault="00E20E43">
      <w:pPr>
        <w:pStyle w:val="ListBullet"/>
        <w:numPr>
          <w:ilvl w:val="0"/>
          <w:numId w:val="22"/>
        </w:numPr>
      </w:pPr>
      <w:r w:rsidRPr="005E2197">
        <w:t>Essential Economics (2011) Ballarat West Employment Zone Economic Assessment</w:t>
      </w:r>
    </w:p>
    <w:p w:rsidR="008C5713" w:rsidRDefault="008C5713">
      <w:pPr>
        <w:pStyle w:val="ListBullet"/>
        <w:numPr>
          <w:ilvl w:val="0"/>
          <w:numId w:val="22"/>
        </w:numPr>
      </w:pPr>
      <w:r>
        <w:t>Glenelg Hopkins Catchment Management Authority (2013) Glenelg Hopkins Regional Catchment Strategy</w:t>
      </w:r>
    </w:p>
    <w:p w:rsidR="00C820C0" w:rsidRDefault="00E20E43">
      <w:pPr>
        <w:pStyle w:val="ListBullet"/>
        <w:numPr>
          <w:ilvl w:val="0"/>
          <w:numId w:val="22"/>
        </w:numPr>
      </w:pPr>
      <w:r w:rsidRPr="005E2197">
        <w:t>Golden Plains Shire (2009) Golden Plains Residential Land Supply Review</w:t>
      </w:r>
    </w:p>
    <w:p w:rsidR="00C820C0" w:rsidRDefault="00E20E43">
      <w:pPr>
        <w:pStyle w:val="ListBullet"/>
        <w:numPr>
          <w:ilvl w:val="0"/>
          <w:numId w:val="22"/>
        </w:numPr>
      </w:pPr>
      <w:r w:rsidRPr="005E2197">
        <w:rPr>
          <w:szCs w:val="26"/>
        </w:rPr>
        <w:t>Graduates Of The University Of Ballarat</w:t>
      </w:r>
      <w:r w:rsidRPr="005E2197">
        <w:t>, WRI Bathurst</w:t>
      </w:r>
    </w:p>
    <w:p w:rsidR="00C820C0" w:rsidRDefault="00E20E43">
      <w:pPr>
        <w:pStyle w:val="ListBullet"/>
        <w:numPr>
          <w:ilvl w:val="0"/>
          <w:numId w:val="22"/>
        </w:numPr>
      </w:pPr>
      <w:r>
        <w:t>Grattan Institute (2011) Investing in regions: Making a Difference</w:t>
      </w:r>
    </w:p>
    <w:p w:rsidR="00C820C0" w:rsidRDefault="00E20E43">
      <w:pPr>
        <w:pStyle w:val="ListBullet"/>
        <w:numPr>
          <w:ilvl w:val="0"/>
          <w:numId w:val="22"/>
        </w:numPr>
      </w:pPr>
      <w:r w:rsidRPr="005E2197">
        <w:t>Hill PDA and Hansen (2011), Ballarat Activity Centres Strategy, Prepared for City of Ballarat</w:t>
      </w:r>
    </w:p>
    <w:p w:rsidR="00C820C0" w:rsidRDefault="00E20E43">
      <w:pPr>
        <w:pStyle w:val="ListBullet"/>
        <w:numPr>
          <w:ilvl w:val="0"/>
          <w:numId w:val="22"/>
        </w:numPr>
        <w:rPr>
          <w:color w:val="000000"/>
        </w:rPr>
      </w:pPr>
      <w:r>
        <w:rPr>
          <w:color w:val="000000"/>
        </w:rPr>
        <w:t>Jain, A &amp; Courvisanos, J (2009) U</w:t>
      </w:r>
      <w:r w:rsidRPr="00B438DF">
        <w:rPr>
          <w:color w:val="000000"/>
        </w:rPr>
        <w:t>rban growth centres on the periphery:</w:t>
      </w:r>
      <w:r>
        <w:rPr>
          <w:color w:val="000000"/>
        </w:rPr>
        <w:t xml:space="preserve"> </w:t>
      </w:r>
      <w:r w:rsidRPr="00B438DF">
        <w:rPr>
          <w:color w:val="000000"/>
        </w:rPr>
        <w:t>ad hoc policy vision and research</w:t>
      </w:r>
      <w:r>
        <w:rPr>
          <w:color w:val="000000"/>
        </w:rPr>
        <w:t xml:space="preserve"> </w:t>
      </w:r>
      <w:r w:rsidRPr="00B438DF">
        <w:rPr>
          <w:color w:val="000000"/>
        </w:rPr>
        <w:t>neglect</w:t>
      </w:r>
      <w:r w:rsidR="00BD549B" w:rsidRPr="00BD549B">
        <w:rPr>
          <w:i/>
          <w:color w:val="000000"/>
        </w:rPr>
        <w:t>, Australasian Journal of Regional Studies</w:t>
      </w:r>
      <w:r w:rsidRPr="00B438DF">
        <w:rPr>
          <w:color w:val="000000"/>
        </w:rPr>
        <w:t>, Vol. 15, No. 1,</w:t>
      </w:r>
    </w:p>
    <w:p w:rsidR="00C820C0" w:rsidRDefault="00E20E43">
      <w:pPr>
        <w:pStyle w:val="ListBullet"/>
        <w:numPr>
          <w:ilvl w:val="0"/>
          <w:numId w:val="22"/>
        </w:numPr>
      </w:pPr>
      <w:r>
        <w:t xml:space="preserve">Moorabool Shire Council (2012) </w:t>
      </w:r>
      <w:r w:rsidRPr="00D06A85">
        <w:t>Rural Growth Policy Statement</w:t>
      </w:r>
    </w:p>
    <w:p w:rsidR="00122182" w:rsidRDefault="00122182">
      <w:pPr>
        <w:pStyle w:val="ListBullet"/>
        <w:numPr>
          <w:ilvl w:val="0"/>
          <w:numId w:val="22"/>
        </w:numPr>
      </w:pPr>
      <w:r>
        <w:t>North Central Catchment Management Authority (2013) 2013-2019 Regional Catchment Strategy</w:t>
      </w:r>
    </w:p>
    <w:p w:rsidR="00C820C0" w:rsidRDefault="00E20E43">
      <w:pPr>
        <w:pStyle w:val="ListBullet"/>
        <w:numPr>
          <w:ilvl w:val="0"/>
          <w:numId w:val="22"/>
        </w:numPr>
      </w:pPr>
      <w:r>
        <w:t>Paroissien Grant and Associates Pty Ltd (2012) Central Highlands Infrastructure Study</w:t>
      </w:r>
    </w:p>
    <w:p w:rsidR="00C820C0" w:rsidRDefault="00E20E43">
      <w:pPr>
        <w:pStyle w:val="ListBullet"/>
        <w:numPr>
          <w:ilvl w:val="0"/>
          <w:numId w:val="22"/>
        </w:numPr>
      </w:pPr>
      <w:r w:rsidRPr="005E2197">
        <w:t>Parsons Brinckerhoff (2008a), Audit of industrial land in provincial Victoria, Final Report</w:t>
      </w:r>
    </w:p>
    <w:p w:rsidR="00C820C0" w:rsidRDefault="00E20E43">
      <w:pPr>
        <w:pStyle w:val="ListBullet"/>
        <w:numPr>
          <w:ilvl w:val="0"/>
          <w:numId w:val="22"/>
        </w:numPr>
      </w:pPr>
      <w:r w:rsidRPr="005E2197">
        <w:t>Parsons Brinckerhoff (2008b). Golden Plains Rural Land Use Strategy</w:t>
      </w:r>
    </w:p>
    <w:p w:rsidR="00C820C0" w:rsidRDefault="00E20E43">
      <w:pPr>
        <w:pStyle w:val="ListBullet"/>
        <w:numPr>
          <w:ilvl w:val="0"/>
          <w:numId w:val="22"/>
        </w:numPr>
      </w:pPr>
      <w:r w:rsidRPr="005E2197">
        <w:t xml:space="preserve">Parsons Brinckerhoff (2010a). </w:t>
      </w:r>
      <w:r w:rsidRPr="0069443A">
        <w:t>Central Highlands Regional Strategic Plan</w:t>
      </w:r>
      <w:r w:rsidRPr="005E2197">
        <w:t xml:space="preserve"> – Discussion Paper (19 February 2010)</w:t>
      </w:r>
    </w:p>
    <w:p w:rsidR="00C820C0" w:rsidRDefault="00E20E43">
      <w:pPr>
        <w:pStyle w:val="ListBullet"/>
        <w:numPr>
          <w:ilvl w:val="0"/>
          <w:numId w:val="22"/>
        </w:numPr>
      </w:pPr>
      <w:r w:rsidRPr="005E2197">
        <w:t>Parsons Brinckerhoff (2010b) Ballarat Rural Land Use Strategy</w:t>
      </w:r>
    </w:p>
    <w:p w:rsidR="00C820C0" w:rsidRDefault="00E20E43">
      <w:pPr>
        <w:pStyle w:val="ListBullet"/>
        <w:numPr>
          <w:ilvl w:val="0"/>
          <w:numId w:val="22"/>
        </w:numPr>
      </w:pPr>
      <w:r>
        <w:t xml:space="preserve">Planisphere (2009) </w:t>
      </w:r>
      <w:r w:rsidRPr="006B6D07">
        <w:t>The Regional Mapping Project</w:t>
      </w:r>
    </w:p>
    <w:p w:rsidR="008C5713" w:rsidRDefault="008C5713">
      <w:pPr>
        <w:pStyle w:val="ListBullet"/>
        <w:numPr>
          <w:ilvl w:val="0"/>
          <w:numId w:val="22"/>
        </w:numPr>
      </w:pPr>
      <w:r>
        <w:t xml:space="preserve">Port Phillip and Westernport Catchment Management </w:t>
      </w:r>
      <w:r w:rsidR="002B6906">
        <w:t>Authority</w:t>
      </w:r>
      <w:r>
        <w:t xml:space="preserve"> (2013) Draft Port Phillip and Westernport Regional Catchment Strategy</w:t>
      </w:r>
    </w:p>
    <w:p w:rsidR="00C820C0" w:rsidRDefault="00363278">
      <w:pPr>
        <w:pStyle w:val="ListBullet"/>
        <w:numPr>
          <w:ilvl w:val="0"/>
          <w:numId w:val="22"/>
        </w:numPr>
      </w:pPr>
      <w:r>
        <w:t xml:space="preserve">Public Transport Victoria (2013) </w:t>
      </w:r>
      <w:r w:rsidRPr="00363278">
        <w:t>Rail Revival: Geelong-Ballarat-Bendigo</w:t>
      </w:r>
      <w:r>
        <w:t xml:space="preserve"> – Project Feasibility Summary Report</w:t>
      </w:r>
    </w:p>
    <w:p w:rsidR="00C820C0" w:rsidRDefault="00E20E43">
      <w:pPr>
        <w:pStyle w:val="ListBullet"/>
        <w:numPr>
          <w:ilvl w:val="0"/>
          <w:numId w:val="22"/>
        </w:numPr>
      </w:pPr>
      <w:r w:rsidRPr="005E2197">
        <w:t>Ratio (2007) Ballarat Road Transport Strategy, Consultants Final Report</w:t>
      </w:r>
    </w:p>
    <w:p w:rsidR="00C820C0" w:rsidRDefault="00E20E43">
      <w:pPr>
        <w:pStyle w:val="ListBullet"/>
        <w:numPr>
          <w:ilvl w:val="0"/>
          <w:numId w:val="22"/>
        </w:numPr>
      </w:pPr>
      <w:r>
        <w:t xml:space="preserve">Regional Development Victoria (2010) </w:t>
      </w:r>
      <w:r w:rsidRPr="0069443A">
        <w:t>Central Highlands Regional Strategic Plan</w:t>
      </w:r>
    </w:p>
    <w:p w:rsidR="00C820C0" w:rsidRDefault="00E20E43">
      <w:pPr>
        <w:pStyle w:val="ListBullet"/>
        <w:numPr>
          <w:ilvl w:val="0"/>
          <w:numId w:val="22"/>
        </w:numPr>
      </w:pPr>
      <w:r w:rsidRPr="004436FA">
        <w:t>Regional Development Victoria (2013</w:t>
      </w:r>
      <w:r>
        <w:t>, unpublished</w:t>
      </w:r>
      <w:r w:rsidRPr="004436FA">
        <w:t>),</w:t>
      </w:r>
      <w:r>
        <w:t xml:space="preserve"> Regional Economic Profile – Central Highlands</w:t>
      </w:r>
    </w:p>
    <w:p w:rsidR="00C820C0" w:rsidRDefault="00E20E43">
      <w:pPr>
        <w:pStyle w:val="ListBullet"/>
        <w:numPr>
          <w:ilvl w:val="0"/>
          <w:numId w:val="22"/>
        </w:numPr>
      </w:pPr>
      <w:r w:rsidRPr="005E2197">
        <w:t>REMPLAN (2010) Ballarat Industry Workforce Development Strategy</w:t>
      </w:r>
    </w:p>
    <w:p w:rsidR="00C820C0" w:rsidRDefault="00E20E43">
      <w:pPr>
        <w:pStyle w:val="ListBullet"/>
        <w:numPr>
          <w:ilvl w:val="0"/>
          <w:numId w:val="22"/>
        </w:numPr>
      </w:pPr>
      <w:r>
        <w:t xml:space="preserve">Rural Planning Group (2009) </w:t>
      </w:r>
      <w:r w:rsidRPr="00336F50">
        <w:t>Future Farming: Improving Rural Land Use</w:t>
      </w:r>
      <w:r>
        <w:t>, Independent report to the Minister for Planning</w:t>
      </w:r>
    </w:p>
    <w:p w:rsidR="00C820C0" w:rsidRDefault="00E20E43">
      <w:pPr>
        <w:pStyle w:val="ListBullet"/>
        <w:numPr>
          <w:ilvl w:val="0"/>
          <w:numId w:val="22"/>
        </w:numPr>
      </w:pPr>
      <w:r w:rsidRPr="005E2197">
        <w:t>SED Consulting (2010) City of Ballarat, Ballarat Industry Workforce Development Strategy</w:t>
      </w:r>
    </w:p>
    <w:p w:rsidR="00C820C0" w:rsidRDefault="00E20E43">
      <w:pPr>
        <w:pStyle w:val="ListBullet"/>
        <w:numPr>
          <w:ilvl w:val="0"/>
          <w:numId w:val="22"/>
        </w:numPr>
      </w:pPr>
      <w:r w:rsidRPr="005E2197">
        <w:t xml:space="preserve">SGS (2006) Growing Moorabool Economic Development Strategy </w:t>
      </w:r>
    </w:p>
    <w:p w:rsidR="00C820C0" w:rsidRDefault="00E20E43">
      <w:pPr>
        <w:pStyle w:val="ListBullet"/>
        <w:numPr>
          <w:ilvl w:val="0"/>
          <w:numId w:val="22"/>
        </w:numPr>
      </w:pPr>
      <w:r>
        <w:t>SGS (2010) Ballarat Economic Strategy 2010-2014, City of Ballarat</w:t>
      </w:r>
    </w:p>
    <w:p w:rsidR="0075334F" w:rsidRDefault="00E20E43" w:rsidP="0075334F">
      <w:pPr>
        <w:pStyle w:val="ListBullet"/>
        <w:numPr>
          <w:ilvl w:val="0"/>
          <w:numId w:val="22"/>
        </w:numPr>
      </w:pPr>
      <w:r w:rsidRPr="005E2197">
        <w:t>Skills Victoria (2009) Report advising on the development of the Victorian Tertiary Education Plan</w:t>
      </w:r>
      <w:r w:rsidR="0075334F" w:rsidRPr="0075334F">
        <w:t xml:space="preserve"> </w:t>
      </w:r>
      <w:r w:rsidR="0075334F" w:rsidRPr="005E2197">
        <w:t xml:space="preserve">Available: </w:t>
      </w:r>
      <w:hyperlink r:id="rId67" w:history="1">
        <w:r w:rsidR="0075334F" w:rsidRPr="00180037">
          <w:rPr>
            <w:rStyle w:val="Hyperlink"/>
            <w:rFonts w:cs="Tahoma"/>
            <w:szCs w:val="20"/>
          </w:rPr>
          <w:t>http://www.skills.vic.gov.au/corporate/providers/universities/victorias-plan-for-tertiary-education</w:t>
        </w:r>
      </w:hyperlink>
    </w:p>
    <w:p w:rsidR="00C820C0" w:rsidRDefault="00E20E43">
      <w:pPr>
        <w:pStyle w:val="ListBullet"/>
        <w:numPr>
          <w:ilvl w:val="0"/>
          <w:numId w:val="22"/>
        </w:numPr>
      </w:pPr>
      <w:r>
        <w:t xml:space="preserve">Sustainability Victoria (2012) </w:t>
      </w:r>
      <w:r w:rsidRPr="00AF5C78">
        <w:t>Electricity from Renewable Energy in Victoria 2011</w:t>
      </w:r>
    </w:p>
    <w:p w:rsidR="00C820C0" w:rsidRDefault="00E20E43">
      <w:pPr>
        <w:pStyle w:val="ListBullet"/>
        <w:numPr>
          <w:ilvl w:val="0"/>
          <w:numId w:val="22"/>
        </w:numPr>
      </w:pPr>
      <w:r>
        <w:t xml:space="preserve">Victorian Auditor-General (2011) </w:t>
      </w:r>
      <w:r w:rsidRPr="00B16850">
        <w:t>Managing Contaminated Sites</w:t>
      </w:r>
    </w:p>
    <w:p w:rsidR="00C820C0" w:rsidRDefault="00E20E43">
      <w:pPr>
        <w:pStyle w:val="ListBullet"/>
        <w:numPr>
          <w:ilvl w:val="0"/>
          <w:numId w:val="22"/>
        </w:numPr>
      </w:pPr>
      <w:r>
        <w:t xml:space="preserve">Victorian Government (2009) </w:t>
      </w:r>
      <w:r w:rsidRPr="006B6D07">
        <w:t>Northern Region Sustainable Water Strategy</w:t>
      </w:r>
    </w:p>
    <w:p w:rsidR="00C820C0" w:rsidRDefault="00E20E43">
      <w:pPr>
        <w:pStyle w:val="ListBullet"/>
        <w:numPr>
          <w:ilvl w:val="0"/>
          <w:numId w:val="22"/>
        </w:numPr>
      </w:pPr>
      <w:r>
        <w:lastRenderedPageBreak/>
        <w:t xml:space="preserve">Victorian Government (2012) </w:t>
      </w:r>
      <w:r w:rsidRPr="00275017">
        <w:t>Securing Victoria’s Economy</w:t>
      </w:r>
    </w:p>
    <w:p w:rsidR="00C820C0" w:rsidRDefault="00E20E43">
      <w:pPr>
        <w:pStyle w:val="ListBullet"/>
        <w:numPr>
          <w:ilvl w:val="0"/>
          <w:numId w:val="22"/>
        </w:numPr>
      </w:pPr>
      <w:r>
        <w:t>Victorian Government (2013) Victorian Climate Change Adaptation Plan</w:t>
      </w:r>
    </w:p>
    <w:p w:rsidR="00C820C0" w:rsidRDefault="00DF4FB3">
      <w:pPr>
        <w:pStyle w:val="ListBullet"/>
        <w:numPr>
          <w:ilvl w:val="0"/>
          <w:numId w:val="22"/>
        </w:numPr>
      </w:pPr>
      <w:r>
        <w:t>Victorian Government (2013) Getting Full Value: the Victorian waste and resource recovery policy</w:t>
      </w:r>
    </w:p>
    <w:p w:rsidR="000939CB" w:rsidRDefault="000939CB">
      <w:pPr>
        <w:pStyle w:val="ListBullet"/>
        <w:numPr>
          <w:ilvl w:val="0"/>
          <w:numId w:val="22"/>
        </w:numPr>
      </w:pPr>
      <w:r>
        <w:t>Victorian Government (2013) Victoria The Freight State: the Victorian Freight and Logistics Plan</w:t>
      </w:r>
    </w:p>
    <w:p w:rsidR="00C820C0" w:rsidRDefault="00E20E43">
      <w:pPr>
        <w:pStyle w:val="ListBullet"/>
        <w:numPr>
          <w:ilvl w:val="0"/>
          <w:numId w:val="22"/>
        </w:numPr>
      </w:pPr>
      <w:r w:rsidRPr="005E2197">
        <w:t xml:space="preserve">Western Research Institute (2007a) </w:t>
      </w:r>
      <w:r w:rsidRPr="005E2197">
        <w:rPr>
          <w:iCs/>
        </w:rPr>
        <w:t>Economic Impact of the University of Ballarat</w:t>
      </w:r>
      <w:r w:rsidRPr="005E2197">
        <w:t>, WRI Bathurst</w:t>
      </w:r>
    </w:p>
    <w:p w:rsidR="00C820C0" w:rsidRDefault="00E20E43">
      <w:pPr>
        <w:pStyle w:val="ListBullet"/>
        <w:numPr>
          <w:ilvl w:val="0"/>
          <w:numId w:val="22"/>
        </w:numPr>
        <w:rPr>
          <w:szCs w:val="26"/>
        </w:rPr>
      </w:pPr>
      <w:r w:rsidRPr="005E2197">
        <w:t xml:space="preserve">Western Research Institute (2007b) </w:t>
      </w:r>
      <w:r w:rsidRPr="005E2197">
        <w:rPr>
          <w:szCs w:val="26"/>
        </w:rPr>
        <w:t>The Destination Of On-Campus Higher Education</w:t>
      </w:r>
    </w:p>
    <w:p w:rsidR="008C5713" w:rsidRDefault="008C5713">
      <w:pPr>
        <w:pStyle w:val="ListBullet"/>
        <w:numPr>
          <w:ilvl w:val="0"/>
          <w:numId w:val="22"/>
        </w:numPr>
        <w:rPr>
          <w:szCs w:val="26"/>
        </w:rPr>
      </w:pPr>
      <w:r>
        <w:rPr>
          <w:szCs w:val="26"/>
        </w:rPr>
        <w:t>Wimmera Catchment Management Authority (2013) Wimmera Regional Catchment Strategy</w:t>
      </w:r>
    </w:p>
    <w:p w:rsidR="00C820C0" w:rsidRDefault="00E20E43">
      <w:pPr>
        <w:pStyle w:val="ListBullet"/>
        <w:numPr>
          <w:ilvl w:val="0"/>
          <w:numId w:val="22"/>
        </w:numPr>
      </w:pPr>
      <w:r w:rsidRPr="005E2197">
        <w:rPr>
          <w:color w:val="000000"/>
        </w:rPr>
        <w:t>World Health Organisation.</w:t>
      </w:r>
      <w:r w:rsidRPr="005E2197">
        <w:rPr>
          <w:iCs/>
          <w:color w:val="000000"/>
        </w:rPr>
        <w:t xml:space="preserve"> The social determinants of health</w:t>
      </w:r>
      <w:r w:rsidRPr="005E2197">
        <w:rPr>
          <w:color w:val="000000"/>
        </w:rPr>
        <w:t>. Available:</w:t>
      </w:r>
      <w:r>
        <w:rPr>
          <w:color w:val="000000"/>
        </w:rPr>
        <w:t xml:space="preserve"> </w:t>
      </w:r>
      <w:hyperlink r:id="rId68" w:history="1">
        <w:r w:rsidRPr="00180037">
          <w:rPr>
            <w:rStyle w:val="Hyperlink"/>
            <w:rFonts w:cs="Tahoma"/>
            <w:szCs w:val="20"/>
          </w:rPr>
          <w:t>www.who.int/social_determinants/en/</w:t>
        </w:r>
      </w:hyperlink>
    </w:p>
    <w:p w:rsidR="00FA7BCB" w:rsidRDefault="00FA7BCB" w:rsidP="001412A4">
      <w:pPr>
        <w:pStyle w:val="Heading1"/>
        <w:numPr>
          <w:ilvl w:val="0"/>
          <w:numId w:val="11"/>
        </w:numPr>
        <w:rPr>
          <w:rFonts w:cs="Tahoma"/>
        </w:rPr>
        <w:sectPr w:rsidR="00FA7BCB" w:rsidSect="00C03B2E">
          <w:pgSz w:w="11906" w:h="16838"/>
          <w:pgMar w:top="1560" w:right="1440" w:bottom="851" w:left="1440" w:header="708" w:footer="709" w:gutter="0"/>
          <w:cols w:space="708"/>
          <w:docGrid w:linePitch="360"/>
        </w:sectPr>
      </w:pPr>
      <w:bookmarkStart w:id="460" w:name="_Toc349557745"/>
    </w:p>
    <w:p w:rsidR="00B055FA" w:rsidRDefault="00B055FA" w:rsidP="005B01F7">
      <w:pPr>
        <w:pStyle w:val="Heading1"/>
      </w:pPr>
      <w:bookmarkStart w:id="461" w:name="_Toc374527625"/>
      <w:r w:rsidRPr="005B01F7">
        <w:lastRenderedPageBreak/>
        <w:t>Appendix 1</w:t>
      </w:r>
      <w:r w:rsidR="00F55596" w:rsidRPr="005B01F7">
        <w:t>:</w:t>
      </w:r>
      <w:r w:rsidRPr="005B01F7">
        <w:t xml:space="preserve"> Network of settlements table</w:t>
      </w:r>
      <w:bookmarkEnd w:id="460"/>
      <w:bookmarkEnd w:id="461"/>
    </w:p>
    <w:p w:rsidR="00144E2B" w:rsidRDefault="00144E2B">
      <w:pPr>
        <w:spacing w:after="200" w:line="276" w:lineRule="auto"/>
        <w:jc w:val="left"/>
        <w:rPr>
          <w:rFonts w:asciiTheme="minorHAnsi" w:eastAsiaTheme="minorEastAsia" w:hAnsiTheme="minorHAnsi" w:cstheme="minorBidi"/>
        </w:rPr>
      </w:pPr>
      <w:r w:rsidRPr="00144E2B">
        <w:rPr>
          <w:noProof/>
        </w:rPr>
        <w:drawing>
          <wp:anchor distT="0" distB="0" distL="114300" distR="114300" simplePos="0" relativeHeight="251759616" behindDoc="0" locked="0" layoutInCell="1" allowOverlap="1">
            <wp:simplePos x="0" y="0"/>
            <wp:positionH relativeFrom="column">
              <wp:posOffset>-447675</wp:posOffset>
            </wp:positionH>
            <wp:positionV relativeFrom="paragraph">
              <wp:posOffset>81915</wp:posOffset>
            </wp:positionV>
            <wp:extent cx="9834880" cy="5937250"/>
            <wp:effectExtent l="19050" t="0" r="0" b="0"/>
            <wp:wrapNone/>
            <wp:docPr id="48" name="Picture 20" descr="First image of Appendix 1: Network of settlements table (Central Highlands - Settl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1-parta.jpg"/>
                    <pic:cNvPicPr/>
                  </pic:nvPicPr>
                  <pic:blipFill>
                    <a:blip r:embed="rId69" cstate="email"/>
                    <a:stretch>
                      <a:fillRect/>
                    </a:stretch>
                  </pic:blipFill>
                  <pic:spPr>
                    <a:xfrm>
                      <a:off x="0" y="0"/>
                      <a:ext cx="9834880" cy="5937250"/>
                    </a:xfrm>
                    <a:prstGeom prst="rect">
                      <a:avLst/>
                    </a:prstGeom>
                  </pic:spPr>
                </pic:pic>
              </a:graphicData>
            </a:graphic>
          </wp:anchor>
        </w:drawing>
      </w:r>
      <w:r>
        <w:br w:type="page"/>
      </w:r>
    </w:p>
    <w:p w:rsidR="001B0B7E" w:rsidRDefault="00144E2B" w:rsidP="00417148">
      <w:pPr>
        <w:pStyle w:val="bt"/>
      </w:pPr>
      <w:r w:rsidRPr="00144E2B">
        <w:rPr>
          <w:noProof/>
        </w:rPr>
        <w:lastRenderedPageBreak/>
        <w:drawing>
          <wp:anchor distT="0" distB="0" distL="114300" distR="114300" simplePos="0" relativeHeight="251761664" behindDoc="0" locked="0" layoutInCell="1" allowOverlap="1">
            <wp:simplePos x="0" y="0"/>
            <wp:positionH relativeFrom="column">
              <wp:posOffset>-447675</wp:posOffset>
            </wp:positionH>
            <wp:positionV relativeFrom="paragraph">
              <wp:posOffset>78740</wp:posOffset>
            </wp:positionV>
            <wp:extent cx="9841865" cy="5441315"/>
            <wp:effectExtent l="19050" t="0" r="6985" b="0"/>
            <wp:wrapNone/>
            <wp:docPr id="49" name="Picture 19" descr="Second image of Appendix 1: Network of settlements table (Central Highlands - Settl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1-partb.jpg"/>
                    <pic:cNvPicPr/>
                  </pic:nvPicPr>
                  <pic:blipFill>
                    <a:blip r:embed="rId70" cstate="email"/>
                    <a:stretch>
                      <a:fillRect/>
                    </a:stretch>
                  </pic:blipFill>
                  <pic:spPr>
                    <a:xfrm>
                      <a:off x="0" y="0"/>
                      <a:ext cx="9841865" cy="5441315"/>
                    </a:xfrm>
                    <a:prstGeom prst="rect">
                      <a:avLst/>
                    </a:prstGeom>
                  </pic:spPr>
                </pic:pic>
              </a:graphicData>
            </a:graphic>
          </wp:anchor>
        </w:drawing>
      </w:r>
    </w:p>
    <w:sectPr w:rsidR="001B0B7E" w:rsidSect="00DD0739">
      <w:pgSz w:w="16839" w:h="11907" w:orient="landscape" w:code="9"/>
      <w:pgMar w:top="1440" w:right="1440" w:bottom="851" w:left="1440" w:header="708" w:footer="5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6F8" w:rsidRDefault="00C076F8" w:rsidP="00AE26B4">
      <w:r>
        <w:separator/>
      </w:r>
    </w:p>
  </w:endnote>
  <w:endnote w:type="continuationSeparator" w:id="0">
    <w:p w:rsidR="00C076F8" w:rsidRDefault="00C076F8" w:rsidP="00AE2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DIN">
    <w:charset w:val="00"/>
    <w:family w:val="auto"/>
    <w:pitch w:val="variable"/>
    <w:sig w:usb0="A00000AF" w:usb1="40002048" w:usb2="00000000" w:usb3="00000000" w:csb0="0000011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F8" w:rsidRDefault="00C076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F8" w:rsidRPr="00E83119" w:rsidRDefault="00C076F8" w:rsidP="00E831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F8" w:rsidRDefault="00631B16" w:rsidP="00B54F63">
    <w:pPr>
      <w:pStyle w:val="Footer"/>
      <w:pBdr>
        <w:top w:val="single" w:sz="4" w:space="1" w:color="auto"/>
      </w:pBdr>
    </w:pPr>
    <w:r>
      <w:fldChar w:fldCharType="begin"/>
    </w:r>
    <w:r>
      <w:instrText xml:space="preserve"> PAGE   \* MERGEFORMAT </w:instrText>
    </w:r>
    <w:r>
      <w:fldChar w:fldCharType="separate"/>
    </w:r>
    <w:r>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2635"/>
      <w:docPartObj>
        <w:docPartGallery w:val="Page Numbers (Bottom of Page)"/>
        <w:docPartUnique/>
      </w:docPartObj>
    </w:sdtPr>
    <w:sdtEndPr/>
    <w:sdtContent>
      <w:p w:rsidR="00C076F8" w:rsidRDefault="00631B16" w:rsidP="005F6E0C">
        <w:pPr>
          <w:pStyle w:val="Footer"/>
          <w:pBdr>
            <w:top w:val="single" w:sz="4" w:space="1" w:color="auto"/>
          </w:pBdr>
        </w:pPr>
        <w:r>
          <w:fldChar w:fldCharType="begin"/>
        </w:r>
        <w:r>
          <w:instrText xml:space="preserve"> PAGE   \* MERGEFORMAT </w:instrText>
        </w:r>
        <w:r>
          <w:fldChar w:fldCharType="separate"/>
        </w:r>
        <w:r>
          <w:rPr>
            <w:noProof/>
          </w:rPr>
          <w:t>121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6F8" w:rsidRDefault="00C076F8" w:rsidP="00AE26B4">
      <w:r>
        <w:separator/>
      </w:r>
    </w:p>
  </w:footnote>
  <w:footnote w:type="continuationSeparator" w:id="0">
    <w:p w:rsidR="00C076F8" w:rsidRDefault="00C076F8" w:rsidP="00AE26B4">
      <w:r>
        <w:continuationSeparator/>
      </w:r>
    </w:p>
  </w:footnote>
  <w:footnote w:id="1">
    <w:p w:rsidR="00C076F8" w:rsidRPr="001E05F9" w:rsidRDefault="00C076F8">
      <w:pPr>
        <w:pStyle w:val="FootnoteText"/>
        <w:rPr>
          <w:rFonts w:cstheme="minorHAnsi"/>
          <w:szCs w:val="16"/>
        </w:rPr>
      </w:pPr>
      <w:r w:rsidRPr="005623EB">
        <w:rPr>
          <w:rStyle w:val="FootnoteReference"/>
          <w:vertAlign w:val="baseline"/>
        </w:rPr>
        <w:footnoteRef/>
      </w:r>
      <w:r w:rsidRPr="005623EB">
        <w:t xml:space="preserve"> </w:t>
      </w:r>
      <w:r w:rsidRPr="000C2F17">
        <w:t>Throughout this document the term “Aboriginal” is used to refer to both Aboriginal and Torres Strait Islander people. Use of the terms “Koori”, “Koorie” and “Indigenous” are retained in the names of programs and initiatives, and, unless noted otherwise, are inclusive of both Aboriginal and Torres Strait Islander peoples.</w:t>
      </w:r>
    </w:p>
  </w:footnote>
  <w:footnote w:id="2">
    <w:p w:rsidR="00C076F8" w:rsidRPr="00DA6342" w:rsidRDefault="00C076F8" w:rsidP="00DF59B4">
      <w:pPr>
        <w:pStyle w:val="FootnoteText"/>
      </w:pPr>
      <w:r w:rsidRPr="005623EB">
        <w:rPr>
          <w:rStyle w:val="FootnoteReference"/>
          <w:szCs w:val="16"/>
          <w:vertAlign w:val="baseline"/>
        </w:rPr>
        <w:footnoteRef/>
      </w:r>
      <w:r w:rsidRPr="005623EB">
        <w:t xml:space="preserve"> </w:t>
      </w:r>
      <w:r w:rsidRPr="00DA6342">
        <w:t xml:space="preserve">It should be noted that town boundaries were modified between the 2006 and 2011 censuses and this may account for some of the increase or loss of population recorded over this period. </w:t>
      </w:r>
    </w:p>
  </w:footnote>
  <w:footnote w:id="3">
    <w:p w:rsidR="00C076F8" w:rsidRPr="00DA6342" w:rsidRDefault="00C076F8" w:rsidP="00DF59B4">
      <w:pPr>
        <w:pStyle w:val="FootnoteText"/>
      </w:pPr>
      <w:r w:rsidRPr="00697555">
        <w:rPr>
          <w:rStyle w:val="FootnoteReference"/>
          <w:rFonts w:cstheme="minorHAnsi"/>
          <w:szCs w:val="16"/>
          <w:vertAlign w:val="baseline"/>
        </w:rPr>
        <w:footnoteRef/>
      </w:r>
      <w:r w:rsidRPr="005623EB">
        <w:t xml:space="preserve"> </w:t>
      </w:r>
      <w:r w:rsidRPr="00DA6342">
        <w:t>Does not include Northern Grampians and Central Goldfields shires and the Golden Plains</w:t>
      </w:r>
      <w:r>
        <w:t xml:space="preserve"> Shire</w:t>
      </w:r>
      <w:r w:rsidRPr="00DA6342">
        <w:t xml:space="preserve"> – south-east statistical local area.</w:t>
      </w:r>
    </w:p>
  </w:footnote>
  <w:footnote w:id="4">
    <w:p w:rsidR="00C076F8" w:rsidRPr="00DF59B4" w:rsidRDefault="00C076F8" w:rsidP="00DF59B4">
      <w:pPr>
        <w:pStyle w:val="FootnoteText"/>
      </w:pPr>
      <w:r w:rsidRPr="00DF59B4">
        <w:rPr>
          <w:rStyle w:val="FootnoteReference"/>
          <w:rFonts w:cstheme="minorBidi"/>
          <w:szCs w:val="18"/>
          <w:vertAlign w:val="baseline"/>
        </w:rPr>
        <w:footnoteRef/>
      </w:r>
      <w:r w:rsidRPr="00DF59B4">
        <w:t xml:space="preserve"> Note this profile did not include Golden Plains Shire in the Central Highlands region</w:t>
      </w:r>
    </w:p>
  </w:footnote>
  <w:footnote w:id="5">
    <w:p w:rsidR="00C076F8" w:rsidRPr="00DF59B4" w:rsidRDefault="00C076F8" w:rsidP="00DF59B4">
      <w:pPr>
        <w:pStyle w:val="FootnoteText"/>
      </w:pPr>
      <w:r w:rsidRPr="00DF59B4">
        <w:rPr>
          <w:rStyle w:val="FootnoteReference"/>
          <w:rFonts w:cstheme="minorBidi"/>
          <w:szCs w:val="18"/>
          <w:vertAlign w:val="baseline"/>
        </w:rPr>
        <w:footnoteRef/>
      </w:r>
      <w:r w:rsidRPr="00DF59B4">
        <w:t xml:space="preserve"> Regional Development Victoria analysis derived from Access Economics (2011) Regional Victoria Economic Outlook</w:t>
      </w:r>
    </w:p>
  </w:footnote>
  <w:footnote w:id="6">
    <w:p w:rsidR="00C076F8" w:rsidRPr="00DF59B4" w:rsidRDefault="00C076F8" w:rsidP="00DF59B4">
      <w:pPr>
        <w:pStyle w:val="FootnoteText"/>
      </w:pPr>
      <w:r w:rsidRPr="00DF59B4">
        <w:rPr>
          <w:rStyle w:val="FootnoteReference"/>
          <w:rFonts w:cstheme="minorBidi"/>
          <w:vertAlign w:val="baseline"/>
        </w:rPr>
        <w:footnoteRef/>
      </w:r>
      <w:r w:rsidRPr="00DF59B4">
        <w:t xml:space="preserve"> Greenfields sites are those areas without known mineral deposits</w:t>
      </w:r>
    </w:p>
  </w:footnote>
  <w:footnote w:id="7">
    <w:p w:rsidR="00C076F8" w:rsidRPr="002E1A42" w:rsidRDefault="00C076F8" w:rsidP="002E1A42">
      <w:pPr>
        <w:pStyle w:val="FootnoteText"/>
      </w:pPr>
      <w:r w:rsidRPr="002E1A42">
        <w:rPr>
          <w:rStyle w:val="FootnoteReference"/>
          <w:rFonts w:cstheme="minorBidi"/>
          <w:szCs w:val="18"/>
          <w:vertAlign w:val="baseline"/>
        </w:rPr>
        <w:footnoteRef/>
      </w:r>
      <w:r w:rsidRPr="002E1A42">
        <w:t xml:space="preserve"> The economic importance estimates rely on estimates of total regional output, the starting point which is Australian Bureau of Statistics data on total personal income</w:t>
      </w:r>
      <w:r w:rsidRPr="002E1A42">
        <w:rPr>
          <w:szCs w:val="16"/>
        </w:rPr>
        <w:t>.</w:t>
      </w:r>
    </w:p>
  </w:footnote>
  <w:footnote w:id="8">
    <w:p w:rsidR="00C076F8" w:rsidRPr="002E1A42" w:rsidRDefault="00C076F8" w:rsidP="002E1A42">
      <w:pPr>
        <w:pStyle w:val="FootnoteText"/>
        <w:rPr>
          <w:szCs w:val="18"/>
        </w:rPr>
      </w:pPr>
      <w:r w:rsidRPr="002E1A42">
        <w:rPr>
          <w:rStyle w:val="FootnoteReference"/>
          <w:rFonts w:cstheme="minorBidi"/>
          <w:szCs w:val="18"/>
          <w:vertAlign w:val="baseline"/>
        </w:rPr>
        <w:footnoteRef/>
      </w:r>
      <w:r w:rsidRPr="002E1A42">
        <w:rPr>
          <w:szCs w:val="18"/>
        </w:rPr>
        <w:t xml:space="preserve"> NaturePrint v2.0 conveys information on relative habitat value for all areas in Victoria (excluding marine), not just those with native vegetation.  In its most commonly used form, NaturePrint is illustrated as a map showing relative habitat value (Strategic Natural Values map) showing areas that most contribute to biodiversity conservation.  Further information on NaturePrint can be found at </w:t>
      </w:r>
      <w:hyperlink r:id="rId1" w:history="1">
        <w:r w:rsidRPr="002E1A42">
          <w:rPr>
            <w:rStyle w:val="Hyperlink"/>
            <w:rFonts w:cstheme="minorBidi"/>
            <w:color w:val="auto"/>
            <w:szCs w:val="18"/>
            <w:u w:val="none"/>
          </w:rPr>
          <w:t>http://www.dse.vic.gov.au/conservation-and-environment/biodiversity/natureprint</w:t>
        </w:r>
      </w:hyperlink>
      <w:r w:rsidRPr="002E1A42">
        <w:rPr>
          <w:szCs w:val="18"/>
        </w:rPr>
        <w:t xml:space="preserve"> </w:t>
      </w:r>
    </w:p>
  </w:footnote>
  <w:footnote w:id="9">
    <w:p w:rsidR="00C076F8" w:rsidRPr="002E1A42" w:rsidRDefault="00C076F8" w:rsidP="002E1A42">
      <w:pPr>
        <w:pStyle w:val="FootnoteText"/>
      </w:pPr>
      <w:r w:rsidRPr="002E1A42">
        <w:rPr>
          <w:rStyle w:val="FootnoteReference"/>
          <w:rFonts w:cstheme="minorBidi"/>
          <w:szCs w:val="18"/>
          <w:vertAlign w:val="baseline"/>
        </w:rPr>
        <w:footnoteRef/>
      </w:r>
      <w:r w:rsidRPr="002E1A42">
        <w:t xml:space="preserve"> Recommendation 39 of the 2009 Victorian Bushfires Royal Commission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F8" w:rsidRDefault="00C076F8">
    <w:pPr>
      <w:pStyle w:val="Header"/>
    </w:pPr>
    <w:r w:rsidRPr="008F1881">
      <w:rPr>
        <w:noProof/>
      </w:rPr>
      <w:drawing>
        <wp:anchor distT="0" distB="0" distL="114300" distR="114300" simplePos="0" relativeHeight="251657728" behindDoc="0" locked="0" layoutInCell="1" allowOverlap="1">
          <wp:simplePos x="0" y="0"/>
          <wp:positionH relativeFrom="column">
            <wp:posOffset>-817880</wp:posOffset>
          </wp:positionH>
          <wp:positionV relativeFrom="paragraph">
            <wp:posOffset>27940</wp:posOffset>
          </wp:positionV>
          <wp:extent cx="7189470" cy="1509395"/>
          <wp:effectExtent l="19050" t="0" r="0" b="0"/>
          <wp:wrapSquare wrapText="bothSides"/>
          <wp:docPr id="19" name="Picture 1" descr="Banner for Regional Growth Plans, A Vision for Victoria - Central High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_DPCD Permanent All Staff\Project Support\Design\Design Transfer\RGP headers\Central Highlands.jpg"/>
                  <pic:cNvPicPr>
                    <a:picLocks noChangeAspect="1" noChangeArrowheads="1"/>
                  </pic:cNvPicPr>
                </pic:nvPicPr>
                <pic:blipFill>
                  <a:blip r:embed="rId1"/>
                  <a:srcRect/>
                  <a:stretch>
                    <a:fillRect/>
                  </a:stretch>
                </pic:blipFill>
                <pic:spPr bwMode="auto">
                  <a:xfrm>
                    <a:off x="0" y="0"/>
                    <a:ext cx="7189470" cy="15093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F8" w:rsidRDefault="00C076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F8" w:rsidRDefault="00C076F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F8" w:rsidRDefault="00C076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F8" w:rsidRPr="00E83119" w:rsidRDefault="00C076F8" w:rsidP="00E8311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F8" w:rsidRPr="00537648" w:rsidRDefault="00C076F8" w:rsidP="003235C5">
    <w:pPr>
      <w:pStyle w:val="Header-heading"/>
    </w:pPr>
    <w:r w:rsidRPr="00537648">
      <w:t>Central Highlands Regional Growth Plan</w:t>
    </w:r>
  </w:p>
  <w:p w:rsidR="00C076F8" w:rsidRPr="00537648" w:rsidRDefault="00C076F8" w:rsidP="002651E6">
    <w:pPr>
      <w:pStyle w:val="Header-Subheading"/>
    </w:pPr>
    <w:r w:rsidRPr="00537648">
      <w:t>Background Report</w:t>
    </w:r>
  </w:p>
  <w:p w:rsidR="00C076F8" w:rsidRDefault="00C076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445244"/>
    <w:lvl w:ilvl="0">
      <w:start w:val="1"/>
      <w:numFmt w:val="decimal"/>
      <w:lvlText w:val="%1."/>
      <w:lvlJc w:val="left"/>
      <w:pPr>
        <w:tabs>
          <w:tab w:val="num" w:pos="1492"/>
        </w:tabs>
        <w:ind w:left="1492" w:hanging="360"/>
      </w:pPr>
    </w:lvl>
  </w:abstractNum>
  <w:abstractNum w:abstractNumId="1">
    <w:nsid w:val="FFFFFF80"/>
    <w:multiLevelType w:val="singleLevel"/>
    <w:tmpl w:val="B7EE98D2"/>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82D48526"/>
    <w:lvl w:ilvl="0">
      <w:start w:val="1"/>
      <w:numFmt w:val="bullet"/>
      <w:lvlText w:val=""/>
      <w:lvlJc w:val="left"/>
      <w:pPr>
        <w:tabs>
          <w:tab w:val="num" w:pos="1209"/>
        </w:tabs>
        <w:ind w:left="1209" w:hanging="360"/>
      </w:pPr>
      <w:rPr>
        <w:rFonts w:ascii="Symbol" w:hAnsi="Symbol" w:hint="default"/>
      </w:rPr>
    </w:lvl>
  </w:abstractNum>
  <w:abstractNum w:abstractNumId="3">
    <w:nsid w:val="FFFFFF89"/>
    <w:multiLevelType w:val="singleLevel"/>
    <w:tmpl w:val="AC0AAB8E"/>
    <w:lvl w:ilvl="0">
      <w:start w:val="1"/>
      <w:numFmt w:val="bullet"/>
      <w:lvlText w:val=""/>
      <w:lvlJc w:val="left"/>
      <w:pPr>
        <w:tabs>
          <w:tab w:val="num" w:pos="360"/>
        </w:tabs>
        <w:ind w:left="360" w:hanging="360"/>
      </w:pPr>
      <w:rPr>
        <w:rFonts w:ascii="Symbol" w:hAnsi="Symbol" w:hint="default"/>
      </w:rPr>
    </w:lvl>
  </w:abstractNum>
  <w:abstractNum w:abstractNumId="4">
    <w:nsid w:val="05A12BE8"/>
    <w:multiLevelType w:val="multilevel"/>
    <w:tmpl w:val="39BC6468"/>
    <w:styleLink w:val="Style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5">
    <w:nsid w:val="073A7687"/>
    <w:multiLevelType w:val="hybridMultilevel"/>
    <w:tmpl w:val="C53C39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982D92"/>
    <w:multiLevelType w:val="hybridMultilevel"/>
    <w:tmpl w:val="EF1244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A823C2D"/>
    <w:multiLevelType w:val="hybridMultilevel"/>
    <w:tmpl w:val="AB58C9EE"/>
    <w:lvl w:ilvl="0" w:tplc="1960CBA6">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D8736D0"/>
    <w:multiLevelType w:val="hybridMultilevel"/>
    <w:tmpl w:val="6ED2C8EA"/>
    <w:lvl w:ilvl="0" w:tplc="0C090005">
      <w:start w:val="1"/>
      <w:numFmt w:val="bullet"/>
      <w:lvlText w:val=""/>
      <w:lvlJc w:val="left"/>
      <w:pPr>
        <w:ind w:left="828" w:hanging="360"/>
      </w:pPr>
      <w:rPr>
        <w:rFonts w:ascii="Wingdings" w:hAnsi="Wingdings"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9">
    <w:nsid w:val="0EFE5F77"/>
    <w:multiLevelType w:val="hybridMultilevel"/>
    <w:tmpl w:val="2DD8258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FEF7F83"/>
    <w:multiLevelType w:val="hybridMultilevel"/>
    <w:tmpl w:val="6C9409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EE5630C"/>
    <w:multiLevelType w:val="multilevel"/>
    <w:tmpl w:val="8AA663AA"/>
    <w:styleLink w:val="Headings"/>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decimal"/>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nsid w:val="28FF09CB"/>
    <w:multiLevelType w:val="hybridMultilevel"/>
    <w:tmpl w:val="C55619B2"/>
    <w:lvl w:ilvl="0" w:tplc="D488102A">
      <w:start w:val="1"/>
      <w:numFmt w:val="upp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2B3379BB"/>
    <w:multiLevelType w:val="multilevel"/>
    <w:tmpl w:val="78C8F60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396"/>
        </w:tabs>
        <w:ind w:left="3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14">
    <w:nsid w:val="2BA21DE9"/>
    <w:multiLevelType w:val="multilevel"/>
    <w:tmpl w:val="11C28E9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2E012844"/>
    <w:multiLevelType w:val="hybridMultilevel"/>
    <w:tmpl w:val="F4ECA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0F02F84"/>
    <w:multiLevelType w:val="hybridMultilevel"/>
    <w:tmpl w:val="26142D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2BC1893"/>
    <w:multiLevelType w:val="hybridMultilevel"/>
    <w:tmpl w:val="CB6C73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2DE3E99"/>
    <w:multiLevelType w:val="hybridMultilevel"/>
    <w:tmpl w:val="57C2FFD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4740943"/>
    <w:multiLevelType w:val="hybridMultilevel"/>
    <w:tmpl w:val="A35EEAD2"/>
    <w:lvl w:ilvl="0" w:tplc="576E912A">
      <w:start w:val="1"/>
      <w:numFmt w:val="bullet"/>
      <w:pStyle w:val="List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58F6F49"/>
    <w:multiLevelType w:val="hybridMultilevel"/>
    <w:tmpl w:val="2BD603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AC53A5"/>
    <w:multiLevelType w:val="multilevel"/>
    <w:tmpl w:val="F40E767A"/>
    <w:styleLink w:val="RobertsList"/>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73C2B33"/>
    <w:multiLevelType w:val="hybridMultilevel"/>
    <w:tmpl w:val="B84020C8"/>
    <w:lvl w:ilvl="0" w:tplc="E43212B0">
      <w:start w:val="1"/>
      <w:numFmt w:val="bullet"/>
      <w:pStyle w:val="Capire-Fax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0EA1E2C"/>
    <w:multiLevelType w:val="hybridMultilevel"/>
    <w:tmpl w:val="542C8F9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2C3674F"/>
    <w:multiLevelType w:val="multilevel"/>
    <w:tmpl w:val="B81208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6707565"/>
    <w:multiLevelType w:val="multilevel"/>
    <w:tmpl w:val="39BC6468"/>
    <w:numStyleLink w:val="Style1"/>
  </w:abstractNum>
  <w:abstractNum w:abstractNumId="26">
    <w:nsid w:val="4ED76000"/>
    <w:multiLevelType w:val="hybridMultilevel"/>
    <w:tmpl w:val="64CE9AA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12E0E01"/>
    <w:multiLevelType w:val="hybridMultilevel"/>
    <w:tmpl w:val="F564B4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6E73123"/>
    <w:multiLevelType w:val="hybridMultilevel"/>
    <w:tmpl w:val="7910F7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B9A5CC9"/>
    <w:multiLevelType w:val="hybridMultilevel"/>
    <w:tmpl w:val="886071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22C716A"/>
    <w:multiLevelType w:val="hybridMultilevel"/>
    <w:tmpl w:val="9EA23B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34E6060"/>
    <w:multiLevelType w:val="hybridMultilevel"/>
    <w:tmpl w:val="2A1837F0"/>
    <w:lvl w:ilvl="0" w:tplc="D488102A">
      <w:start w:val="1"/>
      <w:numFmt w:val="upp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nsid w:val="683809D3"/>
    <w:multiLevelType w:val="hybridMultilevel"/>
    <w:tmpl w:val="0EF88E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9B50F84"/>
    <w:multiLevelType w:val="hybridMultilevel"/>
    <w:tmpl w:val="E382B2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CC6478A"/>
    <w:multiLevelType w:val="multilevel"/>
    <w:tmpl w:val="84122590"/>
    <w:lvl w:ilvl="0">
      <w:start w:val="1"/>
      <w:numFmt w:val="decimal"/>
      <w:pStyle w:val="Heading11"/>
      <w:lvlText w:val="%1."/>
      <w:lvlJc w:val="left"/>
      <w:pPr>
        <w:tabs>
          <w:tab w:val="num" w:pos="432"/>
        </w:tabs>
        <w:ind w:left="432" w:hanging="432"/>
      </w:pPr>
      <w:rPr>
        <w:rFonts w:hint="default"/>
      </w:rPr>
    </w:lvl>
    <w:lvl w:ilvl="1">
      <w:start w:val="1"/>
      <w:numFmt w:val="decimal"/>
      <w:pStyle w:val="Heading2"/>
      <w:lvlText w:val="%1.%2"/>
      <w:lvlJc w:val="left"/>
      <w:pPr>
        <w:tabs>
          <w:tab w:val="num" w:pos="396"/>
        </w:tabs>
        <w:ind w:left="3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684"/>
        </w:tabs>
        <w:ind w:left="684" w:hanging="864"/>
      </w:pPr>
      <w:rPr>
        <w:rFonts w:hint="default"/>
      </w:rPr>
    </w:lvl>
    <w:lvl w:ilvl="4">
      <w:start w:val="1"/>
      <w:numFmt w:val="decimal"/>
      <w:lvlText w:val="%1.%2.%3.%4.%5"/>
      <w:lvlJc w:val="left"/>
      <w:pPr>
        <w:tabs>
          <w:tab w:val="num" w:pos="828"/>
        </w:tabs>
        <w:ind w:left="828" w:hanging="1008"/>
      </w:pPr>
      <w:rPr>
        <w:rFonts w:hint="default"/>
      </w:rPr>
    </w:lvl>
    <w:lvl w:ilvl="5">
      <w:start w:val="1"/>
      <w:numFmt w:val="decimal"/>
      <w:lvlText w:val="%1.%2.%3.%4.%5.%6"/>
      <w:lvlJc w:val="left"/>
      <w:pPr>
        <w:tabs>
          <w:tab w:val="num" w:pos="972"/>
        </w:tabs>
        <w:ind w:left="972" w:hanging="1152"/>
      </w:pPr>
      <w:rPr>
        <w:rFonts w:hint="default"/>
      </w:rPr>
    </w:lvl>
    <w:lvl w:ilvl="6">
      <w:start w:val="1"/>
      <w:numFmt w:val="decimal"/>
      <w:lvlText w:val="%1.%2.%3.%4.%5.%6.%7"/>
      <w:lvlJc w:val="left"/>
      <w:pPr>
        <w:tabs>
          <w:tab w:val="num" w:pos="1116"/>
        </w:tabs>
        <w:ind w:left="1116" w:hanging="1296"/>
      </w:pPr>
      <w:rPr>
        <w:rFonts w:hint="default"/>
      </w:rPr>
    </w:lvl>
    <w:lvl w:ilvl="7">
      <w:start w:val="1"/>
      <w:numFmt w:val="decimal"/>
      <w:lvlText w:val="%1.%2.%3.%4.%5.%6.%7.%8"/>
      <w:lvlJc w:val="left"/>
      <w:pPr>
        <w:tabs>
          <w:tab w:val="num" w:pos="1260"/>
        </w:tabs>
        <w:ind w:left="1260" w:hanging="1440"/>
      </w:pPr>
      <w:rPr>
        <w:rFonts w:hint="default"/>
      </w:rPr>
    </w:lvl>
    <w:lvl w:ilvl="8">
      <w:start w:val="1"/>
      <w:numFmt w:val="decimal"/>
      <w:lvlText w:val="%1.%2.%3.%4.%5.%6.%7.%8.%9"/>
      <w:lvlJc w:val="left"/>
      <w:pPr>
        <w:tabs>
          <w:tab w:val="num" w:pos="1404"/>
        </w:tabs>
        <w:ind w:left="1404" w:hanging="1584"/>
      </w:pPr>
      <w:rPr>
        <w:rFonts w:hint="default"/>
      </w:rPr>
    </w:lvl>
  </w:abstractNum>
  <w:abstractNum w:abstractNumId="35">
    <w:nsid w:val="6F2C3E73"/>
    <w:multiLevelType w:val="hybridMultilevel"/>
    <w:tmpl w:val="F0EC30CA"/>
    <w:lvl w:ilvl="0" w:tplc="56628506">
      <w:start w:val="1"/>
      <w:numFmt w:val="bullet"/>
      <w:pStyle w:val="ListBullet2"/>
      <w:lvlText w:val="o"/>
      <w:lvlJc w:val="left"/>
      <w:pPr>
        <w:ind w:left="1077" w:hanging="360"/>
      </w:pPr>
      <w:rPr>
        <w:rFonts w:ascii="Courier New" w:hAnsi="Courier New"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6">
    <w:nsid w:val="6F7C3E25"/>
    <w:multiLevelType w:val="hybridMultilevel"/>
    <w:tmpl w:val="570E1A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A85090"/>
    <w:multiLevelType w:val="hybridMultilevel"/>
    <w:tmpl w:val="6560A146"/>
    <w:lvl w:ilvl="0" w:tplc="0C090003">
      <w:start w:val="1"/>
      <w:numFmt w:val="bullet"/>
      <w:lvlText w:val="o"/>
      <w:lvlJc w:val="left"/>
      <w:pPr>
        <w:ind w:left="828" w:hanging="360"/>
      </w:pPr>
      <w:rPr>
        <w:rFonts w:ascii="Courier New" w:hAnsi="Courier New" w:cs="Courier New"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38">
    <w:nsid w:val="76252C01"/>
    <w:multiLevelType w:val="multilevel"/>
    <w:tmpl w:val="98625AE8"/>
    <w:lvl w:ilvl="0">
      <w:start w:val="1"/>
      <w:numFmt w:val="decimal"/>
      <w:pStyle w:val="StyleHeading2Tahoma11ptNotItalic1"/>
      <w:lvlText w:val="%1"/>
      <w:lvlJc w:val="left"/>
      <w:pPr>
        <w:tabs>
          <w:tab w:val="num" w:pos="432"/>
        </w:tabs>
        <w:ind w:left="432" w:hanging="432"/>
      </w:pPr>
      <w:rPr>
        <w:rFonts w:cs="Times New Roman"/>
      </w:rPr>
    </w:lvl>
    <w:lvl w:ilvl="1">
      <w:start w:val="1"/>
      <w:numFmt w:val="decimal"/>
      <w:pStyle w:val="StyleHeading2Tahoma11ptNotItalic1"/>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9">
    <w:nsid w:val="7826113C"/>
    <w:multiLevelType w:val="hybridMultilevel"/>
    <w:tmpl w:val="CE529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AA37F48"/>
    <w:multiLevelType w:val="hybridMultilevel"/>
    <w:tmpl w:val="77CC2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F070C7C"/>
    <w:multiLevelType w:val="multilevel"/>
    <w:tmpl w:val="B150F492"/>
    <w:lvl w:ilvl="0">
      <w:start w:val="5"/>
      <w:numFmt w:val="decimal"/>
      <w:pStyle w:val="Subsubheading"/>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pStyle w:val="Subsubheading"/>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38"/>
  </w:num>
  <w:num w:numId="2">
    <w:abstractNumId w:val="22"/>
  </w:num>
  <w:num w:numId="3">
    <w:abstractNumId w:val="41"/>
  </w:num>
  <w:num w:numId="4">
    <w:abstractNumId w:val="19"/>
  </w:num>
  <w:num w:numId="5">
    <w:abstractNumId w:val="7"/>
  </w:num>
  <w:num w:numId="6">
    <w:abstractNumId w:val="4"/>
  </w:num>
  <w:num w:numId="7">
    <w:abstractNumId w:val="11"/>
  </w:num>
  <w:num w:numId="8">
    <w:abstractNumId w:val="35"/>
  </w:num>
  <w:num w:numId="9">
    <w:abstractNumId w:val="25"/>
  </w:num>
  <w:num w:numId="10">
    <w:abstractNumId w:val="21"/>
  </w:num>
  <w:num w:numId="11">
    <w:abstractNumId w:val="14"/>
  </w:num>
  <w:num w:numId="12">
    <w:abstractNumId w:val="34"/>
  </w:num>
  <w:num w:numId="13">
    <w:abstractNumId w:val="24"/>
  </w:num>
  <w:num w:numId="14">
    <w:abstractNumId w:val="34"/>
  </w:num>
  <w:num w:numId="15">
    <w:abstractNumId w:val="0"/>
  </w:num>
  <w:num w:numId="16">
    <w:abstractNumId w:val="1"/>
  </w:num>
  <w:num w:numId="17">
    <w:abstractNumId w:val="2"/>
  </w:num>
  <w:num w:numId="18">
    <w:abstractNumId w:val="3"/>
  </w:num>
  <w:num w:numId="19">
    <w:abstractNumId w:val="17"/>
  </w:num>
  <w:num w:numId="20">
    <w:abstractNumId w:val="15"/>
  </w:num>
  <w:num w:numId="21">
    <w:abstractNumId w:val="32"/>
  </w:num>
  <w:num w:numId="22">
    <w:abstractNumId w:val="39"/>
  </w:num>
  <w:num w:numId="23">
    <w:abstractNumId w:val="19"/>
  </w:num>
  <w:num w:numId="24">
    <w:abstractNumId w:val="13"/>
  </w:num>
  <w:num w:numId="25">
    <w:abstractNumId w:val="40"/>
  </w:num>
  <w:num w:numId="26">
    <w:abstractNumId w:val="12"/>
  </w:num>
  <w:num w:numId="27">
    <w:abstractNumId w:val="31"/>
  </w:num>
  <w:num w:numId="28">
    <w:abstractNumId w:val="5"/>
  </w:num>
  <w:num w:numId="29">
    <w:abstractNumId w:val="20"/>
  </w:num>
  <w:num w:numId="30">
    <w:abstractNumId w:val="27"/>
  </w:num>
  <w:num w:numId="31">
    <w:abstractNumId w:val="28"/>
  </w:num>
  <w:num w:numId="32">
    <w:abstractNumId w:val="26"/>
  </w:num>
  <w:num w:numId="33">
    <w:abstractNumId w:val="8"/>
  </w:num>
  <w:num w:numId="34">
    <w:abstractNumId w:val="37"/>
  </w:num>
  <w:num w:numId="35">
    <w:abstractNumId w:val="33"/>
  </w:num>
  <w:num w:numId="36">
    <w:abstractNumId w:val="30"/>
  </w:num>
  <w:num w:numId="37">
    <w:abstractNumId w:val="9"/>
  </w:num>
  <w:num w:numId="38">
    <w:abstractNumId w:val="18"/>
  </w:num>
  <w:num w:numId="39">
    <w:abstractNumId w:val="16"/>
  </w:num>
  <w:num w:numId="40">
    <w:abstractNumId w:val="29"/>
  </w:num>
  <w:num w:numId="41">
    <w:abstractNumId w:val="23"/>
  </w:num>
  <w:num w:numId="42">
    <w:abstractNumId w:val="10"/>
  </w:num>
  <w:num w:numId="43">
    <w:abstractNumId w:val="6"/>
  </w:num>
  <w:num w:numId="44">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drawingGridHorizontalSpacing w:val="100"/>
  <w:displayHorizontalDrawingGridEvery w:val="2"/>
  <w:characterSpacingControl w:val="doNotCompress"/>
  <w:hdrShapeDefaults>
    <o:shapedefaults v:ext="edit" spidmax="75777">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6B4"/>
    <w:rsid w:val="00000AE4"/>
    <w:rsid w:val="00000E75"/>
    <w:rsid w:val="00003239"/>
    <w:rsid w:val="00004198"/>
    <w:rsid w:val="00004C7D"/>
    <w:rsid w:val="00004D8B"/>
    <w:rsid w:val="00004E3C"/>
    <w:rsid w:val="000068B8"/>
    <w:rsid w:val="00007AC7"/>
    <w:rsid w:val="00007D04"/>
    <w:rsid w:val="00012219"/>
    <w:rsid w:val="00012C05"/>
    <w:rsid w:val="00013259"/>
    <w:rsid w:val="00015BD9"/>
    <w:rsid w:val="00016A84"/>
    <w:rsid w:val="0001773B"/>
    <w:rsid w:val="0002125B"/>
    <w:rsid w:val="0002195D"/>
    <w:rsid w:val="00022BC5"/>
    <w:rsid w:val="000232ED"/>
    <w:rsid w:val="0002361F"/>
    <w:rsid w:val="00026F66"/>
    <w:rsid w:val="0002754E"/>
    <w:rsid w:val="000318E8"/>
    <w:rsid w:val="0003293B"/>
    <w:rsid w:val="0003305E"/>
    <w:rsid w:val="00033540"/>
    <w:rsid w:val="00033DE1"/>
    <w:rsid w:val="00033E0F"/>
    <w:rsid w:val="00035AE2"/>
    <w:rsid w:val="00035B54"/>
    <w:rsid w:val="00035C1C"/>
    <w:rsid w:val="0003628B"/>
    <w:rsid w:val="00037BC1"/>
    <w:rsid w:val="00040AE9"/>
    <w:rsid w:val="00041CB3"/>
    <w:rsid w:val="00043A5C"/>
    <w:rsid w:val="00043A84"/>
    <w:rsid w:val="0004684A"/>
    <w:rsid w:val="00047312"/>
    <w:rsid w:val="00047663"/>
    <w:rsid w:val="000525D6"/>
    <w:rsid w:val="000528B5"/>
    <w:rsid w:val="00053513"/>
    <w:rsid w:val="00054FF7"/>
    <w:rsid w:val="00056D6A"/>
    <w:rsid w:val="00056E5B"/>
    <w:rsid w:val="00060FA2"/>
    <w:rsid w:val="00061162"/>
    <w:rsid w:val="0006123E"/>
    <w:rsid w:val="00061E07"/>
    <w:rsid w:val="00062061"/>
    <w:rsid w:val="000635BB"/>
    <w:rsid w:val="000667E3"/>
    <w:rsid w:val="00067BC4"/>
    <w:rsid w:val="00067C45"/>
    <w:rsid w:val="00070200"/>
    <w:rsid w:val="0007023D"/>
    <w:rsid w:val="00070306"/>
    <w:rsid w:val="00070916"/>
    <w:rsid w:val="00072B96"/>
    <w:rsid w:val="00073858"/>
    <w:rsid w:val="0007440E"/>
    <w:rsid w:val="000763E5"/>
    <w:rsid w:val="00081E2F"/>
    <w:rsid w:val="00081EB5"/>
    <w:rsid w:val="00086207"/>
    <w:rsid w:val="0008624F"/>
    <w:rsid w:val="0008690F"/>
    <w:rsid w:val="00087D82"/>
    <w:rsid w:val="0009164A"/>
    <w:rsid w:val="00093618"/>
    <w:rsid w:val="000939CB"/>
    <w:rsid w:val="00094C9F"/>
    <w:rsid w:val="00095686"/>
    <w:rsid w:val="00095C4A"/>
    <w:rsid w:val="0009638B"/>
    <w:rsid w:val="000974AE"/>
    <w:rsid w:val="00097AAD"/>
    <w:rsid w:val="000A03EB"/>
    <w:rsid w:val="000A224C"/>
    <w:rsid w:val="000A2852"/>
    <w:rsid w:val="000A2E0D"/>
    <w:rsid w:val="000A381F"/>
    <w:rsid w:val="000A42F9"/>
    <w:rsid w:val="000A44A6"/>
    <w:rsid w:val="000A4B6E"/>
    <w:rsid w:val="000A6640"/>
    <w:rsid w:val="000A67DD"/>
    <w:rsid w:val="000B012F"/>
    <w:rsid w:val="000B2C0C"/>
    <w:rsid w:val="000B38B9"/>
    <w:rsid w:val="000B40E8"/>
    <w:rsid w:val="000B4708"/>
    <w:rsid w:val="000B480E"/>
    <w:rsid w:val="000B4965"/>
    <w:rsid w:val="000B4CEC"/>
    <w:rsid w:val="000B4FF4"/>
    <w:rsid w:val="000B5236"/>
    <w:rsid w:val="000B6410"/>
    <w:rsid w:val="000B7FFB"/>
    <w:rsid w:val="000C0392"/>
    <w:rsid w:val="000C2F17"/>
    <w:rsid w:val="000C3475"/>
    <w:rsid w:val="000C5EF1"/>
    <w:rsid w:val="000C6BA8"/>
    <w:rsid w:val="000C774C"/>
    <w:rsid w:val="000D0003"/>
    <w:rsid w:val="000D16AE"/>
    <w:rsid w:val="000D1746"/>
    <w:rsid w:val="000D49BF"/>
    <w:rsid w:val="000D5CE6"/>
    <w:rsid w:val="000D5E85"/>
    <w:rsid w:val="000D68D8"/>
    <w:rsid w:val="000E025B"/>
    <w:rsid w:val="000E08F9"/>
    <w:rsid w:val="000E0DAA"/>
    <w:rsid w:val="000E1BB6"/>
    <w:rsid w:val="000E3014"/>
    <w:rsid w:val="000E3A00"/>
    <w:rsid w:val="000E4075"/>
    <w:rsid w:val="000E72BF"/>
    <w:rsid w:val="000F1C50"/>
    <w:rsid w:val="000F2894"/>
    <w:rsid w:val="000F3522"/>
    <w:rsid w:val="000F3999"/>
    <w:rsid w:val="000F4ECA"/>
    <w:rsid w:val="000F5179"/>
    <w:rsid w:val="000F5FA0"/>
    <w:rsid w:val="00104051"/>
    <w:rsid w:val="001078F3"/>
    <w:rsid w:val="00107FCD"/>
    <w:rsid w:val="001109D4"/>
    <w:rsid w:val="001114E3"/>
    <w:rsid w:val="00111CF8"/>
    <w:rsid w:val="00111DEA"/>
    <w:rsid w:val="0011357A"/>
    <w:rsid w:val="0011591F"/>
    <w:rsid w:val="001165CF"/>
    <w:rsid w:val="00121D7F"/>
    <w:rsid w:val="00122182"/>
    <w:rsid w:val="00122B7B"/>
    <w:rsid w:val="001231D9"/>
    <w:rsid w:val="00126922"/>
    <w:rsid w:val="00126A81"/>
    <w:rsid w:val="001305A8"/>
    <w:rsid w:val="00132410"/>
    <w:rsid w:val="00132DA7"/>
    <w:rsid w:val="001336AB"/>
    <w:rsid w:val="00133F9B"/>
    <w:rsid w:val="001342B2"/>
    <w:rsid w:val="0013445D"/>
    <w:rsid w:val="0013512F"/>
    <w:rsid w:val="00135664"/>
    <w:rsid w:val="00135BFF"/>
    <w:rsid w:val="00136041"/>
    <w:rsid w:val="0013722C"/>
    <w:rsid w:val="001412A4"/>
    <w:rsid w:val="00141933"/>
    <w:rsid w:val="00142D7B"/>
    <w:rsid w:val="00143D12"/>
    <w:rsid w:val="001447AF"/>
    <w:rsid w:val="00144E2B"/>
    <w:rsid w:val="001458E1"/>
    <w:rsid w:val="00147BBD"/>
    <w:rsid w:val="001506B5"/>
    <w:rsid w:val="00152BF2"/>
    <w:rsid w:val="00152F1C"/>
    <w:rsid w:val="00154163"/>
    <w:rsid w:val="001550D4"/>
    <w:rsid w:val="0015529E"/>
    <w:rsid w:val="00155883"/>
    <w:rsid w:val="001561A1"/>
    <w:rsid w:val="00156AAD"/>
    <w:rsid w:val="00157671"/>
    <w:rsid w:val="00161120"/>
    <w:rsid w:val="00161301"/>
    <w:rsid w:val="001614F8"/>
    <w:rsid w:val="00162A9C"/>
    <w:rsid w:val="00166FE8"/>
    <w:rsid w:val="00167767"/>
    <w:rsid w:val="00167A73"/>
    <w:rsid w:val="00170205"/>
    <w:rsid w:val="001710B9"/>
    <w:rsid w:val="0017127A"/>
    <w:rsid w:val="00171DCC"/>
    <w:rsid w:val="001726C8"/>
    <w:rsid w:val="00172D23"/>
    <w:rsid w:val="001731AF"/>
    <w:rsid w:val="00173B98"/>
    <w:rsid w:val="00174FF5"/>
    <w:rsid w:val="0017644D"/>
    <w:rsid w:val="00176C1C"/>
    <w:rsid w:val="00177BCE"/>
    <w:rsid w:val="00180037"/>
    <w:rsid w:val="0018077C"/>
    <w:rsid w:val="00181FC6"/>
    <w:rsid w:val="00182421"/>
    <w:rsid w:val="00183825"/>
    <w:rsid w:val="00183FA8"/>
    <w:rsid w:val="00184E45"/>
    <w:rsid w:val="00190FE8"/>
    <w:rsid w:val="00191722"/>
    <w:rsid w:val="001924CF"/>
    <w:rsid w:val="00193F44"/>
    <w:rsid w:val="00194DD6"/>
    <w:rsid w:val="001952AF"/>
    <w:rsid w:val="001966B1"/>
    <w:rsid w:val="001A05CB"/>
    <w:rsid w:val="001A1080"/>
    <w:rsid w:val="001A275F"/>
    <w:rsid w:val="001A31B7"/>
    <w:rsid w:val="001A5CFD"/>
    <w:rsid w:val="001A6ABA"/>
    <w:rsid w:val="001B03D1"/>
    <w:rsid w:val="001B05A0"/>
    <w:rsid w:val="001B0B7E"/>
    <w:rsid w:val="001B1A98"/>
    <w:rsid w:val="001B20FF"/>
    <w:rsid w:val="001B235F"/>
    <w:rsid w:val="001B4172"/>
    <w:rsid w:val="001B4261"/>
    <w:rsid w:val="001B54AB"/>
    <w:rsid w:val="001B59A5"/>
    <w:rsid w:val="001B5CB7"/>
    <w:rsid w:val="001B5E0F"/>
    <w:rsid w:val="001B685B"/>
    <w:rsid w:val="001B6A45"/>
    <w:rsid w:val="001B7961"/>
    <w:rsid w:val="001B7DB5"/>
    <w:rsid w:val="001C0557"/>
    <w:rsid w:val="001C0881"/>
    <w:rsid w:val="001C2583"/>
    <w:rsid w:val="001C41E9"/>
    <w:rsid w:val="001C45E4"/>
    <w:rsid w:val="001C4C28"/>
    <w:rsid w:val="001C5AA5"/>
    <w:rsid w:val="001C5C9A"/>
    <w:rsid w:val="001C5E39"/>
    <w:rsid w:val="001C7DC6"/>
    <w:rsid w:val="001D1890"/>
    <w:rsid w:val="001D1B11"/>
    <w:rsid w:val="001D22CD"/>
    <w:rsid w:val="001D260A"/>
    <w:rsid w:val="001D2FA7"/>
    <w:rsid w:val="001D3442"/>
    <w:rsid w:val="001D3917"/>
    <w:rsid w:val="001D4197"/>
    <w:rsid w:val="001D4868"/>
    <w:rsid w:val="001D52CB"/>
    <w:rsid w:val="001D722A"/>
    <w:rsid w:val="001D7454"/>
    <w:rsid w:val="001D7F57"/>
    <w:rsid w:val="001E05F9"/>
    <w:rsid w:val="001E0AF4"/>
    <w:rsid w:val="001E1312"/>
    <w:rsid w:val="001E1425"/>
    <w:rsid w:val="001E15E1"/>
    <w:rsid w:val="001E3A34"/>
    <w:rsid w:val="001E5F9B"/>
    <w:rsid w:val="001E6376"/>
    <w:rsid w:val="001E6F6B"/>
    <w:rsid w:val="001E75B9"/>
    <w:rsid w:val="001E7F21"/>
    <w:rsid w:val="001F0059"/>
    <w:rsid w:val="001F09DC"/>
    <w:rsid w:val="001F227E"/>
    <w:rsid w:val="001F4931"/>
    <w:rsid w:val="001F619E"/>
    <w:rsid w:val="001F66D6"/>
    <w:rsid w:val="0020187E"/>
    <w:rsid w:val="0020198B"/>
    <w:rsid w:val="002026E3"/>
    <w:rsid w:val="00203156"/>
    <w:rsid w:val="00204C3D"/>
    <w:rsid w:val="00204DFD"/>
    <w:rsid w:val="002059F0"/>
    <w:rsid w:val="002062A6"/>
    <w:rsid w:val="002070B5"/>
    <w:rsid w:val="0020714F"/>
    <w:rsid w:val="00211E5F"/>
    <w:rsid w:val="002120E9"/>
    <w:rsid w:val="0021254E"/>
    <w:rsid w:val="00213502"/>
    <w:rsid w:val="00213CF7"/>
    <w:rsid w:val="00215693"/>
    <w:rsid w:val="0021747A"/>
    <w:rsid w:val="002201FB"/>
    <w:rsid w:val="00220911"/>
    <w:rsid w:val="002261DE"/>
    <w:rsid w:val="002261EE"/>
    <w:rsid w:val="00227110"/>
    <w:rsid w:val="002275D9"/>
    <w:rsid w:val="00227B68"/>
    <w:rsid w:val="0023017C"/>
    <w:rsid w:val="0023043E"/>
    <w:rsid w:val="00230AB1"/>
    <w:rsid w:val="00230B89"/>
    <w:rsid w:val="00230C3E"/>
    <w:rsid w:val="00234522"/>
    <w:rsid w:val="0023480E"/>
    <w:rsid w:val="00235480"/>
    <w:rsid w:val="002362BE"/>
    <w:rsid w:val="0024059F"/>
    <w:rsid w:val="002413DC"/>
    <w:rsid w:val="00241842"/>
    <w:rsid w:val="00243A05"/>
    <w:rsid w:val="002465FA"/>
    <w:rsid w:val="002470A4"/>
    <w:rsid w:val="00250493"/>
    <w:rsid w:val="00250A85"/>
    <w:rsid w:val="00250F93"/>
    <w:rsid w:val="00251642"/>
    <w:rsid w:val="00251ED7"/>
    <w:rsid w:val="00252B9E"/>
    <w:rsid w:val="00253709"/>
    <w:rsid w:val="002543CA"/>
    <w:rsid w:val="00256450"/>
    <w:rsid w:val="00257D22"/>
    <w:rsid w:val="00261319"/>
    <w:rsid w:val="0026317B"/>
    <w:rsid w:val="00265016"/>
    <w:rsid w:val="002651E6"/>
    <w:rsid w:val="002652E9"/>
    <w:rsid w:val="00265F6A"/>
    <w:rsid w:val="00266509"/>
    <w:rsid w:val="00270000"/>
    <w:rsid w:val="00270E57"/>
    <w:rsid w:val="00272F81"/>
    <w:rsid w:val="00273431"/>
    <w:rsid w:val="00275017"/>
    <w:rsid w:val="0027572C"/>
    <w:rsid w:val="00280287"/>
    <w:rsid w:val="002825F2"/>
    <w:rsid w:val="002828AD"/>
    <w:rsid w:val="00282E19"/>
    <w:rsid w:val="00283FEE"/>
    <w:rsid w:val="002852B7"/>
    <w:rsid w:val="00285C26"/>
    <w:rsid w:val="00290BCA"/>
    <w:rsid w:val="00291EE0"/>
    <w:rsid w:val="0029265E"/>
    <w:rsid w:val="002934C4"/>
    <w:rsid w:val="00294143"/>
    <w:rsid w:val="00294DFB"/>
    <w:rsid w:val="002968D1"/>
    <w:rsid w:val="002A01F4"/>
    <w:rsid w:val="002A0900"/>
    <w:rsid w:val="002A10E0"/>
    <w:rsid w:val="002A1AB3"/>
    <w:rsid w:val="002A2102"/>
    <w:rsid w:val="002A21FF"/>
    <w:rsid w:val="002A275B"/>
    <w:rsid w:val="002A2E91"/>
    <w:rsid w:val="002A38A9"/>
    <w:rsid w:val="002A3D6B"/>
    <w:rsid w:val="002A3F97"/>
    <w:rsid w:val="002A67F3"/>
    <w:rsid w:val="002A7BE3"/>
    <w:rsid w:val="002B0250"/>
    <w:rsid w:val="002B0ACD"/>
    <w:rsid w:val="002B0C08"/>
    <w:rsid w:val="002B364F"/>
    <w:rsid w:val="002B3AC9"/>
    <w:rsid w:val="002B4DE5"/>
    <w:rsid w:val="002B6823"/>
    <w:rsid w:val="002B6906"/>
    <w:rsid w:val="002B6E57"/>
    <w:rsid w:val="002C0407"/>
    <w:rsid w:val="002C0A47"/>
    <w:rsid w:val="002C0E96"/>
    <w:rsid w:val="002C102C"/>
    <w:rsid w:val="002C12E4"/>
    <w:rsid w:val="002C1F0A"/>
    <w:rsid w:val="002C2334"/>
    <w:rsid w:val="002C350B"/>
    <w:rsid w:val="002C437E"/>
    <w:rsid w:val="002C46EA"/>
    <w:rsid w:val="002C5EDD"/>
    <w:rsid w:val="002C6B94"/>
    <w:rsid w:val="002D111F"/>
    <w:rsid w:val="002D189F"/>
    <w:rsid w:val="002D211B"/>
    <w:rsid w:val="002D3BE7"/>
    <w:rsid w:val="002D3DAD"/>
    <w:rsid w:val="002D50AF"/>
    <w:rsid w:val="002D6C51"/>
    <w:rsid w:val="002E0E40"/>
    <w:rsid w:val="002E1236"/>
    <w:rsid w:val="002E1A42"/>
    <w:rsid w:val="002E1A8B"/>
    <w:rsid w:val="002E26E0"/>
    <w:rsid w:val="002E38A7"/>
    <w:rsid w:val="002E4B5E"/>
    <w:rsid w:val="002E5741"/>
    <w:rsid w:val="002E63D9"/>
    <w:rsid w:val="002E6EB7"/>
    <w:rsid w:val="002F000A"/>
    <w:rsid w:val="002F1357"/>
    <w:rsid w:val="002F18CF"/>
    <w:rsid w:val="002F3879"/>
    <w:rsid w:val="002F3C13"/>
    <w:rsid w:val="002F5012"/>
    <w:rsid w:val="002F6158"/>
    <w:rsid w:val="002F668B"/>
    <w:rsid w:val="00300987"/>
    <w:rsid w:val="00301AD8"/>
    <w:rsid w:val="00301F2A"/>
    <w:rsid w:val="00301FFF"/>
    <w:rsid w:val="00302833"/>
    <w:rsid w:val="00303DD1"/>
    <w:rsid w:val="003060A0"/>
    <w:rsid w:val="003064C5"/>
    <w:rsid w:val="003107CE"/>
    <w:rsid w:val="003108CC"/>
    <w:rsid w:val="00310955"/>
    <w:rsid w:val="00311E4A"/>
    <w:rsid w:val="00312227"/>
    <w:rsid w:val="003136D3"/>
    <w:rsid w:val="00313B97"/>
    <w:rsid w:val="00313C08"/>
    <w:rsid w:val="00313DAE"/>
    <w:rsid w:val="0031584C"/>
    <w:rsid w:val="003159F2"/>
    <w:rsid w:val="00315C8D"/>
    <w:rsid w:val="003169FD"/>
    <w:rsid w:val="00317702"/>
    <w:rsid w:val="00317EDA"/>
    <w:rsid w:val="00320C4D"/>
    <w:rsid w:val="0032138E"/>
    <w:rsid w:val="003220D8"/>
    <w:rsid w:val="00322E3B"/>
    <w:rsid w:val="00322FE8"/>
    <w:rsid w:val="003235C5"/>
    <w:rsid w:val="00323E28"/>
    <w:rsid w:val="003240EA"/>
    <w:rsid w:val="0032575A"/>
    <w:rsid w:val="00325D23"/>
    <w:rsid w:val="0032741E"/>
    <w:rsid w:val="00331634"/>
    <w:rsid w:val="003317C8"/>
    <w:rsid w:val="00332EFB"/>
    <w:rsid w:val="00333349"/>
    <w:rsid w:val="0033442E"/>
    <w:rsid w:val="00334702"/>
    <w:rsid w:val="00335957"/>
    <w:rsid w:val="00336F50"/>
    <w:rsid w:val="00337E46"/>
    <w:rsid w:val="00342B9F"/>
    <w:rsid w:val="00342C21"/>
    <w:rsid w:val="00342CE3"/>
    <w:rsid w:val="00342D57"/>
    <w:rsid w:val="003444EA"/>
    <w:rsid w:val="00344EAB"/>
    <w:rsid w:val="00346259"/>
    <w:rsid w:val="0034760A"/>
    <w:rsid w:val="0034799B"/>
    <w:rsid w:val="00347C81"/>
    <w:rsid w:val="00352281"/>
    <w:rsid w:val="00352F2D"/>
    <w:rsid w:val="00352F98"/>
    <w:rsid w:val="00353496"/>
    <w:rsid w:val="003541F6"/>
    <w:rsid w:val="003543D0"/>
    <w:rsid w:val="003561A4"/>
    <w:rsid w:val="00357EC0"/>
    <w:rsid w:val="0036039E"/>
    <w:rsid w:val="00361022"/>
    <w:rsid w:val="00362681"/>
    <w:rsid w:val="00363278"/>
    <w:rsid w:val="00363344"/>
    <w:rsid w:val="00363461"/>
    <w:rsid w:val="00365538"/>
    <w:rsid w:val="00365DE5"/>
    <w:rsid w:val="00365E50"/>
    <w:rsid w:val="003661D1"/>
    <w:rsid w:val="0036649E"/>
    <w:rsid w:val="00367F94"/>
    <w:rsid w:val="0037229D"/>
    <w:rsid w:val="003736FD"/>
    <w:rsid w:val="003737BB"/>
    <w:rsid w:val="00373D75"/>
    <w:rsid w:val="00373D7C"/>
    <w:rsid w:val="00374432"/>
    <w:rsid w:val="00374D5D"/>
    <w:rsid w:val="00374FBB"/>
    <w:rsid w:val="00375411"/>
    <w:rsid w:val="00375977"/>
    <w:rsid w:val="00377259"/>
    <w:rsid w:val="003825FA"/>
    <w:rsid w:val="00382BD8"/>
    <w:rsid w:val="00384414"/>
    <w:rsid w:val="0038681A"/>
    <w:rsid w:val="00386A49"/>
    <w:rsid w:val="0038745E"/>
    <w:rsid w:val="003878EB"/>
    <w:rsid w:val="003915B4"/>
    <w:rsid w:val="003916C0"/>
    <w:rsid w:val="003916F8"/>
    <w:rsid w:val="00392827"/>
    <w:rsid w:val="00392969"/>
    <w:rsid w:val="0039370F"/>
    <w:rsid w:val="00395260"/>
    <w:rsid w:val="00397D46"/>
    <w:rsid w:val="003A1040"/>
    <w:rsid w:val="003A12C3"/>
    <w:rsid w:val="003A174D"/>
    <w:rsid w:val="003A2810"/>
    <w:rsid w:val="003A2F47"/>
    <w:rsid w:val="003A47EC"/>
    <w:rsid w:val="003A4D13"/>
    <w:rsid w:val="003A56CC"/>
    <w:rsid w:val="003A7752"/>
    <w:rsid w:val="003B01E9"/>
    <w:rsid w:val="003B041E"/>
    <w:rsid w:val="003B0892"/>
    <w:rsid w:val="003B147B"/>
    <w:rsid w:val="003B1898"/>
    <w:rsid w:val="003B1E50"/>
    <w:rsid w:val="003B270C"/>
    <w:rsid w:val="003B3362"/>
    <w:rsid w:val="003B37F9"/>
    <w:rsid w:val="003B4546"/>
    <w:rsid w:val="003B4D03"/>
    <w:rsid w:val="003B5502"/>
    <w:rsid w:val="003B6EA7"/>
    <w:rsid w:val="003B7C38"/>
    <w:rsid w:val="003C0BCA"/>
    <w:rsid w:val="003C25CA"/>
    <w:rsid w:val="003C3060"/>
    <w:rsid w:val="003C3A8E"/>
    <w:rsid w:val="003C3CE3"/>
    <w:rsid w:val="003C57AB"/>
    <w:rsid w:val="003C64ED"/>
    <w:rsid w:val="003C6AB9"/>
    <w:rsid w:val="003C6C3E"/>
    <w:rsid w:val="003C74C4"/>
    <w:rsid w:val="003D0221"/>
    <w:rsid w:val="003D0D6E"/>
    <w:rsid w:val="003D1536"/>
    <w:rsid w:val="003D1692"/>
    <w:rsid w:val="003D1722"/>
    <w:rsid w:val="003D3B17"/>
    <w:rsid w:val="003D4FC2"/>
    <w:rsid w:val="003E0557"/>
    <w:rsid w:val="003E1071"/>
    <w:rsid w:val="003E1DFB"/>
    <w:rsid w:val="003E2CC0"/>
    <w:rsid w:val="003E2F45"/>
    <w:rsid w:val="003E3333"/>
    <w:rsid w:val="003E46AD"/>
    <w:rsid w:val="003E5496"/>
    <w:rsid w:val="003E649B"/>
    <w:rsid w:val="003E6DB6"/>
    <w:rsid w:val="003F038B"/>
    <w:rsid w:val="003F0BD1"/>
    <w:rsid w:val="003F49C2"/>
    <w:rsid w:val="003F681D"/>
    <w:rsid w:val="00401721"/>
    <w:rsid w:val="004040E7"/>
    <w:rsid w:val="00404245"/>
    <w:rsid w:val="00404C4F"/>
    <w:rsid w:val="00406254"/>
    <w:rsid w:val="00406ADA"/>
    <w:rsid w:val="00406DF1"/>
    <w:rsid w:val="00410A29"/>
    <w:rsid w:val="0041258C"/>
    <w:rsid w:val="00413CF4"/>
    <w:rsid w:val="0041680C"/>
    <w:rsid w:val="00417148"/>
    <w:rsid w:val="0041779E"/>
    <w:rsid w:val="00422C03"/>
    <w:rsid w:val="00423254"/>
    <w:rsid w:val="0042457D"/>
    <w:rsid w:val="0042540F"/>
    <w:rsid w:val="00425CC3"/>
    <w:rsid w:val="00426264"/>
    <w:rsid w:val="00426D47"/>
    <w:rsid w:val="00432513"/>
    <w:rsid w:val="00433BBA"/>
    <w:rsid w:val="004340FE"/>
    <w:rsid w:val="004347E9"/>
    <w:rsid w:val="004348DB"/>
    <w:rsid w:val="00435AD3"/>
    <w:rsid w:val="00435D7A"/>
    <w:rsid w:val="0043743E"/>
    <w:rsid w:val="00437DD8"/>
    <w:rsid w:val="00440C3C"/>
    <w:rsid w:val="00441465"/>
    <w:rsid w:val="00441EAD"/>
    <w:rsid w:val="00443392"/>
    <w:rsid w:val="004436FA"/>
    <w:rsid w:val="00443D65"/>
    <w:rsid w:val="00444E59"/>
    <w:rsid w:val="00444F5D"/>
    <w:rsid w:val="00447D96"/>
    <w:rsid w:val="0045031B"/>
    <w:rsid w:val="0045426F"/>
    <w:rsid w:val="00455C59"/>
    <w:rsid w:val="00455FD8"/>
    <w:rsid w:val="00456206"/>
    <w:rsid w:val="00456880"/>
    <w:rsid w:val="004568C5"/>
    <w:rsid w:val="00457D09"/>
    <w:rsid w:val="004607F5"/>
    <w:rsid w:val="00461E66"/>
    <w:rsid w:val="00461E82"/>
    <w:rsid w:val="004632DC"/>
    <w:rsid w:val="00463326"/>
    <w:rsid w:val="00463C4D"/>
    <w:rsid w:val="0046407A"/>
    <w:rsid w:val="00466F27"/>
    <w:rsid w:val="00467037"/>
    <w:rsid w:val="004674A0"/>
    <w:rsid w:val="004676F1"/>
    <w:rsid w:val="00467D1C"/>
    <w:rsid w:val="004707C7"/>
    <w:rsid w:val="004708B4"/>
    <w:rsid w:val="00471FFA"/>
    <w:rsid w:val="00473248"/>
    <w:rsid w:val="004758D7"/>
    <w:rsid w:val="0047748C"/>
    <w:rsid w:val="00480CFA"/>
    <w:rsid w:val="00480DF2"/>
    <w:rsid w:val="00480E63"/>
    <w:rsid w:val="00481E98"/>
    <w:rsid w:val="0048223C"/>
    <w:rsid w:val="004845AD"/>
    <w:rsid w:val="0048479A"/>
    <w:rsid w:val="004877EE"/>
    <w:rsid w:val="00487977"/>
    <w:rsid w:val="00487E5E"/>
    <w:rsid w:val="0049011C"/>
    <w:rsid w:val="004929B1"/>
    <w:rsid w:val="00492E06"/>
    <w:rsid w:val="004935DA"/>
    <w:rsid w:val="00493C09"/>
    <w:rsid w:val="00494D02"/>
    <w:rsid w:val="00496B8D"/>
    <w:rsid w:val="00496BF4"/>
    <w:rsid w:val="00496FFB"/>
    <w:rsid w:val="00497195"/>
    <w:rsid w:val="00497538"/>
    <w:rsid w:val="004A2E22"/>
    <w:rsid w:val="004A32E3"/>
    <w:rsid w:val="004A35F7"/>
    <w:rsid w:val="004A3FCA"/>
    <w:rsid w:val="004A4B9B"/>
    <w:rsid w:val="004A57BE"/>
    <w:rsid w:val="004A61CF"/>
    <w:rsid w:val="004A6567"/>
    <w:rsid w:val="004A77E9"/>
    <w:rsid w:val="004A7B07"/>
    <w:rsid w:val="004B2881"/>
    <w:rsid w:val="004B327D"/>
    <w:rsid w:val="004B388B"/>
    <w:rsid w:val="004B3AA2"/>
    <w:rsid w:val="004B3CC5"/>
    <w:rsid w:val="004B6283"/>
    <w:rsid w:val="004B6A97"/>
    <w:rsid w:val="004B6D85"/>
    <w:rsid w:val="004B7A25"/>
    <w:rsid w:val="004B7C37"/>
    <w:rsid w:val="004C014C"/>
    <w:rsid w:val="004C11A2"/>
    <w:rsid w:val="004C5EAC"/>
    <w:rsid w:val="004C5EEF"/>
    <w:rsid w:val="004C5F97"/>
    <w:rsid w:val="004C6FA4"/>
    <w:rsid w:val="004C7752"/>
    <w:rsid w:val="004C7A27"/>
    <w:rsid w:val="004C7DAA"/>
    <w:rsid w:val="004D05BE"/>
    <w:rsid w:val="004D137C"/>
    <w:rsid w:val="004D3F5D"/>
    <w:rsid w:val="004D422B"/>
    <w:rsid w:val="004D524A"/>
    <w:rsid w:val="004D58BC"/>
    <w:rsid w:val="004D5F40"/>
    <w:rsid w:val="004D653A"/>
    <w:rsid w:val="004D73AC"/>
    <w:rsid w:val="004D7913"/>
    <w:rsid w:val="004E2031"/>
    <w:rsid w:val="004E330D"/>
    <w:rsid w:val="004E3356"/>
    <w:rsid w:val="004E3C99"/>
    <w:rsid w:val="004E4A20"/>
    <w:rsid w:val="004E4BE2"/>
    <w:rsid w:val="004F0E76"/>
    <w:rsid w:val="004F2AC7"/>
    <w:rsid w:val="004F36C7"/>
    <w:rsid w:val="004F3CD8"/>
    <w:rsid w:val="004F400E"/>
    <w:rsid w:val="004F4D1D"/>
    <w:rsid w:val="004F508C"/>
    <w:rsid w:val="004F54B5"/>
    <w:rsid w:val="004F5F14"/>
    <w:rsid w:val="004F68E2"/>
    <w:rsid w:val="00501FB9"/>
    <w:rsid w:val="00503F41"/>
    <w:rsid w:val="005044AE"/>
    <w:rsid w:val="005053A1"/>
    <w:rsid w:val="00505A33"/>
    <w:rsid w:val="0050632F"/>
    <w:rsid w:val="005066B9"/>
    <w:rsid w:val="00506B88"/>
    <w:rsid w:val="00510400"/>
    <w:rsid w:val="00511231"/>
    <w:rsid w:val="005114B5"/>
    <w:rsid w:val="00511840"/>
    <w:rsid w:val="005137BE"/>
    <w:rsid w:val="0051412F"/>
    <w:rsid w:val="005141FE"/>
    <w:rsid w:val="00514A3C"/>
    <w:rsid w:val="00515363"/>
    <w:rsid w:val="005202A0"/>
    <w:rsid w:val="005205D0"/>
    <w:rsid w:val="0052260A"/>
    <w:rsid w:val="00522BF5"/>
    <w:rsid w:val="005231AA"/>
    <w:rsid w:val="005238EA"/>
    <w:rsid w:val="00524AE0"/>
    <w:rsid w:val="00524CC0"/>
    <w:rsid w:val="00527059"/>
    <w:rsid w:val="00527482"/>
    <w:rsid w:val="00527603"/>
    <w:rsid w:val="005276CB"/>
    <w:rsid w:val="00530264"/>
    <w:rsid w:val="005310E0"/>
    <w:rsid w:val="00531F4A"/>
    <w:rsid w:val="005328D1"/>
    <w:rsid w:val="00532EEC"/>
    <w:rsid w:val="00534428"/>
    <w:rsid w:val="00535057"/>
    <w:rsid w:val="00537648"/>
    <w:rsid w:val="00537957"/>
    <w:rsid w:val="0054063A"/>
    <w:rsid w:val="005433B5"/>
    <w:rsid w:val="0054380E"/>
    <w:rsid w:val="0054586F"/>
    <w:rsid w:val="00545D66"/>
    <w:rsid w:val="0054639D"/>
    <w:rsid w:val="0054712C"/>
    <w:rsid w:val="00547E46"/>
    <w:rsid w:val="005508C9"/>
    <w:rsid w:val="00554A8F"/>
    <w:rsid w:val="00555753"/>
    <w:rsid w:val="00555F74"/>
    <w:rsid w:val="00557367"/>
    <w:rsid w:val="005573F8"/>
    <w:rsid w:val="00560921"/>
    <w:rsid w:val="00561D3E"/>
    <w:rsid w:val="005623EB"/>
    <w:rsid w:val="00562F76"/>
    <w:rsid w:val="0056404E"/>
    <w:rsid w:val="005648A5"/>
    <w:rsid w:val="005651B7"/>
    <w:rsid w:val="00566813"/>
    <w:rsid w:val="00567605"/>
    <w:rsid w:val="00570505"/>
    <w:rsid w:val="0057086D"/>
    <w:rsid w:val="00571EB1"/>
    <w:rsid w:val="00573B86"/>
    <w:rsid w:val="00573DB4"/>
    <w:rsid w:val="005740F3"/>
    <w:rsid w:val="00575491"/>
    <w:rsid w:val="005759F2"/>
    <w:rsid w:val="005768E7"/>
    <w:rsid w:val="00576FE9"/>
    <w:rsid w:val="005844F3"/>
    <w:rsid w:val="00587251"/>
    <w:rsid w:val="005873D7"/>
    <w:rsid w:val="00594589"/>
    <w:rsid w:val="00594A30"/>
    <w:rsid w:val="0059534C"/>
    <w:rsid w:val="00595938"/>
    <w:rsid w:val="00595F8B"/>
    <w:rsid w:val="005960C5"/>
    <w:rsid w:val="00596988"/>
    <w:rsid w:val="005978F4"/>
    <w:rsid w:val="00597997"/>
    <w:rsid w:val="00597F52"/>
    <w:rsid w:val="005A0F47"/>
    <w:rsid w:val="005A100E"/>
    <w:rsid w:val="005A13A4"/>
    <w:rsid w:val="005A2752"/>
    <w:rsid w:val="005A2CA0"/>
    <w:rsid w:val="005A38C2"/>
    <w:rsid w:val="005A3976"/>
    <w:rsid w:val="005A55CE"/>
    <w:rsid w:val="005A56BF"/>
    <w:rsid w:val="005A5947"/>
    <w:rsid w:val="005A5E39"/>
    <w:rsid w:val="005A7636"/>
    <w:rsid w:val="005B01F7"/>
    <w:rsid w:val="005B1214"/>
    <w:rsid w:val="005B1AEA"/>
    <w:rsid w:val="005B1E4B"/>
    <w:rsid w:val="005B22CF"/>
    <w:rsid w:val="005B2B38"/>
    <w:rsid w:val="005B708D"/>
    <w:rsid w:val="005B7D0A"/>
    <w:rsid w:val="005C2102"/>
    <w:rsid w:val="005C4520"/>
    <w:rsid w:val="005C4848"/>
    <w:rsid w:val="005C769B"/>
    <w:rsid w:val="005C7835"/>
    <w:rsid w:val="005C7FA8"/>
    <w:rsid w:val="005D144B"/>
    <w:rsid w:val="005D15A2"/>
    <w:rsid w:val="005D3842"/>
    <w:rsid w:val="005D58CB"/>
    <w:rsid w:val="005D6C64"/>
    <w:rsid w:val="005D792C"/>
    <w:rsid w:val="005D7CB1"/>
    <w:rsid w:val="005E1ACE"/>
    <w:rsid w:val="005E2197"/>
    <w:rsid w:val="005E28AC"/>
    <w:rsid w:val="005E3074"/>
    <w:rsid w:val="005E4AAC"/>
    <w:rsid w:val="005E4EE3"/>
    <w:rsid w:val="005E67D0"/>
    <w:rsid w:val="005E6F8E"/>
    <w:rsid w:val="005E7368"/>
    <w:rsid w:val="005F10F7"/>
    <w:rsid w:val="005F16BC"/>
    <w:rsid w:val="005F2B82"/>
    <w:rsid w:val="005F41B2"/>
    <w:rsid w:val="005F42C8"/>
    <w:rsid w:val="005F4DB0"/>
    <w:rsid w:val="005F5C9B"/>
    <w:rsid w:val="005F5E04"/>
    <w:rsid w:val="005F64AF"/>
    <w:rsid w:val="005F6B30"/>
    <w:rsid w:val="005F6E0C"/>
    <w:rsid w:val="005F6E91"/>
    <w:rsid w:val="005F7A51"/>
    <w:rsid w:val="0060006B"/>
    <w:rsid w:val="006006DC"/>
    <w:rsid w:val="006016DC"/>
    <w:rsid w:val="00601E92"/>
    <w:rsid w:val="0060344D"/>
    <w:rsid w:val="00603996"/>
    <w:rsid w:val="00604F88"/>
    <w:rsid w:val="0060563E"/>
    <w:rsid w:val="00605A6C"/>
    <w:rsid w:val="0060609C"/>
    <w:rsid w:val="00606239"/>
    <w:rsid w:val="0061287B"/>
    <w:rsid w:val="00612B67"/>
    <w:rsid w:val="00613320"/>
    <w:rsid w:val="00614778"/>
    <w:rsid w:val="006155B1"/>
    <w:rsid w:val="00617177"/>
    <w:rsid w:val="006210BD"/>
    <w:rsid w:val="006217C9"/>
    <w:rsid w:val="00621C8E"/>
    <w:rsid w:val="00621C94"/>
    <w:rsid w:val="006229BD"/>
    <w:rsid w:val="006238CD"/>
    <w:rsid w:val="00625B22"/>
    <w:rsid w:val="0062623F"/>
    <w:rsid w:val="0062652A"/>
    <w:rsid w:val="006268F8"/>
    <w:rsid w:val="00627112"/>
    <w:rsid w:val="0062714A"/>
    <w:rsid w:val="00627591"/>
    <w:rsid w:val="00627902"/>
    <w:rsid w:val="0063067C"/>
    <w:rsid w:val="00630B92"/>
    <w:rsid w:val="00631B16"/>
    <w:rsid w:val="00633737"/>
    <w:rsid w:val="006364BA"/>
    <w:rsid w:val="00641BE5"/>
    <w:rsid w:val="00641C72"/>
    <w:rsid w:val="00641CDB"/>
    <w:rsid w:val="006426B6"/>
    <w:rsid w:val="00643229"/>
    <w:rsid w:val="00643583"/>
    <w:rsid w:val="006435E8"/>
    <w:rsid w:val="0064379A"/>
    <w:rsid w:val="006440E2"/>
    <w:rsid w:val="0064415D"/>
    <w:rsid w:val="00645016"/>
    <w:rsid w:val="0064732F"/>
    <w:rsid w:val="00650159"/>
    <w:rsid w:val="00650380"/>
    <w:rsid w:val="00650623"/>
    <w:rsid w:val="00650D98"/>
    <w:rsid w:val="006530FA"/>
    <w:rsid w:val="00653463"/>
    <w:rsid w:val="0065365A"/>
    <w:rsid w:val="00653EAF"/>
    <w:rsid w:val="00654062"/>
    <w:rsid w:val="00654B1A"/>
    <w:rsid w:val="00655E45"/>
    <w:rsid w:val="00656DCA"/>
    <w:rsid w:val="00657D93"/>
    <w:rsid w:val="00661218"/>
    <w:rsid w:val="00661931"/>
    <w:rsid w:val="00661DFE"/>
    <w:rsid w:val="0066210D"/>
    <w:rsid w:val="00662EDC"/>
    <w:rsid w:val="00663D49"/>
    <w:rsid w:val="00664CF5"/>
    <w:rsid w:val="00665D7E"/>
    <w:rsid w:val="006674CC"/>
    <w:rsid w:val="00670FAE"/>
    <w:rsid w:val="00671224"/>
    <w:rsid w:val="006719F6"/>
    <w:rsid w:val="0067256E"/>
    <w:rsid w:val="00673232"/>
    <w:rsid w:val="00675252"/>
    <w:rsid w:val="00675A1C"/>
    <w:rsid w:val="00675F43"/>
    <w:rsid w:val="00677EB1"/>
    <w:rsid w:val="00680959"/>
    <w:rsid w:val="00680B65"/>
    <w:rsid w:val="00680F79"/>
    <w:rsid w:val="006811C7"/>
    <w:rsid w:val="00681DBB"/>
    <w:rsid w:val="0068231E"/>
    <w:rsid w:val="0068263A"/>
    <w:rsid w:val="00682BD3"/>
    <w:rsid w:val="00683568"/>
    <w:rsid w:val="006835E1"/>
    <w:rsid w:val="00683A4A"/>
    <w:rsid w:val="00683A54"/>
    <w:rsid w:val="00684400"/>
    <w:rsid w:val="00684BB6"/>
    <w:rsid w:val="006850BA"/>
    <w:rsid w:val="006853EB"/>
    <w:rsid w:val="00687605"/>
    <w:rsid w:val="0069249A"/>
    <w:rsid w:val="0069252E"/>
    <w:rsid w:val="00692634"/>
    <w:rsid w:val="0069443A"/>
    <w:rsid w:val="00695948"/>
    <w:rsid w:val="006966E5"/>
    <w:rsid w:val="00696EF2"/>
    <w:rsid w:val="0069732A"/>
    <w:rsid w:val="00697555"/>
    <w:rsid w:val="0069779A"/>
    <w:rsid w:val="006A00D4"/>
    <w:rsid w:val="006A1379"/>
    <w:rsid w:val="006A2A5B"/>
    <w:rsid w:val="006A2B1D"/>
    <w:rsid w:val="006A57C2"/>
    <w:rsid w:val="006A7045"/>
    <w:rsid w:val="006A7A6D"/>
    <w:rsid w:val="006A7A73"/>
    <w:rsid w:val="006A7C50"/>
    <w:rsid w:val="006B158D"/>
    <w:rsid w:val="006B19FF"/>
    <w:rsid w:val="006B1F55"/>
    <w:rsid w:val="006B4DFF"/>
    <w:rsid w:val="006B5A7D"/>
    <w:rsid w:val="006B78AF"/>
    <w:rsid w:val="006B7D2F"/>
    <w:rsid w:val="006C05D9"/>
    <w:rsid w:val="006C2CC8"/>
    <w:rsid w:val="006C31BB"/>
    <w:rsid w:val="006C37D3"/>
    <w:rsid w:val="006C4495"/>
    <w:rsid w:val="006C4B3E"/>
    <w:rsid w:val="006C4BF8"/>
    <w:rsid w:val="006C4DBC"/>
    <w:rsid w:val="006C63EE"/>
    <w:rsid w:val="006D094F"/>
    <w:rsid w:val="006D14DE"/>
    <w:rsid w:val="006D15EF"/>
    <w:rsid w:val="006D27D5"/>
    <w:rsid w:val="006D36BD"/>
    <w:rsid w:val="006D3BC3"/>
    <w:rsid w:val="006D6CE1"/>
    <w:rsid w:val="006E04AA"/>
    <w:rsid w:val="006E0BEC"/>
    <w:rsid w:val="006E19C4"/>
    <w:rsid w:val="006E1AFC"/>
    <w:rsid w:val="006E30F6"/>
    <w:rsid w:val="006E3402"/>
    <w:rsid w:val="006E42C1"/>
    <w:rsid w:val="006E762F"/>
    <w:rsid w:val="006F1644"/>
    <w:rsid w:val="006F186A"/>
    <w:rsid w:val="006F2606"/>
    <w:rsid w:val="006F4AFC"/>
    <w:rsid w:val="006F5350"/>
    <w:rsid w:val="006F61DF"/>
    <w:rsid w:val="006F6589"/>
    <w:rsid w:val="006F704A"/>
    <w:rsid w:val="006F7069"/>
    <w:rsid w:val="006F7E2E"/>
    <w:rsid w:val="00703973"/>
    <w:rsid w:val="007041F6"/>
    <w:rsid w:val="00704686"/>
    <w:rsid w:val="0070482F"/>
    <w:rsid w:val="007048AD"/>
    <w:rsid w:val="00707070"/>
    <w:rsid w:val="00707E46"/>
    <w:rsid w:val="00707F93"/>
    <w:rsid w:val="007106BF"/>
    <w:rsid w:val="00710A26"/>
    <w:rsid w:val="00710EEA"/>
    <w:rsid w:val="007127C7"/>
    <w:rsid w:val="0071311D"/>
    <w:rsid w:val="00713C97"/>
    <w:rsid w:val="007148B9"/>
    <w:rsid w:val="007153E1"/>
    <w:rsid w:val="00715445"/>
    <w:rsid w:val="00716269"/>
    <w:rsid w:val="0071776C"/>
    <w:rsid w:val="00720811"/>
    <w:rsid w:val="00720AA9"/>
    <w:rsid w:val="00720E8C"/>
    <w:rsid w:val="00722883"/>
    <w:rsid w:val="00722D9B"/>
    <w:rsid w:val="007240CE"/>
    <w:rsid w:val="0072464D"/>
    <w:rsid w:val="00725062"/>
    <w:rsid w:val="007255AA"/>
    <w:rsid w:val="00732EBD"/>
    <w:rsid w:val="00733187"/>
    <w:rsid w:val="007337C6"/>
    <w:rsid w:val="00733829"/>
    <w:rsid w:val="00734BC4"/>
    <w:rsid w:val="0073614F"/>
    <w:rsid w:val="0073776B"/>
    <w:rsid w:val="00740FDC"/>
    <w:rsid w:val="007425CB"/>
    <w:rsid w:val="00742F02"/>
    <w:rsid w:val="007434E0"/>
    <w:rsid w:val="00743D54"/>
    <w:rsid w:val="00745B95"/>
    <w:rsid w:val="007460E3"/>
    <w:rsid w:val="00747842"/>
    <w:rsid w:val="00750A9D"/>
    <w:rsid w:val="00750BAE"/>
    <w:rsid w:val="00752410"/>
    <w:rsid w:val="00753330"/>
    <w:rsid w:val="0075334F"/>
    <w:rsid w:val="007549B2"/>
    <w:rsid w:val="00754FA1"/>
    <w:rsid w:val="007553A5"/>
    <w:rsid w:val="007554F0"/>
    <w:rsid w:val="00755DD4"/>
    <w:rsid w:val="0075659E"/>
    <w:rsid w:val="0076085B"/>
    <w:rsid w:val="00763841"/>
    <w:rsid w:val="00763C13"/>
    <w:rsid w:val="00764708"/>
    <w:rsid w:val="007648BD"/>
    <w:rsid w:val="007649C1"/>
    <w:rsid w:val="00765827"/>
    <w:rsid w:val="007661F9"/>
    <w:rsid w:val="00766D6B"/>
    <w:rsid w:val="007707A7"/>
    <w:rsid w:val="007712A3"/>
    <w:rsid w:val="007722E7"/>
    <w:rsid w:val="00773691"/>
    <w:rsid w:val="00775458"/>
    <w:rsid w:val="0077578D"/>
    <w:rsid w:val="0077668B"/>
    <w:rsid w:val="007769B6"/>
    <w:rsid w:val="00780F79"/>
    <w:rsid w:val="00781671"/>
    <w:rsid w:val="007835E4"/>
    <w:rsid w:val="007858E7"/>
    <w:rsid w:val="00785BB0"/>
    <w:rsid w:val="00785C9F"/>
    <w:rsid w:val="00786553"/>
    <w:rsid w:val="0078671F"/>
    <w:rsid w:val="0079030C"/>
    <w:rsid w:val="00790A37"/>
    <w:rsid w:val="00791759"/>
    <w:rsid w:val="00793687"/>
    <w:rsid w:val="00794B56"/>
    <w:rsid w:val="007950A6"/>
    <w:rsid w:val="00796E86"/>
    <w:rsid w:val="007974B0"/>
    <w:rsid w:val="0079786E"/>
    <w:rsid w:val="00797D24"/>
    <w:rsid w:val="007A07B3"/>
    <w:rsid w:val="007A3139"/>
    <w:rsid w:val="007A5155"/>
    <w:rsid w:val="007A6084"/>
    <w:rsid w:val="007A7092"/>
    <w:rsid w:val="007A7BD2"/>
    <w:rsid w:val="007B018E"/>
    <w:rsid w:val="007B0C62"/>
    <w:rsid w:val="007B132A"/>
    <w:rsid w:val="007B22FD"/>
    <w:rsid w:val="007B4173"/>
    <w:rsid w:val="007B5A90"/>
    <w:rsid w:val="007B703D"/>
    <w:rsid w:val="007B70BC"/>
    <w:rsid w:val="007B7284"/>
    <w:rsid w:val="007B7C4B"/>
    <w:rsid w:val="007C05BD"/>
    <w:rsid w:val="007C4916"/>
    <w:rsid w:val="007C5301"/>
    <w:rsid w:val="007C691E"/>
    <w:rsid w:val="007C77B8"/>
    <w:rsid w:val="007C7998"/>
    <w:rsid w:val="007C7B5E"/>
    <w:rsid w:val="007D0C7E"/>
    <w:rsid w:val="007D1ADF"/>
    <w:rsid w:val="007D27BC"/>
    <w:rsid w:val="007D494B"/>
    <w:rsid w:val="007D6894"/>
    <w:rsid w:val="007D6A48"/>
    <w:rsid w:val="007E1635"/>
    <w:rsid w:val="007E1C09"/>
    <w:rsid w:val="007E212B"/>
    <w:rsid w:val="007E474D"/>
    <w:rsid w:val="007E5339"/>
    <w:rsid w:val="007F2E01"/>
    <w:rsid w:val="007F32A9"/>
    <w:rsid w:val="007F3E59"/>
    <w:rsid w:val="007F3FD3"/>
    <w:rsid w:val="007F6DF9"/>
    <w:rsid w:val="007F7310"/>
    <w:rsid w:val="007F75BC"/>
    <w:rsid w:val="0080091B"/>
    <w:rsid w:val="00800C4E"/>
    <w:rsid w:val="00801A33"/>
    <w:rsid w:val="00801B87"/>
    <w:rsid w:val="00803064"/>
    <w:rsid w:val="00803716"/>
    <w:rsid w:val="008048B5"/>
    <w:rsid w:val="00804DC7"/>
    <w:rsid w:val="00805F2F"/>
    <w:rsid w:val="008066C4"/>
    <w:rsid w:val="00806BEB"/>
    <w:rsid w:val="00807AFD"/>
    <w:rsid w:val="00810450"/>
    <w:rsid w:val="00811BA8"/>
    <w:rsid w:val="0081230E"/>
    <w:rsid w:val="00812548"/>
    <w:rsid w:val="00813B28"/>
    <w:rsid w:val="00814A7C"/>
    <w:rsid w:val="00815025"/>
    <w:rsid w:val="00815116"/>
    <w:rsid w:val="0081543A"/>
    <w:rsid w:val="00815B2E"/>
    <w:rsid w:val="008169D7"/>
    <w:rsid w:val="00817AE1"/>
    <w:rsid w:val="008203E7"/>
    <w:rsid w:val="0082147A"/>
    <w:rsid w:val="00821C7F"/>
    <w:rsid w:val="0082309D"/>
    <w:rsid w:val="00825336"/>
    <w:rsid w:val="00827679"/>
    <w:rsid w:val="00830B3D"/>
    <w:rsid w:val="00833F1A"/>
    <w:rsid w:val="0083439E"/>
    <w:rsid w:val="00834EA8"/>
    <w:rsid w:val="00834EAA"/>
    <w:rsid w:val="008352FA"/>
    <w:rsid w:val="00835B3E"/>
    <w:rsid w:val="00837A2B"/>
    <w:rsid w:val="0084060B"/>
    <w:rsid w:val="0084160E"/>
    <w:rsid w:val="008423D3"/>
    <w:rsid w:val="00843708"/>
    <w:rsid w:val="00845CCE"/>
    <w:rsid w:val="008473DA"/>
    <w:rsid w:val="00850570"/>
    <w:rsid w:val="008506BB"/>
    <w:rsid w:val="008516C0"/>
    <w:rsid w:val="00851E48"/>
    <w:rsid w:val="00851F33"/>
    <w:rsid w:val="00852780"/>
    <w:rsid w:val="00852ABD"/>
    <w:rsid w:val="00852EE8"/>
    <w:rsid w:val="008531BE"/>
    <w:rsid w:val="008537D8"/>
    <w:rsid w:val="00854170"/>
    <w:rsid w:val="00854B43"/>
    <w:rsid w:val="00855967"/>
    <w:rsid w:val="0086062C"/>
    <w:rsid w:val="00861AC6"/>
    <w:rsid w:val="00862838"/>
    <w:rsid w:val="00863011"/>
    <w:rsid w:val="00864363"/>
    <w:rsid w:val="00865BE4"/>
    <w:rsid w:val="008667EC"/>
    <w:rsid w:val="00866F1A"/>
    <w:rsid w:val="008674D6"/>
    <w:rsid w:val="008716F5"/>
    <w:rsid w:val="00871A24"/>
    <w:rsid w:val="00872FD7"/>
    <w:rsid w:val="008773CA"/>
    <w:rsid w:val="00880E5B"/>
    <w:rsid w:val="008814D6"/>
    <w:rsid w:val="00881A28"/>
    <w:rsid w:val="008832CA"/>
    <w:rsid w:val="008834FC"/>
    <w:rsid w:val="00886F21"/>
    <w:rsid w:val="0088766C"/>
    <w:rsid w:val="00887FEB"/>
    <w:rsid w:val="00890B20"/>
    <w:rsid w:val="0089422B"/>
    <w:rsid w:val="00896FE6"/>
    <w:rsid w:val="008A2E3B"/>
    <w:rsid w:val="008A42A9"/>
    <w:rsid w:val="008A56AB"/>
    <w:rsid w:val="008A6431"/>
    <w:rsid w:val="008A796D"/>
    <w:rsid w:val="008A7C85"/>
    <w:rsid w:val="008B2C11"/>
    <w:rsid w:val="008B5C4A"/>
    <w:rsid w:val="008B616F"/>
    <w:rsid w:val="008B7ED9"/>
    <w:rsid w:val="008C0451"/>
    <w:rsid w:val="008C05FC"/>
    <w:rsid w:val="008C0615"/>
    <w:rsid w:val="008C15E2"/>
    <w:rsid w:val="008C47D6"/>
    <w:rsid w:val="008C563B"/>
    <w:rsid w:val="008C5713"/>
    <w:rsid w:val="008C5A99"/>
    <w:rsid w:val="008C6588"/>
    <w:rsid w:val="008C7ADC"/>
    <w:rsid w:val="008C7BA2"/>
    <w:rsid w:val="008D09AB"/>
    <w:rsid w:val="008D1E9C"/>
    <w:rsid w:val="008D23ED"/>
    <w:rsid w:val="008D2938"/>
    <w:rsid w:val="008D29A3"/>
    <w:rsid w:val="008D5080"/>
    <w:rsid w:val="008D5586"/>
    <w:rsid w:val="008D7203"/>
    <w:rsid w:val="008D73A5"/>
    <w:rsid w:val="008D782E"/>
    <w:rsid w:val="008D7B2D"/>
    <w:rsid w:val="008E21E0"/>
    <w:rsid w:val="008E2420"/>
    <w:rsid w:val="008E2BF3"/>
    <w:rsid w:val="008E4ABA"/>
    <w:rsid w:val="008E6D61"/>
    <w:rsid w:val="008F02EA"/>
    <w:rsid w:val="008F1881"/>
    <w:rsid w:val="008F4B85"/>
    <w:rsid w:val="008F522C"/>
    <w:rsid w:val="008F6E50"/>
    <w:rsid w:val="008F6EF1"/>
    <w:rsid w:val="008F6FA2"/>
    <w:rsid w:val="008F7AD6"/>
    <w:rsid w:val="0090054C"/>
    <w:rsid w:val="009048F5"/>
    <w:rsid w:val="00905708"/>
    <w:rsid w:val="00905FE8"/>
    <w:rsid w:val="00907B42"/>
    <w:rsid w:val="00910A79"/>
    <w:rsid w:val="009121FA"/>
    <w:rsid w:val="0091241C"/>
    <w:rsid w:val="00913425"/>
    <w:rsid w:val="00913D38"/>
    <w:rsid w:val="00915BC8"/>
    <w:rsid w:val="00915CA1"/>
    <w:rsid w:val="00916379"/>
    <w:rsid w:val="0091638D"/>
    <w:rsid w:val="009166E6"/>
    <w:rsid w:val="00917ABE"/>
    <w:rsid w:val="00922D36"/>
    <w:rsid w:val="00923596"/>
    <w:rsid w:val="0092530D"/>
    <w:rsid w:val="00926284"/>
    <w:rsid w:val="009334AC"/>
    <w:rsid w:val="00933847"/>
    <w:rsid w:val="009344ED"/>
    <w:rsid w:val="00934BE8"/>
    <w:rsid w:val="009360CF"/>
    <w:rsid w:val="0093624F"/>
    <w:rsid w:val="00936ACC"/>
    <w:rsid w:val="00937BA0"/>
    <w:rsid w:val="00941801"/>
    <w:rsid w:val="00941F1A"/>
    <w:rsid w:val="00943209"/>
    <w:rsid w:val="009433CE"/>
    <w:rsid w:val="009437B4"/>
    <w:rsid w:val="009444A5"/>
    <w:rsid w:val="00945256"/>
    <w:rsid w:val="00947D28"/>
    <w:rsid w:val="0095040D"/>
    <w:rsid w:val="00951028"/>
    <w:rsid w:val="00951542"/>
    <w:rsid w:val="00952280"/>
    <w:rsid w:val="009533DE"/>
    <w:rsid w:val="00956ACD"/>
    <w:rsid w:val="009575F5"/>
    <w:rsid w:val="00960058"/>
    <w:rsid w:val="009602FE"/>
    <w:rsid w:val="00960671"/>
    <w:rsid w:val="00960C2E"/>
    <w:rsid w:val="0096156C"/>
    <w:rsid w:val="00962D2D"/>
    <w:rsid w:val="00963FB0"/>
    <w:rsid w:val="009648F4"/>
    <w:rsid w:val="00965CEC"/>
    <w:rsid w:val="00966E48"/>
    <w:rsid w:val="0097006B"/>
    <w:rsid w:val="00970203"/>
    <w:rsid w:val="0097063D"/>
    <w:rsid w:val="00970FC1"/>
    <w:rsid w:val="00971BCF"/>
    <w:rsid w:val="00973517"/>
    <w:rsid w:val="00974BFC"/>
    <w:rsid w:val="00975D23"/>
    <w:rsid w:val="00976598"/>
    <w:rsid w:val="009765D1"/>
    <w:rsid w:val="00977148"/>
    <w:rsid w:val="00977170"/>
    <w:rsid w:val="00980A74"/>
    <w:rsid w:val="00980D64"/>
    <w:rsid w:val="0098209F"/>
    <w:rsid w:val="00983EBF"/>
    <w:rsid w:val="00984D0F"/>
    <w:rsid w:val="0098582C"/>
    <w:rsid w:val="00986759"/>
    <w:rsid w:val="00987FB3"/>
    <w:rsid w:val="00991FE1"/>
    <w:rsid w:val="0099201C"/>
    <w:rsid w:val="00993275"/>
    <w:rsid w:val="00993F9A"/>
    <w:rsid w:val="0099441C"/>
    <w:rsid w:val="00994898"/>
    <w:rsid w:val="00994B65"/>
    <w:rsid w:val="00994D66"/>
    <w:rsid w:val="00994FD7"/>
    <w:rsid w:val="009964DF"/>
    <w:rsid w:val="00996EFF"/>
    <w:rsid w:val="0099717C"/>
    <w:rsid w:val="00997309"/>
    <w:rsid w:val="009A4169"/>
    <w:rsid w:val="009A55CC"/>
    <w:rsid w:val="009A7486"/>
    <w:rsid w:val="009A7F80"/>
    <w:rsid w:val="009B01EC"/>
    <w:rsid w:val="009B15F8"/>
    <w:rsid w:val="009B1BBE"/>
    <w:rsid w:val="009B1C48"/>
    <w:rsid w:val="009B30A0"/>
    <w:rsid w:val="009B3B4F"/>
    <w:rsid w:val="009B40D9"/>
    <w:rsid w:val="009B46A1"/>
    <w:rsid w:val="009B6181"/>
    <w:rsid w:val="009B74E7"/>
    <w:rsid w:val="009B777F"/>
    <w:rsid w:val="009C0B70"/>
    <w:rsid w:val="009C0F7C"/>
    <w:rsid w:val="009C2316"/>
    <w:rsid w:val="009C2397"/>
    <w:rsid w:val="009C3CEA"/>
    <w:rsid w:val="009C48FA"/>
    <w:rsid w:val="009C573F"/>
    <w:rsid w:val="009C6019"/>
    <w:rsid w:val="009C6AE3"/>
    <w:rsid w:val="009D0663"/>
    <w:rsid w:val="009D1777"/>
    <w:rsid w:val="009D18E5"/>
    <w:rsid w:val="009D267A"/>
    <w:rsid w:val="009D28BB"/>
    <w:rsid w:val="009D2B5D"/>
    <w:rsid w:val="009D2ED7"/>
    <w:rsid w:val="009D3055"/>
    <w:rsid w:val="009D4024"/>
    <w:rsid w:val="009D5327"/>
    <w:rsid w:val="009D6C50"/>
    <w:rsid w:val="009D7AE6"/>
    <w:rsid w:val="009E3409"/>
    <w:rsid w:val="009E4A39"/>
    <w:rsid w:val="009E4C91"/>
    <w:rsid w:val="009E4D4C"/>
    <w:rsid w:val="009E4E61"/>
    <w:rsid w:val="009E6139"/>
    <w:rsid w:val="009E7249"/>
    <w:rsid w:val="009E7685"/>
    <w:rsid w:val="009E77BA"/>
    <w:rsid w:val="009F09AE"/>
    <w:rsid w:val="009F0F08"/>
    <w:rsid w:val="009F1152"/>
    <w:rsid w:val="009F1911"/>
    <w:rsid w:val="009F1A0E"/>
    <w:rsid w:val="009F297D"/>
    <w:rsid w:val="009F347A"/>
    <w:rsid w:val="009F34EC"/>
    <w:rsid w:val="009F388E"/>
    <w:rsid w:val="009F3C76"/>
    <w:rsid w:val="009F58C0"/>
    <w:rsid w:val="009F612D"/>
    <w:rsid w:val="009F6821"/>
    <w:rsid w:val="00A017CD"/>
    <w:rsid w:val="00A02534"/>
    <w:rsid w:val="00A04137"/>
    <w:rsid w:val="00A04B6E"/>
    <w:rsid w:val="00A054EB"/>
    <w:rsid w:val="00A0638C"/>
    <w:rsid w:val="00A06AB4"/>
    <w:rsid w:val="00A06ACB"/>
    <w:rsid w:val="00A06B4F"/>
    <w:rsid w:val="00A07328"/>
    <w:rsid w:val="00A07354"/>
    <w:rsid w:val="00A10295"/>
    <w:rsid w:val="00A1088A"/>
    <w:rsid w:val="00A10CDB"/>
    <w:rsid w:val="00A11A24"/>
    <w:rsid w:val="00A12A7D"/>
    <w:rsid w:val="00A135CB"/>
    <w:rsid w:val="00A13EBC"/>
    <w:rsid w:val="00A1400F"/>
    <w:rsid w:val="00A145F1"/>
    <w:rsid w:val="00A15037"/>
    <w:rsid w:val="00A151C1"/>
    <w:rsid w:val="00A21C73"/>
    <w:rsid w:val="00A22859"/>
    <w:rsid w:val="00A240E6"/>
    <w:rsid w:val="00A249FB"/>
    <w:rsid w:val="00A261C4"/>
    <w:rsid w:val="00A276BA"/>
    <w:rsid w:val="00A27806"/>
    <w:rsid w:val="00A30EEF"/>
    <w:rsid w:val="00A31155"/>
    <w:rsid w:val="00A31D35"/>
    <w:rsid w:val="00A31FBD"/>
    <w:rsid w:val="00A32856"/>
    <w:rsid w:val="00A33760"/>
    <w:rsid w:val="00A34658"/>
    <w:rsid w:val="00A3569B"/>
    <w:rsid w:val="00A35BA3"/>
    <w:rsid w:val="00A37570"/>
    <w:rsid w:val="00A37ACC"/>
    <w:rsid w:val="00A4128E"/>
    <w:rsid w:val="00A415CD"/>
    <w:rsid w:val="00A44553"/>
    <w:rsid w:val="00A4503D"/>
    <w:rsid w:val="00A4608B"/>
    <w:rsid w:val="00A4690D"/>
    <w:rsid w:val="00A471EC"/>
    <w:rsid w:val="00A47912"/>
    <w:rsid w:val="00A47C5D"/>
    <w:rsid w:val="00A509A2"/>
    <w:rsid w:val="00A54690"/>
    <w:rsid w:val="00A55898"/>
    <w:rsid w:val="00A569A1"/>
    <w:rsid w:val="00A56D72"/>
    <w:rsid w:val="00A56E4B"/>
    <w:rsid w:val="00A579D2"/>
    <w:rsid w:val="00A60F15"/>
    <w:rsid w:val="00A61408"/>
    <w:rsid w:val="00A616AD"/>
    <w:rsid w:val="00A61E26"/>
    <w:rsid w:val="00A62A20"/>
    <w:rsid w:val="00A66F11"/>
    <w:rsid w:val="00A70AFD"/>
    <w:rsid w:val="00A732D1"/>
    <w:rsid w:val="00A74F85"/>
    <w:rsid w:val="00A7516A"/>
    <w:rsid w:val="00A7588C"/>
    <w:rsid w:val="00A76757"/>
    <w:rsid w:val="00A773F9"/>
    <w:rsid w:val="00A775A3"/>
    <w:rsid w:val="00A77E93"/>
    <w:rsid w:val="00A800E9"/>
    <w:rsid w:val="00A8038D"/>
    <w:rsid w:val="00A84714"/>
    <w:rsid w:val="00A84DE3"/>
    <w:rsid w:val="00A85B42"/>
    <w:rsid w:val="00A86CB3"/>
    <w:rsid w:val="00A91B5D"/>
    <w:rsid w:val="00A9210B"/>
    <w:rsid w:val="00A92A6D"/>
    <w:rsid w:val="00A92CD2"/>
    <w:rsid w:val="00A9386C"/>
    <w:rsid w:val="00A94696"/>
    <w:rsid w:val="00A96D58"/>
    <w:rsid w:val="00A972A0"/>
    <w:rsid w:val="00AA0389"/>
    <w:rsid w:val="00AA066D"/>
    <w:rsid w:val="00AA1C91"/>
    <w:rsid w:val="00AA52EF"/>
    <w:rsid w:val="00AA71D5"/>
    <w:rsid w:val="00AA7EDB"/>
    <w:rsid w:val="00AB19C3"/>
    <w:rsid w:val="00AB2580"/>
    <w:rsid w:val="00AB2EFC"/>
    <w:rsid w:val="00AB346D"/>
    <w:rsid w:val="00AB3A83"/>
    <w:rsid w:val="00AB45B1"/>
    <w:rsid w:val="00AB4623"/>
    <w:rsid w:val="00AB5D1A"/>
    <w:rsid w:val="00AB5D96"/>
    <w:rsid w:val="00AB6379"/>
    <w:rsid w:val="00AB701D"/>
    <w:rsid w:val="00AB7B97"/>
    <w:rsid w:val="00AB7FF9"/>
    <w:rsid w:val="00AC031A"/>
    <w:rsid w:val="00AC2609"/>
    <w:rsid w:val="00AC3749"/>
    <w:rsid w:val="00AC5A5C"/>
    <w:rsid w:val="00AC7411"/>
    <w:rsid w:val="00AD0A2F"/>
    <w:rsid w:val="00AD133E"/>
    <w:rsid w:val="00AD1DA7"/>
    <w:rsid w:val="00AD2D3B"/>
    <w:rsid w:val="00AD357E"/>
    <w:rsid w:val="00AD4937"/>
    <w:rsid w:val="00AD7504"/>
    <w:rsid w:val="00AD7582"/>
    <w:rsid w:val="00AE0AFD"/>
    <w:rsid w:val="00AE186F"/>
    <w:rsid w:val="00AE1A5F"/>
    <w:rsid w:val="00AE26B4"/>
    <w:rsid w:val="00AE37C3"/>
    <w:rsid w:val="00AE5AAA"/>
    <w:rsid w:val="00AE6A1B"/>
    <w:rsid w:val="00AE6AC4"/>
    <w:rsid w:val="00AE7AEB"/>
    <w:rsid w:val="00AF3C75"/>
    <w:rsid w:val="00AF4BCE"/>
    <w:rsid w:val="00AF57AD"/>
    <w:rsid w:val="00AF5C78"/>
    <w:rsid w:val="00AF6893"/>
    <w:rsid w:val="00B0094F"/>
    <w:rsid w:val="00B0123A"/>
    <w:rsid w:val="00B01862"/>
    <w:rsid w:val="00B021DB"/>
    <w:rsid w:val="00B04767"/>
    <w:rsid w:val="00B055FA"/>
    <w:rsid w:val="00B05B75"/>
    <w:rsid w:val="00B06D29"/>
    <w:rsid w:val="00B076EB"/>
    <w:rsid w:val="00B07984"/>
    <w:rsid w:val="00B10E91"/>
    <w:rsid w:val="00B1168D"/>
    <w:rsid w:val="00B12E21"/>
    <w:rsid w:val="00B15043"/>
    <w:rsid w:val="00B15DF0"/>
    <w:rsid w:val="00B16850"/>
    <w:rsid w:val="00B205F4"/>
    <w:rsid w:val="00B22A15"/>
    <w:rsid w:val="00B23097"/>
    <w:rsid w:val="00B24C17"/>
    <w:rsid w:val="00B255EB"/>
    <w:rsid w:val="00B3228C"/>
    <w:rsid w:val="00B329FC"/>
    <w:rsid w:val="00B32F4F"/>
    <w:rsid w:val="00B3356B"/>
    <w:rsid w:val="00B370EF"/>
    <w:rsid w:val="00B371EE"/>
    <w:rsid w:val="00B37960"/>
    <w:rsid w:val="00B40B64"/>
    <w:rsid w:val="00B412B0"/>
    <w:rsid w:val="00B41334"/>
    <w:rsid w:val="00B41BB8"/>
    <w:rsid w:val="00B41C93"/>
    <w:rsid w:val="00B4306C"/>
    <w:rsid w:val="00B438DF"/>
    <w:rsid w:val="00B43E04"/>
    <w:rsid w:val="00B4402A"/>
    <w:rsid w:val="00B4628A"/>
    <w:rsid w:val="00B467D4"/>
    <w:rsid w:val="00B47D19"/>
    <w:rsid w:val="00B523A6"/>
    <w:rsid w:val="00B523C3"/>
    <w:rsid w:val="00B52686"/>
    <w:rsid w:val="00B52753"/>
    <w:rsid w:val="00B52C8E"/>
    <w:rsid w:val="00B53C13"/>
    <w:rsid w:val="00B54F63"/>
    <w:rsid w:val="00B5510F"/>
    <w:rsid w:val="00B55A84"/>
    <w:rsid w:val="00B56C62"/>
    <w:rsid w:val="00B610BA"/>
    <w:rsid w:val="00B61149"/>
    <w:rsid w:val="00B6132C"/>
    <w:rsid w:val="00B61F21"/>
    <w:rsid w:val="00B63DC7"/>
    <w:rsid w:val="00B646C7"/>
    <w:rsid w:val="00B6559D"/>
    <w:rsid w:val="00B65C10"/>
    <w:rsid w:val="00B66157"/>
    <w:rsid w:val="00B679B9"/>
    <w:rsid w:val="00B67AC6"/>
    <w:rsid w:val="00B704F5"/>
    <w:rsid w:val="00B70760"/>
    <w:rsid w:val="00B707CD"/>
    <w:rsid w:val="00B70DF9"/>
    <w:rsid w:val="00B7198D"/>
    <w:rsid w:val="00B73625"/>
    <w:rsid w:val="00B73AB8"/>
    <w:rsid w:val="00B7743E"/>
    <w:rsid w:val="00B8069E"/>
    <w:rsid w:val="00B80C77"/>
    <w:rsid w:val="00B81F34"/>
    <w:rsid w:val="00B836A4"/>
    <w:rsid w:val="00B84F75"/>
    <w:rsid w:val="00B859FF"/>
    <w:rsid w:val="00B85BFF"/>
    <w:rsid w:val="00B863D3"/>
    <w:rsid w:val="00B91C9B"/>
    <w:rsid w:val="00B9208D"/>
    <w:rsid w:val="00B94E1B"/>
    <w:rsid w:val="00B9530A"/>
    <w:rsid w:val="00BA04D3"/>
    <w:rsid w:val="00BA06FA"/>
    <w:rsid w:val="00BA2570"/>
    <w:rsid w:val="00BA2920"/>
    <w:rsid w:val="00BA31B5"/>
    <w:rsid w:val="00BA67B5"/>
    <w:rsid w:val="00BA6DE3"/>
    <w:rsid w:val="00BB18B9"/>
    <w:rsid w:val="00BB2CAF"/>
    <w:rsid w:val="00BB3233"/>
    <w:rsid w:val="00BB4999"/>
    <w:rsid w:val="00BB5759"/>
    <w:rsid w:val="00BB5EEE"/>
    <w:rsid w:val="00BB750D"/>
    <w:rsid w:val="00BB7705"/>
    <w:rsid w:val="00BB7D1A"/>
    <w:rsid w:val="00BC2361"/>
    <w:rsid w:val="00BC345C"/>
    <w:rsid w:val="00BC3F1A"/>
    <w:rsid w:val="00BC5C41"/>
    <w:rsid w:val="00BC66D5"/>
    <w:rsid w:val="00BC7994"/>
    <w:rsid w:val="00BD12A4"/>
    <w:rsid w:val="00BD3C1F"/>
    <w:rsid w:val="00BD3EFF"/>
    <w:rsid w:val="00BD4868"/>
    <w:rsid w:val="00BD5437"/>
    <w:rsid w:val="00BD549B"/>
    <w:rsid w:val="00BD573E"/>
    <w:rsid w:val="00BD5983"/>
    <w:rsid w:val="00BD6CC6"/>
    <w:rsid w:val="00BD757E"/>
    <w:rsid w:val="00BD7F85"/>
    <w:rsid w:val="00BE01B5"/>
    <w:rsid w:val="00BE059F"/>
    <w:rsid w:val="00BE24B9"/>
    <w:rsid w:val="00BE27E4"/>
    <w:rsid w:val="00BE4540"/>
    <w:rsid w:val="00BE47A4"/>
    <w:rsid w:val="00BE60F7"/>
    <w:rsid w:val="00BE79BE"/>
    <w:rsid w:val="00BE7FBF"/>
    <w:rsid w:val="00BF09B6"/>
    <w:rsid w:val="00BF0BC1"/>
    <w:rsid w:val="00BF11D1"/>
    <w:rsid w:val="00BF2243"/>
    <w:rsid w:val="00BF262D"/>
    <w:rsid w:val="00BF2B84"/>
    <w:rsid w:val="00BF2BBB"/>
    <w:rsid w:val="00BF34EE"/>
    <w:rsid w:val="00BF6232"/>
    <w:rsid w:val="00BF70FC"/>
    <w:rsid w:val="00BF7405"/>
    <w:rsid w:val="00BF79EA"/>
    <w:rsid w:val="00BF7A59"/>
    <w:rsid w:val="00BF7EE7"/>
    <w:rsid w:val="00C00D02"/>
    <w:rsid w:val="00C01D20"/>
    <w:rsid w:val="00C029E0"/>
    <w:rsid w:val="00C02B80"/>
    <w:rsid w:val="00C03B2E"/>
    <w:rsid w:val="00C04A79"/>
    <w:rsid w:val="00C04E1E"/>
    <w:rsid w:val="00C072EE"/>
    <w:rsid w:val="00C07530"/>
    <w:rsid w:val="00C075D2"/>
    <w:rsid w:val="00C076F8"/>
    <w:rsid w:val="00C07FEB"/>
    <w:rsid w:val="00C10463"/>
    <w:rsid w:val="00C13D4D"/>
    <w:rsid w:val="00C13F6E"/>
    <w:rsid w:val="00C23B55"/>
    <w:rsid w:val="00C24603"/>
    <w:rsid w:val="00C24628"/>
    <w:rsid w:val="00C247D9"/>
    <w:rsid w:val="00C2556A"/>
    <w:rsid w:val="00C268E3"/>
    <w:rsid w:val="00C27485"/>
    <w:rsid w:val="00C312BA"/>
    <w:rsid w:val="00C31763"/>
    <w:rsid w:val="00C32E40"/>
    <w:rsid w:val="00C334D5"/>
    <w:rsid w:val="00C35D18"/>
    <w:rsid w:val="00C36C87"/>
    <w:rsid w:val="00C40861"/>
    <w:rsid w:val="00C41FD9"/>
    <w:rsid w:val="00C43219"/>
    <w:rsid w:val="00C43800"/>
    <w:rsid w:val="00C4561F"/>
    <w:rsid w:val="00C4576A"/>
    <w:rsid w:val="00C46D0D"/>
    <w:rsid w:val="00C517CA"/>
    <w:rsid w:val="00C51B8F"/>
    <w:rsid w:val="00C535B2"/>
    <w:rsid w:val="00C53C29"/>
    <w:rsid w:val="00C544B6"/>
    <w:rsid w:val="00C549F4"/>
    <w:rsid w:val="00C54D8C"/>
    <w:rsid w:val="00C551E6"/>
    <w:rsid w:val="00C553EE"/>
    <w:rsid w:val="00C569D0"/>
    <w:rsid w:val="00C605E2"/>
    <w:rsid w:val="00C61057"/>
    <w:rsid w:val="00C628F1"/>
    <w:rsid w:val="00C6498B"/>
    <w:rsid w:val="00C6580C"/>
    <w:rsid w:val="00C66BC1"/>
    <w:rsid w:val="00C66F78"/>
    <w:rsid w:val="00C70C65"/>
    <w:rsid w:val="00C713E2"/>
    <w:rsid w:val="00C72952"/>
    <w:rsid w:val="00C73252"/>
    <w:rsid w:val="00C74A8A"/>
    <w:rsid w:val="00C800AE"/>
    <w:rsid w:val="00C808A1"/>
    <w:rsid w:val="00C80C40"/>
    <w:rsid w:val="00C816CF"/>
    <w:rsid w:val="00C81840"/>
    <w:rsid w:val="00C81B58"/>
    <w:rsid w:val="00C820C0"/>
    <w:rsid w:val="00C82CE3"/>
    <w:rsid w:val="00C85497"/>
    <w:rsid w:val="00C8757E"/>
    <w:rsid w:val="00C902AE"/>
    <w:rsid w:val="00C90E16"/>
    <w:rsid w:val="00C9249E"/>
    <w:rsid w:val="00C94502"/>
    <w:rsid w:val="00C950AC"/>
    <w:rsid w:val="00C9577F"/>
    <w:rsid w:val="00CA0966"/>
    <w:rsid w:val="00CA1C86"/>
    <w:rsid w:val="00CA23E9"/>
    <w:rsid w:val="00CA4722"/>
    <w:rsid w:val="00CA4D78"/>
    <w:rsid w:val="00CA5858"/>
    <w:rsid w:val="00CB0519"/>
    <w:rsid w:val="00CB224C"/>
    <w:rsid w:val="00CB41DC"/>
    <w:rsid w:val="00CB5664"/>
    <w:rsid w:val="00CB5804"/>
    <w:rsid w:val="00CB74D7"/>
    <w:rsid w:val="00CB7669"/>
    <w:rsid w:val="00CB77A7"/>
    <w:rsid w:val="00CC2360"/>
    <w:rsid w:val="00CC296A"/>
    <w:rsid w:val="00CC4C5B"/>
    <w:rsid w:val="00CC5514"/>
    <w:rsid w:val="00CC76AA"/>
    <w:rsid w:val="00CD058B"/>
    <w:rsid w:val="00CD1BC9"/>
    <w:rsid w:val="00CD1C23"/>
    <w:rsid w:val="00CD2959"/>
    <w:rsid w:val="00CD71D1"/>
    <w:rsid w:val="00CE1374"/>
    <w:rsid w:val="00CE1778"/>
    <w:rsid w:val="00CE6051"/>
    <w:rsid w:val="00CE62D2"/>
    <w:rsid w:val="00CE65EF"/>
    <w:rsid w:val="00CE694F"/>
    <w:rsid w:val="00CE799C"/>
    <w:rsid w:val="00CE7EB3"/>
    <w:rsid w:val="00CF0C61"/>
    <w:rsid w:val="00CF1967"/>
    <w:rsid w:val="00CF2626"/>
    <w:rsid w:val="00CF2717"/>
    <w:rsid w:val="00CF40B5"/>
    <w:rsid w:val="00CF57AF"/>
    <w:rsid w:val="00CF61FB"/>
    <w:rsid w:val="00CF6880"/>
    <w:rsid w:val="00CF6C9A"/>
    <w:rsid w:val="00CF6F6E"/>
    <w:rsid w:val="00CF76F1"/>
    <w:rsid w:val="00D01FF4"/>
    <w:rsid w:val="00D02335"/>
    <w:rsid w:val="00D02903"/>
    <w:rsid w:val="00D02AA6"/>
    <w:rsid w:val="00D03717"/>
    <w:rsid w:val="00D03753"/>
    <w:rsid w:val="00D050ED"/>
    <w:rsid w:val="00D0650C"/>
    <w:rsid w:val="00D06A85"/>
    <w:rsid w:val="00D06EE9"/>
    <w:rsid w:val="00D079C4"/>
    <w:rsid w:val="00D1111E"/>
    <w:rsid w:val="00D11350"/>
    <w:rsid w:val="00D11E32"/>
    <w:rsid w:val="00D131CA"/>
    <w:rsid w:val="00D132B4"/>
    <w:rsid w:val="00D161F7"/>
    <w:rsid w:val="00D16A80"/>
    <w:rsid w:val="00D20A32"/>
    <w:rsid w:val="00D20C16"/>
    <w:rsid w:val="00D22C74"/>
    <w:rsid w:val="00D23A12"/>
    <w:rsid w:val="00D23F90"/>
    <w:rsid w:val="00D27294"/>
    <w:rsid w:val="00D300E2"/>
    <w:rsid w:val="00D30FD4"/>
    <w:rsid w:val="00D31A48"/>
    <w:rsid w:val="00D325AD"/>
    <w:rsid w:val="00D32B6B"/>
    <w:rsid w:val="00D339E6"/>
    <w:rsid w:val="00D34D58"/>
    <w:rsid w:val="00D3617F"/>
    <w:rsid w:val="00D3711F"/>
    <w:rsid w:val="00D405DD"/>
    <w:rsid w:val="00D4070D"/>
    <w:rsid w:val="00D41C22"/>
    <w:rsid w:val="00D41F10"/>
    <w:rsid w:val="00D42DE9"/>
    <w:rsid w:val="00D4306D"/>
    <w:rsid w:val="00D43233"/>
    <w:rsid w:val="00D44127"/>
    <w:rsid w:val="00D442FB"/>
    <w:rsid w:val="00D45408"/>
    <w:rsid w:val="00D46D8A"/>
    <w:rsid w:val="00D478DB"/>
    <w:rsid w:val="00D47A98"/>
    <w:rsid w:val="00D50661"/>
    <w:rsid w:val="00D514D7"/>
    <w:rsid w:val="00D51DD8"/>
    <w:rsid w:val="00D52A92"/>
    <w:rsid w:val="00D53AC3"/>
    <w:rsid w:val="00D53B25"/>
    <w:rsid w:val="00D53D5D"/>
    <w:rsid w:val="00D53F8F"/>
    <w:rsid w:val="00D54227"/>
    <w:rsid w:val="00D54750"/>
    <w:rsid w:val="00D55617"/>
    <w:rsid w:val="00D5564E"/>
    <w:rsid w:val="00D572D5"/>
    <w:rsid w:val="00D578CB"/>
    <w:rsid w:val="00D57C4E"/>
    <w:rsid w:val="00D60656"/>
    <w:rsid w:val="00D60EFA"/>
    <w:rsid w:val="00D61615"/>
    <w:rsid w:val="00D618E5"/>
    <w:rsid w:val="00D61BFE"/>
    <w:rsid w:val="00D62DCF"/>
    <w:rsid w:val="00D63C0B"/>
    <w:rsid w:val="00D64A8C"/>
    <w:rsid w:val="00D705A0"/>
    <w:rsid w:val="00D709A4"/>
    <w:rsid w:val="00D71348"/>
    <w:rsid w:val="00D71F6B"/>
    <w:rsid w:val="00D72692"/>
    <w:rsid w:val="00D735B4"/>
    <w:rsid w:val="00D7440B"/>
    <w:rsid w:val="00D749B4"/>
    <w:rsid w:val="00D74C75"/>
    <w:rsid w:val="00D75F98"/>
    <w:rsid w:val="00D76CBA"/>
    <w:rsid w:val="00D77630"/>
    <w:rsid w:val="00D77BEB"/>
    <w:rsid w:val="00D815C1"/>
    <w:rsid w:val="00D82AE6"/>
    <w:rsid w:val="00D845B8"/>
    <w:rsid w:val="00D86F0A"/>
    <w:rsid w:val="00D8773C"/>
    <w:rsid w:val="00D9057D"/>
    <w:rsid w:val="00D91477"/>
    <w:rsid w:val="00D91AA4"/>
    <w:rsid w:val="00D91FCD"/>
    <w:rsid w:val="00D92485"/>
    <w:rsid w:val="00D93993"/>
    <w:rsid w:val="00D93A00"/>
    <w:rsid w:val="00D93CB0"/>
    <w:rsid w:val="00D95AD6"/>
    <w:rsid w:val="00D96D64"/>
    <w:rsid w:val="00DA0677"/>
    <w:rsid w:val="00DA2BE8"/>
    <w:rsid w:val="00DA3085"/>
    <w:rsid w:val="00DA6342"/>
    <w:rsid w:val="00DA662F"/>
    <w:rsid w:val="00DA7B13"/>
    <w:rsid w:val="00DB03AE"/>
    <w:rsid w:val="00DB0865"/>
    <w:rsid w:val="00DB0AAD"/>
    <w:rsid w:val="00DB2DB6"/>
    <w:rsid w:val="00DB2F7C"/>
    <w:rsid w:val="00DB7B8C"/>
    <w:rsid w:val="00DC12DE"/>
    <w:rsid w:val="00DC19EA"/>
    <w:rsid w:val="00DC2299"/>
    <w:rsid w:val="00DC2EA2"/>
    <w:rsid w:val="00DC312C"/>
    <w:rsid w:val="00DC3350"/>
    <w:rsid w:val="00DC4653"/>
    <w:rsid w:val="00DC5504"/>
    <w:rsid w:val="00DC7862"/>
    <w:rsid w:val="00DD01D8"/>
    <w:rsid w:val="00DD0540"/>
    <w:rsid w:val="00DD0739"/>
    <w:rsid w:val="00DD1C31"/>
    <w:rsid w:val="00DD3825"/>
    <w:rsid w:val="00DD3EE6"/>
    <w:rsid w:val="00DD555A"/>
    <w:rsid w:val="00DD65D0"/>
    <w:rsid w:val="00DD6647"/>
    <w:rsid w:val="00DD79CF"/>
    <w:rsid w:val="00DE0B8F"/>
    <w:rsid w:val="00DE11AE"/>
    <w:rsid w:val="00DE2CDE"/>
    <w:rsid w:val="00DE4986"/>
    <w:rsid w:val="00DE7F8A"/>
    <w:rsid w:val="00DF0F2C"/>
    <w:rsid w:val="00DF1200"/>
    <w:rsid w:val="00DF2E82"/>
    <w:rsid w:val="00DF371D"/>
    <w:rsid w:val="00DF3908"/>
    <w:rsid w:val="00DF4718"/>
    <w:rsid w:val="00DF4FB3"/>
    <w:rsid w:val="00DF59B4"/>
    <w:rsid w:val="00DF61B8"/>
    <w:rsid w:val="00DF6202"/>
    <w:rsid w:val="00DF6C81"/>
    <w:rsid w:val="00DF70F7"/>
    <w:rsid w:val="00DF7261"/>
    <w:rsid w:val="00DF73E1"/>
    <w:rsid w:val="00DF7743"/>
    <w:rsid w:val="00E00909"/>
    <w:rsid w:val="00E02486"/>
    <w:rsid w:val="00E02740"/>
    <w:rsid w:val="00E037E5"/>
    <w:rsid w:val="00E03E4A"/>
    <w:rsid w:val="00E040E7"/>
    <w:rsid w:val="00E0533A"/>
    <w:rsid w:val="00E0591C"/>
    <w:rsid w:val="00E05B23"/>
    <w:rsid w:val="00E05CB0"/>
    <w:rsid w:val="00E0692C"/>
    <w:rsid w:val="00E06D04"/>
    <w:rsid w:val="00E06F13"/>
    <w:rsid w:val="00E10B33"/>
    <w:rsid w:val="00E11A2B"/>
    <w:rsid w:val="00E1648C"/>
    <w:rsid w:val="00E20E43"/>
    <w:rsid w:val="00E2126D"/>
    <w:rsid w:val="00E212D3"/>
    <w:rsid w:val="00E21A23"/>
    <w:rsid w:val="00E23E23"/>
    <w:rsid w:val="00E24BB7"/>
    <w:rsid w:val="00E26065"/>
    <w:rsid w:val="00E26149"/>
    <w:rsid w:val="00E26714"/>
    <w:rsid w:val="00E272B5"/>
    <w:rsid w:val="00E27CF8"/>
    <w:rsid w:val="00E339BE"/>
    <w:rsid w:val="00E357AC"/>
    <w:rsid w:val="00E35A60"/>
    <w:rsid w:val="00E4010C"/>
    <w:rsid w:val="00E41956"/>
    <w:rsid w:val="00E4384E"/>
    <w:rsid w:val="00E43860"/>
    <w:rsid w:val="00E44C67"/>
    <w:rsid w:val="00E45786"/>
    <w:rsid w:val="00E47641"/>
    <w:rsid w:val="00E50B17"/>
    <w:rsid w:val="00E50BD1"/>
    <w:rsid w:val="00E51020"/>
    <w:rsid w:val="00E53B2A"/>
    <w:rsid w:val="00E54FF2"/>
    <w:rsid w:val="00E556CC"/>
    <w:rsid w:val="00E5582D"/>
    <w:rsid w:val="00E561FA"/>
    <w:rsid w:val="00E61D4B"/>
    <w:rsid w:val="00E62457"/>
    <w:rsid w:val="00E62579"/>
    <w:rsid w:val="00E63BB0"/>
    <w:rsid w:val="00E65C2B"/>
    <w:rsid w:val="00E672A2"/>
    <w:rsid w:val="00E67C04"/>
    <w:rsid w:val="00E7033C"/>
    <w:rsid w:val="00E72E55"/>
    <w:rsid w:val="00E73E5D"/>
    <w:rsid w:val="00E747A3"/>
    <w:rsid w:val="00E74A31"/>
    <w:rsid w:val="00E75EA5"/>
    <w:rsid w:val="00E761DB"/>
    <w:rsid w:val="00E77139"/>
    <w:rsid w:val="00E77DA0"/>
    <w:rsid w:val="00E77ED2"/>
    <w:rsid w:val="00E829D0"/>
    <w:rsid w:val="00E83119"/>
    <w:rsid w:val="00E83554"/>
    <w:rsid w:val="00E845DD"/>
    <w:rsid w:val="00E84BD4"/>
    <w:rsid w:val="00E85439"/>
    <w:rsid w:val="00E857AC"/>
    <w:rsid w:val="00E909BE"/>
    <w:rsid w:val="00E918A3"/>
    <w:rsid w:val="00E92839"/>
    <w:rsid w:val="00E92C75"/>
    <w:rsid w:val="00E96083"/>
    <w:rsid w:val="00E97732"/>
    <w:rsid w:val="00EA1B14"/>
    <w:rsid w:val="00EA20DD"/>
    <w:rsid w:val="00EA2570"/>
    <w:rsid w:val="00EA3D17"/>
    <w:rsid w:val="00EA4FCE"/>
    <w:rsid w:val="00EA6EE0"/>
    <w:rsid w:val="00EA79B3"/>
    <w:rsid w:val="00EB1C46"/>
    <w:rsid w:val="00EB2B92"/>
    <w:rsid w:val="00EB38CB"/>
    <w:rsid w:val="00EB4C9C"/>
    <w:rsid w:val="00EC0384"/>
    <w:rsid w:val="00EC0E04"/>
    <w:rsid w:val="00EC1096"/>
    <w:rsid w:val="00EC18A0"/>
    <w:rsid w:val="00EC236B"/>
    <w:rsid w:val="00EC4BDE"/>
    <w:rsid w:val="00EC4C7A"/>
    <w:rsid w:val="00EC55AC"/>
    <w:rsid w:val="00EC5775"/>
    <w:rsid w:val="00EC59C8"/>
    <w:rsid w:val="00EC60B0"/>
    <w:rsid w:val="00EC6A2C"/>
    <w:rsid w:val="00EC7BC8"/>
    <w:rsid w:val="00ED0FEB"/>
    <w:rsid w:val="00ED293A"/>
    <w:rsid w:val="00ED3D81"/>
    <w:rsid w:val="00ED4FCF"/>
    <w:rsid w:val="00ED68BE"/>
    <w:rsid w:val="00EE050B"/>
    <w:rsid w:val="00EE0835"/>
    <w:rsid w:val="00EE1443"/>
    <w:rsid w:val="00EE1731"/>
    <w:rsid w:val="00EE2352"/>
    <w:rsid w:val="00EE28E5"/>
    <w:rsid w:val="00EE30D9"/>
    <w:rsid w:val="00EE3490"/>
    <w:rsid w:val="00EE5DEF"/>
    <w:rsid w:val="00EE6F98"/>
    <w:rsid w:val="00EF11EB"/>
    <w:rsid w:val="00EF1729"/>
    <w:rsid w:val="00EF3306"/>
    <w:rsid w:val="00EF36B5"/>
    <w:rsid w:val="00EF3CA9"/>
    <w:rsid w:val="00EF3D78"/>
    <w:rsid w:val="00EF427F"/>
    <w:rsid w:val="00EF470C"/>
    <w:rsid w:val="00EF48DA"/>
    <w:rsid w:val="00EF4CB7"/>
    <w:rsid w:val="00EF6B16"/>
    <w:rsid w:val="00EF6B41"/>
    <w:rsid w:val="00EF6D91"/>
    <w:rsid w:val="00EF791F"/>
    <w:rsid w:val="00EF7928"/>
    <w:rsid w:val="00F0025A"/>
    <w:rsid w:val="00F0119D"/>
    <w:rsid w:val="00F014DD"/>
    <w:rsid w:val="00F02EBF"/>
    <w:rsid w:val="00F04318"/>
    <w:rsid w:val="00F048F4"/>
    <w:rsid w:val="00F04D54"/>
    <w:rsid w:val="00F050B4"/>
    <w:rsid w:val="00F053AF"/>
    <w:rsid w:val="00F062AA"/>
    <w:rsid w:val="00F10326"/>
    <w:rsid w:val="00F10AF0"/>
    <w:rsid w:val="00F149D7"/>
    <w:rsid w:val="00F14B3D"/>
    <w:rsid w:val="00F14D2D"/>
    <w:rsid w:val="00F15AD4"/>
    <w:rsid w:val="00F15FA3"/>
    <w:rsid w:val="00F21992"/>
    <w:rsid w:val="00F24B48"/>
    <w:rsid w:val="00F24C3D"/>
    <w:rsid w:val="00F24E71"/>
    <w:rsid w:val="00F253A2"/>
    <w:rsid w:val="00F25851"/>
    <w:rsid w:val="00F25ED0"/>
    <w:rsid w:val="00F304F1"/>
    <w:rsid w:val="00F3294B"/>
    <w:rsid w:val="00F334B2"/>
    <w:rsid w:val="00F34FDF"/>
    <w:rsid w:val="00F3622E"/>
    <w:rsid w:val="00F3691C"/>
    <w:rsid w:val="00F37D25"/>
    <w:rsid w:val="00F407F3"/>
    <w:rsid w:val="00F40D59"/>
    <w:rsid w:val="00F40F05"/>
    <w:rsid w:val="00F417A4"/>
    <w:rsid w:val="00F42044"/>
    <w:rsid w:val="00F4278B"/>
    <w:rsid w:val="00F427F4"/>
    <w:rsid w:val="00F42CF8"/>
    <w:rsid w:val="00F43623"/>
    <w:rsid w:val="00F44C9C"/>
    <w:rsid w:val="00F45111"/>
    <w:rsid w:val="00F4518F"/>
    <w:rsid w:val="00F45508"/>
    <w:rsid w:val="00F457D4"/>
    <w:rsid w:val="00F46E36"/>
    <w:rsid w:val="00F471F4"/>
    <w:rsid w:val="00F47983"/>
    <w:rsid w:val="00F503BB"/>
    <w:rsid w:val="00F50675"/>
    <w:rsid w:val="00F5087C"/>
    <w:rsid w:val="00F525B1"/>
    <w:rsid w:val="00F52F70"/>
    <w:rsid w:val="00F5367D"/>
    <w:rsid w:val="00F53E86"/>
    <w:rsid w:val="00F54478"/>
    <w:rsid w:val="00F55596"/>
    <w:rsid w:val="00F55F75"/>
    <w:rsid w:val="00F56D6F"/>
    <w:rsid w:val="00F60531"/>
    <w:rsid w:val="00F6080A"/>
    <w:rsid w:val="00F60A13"/>
    <w:rsid w:val="00F625D2"/>
    <w:rsid w:val="00F6299D"/>
    <w:rsid w:val="00F630E8"/>
    <w:rsid w:val="00F6454E"/>
    <w:rsid w:val="00F67594"/>
    <w:rsid w:val="00F70151"/>
    <w:rsid w:val="00F70F4D"/>
    <w:rsid w:val="00F71B12"/>
    <w:rsid w:val="00F71D1D"/>
    <w:rsid w:val="00F71E58"/>
    <w:rsid w:val="00F72573"/>
    <w:rsid w:val="00F7309E"/>
    <w:rsid w:val="00F735E3"/>
    <w:rsid w:val="00F73CB0"/>
    <w:rsid w:val="00F749DB"/>
    <w:rsid w:val="00F74BDB"/>
    <w:rsid w:val="00F752BD"/>
    <w:rsid w:val="00F76179"/>
    <w:rsid w:val="00F7689E"/>
    <w:rsid w:val="00F77A0C"/>
    <w:rsid w:val="00F80FF1"/>
    <w:rsid w:val="00F81AA1"/>
    <w:rsid w:val="00F82A2A"/>
    <w:rsid w:val="00F85540"/>
    <w:rsid w:val="00F8624C"/>
    <w:rsid w:val="00F86AC2"/>
    <w:rsid w:val="00F87C72"/>
    <w:rsid w:val="00F9025C"/>
    <w:rsid w:val="00F90473"/>
    <w:rsid w:val="00F91033"/>
    <w:rsid w:val="00F91D72"/>
    <w:rsid w:val="00F92D43"/>
    <w:rsid w:val="00F937D3"/>
    <w:rsid w:val="00F93A5F"/>
    <w:rsid w:val="00F946D3"/>
    <w:rsid w:val="00F94B29"/>
    <w:rsid w:val="00F94EDB"/>
    <w:rsid w:val="00F95347"/>
    <w:rsid w:val="00F9641F"/>
    <w:rsid w:val="00F9658C"/>
    <w:rsid w:val="00F96819"/>
    <w:rsid w:val="00F973C5"/>
    <w:rsid w:val="00FA2732"/>
    <w:rsid w:val="00FA2A4B"/>
    <w:rsid w:val="00FA301D"/>
    <w:rsid w:val="00FA31B5"/>
    <w:rsid w:val="00FA41BF"/>
    <w:rsid w:val="00FA4B62"/>
    <w:rsid w:val="00FA562B"/>
    <w:rsid w:val="00FA68EE"/>
    <w:rsid w:val="00FA7BCB"/>
    <w:rsid w:val="00FB0179"/>
    <w:rsid w:val="00FB0468"/>
    <w:rsid w:val="00FB2055"/>
    <w:rsid w:val="00FB5980"/>
    <w:rsid w:val="00FB5D7E"/>
    <w:rsid w:val="00FB65B1"/>
    <w:rsid w:val="00FB6720"/>
    <w:rsid w:val="00FC05E3"/>
    <w:rsid w:val="00FC0D99"/>
    <w:rsid w:val="00FC1D66"/>
    <w:rsid w:val="00FC2F37"/>
    <w:rsid w:val="00FC3810"/>
    <w:rsid w:val="00FC3CE2"/>
    <w:rsid w:val="00FC4292"/>
    <w:rsid w:val="00FC4789"/>
    <w:rsid w:val="00FC4A9D"/>
    <w:rsid w:val="00FC4DF3"/>
    <w:rsid w:val="00FC505D"/>
    <w:rsid w:val="00FC6633"/>
    <w:rsid w:val="00FD0476"/>
    <w:rsid w:val="00FD0BF9"/>
    <w:rsid w:val="00FD1223"/>
    <w:rsid w:val="00FD14C2"/>
    <w:rsid w:val="00FD1FB2"/>
    <w:rsid w:val="00FD25D9"/>
    <w:rsid w:val="00FD2DA2"/>
    <w:rsid w:val="00FD4206"/>
    <w:rsid w:val="00FD6CC5"/>
    <w:rsid w:val="00FD747F"/>
    <w:rsid w:val="00FD7814"/>
    <w:rsid w:val="00FD7D03"/>
    <w:rsid w:val="00FE127B"/>
    <w:rsid w:val="00FE289F"/>
    <w:rsid w:val="00FE367F"/>
    <w:rsid w:val="00FE3E27"/>
    <w:rsid w:val="00FE5CC5"/>
    <w:rsid w:val="00FF0602"/>
    <w:rsid w:val="00FF129A"/>
    <w:rsid w:val="00FF2864"/>
    <w:rsid w:val="00FF2DE8"/>
    <w:rsid w:val="00FF398C"/>
    <w:rsid w:val="00FF3A0F"/>
    <w:rsid w:val="00FF3AC0"/>
    <w:rsid w:val="00FF5ACE"/>
    <w:rsid w:val="00FF784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colormenu v:ext="edit" fillcolor="none [3212]" strokecolor="non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qFormat="1"/>
    <w:lsdException w:name="caption" w:qFormat="1"/>
    <w:lsdException w:name="table of figures" w:uiPriority="99" w:qFormat="1"/>
    <w:lsdException w:name="annotation reference" w:uiPriority="99"/>
    <w:lsdException w:name="page number" w:uiPriority="99"/>
    <w:lsdException w:name="List Bullet" w:qFormat="1"/>
    <w:lsdException w:name="List Number" w:uiPriority="99" w:qFormat="1"/>
    <w:lsdException w:name="List Bullet 2" w:qFormat="1"/>
    <w:lsdException w:name="List Number 2" w:uiPriority="99" w:qFormat="1"/>
    <w:lsdException w:name="List Number 3" w:uiPriority="99" w:qFormat="1"/>
    <w:lsdException w:name="List Number 4" w:uiPriority="99" w:qFormat="1"/>
    <w:lsdException w:name="Title" w:uiPriority="10" w:qFormat="1"/>
    <w:lsdException w:name="Default Paragraph Font" w:uiPriority="1"/>
    <w:lsdException w:name="Body Text" w:uiPriority="99"/>
    <w:lsdException w:name="Subtitle" w:uiPriority="11" w:qFormat="1"/>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No Spacing" w:uiPriority="1"/>
    <w:lsdException w:name="Revision" w:uiPriority="99"/>
    <w:lsdException w:name="List Paragraph" w:uiPriority="34"/>
    <w:lsdException w:name="Quote" w:uiPriority="29"/>
    <w:lsdException w:name="Intense Quote" w:uiPriority="30"/>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rsid w:val="00AE26B4"/>
    <w:pPr>
      <w:spacing w:after="0" w:line="240" w:lineRule="auto"/>
      <w:jc w:val="both"/>
    </w:pPr>
    <w:rPr>
      <w:rFonts w:ascii="Tahoma" w:eastAsia="Times New Roman" w:hAnsi="Tahoma" w:cs="Times New Roman"/>
      <w:sz w:val="20"/>
      <w:szCs w:val="24"/>
    </w:rPr>
  </w:style>
  <w:style w:type="paragraph" w:styleId="Heading1">
    <w:name w:val="heading 1"/>
    <w:aliases w:val="1 NoNum"/>
    <w:next w:val="bt"/>
    <w:link w:val="Heading1Char"/>
    <w:qFormat/>
    <w:rsid w:val="000A42F9"/>
    <w:pPr>
      <w:keepNext/>
      <w:tabs>
        <w:tab w:val="left" w:pos="851"/>
      </w:tabs>
      <w:spacing w:after="240" w:line="240" w:lineRule="auto"/>
      <w:outlineLvl w:val="0"/>
    </w:pPr>
    <w:rPr>
      <w:rFonts w:ascii="Calibri" w:hAnsi="Calibri" w:cs="Arial"/>
      <w:b/>
      <w:bCs/>
      <w:color w:val="BF1359"/>
      <w:sz w:val="34"/>
      <w:szCs w:val="28"/>
    </w:rPr>
  </w:style>
  <w:style w:type="paragraph" w:styleId="Heading2">
    <w:name w:val="heading 2"/>
    <w:next w:val="bt"/>
    <w:link w:val="Heading2Char"/>
    <w:autoRedefine/>
    <w:qFormat/>
    <w:rsid w:val="00C24603"/>
    <w:pPr>
      <w:keepNext/>
      <w:numPr>
        <w:ilvl w:val="1"/>
        <w:numId w:val="14"/>
      </w:numPr>
      <w:tabs>
        <w:tab w:val="left" w:pos="851"/>
      </w:tabs>
      <w:spacing w:before="360" w:after="240" w:line="240" w:lineRule="auto"/>
      <w:outlineLvl w:val="1"/>
    </w:pPr>
    <w:rPr>
      <w:rFonts w:ascii="Calibri" w:eastAsia="Times New Roman" w:hAnsi="Calibri" w:cs="Arial"/>
      <w:b/>
      <w:bCs/>
      <w:iCs/>
      <w:sz w:val="28"/>
      <w:szCs w:val="28"/>
    </w:rPr>
  </w:style>
  <w:style w:type="paragraph" w:styleId="Heading3">
    <w:name w:val="heading 3"/>
    <w:next w:val="bt"/>
    <w:link w:val="Heading3Char"/>
    <w:qFormat/>
    <w:rsid w:val="001412A4"/>
    <w:pPr>
      <w:keepNext/>
      <w:tabs>
        <w:tab w:val="left" w:pos="900"/>
      </w:tabs>
      <w:spacing w:before="360" w:after="120" w:line="240" w:lineRule="auto"/>
      <w:outlineLvl w:val="2"/>
    </w:pPr>
    <w:rPr>
      <w:rFonts w:ascii="Calibri" w:eastAsia="Times New Roman" w:hAnsi="Calibri" w:cs="Times New Roman"/>
      <w:bCs/>
      <w:sz w:val="26"/>
      <w:szCs w:val="18"/>
      <w:lang w:eastAsia="en-US"/>
    </w:rPr>
  </w:style>
  <w:style w:type="paragraph" w:styleId="Heading4">
    <w:name w:val="heading 4"/>
    <w:next w:val="bt"/>
    <w:link w:val="Heading4Char"/>
    <w:rsid w:val="00793687"/>
    <w:pPr>
      <w:numPr>
        <w:ilvl w:val="3"/>
        <w:numId w:val="11"/>
      </w:numPr>
      <w:spacing w:before="360" w:after="240" w:line="240" w:lineRule="auto"/>
      <w:outlineLvl w:val="3"/>
    </w:pPr>
    <w:rPr>
      <w:bCs/>
      <w:sz w:val="28"/>
      <w:szCs w:val="16"/>
    </w:rPr>
  </w:style>
  <w:style w:type="paragraph" w:styleId="Heading5">
    <w:name w:val="heading 5"/>
    <w:basedOn w:val="Normal"/>
    <w:next w:val="Normal"/>
    <w:link w:val="Heading5Char"/>
    <w:uiPriority w:val="9"/>
    <w:unhideWhenUsed/>
    <w:rsid w:val="00793687"/>
    <w:pPr>
      <w:keepNext/>
      <w:keepLines/>
      <w:numPr>
        <w:ilvl w:val="4"/>
        <w:numId w:val="11"/>
      </w:numPr>
      <w:spacing w:before="200" w:line="276" w:lineRule="auto"/>
      <w:jc w:val="left"/>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unhideWhenUsed/>
    <w:rsid w:val="00793687"/>
    <w:pPr>
      <w:keepNext/>
      <w:keepLines/>
      <w:numPr>
        <w:ilvl w:val="5"/>
        <w:numId w:val="11"/>
      </w:numPr>
      <w:spacing w:before="200" w:line="276" w:lineRule="auto"/>
      <w:jc w:val="left"/>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unhideWhenUsed/>
    <w:rsid w:val="00793687"/>
    <w:pPr>
      <w:keepNext/>
      <w:keepLines/>
      <w:numPr>
        <w:ilvl w:val="6"/>
        <w:numId w:val="11"/>
      </w:numPr>
      <w:spacing w:before="200" w:line="276" w:lineRule="auto"/>
      <w:jc w:val="left"/>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unhideWhenUsed/>
    <w:rsid w:val="00793687"/>
    <w:pPr>
      <w:keepNext/>
      <w:keepLines/>
      <w:numPr>
        <w:ilvl w:val="7"/>
        <w:numId w:val="11"/>
      </w:numPr>
      <w:spacing w:before="200" w:line="276" w:lineRule="auto"/>
      <w:jc w:val="left"/>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793687"/>
    <w:pPr>
      <w:keepNext/>
      <w:keepLines/>
      <w:numPr>
        <w:ilvl w:val="8"/>
        <w:numId w:val="11"/>
      </w:numPr>
      <w:spacing w:before="200" w:line="276" w:lineRule="auto"/>
      <w:jc w:val="left"/>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NoNum Char"/>
    <w:basedOn w:val="DefaultParagraphFont"/>
    <w:link w:val="Heading1"/>
    <w:rsid w:val="000A42F9"/>
    <w:rPr>
      <w:rFonts w:ascii="Calibri" w:hAnsi="Calibri" w:cs="Arial"/>
      <w:b/>
      <w:bCs/>
      <w:color w:val="BF1359"/>
      <w:sz w:val="34"/>
      <w:szCs w:val="28"/>
    </w:rPr>
  </w:style>
  <w:style w:type="character" w:customStyle="1" w:styleId="Heading2Char">
    <w:name w:val="Heading 2 Char"/>
    <w:basedOn w:val="DefaultParagraphFont"/>
    <w:link w:val="Heading2"/>
    <w:rsid w:val="00C24603"/>
    <w:rPr>
      <w:rFonts w:ascii="Calibri" w:eastAsia="Times New Roman" w:hAnsi="Calibri" w:cs="Arial"/>
      <w:b/>
      <w:bCs/>
      <w:iCs/>
      <w:sz w:val="28"/>
      <w:szCs w:val="28"/>
    </w:rPr>
  </w:style>
  <w:style w:type="character" w:customStyle="1" w:styleId="Heading3Char">
    <w:name w:val="Heading 3 Char"/>
    <w:basedOn w:val="DefaultParagraphFont"/>
    <w:link w:val="Heading3"/>
    <w:rsid w:val="001412A4"/>
    <w:rPr>
      <w:rFonts w:ascii="Calibri" w:eastAsia="Times New Roman" w:hAnsi="Calibri" w:cs="Times New Roman"/>
      <w:bCs/>
      <w:sz w:val="26"/>
      <w:szCs w:val="18"/>
      <w:lang w:eastAsia="en-US"/>
    </w:rPr>
  </w:style>
  <w:style w:type="character" w:customStyle="1" w:styleId="Heading4Char">
    <w:name w:val="Heading 4 Char"/>
    <w:basedOn w:val="DefaultParagraphFont"/>
    <w:link w:val="Heading4"/>
    <w:rsid w:val="00793687"/>
    <w:rPr>
      <w:bCs/>
      <w:sz w:val="28"/>
      <w:szCs w:val="16"/>
    </w:rPr>
  </w:style>
  <w:style w:type="paragraph" w:styleId="Header">
    <w:name w:val="header"/>
    <w:basedOn w:val="Normal"/>
    <w:link w:val="HeaderChar"/>
    <w:uiPriority w:val="99"/>
    <w:rsid w:val="00AE26B4"/>
    <w:pPr>
      <w:tabs>
        <w:tab w:val="center" w:pos="4153"/>
        <w:tab w:val="right" w:pos="8306"/>
      </w:tabs>
    </w:pPr>
  </w:style>
  <w:style w:type="character" w:customStyle="1" w:styleId="HeaderChar">
    <w:name w:val="Header Char"/>
    <w:basedOn w:val="DefaultParagraphFont"/>
    <w:link w:val="Header"/>
    <w:uiPriority w:val="99"/>
    <w:rsid w:val="00AE26B4"/>
    <w:rPr>
      <w:rFonts w:ascii="Tahoma" w:eastAsia="Times New Roman" w:hAnsi="Tahoma" w:cs="Times New Roman"/>
      <w:sz w:val="20"/>
      <w:szCs w:val="24"/>
      <w:lang w:eastAsia="en-AU"/>
    </w:rPr>
  </w:style>
  <w:style w:type="paragraph" w:styleId="Footer">
    <w:name w:val="footer"/>
    <w:basedOn w:val="Normal"/>
    <w:link w:val="FooterChar"/>
    <w:uiPriority w:val="99"/>
    <w:qFormat/>
    <w:rsid w:val="003235C5"/>
    <w:pPr>
      <w:tabs>
        <w:tab w:val="center" w:pos="4153"/>
        <w:tab w:val="right" w:pos="8306"/>
      </w:tabs>
      <w:jc w:val="center"/>
    </w:pPr>
    <w:rPr>
      <w:rFonts w:asciiTheme="minorHAnsi" w:hAnsiTheme="minorHAnsi"/>
    </w:rPr>
  </w:style>
  <w:style w:type="character" w:customStyle="1" w:styleId="FooterChar">
    <w:name w:val="Footer Char"/>
    <w:basedOn w:val="DefaultParagraphFont"/>
    <w:link w:val="Footer"/>
    <w:uiPriority w:val="99"/>
    <w:rsid w:val="003235C5"/>
    <w:rPr>
      <w:rFonts w:eastAsia="Times New Roman" w:cs="Times New Roman"/>
      <w:sz w:val="20"/>
      <w:szCs w:val="24"/>
    </w:rPr>
  </w:style>
  <w:style w:type="paragraph" w:styleId="TOC1">
    <w:name w:val="toc 1"/>
    <w:basedOn w:val="Normal"/>
    <w:next w:val="Normal"/>
    <w:link w:val="TOC1Char"/>
    <w:autoRedefine/>
    <w:uiPriority w:val="39"/>
    <w:qFormat/>
    <w:rsid w:val="00F82A2A"/>
    <w:pPr>
      <w:tabs>
        <w:tab w:val="left" w:pos="480"/>
        <w:tab w:val="right" w:leader="dot" w:pos="8789"/>
      </w:tabs>
      <w:spacing w:before="120" w:after="120"/>
      <w:jc w:val="left"/>
    </w:pPr>
    <w:rPr>
      <w:rFonts w:asciiTheme="minorHAnsi" w:hAnsiTheme="minorHAnsi" w:cstheme="minorBidi"/>
      <w:bCs/>
      <w:noProof/>
      <w:sz w:val="22"/>
      <w:szCs w:val="20"/>
    </w:rPr>
  </w:style>
  <w:style w:type="paragraph" w:styleId="TOC2">
    <w:name w:val="toc 2"/>
    <w:basedOn w:val="Normal"/>
    <w:next w:val="Normal"/>
    <w:autoRedefine/>
    <w:uiPriority w:val="39"/>
    <w:qFormat/>
    <w:rsid w:val="00B54F63"/>
    <w:pPr>
      <w:tabs>
        <w:tab w:val="left" w:pos="720"/>
        <w:tab w:val="right" w:leader="dot" w:pos="8789"/>
      </w:tabs>
      <w:spacing w:before="80" w:after="80"/>
      <w:ind w:left="238"/>
    </w:pPr>
    <w:rPr>
      <w:rFonts w:asciiTheme="minorHAnsi" w:hAnsiTheme="minorHAnsi"/>
      <w:iCs/>
      <w:noProof/>
      <w:color w:val="000000" w:themeColor="text1"/>
      <w:szCs w:val="20"/>
    </w:rPr>
  </w:style>
  <w:style w:type="character" w:styleId="Hyperlink">
    <w:name w:val="Hyperlink"/>
    <w:basedOn w:val="DefaultParagraphFont"/>
    <w:uiPriority w:val="99"/>
    <w:rsid w:val="00AE26B4"/>
    <w:rPr>
      <w:rFonts w:cs="Times New Roman"/>
      <w:color w:val="0000FF"/>
      <w:u w:val="single"/>
    </w:rPr>
  </w:style>
  <w:style w:type="paragraph" w:styleId="Title">
    <w:name w:val="Title"/>
    <w:basedOn w:val="Normal"/>
    <w:next w:val="Normal"/>
    <w:link w:val="TitleChar"/>
    <w:uiPriority w:val="10"/>
    <w:unhideWhenUsed/>
    <w:qFormat/>
    <w:rsid w:val="00793687"/>
    <w:pPr>
      <w:spacing w:before="180" w:after="300"/>
      <w:contextualSpacing/>
      <w:jc w:val="left"/>
    </w:pPr>
    <w:rPr>
      <w:rFonts w:ascii="Calibri" w:eastAsiaTheme="majorEastAsia" w:hAnsi="Calibri" w:cstheme="majorBidi"/>
      <w:spacing w:val="5"/>
      <w:kern w:val="28"/>
      <w:sz w:val="52"/>
      <w:szCs w:val="52"/>
    </w:rPr>
  </w:style>
  <w:style w:type="character" w:customStyle="1" w:styleId="TitleChar">
    <w:name w:val="Title Char"/>
    <w:basedOn w:val="DefaultParagraphFont"/>
    <w:link w:val="Title"/>
    <w:uiPriority w:val="10"/>
    <w:rsid w:val="00793687"/>
    <w:rPr>
      <w:rFonts w:ascii="Calibri" w:eastAsiaTheme="majorEastAsia" w:hAnsi="Calibri" w:cstheme="majorBidi"/>
      <w:spacing w:val="5"/>
      <w:kern w:val="28"/>
      <w:sz w:val="52"/>
      <w:szCs w:val="52"/>
    </w:rPr>
  </w:style>
  <w:style w:type="paragraph" w:styleId="Subtitle">
    <w:name w:val="Subtitle"/>
    <w:basedOn w:val="bt"/>
    <w:next w:val="bt"/>
    <w:link w:val="SubtitleChar"/>
    <w:uiPriority w:val="11"/>
    <w:unhideWhenUsed/>
    <w:qFormat/>
    <w:rsid w:val="00793687"/>
    <w:pPr>
      <w:numPr>
        <w:ilvl w:val="1"/>
      </w:numPr>
    </w:pPr>
    <w:rPr>
      <w:rFonts w:eastAsiaTheme="majorEastAsia" w:cstheme="majorBidi"/>
      <w:i/>
      <w:iCs/>
      <w:spacing w:val="15"/>
      <w:sz w:val="24"/>
    </w:rPr>
  </w:style>
  <w:style w:type="character" w:customStyle="1" w:styleId="SubtitleChar">
    <w:name w:val="Subtitle Char"/>
    <w:basedOn w:val="DefaultParagraphFont"/>
    <w:link w:val="Subtitle"/>
    <w:uiPriority w:val="11"/>
    <w:rsid w:val="00793687"/>
    <w:rPr>
      <w:rFonts w:ascii="Calibri" w:eastAsiaTheme="majorEastAsia" w:hAnsi="Calibri" w:cstheme="majorBidi"/>
      <w:i/>
      <w:iCs/>
      <w:spacing w:val="15"/>
      <w:sz w:val="24"/>
      <w:szCs w:val="24"/>
    </w:rPr>
  </w:style>
  <w:style w:type="paragraph" w:styleId="BalloonText">
    <w:name w:val="Balloon Text"/>
    <w:basedOn w:val="Normal"/>
    <w:link w:val="BalloonTextChar"/>
    <w:uiPriority w:val="99"/>
    <w:semiHidden/>
    <w:unhideWhenUsed/>
    <w:rsid w:val="00AE26B4"/>
    <w:rPr>
      <w:rFonts w:cs="Tahoma"/>
      <w:sz w:val="16"/>
      <w:szCs w:val="16"/>
    </w:rPr>
  </w:style>
  <w:style w:type="character" w:customStyle="1" w:styleId="BalloonTextChar">
    <w:name w:val="Balloon Text Char"/>
    <w:basedOn w:val="DefaultParagraphFont"/>
    <w:link w:val="BalloonText"/>
    <w:uiPriority w:val="99"/>
    <w:semiHidden/>
    <w:rsid w:val="00AE26B4"/>
    <w:rPr>
      <w:rFonts w:ascii="Tahoma" w:eastAsia="Times New Roman" w:hAnsi="Tahoma" w:cs="Tahoma"/>
      <w:sz w:val="16"/>
      <w:szCs w:val="16"/>
      <w:lang w:eastAsia="en-AU"/>
    </w:rPr>
  </w:style>
  <w:style w:type="character" w:styleId="PageNumber">
    <w:name w:val="page number"/>
    <w:basedOn w:val="DefaultParagraphFont"/>
    <w:uiPriority w:val="99"/>
    <w:rsid w:val="00AE26B4"/>
    <w:rPr>
      <w:rFonts w:cs="Times New Roman"/>
    </w:rPr>
  </w:style>
  <w:style w:type="character" w:customStyle="1" w:styleId="Heading5Char">
    <w:name w:val="Heading 5 Char"/>
    <w:basedOn w:val="DefaultParagraphFont"/>
    <w:link w:val="Heading5"/>
    <w:uiPriority w:val="9"/>
    <w:rsid w:val="00740FDC"/>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740FDC"/>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740FD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740F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40FDC"/>
    <w:rPr>
      <w:rFonts w:asciiTheme="majorHAnsi" w:eastAsiaTheme="majorEastAsia" w:hAnsiTheme="majorHAnsi" w:cstheme="majorBidi"/>
      <w:i/>
      <w:iCs/>
      <w:color w:val="404040" w:themeColor="text1" w:themeTint="BF"/>
      <w:sz w:val="20"/>
      <w:szCs w:val="20"/>
    </w:rPr>
  </w:style>
  <w:style w:type="paragraph" w:styleId="FootnoteText">
    <w:name w:val="footnote text"/>
    <w:aliases w:val="(NECG) Footnote Text"/>
    <w:basedOn w:val="Normal"/>
    <w:link w:val="FootnoteTextChar"/>
    <w:uiPriority w:val="99"/>
    <w:qFormat/>
    <w:rsid w:val="00152BF2"/>
    <w:pPr>
      <w:spacing w:line="276" w:lineRule="auto"/>
      <w:jc w:val="left"/>
    </w:pPr>
    <w:rPr>
      <w:rFonts w:asciiTheme="minorHAnsi" w:eastAsiaTheme="minorEastAsia" w:hAnsiTheme="minorHAnsi" w:cstheme="minorBidi"/>
      <w:sz w:val="16"/>
      <w:szCs w:val="22"/>
    </w:rPr>
  </w:style>
  <w:style w:type="character" w:customStyle="1" w:styleId="FootnoteTextChar">
    <w:name w:val="Footnote Text Char"/>
    <w:aliases w:val="(NECG) Footnote Text Char"/>
    <w:link w:val="FootnoteText"/>
    <w:uiPriority w:val="99"/>
    <w:rsid w:val="00152BF2"/>
    <w:rPr>
      <w:sz w:val="16"/>
    </w:rPr>
  </w:style>
  <w:style w:type="character" w:styleId="FootnoteReference">
    <w:name w:val="footnote reference"/>
    <w:aliases w:val="o,(NECG) Footnote Reference"/>
    <w:basedOn w:val="DefaultParagraphFont"/>
    <w:semiHidden/>
    <w:rsid w:val="00740FDC"/>
    <w:rPr>
      <w:rFonts w:cs="Times New Roman"/>
      <w:vertAlign w:val="superscript"/>
    </w:rPr>
  </w:style>
  <w:style w:type="paragraph" w:styleId="ListParagraph">
    <w:name w:val="List Paragraph"/>
    <w:basedOn w:val="Normal"/>
    <w:link w:val="ListParagraphChar"/>
    <w:uiPriority w:val="34"/>
    <w:rsid w:val="00793687"/>
    <w:pPr>
      <w:spacing w:after="200" w:line="276" w:lineRule="auto"/>
      <w:ind w:left="720"/>
      <w:contextualSpacing/>
      <w:jc w:val="left"/>
    </w:pPr>
    <w:rPr>
      <w:rFonts w:asciiTheme="minorHAnsi" w:eastAsiaTheme="minorEastAsia" w:hAnsiTheme="minorHAnsi" w:cstheme="minorBidi"/>
      <w:szCs w:val="22"/>
    </w:rPr>
  </w:style>
  <w:style w:type="paragraph" w:customStyle="1" w:styleId="StyleHeading2Tahoma11ptNotItalic1">
    <w:name w:val="Style Heading 2 + Tahoma 11 pt Not Italic1"/>
    <w:basedOn w:val="Heading2"/>
    <w:autoRedefine/>
    <w:uiPriority w:val="99"/>
    <w:rsid w:val="00740FDC"/>
    <w:pPr>
      <w:numPr>
        <w:numId w:val="1"/>
      </w:numPr>
      <w:spacing w:before="240" w:after="60"/>
    </w:pPr>
    <w:rPr>
      <w:iCs w:val="0"/>
    </w:rPr>
  </w:style>
  <w:style w:type="paragraph" w:styleId="Quote">
    <w:name w:val="Quote"/>
    <w:basedOn w:val="Normal"/>
    <w:next w:val="Normal"/>
    <w:link w:val="QuoteChar"/>
    <w:uiPriority w:val="29"/>
    <w:unhideWhenUsed/>
    <w:rsid w:val="00793687"/>
    <w:pPr>
      <w:spacing w:after="200" w:line="276" w:lineRule="auto"/>
      <w:jc w:val="left"/>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793687"/>
    <w:rPr>
      <w:i/>
      <w:iCs/>
      <w:color w:val="000000" w:themeColor="text1"/>
    </w:rPr>
  </w:style>
  <w:style w:type="paragraph" w:styleId="Revision">
    <w:name w:val="Revision"/>
    <w:hidden/>
    <w:uiPriority w:val="99"/>
    <w:semiHidden/>
    <w:rsid w:val="00B4402A"/>
    <w:pPr>
      <w:spacing w:after="0" w:line="240" w:lineRule="auto"/>
    </w:pPr>
    <w:rPr>
      <w:rFonts w:ascii="Tahoma" w:eastAsia="Times New Roman" w:hAnsi="Tahoma" w:cs="Times New Roman"/>
      <w:sz w:val="20"/>
      <w:szCs w:val="24"/>
    </w:rPr>
  </w:style>
  <w:style w:type="character" w:styleId="CommentReference">
    <w:name w:val="annotation reference"/>
    <w:basedOn w:val="DefaultParagraphFont"/>
    <w:uiPriority w:val="99"/>
    <w:semiHidden/>
    <w:unhideWhenUsed/>
    <w:rsid w:val="00B4402A"/>
    <w:rPr>
      <w:sz w:val="16"/>
      <w:szCs w:val="16"/>
    </w:rPr>
  </w:style>
  <w:style w:type="paragraph" w:styleId="CommentText">
    <w:name w:val="annotation text"/>
    <w:basedOn w:val="Normal"/>
    <w:link w:val="CommentTextChar"/>
    <w:uiPriority w:val="99"/>
    <w:semiHidden/>
    <w:unhideWhenUsed/>
    <w:rsid w:val="00B4402A"/>
    <w:rPr>
      <w:szCs w:val="20"/>
    </w:rPr>
  </w:style>
  <w:style w:type="character" w:customStyle="1" w:styleId="CommentTextChar">
    <w:name w:val="Comment Text Char"/>
    <w:basedOn w:val="DefaultParagraphFont"/>
    <w:link w:val="CommentText"/>
    <w:uiPriority w:val="99"/>
    <w:semiHidden/>
    <w:rsid w:val="00B4402A"/>
    <w:rPr>
      <w:rFonts w:ascii="Tahoma" w:eastAsia="Times New Roman" w:hAnsi="Tahoma"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B4402A"/>
    <w:rPr>
      <w:b/>
      <w:bCs/>
    </w:rPr>
  </w:style>
  <w:style w:type="character" w:customStyle="1" w:styleId="CommentSubjectChar">
    <w:name w:val="Comment Subject Char"/>
    <w:basedOn w:val="CommentTextChar"/>
    <w:link w:val="CommentSubject"/>
    <w:uiPriority w:val="99"/>
    <w:semiHidden/>
    <w:rsid w:val="00B4402A"/>
    <w:rPr>
      <w:rFonts w:ascii="Tahoma" w:eastAsia="Times New Roman" w:hAnsi="Tahoma" w:cs="Times New Roman"/>
      <w:b/>
      <w:bCs/>
      <w:sz w:val="20"/>
      <w:szCs w:val="20"/>
      <w:lang w:eastAsia="en-AU"/>
    </w:rPr>
  </w:style>
  <w:style w:type="paragraph" w:customStyle="1" w:styleId="bt">
    <w:name w:val="bt"/>
    <w:link w:val="btChar"/>
    <w:qFormat/>
    <w:rsid w:val="004C5F97"/>
    <w:pPr>
      <w:spacing w:before="180" w:after="240" w:line="270" w:lineRule="exact"/>
    </w:pPr>
    <w:rPr>
      <w:sz w:val="20"/>
      <w:szCs w:val="24"/>
    </w:rPr>
  </w:style>
  <w:style w:type="table" w:styleId="TableGrid">
    <w:name w:val="Table Grid"/>
    <w:basedOn w:val="TableNormal"/>
    <w:uiPriority w:val="59"/>
    <w:rsid w:val="00B84F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B055FA"/>
    <w:pPr>
      <w:spacing w:before="100" w:beforeAutospacing="1" w:after="100" w:afterAutospacing="1"/>
    </w:pPr>
  </w:style>
  <w:style w:type="paragraph" w:customStyle="1" w:styleId="Capire-FaxBullets">
    <w:name w:val="Capire - Fax Bullets"/>
    <w:basedOn w:val="Normal"/>
    <w:link w:val="Capire-FaxBulletsChar"/>
    <w:uiPriority w:val="99"/>
    <w:rsid w:val="00B055FA"/>
    <w:pPr>
      <w:numPr>
        <w:numId w:val="2"/>
      </w:numPr>
    </w:pPr>
    <w:rPr>
      <w:rFonts w:ascii="Calibri" w:eastAsia="Batang" w:hAnsi="Calibri"/>
      <w:sz w:val="36"/>
      <w:szCs w:val="20"/>
      <w:lang w:val="en-US"/>
    </w:rPr>
  </w:style>
  <w:style w:type="character" w:customStyle="1" w:styleId="Capire-FaxBulletsChar">
    <w:name w:val="Capire - Fax Bullets Char"/>
    <w:link w:val="Capire-FaxBullets"/>
    <w:uiPriority w:val="99"/>
    <w:locked/>
    <w:rsid w:val="00B055FA"/>
    <w:rPr>
      <w:rFonts w:ascii="Calibri" w:eastAsia="Batang" w:hAnsi="Calibri" w:cs="Times New Roman"/>
      <w:sz w:val="36"/>
      <w:szCs w:val="20"/>
      <w:lang w:val="en-US"/>
    </w:rPr>
  </w:style>
  <w:style w:type="paragraph" w:styleId="TOC3">
    <w:name w:val="toc 3"/>
    <w:basedOn w:val="Normal"/>
    <w:next w:val="Normal"/>
    <w:autoRedefine/>
    <w:uiPriority w:val="39"/>
    <w:rsid w:val="005B01F7"/>
    <w:pPr>
      <w:spacing w:before="40" w:after="40"/>
      <w:ind w:left="482"/>
    </w:pPr>
    <w:rPr>
      <w:rFonts w:asciiTheme="minorHAnsi" w:hAnsiTheme="minorHAnsi"/>
      <w:szCs w:val="20"/>
    </w:rPr>
  </w:style>
  <w:style w:type="paragraph" w:styleId="TOC4">
    <w:name w:val="toc 4"/>
    <w:basedOn w:val="Normal"/>
    <w:next w:val="Normal"/>
    <w:autoRedefine/>
    <w:uiPriority w:val="39"/>
    <w:rsid w:val="00B055FA"/>
    <w:pPr>
      <w:ind w:left="720"/>
    </w:pPr>
    <w:rPr>
      <w:szCs w:val="20"/>
    </w:rPr>
  </w:style>
  <w:style w:type="paragraph" w:styleId="TOC5">
    <w:name w:val="toc 5"/>
    <w:basedOn w:val="Normal"/>
    <w:next w:val="Normal"/>
    <w:autoRedefine/>
    <w:uiPriority w:val="39"/>
    <w:rsid w:val="00B055FA"/>
    <w:pPr>
      <w:ind w:left="960"/>
    </w:pPr>
    <w:rPr>
      <w:szCs w:val="20"/>
    </w:rPr>
  </w:style>
  <w:style w:type="paragraph" w:styleId="TOC6">
    <w:name w:val="toc 6"/>
    <w:basedOn w:val="Normal"/>
    <w:next w:val="Normal"/>
    <w:autoRedefine/>
    <w:uiPriority w:val="39"/>
    <w:rsid w:val="00B055FA"/>
    <w:pPr>
      <w:ind w:left="1200"/>
    </w:pPr>
    <w:rPr>
      <w:szCs w:val="20"/>
    </w:rPr>
  </w:style>
  <w:style w:type="paragraph" w:styleId="TOC7">
    <w:name w:val="toc 7"/>
    <w:basedOn w:val="Normal"/>
    <w:next w:val="Normal"/>
    <w:autoRedefine/>
    <w:uiPriority w:val="39"/>
    <w:rsid w:val="00B055FA"/>
    <w:pPr>
      <w:ind w:left="1440"/>
    </w:pPr>
    <w:rPr>
      <w:szCs w:val="20"/>
    </w:rPr>
  </w:style>
  <w:style w:type="paragraph" w:styleId="TOC8">
    <w:name w:val="toc 8"/>
    <w:basedOn w:val="Normal"/>
    <w:next w:val="Normal"/>
    <w:autoRedefine/>
    <w:uiPriority w:val="39"/>
    <w:rsid w:val="00B055FA"/>
    <w:pPr>
      <w:ind w:left="1680"/>
    </w:pPr>
    <w:rPr>
      <w:szCs w:val="20"/>
    </w:rPr>
  </w:style>
  <w:style w:type="paragraph" w:styleId="TOC9">
    <w:name w:val="toc 9"/>
    <w:basedOn w:val="Normal"/>
    <w:next w:val="Normal"/>
    <w:autoRedefine/>
    <w:uiPriority w:val="39"/>
    <w:rsid w:val="00B055FA"/>
    <w:pPr>
      <w:ind w:left="1920"/>
    </w:pPr>
    <w:rPr>
      <w:szCs w:val="20"/>
    </w:rPr>
  </w:style>
  <w:style w:type="paragraph" w:customStyle="1" w:styleId="BodyTextExecSum">
    <w:name w:val="BodyText ExecSum"/>
    <w:basedOn w:val="Normal"/>
    <w:uiPriority w:val="99"/>
    <w:rsid w:val="00B055FA"/>
    <w:pPr>
      <w:tabs>
        <w:tab w:val="right" w:pos="9356"/>
      </w:tabs>
      <w:spacing w:after="240" w:line="260" w:lineRule="atLeast"/>
    </w:pPr>
    <w:rPr>
      <w:rFonts w:ascii="Arial" w:hAnsi="Arial"/>
      <w:szCs w:val="20"/>
      <w:lang w:eastAsia="en-US"/>
    </w:rPr>
  </w:style>
  <w:style w:type="character" w:styleId="FollowedHyperlink">
    <w:name w:val="FollowedHyperlink"/>
    <w:basedOn w:val="DefaultParagraphFont"/>
    <w:uiPriority w:val="99"/>
    <w:rsid w:val="00B055FA"/>
    <w:rPr>
      <w:rFonts w:cs="Times New Roman"/>
      <w:color w:val="800080"/>
      <w:u w:val="single"/>
    </w:rPr>
  </w:style>
  <w:style w:type="paragraph" w:styleId="Caption">
    <w:name w:val="caption"/>
    <w:basedOn w:val="bt"/>
    <w:next w:val="bt"/>
    <w:link w:val="CaptionChar"/>
    <w:qFormat/>
    <w:rsid w:val="008203E7"/>
    <w:pPr>
      <w:keepNext/>
      <w:spacing w:before="0" w:after="0" w:line="240" w:lineRule="auto"/>
    </w:pPr>
    <w:rPr>
      <w:rFonts w:cstheme="minorHAnsi"/>
      <w:bCs/>
      <w:i/>
      <w:color w:val="000000" w:themeColor="text1"/>
      <w:szCs w:val="20"/>
    </w:rPr>
  </w:style>
  <w:style w:type="paragraph" w:customStyle="1" w:styleId="Default">
    <w:name w:val="Default"/>
    <w:rsid w:val="00B055FA"/>
    <w:pPr>
      <w:autoSpaceDE w:val="0"/>
      <w:autoSpaceDN w:val="0"/>
      <w:adjustRightInd w:val="0"/>
      <w:spacing w:after="0" w:line="240" w:lineRule="auto"/>
    </w:pPr>
    <w:rPr>
      <w:rFonts w:ascii="Frutiger 47LightCn" w:eastAsia="Times New Roman" w:hAnsi="Frutiger 47LightCn" w:cs="Frutiger 47LightCn"/>
      <w:color w:val="000000"/>
      <w:sz w:val="24"/>
      <w:szCs w:val="24"/>
    </w:rPr>
  </w:style>
  <w:style w:type="paragraph" w:customStyle="1" w:styleId="StyleHeading2Tahoma11ptNotItalic">
    <w:name w:val="Style Heading 2 + Tahoma 11 pt Not Italic"/>
    <w:basedOn w:val="Heading2"/>
    <w:uiPriority w:val="99"/>
    <w:rsid w:val="00B055FA"/>
    <w:pPr>
      <w:tabs>
        <w:tab w:val="num" w:pos="720"/>
      </w:tabs>
      <w:ind w:left="720" w:hanging="360"/>
    </w:pPr>
    <w:rPr>
      <w:iCs w:val="0"/>
      <w:caps/>
      <w:sz w:val="22"/>
    </w:rPr>
  </w:style>
  <w:style w:type="paragraph" w:styleId="BodyText">
    <w:name w:val="Body Text"/>
    <w:basedOn w:val="Normal"/>
    <w:link w:val="BodyTextChar"/>
    <w:uiPriority w:val="99"/>
    <w:rsid w:val="00B055FA"/>
    <w:pPr>
      <w:spacing w:before="120" w:after="120"/>
    </w:pPr>
    <w:rPr>
      <w:rFonts w:ascii="Calibri" w:hAnsi="Calibri"/>
      <w:szCs w:val="20"/>
      <w:lang w:val="en-GB" w:eastAsia="en-US"/>
    </w:rPr>
  </w:style>
  <w:style w:type="character" w:customStyle="1" w:styleId="BodyTextChar">
    <w:name w:val="Body Text Char"/>
    <w:basedOn w:val="DefaultParagraphFont"/>
    <w:link w:val="BodyText"/>
    <w:uiPriority w:val="99"/>
    <w:rsid w:val="00B055FA"/>
    <w:rPr>
      <w:rFonts w:ascii="Calibri" w:eastAsia="Times New Roman" w:hAnsi="Calibri" w:cs="Times New Roman"/>
      <w:sz w:val="20"/>
      <w:szCs w:val="20"/>
      <w:lang w:val="en-GB"/>
    </w:rPr>
  </w:style>
  <w:style w:type="paragraph" w:customStyle="1" w:styleId="CharChar">
    <w:name w:val="Char Char"/>
    <w:basedOn w:val="Normal"/>
    <w:uiPriority w:val="99"/>
    <w:rsid w:val="00B055FA"/>
    <w:pPr>
      <w:widowControl w:val="0"/>
      <w:adjustRightInd w:val="0"/>
      <w:spacing w:after="160" w:line="240" w:lineRule="exact"/>
      <w:textAlignment w:val="baseline"/>
    </w:pPr>
    <w:rPr>
      <w:rFonts w:cs="Tahoma"/>
      <w:szCs w:val="20"/>
      <w:lang w:val="en-US" w:eastAsia="en-US"/>
    </w:rPr>
  </w:style>
  <w:style w:type="character" w:styleId="Strong">
    <w:name w:val="Strong"/>
    <w:basedOn w:val="DefaultParagraphFont"/>
    <w:qFormat/>
    <w:rsid w:val="00793687"/>
    <w:rPr>
      <w:rFonts w:ascii="Calibri" w:hAnsi="Calibri"/>
      <w:b/>
      <w:bCs/>
    </w:rPr>
  </w:style>
  <w:style w:type="paragraph" w:styleId="DocumentMap">
    <w:name w:val="Document Map"/>
    <w:basedOn w:val="Normal"/>
    <w:link w:val="DocumentMapChar"/>
    <w:uiPriority w:val="99"/>
    <w:unhideWhenUsed/>
    <w:rsid w:val="00B055FA"/>
    <w:rPr>
      <w:rFonts w:cs="Tahoma"/>
      <w:sz w:val="16"/>
      <w:szCs w:val="16"/>
    </w:rPr>
  </w:style>
  <w:style w:type="character" w:customStyle="1" w:styleId="DocumentMapChar">
    <w:name w:val="Document Map Char"/>
    <w:basedOn w:val="DefaultParagraphFont"/>
    <w:link w:val="DocumentMap"/>
    <w:uiPriority w:val="99"/>
    <w:rsid w:val="00B055FA"/>
    <w:rPr>
      <w:rFonts w:ascii="Tahoma" w:eastAsia="Times New Roman" w:hAnsi="Tahoma" w:cs="Tahoma"/>
      <w:sz w:val="16"/>
      <w:szCs w:val="16"/>
      <w:lang w:eastAsia="en-AU"/>
    </w:rPr>
  </w:style>
  <w:style w:type="paragraph" w:customStyle="1" w:styleId="Pa10">
    <w:name w:val="Pa10"/>
    <w:basedOn w:val="Default"/>
    <w:next w:val="Default"/>
    <w:uiPriority w:val="99"/>
    <w:rsid w:val="00D52A92"/>
    <w:pPr>
      <w:spacing w:line="191" w:lineRule="atLeast"/>
    </w:pPr>
    <w:rPr>
      <w:rFonts w:ascii="DIN" w:eastAsiaTheme="minorHAnsi" w:hAnsi="DIN" w:cstheme="minorBidi"/>
      <w:color w:val="auto"/>
      <w:lang w:eastAsia="en-US"/>
    </w:rPr>
  </w:style>
  <w:style w:type="paragraph" w:customStyle="1" w:styleId="Pa37">
    <w:name w:val="Pa37"/>
    <w:basedOn w:val="Default"/>
    <w:next w:val="Default"/>
    <w:uiPriority w:val="99"/>
    <w:rsid w:val="00D52A92"/>
    <w:pPr>
      <w:spacing w:line="191" w:lineRule="atLeast"/>
    </w:pPr>
    <w:rPr>
      <w:rFonts w:ascii="DIN" w:eastAsiaTheme="minorHAnsi" w:hAnsi="DIN" w:cstheme="minorBidi"/>
      <w:color w:val="auto"/>
      <w:lang w:eastAsia="en-US"/>
    </w:rPr>
  </w:style>
  <w:style w:type="paragraph" w:customStyle="1" w:styleId="PSBody">
    <w:name w:val="PS Body"/>
    <w:basedOn w:val="Normal"/>
    <w:rsid w:val="0002754E"/>
    <w:pPr>
      <w:spacing w:after="120"/>
      <w:jc w:val="left"/>
    </w:pPr>
    <w:rPr>
      <w:rFonts w:ascii="Arial Narrow" w:hAnsi="Arial Narrow" w:cs="Arial"/>
      <w:color w:val="595959"/>
      <w:sz w:val="24"/>
      <w:lang w:eastAsia="en-US"/>
    </w:rPr>
  </w:style>
  <w:style w:type="paragraph" w:customStyle="1" w:styleId="Pa22">
    <w:name w:val="Pa22"/>
    <w:basedOn w:val="Default"/>
    <w:next w:val="Default"/>
    <w:uiPriority w:val="99"/>
    <w:rsid w:val="00DD6647"/>
    <w:pPr>
      <w:spacing w:line="191" w:lineRule="atLeast"/>
    </w:pPr>
    <w:rPr>
      <w:rFonts w:ascii="DIN" w:eastAsiaTheme="minorHAnsi" w:hAnsi="DIN" w:cstheme="minorBidi"/>
      <w:color w:val="auto"/>
      <w:lang w:eastAsia="en-US"/>
    </w:rPr>
  </w:style>
  <w:style w:type="paragraph" w:customStyle="1" w:styleId="Pa20">
    <w:name w:val="Pa20"/>
    <w:basedOn w:val="Default"/>
    <w:next w:val="Default"/>
    <w:uiPriority w:val="99"/>
    <w:rsid w:val="00B94E1B"/>
    <w:pPr>
      <w:spacing w:line="241" w:lineRule="atLeast"/>
    </w:pPr>
    <w:rPr>
      <w:rFonts w:ascii="DIN" w:eastAsiaTheme="minorHAnsi" w:hAnsi="DIN" w:cstheme="minorBidi"/>
      <w:color w:val="auto"/>
      <w:lang w:eastAsia="en-US"/>
    </w:rPr>
  </w:style>
  <w:style w:type="paragraph" w:customStyle="1" w:styleId="Pa23">
    <w:name w:val="Pa23"/>
    <w:basedOn w:val="Default"/>
    <w:next w:val="Default"/>
    <w:uiPriority w:val="99"/>
    <w:rsid w:val="00B94E1B"/>
    <w:pPr>
      <w:spacing w:line="201" w:lineRule="atLeast"/>
    </w:pPr>
    <w:rPr>
      <w:rFonts w:ascii="DIN" w:eastAsiaTheme="minorHAnsi" w:hAnsi="DIN" w:cstheme="minorBidi"/>
      <w:color w:val="auto"/>
      <w:lang w:eastAsia="en-US"/>
    </w:rPr>
  </w:style>
  <w:style w:type="paragraph" w:styleId="TOCHeading">
    <w:name w:val="TOC Heading"/>
    <w:basedOn w:val="Heading1"/>
    <w:next w:val="Normal"/>
    <w:uiPriority w:val="39"/>
    <w:semiHidden/>
    <w:unhideWhenUsed/>
    <w:qFormat/>
    <w:rsid w:val="00793687"/>
    <w:pPr>
      <w:outlineLvl w:val="9"/>
    </w:pPr>
    <w:rPr>
      <w:rFonts w:eastAsiaTheme="majorEastAsia" w:cstheme="majorBidi"/>
      <w:lang w:val="en-US"/>
    </w:rPr>
  </w:style>
  <w:style w:type="character" w:customStyle="1" w:styleId="ListParagraphChar">
    <w:name w:val="List Paragraph Char"/>
    <w:basedOn w:val="DefaultParagraphFont"/>
    <w:link w:val="ListParagraph"/>
    <w:uiPriority w:val="34"/>
    <w:rsid w:val="00793687"/>
    <w:rPr>
      <w:sz w:val="20"/>
    </w:rPr>
  </w:style>
  <w:style w:type="character" w:customStyle="1" w:styleId="btChar">
    <w:name w:val="bt Char"/>
    <w:basedOn w:val="DefaultParagraphFont"/>
    <w:link w:val="bt"/>
    <w:rsid w:val="004C5F97"/>
    <w:rPr>
      <w:sz w:val="20"/>
      <w:szCs w:val="24"/>
    </w:rPr>
  </w:style>
  <w:style w:type="character" w:styleId="SubtleEmphasis">
    <w:name w:val="Subtle Emphasis"/>
    <w:basedOn w:val="DefaultParagraphFont"/>
    <w:uiPriority w:val="19"/>
    <w:unhideWhenUsed/>
    <w:rsid w:val="00793687"/>
    <w:rPr>
      <w:rFonts w:eastAsiaTheme="minorEastAsia" w:cstheme="minorBidi"/>
      <w:bCs w:val="0"/>
      <w:i/>
      <w:iCs/>
      <w:color w:val="808080" w:themeColor="text1" w:themeTint="7F"/>
      <w:szCs w:val="22"/>
      <w:lang w:val="en-US"/>
    </w:rPr>
  </w:style>
  <w:style w:type="paragraph" w:customStyle="1" w:styleId="Subsubheading">
    <w:name w:val="Sub sub heading"/>
    <w:basedOn w:val="Heading3"/>
    <w:link w:val="SubsubheadingChar"/>
    <w:rsid w:val="00E272B5"/>
    <w:pPr>
      <w:numPr>
        <w:numId w:val="3"/>
      </w:numPr>
      <w:ind w:left="709" w:hanging="709"/>
    </w:pPr>
  </w:style>
  <w:style w:type="character" w:customStyle="1" w:styleId="SubsubheadingChar">
    <w:name w:val="Sub sub heading Char"/>
    <w:basedOn w:val="Heading3Char"/>
    <w:link w:val="Subsubheading"/>
    <w:rsid w:val="00E272B5"/>
    <w:rPr>
      <w:rFonts w:ascii="Calibri" w:eastAsia="Times New Roman" w:hAnsi="Calibri" w:cs="Times New Roman"/>
      <w:bCs/>
      <w:sz w:val="26"/>
      <w:szCs w:val="18"/>
      <w:lang w:eastAsia="en-US"/>
    </w:rPr>
  </w:style>
  <w:style w:type="paragraph" w:customStyle="1" w:styleId="Bulletlist">
    <w:name w:val="Bullet list"/>
    <w:basedOn w:val="ListParagraph"/>
    <w:link w:val="BulletlistChar"/>
    <w:rsid w:val="00793687"/>
    <w:pPr>
      <w:ind w:left="0"/>
    </w:pPr>
    <w:rPr>
      <w:rFonts w:ascii="Tahoma" w:hAnsi="Tahoma"/>
      <w:lang w:val="en-GB"/>
    </w:rPr>
  </w:style>
  <w:style w:type="character" w:customStyle="1" w:styleId="BulletlistChar">
    <w:name w:val="Bullet list Char"/>
    <w:basedOn w:val="ListParagraphChar"/>
    <w:link w:val="Bulletlist"/>
    <w:rsid w:val="00793687"/>
    <w:rPr>
      <w:rFonts w:ascii="Tahoma" w:hAnsi="Tahoma"/>
      <w:sz w:val="20"/>
      <w:lang w:val="en-GB"/>
    </w:rPr>
  </w:style>
  <w:style w:type="character" w:styleId="Emphasis">
    <w:name w:val="Emphasis"/>
    <w:basedOn w:val="DefaultParagraphFont"/>
    <w:qFormat/>
    <w:rsid w:val="00227110"/>
    <w:rPr>
      <w:rFonts w:ascii="Calibri" w:hAnsi="Calibri"/>
      <w:i/>
      <w:iCs/>
      <w:sz w:val="20"/>
    </w:rPr>
  </w:style>
  <w:style w:type="character" w:customStyle="1" w:styleId="CaptionChar">
    <w:name w:val="Caption Char"/>
    <w:basedOn w:val="DefaultParagraphFont"/>
    <w:link w:val="Caption"/>
    <w:rsid w:val="008203E7"/>
    <w:rPr>
      <w:rFonts w:cstheme="minorHAnsi"/>
      <w:bCs/>
      <w:i/>
      <w:color w:val="000000" w:themeColor="text1"/>
      <w:sz w:val="20"/>
      <w:szCs w:val="20"/>
    </w:rPr>
  </w:style>
  <w:style w:type="paragraph" w:styleId="ListBullet">
    <w:name w:val="List Bullet"/>
    <w:basedOn w:val="bt"/>
    <w:qFormat/>
    <w:rsid w:val="00977170"/>
    <w:pPr>
      <w:numPr>
        <w:numId w:val="4"/>
      </w:numPr>
      <w:spacing w:before="0" w:after="40"/>
    </w:pPr>
  </w:style>
  <w:style w:type="paragraph" w:styleId="ListNumber">
    <w:name w:val="List Number"/>
    <w:basedOn w:val="bt"/>
    <w:uiPriority w:val="99"/>
    <w:qFormat/>
    <w:rsid w:val="00675F43"/>
    <w:pPr>
      <w:numPr>
        <w:numId w:val="5"/>
      </w:numPr>
      <w:contextualSpacing/>
    </w:pPr>
  </w:style>
  <w:style w:type="paragraph" w:styleId="ListBullet2">
    <w:name w:val="List Bullet 2"/>
    <w:basedOn w:val="ListBullet"/>
    <w:qFormat/>
    <w:rsid w:val="00DA6342"/>
    <w:pPr>
      <w:numPr>
        <w:numId w:val="8"/>
      </w:numPr>
    </w:pPr>
  </w:style>
  <w:style w:type="paragraph" w:styleId="ListBullet3">
    <w:name w:val="List Bullet 3"/>
    <w:basedOn w:val="bt"/>
    <w:rsid w:val="00793687"/>
  </w:style>
  <w:style w:type="paragraph" w:styleId="ListNumber2">
    <w:name w:val="List Number 2"/>
    <w:basedOn w:val="bt"/>
    <w:uiPriority w:val="99"/>
    <w:qFormat/>
    <w:rsid w:val="00793687"/>
    <w:pPr>
      <w:contextualSpacing/>
    </w:pPr>
  </w:style>
  <w:style w:type="paragraph" w:styleId="ListNumber3">
    <w:name w:val="List Number 3"/>
    <w:basedOn w:val="bt"/>
    <w:uiPriority w:val="99"/>
    <w:qFormat/>
    <w:rsid w:val="00793687"/>
    <w:pPr>
      <w:contextualSpacing/>
    </w:pPr>
  </w:style>
  <w:style w:type="paragraph" w:styleId="ListNumber4">
    <w:name w:val="List Number 4"/>
    <w:basedOn w:val="bt"/>
    <w:uiPriority w:val="99"/>
    <w:qFormat/>
    <w:rsid w:val="00793687"/>
    <w:pPr>
      <w:tabs>
        <w:tab w:val="left" w:pos="1701"/>
      </w:tabs>
      <w:contextualSpacing/>
    </w:pPr>
  </w:style>
  <w:style w:type="paragraph" w:styleId="ListContinue">
    <w:name w:val="List Continue"/>
    <w:basedOn w:val="Normal"/>
    <w:rsid w:val="00793687"/>
    <w:pPr>
      <w:spacing w:after="120"/>
      <w:ind w:left="283"/>
      <w:jc w:val="left"/>
    </w:pPr>
    <w:rPr>
      <w:rFonts w:ascii="Arial" w:hAnsi="Arial"/>
    </w:rPr>
  </w:style>
  <w:style w:type="paragraph" w:styleId="ListContinue2">
    <w:name w:val="List Continue 2"/>
    <w:basedOn w:val="Normal"/>
    <w:rsid w:val="00793687"/>
    <w:pPr>
      <w:spacing w:after="120"/>
      <w:ind w:left="566"/>
      <w:jc w:val="left"/>
    </w:pPr>
    <w:rPr>
      <w:rFonts w:ascii="Arial" w:hAnsi="Arial"/>
    </w:rPr>
  </w:style>
  <w:style w:type="paragraph" w:styleId="ListContinue3">
    <w:name w:val="List Continue 3"/>
    <w:basedOn w:val="Normal"/>
    <w:rsid w:val="00793687"/>
    <w:pPr>
      <w:spacing w:after="120"/>
      <w:ind w:left="849"/>
      <w:jc w:val="left"/>
    </w:pPr>
    <w:rPr>
      <w:rFonts w:ascii="Arial" w:hAnsi="Arial"/>
    </w:rPr>
  </w:style>
  <w:style w:type="paragraph" w:styleId="NoSpacing">
    <w:name w:val="No Spacing"/>
    <w:link w:val="NoSpacingChar"/>
    <w:uiPriority w:val="1"/>
    <w:unhideWhenUsed/>
    <w:rsid w:val="00793687"/>
    <w:pPr>
      <w:spacing w:after="0" w:line="240" w:lineRule="auto"/>
    </w:pPr>
    <w:rPr>
      <w:lang w:val="en-US"/>
    </w:rPr>
  </w:style>
  <w:style w:type="character" w:customStyle="1" w:styleId="NoSpacingChar">
    <w:name w:val="No Spacing Char"/>
    <w:basedOn w:val="DefaultParagraphFont"/>
    <w:link w:val="NoSpacing"/>
    <w:uiPriority w:val="1"/>
    <w:rsid w:val="00793687"/>
    <w:rPr>
      <w:lang w:val="en-US"/>
    </w:rPr>
  </w:style>
  <w:style w:type="paragraph" w:styleId="IntenseQuote">
    <w:name w:val="Intense Quote"/>
    <w:basedOn w:val="bt"/>
    <w:next w:val="bt"/>
    <w:link w:val="IntenseQuoteChar"/>
    <w:autoRedefine/>
    <w:uiPriority w:val="30"/>
    <w:unhideWhenUsed/>
    <w:rsid w:val="00793687"/>
    <w:pPr>
      <w:pBdr>
        <w:bottom w:val="single" w:sz="4" w:space="4" w:color="76923C" w:themeColor="accent3" w:themeShade="BF"/>
      </w:pBdr>
      <w:spacing w:before="200" w:after="280"/>
      <w:ind w:left="936" w:right="936"/>
    </w:pPr>
    <w:rPr>
      <w:bCs/>
      <w:i/>
      <w:iCs/>
      <w:color w:val="404040" w:themeColor="text1" w:themeTint="BF"/>
      <w:sz w:val="24"/>
    </w:rPr>
  </w:style>
  <w:style w:type="character" w:customStyle="1" w:styleId="IntenseQuoteChar">
    <w:name w:val="Intense Quote Char"/>
    <w:basedOn w:val="DefaultParagraphFont"/>
    <w:link w:val="IntenseQuote"/>
    <w:uiPriority w:val="30"/>
    <w:rsid w:val="00793687"/>
    <w:rPr>
      <w:rFonts w:ascii="Calibri" w:eastAsia="Times New Roman" w:hAnsi="Calibri" w:cs="Times New Roman"/>
      <w:bCs/>
      <w:i/>
      <w:iCs/>
      <w:color w:val="404040" w:themeColor="text1" w:themeTint="BF"/>
      <w:sz w:val="24"/>
      <w:szCs w:val="24"/>
    </w:rPr>
  </w:style>
  <w:style w:type="character" w:styleId="IntenseEmphasis">
    <w:name w:val="Intense Emphasis"/>
    <w:basedOn w:val="DefaultParagraphFont"/>
    <w:uiPriority w:val="21"/>
    <w:unhideWhenUsed/>
    <w:rsid w:val="00793687"/>
    <w:rPr>
      <w:b/>
      <w:bCs/>
      <w:i/>
      <w:iCs/>
      <w:color w:val="262626" w:themeColor="text1" w:themeTint="D9"/>
    </w:rPr>
  </w:style>
  <w:style w:type="character" w:styleId="SubtleReference">
    <w:name w:val="Subtle Reference"/>
    <w:basedOn w:val="DefaultParagraphFont"/>
    <w:uiPriority w:val="31"/>
    <w:unhideWhenUsed/>
    <w:rsid w:val="00793687"/>
    <w:rPr>
      <w:smallCaps/>
      <w:color w:val="C0504D" w:themeColor="accent2"/>
      <w:u w:val="single"/>
    </w:rPr>
  </w:style>
  <w:style w:type="character" w:styleId="IntenseReference">
    <w:name w:val="Intense Reference"/>
    <w:basedOn w:val="DefaultParagraphFont"/>
    <w:uiPriority w:val="32"/>
    <w:unhideWhenUsed/>
    <w:rsid w:val="00793687"/>
    <w:rPr>
      <w:b/>
      <w:bCs/>
      <w:smallCaps/>
      <w:color w:val="C0504D" w:themeColor="accent2"/>
      <w:spacing w:val="5"/>
      <w:u w:val="single"/>
    </w:rPr>
  </w:style>
  <w:style w:type="paragraph" w:customStyle="1" w:styleId="Tabletext">
    <w:name w:val="Table text"/>
    <w:basedOn w:val="bt"/>
    <w:autoRedefine/>
    <w:semiHidden/>
    <w:unhideWhenUsed/>
    <w:qFormat/>
    <w:rsid w:val="00793687"/>
    <w:pPr>
      <w:spacing w:before="60" w:after="60" w:line="240" w:lineRule="auto"/>
    </w:pPr>
    <w:rPr>
      <w:rFonts w:ascii="Arial Narrow" w:hAnsi="Arial Narrow"/>
      <w:szCs w:val="20"/>
    </w:rPr>
  </w:style>
  <w:style w:type="paragraph" w:customStyle="1" w:styleId="btbold">
    <w:name w:val="bt_bold"/>
    <w:basedOn w:val="bt"/>
    <w:next w:val="bt"/>
    <w:semiHidden/>
    <w:unhideWhenUsed/>
    <w:qFormat/>
    <w:rsid w:val="00793687"/>
    <w:pPr>
      <w:spacing w:after="120"/>
    </w:pPr>
    <w:rPr>
      <w:b/>
    </w:rPr>
  </w:style>
  <w:style w:type="paragraph" w:customStyle="1" w:styleId="btindent">
    <w:name w:val="bt_indent"/>
    <w:basedOn w:val="bt"/>
    <w:next w:val="bt"/>
    <w:semiHidden/>
    <w:unhideWhenUsed/>
    <w:qFormat/>
    <w:rsid w:val="00793687"/>
    <w:pPr>
      <w:ind w:left="709"/>
    </w:pPr>
    <w:rPr>
      <w:rFonts w:eastAsia="Times New Roman" w:cs="Times New Roman"/>
    </w:rPr>
  </w:style>
  <w:style w:type="paragraph" w:customStyle="1" w:styleId="btitalics">
    <w:name w:val="bt_italics"/>
    <w:basedOn w:val="bt"/>
    <w:next w:val="bt"/>
    <w:semiHidden/>
    <w:unhideWhenUsed/>
    <w:qFormat/>
    <w:rsid w:val="00793687"/>
    <w:rPr>
      <w:rFonts w:eastAsia="Times New Roman" w:cs="Times New Roman"/>
      <w:i/>
    </w:rPr>
  </w:style>
  <w:style w:type="character" w:customStyle="1" w:styleId="bt-highlighttext">
    <w:name w:val="bt-highlight text"/>
    <w:basedOn w:val="DefaultParagraphFont"/>
    <w:semiHidden/>
    <w:unhideWhenUsed/>
    <w:qFormat/>
    <w:rsid w:val="00793687"/>
    <w:rPr>
      <w:rFonts w:ascii="Calibri" w:hAnsi="Calibri"/>
      <w:color w:val="0000FF"/>
      <w:sz w:val="24"/>
      <w:lang w:eastAsia="en-US"/>
    </w:rPr>
  </w:style>
  <w:style w:type="paragraph" w:customStyle="1" w:styleId="Heading11">
    <w:name w:val="Heading 1_1"/>
    <w:basedOn w:val="Heading1"/>
    <w:next w:val="bt"/>
    <w:qFormat/>
    <w:rsid w:val="007649C1"/>
    <w:pPr>
      <w:numPr>
        <w:numId w:val="14"/>
      </w:numPr>
      <w:tabs>
        <w:tab w:val="clear" w:pos="851"/>
      </w:tabs>
    </w:pPr>
    <w:rPr>
      <w:rFonts w:eastAsia="Times New Roman" w:cs="Times New Roman"/>
      <w:lang w:eastAsia="en-US"/>
    </w:rPr>
  </w:style>
  <w:style w:type="paragraph" w:customStyle="1" w:styleId="Heading2nonum">
    <w:name w:val="Heading 2_no num"/>
    <w:basedOn w:val="Heading2"/>
    <w:next w:val="bt"/>
    <w:rsid w:val="00793687"/>
    <w:rPr>
      <w:b w:val="0"/>
      <w:lang w:eastAsia="en-US"/>
    </w:rPr>
  </w:style>
  <w:style w:type="paragraph" w:customStyle="1" w:styleId="TabletextBold">
    <w:name w:val="Table text Bold"/>
    <w:basedOn w:val="Tabletext"/>
    <w:next w:val="Tabletext"/>
    <w:semiHidden/>
    <w:unhideWhenUsed/>
    <w:qFormat/>
    <w:rsid w:val="00793687"/>
    <w:rPr>
      <w:rFonts w:eastAsia="Times New Roman" w:cs="Times New Roman"/>
      <w:b/>
      <w:bCs/>
    </w:rPr>
  </w:style>
  <w:style w:type="paragraph" w:customStyle="1" w:styleId="tabletextbullet">
    <w:name w:val="table text bullet"/>
    <w:basedOn w:val="Normal"/>
    <w:semiHidden/>
    <w:unhideWhenUsed/>
    <w:qFormat/>
    <w:rsid w:val="00793687"/>
    <w:pPr>
      <w:spacing w:before="60" w:after="60" w:line="270" w:lineRule="exact"/>
    </w:pPr>
    <w:rPr>
      <w:rFonts w:ascii="Calibri" w:hAnsi="Calibri"/>
      <w:szCs w:val="20"/>
    </w:rPr>
  </w:style>
  <w:style w:type="paragraph" w:customStyle="1" w:styleId="tableheaderrow">
    <w:name w:val="table_header row"/>
    <w:basedOn w:val="Tabletext"/>
    <w:semiHidden/>
    <w:unhideWhenUsed/>
    <w:qFormat/>
    <w:rsid w:val="00793687"/>
    <w:rPr>
      <w:rFonts w:eastAsia="Times New Roman" w:cs="Times New Roman"/>
      <w:b/>
    </w:rPr>
  </w:style>
  <w:style w:type="paragraph" w:customStyle="1" w:styleId="btbullet">
    <w:name w:val="bt_bullet"/>
    <w:basedOn w:val="bt"/>
    <w:semiHidden/>
    <w:unhideWhenUsed/>
    <w:qFormat/>
    <w:rsid w:val="00793687"/>
    <w:pPr>
      <w:spacing w:before="60" w:after="60" w:line="264" w:lineRule="auto"/>
    </w:pPr>
    <w:rPr>
      <w:rFonts w:eastAsia="Times New Roman" w:cs="Times New Roman"/>
    </w:rPr>
  </w:style>
  <w:style w:type="paragraph" w:customStyle="1" w:styleId="source">
    <w:name w:val="source"/>
    <w:basedOn w:val="bt"/>
    <w:next w:val="bt"/>
    <w:semiHidden/>
    <w:unhideWhenUsed/>
    <w:qFormat/>
    <w:rsid w:val="00793687"/>
    <w:pPr>
      <w:spacing w:line="240" w:lineRule="auto"/>
    </w:pPr>
    <w:rPr>
      <w:rFonts w:eastAsia="Times New Roman" w:cs="Times New Roman"/>
      <w:i/>
      <w:sz w:val="18"/>
    </w:rPr>
  </w:style>
  <w:style w:type="paragraph" w:customStyle="1" w:styleId="btpicture">
    <w:name w:val="bt_picture"/>
    <w:basedOn w:val="bt"/>
    <w:next w:val="bt"/>
    <w:semiHidden/>
    <w:unhideWhenUsed/>
    <w:qFormat/>
    <w:rsid w:val="00793687"/>
    <w:pPr>
      <w:spacing w:after="0" w:line="240" w:lineRule="auto"/>
    </w:pPr>
    <w:rPr>
      <w:rFonts w:eastAsia="Times New Roman" w:cs="Times New Roman"/>
      <w:sz w:val="18"/>
    </w:rPr>
  </w:style>
  <w:style w:type="paragraph" w:customStyle="1" w:styleId="bttextbox">
    <w:name w:val="bt_textbox"/>
    <w:basedOn w:val="bt"/>
    <w:semiHidden/>
    <w:unhideWhenUsed/>
    <w:qFormat/>
    <w:rsid w:val="00793687"/>
    <w:rPr>
      <w:rFonts w:eastAsia="Times New Roman" w:cs="Times New Roman"/>
    </w:rPr>
  </w:style>
  <w:style w:type="paragraph" w:customStyle="1" w:styleId="Heading20">
    <w:name w:val="^Heading 2"/>
    <w:basedOn w:val="Heading2"/>
    <w:semiHidden/>
    <w:unhideWhenUsed/>
    <w:qFormat/>
    <w:rsid w:val="00793687"/>
    <w:pPr>
      <w:keepLines/>
      <w:tabs>
        <w:tab w:val="clear" w:pos="851"/>
      </w:tabs>
      <w:spacing w:before="200" w:after="120"/>
    </w:pPr>
    <w:rPr>
      <w:rFonts w:eastAsia="MS Gothic" w:cs="Times New Roman"/>
      <w:iCs w:val="0"/>
      <w:color w:val="6B065A"/>
      <w:sz w:val="26"/>
      <w:szCs w:val="26"/>
      <w:lang w:eastAsia="en-US"/>
    </w:rPr>
  </w:style>
  <w:style w:type="paragraph" w:customStyle="1" w:styleId="Sourcestyle">
    <w:name w:val="Source style"/>
    <w:basedOn w:val="Normal"/>
    <w:link w:val="SourcestyleChar"/>
    <w:semiHidden/>
    <w:unhideWhenUsed/>
    <w:qFormat/>
    <w:rsid w:val="00793687"/>
    <w:pPr>
      <w:spacing w:before="60" w:after="60"/>
      <w:jc w:val="left"/>
    </w:pPr>
    <w:rPr>
      <w:rFonts w:ascii="Calibri" w:eastAsia="MS Mincho" w:hAnsi="Calibri" w:cs="Calibri"/>
      <w:sz w:val="18"/>
    </w:rPr>
  </w:style>
  <w:style w:type="character" w:customStyle="1" w:styleId="SourcestyleChar">
    <w:name w:val="Source style Char"/>
    <w:basedOn w:val="DefaultParagraphFont"/>
    <w:link w:val="Sourcestyle"/>
    <w:semiHidden/>
    <w:rsid w:val="00793687"/>
    <w:rPr>
      <w:rFonts w:ascii="Calibri" w:eastAsia="MS Mincho" w:hAnsi="Calibri" w:cs="Calibri"/>
      <w:sz w:val="18"/>
      <w:szCs w:val="24"/>
    </w:rPr>
  </w:style>
  <w:style w:type="paragraph" w:styleId="List2">
    <w:name w:val="List 2"/>
    <w:basedOn w:val="Normal"/>
    <w:rsid w:val="00793687"/>
    <w:pPr>
      <w:ind w:left="566" w:hanging="283"/>
      <w:contextualSpacing/>
    </w:pPr>
  </w:style>
  <w:style w:type="paragraph" w:customStyle="1" w:styleId="Source0">
    <w:name w:val="Source"/>
    <w:basedOn w:val="bt"/>
    <w:next w:val="bt"/>
    <w:qFormat/>
    <w:rsid w:val="009C573F"/>
    <w:pPr>
      <w:spacing w:before="0" w:after="0"/>
    </w:pPr>
    <w:rPr>
      <w:rFonts w:cs="Tahoma"/>
      <w:i/>
      <w:sz w:val="18"/>
    </w:rPr>
  </w:style>
  <w:style w:type="numbering" w:customStyle="1" w:styleId="Style1">
    <w:name w:val="Style1"/>
    <w:uiPriority w:val="99"/>
    <w:rsid w:val="009D1777"/>
    <w:pPr>
      <w:numPr>
        <w:numId w:val="6"/>
      </w:numPr>
    </w:pPr>
  </w:style>
  <w:style w:type="numbering" w:customStyle="1" w:styleId="Headings">
    <w:name w:val="Headings"/>
    <w:uiPriority w:val="99"/>
    <w:rsid w:val="00DA6342"/>
    <w:pPr>
      <w:numPr>
        <w:numId w:val="7"/>
      </w:numPr>
    </w:pPr>
  </w:style>
  <w:style w:type="paragraph" w:styleId="TableofFigures">
    <w:name w:val="table of figures"/>
    <w:basedOn w:val="Normal"/>
    <w:next w:val="Normal"/>
    <w:autoRedefine/>
    <w:uiPriority w:val="99"/>
    <w:qFormat/>
    <w:rsid w:val="00F82A2A"/>
    <w:pPr>
      <w:tabs>
        <w:tab w:val="right" w:leader="dot" w:pos="8789"/>
      </w:tabs>
      <w:spacing w:before="80" w:after="80"/>
    </w:pPr>
    <w:rPr>
      <w:rFonts w:asciiTheme="minorHAnsi" w:hAnsiTheme="minorHAnsi"/>
    </w:rPr>
  </w:style>
  <w:style w:type="paragraph" w:customStyle="1" w:styleId="TableText0">
    <w:name w:val="Table Text"/>
    <w:basedOn w:val="bt"/>
    <w:qFormat/>
    <w:rsid w:val="00FB0468"/>
    <w:pPr>
      <w:spacing w:before="40" w:after="40"/>
    </w:pPr>
    <w:rPr>
      <w:rFonts w:ascii="Arial Narrow" w:hAnsi="Arial Narrow" w:cstheme="minorHAnsi"/>
      <w:color w:val="000000"/>
      <w:szCs w:val="20"/>
    </w:rPr>
  </w:style>
  <w:style w:type="numbering" w:customStyle="1" w:styleId="RobertsList">
    <w:name w:val="Robert's List"/>
    <w:uiPriority w:val="99"/>
    <w:rsid w:val="002059F0"/>
    <w:pPr>
      <w:numPr>
        <w:numId w:val="10"/>
      </w:numPr>
    </w:pPr>
  </w:style>
  <w:style w:type="paragraph" w:customStyle="1" w:styleId="font5">
    <w:name w:val="font5"/>
    <w:basedOn w:val="Normal"/>
    <w:rsid w:val="001F66D6"/>
    <w:pPr>
      <w:spacing w:before="100" w:beforeAutospacing="1" w:after="100" w:afterAutospacing="1"/>
      <w:jc w:val="left"/>
    </w:pPr>
    <w:rPr>
      <w:rFonts w:ascii="Arial" w:hAnsi="Arial" w:cs="Arial"/>
      <w:b/>
      <w:bCs/>
      <w:sz w:val="14"/>
      <w:szCs w:val="14"/>
    </w:rPr>
  </w:style>
  <w:style w:type="paragraph" w:customStyle="1" w:styleId="font6">
    <w:name w:val="font6"/>
    <w:basedOn w:val="Normal"/>
    <w:rsid w:val="001F66D6"/>
    <w:pPr>
      <w:spacing w:before="100" w:beforeAutospacing="1" w:after="100" w:afterAutospacing="1"/>
      <w:jc w:val="left"/>
    </w:pPr>
    <w:rPr>
      <w:rFonts w:ascii="Arial" w:hAnsi="Arial" w:cs="Arial"/>
      <w:sz w:val="14"/>
      <w:szCs w:val="14"/>
    </w:rPr>
  </w:style>
  <w:style w:type="paragraph" w:customStyle="1" w:styleId="font7">
    <w:name w:val="font7"/>
    <w:basedOn w:val="Normal"/>
    <w:rsid w:val="001F66D6"/>
    <w:pPr>
      <w:spacing w:before="100" w:beforeAutospacing="1" w:after="100" w:afterAutospacing="1"/>
      <w:jc w:val="left"/>
    </w:pPr>
    <w:rPr>
      <w:rFonts w:ascii="Arial" w:hAnsi="Arial" w:cs="Arial"/>
      <w:b/>
      <w:bCs/>
      <w:color w:val="008000"/>
      <w:sz w:val="24"/>
    </w:rPr>
  </w:style>
  <w:style w:type="paragraph" w:customStyle="1" w:styleId="font8">
    <w:name w:val="font8"/>
    <w:basedOn w:val="Normal"/>
    <w:rsid w:val="001F66D6"/>
    <w:pPr>
      <w:spacing w:before="100" w:beforeAutospacing="1" w:after="100" w:afterAutospacing="1"/>
      <w:jc w:val="left"/>
    </w:pPr>
    <w:rPr>
      <w:rFonts w:ascii="Arial" w:hAnsi="Arial" w:cs="Arial"/>
      <w:color w:val="00B050"/>
      <w:sz w:val="18"/>
      <w:szCs w:val="18"/>
    </w:rPr>
  </w:style>
  <w:style w:type="paragraph" w:customStyle="1" w:styleId="font9">
    <w:name w:val="font9"/>
    <w:basedOn w:val="Normal"/>
    <w:rsid w:val="001F66D6"/>
    <w:pPr>
      <w:spacing w:before="100" w:beforeAutospacing="1" w:after="100" w:afterAutospacing="1"/>
      <w:jc w:val="left"/>
    </w:pPr>
    <w:rPr>
      <w:rFonts w:ascii="Arial" w:hAnsi="Arial" w:cs="Arial"/>
      <w:b/>
      <w:bCs/>
      <w:i/>
      <w:iCs/>
      <w:color w:val="008000"/>
      <w:szCs w:val="20"/>
    </w:rPr>
  </w:style>
  <w:style w:type="paragraph" w:customStyle="1" w:styleId="font10">
    <w:name w:val="font10"/>
    <w:basedOn w:val="Normal"/>
    <w:rsid w:val="001F66D6"/>
    <w:pPr>
      <w:spacing w:before="100" w:beforeAutospacing="1" w:after="100" w:afterAutospacing="1"/>
      <w:jc w:val="left"/>
    </w:pPr>
    <w:rPr>
      <w:rFonts w:ascii="Arial" w:hAnsi="Arial" w:cs="Arial"/>
      <w:b/>
      <w:bCs/>
      <w:color w:val="008000"/>
      <w:szCs w:val="20"/>
    </w:rPr>
  </w:style>
  <w:style w:type="paragraph" w:customStyle="1" w:styleId="font11">
    <w:name w:val="font11"/>
    <w:basedOn w:val="Normal"/>
    <w:rsid w:val="001F66D6"/>
    <w:pPr>
      <w:spacing w:before="100" w:beforeAutospacing="1" w:after="100" w:afterAutospacing="1"/>
      <w:jc w:val="left"/>
    </w:pPr>
    <w:rPr>
      <w:rFonts w:ascii="Arial" w:hAnsi="Arial" w:cs="Arial"/>
      <w:b/>
      <w:bCs/>
      <w:color w:val="00B050"/>
      <w:szCs w:val="20"/>
    </w:rPr>
  </w:style>
  <w:style w:type="paragraph" w:customStyle="1" w:styleId="xl63">
    <w:name w:val="xl63"/>
    <w:basedOn w:val="Normal"/>
    <w:rsid w:val="001F66D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1F66D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65">
    <w:name w:val="xl65"/>
    <w:basedOn w:val="Normal"/>
    <w:rsid w:val="001F66D6"/>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66">
    <w:name w:val="xl66"/>
    <w:basedOn w:val="Normal"/>
    <w:rsid w:val="001F66D6"/>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67">
    <w:name w:val="xl67"/>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68">
    <w:name w:val="xl68"/>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69">
    <w:name w:val="xl69"/>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70">
    <w:name w:val="xl70"/>
    <w:basedOn w:val="Normal"/>
    <w:rsid w:val="001F66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Normal"/>
    <w:rsid w:val="001F66D6"/>
    <w:pPr>
      <w:pBdr>
        <w:top w:val="single" w:sz="4"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1F66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5">
    <w:name w:val="xl75"/>
    <w:basedOn w:val="Normal"/>
    <w:rsid w:val="001F66D6"/>
    <w:pPr>
      <w:pBdr>
        <w:top w:val="single" w:sz="8"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b/>
      <w:bCs/>
      <w:sz w:val="14"/>
      <w:szCs w:val="14"/>
    </w:rPr>
  </w:style>
  <w:style w:type="paragraph" w:customStyle="1" w:styleId="xl76">
    <w:name w:val="xl76"/>
    <w:basedOn w:val="Normal"/>
    <w:rsid w:val="001F66D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b/>
      <w:bCs/>
      <w:sz w:val="14"/>
      <w:szCs w:val="14"/>
    </w:rPr>
  </w:style>
  <w:style w:type="paragraph" w:customStyle="1" w:styleId="xl77">
    <w:name w:val="xl77"/>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4"/>
      <w:szCs w:val="14"/>
    </w:rPr>
  </w:style>
  <w:style w:type="paragraph" w:customStyle="1" w:styleId="xl78">
    <w:name w:val="xl78"/>
    <w:basedOn w:val="Normal"/>
    <w:rsid w:val="001F66D6"/>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imes New Roman" w:hAnsi="Times New Roman"/>
      <w:sz w:val="24"/>
    </w:rPr>
  </w:style>
  <w:style w:type="paragraph" w:customStyle="1" w:styleId="xl79">
    <w:name w:val="xl79"/>
    <w:basedOn w:val="Normal"/>
    <w:rsid w:val="001F66D6"/>
    <w:pPr>
      <w:pBdr>
        <w:top w:val="single" w:sz="4" w:space="0" w:color="auto"/>
        <w:left w:val="single" w:sz="4" w:space="0" w:color="auto"/>
        <w:bottom w:val="single" w:sz="8" w:space="0" w:color="auto"/>
        <w:right w:val="single" w:sz="4" w:space="0" w:color="auto"/>
      </w:pBdr>
      <w:shd w:val="clear" w:color="000000" w:fill="333399"/>
      <w:spacing w:before="100" w:beforeAutospacing="1" w:after="100" w:afterAutospacing="1"/>
      <w:jc w:val="left"/>
    </w:pPr>
    <w:rPr>
      <w:rFonts w:ascii="Times New Roman" w:hAnsi="Times New Roman"/>
      <w:sz w:val="24"/>
    </w:rPr>
  </w:style>
  <w:style w:type="paragraph" w:customStyle="1" w:styleId="xl80">
    <w:name w:val="xl80"/>
    <w:basedOn w:val="Normal"/>
    <w:rsid w:val="001F66D6"/>
    <w:pPr>
      <w:pBdr>
        <w:top w:val="single" w:sz="8" w:space="0" w:color="auto"/>
        <w:left w:val="single" w:sz="4" w:space="0" w:color="auto"/>
        <w:bottom w:val="single" w:sz="4" w:space="0" w:color="auto"/>
        <w:right w:val="single" w:sz="8" w:space="0" w:color="auto"/>
      </w:pBdr>
      <w:shd w:val="clear" w:color="000000" w:fill="008000"/>
      <w:spacing w:before="100" w:beforeAutospacing="1" w:after="100" w:afterAutospacing="1"/>
      <w:jc w:val="left"/>
    </w:pPr>
    <w:rPr>
      <w:rFonts w:ascii="Times New Roman" w:hAnsi="Times New Roman"/>
      <w:sz w:val="24"/>
    </w:rPr>
  </w:style>
  <w:style w:type="paragraph" w:customStyle="1" w:styleId="xl81">
    <w:name w:val="xl81"/>
    <w:basedOn w:val="Normal"/>
    <w:rsid w:val="001F66D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hAnsi="Arial" w:cs="Arial"/>
      <w:b/>
      <w:bCs/>
      <w:sz w:val="18"/>
      <w:szCs w:val="18"/>
    </w:rPr>
  </w:style>
  <w:style w:type="paragraph" w:customStyle="1" w:styleId="xl82">
    <w:name w:val="xl82"/>
    <w:basedOn w:val="Normal"/>
    <w:rsid w:val="001F66D6"/>
    <w:pPr>
      <w:pBdr>
        <w:top w:val="single" w:sz="4" w:space="0" w:color="auto"/>
        <w:left w:val="single" w:sz="8" w:space="0" w:color="auto"/>
        <w:bottom w:val="single" w:sz="4" w:space="0" w:color="auto"/>
        <w:right w:val="single" w:sz="4" w:space="0" w:color="auto"/>
      </w:pBdr>
      <w:shd w:val="clear" w:color="000000" w:fill="008000"/>
      <w:spacing w:before="100" w:beforeAutospacing="1" w:after="100" w:afterAutospacing="1"/>
      <w:jc w:val="left"/>
      <w:textAlignment w:val="center"/>
    </w:pPr>
    <w:rPr>
      <w:rFonts w:ascii="Arial" w:hAnsi="Arial" w:cs="Arial"/>
      <w:b/>
      <w:bCs/>
      <w:color w:val="FFFFFF"/>
      <w:sz w:val="18"/>
      <w:szCs w:val="18"/>
    </w:rPr>
  </w:style>
  <w:style w:type="paragraph" w:customStyle="1" w:styleId="xl83">
    <w:name w:val="xl83"/>
    <w:basedOn w:val="Normal"/>
    <w:rsid w:val="001F66D6"/>
    <w:pPr>
      <w:pBdr>
        <w:top w:val="single" w:sz="4" w:space="0" w:color="auto"/>
        <w:left w:val="single" w:sz="8" w:space="0" w:color="auto"/>
        <w:bottom w:val="single" w:sz="4" w:space="0" w:color="auto"/>
        <w:right w:val="single" w:sz="4" w:space="0" w:color="auto"/>
      </w:pBdr>
      <w:shd w:val="clear" w:color="000000" w:fill="333399"/>
      <w:spacing w:before="100" w:beforeAutospacing="1" w:after="100" w:afterAutospacing="1"/>
      <w:jc w:val="left"/>
      <w:textAlignment w:val="center"/>
    </w:pPr>
    <w:rPr>
      <w:rFonts w:ascii="Arial" w:hAnsi="Arial" w:cs="Arial"/>
      <w:b/>
      <w:bCs/>
      <w:color w:val="FFFFFF"/>
      <w:sz w:val="18"/>
      <w:szCs w:val="18"/>
    </w:rPr>
  </w:style>
  <w:style w:type="paragraph" w:customStyle="1" w:styleId="xl84">
    <w:name w:val="xl84"/>
    <w:basedOn w:val="Normal"/>
    <w:rsid w:val="001F66D6"/>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Normal"/>
    <w:rsid w:val="001F66D6"/>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jc w:val="left"/>
    </w:pPr>
    <w:rPr>
      <w:rFonts w:ascii="Arial" w:hAnsi="Arial" w:cs="Arial"/>
      <w:b/>
      <w:bCs/>
      <w:sz w:val="18"/>
      <w:szCs w:val="18"/>
    </w:rPr>
  </w:style>
  <w:style w:type="paragraph" w:customStyle="1" w:styleId="xl86">
    <w:name w:val="xl86"/>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87">
    <w:name w:val="xl87"/>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88">
    <w:name w:val="xl88"/>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0">
    <w:name w:val="xl90"/>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1">
    <w:name w:val="xl91"/>
    <w:basedOn w:val="Normal"/>
    <w:rsid w:val="001F66D6"/>
    <w:pPr>
      <w:spacing w:before="100" w:beforeAutospacing="1" w:after="100" w:afterAutospacing="1"/>
      <w:jc w:val="left"/>
    </w:pPr>
    <w:rPr>
      <w:rFonts w:ascii="Arial" w:hAnsi="Arial" w:cs="Arial"/>
      <w:b/>
      <w:bCs/>
      <w:sz w:val="16"/>
      <w:szCs w:val="16"/>
    </w:rPr>
  </w:style>
  <w:style w:type="paragraph" w:customStyle="1" w:styleId="xl92">
    <w:name w:val="xl92"/>
    <w:basedOn w:val="Normal"/>
    <w:rsid w:val="001F66D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3">
    <w:name w:val="xl93"/>
    <w:basedOn w:val="Normal"/>
    <w:rsid w:val="001F66D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4">
    <w:name w:val="xl94"/>
    <w:basedOn w:val="Normal"/>
    <w:rsid w:val="001F66D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5">
    <w:name w:val="xl95"/>
    <w:basedOn w:val="Normal"/>
    <w:rsid w:val="001F66D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6">
    <w:name w:val="xl96"/>
    <w:basedOn w:val="Normal"/>
    <w:rsid w:val="001F66D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7">
    <w:name w:val="xl97"/>
    <w:basedOn w:val="Normal"/>
    <w:rsid w:val="001F66D6"/>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8">
    <w:name w:val="xl98"/>
    <w:basedOn w:val="Normal"/>
    <w:rsid w:val="001F66D6"/>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9">
    <w:name w:val="xl99"/>
    <w:basedOn w:val="Normal"/>
    <w:rsid w:val="001F66D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0">
    <w:name w:val="xl100"/>
    <w:basedOn w:val="Normal"/>
    <w:rsid w:val="001F66D6"/>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left"/>
      <w:textAlignment w:val="center"/>
    </w:pPr>
    <w:rPr>
      <w:rFonts w:ascii="Arial" w:hAnsi="Arial" w:cs="Arial"/>
      <w:b/>
      <w:bCs/>
      <w:sz w:val="18"/>
      <w:szCs w:val="18"/>
    </w:rPr>
  </w:style>
  <w:style w:type="paragraph" w:customStyle="1" w:styleId="xl101">
    <w:name w:val="xl101"/>
    <w:basedOn w:val="Normal"/>
    <w:rsid w:val="001F66D6"/>
    <w:pPr>
      <w:pBdr>
        <w:bottom w:val="single" w:sz="8" w:space="0" w:color="auto"/>
      </w:pBdr>
      <w:spacing w:before="100" w:beforeAutospacing="1" w:after="100" w:afterAutospacing="1"/>
      <w:jc w:val="left"/>
    </w:pPr>
    <w:rPr>
      <w:rFonts w:ascii="Arial" w:hAnsi="Arial" w:cs="Arial"/>
      <w:b/>
      <w:bCs/>
      <w:color w:val="008000"/>
      <w:sz w:val="16"/>
      <w:szCs w:val="16"/>
    </w:rPr>
  </w:style>
  <w:style w:type="paragraph" w:customStyle="1" w:styleId="xl102">
    <w:name w:val="xl102"/>
    <w:basedOn w:val="Normal"/>
    <w:rsid w:val="001F6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8"/>
      <w:szCs w:val="18"/>
    </w:rPr>
  </w:style>
  <w:style w:type="paragraph" w:customStyle="1" w:styleId="xl103">
    <w:name w:val="xl103"/>
    <w:basedOn w:val="Normal"/>
    <w:rsid w:val="001F6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8"/>
      <w:szCs w:val="18"/>
    </w:rPr>
  </w:style>
  <w:style w:type="paragraph" w:customStyle="1" w:styleId="xl104">
    <w:name w:val="xl104"/>
    <w:basedOn w:val="Normal"/>
    <w:rsid w:val="001F6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05">
    <w:name w:val="xl105"/>
    <w:basedOn w:val="Normal"/>
    <w:rsid w:val="001F6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06">
    <w:name w:val="xl106"/>
    <w:basedOn w:val="Normal"/>
    <w:rsid w:val="001F6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8"/>
      <w:szCs w:val="18"/>
    </w:rPr>
  </w:style>
  <w:style w:type="paragraph" w:customStyle="1" w:styleId="xl107">
    <w:name w:val="xl107"/>
    <w:basedOn w:val="Normal"/>
    <w:rsid w:val="001F66D6"/>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08">
    <w:name w:val="xl108"/>
    <w:basedOn w:val="Normal"/>
    <w:rsid w:val="001F66D6"/>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09">
    <w:name w:val="xl109"/>
    <w:basedOn w:val="Normal"/>
    <w:rsid w:val="001F66D6"/>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10">
    <w:name w:val="xl110"/>
    <w:basedOn w:val="Normal"/>
    <w:rsid w:val="001F66D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rFonts w:ascii="Times New Roman" w:hAnsi="Times New Roman"/>
      <w:sz w:val="17"/>
      <w:szCs w:val="17"/>
    </w:rPr>
  </w:style>
  <w:style w:type="paragraph" w:customStyle="1" w:styleId="xl111">
    <w:name w:val="xl111"/>
    <w:basedOn w:val="Normal"/>
    <w:rsid w:val="001F66D6"/>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12">
    <w:name w:val="xl112"/>
    <w:basedOn w:val="Normal"/>
    <w:rsid w:val="001F66D6"/>
    <w:pPr>
      <w:pBdr>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13">
    <w:name w:val="xl113"/>
    <w:basedOn w:val="Normal"/>
    <w:rsid w:val="001F66D6"/>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14">
    <w:name w:val="xl114"/>
    <w:basedOn w:val="Normal"/>
    <w:rsid w:val="001F66D6"/>
    <w:pPr>
      <w:pBdr>
        <w:top w:val="single" w:sz="4" w:space="0" w:color="auto"/>
        <w:left w:val="single" w:sz="8" w:space="0" w:color="auto"/>
        <w:bottom w:val="single" w:sz="4" w:space="0" w:color="auto"/>
        <w:right w:val="single" w:sz="4" w:space="0" w:color="auto"/>
      </w:pBdr>
      <w:shd w:val="clear" w:color="000000" w:fill="FF9900"/>
      <w:spacing w:before="100" w:beforeAutospacing="1" w:after="100" w:afterAutospacing="1"/>
      <w:jc w:val="left"/>
      <w:textAlignment w:val="center"/>
    </w:pPr>
    <w:rPr>
      <w:rFonts w:ascii="Arial" w:hAnsi="Arial" w:cs="Arial"/>
      <w:b/>
      <w:bCs/>
      <w:sz w:val="18"/>
      <w:szCs w:val="18"/>
    </w:rPr>
  </w:style>
  <w:style w:type="paragraph" w:customStyle="1" w:styleId="xl115">
    <w:name w:val="xl115"/>
    <w:basedOn w:val="Normal"/>
    <w:rsid w:val="001F66D6"/>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16">
    <w:name w:val="xl116"/>
    <w:basedOn w:val="Normal"/>
    <w:rsid w:val="001F66D6"/>
    <w:pPr>
      <w:spacing w:before="100" w:beforeAutospacing="1" w:after="100" w:afterAutospacing="1"/>
      <w:jc w:val="left"/>
    </w:pPr>
    <w:rPr>
      <w:rFonts w:ascii="Arial" w:hAnsi="Arial" w:cs="Arial"/>
      <w:b/>
      <w:bCs/>
      <w:color w:val="008000"/>
      <w:sz w:val="16"/>
      <w:szCs w:val="16"/>
    </w:rPr>
  </w:style>
  <w:style w:type="paragraph" w:customStyle="1" w:styleId="xl117">
    <w:name w:val="xl117"/>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4"/>
      <w:szCs w:val="14"/>
    </w:rPr>
  </w:style>
  <w:style w:type="paragraph" w:customStyle="1" w:styleId="xl118">
    <w:name w:val="xl118"/>
    <w:basedOn w:val="Normal"/>
    <w:rsid w:val="001F66D6"/>
    <w:pPr>
      <w:pBdr>
        <w:left w:val="single" w:sz="4" w:space="0" w:color="auto"/>
        <w:bottom w:val="single" w:sz="8" w:space="0" w:color="auto"/>
        <w:right w:val="single" w:sz="8" w:space="0" w:color="auto"/>
      </w:pBdr>
      <w:shd w:val="clear" w:color="000000" w:fill="FFFF00"/>
      <w:spacing w:before="100" w:beforeAutospacing="1" w:after="100" w:afterAutospacing="1"/>
      <w:jc w:val="left"/>
    </w:pPr>
    <w:rPr>
      <w:rFonts w:ascii="Times New Roman" w:hAnsi="Times New Roman"/>
      <w:sz w:val="24"/>
    </w:rPr>
  </w:style>
  <w:style w:type="paragraph" w:customStyle="1" w:styleId="xl119">
    <w:name w:val="xl119"/>
    <w:basedOn w:val="Normal"/>
    <w:rsid w:val="001F66D6"/>
    <w:pPr>
      <w:pBdr>
        <w:top w:val="single" w:sz="4" w:space="0" w:color="auto"/>
        <w:left w:val="single" w:sz="4" w:space="0" w:color="auto"/>
        <w:bottom w:val="single" w:sz="4" w:space="0" w:color="auto"/>
        <w:right w:val="single" w:sz="8" w:space="0" w:color="auto"/>
      </w:pBdr>
      <w:shd w:val="clear" w:color="000000" w:fill="FF9900"/>
      <w:spacing w:before="100" w:beforeAutospacing="1" w:after="100" w:afterAutospacing="1"/>
      <w:jc w:val="left"/>
    </w:pPr>
    <w:rPr>
      <w:rFonts w:ascii="Times New Roman" w:hAnsi="Times New Roman"/>
      <w:sz w:val="24"/>
    </w:rPr>
  </w:style>
  <w:style w:type="paragraph" w:customStyle="1" w:styleId="xl120">
    <w:name w:val="xl120"/>
    <w:basedOn w:val="Normal"/>
    <w:rsid w:val="001F66D6"/>
    <w:pPr>
      <w:pBdr>
        <w:top w:val="single" w:sz="4" w:space="0" w:color="auto"/>
        <w:left w:val="single" w:sz="8" w:space="0" w:color="auto"/>
        <w:right w:val="single" w:sz="4" w:space="0" w:color="auto"/>
      </w:pBdr>
      <w:shd w:val="clear" w:color="000000" w:fill="FF9900"/>
      <w:spacing w:before="100" w:beforeAutospacing="1" w:after="100" w:afterAutospacing="1"/>
      <w:jc w:val="left"/>
      <w:textAlignment w:val="center"/>
    </w:pPr>
    <w:rPr>
      <w:rFonts w:ascii="Arial" w:hAnsi="Arial" w:cs="Arial"/>
      <w:b/>
      <w:bCs/>
      <w:sz w:val="18"/>
      <w:szCs w:val="18"/>
    </w:rPr>
  </w:style>
  <w:style w:type="paragraph" w:customStyle="1" w:styleId="xl121">
    <w:name w:val="xl121"/>
    <w:basedOn w:val="Normal"/>
    <w:rsid w:val="001F66D6"/>
    <w:pPr>
      <w:spacing w:before="100" w:beforeAutospacing="1" w:after="100" w:afterAutospacing="1"/>
      <w:jc w:val="left"/>
    </w:pPr>
    <w:rPr>
      <w:rFonts w:ascii="Arial" w:hAnsi="Arial" w:cs="Arial"/>
      <w:sz w:val="16"/>
      <w:szCs w:val="16"/>
    </w:rPr>
  </w:style>
  <w:style w:type="paragraph" w:customStyle="1" w:styleId="xl122">
    <w:name w:val="xl122"/>
    <w:basedOn w:val="Normal"/>
    <w:rsid w:val="001F66D6"/>
    <w:pPr>
      <w:spacing w:before="100" w:beforeAutospacing="1" w:after="100" w:afterAutospacing="1"/>
      <w:jc w:val="center"/>
      <w:textAlignment w:val="center"/>
    </w:pPr>
    <w:rPr>
      <w:rFonts w:ascii="Arial" w:hAnsi="Arial" w:cs="Arial"/>
      <w:b/>
      <w:bCs/>
      <w:sz w:val="34"/>
      <w:szCs w:val="34"/>
    </w:rPr>
  </w:style>
  <w:style w:type="paragraph" w:customStyle="1" w:styleId="xl123">
    <w:name w:val="xl123"/>
    <w:basedOn w:val="Normal"/>
    <w:rsid w:val="001F66D6"/>
    <w:pPr>
      <w:spacing w:before="100" w:beforeAutospacing="1" w:after="100" w:afterAutospacing="1"/>
      <w:jc w:val="center"/>
      <w:textAlignment w:val="center"/>
    </w:pPr>
    <w:rPr>
      <w:rFonts w:ascii="Arial" w:hAnsi="Arial" w:cs="Arial"/>
      <w:sz w:val="34"/>
      <w:szCs w:val="34"/>
    </w:rPr>
  </w:style>
  <w:style w:type="paragraph" w:customStyle="1" w:styleId="xl124">
    <w:name w:val="xl124"/>
    <w:basedOn w:val="Normal"/>
    <w:rsid w:val="001F66D6"/>
    <w:pPr>
      <w:pBdr>
        <w:bottom w:val="single" w:sz="8" w:space="0" w:color="auto"/>
      </w:pBdr>
      <w:spacing w:before="100" w:beforeAutospacing="1" w:after="100" w:afterAutospacing="1"/>
      <w:jc w:val="center"/>
      <w:textAlignment w:val="center"/>
    </w:pPr>
    <w:rPr>
      <w:rFonts w:ascii="Arial" w:hAnsi="Arial" w:cs="Arial"/>
      <w:sz w:val="34"/>
      <w:szCs w:val="34"/>
    </w:rPr>
  </w:style>
  <w:style w:type="paragraph" w:customStyle="1" w:styleId="xl125">
    <w:name w:val="xl125"/>
    <w:basedOn w:val="Normal"/>
    <w:rsid w:val="001F66D6"/>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26">
    <w:name w:val="xl126"/>
    <w:basedOn w:val="Normal"/>
    <w:rsid w:val="001F66D6"/>
    <w:pPr>
      <w:pBdr>
        <w:top w:val="single" w:sz="8" w:space="0" w:color="auto"/>
        <w:right w:val="single" w:sz="8" w:space="0" w:color="auto"/>
      </w:pBdr>
      <w:spacing w:before="100" w:beforeAutospacing="1" w:after="100" w:afterAutospacing="1"/>
      <w:jc w:val="left"/>
    </w:pPr>
    <w:rPr>
      <w:rFonts w:ascii="Times New Roman" w:hAnsi="Times New Roman"/>
      <w:sz w:val="24"/>
    </w:rPr>
  </w:style>
  <w:style w:type="paragraph" w:customStyle="1" w:styleId="xl127">
    <w:name w:val="xl127"/>
    <w:basedOn w:val="Normal"/>
    <w:rsid w:val="001F66D6"/>
    <w:pPr>
      <w:pBdr>
        <w:left w:val="single" w:sz="8" w:space="0" w:color="auto"/>
      </w:pBdr>
      <w:spacing w:before="100" w:beforeAutospacing="1" w:after="100" w:afterAutospacing="1"/>
      <w:jc w:val="center"/>
      <w:textAlignment w:val="center"/>
    </w:pPr>
    <w:rPr>
      <w:rFonts w:ascii="Arial" w:hAnsi="Arial" w:cs="Arial"/>
      <w:sz w:val="14"/>
      <w:szCs w:val="14"/>
    </w:rPr>
  </w:style>
  <w:style w:type="paragraph" w:customStyle="1" w:styleId="xl128">
    <w:name w:val="xl128"/>
    <w:basedOn w:val="Normal"/>
    <w:rsid w:val="001F66D6"/>
    <w:pPr>
      <w:pBdr>
        <w:right w:val="single" w:sz="8" w:space="0" w:color="auto"/>
      </w:pBdr>
      <w:spacing w:before="100" w:beforeAutospacing="1" w:after="100" w:afterAutospacing="1"/>
      <w:jc w:val="left"/>
    </w:pPr>
    <w:rPr>
      <w:rFonts w:ascii="Arial" w:hAnsi="Arial" w:cs="Arial"/>
      <w:sz w:val="14"/>
      <w:szCs w:val="14"/>
    </w:rPr>
  </w:style>
  <w:style w:type="paragraph" w:customStyle="1" w:styleId="xl129">
    <w:name w:val="xl129"/>
    <w:basedOn w:val="Normal"/>
    <w:rsid w:val="001F66D6"/>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0">
    <w:name w:val="xl130"/>
    <w:basedOn w:val="Normal"/>
    <w:rsid w:val="001F66D6"/>
    <w:pPr>
      <w:pBdr>
        <w:left w:val="single" w:sz="8" w:space="0" w:color="auto"/>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31">
    <w:name w:val="xl131"/>
    <w:basedOn w:val="Normal"/>
    <w:rsid w:val="001F66D6"/>
    <w:pPr>
      <w:pBdr>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32">
    <w:name w:val="xl132"/>
    <w:basedOn w:val="Normal"/>
    <w:rsid w:val="001F66D6"/>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Normal"/>
    <w:rsid w:val="001F66D6"/>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4">
    <w:name w:val="xl134"/>
    <w:basedOn w:val="Normal"/>
    <w:rsid w:val="001F66D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5">
    <w:name w:val="xl135"/>
    <w:basedOn w:val="Normal"/>
    <w:rsid w:val="001F66D6"/>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6">
    <w:name w:val="xl136"/>
    <w:basedOn w:val="Normal"/>
    <w:rsid w:val="001F66D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37">
    <w:name w:val="xl137"/>
    <w:basedOn w:val="Normal"/>
    <w:rsid w:val="001F66D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Normal"/>
    <w:rsid w:val="001F66D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1F66D6"/>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40">
    <w:name w:val="xl140"/>
    <w:basedOn w:val="Normal"/>
    <w:rsid w:val="001F66D6"/>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41">
    <w:name w:val="xl141"/>
    <w:basedOn w:val="Normal"/>
    <w:rsid w:val="001F66D6"/>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4"/>
      <w:szCs w:val="14"/>
    </w:rPr>
  </w:style>
  <w:style w:type="paragraph" w:customStyle="1" w:styleId="xl142">
    <w:name w:val="xl142"/>
    <w:basedOn w:val="Normal"/>
    <w:rsid w:val="001F66D6"/>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4"/>
      <w:szCs w:val="14"/>
    </w:rPr>
  </w:style>
  <w:style w:type="paragraph" w:customStyle="1" w:styleId="xl143">
    <w:name w:val="xl143"/>
    <w:basedOn w:val="Normal"/>
    <w:rsid w:val="001F66D6"/>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44">
    <w:name w:val="xl144"/>
    <w:basedOn w:val="Normal"/>
    <w:rsid w:val="001F66D6"/>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1F66D6"/>
    <w:pPr>
      <w:pBdr>
        <w:left w:val="single" w:sz="8" w:space="0" w:color="auto"/>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46">
    <w:name w:val="xl146"/>
    <w:basedOn w:val="Normal"/>
    <w:rsid w:val="001F66D6"/>
    <w:pPr>
      <w:pBdr>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7">
    <w:name w:val="xl147"/>
    <w:basedOn w:val="Normal"/>
    <w:rsid w:val="001F66D6"/>
    <w:pPr>
      <w:pBdr>
        <w:top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1F66D6"/>
    <w:pPr>
      <w:pBdr>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EmphasisandStrong">
    <w:name w:val="Emphasis and Strong"/>
    <w:basedOn w:val="bt"/>
    <w:link w:val="EmphasisandStrongChar"/>
    <w:qFormat/>
    <w:rsid w:val="0015529E"/>
    <w:rPr>
      <w:b/>
      <w:i/>
    </w:rPr>
  </w:style>
  <w:style w:type="paragraph" w:customStyle="1" w:styleId="TableofContents-heading">
    <w:name w:val="TableofContents-heading"/>
    <w:basedOn w:val="TOC1"/>
    <w:link w:val="TableofContents-headingChar"/>
    <w:qFormat/>
    <w:rsid w:val="00C54D8C"/>
    <w:pPr>
      <w:spacing w:before="40"/>
    </w:pPr>
    <w:rPr>
      <w:b/>
      <w:color w:val="BF1359"/>
      <w:sz w:val="34"/>
      <w:szCs w:val="34"/>
    </w:rPr>
  </w:style>
  <w:style w:type="character" w:customStyle="1" w:styleId="EmphasisandStrongChar">
    <w:name w:val="Emphasis and Strong Char"/>
    <w:basedOn w:val="btChar"/>
    <w:link w:val="EmphasisandStrong"/>
    <w:rsid w:val="0015529E"/>
    <w:rPr>
      <w:b/>
      <w:i/>
      <w:sz w:val="20"/>
      <w:szCs w:val="24"/>
    </w:rPr>
  </w:style>
  <w:style w:type="paragraph" w:customStyle="1" w:styleId="Header-heading">
    <w:name w:val="Header-heading"/>
    <w:basedOn w:val="Header"/>
    <w:link w:val="Header-headingChar"/>
    <w:qFormat/>
    <w:rsid w:val="002651E6"/>
    <w:pPr>
      <w:pBdr>
        <w:bottom w:val="single" w:sz="4" w:space="1" w:color="auto"/>
      </w:pBdr>
      <w:tabs>
        <w:tab w:val="right" w:pos="9072"/>
      </w:tabs>
      <w:spacing w:line="276" w:lineRule="auto"/>
      <w:jc w:val="center"/>
    </w:pPr>
    <w:rPr>
      <w:rFonts w:asciiTheme="minorHAnsi" w:hAnsiTheme="minorHAnsi" w:cstheme="minorHAnsi"/>
      <w:szCs w:val="20"/>
    </w:rPr>
  </w:style>
  <w:style w:type="character" w:customStyle="1" w:styleId="TOC1Char">
    <w:name w:val="TOC 1 Char"/>
    <w:basedOn w:val="DefaultParagraphFont"/>
    <w:link w:val="TOC1"/>
    <w:uiPriority w:val="39"/>
    <w:rsid w:val="00F82A2A"/>
    <w:rPr>
      <w:rFonts w:eastAsia="Times New Roman"/>
      <w:bCs/>
      <w:noProof/>
      <w:szCs w:val="20"/>
    </w:rPr>
  </w:style>
  <w:style w:type="character" w:customStyle="1" w:styleId="TableofContents-headingChar">
    <w:name w:val="TableofContents-heading Char"/>
    <w:basedOn w:val="TOC1Char"/>
    <w:link w:val="TableofContents-heading"/>
    <w:rsid w:val="00C54D8C"/>
    <w:rPr>
      <w:rFonts w:eastAsia="Times New Roman"/>
      <w:b/>
      <w:bCs/>
      <w:noProof/>
      <w:color w:val="BF1359"/>
      <w:sz w:val="34"/>
      <w:szCs w:val="34"/>
    </w:rPr>
  </w:style>
  <w:style w:type="paragraph" w:customStyle="1" w:styleId="Header-Subheading">
    <w:name w:val="Header-Subheading"/>
    <w:basedOn w:val="Header"/>
    <w:link w:val="Header-SubheadingChar"/>
    <w:qFormat/>
    <w:rsid w:val="002651E6"/>
    <w:pPr>
      <w:pBdr>
        <w:bottom w:val="single" w:sz="4" w:space="1" w:color="auto"/>
      </w:pBdr>
      <w:tabs>
        <w:tab w:val="right" w:pos="9072"/>
      </w:tabs>
      <w:spacing w:line="276" w:lineRule="auto"/>
      <w:jc w:val="center"/>
    </w:pPr>
    <w:rPr>
      <w:rFonts w:asciiTheme="minorHAnsi" w:hAnsiTheme="minorHAnsi" w:cstheme="minorHAnsi"/>
      <w:b/>
      <w:szCs w:val="20"/>
    </w:rPr>
  </w:style>
  <w:style w:type="character" w:customStyle="1" w:styleId="Header-headingChar">
    <w:name w:val="Header-heading Char"/>
    <w:basedOn w:val="HeaderChar"/>
    <w:link w:val="Header-heading"/>
    <w:rsid w:val="002651E6"/>
    <w:rPr>
      <w:rFonts w:ascii="Tahoma" w:eastAsia="Times New Roman" w:hAnsi="Tahoma" w:cstheme="minorHAnsi"/>
      <w:sz w:val="20"/>
      <w:szCs w:val="20"/>
      <w:lang w:eastAsia="en-AU"/>
    </w:rPr>
  </w:style>
  <w:style w:type="paragraph" w:customStyle="1" w:styleId="Heading40">
    <w:name w:val="Heading_4"/>
    <w:basedOn w:val="bt"/>
    <w:link w:val="Heading4Char0"/>
    <w:qFormat/>
    <w:rsid w:val="00000AE4"/>
    <w:rPr>
      <w:b/>
    </w:rPr>
  </w:style>
  <w:style w:type="character" w:customStyle="1" w:styleId="Header-SubheadingChar">
    <w:name w:val="Header-Subheading Char"/>
    <w:basedOn w:val="HeaderChar"/>
    <w:link w:val="Header-Subheading"/>
    <w:rsid w:val="002651E6"/>
    <w:rPr>
      <w:rFonts w:ascii="Tahoma" w:eastAsia="Times New Roman" w:hAnsi="Tahoma" w:cstheme="minorHAnsi"/>
      <w:b/>
      <w:sz w:val="20"/>
      <w:szCs w:val="20"/>
      <w:lang w:eastAsia="en-AU"/>
    </w:rPr>
  </w:style>
  <w:style w:type="character" w:customStyle="1" w:styleId="Heading4Char0">
    <w:name w:val="Heading_4 Char"/>
    <w:basedOn w:val="btChar"/>
    <w:link w:val="Heading40"/>
    <w:rsid w:val="00000AE4"/>
    <w:rPr>
      <w:b/>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heading 1" w:qFormat="1"/>
    <w:lsdException w:name="heading 2" w:qFormat="1"/>
    <w:lsdException w:name="heading 3" w:qFormat="1"/>
    <w:lsdException w:name="heading 5" w:uiPriority="9"/>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qFormat="1"/>
    <w:lsdException w:name="caption" w:qFormat="1"/>
    <w:lsdException w:name="table of figures" w:uiPriority="99" w:qFormat="1"/>
    <w:lsdException w:name="annotation reference" w:uiPriority="99"/>
    <w:lsdException w:name="page number" w:uiPriority="99"/>
    <w:lsdException w:name="List Bullet" w:qFormat="1"/>
    <w:lsdException w:name="List Number" w:uiPriority="99" w:qFormat="1"/>
    <w:lsdException w:name="List Bullet 2" w:qFormat="1"/>
    <w:lsdException w:name="List Number 2" w:uiPriority="99" w:qFormat="1"/>
    <w:lsdException w:name="List Number 3" w:uiPriority="99" w:qFormat="1"/>
    <w:lsdException w:name="List Number 4" w:uiPriority="99" w:qFormat="1"/>
    <w:lsdException w:name="Title" w:uiPriority="10" w:qFormat="1"/>
    <w:lsdException w:name="Default Paragraph Font" w:uiPriority="1"/>
    <w:lsdException w:name="Body Text" w:uiPriority="99"/>
    <w:lsdException w:name="Subtitle" w:uiPriority="11" w:qFormat="1"/>
    <w:lsdException w:name="Hyperlink" w:uiPriority="99"/>
    <w:lsdException w:name="FollowedHyperlink" w:uiPriority="99"/>
    <w:lsdException w:name="Strong" w:qFormat="1"/>
    <w:lsdException w:name="Emphasis"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No Spacing" w:uiPriority="1"/>
    <w:lsdException w:name="Revision" w:uiPriority="99"/>
    <w:lsdException w:name="List Paragraph" w:uiPriority="34"/>
    <w:lsdException w:name="Quote" w:uiPriority="29"/>
    <w:lsdException w:name="Intense Quote" w:uiPriority="30"/>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rsid w:val="00AE26B4"/>
    <w:pPr>
      <w:spacing w:after="0" w:line="240" w:lineRule="auto"/>
      <w:jc w:val="both"/>
    </w:pPr>
    <w:rPr>
      <w:rFonts w:ascii="Tahoma" w:eastAsia="Times New Roman" w:hAnsi="Tahoma" w:cs="Times New Roman"/>
      <w:sz w:val="20"/>
      <w:szCs w:val="24"/>
    </w:rPr>
  </w:style>
  <w:style w:type="paragraph" w:styleId="Heading1">
    <w:name w:val="heading 1"/>
    <w:aliases w:val="1 NoNum"/>
    <w:next w:val="bt"/>
    <w:link w:val="Heading1Char"/>
    <w:qFormat/>
    <w:rsid w:val="000A42F9"/>
    <w:pPr>
      <w:keepNext/>
      <w:tabs>
        <w:tab w:val="left" w:pos="851"/>
      </w:tabs>
      <w:spacing w:after="240" w:line="240" w:lineRule="auto"/>
      <w:outlineLvl w:val="0"/>
    </w:pPr>
    <w:rPr>
      <w:rFonts w:ascii="Calibri" w:hAnsi="Calibri" w:cs="Arial"/>
      <w:b/>
      <w:bCs/>
      <w:color w:val="BF1359"/>
      <w:sz w:val="34"/>
      <w:szCs w:val="28"/>
    </w:rPr>
  </w:style>
  <w:style w:type="paragraph" w:styleId="Heading2">
    <w:name w:val="heading 2"/>
    <w:next w:val="bt"/>
    <w:link w:val="Heading2Char"/>
    <w:autoRedefine/>
    <w:qFormat/>
    <w:rsid w:val="00C24603"/>
    <w:pPr>
      <w:keepNext/>
      <w:numPr>
        <w:ilvl w:val="1"/>
        <w:numId w:val="14"/>
      </w:numPr>
      <w:tabs>
        <w:tab w:val="left" w:pos="851"/>
      </w:tabs>
      <w:spacing w:before="360" w:after="240" w:line="240" w:lineRule="auto"/>
      <w:outlineLvl w:val="1"/>
    </w:pPr>
    <w:rPr>
      <w:rFonts w:ascii="Calibri" w:eastAsia="Times New Roman" w:hAnsi="Calibri" w:cs="Arial"/>
      <w:b/>
      <w:bCs/>
      <w:iCs/>
      <w:sz w:val="28"/>
      <w:szCs w:val="28"/>
    </w:rPr>
  </w:style>
  <w:style w:type="paragraph" w:styleId="Heading3">
    <w:name w:val="heading 3"/>
    <w:next w:val="bt"/>
    <w:link w:val="Heading3Char"/>
    <w:qFormat/>
    <w:rsid w:val="001412A4"/>
    <w:pPr>
      <w:keepNext/>
      <w:tabs>
        <w:tab w:val="left" w:pos="900"/>
      </w:tabs>
      <w:spacing w:before="360" w:after="120" w:line="240" w:lineRule="auto"/>
      <w:outlineLvl w:val="2"/>
    </w:pPr>
    <w:rPr>
      <w:rFonts w:ascii="Calibri" w:eastAsia="Times New Roman" w:hAnsi="Calibri" w:cs="Times New Roman"/>
      <w:bCs/>
      <w:sz w:val="26"/>
      <w:szCs w:val="18"/>
      <w:lang w:eastAsia="en-US"/>
    </w:rPr>
  </w:style>
  <w:style w:type="paragraph" w:styleId="Heading4">
    <w:name w:val="heading 4"/>
    <w:next w:val="bt"/>
    <w:link w:val="Heading4Char"/>
    <w:rsid w:val="00793687"/>
    <w:pPr>
      <w:numPr>
        <w:ilvl w:val="3"/>
        <w:numId w:val="11"/>
      </w:numPr>
      <w:spacing w:before="360" w:after="240" w:line="240" w:lineRule="auto"/>
      <w:outlineLvl w:val="3"/>
    </w:pPr>
    <w:rPr>
      <w:bCs/>
      <w:sz w:val="28"/>
      <w:szCs w:val="16"/>
    </w:rPr>
  </w:style>
  <w:style w:type="paragraph" w:styleId="Heading5">
    <w:name w:val="heading 5"/>
    <w:basedOn w:val="Normal"/>
    <w:next w:val="Normal"/>
    <w:link w:val="Heading5Char"/>
    <w:uiPriority w:val="9"/>
    <w:unhideWhenUsed/>
    <w:rsid w:val="00793687"/>
    <w:pPr>
      <w:keepNext/>
      <w:keepLines/>
      <w:numPr>
        <w:ilvl w:val="4"/>
        <w:numId w:val="11"/>
      </w:numPr>
      <w:spacing w:before="200" w:line="276" w:lineRule="auto"/>
      <w:jc w:val="left"/>
      <w:outlineLvl w:val="4"/>
    </w:pPr>
    <w:rPr>
      <w:rFonts w:asciiTheme="majorHAnsi" w:eastAsiaTheme="majorEastAsia" w:hAnsiTheme="majorHAnsi" w:cstheme="majorBidi"/>
      <w:color w:val="243F60" w:themeColor="accent1" w:themeShade="7F"/>
      <w:szCs w:val="22"/>
    </w:rPr>
  </w:style>
  <w:style w:type="paragraph" w:styleId="Heading6">
    <w:name w:val="heading 6"/>
    <w:basedOn w:val="Normal"/>
    <w:next w:val="Normal"/>
    <w:link w:val="Heading6Char"/>
    <w:uiPriority w:val="9"/>
    <w:unhideWhenUsed/>
    <w:rsid w:val="00793687"/>
    <w:pPr>
      <w:keepNext/>
      <w:keepLines/>
      <w:numPr>
        <w:ilvl w:val="5"/>
        <w:numId w:val="11"/>
      </w:numPr>
      <w:spacing w:before="200" w:line="276" w:lineRule="auto"/>
      <w:jc w:val="left"/>
      <w:outlineLvl w:val="5"/>
    </w:pPr>
    <w:rPr>
      <w:rFonts w:asciiTheme="majorHAnsi" w:eastAsiaTheme="majorEastAsia" w:hAnsiTheme="majorHAnsi" w:cstheme="majorBidi"/>
      <w:i/>
      <w:iCs/>
      <w:color w:val="243F60" w:themeColor="accent1" w:themeShade="7F"/>
      <w:szCs w:val="22"/>
    </w:rPr>
  </w:style>
  <w:style w:type="paragraph" w:styleId="Heading7">
    <w:name w:val="heading 7"/>
    <w:basedOn w:val="Normal"/>
    <w:next w:val="Normal"/>
    <w:link w:val="Heading7Char"/>
    <w:uiPriority w:val="9"/>
    <w:unhideWhenUsed/>
    <w:rsid w:val="00793687"/>
    <w:pPr>
      <w:keepNext/>
      <w:keepLines/>
      <w:numPr>
        <w:ilvl w:val="6"/>
        <w:numId w:val="11"/>
      </w:numPr>
      <w:spacing w:before="200" w:line="276" w:lineRule="auto"/>
      <w:jc w:val="left"/>
      <w:outlineLvl w:val="6"/>
    </w:pPr>
    <w:rPr>
      <w:rFonts w:asciiTheme="majorHAnsi" w:eastAsiaTheme="majorEastAsia" w:hAnsiTheme="majorHAnsi" w:cstheme="majorBidi"/>
      <w:i/>
      <w:iCs/>
      <w:color w:val="404040" w:themeColor="text1" w:themeTint="BF"/>
      <w:szCs w:val="22"/>
    </w:rPr>
  </w:style>
  <w:style w:type="paragraph" w:styleId="Heading8">
    <w:name w:val="heading 8"/>
    <w:basedOn w:val="Normal"/>
    <w:next w:val="Normal"/>
    <w:link w:val="Heading8Char"/>
    <w:uiPriority w:val="9"/>
    <w:unhideWhenUsed/>
    <w:rsid w:val="00793687"/>
    <w:pPr>
      <w:keepNext/>
      <w:keepLines/>
      <w:numPr>
        <w:ilvl w:val="7"/>
        <w:numId w:val="11"/>
      </w:numPr>
      <w:spacing w:before="200" w:line="276" w:lineRule="auto"/>
      <w:jc w:val="left"/>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rsid w:val="00793687"/>
    <w:pPr>
      <w:keepNext/>
      <w:keepLines/>
      <w:numPr>
        <w:ilvl w:val="8"/>
        <w:numId w:val="11"/>
      </w:numPr>
      <w:spacing w:before="200" w:line="276" w:lineRule="auto"/>
      <w:jc w:val="left"/>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NoNum Char"/>
    <w:basedOn w:val="DefaultParagraphFont"/>
    <w:link w:val="Heading1"/>
    <w:rsid w:val="000A42F9"/>
    <w:rPr>
      <w:rFonts w:ascii="Calibri" w:hAnsi="Calibri" w:cs="Arial"/>
      <w:b/>
      <w:bCs/>
      <w:color w:val="BF1359"/>
      <w:sz w:val="34"/>
      <w:szCs w:val="28"/>
    </w:rPr>
  </w:style>
  <w:style w:type="character" w:customStyle="1" w:styleId="Heading2Char">
    <w:name w:val="Heading 2 Char"/>
    <w:basedOn w:val="DefaultParagraphFont"/>
    <w:link w:val="Heading2"/>
    <w:rsid w:val="00C24603"/>
    <w:rPr>
      <w:rFonts w:ascii="Calibri" w:eastAsia="Times New Roman" w:hAnsi="Calibri" w:cs="Arial"/>
      <w:b/>
      <w:bCs/>
      <w:iCs/>
      <w:sz w:val="28"/>
      <w:szCs w:val="28"/>
    </w:rPr>
  </w:style>
  <w:style w:type="character" w:customStyle="1" w:styleId="Heading3Char">
    <w:name w:val="Heading 3 Char"/>
    <w:basedOn w:val="DefaultParagraphFont"/>
    <w:link w:val="Heading3"/>
    <w:rsid w:val="001412A4"/>
    <w:rPr>
      <w:rFonts w:ascii="Calibri" w:eastAsia="Times New Roman" w:hAnsi="Calibri" w:cs="Times New Roman"/>
      <w:bCs/>
      <w:sz w:val="26"/>
      <w:szCs w:val="18"/>
      <w:lang w:eastAsia="en-US"/>
    </w:rPr>
  </w:style>
  <w:style w:type="character" w:customStyle="1" w:styleId="Heading4Char">
    <w:name w:val="Heading 4 Char"/>
    <w:basedOn w:val="DefaultParagraphFont"/>
    <w:link w:val="Heading4"/>
    <w:rsid w:val="00793687"/>
    <w:rPr>
      <w:bCs/>
      <w:sz w:val="28"/>
      <w:szCs w:val="16"/>
    </w:rPr>
  </w:style>
  <w:style w:type="paragraph" w:styleId="Header">
    <w:name w:val="header"/>
    <w:basedOn w:val="Normal"/>
    <w:link w:val="HeaderChar"/>
    <w:uiPriority w:val="99"/>
    <w:rsid w:val="00AE26B4"/>
    <w:pPr>
      <w:tabs>
        <w:tab w:val="center" w:pos="4153"/>
        <w:tab w:val="right" w:pos="8306"/>
      </w:tabs>
    </w:pPr>
  </w:style>
  <w:style w:type="character" w:customStyle="1" w:styleId="HeaderChar">
    <w:name w:val="Header Char"/>
    <w:basedOn w:val="DefaultParagraphFont"/>
    <w:link w:val="Header"/>
    <w:uiPriority w:val="99"/>
    <w:rsid w:val="00AE26B4"/>
    <w:rPr>
      <w:rFonts w:ascii="Tahoma" w:eastAsia="Times New Roman" w:hAnsi="Tahoma" w:cs="Times New Roman"/>
      <w:sz w:val="20"/>
      <w:szCs w:val="24"/>
      <w:lang w:eastAsia="en-AU"/>
    </w:rPr>
  </w:style>
  <w:style w:type="paragraph" w:styleId="Footer">
    <w:name w:val="footer"/>
    <w:basedOn w:val="Normal"/>
    <w:link w:val="FooterChar"/>
    <w:uiPriority w:val="99"/>
    <w:qFormat/>
    <w:rsid w:val="003235C5"/>
    <w:pPr>
      <w:tabs>
        <w:tab w:val="center" w:pos="4153"/>
        <w:tab w:val="right" w:pos="8306"/>
      </w:tabs>
      <w:jc w:val="center"/>
    </w:pPr>
    <w:rPr>
      <w:rFonts w:asciiTheme="minorHAnsi" w:hAnsiTheme="minorHAnsi"/>
    </w:rPr>
  </w:style>
  <w:style w:type="character" w:customStyle="1" w:styleId="FooterChar">
    <w:name w:val="Footer Char"/>
    <w:basedOn w:val="DefaultParagraphFont"/>
    <w:link w:val="Footer"/>
    <w:uiPriority w:val="99"/>
    <w:rsid w:val="003235C5"/>
    <w:rPr>
      <w:rFonts w:eastAsia="Times New Roman" w:cs="Times New Roman"/>
      <w:sz w:val="20"/>
      <w:szCs w:val="24"/>
    </w:rPr>
  </w:style>
  <w:style w:type="paragraph" w:styleId="TOC1">
    <w:name w:val="toc 1"/>
    <w:basedOn w:val="Normal"/>
    <w:next w:val="Normal"/>
    <w:link w:val="TOC1Char"/>
    <w:autoRedefine/>
    <w:uiPriority w:val="39"/>
    <w:qFormat/>
    <w:rsid w:val="00F82A2A"/>
    <w:pPr>
      <w:tabs>
        <w:tab w:val="left" w:pos="480"/>
        <w:tab w:val="right" w:leader="dot" w:pos="8789"/>
      </w:tabs>
      <w:spacing w:before="120" w:after="120"/>
      <w:jc w:val="left"/>
    </w:pPr>
    <w:rPr>
      <w:rFonts w:asciiTheme="minorHAnsi" w:hAnsiTheme="minorHAnsi" w:cstheme="minorBidi"/>
      <w:bCs/>
      <w:noProof/>
      <w:sz w:val="22"/>
      <w:szCs w:val="20"/>
    </w:rPr>
  </w:style>
  <w:style w:type="paragraph" w:styleId="TOC2">
    <w:name w:val="toc 2"/>
    <w:basedOn w:val="Normal"/>
    <w:next w:val="Normal"/>
    <w:autoRedefine/>
    <w:uiPriority w:val="39"/>
    <w:qFormat/>
    <w:rsid w:val="00B54F63"/>
    <w:pPr>
      <w:tabs>
        <w:tab w:val="left" w:pos="720"/>
        <w:tab w:val="right" w:leader="dot" w:pos="8789"/>
      </w:tabs>
      <w:spacing w:before="80" w:after="80"/>
      <w:ind w:left="238"/>
    </w:pPr>
    <w:rPr>
      <w:rFonts w:asciiTheme="minorHAnsi" w:hAnsiTheme="minorHAnsi"/>
      <w:iCs/>
      <w:noProof/>
      <w:color w:val="000000" w:themeColor="text1"/>
      <w:szCs w:val="20"/>
    </w:rPr>
  </w:style>
  <w:style w:type="character" w:styleId="Hyperlink">
    <w:name w:val="Hyperlink"/>
    <w:basedOn w:val="DefaultParagraphFont"/>
    <w:uiPriority w:val="99"/>
    <w:rsid w:val="00AE26B4"/>
    <w:rPr>
      <w:rFonts w:cs="Times New Roman"/>
      <w:color w:val="0000FF"/>
      <w:u w:val="single"/>
    </w:rPr>
  </w:style>
  <w:style w:type="paragraph" w:styleId="Title">
    <w:name w:val="Title"/>
    <w:basedOn w:val="Normal"/>
    <w:next w:val="Normal"/>
    <w:link w:val="TitleChar"/>
    <w:uiPriority w:val="10"/>
    <w:unhideWhenUsed/>
    <w:qFormat/>
    <w:rsid w:val="00793687"/>
    <w:pPr>
      <w:spacing w:before="180" w:after="300"/>
      <w:contextualSpacing/>
      <w:jc w:val="left"/>
    </w:pPr>
    <w:rPr>
      <w:rFonts w:ascii="Calibri" w:eastAsiaTheme="majorEastAsia" w:hAnsi="Calibri" w:cstheme="majorBidi"/>
      <w:spacing w:val="5"/>
      <w:kern w:val="28"/>
      <w:sz w:val="52"/>
      <w:szCs w:val="52"/>
    </w:rPr>
  </w:style>
  <w:style w:type="character" w:customStyle="1" w:styleId="TitleChar">
    <w:name w:val="Title Char"/>
    <w:basedOn w:val="DefaultParagraphFont"/>
    <w:link w:val="Title"/>
    <w:uiPriority w:val="10"/>
    <w:rsid w:val="00793687"/>
    <w:rPr>
      <w:rFonts w:ascii="Calibri" w:eastAsiaTheme="majorEastAsia" w:hAnsi="Calibri" w:cstheme="majorBidi"/>
      <w:spacing w:val="5"/>
      <w:kern w:val="28"/>
      <w:sz w:val="52"/>
      <w:szCs w:val="52"/>
    </w:rPr>
  </w:style>
  <w:style w:type="paragraph" w:styleId="Subtitle">
    <w:name w:val="Subtitle"/>
    <w:basedOn w:val="bt"/>
    <w:next w:val="bt"/>
    <w:link w:val="SubtitleChar"/>
    <w:uiPriority w:val="11"/>
    <w:unhideWhenUsed/>
    <w:qFormat/>
    <w:rsid w:val="00793687"/>
    <w:pPr>
      <w:numPr>
        <w:ilvl w:val="1"/>
      </w:numPr>
    </w:pPr>
    <w:rPr>
      <w:rFonts w:eastAsiaTheme="majorEastAsia" w:cstheme="majorBidi"/>
      <w:i/>
      <w:iCs/>
      <w:spacing w:val="15"/>
      <w:sz w:val="24"/>
    </w:rPr>
  </w:style>
  <w:style w:type="character" w:customStyle="1" w:styleId="SubtitleChar">
    <w:name w:val="Subtitle Char"/>
    <w:basedOn w:val="DefaultParagraphFont"/>
    <w:link w:val="Subtitle"/>
    <w:uiPriority w:val="11"/>
    <w:rsid w:val="00793687"/>
    <w:rPr>
      <w:rFonts w:ascii="Calibri" w:eastAsiaTheme="majorEastAsia" w:hAnsi="Calibri" w:cstheme="majorBidi"/>
      <w:i/>
      <w:iCs/>
      <w:spacing w:val="15"/>
      <w:sz w:val="24"/>
      <w:szCs w:val="24"/>
    </w:rPr>
  </w:style>
  <w:style w:type="paragraph" w:styleId="BalloonText">
    <w:name w:val="Balloon Text"/>
    <w:basedOn w:val="Normal"/>
    <w:link w:val="BalloonTextChar"/>
    <w:uiPriority w:val="99"/>
    <w:semiHidden/>
    <w:unhideWhenUsed/>
    <w:rsid w:val="00AE26B4"/>
    <w:rPr>
      <w:rFonts w:cs="Tahoma"/>
      <w:sz w:val="16"/>
      <w:szCs w:val="16"/>
    </w:rPr>
  </w:style>
  <w:style w:type="character" w:customStyle="1" w:styleId="BalloonTextChar">
    <w:name w:val="Balloon Text Char"/>
    <w:basedOn w:val="DefaultParagraphFont"/>
    <w:link w:val="BalloonText"/>
    <w:uiPriority w:val="99"/>
    <w:semiHidden/>
    <w:rsid w:val="00AE26B4"/>
    <w:rPr>
      <w:rFonts w:ascii="Tahoma" w:eastAsia="Times New Roman" w:hAnsi="Tahoma" w:cs="Tahoma"/>
      <w:sz w:val="16"/>
      <w:szCs w:val="16"/>
      <w:lang w:eastAsia="en-AU"/>
    </w:rPr>
  </w:style>
  <w:style w:type="character" w:styleId="PageNumber">
    <w:name w:val="page number"/>
    <w:basedOn w:val="DefaultParagraphFont"/>
    <w:uiPriority w:val="99"/>
    <w:rsid w:val="00AE26B4"/>
    <w:rPr>
      <w:rFonts w:cs="Times New Roman"/>
    </w:rPr>
  </w:style>
  <w:style w:type="character" w:customStyle="1" w:styleId="Heading5Char">
    <w:name w:val="Heading 5 Char"/>
    <w:basedOn w:val="DefaultParagraphFont"/>
    <w:link w:val="Heading5"/>
    <w:uiPriority w:val="9"/>
    <w:rsid w:val="00740FDC"/>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740FDC"/>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740FD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740F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40FDC"/>
    <w:rPr>
      <w:rFonts w:asciiTheme="majorHAnsi" w:eastAsiaTheme="majorEastAsia" w:hAnsiTheme="majorHAnsi" w:cstheme="majorBidi"/>
      <w:i/>
      <w:iCs/>
      <w:color w:val="404040" w:themeColor="text1" w:themeTint="BF"/>
      <w:sz w:val="20"/>
      <w:szCs w:val="20"/>
    </w:rPr>
  </w:style>
  <w:style w:type="paragraph" w:styleId="FootnoteText">
    <w:name w:val="footnote text"/>
    <w:aliases w:val="(NECG) Footnote Text"/>
    <w:basedOn w:val="Normal"/>
    <w:link w:val="FootnoteTextChar"/>
    <w:uiPriority w:val="99"/>
    <w:qFormat/>
    <w:rsid w:val="00152BF2"/>
    <w:pPr>
      <w:spacing w:line="276" w:lineRule="auto"/>
      <w:jc w:val="left"/>
    </w:pPr>
    <w:rPr>
      <w:rFonts w:asciiTheme="minorHAnsi" w:eastAsiaTheme="minorEastAsia" w:hAnsiTheme="minorHAnsi" w:cstheme="minorBidi"/>
      <w:sz w:val="16"/>
      <w:szCs w:val="22"/>
    </w:rPr>
  </w:style>
  <w:style w:type="character" w:customStyle="1" w:styleId="FootnoteTextChar">
    <w:name w:val="Footnote Text Char"/>
    <w:aliases w:val="(NECG) Footnote Text Char"/>
    <w:link w:val="FootnoteText"/>
    <w:uiPriority w:val="99"/>
    <w:rsid w:val="00152BF2"/>
    <w:rPr>
      <w:sz w:val="16"/>
    </w:rPr>
  </w:style>
  <w:style w:type="character" w:styleId="FootnoteReference">
    <w:name w:val="footnote reference"/>
    <w:aliases w:val="o,(NECG) Footnote Reference"/>
    <w:basedOn w:val="DefaultParagraphFont"/>
    <w:semiHidden/>
    <w:rsid w:val="00740FDC"/>
    <w:rPr>
      <w:rFonts w:cs="Times New Roman"/>
      <w:vertAlign w:val="superscript"/>
    </w:rPr>
  </w:style>
  <w:style w:type="paragraph" w:styleId="ListParagraph">
    <w:name w:val="List Paragraph"/>
    <w:basedOn w:val="Normal"/>
    <w:link w:val="ListParagraphChar"/>
    <w:uiPriority w:val="34"/>
    <w:rsid w:val="00793687"/>
    <w:pPr>
      <w:spacing w:after="200" w:line="276" w:lineRule="auto"/>
      <w:ind w:left="720"/>
      <w:contextualSpacing/>
      <w:jc w:val="left"/>
    </w:pPr>
    <w:rPr>
      <w:rFonts w:asciiTheme="minorHAnsi" w:eastAsiaTheme="minorEastAsia" w:hAnsiTheme="minorHAnsi" w:cstheme="minorBidi"/>
      <w:szCs w:val="22"/>
    </w:rPr>
  </w:style>
  <w:style w:type="paragraph" w:customStyle="1" w:styleId="StyleHeading2Tahoma11ptNotItalic1">
    <w:name w:val="Style Heading 2 + Tahoma 11 pt Not Italic1"/>
    <w:basedOn w:val="Heading2"/>
    <w:autoRedefine/>
    <w:uiPriority w:val="99"/>
    <w:rsid w:val="00740FDC"/>
    <w:pPr>
      <w:numPr>
        <w:numId w:val="1"/>
      </w:numPr>
      <w:spacing w:before="240" w:after="60"/>
    </w:pPr>
    <w:rPr>
      <w:iCs w:val="0"/>
    </w:rPr>
  </w:style>
  <w:style w:type="paragraph" w:styleId="Quote">
    <w:name w:val="Quote"/>
    <w:basedOn w:val="Normal"/>
    <w:next w:val="Normal"/>
    <w:link w:val="QuoteChar"/>
    <w:uiPriority w:val="29"/>
    <w:unhideWhenUsed/>
    <w:rsid w:val="00793687"/>
    <w:pPr>
      <w:spacing w:after="200" w:line="276" w:lineRule="auto"/>
      <w:jc w:val="left"/>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793687"/>
    <w:rPr>
      <w:i/>
      <w:iCs/>
      <w:color w:val="000000" w:themeColor="text1"/>
    </w:rPr>
  </w:style>
  <w:style w:type="paragraph" w:styleId="Revision">
    <w:name w:val="Revision"/>
    <w:hidden/>
    <w:uiPriority w:val="99"/>
    <w:semiHidden/>
    <w:rsid w:val="00B4402A"/>
    <w:pPr>
      <w:spacing w:after="0" w:line="240" w:lineRule="auto"/>
    </w:pPr>
    <w:rPr>
      <w:rFonts w:ascii="Tahoma" w:eastAsia="Times New Roman" w:hAnsi="Tahoma" w:cs="Times New Roman"/>
      <w:sz w:val="20"/>
      <w:szCs w:val="24"/>
    </w:rPr>
  </w:style>
  <w:style w:type="character" w:styleId="CommentReference">
    <w:name w:val="annotation reference"/>
    <w:basedOn w:val="DefaultParagraphFont"/>
    <w:uiPriority w:val="99"/>
    <w:semiHidden/>
    <w:unhideWhenUsed/>
    <w:rsid w:val="00B4402A"/>
    <w:rPr>
      <w:sz w:val="16"/>
      <w:szCs w:val="16"/>
    </w:rPr>
  </w:style>
  <w:style w:type="paragraph" w:styleId="CommentText">
    <w:name w:val="annotation text"/>
    <w:basedOn w:val="Normal"/>
    <w:link w:val="CommentTextChar"/>
    <w:uiPriority w:val="99"/>
    <w:semiHidden/>
    <w:unhideWhenUsed/>
    <w:rsid w:val="00B4402A"/>
    <w:rPr>
      <w:szCs w:val="20"/>
    </w:rPr>
  </w:style>
  <w:style w:type="character" w:customStyle="1" w:styleId="CommentTextChar">
    <w:name w:val="Comment Text Char"/>
    <w:basedOn w:val="DefaultParagraphFont"/>
    <w:link w:val="CommentText"/>
    <w:uiPriority w:val="99"/>
    <w:semiHidden/>
    <w:rsid w:val="00B4402A"/>
    <w:rPr>
      <w:rFonts w:ascii="Tahoma" w:eastAsia="Times New Roman" w:hAnsi="Tahoma"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B4402A"/>
    <w:rPr>
      <w:b/>
      <w:bCs/>
    </w:rPr>
  </w:style>
  <w:style w:type="character" w:customStyle="1" w:styleId="CommentSubjectChar">
    <w:name w:val="Comment Subject Char"/>
    <w:basedOn w:val="CommentTextChar"/>
    <w:link w:val="CommentSubject"/>
    <w:uiPriority w:val="99"/>
    <w:semiHidden/>
    <w:rsid w:val="00B4402A"/>
    <w:rPr>
      <w:rFonts w:ascii="Tahoma" w:eastAsia="Times New Roman" w:hAnsi="Tahoma" w:cs="Times New Roman"/>
      <w:b/>
      <w:bCs/>
      <w:sz w:val="20"/>
      <w:szCs w:val="20"/>
      <w:lang w:eastAsia="en-AU"/>
    </w:rPr>
  </w:style>
  <w:style w:type="paragraph" w:customStyle="1" w:styleId="bt">
    <w:name w:val="bt"/>
    <w:link w:val="btChar"/>
    <w:qFormat/>
    <w:rsid w:val="004C5F97"/>
    <w:pPr>
      <w:spacing w:before="180" w:after="240" w:line="270" w:lineRule="exact"/>
    </w:pPr>
    <w:rPr>
      <w:sz w:val="20"/>
      <w:szCs w:val="24"/>
    </w:rPr>
  </w:style>
  <w:style w:type="table" w:styleId="TableGrid">
    <w:name w:val="Table Grid"/>
    <w:basedOn w:val="TableNormal"/>
    <w:uiPriority w:val="59"/>
    <w:rsid w:val="00B84F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B055FA"/>
    <w:pPr>
      <w:spacing w:before="100" w:beforeAutospacing="1" w:after="100" w:afterAutospacing="1"/>
    </w:pPr>
  </w:style>
  <w:style w:type="paragraph" w:customStyle="1" w:styleId="Capire-FaxBullets">
    <w:name w:val="Capire - Fax Bullets"/>
    <w:basedOn w:val="Normal"/>
    <w:link w:val="Capire-FaxBulletsChar"/>
    <w:uiPriority w:val="99"/>
    <w:rsid w:val="00B055FA"/>
    <w:pPr>
      <w:numPr>
        <w:numId w:val="2"/>
      </w:numPr>
    </w:pPr>
    <w:rPr>
      <w:rFonts w:ascii="Calibri" w:eastAsia="Batang" w:hAnsi="Calibri"/>
      <w:sz w:val="36"/>
      <w:szCs w:val="20"/>
      <w:lang w:val="en-US"/>
    </w:rPr>
  </w:style>
  <w:style w:type="character" w:customStyle="1" w:styleId="Capire-FaxBulletsChar">
    <w:name w:val="Capire - Fax Bullets Char"/>
    <w:link w:val="Capire-FaxBullets"/>
    <w:uiPriority w:val="99"/>
    <w:locked/>
    <w:rsid w:val="00B055FA"/>
    <w:rPr>
      <w:rFonts w:ascii="Calibri" w:eastAsia="Batang" w:hAnsi="Calibri" w:cs="Times New Roman"/>
      <w:sz w:val="36"/>
      <w:szCs w:val="20"/>
      <w:lang w:val="en-US"/>
    </w:rPr>
  </w:style>
  <w:style w:type="paragraph" w:styleId="TOC3">
    <w:name w:val="toc 3"/>
    <w:basedOn w:val="Normal"/>
    <w:next w:val="Normal"/>
    <w:autoRedefine/>
    <w:uiPriority w:val="39"/>
    <w:rsid w:val="005B01F7"/>
    <w:pPr>
      <w:spacing w:before="40" w:after="40"/>
      <w:ind w:left="482"/>
    </w:pPr>
    <w:rPr>
      <w:rFonts w:asciiTheme="minorHAnsi" w:hAnsiTheme="minorHAnsi"/>
      <w:szCs w:val="20"/>
    </w:rPr>
  </w:style>
  <w:style w:type="paragraph" w:styleId="TOC4">
    <w:name w:val="toc 4"/>
    <w:basedOn w:val="Normal"/>
    <w:next w:val="Normal"/>
    <w:autoRedefine/>
    <w:uiPriority w:val="39"/>
    <w:rsid w:val="00B055FA"/>
    <w:pPr>
      <w:ind w:left="720"/>
    </w:pPr>
    <w:rPr>
      <w:szCs w:val="20"/>
    </w:rPr>
  </w:style>
  <w:style w:type="paragraph" w:styleId="TOC5">
    <w:name w:val="toc 5"/>
    <w:basedOn w:val="Normal"/>
    <w:next w:val="Normal"/>
    <w:autoRedefine/>
    <w:uiPriority w:val="39"/>
    <w:rsid w:val="00B055FA"/>
    <w:pPr>
      <w:ind w:left="960"/>
    </w:pPr>
    <w:rPr>
      <w:szCs w:val="20"/>
    </w:rPr>
  </w:style>
  <w:style w:type="paragraph" w:styleId="TOC6">
    <w:name w:val="toc 6"/>
    <w:basedOn w:val="Normal"/>
    <w:next w:val="Normal"/>
    <w:autoRedefine/>
    <w:uiPriority w:val="39"/>
    <w:rsid w:val="00B055FA"/>
    <w:pPr>
      <w:ind w:left="1200"/>
    </w:pPr>
    <w:rPr>
      <w:szCs w:val="20"/>
    </w:rPr>
  </w:style>
  <w:style w:type="paragraph" w:styleId="TOC7">
    <w:name w:val="toc 7"/>
    <w:basedOn w:val="Normal"/>
    <w:next w:val="Normal"/>
    <w:autoRedefine/>
    <w:uiPriority w:val="39"/>
    <w:rsid w:val="00B055FA"/>
    <w:pPr>
      <w:ind w:left="1440"/>
    </w:pPr>
    <w:rPr>
      <w:szCs w:val="20"/>
    </w:rPr>
  </w:style>
  <w:style w:type="paragraph" w:styleId="TOC8">
    <w:name w:val="toc 8"/>
    <w:basedOn w:val="Normal"/>
    <w:next w:val="Normal"/>
    <w:autoRedefine/>
    <w:uiPriority w:val="39"/>
    <w:rsid w:val="00B055FA"/>
    <w:pPr>
      <w:ind w:left="1680"/>
    </w:pPr>
    <w:rPr>
      <w:szCs w:val="20"/>
    </w:rPr>
  </w:style>
  <w:style w:type="paragraph" w:styleId="TOC9">
    <w:name w:val="toc 9"/>
    <w:basedOn w:val="Normal"/>
    <w:next w:val="Normal"/>
    <w:autoRedefine/>
    <w:uiPriority w:val="39"/>
    <w:rsid w:val="00B055FA"/>
    <w:pPr>
      <w:ind w:left="1920"/>
    </w:pPr>
    <w:rPr>
      <w:szCs w:val="20"/>
    </w:rPr>
  </w:style>
  <w:style w:type="paragraph" w:customStyle="1" w:styleId="BodyTextExecSum">
    <w:name w:val="BodyText ExecSum"/>
    <w:basedOn w:val="Normal"/>
    <w:uiPriority w:val="99"/>
    <w:rsid w:val="00B055FA"/>
    <w:pPr>
      <w:tabs>
        <w:tab w:val="right" w:pos="9356"/>
      </w:tabs>
      <w:spacing w:after="240" w:line="260" w:lineRule="atLeast"/>
    </w:pPr>
    <w:rPr>
      <w:rFonts w:ascii="Arial" w:hAnsi="Arial"/>
      <w:szCs w:val="20"/>
      <w:lang w:eastAsia="en-US"/>
    </w:rPr>
  </w:style>
  <w:style w:type="character" w:styleId="FollowedHyperlink">
    <w:name w:val="FollowedHyperlink"/>
    <w:basedOn w:val="DefaultParagraphFont"/>
    <w:uiPriority w:val="99"/>
    <w:rsid w:val="00B055FA"/>
    <w:rPr>
      <w:rFonts w:cs="Times New Roman"/>
      <w:color w:val="800080"/>
      <w:u w:val="single"/>
    </w:rPr>
  </w:style>
  <w:style w:type="paragraph" w:styleId="Caption">
    <w:name w:val="caption"/>
    <w:basedOn w:val="bt"/>
    <w:next w:val="bt"/>
    <w:link w:val="CaptionChar"/>
    <w:qFormat/>
    <w:rsid w:val="008203E7"/>
    <w:pPr>
      <w:keepNext/>
      <w:spacing w:before="0" w:after="0" w:line="240" w:lineRule="auto"/>
    </w:pPr>
    <w:rPr>
      <w:rFonts w:cstheme="minorHAnsi"/>
      <w:bCs/>
      <w:i/>
      <w:color w:val="000000" w:themeColor="text1"/>
      <w:szCs w:val="20"/>
    </w:rPr>
  </w:style>
  <w:style w:type="paragraph" w:customStyle="1" w:styleId="Default">
    <w:name w:val="Default"/>
    <w:rsid w:val="00B055FA"/>
    <w:pPr>
      <w:autoSpaceDE w:val="0"/>
      <w:autoSpaceDN w:val="0"/>
      <w:adjustRightInd w:val="0"/>
      <w:spacing w:after="0" w:line="240" w:lineRule="auto"/>
    </w:pPr>
    <w:rPr>
      <w:rFonts w:ascii="Frutiger 47LightCn" w:eastAsia="Times New Roman" w:hAnsi="Frutiger 47LightCn" w:cs="Frutiger 47LightCn"/>
      <w:color w:val="000000"/>
      <w:sz w:val="24"/>
      <w:szCs w:val="24"/>
    </w:rPr>
  </w:style>
  <w:style w:type="paragraph" w:customStyle="1" w:styleId="StyleHeading2Tahoma11ptNotItalic">
    <w:name w:val="Style Heading 2 + Tahoma 11 pt Not Italic"/>
    <w:basedOn w:val="Heading2"/>
    <w:uiPriority w:val="99"/>
    <w:rsid w:val="00B055FA"/>
    <w:pPr>
      <w:tabs>
        <w:tab w:val="num" w:pos="720"/>
      </w:tabs>
      <w:ind w:left="720" w:hanging="360"/>
    </w:pPr>
    <w:rPr>
      <w:iCs w:val="0"/>
      <w:caps/>
      <w:sz w:val="22"/>
    </w:rPr>
  </w:style>
  <w:style w:type="paragraph" w:styleId="BodyText">
    <w:name w:val="Body Text"/>
    <w:basedOn w:val="Normal"/>
    <w:link w:val="BodyTextChar"/>
    <w:uiPriority w:val="99"/>
    <w:rsid w:val="00B055FA"/>
    <w:pPr>
      <w:spacing w:before="120" w:after="120"/>
    </w:pPr>
    <w:rPr>
      <w:rFonts w:ascii="Calibri" w:hAnsi="Calibri"/>
      <w:szCs w:val="20"/>
      <w:lang w:val="en-GB" w:eastAsia="en-US"/>
    </w:rPr>
  </w:style>
  <w:style w:type="character" w:customStyle="1" w:styleId="BodyTextChar">
    <w:name w:val="Body Text Char"/>
    <w:basedOn w:val="DefaultParagraphFont"/>
    <w:link w:val="BodyText"/>
    <w:uiPriority w:val="99"/>
    <w:rsid w:val="00B055FA"/>
    <w:rPr>
      <w:rFonts w:ascii="Calibri" w:eastAsia="Times New Roman" w:hAnsi="Calibri" w:cs="Times New Roman"/>
      <w:sz w:val="20"/>
      <w:szCs w:val="20"/>
      <w:lang w:val="en-GB"/>
    </w:rPr>
  </w:style>
  <w:style w:type="paragraph" w:customStyle="1" w:styleId="CharChar">
    <w:name w:val="Char Char"/>
    <w:basedOn w:val="Normal"/>
    <w:uiPriority w:val="99"/>
    <w:rsid w:val="00B055FA"/>
    <w:pPr>
      <w:widowControl w:val="0"/>
      <w:adjustRightInd w:val="0"/>
      <w:spacing w:after="160" w:line="240" w:lineRule="exact"/>
      <w:textAlignment w:val="baseline"/>
    </w:pPr>
    <w:rPr>
      <w:rFonts w:cs="Tahoma"/>
      <w:szCs w:val="20"/>
      <w:lang w:val="en-US" w:eastAsia="en-US"/>
    </w:rPr>
  </w:style>
  <w:style w:type="character" w:styleId="Strong">
    <w:name w:val="Strong"/>
    <w:basedOn w:val="DefaultParagraphFont"/>
    <w:qFormat/>
    <w:rsid w:val="00793687"/>
    <w:rPr>
      <w:rFonts w:ascii="Calibri" w:hAnsi="Calibri"/>
      <w:b/>
      <w:bCs/>
    </w:rPr>
  </w:style>
  <w:style w:type="paragraph" w:styleId="DocumentMap">
    <w:name w:val="Document Map"/>
    <w:basedOn w:val="Normal"/>
    <w:link w:val="DocumentMapChar"/>
    <w:uiPriority w:val="99"/>
    <w:unhideWhenUsed/>
    <w:rsid w:val="00B055FA"/>
    <w:rPr>
      <w:rFonts w:cs="Tahoma"/>
      <w:sz w:val="16"/>
      <w:szCs w:val="16"/>
    </w:rPr>
  </w:style>
  <w:style w:type="character" w:customStyle="1" w:styleId="DocumentMapChar">
    <w:name w:val="Document Map Char"/>
    <w:basedOn w:val="DefaultParagraphFont"/>
    <w:link w:val="DocumentMap"/>
    <w:uiPriority w:val="99"/>
    <w:rsid w:val="00B055FA"/>
    <w:rPr>
      <w:rFonts w:ascii="Tahoma" w:eastAsia="Times New Roman" w:hAnsi="Tahoma" w:cs="Tahoma"/>
      <w:sz w:val="16"/>
      <w:szCs w:val="16"/>
      <w:lang w:eastAsia="en-AU"/>
    </w:rPr>
  </w:style>
  <w:style w:type="paragraph" w:customStyle="1" w:styleId="Pa10">
    <w:name w:val="Pa10"/>
    <w:basedOn w:val="Default"/>
    <w:next w:val="Default"/>
    <w:uiPriority w:val="99"/>
    <w:rsid w:val="00D52A92"/>
    <w:pPr>
      <w:spacing w:line="191" w:lineRule="atLeast"/>
    </w:pPr>
    <w:rPr>
      <w:rFonts w:ascii="DIN" w:eastAsiaTheme="minorHAnsi" w:hAnsi="DIN" w:cstheme="minorBidi"/>
      <w:color w:val="auto"/>
      <w:lang w:eastAsia="en-US"/>
    </w:rPr>
  </w:style>
  <w:style w:type="paragraph" w:customStyle="1" w:styleId="Pa37">
    <w:name w:val="Pa37"/>
    <w:basedOn w:val="Default"/>
    <w:next w:val="Default"/>
    <w:uiPriority w:val="99"/>
    <w:rsid w:val="00D52A92"/>
    <w:pPr>
      <w:spacing w:line="191" w:lineRule="atLeast"/>
    </w:pPr>
    <w:rPr>
      <w:rFonts w:ascii="DIN" w:eastAsiaTheme="minorHAnsi" w:hAnsi="DIN" w:cstheme="minorBidi"/>
      <w:color w:val="auto"/>
      <w:lang w:eastAsia="en-US"/>
    </w:rPr>
  </w:style>
  <w:style w:type="paragraph" w:customStyle="1" w:styleId="PSBody">
    <w:name w:val="PS Body"/>
    <w:basedOn w:val="Normal"/>
    <w:rsid w:val="0002754E"/>
    <w:pPr>
      <w:spacing w:after="120"/>
      <w:jc w:val="left"/>
    </w:pPr>
    <w:rPr>
      <w:rFonts w:ascii="Arial Narrow" w:hAnsi="Arial Narrow" w:cs="Arial"/>
      <w:color w:val="595959"/>
      <w:sz w:val="24"/>
      <w:lang w:eastAsia="en-US"/>
    </w:rPr>
  </w:style>
  <w:style w:type="paragraph" w:customStyle="1" w:styleId="Pa22">
    <w:name w:val="Pa22"/>
    <w:basedOn w:val="Default"/>
    <w:next w:val="Default"/>
    <w:uiPriority w:val="99"/>
    <w:rsid w:val="00DD6647"/>
    <w:pPr>
      <w:spacing w:line="191" w:lineRule="atLeast"/>
    </w:pPr>
    <w:rPr>
      <w:rFonts w:ascii="DIN" w:eastAsiaTheme="minorHAnsi" w:hAnsi="DIN" w:cstheme="minorBidi"/>
      <w:color w:val="auto"/>
      <w:lang w:eastAsia="en-US"/>
    </w:rPr>
  </w:style>
  <w:style w:type="paragraph" w:customStyle="1" w:styleId="Pa20">
    <w:name w:val="Pa20"/>
    <w:basedOn w:val="Default"/>
    <w:next w:val="Default"/>
    <w:uiPriority w:val="99"/>
    <w:rsid w:val="00B94E1B"/>
    <w:pPr>
      <w:spacing w:line="241" w:lineRule="atLeast"/>
    </w:pPr>
    <w:rPr>
      <w:rFonts w:ascii="DIN" w:eastAsiaTheme="minorHAnsi" w:hAnsi="DIN" w:cstheme="minorBidi"/>
      <w:color w:val="auto"/>
      <w:lang w:eastAsia="en-US"/>
    </w:rPr>
  </w:style>
  <w:style w:type="paragraph" w:customStyle="1" w:styleId="Pa23">
    <w:name w:val="Pa23"/>
    <w:basedOn w:val="Default"/>
    <w:next w:val="Default"/>
    <w:uiPriority w:val="99"/>
    <w:rsid w:val="00B94E1B"/>
    <w:pPr>
      <w:spacing w:line="201" w:lineRule="atLeast"/>
    </w:pPr>
    <w:rPr>
      <w:rFonts w:ascii="DIN" w:eastAsiaTheme="minorHAnsi" w:hAnsi="DIN" w:cstheme="minorBidi"/>
      <w:color w:val="auto"/>
      <w:lang w:eastAsia="en-US"/>
    </w:rPr>
  </w:style>
  <w:style w:type="paragraph" w:styleId="TOCHeading">
    <w:name w:val="TOC Heading"/>
    <w:basedOn w:val="Heading1"/>
    <w:next w:val="Normal"/>
    <w:uiPriority w:val="39"/>
    <w:semiHidden/>
    <w:unhideWhenUsed/>
    <w:qFormat/>
    <w:rsid w:val="00793687"/>
    <w:pPr>
      <w:outlineLvl w:val="9"/>
    </w:pPr>
    <w:rPr>
      <w:rFonts w:eastAsiaTheme="majorEastAsia" w:cstheme="majorBidi"/>
      <w:lang w:val="en-US"/>
    </w:rPr>
  </w:style>
  <w:style w:type="character" w:customStyle="1" w:styleId="ListParagraphChar">
    <w:name w:val="List Paragraph Char"/>
    <w:basedOn w:val="DefaultParagraphFont"/>
    <w:link w:val="ListParagraph"/>
    <w:uiPriority w:val="34"/>
    <w:rsid w:val="00793687"/>
    <w:rPr>
      <w:sz w:val="20"/>
    </w:rPr>
  </w:style>
  <w:style w:type="character" w:customStyle="1" w:styleId="btChar">
    <w:name w:val="bt Char"/>
    <w:basedOn w:val="DefaultParagraphFont"/>
    <w:link w:val="bt"/>
    <w:rsid w:val="004C5F97"/>
    <w:rPr>
      <w:sz w:val="20"/>
      <w:szCs w:val="24"/>
    </w:rPr>
  </w:style>
  <w:style w:type="character" w:styleId="SubtleEmphasis">
    <w:name w:val="Subtle Emphasis"/>
    <w:basedOn w:val="DefaultParagraphFont"/>
    <w:uiPriority w:val="19"/>
    <w:unhideWhenUsed/>
    <w:rsid w:val="00793687"/>
    <w:rPr>
      <w:rFonts w:eastAsiaTheme="minorEastAsia" w:cstheme="minorBidi"/>
      <w:bCs w:val="0"/>
      <w:i/>
      <w:iCs/>
      <w:color w:val="808080" w:themeColor="text1" w:themeTint="7F"/>
      <w:szCs w:val="22"/>
      <w:lang w:val="en-US"/>
    </w:rPr>
  </w:style>
  <w:style w:type="paragraph" w:customStyle="1" w:styleId="Subsubheading">
    <w:name w:val="Sub sub heading"/>
    <w:basedOn w:val="Heading3"/>
    <w:link w:val="SubsubheadingChar"/>
    <w:rsid w:val="00E272B5"/>
    <w:pPr>
      <w:numPr>
        <w:numId w:val="3"/>
      </w:numPr>
      <w:ind w:left="709" w:hanging="709"/>
    </w:pPr>
  </w:style>
  <w:style w:type="character" w:customStyle="1" w:styleId="SubsubheadingChar">
    <w:name w:val="Sub sub heading Char"/>
    <w:basedOn w:val="Heading3Char"/>
    <w:link w:val="Subsubheading"/>
    <w:rsid w:val="00E272B5"/>
    <w:rPr>
      <w:rFonts w:ascii="Calibri" w:eastAsia="Times New Roman" w:hAnsi="Calibri" w:cs="Times New Roman"/>
      <w:bCs/>
      <w:sz w:val="26"/>
      <w:szCs w:val="18"/>
      <w:lang w:eastAsia="en-US"/>
    </w:rPr>
  </w:style>
  <w:style w:type="paragraph" w:customStyle="1" w:styleId="Bulletlist">
    <w:name w:val="Bullet list"/>
    <w:basedOn w:val="ListParagraph"/>
    <w:link w:val="BulletlistChar"/>
    <w:rsid w:val="00793687"/>
    <w:pPr>
      <w:ind w:left="0"/>
    </w:pPr>
    <w:rPr>
      <w:rFonts w:ascii="Tahoma" w:hAnsi="Tahoma"/>
      <w:lang w:val="en-GB"/>
    </w:rPr>
  </w:style>
  <w:style w:type="character" w:customStyle="1" w:styleId="BulletlistChar">
    <w:name w:val="Bullet list Char"/>
    <w:basedOn w:val="ListParagraphChar"/>
    <w:link w:val="Bulletlist"/>
    <w:rsid w:val="00793687"/>
    <w:rPr>
      <w:rFonts w:ascii="Tahoma" w:hAnsi="Tahoma"/>
      <w:sz w:val="20"/>
      <w:lang w:val="en-GB"/>
    </w:rPr>
  </w:style>
  <w:style w:type="character" w:styleId="Emphasis">
    <w:name w:val="Emphasis"/>
    <w:basedOn w:val="DefaultParagraphFont"/>
    <w:qFormat/>
    <w:rsid w:val="00227110"/>
    <w:rPr>
      <w:rFonts w:ascii="Calibri" w:hAnsi="Calibri"/>
      <w:i/>
      <w:iCs/>
      <w:sz w:val="20"/>
    </w:rPr>
  </w:style>
  <w:style w:type="character" w:customStyle="1" w:styleId="CaptionChar">
    <w:name w:val="Caption Char"/>
    <w:basedOn w:val="DefaultParagraphFont"/>
    <w:link w:val="Caption"/>
    <w:rsid w:val="008203E7"/>
    <w:rPr>
      <w:rFonts w:cstheme="minorHAnsi"/>
      <w:bCs/>
      <w:i/>
      <w:color w:val="000000" w:themeColor="text1"/>
      <w:sz w:val="20"/>
      <w:szCs w:val="20"/>
    </w:rPr>
  </w:style>
  <w:style w:type="paragraph" w:styleId="ListBullet">
    <w:name w:val="List Bullet"/>
    <w:basedOn w:val="bt"/>
    <w:qFormat/>
    <w:rsid w:val="00977170"/>
    <w:pPr>
      <w:numPr>
        <w:numId w:val="4"/>
      </w:numPr>
      <w:spacing w:before="0" w:after="40"/>
    </w:pPr>
  </w:style>
  <w:style w:type="paragraph" w:styleId="ListNumber">
    <w:name w:val="List Number"/>
    <w:basedOn w:val="bt"/>
    <w:uiPriority w:val="99"/>
    <w:qFormat/>
    <w:rsid w:val="00675F43"/>
    <w:pPr>
      <w:numPr>
        <w:numId w:val="5"/>
      </w:numPr>
      <w:contextualSpacing/>
    </w:pPr>
  </w:style>
  <w:style w:type="paragraph" w:styleId="ListBullet2">
    <w:name w:val="List Bullet 2"/>
    <w:basedOn w:val="ListBullet"/>
    <w:qFormat/>
    <w:rsid w:val="00DA6342"/>
    <w:pPr>
      <w:numPr>
        <w:numId w:val="8"/>
      </w:numPr>
    </w:pPr>
  </w:style>
  <w:style w:type="paragraph" w:styleId="ListBullet3">
    <w:name w:val="List Bullet 3"/>
    <w:basedOn w:val="bt"/>
    <w:rsid w:val="00793687"/>
  </w:style>
  <w:style w:type="paragraph" w:styleId="ListNumber2">
    <w:name w:val="List Number 2"/>
    <w:basedOn w:val="bt"/>
    <w:uiPriority w:val="99"/>
    <w:qFormat/>
    <w:rsid w:val="00793687"/>
    <w:pPr>
      <w:contextualSpacing/>
    </w:pPr>
  </w:style>
  <w:style w:type="paragraph" w:styleId="ListNumber3">
    <w:name w:val="List Number 3"/>
    <w:basedOn w:val="bt"/>
    <w:uiPriority w:val="99"/>
    <w:qFormat/>
    <w:rsid w:val="00793687"/>
    <w:pPr>
      <w:contextualSpacing/>
    </w:pPr>
  </w:style>
  <w:style w:type="paragraph" w:styleId="ListNumber4">
    <w:name w:val="List Number 4"/>
    <w:basedOn w:val="bt"/>
    <w:uiPriority w:val="99"/>
    <w:qFormat/>
    <w:rsid w:val="00793687"/>
    <w:pPr>
      <w:tabs>
        <w:tab w:val="left" w:pos="1701"/>
      </w:tabs>
      <w:contextualSpacing/>
    </w:pPr>
  </w:style>
  <w:style w:type="paragraph" w:styleId="ListContinue">
    <w:name w:val="List Continue"/>
    <w:basedOn w:val="Normal"/>
    <w:rsid w:val="00793687"/>
    <w:pPr>
      <w:spacing w:after="120"/>
      <w:ind w:left="283"/>
      <w:jc w:val="left"/>
    </w:pPr>
    <w:rPr>
      <w:rFonts w:ascii="Arial" w:hAnsi="Arial"/>
    </w:rPr>
  </w:style>
  <w:style w:type="paragraph" w:styleId="ListContinue2">
    <w:name w:val="List Continue 2"/>
    <w:basedOn w:val="Normal"/>
    <w:rsid w:val="00793687"/>
    <w:pPr>
      <w:spacing w:after="120"/>
      <w:ind w:left="566"/>
      <w:jc w:val="left"/>
    </w:pPr>
    <w:rPr>
      <w:rFonts w:ascii="Arial" w:hAnsi="Arial"/>
    </w:rPr>
  </w:style>
  <w:style w:type="paragraph" w:styleId="ListContinue3">
    <w:name w:val="List Continue 3"/>
    <w:basedOn w:val="Normal"/>
    <w:rsid w:val="00793687"/>
    <w:pPr>
      <w:spacing w:after="120"/>
      <w:ind w:left="849"/>
      <w:jc w:val="left"/>
    </w:pPr>
    <w:rPr>
      <w:rFonts w:ascii="Arial" w:hAnsi="Arial"/>
    </w:rPr>
  </w:style>
  <w:style w:type="paragraph" w:styleId="NoSpacing">
    <w:name w:val="No Spacing"/>
    <w:link w:val="NoSpacingChar"/>
    <w:uiPriority w:val="1"/>
    <w:unhideWhenUsed/>
    <w:rsid w:val="00793687"/>
    <w:pPr>
      <w:spacing w:after="0" w:line="240" w:lineRule="auto"/>
    </w:pPr>
    <w:rPr>
      <w:lang w:val="en-US"/>
    </w:rPr>
  </w:style>
  <w:style w:type="character" w:customStyle="1" w:styleId="NoSpacingChar">
    <w:name w:val="No Spacing Char"/>
    <w:basedOn w:val="DefaultParagraphFont"/>
    <w:link w:val="NoSpacing"/>
    <w:uiPriority w:val="1"/>
    <w:rsid w:val="00793687"/>
    <w:rPr>
      <w:lang w:val="en-US"/>
    </w:rPr>
  </w:style>
  <w:style w:type="paragraph" w:styleId="IntenseQuote">
    <w:name w:val="Intense Quote"/>
    <w:basedOn w:val="bt"/>
    <w:next w:val="bt"/>
    <w:link w:val="IntenseQuoteChar"/>
    <w:autoRedefine/>
    <w:uiPriority w:val="30"/>
    <w:unhideWhenUsed/>
    <w:rsid w:val="00793687"/>
    <w:pPr>
      <w:pBdr>
        <w:bottom w:val="single" w:sz="4" w:space="4" w:color="76923C" w:themeColor="accent3" w:themeShade="BF"/>
      </w:pBdr>
      <w:spacing w:before="200" w:after="280"/>
      <w:ind w:left="936" w:right="936"/>
    </w:pPr>
    <w:rPr>
      <w:bCs/>
      <w:i/>
      <w:iCs/>
      <w:color w:val="404040" w:themeColor="text1" w:themeTint="BF"/>
      <w:sz w:val="24"/>
    </w:rPr>
  </w:style>
  <w:style w:type="character" w:customStyle="1" w:styleId="IntenseQuoteChar">
    <w:name w:val="Intense Quote Char"/>
    <w:basedOn w:val="DefaultParagraphFont"/>
    <w:link w:val="IntenseQuote"/>
    <w:uiPriority w:val="30"/>
    <w:rsid w:val="00793687"/>
    <w:rPr>
      <w:rFonts w:ascii="Calibri" w:eastAsia="Times New Roman" w:hAnsi="Calibri" w:cs="Times New Roman"/>
      <w:bCs/>
      <w:i/>
      <w:iCs/>
      <w:color w:val="404040" w:themeColor="text1" w:themeTint="BF"/>
      <w:sz w:val="24"/>
      <w:szCs w:val="24"/>
    </w:rPr>
  </w:style>
  <w:style w:type="character" w:styleId="IntenseEmphasis">
    <w:name w:val="Intense Emphasis"/>
    <w:basedOn w:val="DefaultParagraphFont"/>
    <w:uiPriority w:val="21"/>
    <w:unhideWhenUsed/>
    <w:rsid w:val="00793687"/>
    <w:rPr>
      <w:b/>
      <w:bCs/>
      <w:i/>
      <w:iCs/>
      <w:color w:val="262626" w:themeColor="text1" w:themeTint="D9"/>
    </w:rPr>
  </w:style>
  <w:style w:type="character" w:styleId="SubtleReference">
    <w:name w:val="Subtle Reference"/>
    <w:basedOn w:val="DefaultParagraphFont"/>
    <w:uiPriority w:val="31"/>
    <w:unhideWhenUsed/>
    <w:rsid w:val="00793687"/>
    <w:rPr>
      <w:smallCaps/>
      <w:color w:val="C0504D" w:themeColor="accent2"/>
      <w:u w:val="single"/>
    </w:rPr>
  </w:style>
  <w:style w:type="character" w:styleId="IntenseReference">
    <w:name w:val="Intense Reference"/>
    <w:basedOn w:val="DefaultParagraphFont"/>
    <w:uiPriority w:val="32"/>
    <w:unhideWhenUsed/>
    <w:rsid w:val="00793687"/>
    <w:rPr>
      <w:b/>
      <w:bCs/>
      <w:smallCaps/>
      <w:color w:val="C0504D" w:themeColor="accent2"/>
      <w:spacing w:val="5"/>
      <w:u w:val="single"/>
    </w:rPr>
  </w:style>
  <w:style w:type="paragraph" w:customStyle="1" w:styleId="Tabletext">
    <w:name w:val="Table text"/>
    <w:basedOn w:val="bt"/>
    <w:autoRedefine/>
    <w:semiHidden/>
    <w:unhideWhenUsed/>
    <w:qFormat/>
    <w:rsid w:val="00793687"/>
    <w:pPr>
      <w:spacing w:before="60" w:after="60" w:line="240" w:lineRule="auto"/>
    </w:pPr>
    <w:rPr>
      <w:rFonts w:ascii="Arial Narrow" w:hAnsi="Arial Narrow"/>
      <w:szCs w:val="20"/>
    </w:rPr>
  </w:style>
  <w:style w:type="paragraph" w:customStyle="1" w:styleId="btbold">
    <w:name w:val="bt_bold"/>
    <w:basedOn w:val="bt"/>
    <w:next w:val="bt"/>
    <w:semiHidden/>
    <w:unhideWhenUsed/>
    <w:qFormat/>
    <w:rsid w:val="00793687"/>
    <w:pPr>
      <w:spacing w:after="120"/>
    </w:pPr>
    <w:rPr>
      <w:b/>
    </w:rPr>
  </w:style>
  <w:style w:type="paragraph" w:customStyle="1" w:styleId="btindent">
    <w:name w:val="bt_indent"/>
    <w:basedOn w:val="bt"/>
    <w:next w:val="bt"/>
    <w:semiHidden/>
    <w:unhideWhenUsed/>
    <w:qFormat/>
    <w:rsid w:val="00793687"/>
    <w:pPr>
      <w:ind w:left="709"/>
    </w:pPr>
    <w:rPr>
      <w:rFonts w:eastAsia="Times New Roman" w:cs="Times New Roman"/>
    </w:rPr>
  </w:style>
  <w:style w:type="paragraph" w:customStyle="1" w:styleId="btitalics">
    <w:name w:val="bt_italics"/>
    <w:basedOn w:val="bt"/>
    <w:next w:val="bt"/>
    <w:semiHidden/>
    <w:unhideWhenUsed/>
    <w:qFormat/>
    <w:rsid w:val="00793687"/>
    <w:rPr>
      <w:rFonts w:eastAsia="Times New Roman" w:cs="Times New Roman"/>
      <w:i/>
    </w:rPr>
  </w:style>
  <w:style w:type="character" w:customStyle="1" w:styleId="bt-highlighttext">
    <w:name w:val="bt-highlight text"/>
    <w:basedOn w:val="DefaultParagraphFont"/>
    <w:semiHidden/>
    <w:unhideWhenUsed/>
    <w:qFormat/>
    <w:rsid w:val="00793687"/>
    <w:rPr>
      <w:rFonts w:ascii="Calibri" w:hAnsi="Calibri"/>
      <w:color w:val="0000FF"/>
      <w:sz w:val="24"/>
      <w:lang w:eastAsia="en-US"/>
    </w:rPr>
  </w:style>
  <w:style w:type="paragraph" w:customStyle="1" w:styleId="Heading11">
    <w:name w:val="Heading 1_1"/>
    <w:basedOn w:val="Heading1"/>
    <w:next w:val="bt"/>
    <w:qFormat/>
    <w:rsid w:val="007649C1"/>
    <w:pPr>
      <w:numPr>
        <w:numId w:val="14"/>
      </w:numPr>
      <w:tabs>
        <w:tab w:val="clear" w:pos="851"/>
      </w:tabs>
    </w:pPr>
    <w:rPr>
      <w:rFonts w:eastAsia="Times New Roman" w:cs="Times New Roman"/>
      <w:lang w:eastAsia="en-US"/>
    </w:rPr>
  </w:style>
  <w:style w:type="paragraph" w:customStyle="1" w:styleId="Heading2nonum">
    <w:name w:val="Heading 2_no num"/>
    <w:basedOn w:val="Heading2"/>
    <w:next w:val="bt"/>
    <w:rsid w:val="00793687"/>
    <w:rPr>
      <w:b w:val="0"/>
      <w:lang w:eastAsia="en-US"/>
    </w:rPr>
  </w:style>
  <w:style w:type="paragraph" w:customStyle="1" w:styleId="TabletextBold">
    <w:name w:val="Table text Bold"/>
    <w:basedOn w:val="Tabletext"/>
    <w:next w:val="Tabletext"/>
    <w:semiHidden/>
    <w:unhideWhenUsed/>
    <w:qFormat/>
    <w:rsid w:val="00793687"/>
    <w:rPr>
      <w:rFonts w:eastAsia="Times New Roman" w:cs="Times New Roman"/>
      <w:b/>
      <w:bCs/>
    </w:rPr>
  </w:style>
  <w:style w:type="paragraph" w:customStyle="1" w:styleId="tabletextbullet">
    <w:name w:val="table text bullet"/>
    <w:basedOn w:val="Normal"/>
    <w:semiHidden/>
    <w:unhideWhenUsed/>
    <w:qFormat/>
    <w:rsid w:val="00793687"/>
    <w:pPr>
      <w:spacing w:before="60" w:after="60" w:line="270" w:lineRule="exact"/>
    </w:pPr>
    <w:rPr>
      <w:rFonts w:ascii="Calibri" w:hAnsi="Calibri"/>
      <w:szCs w:val="20"/>
    </w:rPr>
  </w:style>
  <w:style w:type="paragraph" w:customStyle="1" w:styleId="tableheaderrow">
    <w:name w:val="table_header row"/>
    <w:basedOn w:val="Tabletext"/>
    <w:semiHidden/>
    <w:unhideWhenUsed/>
    <w:qFormat/>
    <w:rsid w:val="00793687"/>
    <w:rPr>
      <w:rFonts w:eastAsia="Times New Roman" w:cs="Times New Roman"/>
      <w:b/>
    </w:rPr>
  </w:style>
  <w:style w:type="paragraph" w:customStyle="1" w:styleId="btbullet">
    <w:name w:val="bt_bullet"/>
    <w:basedOn w:val="bt"/>
    <w:semiHidden/>
    <w:unhideWhenUsed/>
    <w:qFormat/>
    <w:rsid w:val="00793687"/>
    <w:pPr>
      <w:spacing w:before="60" w:after="60" w:line="264" w:lineRule="auto"/>
    </w:pPr>
    <w:rPr>
      <w:rFonts w:eastAsia="Times New Roman" w:cs="Times New Roman"/>
    </w:rPr>
  </w:style>
  <w:style w:type="paragraph" w:customStyle="1" w:styleId="source">
    <w:name w:val="source"/>
    <w:basedOn w:val="bt"/>
    <w:next w:val="bt"/>
    <w:semiHidden/>
    <w:unhideWhenUsed/>
    <w:qFormat/>
    <w:rsid w:val="00793687"/>
    <w:pPr>
      <w:spacing w:line="240" w:lineRule="auto"/>
    </w:pPr>
    <w:rPr>
      <w:rFonts w:eastAsia="Times New Roman" w:cs="Times New Roman"/>
      <w:i/>
      <w:sz w:val="18"/>
    </w:rPr>
  </w:style>
  <w:style w:type="paragraph" w:customStyle="1" w:styleId="btpicture">
    <w:name w:val="bt_picture"/>
    <w:basedOn w:val="bt"/>
    <w:next w:val="bt"/>
    <w:semiHidden/>
    <w:unhideWhenUsed/>
    <w:qFormat/>
    <w:rsid w:val="00793687"/>
    <w:pPr>
      <w:spacing w:after="0" w:line="240" w:lineRule="auto"/>
    </w:pPr>
    <w:rPr>
      <w:rFonts w:eastAsia="Times New Roman" w:cs="Times New Roman"/>
      <w:sz w:val="18"/>
    </w:rPr>
  </w:style>
  <w:style w:type="paragraph" w:customStyle="1" w:styleId="bttextbox">
    <w:name w:val="bt_textbox"/>
    <w:basedOn w:val="bt"/>
    <w:semiHidden/>
    <w:unhideWhenUsed/>
    <w:qFormat/>
    <w:rsid w:val="00793687"/>
    <w:rPr>
      <w:rFonts w:eastAsia="Times New Roman" w:cs="Times New Roman"/>
    </w:rPr>
  </w:style>
  <w:style w:type="paragraph" w:customStyle="1" w:styleId="Heading20">
    <w:name w:val="^Heading 2"/>
    <w:basedOn w:val="Heading2"/>
    <w:semiHidden/>
    <w:unhideWhenUsed/>
    <w:qFormat/>
    <w:rsid w:val="00793687"/>
    <w:pPr>
      <w:keepLines/>
      <w:tabs>
        <w:tab w:val="clear" w:pos="851"/>
      </w:tabs>
      <w:spacing w:before="200" w:after="120"/>
    </w:pPr>
    <w:rPr>
      <w:rFonts w:eastAsia="MS Gothic" w:cs="Times New Roman"/>
      <w:iCs w:val="0"/>
      <w:color w:val="6B065A"/>
      <w:sz w:val="26"/>
      <w:szCs w:val="26"/>
      <w:lang w:eastAsia="en-US"/>
    </w:rPr>
  </w:style>
  <w:style w:type="paragraph" w:customStyle="1" w:styleId="Sourcestyle">
    <w:name w:val="Source style"/>
    <w:basedOn w:val="Normal"/>
    <w:link w:val="SourcestyleChar"/>
    <w:semiHidden/>
    <w:unhideWhenUsed/>
    <w:qFormat/>
    <w:rsid w:val="00793687"/>
    <w:pPr>
      <w:spacing w:before="60" w:after="60"/>
      <w:jc w:val="left"/>
    </w:pPr>
    <w:rPr>
      <w:rFonts w:ascii="Calibri" w:eastAsia="MS Mincho" w:hAnsi="Calibri" w:cs="Calibri"/>
      <w:sz w:val="18"/>
    </w:rPr>
  </w:style>
  <w:style w:type="character" w:customStyle="1" w:styleId="SourcestyleChar">
    <w:name w:val="Source style Char"/>
    <w:basedOn w:val="DefaultParagraphFont"/>
    <w:link w:val="Sourcestyle"/>
    <w:semiHidden/>
    <w:rsid w:val="00793687"/>
    <w:rPr>
      <w:rFonts w:ascii="Calibri" w:eastAsia="MS Mincho" w:hAnsi="Calibri" w:cs="Calibri"/>
      <w:sz w:val="18"/>
      <w:szCs w:val="24"/>
    </w:rPr>
  </w:style>
  <w:style w:type="paragraph" w:styleId="List2">
    <w:name w:val="List 2"/>
    <w:basedOn w:val="Normal"/>
    <w:rsid w:val="00793687"/>
    <w:pPr>
      <w:ind w:left="566" w:hanging="283"/>
      <w:contextualSpacing/>
    </w:pPr>
  </w:style>
  <w:style w:type="paragraph" w:customStyle="1" w:styleId="Source0">
    <w:name w:val="Source"/>
    <w:basedOn w:val="bt"/>
    <w:next w:val="bt"/>
    <w:qFormat/>
    <w:rsid w:val="009C573F"/>
    <w:pPr>
      <w:spacing w:before="0" w:after="0"/>
    </w:pPr>
    <w:rPr>
      <w:rFonts w:cs="Tahoma"/>
      <w:i/>
      <w:sz w:val="18"/>
    </w:rPr>
  </w:style>
  <w:style w:type="numbering" w:customStyle="1" w:styleId="Style1">
    <w:name w:val="Style1"/>
    <w:uiPriority w:val="99"/>
    <w:rsid w:val="009D1777"/>
    <w:pPr>
      <w:numPr>
        <w:numId w:val="6"/>
      </w:numPr>
    </w:pPr>
  </w:style>
  <w:style w:type="numbering" w:customStyle="1" w:styleId="Headings">
    <w:name w:val="Headings"/>
    <w:uiPriority w:val="99"/>
    <w:rsid w:val="00DA6342"/>
    <w:pPr>
      <w:numPr>
        <w:numId w:val="7"/>
      </w:numPr>
    </w:pPr>
  </w:style>
  <w:style w:type="paragraph" w:styleId="TableofFigures">
    <w:name w:val="table of figures"/>
    <w:basedOn w:val="Normal"/>
    <w:next w:val="Normal"/>
    <w:autoRedefine/>
    <w:uiPriority w:val="99"/>
    <w:qFormat/>
    <w:rsid w:val="00F82A2A"/>
    <w:pPr>
      <w:tabs>
        <w:tab w:val="right" w:leader="dot" w:pos="8789"/>
      </w:tabs>
      <w:spacing w:before="80" w:after="80"/>
    </w:pPr>
    <w:rPr>
      <w:rFonts w:asciiTheme="minorHAnsi" w:hAnsiTheme="minorHAnsi"/>
    </w:rPr>
  </w:style>
  <w:style w:type="paragraph" w:customStyle="1" w:styleId="TableText0">
    <w:name w:val="Table Text"/>
    <w:basedOn w:val="bt"/>
    <w:qFormat/>
    <w:rsid w:val="00FB0468"/>
    <w:pPr>
      <w:spacing w:before="40" w:after="40"/>
    </w:pPr>
    <w:rPr>
      <w:rFonts w:ascii="Arial Narrow" w:hAnsi="Arial Narrow" w:cstheme="minorHAnsi"/>
      <w:color w:val="000000"/>
      <w:szCs w:val="20"/>
    </w:rPr>
  </w:style>
  <w:style w:type="numbering" w:customStyle="1" w:styleId="RobertsList">
    <w:name w:val="Robert's List"/>
    <w:uiPriority w:val="99"/>
    <w:rsid w:val="002059F0"/>
    <w:pPr>
      <w:numPr>
        <w:numId w:val="10"/>
      </w:numPr>
    </w:pPr>
  </w:style>
  <w:style w:type="paragraph" w:customStyle="1" w:styleId="font5">
    <w:name w:val="font5"/>
    <w:basedOn w:val="Normal"/>
    <w:rsid w:val="001F66D6"/>
    <w:pPr>
      <w:spacing w:before="100" w:beforeAutospacing="1" w:after="100" w:afterAutospacing="1"/>
      <w:jc w:val="left"/>
    </w:pPr>
    <w:rPr>
      <w:rFonts w:ascii="Arial" w:hAnsi="Arial" w:cs="Arial"/>
      <w:b/>
      <w:bCs/>
      <w:sz w:val="14"/>
      <w:szCs w:val="14"/>
    </w:rPr>
  </w:style>
  <w:style w:type="paragraph" w:customStyle="1" w:styleId="font6">
    <w:name w:val="font6"/>
    <w:basedOn w:val="Normal"/>
    <w:rsid w:val="001F66D6"/>
    <w:pPr>
      <w:spacing w:before="100" w:beforeAutospacing="1" w:after="100" w:afterAutospacing="1"/>
      <w:jc w:val="left"/>
    </w:pPr>
    <w:rPr>
      <w:rFonts w:ascii="Arial" w:hAnsi="Arial" w:cs="Arial"/>
      <w:sz w:val="14"/>
      <w:szCs w:val="14"/>
    </w:rPr>
  </w:style>
  <w:style w:type="paragraph" w:customStyle="1" w:styleId="font7">
    <w:name w:val="font7"/>
    <w:basedOn w:val="Normal"/>
    <w:rsid w:val="001F66D6"/>
    <w:pPr>
      <w:spacing w:before="100" w:beforeAutospacing="1" w:after="100" w:afterAutospacing="1"/>
      <w:jc w:val="left"/>
    </w:pPr>
    <w:rPr>
      <w:rFonts w:ascii="Arial" w:hAnsi="Arial" w:cs="Arial"/>
      <w:b/>
      <w:bCs/>
      <w:color w:val="008000"/>
      <w:sz w:val="24"/>
    </w:rPr>
  </w:style>
  <w:style w:type="paragraph" w:customStyle="1" w:styleId="font8">
    <w:name w:val="font8"/>
    <w:basedOn w:val="Normal"/>
    <w:rsid w:val="001F66D6"/>
    <w:pPr>
      <w:spacing w:before="100" w:beforeAutospacing="1" w:after="100" w:afterAutospacing="1"/>
      <w:jc w:val="left"/>
    </w:pPr>
    <w:rPr>
      <w:rFonts w:ascii="Arial" w:hAnsi="Arial" w:cs="Arial"/>
      <w:color w:val="00B050"/>
      <w:sz w:val="18"/>
      <w:szCs w:val="18"/>
    </w:rPr>
  </w:style>
  <w:style w:type="paragraph" w:customStyle="1" w:styleId="font9">
    <w:name w:val="font9"/>
    <w:basedOn w:val="Normal"/>
    <w:rsid w:val="001F66D6"/>
    <w:pPr>
      <w:spacing w:before="100" w:beforeAutospacing="1" w:after="100" w:afterAutospacing="1"/>
      <w:jc w:val="left"/>
    </w:pPr>
    <w:rPr>
      <w:rFonts w:ascii="Arial" w:hAnsi="Arial" w:cs="Arial"/>
      <w:b/>
      <w:bCs/>
      <w:i/>
      <w:iCs/>
      <w:color w:val="008000"/>
      <w:szCs w:val="20"/>
    </w:rPr>
  </w:style>
  <w:style w:type="paragraph" w:customStyle="1" w:styleId="font10">
    <w:name w:val="font10"/>
    <w:basedOn w:val="Normal"/>
    <w:rsid w:val="001F66D6"/>
    <w:pPr>
      <w:spacing w:before="100" w:beforeAutospacing="1" w:after="100" w:afterAutospacing="1"/>
      <w:jc w:val="left"/>
    </w:pPr>
    <w:rPr>
      <w:rFonts w:ascii="Arial" w:hAnsi="Arial" w:cs="Arial"/>
      <w:b/>
      <w:bCs/>
      <w:color w:val="008000"/>
      <w:szCs w:val="20"/>
    </w:rPr>
  </w:style>
  <w:style w:type="paragraph" w:customStyle="1" w:styleId="font11">
    <w:name w:val="font11"/>
    <w:basedOn w:val="Normal"/>
    <w:rsid w:val="001F66D6"/>
    <w:pPr>
      <w:spacing w:before="100" w:beforeAutospacing="1" w:after="100" w:afterAutospacing="1"/>
      <w:jc w:val="left"/>
    </w:pPr>
    <w:rPr>
      <w:rFonts w:ascii="Arial" w:hAnsi="Arial" w:cs="Arial"/>
      <w:b/>
      <w:bCs/>
      <w:color w:val="00B050"/>
      <w:szCs w:val="20"/>
    </w:rPr>
  </w:style>
  <w:style w:type="paragraph" w:customStyle="1" w:styleId="xl63">
    <w:name w:val="xl63"/>
    <w:basedOn w:val="Normal"/>
    <w:rsid w:val="001F66D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64">
    <w:name w:val="xl64"/>
    <w:basedOn w:val="Normal"/>
    <w:rsid w:val="001F66D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65">
    <w:name w:val="xl65"/>
    <w:basedOn w:val="Normal"/>
    <w:rsid w:val="001F66D6"/>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66">
    <w:name w:val="xl66"/>
    <w:basedOn w:val="Normal"/>
    <w:rsid w:val="001F66D6"/>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67">
    <w:name w:val="xl67"/>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68">
    <w:name w:val="xl68"/>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69">
    <w:name w:val="xl69"/>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70">
    <w:name w:val="xl70"/>
    <w:basedOn w:val="Normal"/>
    <w:rsid w:val="001F66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Normal"/>
    <w:rsid w:val="001F66D6"/>
    <w:pPr>
      <w:pBdr>
        <w:top w:val="single" w:sz="4"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1F66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5">
    <w:name w:val="xl75"/>
    <w:basedOn w:val="Normal"/>
    <w:rsid w:val="001F66D6"/>
    <w:pPr>
      <w:pBdr>
        <w:top w:val="single" w:sz="8"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b/>
      <w:bCs/>
      <w:sz w:val="14"/>
      <w:szCs w:val="14"/>
    </w:rPr>
  </w:style>
  <w:style w:type="paragraph" w:customStyle="1" w:styleId="xl76">
    <w:name w:val="xl76"/>
    <w:basedOn w:val="Normal"/>
    <w:rsid w:val="001F66D6"/>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b/>
      <w:bCs/>
      <w:sz w:val="14"/>
      <w:szCs w:val="14"/>
    </w:rPr>
  </w:style>
  <w:style w:type="paragraph" w:customStyle="1" w:styleId="xl77">
    <w:name w:val="xl77"/>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4"/>
      <w:szCs w:val="14"/>
    </w:rPr>
  </w:style>
  <w:style w:type="paragraph" w:customStyle="1" w:styleId="xl78">
    <w:name w:val="xl78"/>
    <w:basedOn w:val="Normal"/>
    <w:rsid w:val="001F66D6"/>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imes New Roman" w:hAnsi="Times New Roman"/>
      <w:sz w:val="24"/>
    </w:rPr>
  </w:style>
  <w:style w:type="paragraph" w:customStyle="1" w:styleId="xl79">
    <w:name w:val="xl79"/>
    <w:basedOn w:val="Normal"/>
    <w:rsid w:val="001F66D6"/>
    <w:pPr>
      <w:pBdr>
        <w:top w:val="single" w:sz="4" w:space="0" w:color="auto"/>
        <w:left w:val="single" w:sz="4" w:space="0" w:color="auto"/>
        <w:bottom w:val="single" w:sz="8" w:space="0" w:color="auto"/>
        <w:right w:val="single" w:sz="4" w:space="0" w:color="auto"/>
      </w:pBdr>
      <w:shd w:val="clear" w:color="000000" w:fill="333399"/>
      <w:spacing w:before="100" w:beforeAutospacing="1" w:after="100" w:afterAutospacing="1"/>
      <w:jc w:val="left"/>
    </w:pPr>
    <w:rPr>
      <w:rFonts w:ascii="Times New Roman" w:hAnsi="Times New Roman"/>
      <w:sz w:val="24"/>
    </w:rPr>
  </w:style>
  <w:style w:type="paragraph" w:customStyle="1" w:styleId="xl80">
    <w:name w:val="xl80"/>
    <w:basedOn w:val="Normal"/>
    <w:rsid w:val="001F66D6"/>
    <w:pPr>
      <w:pBdr>
        <w:top w:val="single" w:sz="8" w:space="0" w:color="auto"/>
        <w:left w:val="single" w:sz="4" w:space="0" w:color="auto"/>
        <w:bottom w:val="single" w:sz="4" w:space="0" w:color="auto"/>
        <w:right w:val="single" w:sz="8" w:space="0" w:color="auto"/>
      </w:pBdr>
      <w:shd w:val="clear" w:color="000000" w:fill="008000"/>
      <w:spacing w:before="100" w:beforeAutospacing="1" w:after="100" w:afterAutospacing="1"/>
      <w:jc w:val="left"/>
    </w:pPr>
    <w:rPr>
      <w:rFonts w:ascii="Times New Roman" w:hAnsi="Times New Roman"/>
      <w:sz w:val="24"/>
    </w:rPr>
  </w:style>
  <w:style w:type="paragraph" w:customStyle="1" w:styleId="xl81">
    <w:name w:val="xl81"/>
    <w:basedOn w:val="Normal"/>
    <w:rsid w:val="001F66D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Arial" w:hAnsi="Arial" w:cs="Arial"/>
      <w:b/>
      <w:bCs/>
      <w:sz w:val="18"/>
      <w:szCs w:val="18"/>
    </w:rPr>
  </w:style>
  <w:style w:type="paragraph" w:customStyle="1" w:styleId="xl82">
    <w:name w:val="xl82"/>
    <w:basedOn w:val="Normal"/>
    <w:rsid w:val="001F66D6"/>
    <w:pPr>
      <w:pBdr>
        <w:top w:val="single" w:sz="4" w:space="0" w:color="auto"/>
        <w:left w:val="single" w:sz="8" w:space="0" w:color="auto"/>
        <w:bottom w:val="single" w:sz="4" w:space="0" w:color="auto"/>
        <w:right w:val="single" w:sz="4" w:space="0" w:color="auto"/>
      </w:pBdr>
      <w:shd w:val="clear" w:color="000000" w:fill="008000"/>
      <w:spacing w:before="100" w:beforeAutospacing="1" w:after="100" w:afterAutospacing="1"/>
      <w:jc w:val="left"/>
      <w:textAlignment w:val="center"/>
    </w:pPr>
    <w:rPr>
      <w:rFonts w:ascii="Arial" w:hAnsi="Arial" w:cs="Arial"/>
      <w:b/>
      <w:bCs/>
      <w:color w:val="FFFFFF"/>
      <w:sz w:val="18"/>
      <w:szCs w:val="18"/>
    </w:rPr>
  </w:style>
  <w:style w:type="paragraph" w:customStyle="1" w:styleId="xl83">
    <w:name w:val="xl83"/>
    <w:basedOn w:val="Normal"/>
    <w:rsid w:val="001F66D6"/>
    <w:pPr>
      <w:pBdr>
        <w:top w:val="single" w:sz="4" w:space="0" w:color="auto"/>
        <w:left w:val="single" w:sz="8" w:space="0" w:color="auto"/>
        <w:bottom w:val="single" w:sz="4" w:space="0" w:color="auto"/>
        <w:right w:val="single" w:sz="4" w:space="0" w:color="auto"/>
      </w:pBdr>
      <w:shd w:val="clear" w:color="000000" w:fill="333399"/>
      <w:spacing w:before="100" w:beforeAutospacing="1" w:after="100" w:afterAutospacing="1"/>
      <w:jc w:val="left"/>
      <w:textAlignment w:val="center"/>
    </w:pPr>
    <w:rPr>
      <w:rFonts w:ascii="Arial" w:hAnsi="Arial" w:cs="Arial"/>
      <w:b/>
      <w:bCs/>
      <w:color w:val="FFFFFF"/>
      <w:sz w:val="18"/>
      <w:szCs w:val="18"/>
    </w:rPr>
  </w:style>
  <w:style w:type="paragraph" w:customStyle="1" w:styleId="xl84">
    <w:name w:val="xl84"/>
    <w:basedOn w:val="Normal"/>
    <w:rsid w:val="001F66D6"/>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Normal"/>
    <w:rsid w:val="001F66D6"/>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jc w:val="left"/>
    </w:pPr>
    <w:rPr>
      <w:rFonts w:ascii="Arial" w:hAnsi="Arial" w:cs="Arial"/>
      <w:b/>
      <w:bCs/>
      <w:sz w:val="18"/>
      <w:szCs w:val="18"/>
    </w:rPr>
  </w:style>
  <w:style w:type="paragraph" w:customStyle="1" w:styleId="xl86">
    <w:name w:val="xl86"/>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87">
    <w:name w:val="xl87"/>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88">
    <w:name w:val="xl88"/>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0">
    <w:name w:val="xl90"/>
    <w:basedOn w:val="Normal"/>
    <w:rsid w:val="001F66D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1">
    <w:name w:val="xl91"/>
    <w:basedOn w:val="Normal"/>
    <w:rsid w:val="001F66D6"/>
    <w:pPr>
      <w:spacing w:before="100" w:beforeAutospacing="1" w:after="100" w:afterAutospacing="1"/>
      <w:jc w:val="left"/>
    </w:pPr>
    <w:rPr>
      <w:rFonts w:ascii="Arial" w:hAnsi="Arial" w:cs="Arial"/>
      <w:b/>
      <w:bCs/>
      <w:sz w:val="16"/>
      <w:szCs w:val="16"/>
    </w:rPr>
  </w:style>
  <w:style w:type="paragraph" w:customStyle="1" w:styleId="xl92">
    <w:name w:val="xl92"/>
    <w:basedOn w:val="Normal"/>
    <w:rsid w:val="001F66D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3">
    <w:name w:val="xl93"/>
    <w:basedOn w:val="Normal"/>
    <w:rsid w:val="001F66D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4">
    <w:name w:val="xl94"/>
    <w:basedOn w:val="Normal"/>
    <w:rsid w:val="001F66D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5">
    <w:name w:val="xl95"/>
    <w:basedOn w:val="Normal"/>
    <w:rsid w:val="001F66D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6">
    <w:name w:val="xl96"/>
    <w:basedOn w:val="Normal"/>
    <w:rsid w:val="001F66D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7">
    <w:name w:val="xl97"/>
    <w:basedOn w:val="Normal"/>
    <w:rsid w:val="001F66D6"/>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8">
    <w:name w:val="xl98"/>
    <w:basedOn w:val="Normal"/>
    <w:rsid w:val="001F66D6"/>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cs="Arial"/>
      <w:sz w:val="18"/>
      <w:szCs w:val="18"/>
    </w:rPr>
  </w:style>
  <w:style w:type="paragraph" w:customStyle="1" w:styleId="xl99">
    <w:name w:val="xl99"/>
    <w:basedOn w:val="Normal"/>
    <w:rsid w:val="001F66D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00">
    <w:name w:val="xl100"/>
    <w:basedOn w:val="Normal"/>
    <w:rsid w:val="001F66D6"/>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left"/>
      <w:textAlignment w:val="center"/>
    </w:pPr>
    <w:rPr>
      <w:rFonts w:ascii="Arial" w:hAnsi="Arial" w:cs="Arial"/>
      <w:b/>
      <w:bCs/>
      <w:sz w:val="18"/>
      <w:szCs w:val="18"/>
    </w:rPr>
  </w:style>
  <w:style w:type="paragraph" w:customStyle="1" w:styleId="xl101">
    <w:name w:val="xl101"/>
    <w:basedOn w:val="Normal"/>
    <w:rsid w:val="001F66D6"/>
    <w:pPr>
      <w:pBdr>
        <w:bottom w:val="single" w:sz="8" w:space="0" w:color="auto"/>
      </w:pBdr>
      <w:spacing w:before="100" w:beforeAutospacing="1" w:after="100" w:afterAutospacing="1"/>
      <w:jc w:val="left"/>
    </w:pPr>
    <w:rPr>
      <w:rFonts w:ascii="Arial" w:hAnsi="Arial" w:cs="Arial"/>
      <w:b/>
      <w:bCs/>
      <w:color w:val="008000"/>
      <w:sz w:val="16"/>
      <w:szCs w:val="16"/>
    </w:rPr>
  </w:style>
  <w:style w:type="paragraph" w:customStyle="1" w:styleId="xl102">
    <w:name w:val="xl102"/>
    <w:basedOn w:val="Normal"/>
    <w:rsid w:val="001F6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8"/>
      <w:szCs w:val="18"/>
    </w:rPr>
  </w:style>
  <w:style w:type="paragraph" w:customStyle="1" w:styleId="xl103">
    <w:name w:val="xl103"/>
    <w:basedOn w:val="Normal"/>
    <w:rsid w:val="001F6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8"/>
      <w:szCs w:val="18"/>
    </w:rPr>
  </w:style>
  <w:style w:type="paragraph" w:customStyle="1" w:styleId="xl104">
    <w:name w:val="xl104"/>
    <w:basedOn w:val="Normal"/>
    <w:rsid w:val="001F6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05">
    <w:name w:val="xl105"/>
    <w:basedOn w:val="Normal"/>
    <w:rsid w:val="001F6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06">
    <w:name w:val="xl106"/>
    <w:basedOn w:val="Normal"/>
    <w:rsid w:val="001F66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8"/>
      <w:szCs w:val="18"/>
    </w:rPr>
  </w:style>
  <w:style w:type="paragraph" w:customStyle="1" w:styleId="xl107">
    <w:name w:val="xl107"/>
    <w:basedOn w:val="Normal"/>
    <w:rsid w:val="001F66D6"/>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08">
    <w:name w:val="xl108"/>
    <w:basedOn w:val="Normal"/>
    <w:rsid w:val="001F66D6"/>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09">
    <w:name w:val="xl109"/>
    <w:basedOn w:val="Normal"/>
    <w:rsid w:val="001F66D6"/>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10">
    <w:name w:val="xl110"/>
    <w:basedOn w:val="Normal"/>
    <w:rsid w:val="001F66D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rFonts w:ascii="Times New Roman" w:hAnsi="Times New Roman"/>
      <w:sz w:val="17"/>
      <w:szCs w:val="17"/>
    </w:rPr>
  </w:style>
  <w:style w:type="paragraph" w:customStyle="1" w:styleId="xl111">
    <w:name w:val="xl111"/>
    <w:basedOn w:val="Normal"/>
    <w:rsid w:val="001F66D6"/>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12">
    <w:name w:val="xl112"/>
    <w:basedOn w:val="Normal"/>
    <w:rsid w:val="001F66D6"/>
    <w:pPr>
      <w:pBdr>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13">
    <w:name w:val="xl113"/>
    <w:basedOn w:val="Normal"/>
    <w:rsid w:val="001F66D6"/>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14">
    <w:name w:val="xl114"/>
    <w:basedOn w:val="Normal"/>
    <w:rsid w:val="001F66D6"/>
    <w:pPr>
      <w:pBdr>
        <w:top w:val="single" w:sz="4" w:space="0" w:color="auto"/>
        <w:left w:val="single" w:sz="8" w:space="0" w:color="auto"/>
        <w:bottom w:val="single" w:sz="4" w:space="0" w:color="auto"/>
        <w:right w:val="single" w:sz="4" w:space="0" w:color="auto"/>
      </w:pBdr>
      <w:shd w:val="clear" w:color="000000" w:fill="FF9900"/>
      <w:spacing w:before="100" w:beforeAutospacing="1" w:after="100" w:afterAutospacing="1"/>
      <w:jc w:val="left"/>
      <w:textAlignment w:val="center"/>
    </w:pPr>
    <w:rPr>
      <w:rFonts w:ascii="Arial" w:hAnsi="Arial" w:cs="Arial"/>
      <w:b/>
      <w:bCs/>
      <w:sz w:val="18"/>
      <w:szCs w:val="18"/>
    </w:rPr>
  </w:style>
  <w:style w:type="paragraph" w:customStyle="1" w:styleId="xl115">
    <w:name w:val="xl115"/>
    <w:basedOn w:val="Normal"/>
    <w:rsid w:val="001F66D6"/>
    <w:pPr>
      <w:pBdr>
        <w:top w:val="single" w:sz="4" w:space="0" w:color="auto"/>
        <w:left w:val="single" w:sz="4" w:space="0" w:color="auto"/>
        <w:right w:val="single" w:sz="8" w:space="0" w:color="auto"/>
      </w:pBdr>
      <w:spacing w:before="100" w:beforeAutospacing="1" w:after="100" w:afterAutospacing="1"/>
      <w:jc w:val="left"/>
    </w:pPr>
    <w:rPr>
      <w:rFonts w:ascii="Times New Roman" w:hAnsi="Times New Roman"/>
      <w:sz w:val="17"/>
      <w:szCs w:val="17"/>
    </w:rPr>
  </w:style>
  <w:style w:type="paragraph" w:customStyle="1" w:styleId="xl116">
    <w:name w:val="xl116"/>
    <w:basedOn w:val="Normal"/>
    <w:rsid w:val="001F66D6"/>
    <w:pPr>
      <w:spacing w:before="100" w:beforeAutospacing="1" w:after="100" w:afterAutospacing="1"/>
      <w:jc w:val="left"/>
    </w:pPr>
    <w:rPr>
      <w:rFonts w:ascii="Arial" w:hAnsi="Arial" w:cs="Arial"/>
      <w:b/>
      <w:bCs/>
      <w:color w:val="008000"/>
      <w:sz w:val="16"/>
      <w:szCs w:val="16"/>
    </w:rPr>
  </w:style>
  <w:style w:type="paragraph" w:customStyle="1" w:styleId="xl117">
    <w:name w:val="xl117"/>
    <w:basedOn w:val="Normal"/>
    <w:rsid w:val="001F66D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4"/>
      <w:szCs w:val="14"/>
    </w:rPr>
  </w:style>
  <w:style w:type="paragraph" w:customStyle="1" w:styleId="xl118">
    <w:name w:val="xl118"/>
    <w:basedOn w:val="Normal"/>
    <w:rsid w:val="001F66D6"/>
    <w:pPr>
      <w:pBdr>
        <w:left w:val="single" w:sz="4" w:space="0" w:color="auto"/>
        <w:bottom w:val="single" w:sz="8" w:space="0" w:color="auto"/>
        <w:right w:val="single" w:sz="8" w:space="0" w:color="auto"/>
      </w:pBdr>
      <w:shd w:val="clear" w:color="000000" w:fill="FFFF00"/>
      <w:spacing w:before="100" w:beforeAutospacing="1" w:after="100" w:afterAutospacing="1"/>
      <w:jc w:val="left"/>
    </w:pPr>
    <w:rPr>
      <w:rFonts w:ascii="Times New Roman" w:hAnsi="Times New Roman"/>
      <w:sz w:val="24"/>
    </w:rPr>
  </w:style>
  <w:style w:type="paragraph" w:customStyle="1" w:styleId="xl119">
    <w:name w:val="xl119"/>
    <w:basedOn w:val="Normal"/>
    <w:rsid w:val="001F66D6"/>
    <w:pPr>
      <w:pBdr>
        <w:top w:val="single" w:sz="4" w:space="0" w:color="auto"/>
        <w:left w:val="single" w:sz="4" w:space="0" w:color="auto"/>
        <w:bottom w:val="single" w:sz="4" w:space="0" w:color="auto"/>
        <w:right w:val="single" w:sz="8" w:space="0" w:color="auto"/>
      </w:pBdr>
      <w:shd w:val="clear" w:color="000000" w:fill="FF9900"/>
      <w:spacing w:before="100" w:beforeAutospacing="1" w:after="100" w:afterAutospacing="1"/>
      <w:jc w:val="left"/>
    </w:pPr>
    <w:rPr>
      <w:rFonts w:ascii="Times New Roman" w:hAnsi="Times New Roman"/>
      <w:sz w:val="24"/>
    </w:rPr>
  </w:style>
  <w:style w:type="paragraph" w:customStyle="1" w:styleId="xl120">
    <w:name w:val="xl120"/>
    <w:basedOn w:val="Normal"/>
    <w:rsid w:val="001F66D6"/>
    <w:pPr>
      <w:pBdr>
        <w:top w:val="single" w:sz="4" w:space="0" w:color="auto"/>
        <w:left w:val="single" w:sz="8" w:space="0" w:color="auto"/>
        <w:right w:val="single" w:sz="4" w:space="0" w:color="auto"/>
      </w:pBdr>
      <w:shd w:val="clear" w:color="000000" w:fill="FF9900"/>
      <w:spacing w:before="100" w:beforeAutospacing="1" w:after="100" w:afterAutospacing="1"/>
      <w:jc w:val="left"/>
      <w:textAlignment w:val="center"/>
    </w:pPr>
    <w:rPr>
      <w:rFonts w:ascii="Arial" w:hAnsi="Arial" w:cs="Arial"/>
      <w:b/>
      <w:bCs/>
      <w:sz w:val="18"/>
      <w:szCs w:val="18"/>
    </w:rPr>
  </w:style>
  <w:style w:type="paragraph" w:customStyle="1" w:styleId="xl121">
    <w:name w:val="xl121"/>
    <w:basedOn w:val="Normal"/>
    <w:rsid w:val="001F66D6"/>
    <w:pPr>
      <w:spacing w:before="100" w:beforeAutospacing="1" w:after="100" w:afterAutospacing="1"/>
      <w:jc w:val="left"/>
    </w:pPr>
    <w:rPr>
      <w:rFonts w:ascii="Arial" w:hAnsi="Arial" w:cs="Arial"/>
      <w:sz w:val="16"/>
      <w:szCs w:val="16"/>
    </w:rPr>
  </w:style>
  <w:style w:type="paragraph" w:customStyle="1" w:styleId="xl122">
    <w:name w:val="xl122"/>
    <w:basedOn w:val="Normal"/>
    <w:rsid w:val="001F66D6"/>
    <w:pPr>
      <w:spacing w:before="100" w:beforeAutospacing="1" w:after="100" w:afterAutospacing="1"/>
      <w:jc w:val="center"/>
      <w:textAlignment w:val="center"/>
    </w:pPr>
    <w:rPr>
      <w:rFonts w:ascii="Arial" w:hAnsi="Arial" w:cs="Arial"/>
      <w:b/>
      <w:bCs/>
      <w:sz w:val="34"/>
      <w:szCs w:val="34"/>
    </w:rPr>
  </w:style>
  <w:style w:type="paragraph" w:customStyle="1" w:styleId="xl123">
    <w:name w:val="xl123"/>
    <w:basedOn w:val="Normal"/>
    <w:rsid w:val="001F66D6"/>
    <w:pPr>
      <w:spacing w:before="100" w:beforeAutospacing="1" w:after="100" w:afterAutospacing="1"/>
      <w:jc w:val="center"/>
      <w:textAlignment w:val="center"/>
    </w:pPr>
    <w:rPr>
      <w:rFonts w:ascii="Arial" w:hAnsi="Arial" w:cs="Arial"/>
      <w:sz w:val="34"/>
      <w:szCs w:val="34"/>
    </w:rPr>
  </w:style>
  <w:style w:type="paragraph" w:customStyle="1" w:styleId="xl124">
    <w:name w:val="xl124"/>
    <w:basedOn w:val="Normal"/>
    <w:rsid w:val="001F66D6"/>
    <w:pPr>
      <w:pBdr>
        <w:bottom w:val="single" w:sz="8" w:space="0" w:color="auto"/>
      </w:pBdr>
      <w:spacing w:before="100" w:beforeAutospacing="1" w:after="100" w:afterAutospacing="1"/>
      <w:jc w:val="center"/>
      <w:textAlignment w:val="center"/>
    </w:pPr>
    <w:rPr>
      <w:rFonts w:ascii="Arial" w:hAnsi="Arial" w:cs="Arial"/>
      <w:sz w:val="34"/>
      <w:szCs w:val="34"/>
    </w:rPr>
  </w:style>
  <w:style w:type="paragraph" w:customStyle="1" w:styleId="xl125">
    <w:name w:val="xl125"/>
    <w:basedOn w:val="Normal"/>
    <w:rsid w:val="001F66D6"/>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26">
    <w:name w:val="xl126"/>
    <w:basedOn w:val="Normal"/>
    <w:rsid w:val="001F66D6"/>
    <w:pPr>
      <w:pBdr>
        <w:top w:val="single" w:sz="8" w:space="0" w:color="auto"/>
        <w:right w:val="single" w:sz="8" w:space="0" w:color="auto"/>
      </w:pBdr>
      <w:spacing w:before="100" w:beforeAutospacing="1" w:after="100" w:afterAutospacing="1"/>
      <w:jc w:val="left"/>
    </w:pPr>
    <w:rPr>
      <w:rFonts w:ascii="Times New Roman" w:hAnsi="Times New Roman"/>
      <w:sz w:val="24"/>
    </w:rPr>
  </w:style>
  <w:style w:type="paragraph" w:customStyle="1" w:styleId="xl127">
    <w:name w:val="xl127"/>
    <w:basedOn w:val="Normal"/>
    <w:rsid w:val="001F66D6"/>
    <w:pPr>
      <w:pBdr>
        <w:left w:val="single" w:sz="8" w:space="0" w:color="auto"/>
      </w:pBdr>
      <w:spacing w:before="100" w:beforeAutospacing="1" w:after="100" w:afterAutospacing="1"/>
      <w:jc w:val="center"/>
      <w:textAlignment w:val="center"/>
    </w:pPr>
    <w:rPr>
      <w:rFonts w:ascii="Arial" w:hAnsi="Arial" w:cs="Arial"/>
      <w:sz w:val="14"/>
      <w:szCs w:val="14"/>
    </w:rPr>
  </w:style>
  <w:style w:type="paragraph" w:customStyle="1" w:styleId="xl128">
    <w:name w:val="xl128"/>
    <w:basedOn w:val="Normal"/>
    <w:rsid w:val="001F66D6"/>
    <w:pPr>
      <w:pBdr>
        <w:right w:val="single" w:sz="8" w:space="0" w:color="auto"/>
      </w:pBdr>
      <w:spacing w:before="100" w:beforeAutospacing="1" w:after="100" w:afterAutospacing="1"/>
      <w:jc w:val="left"/>
    </w:pPr>
    <w:rPr>
      <w:rFonts w:ascii="Arial" w:hAnsi="Arial" w:cs="Arial"/>
      <w:sz w:val="14"/>
      <w:szCs w:val="14"/>
    </w:rPr>
  </w:style>
  <w:style w:type="paragraph" w:customStyle="1" w:styleId="xl129">
    <w:name w:val="xl129"/>
    <w:basedOn w:val="Normal"/>
    <w:rsid w:val="001F66D6"/>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0">
    <w:name w:val="xl130"/>
    <w:basedOn w:val="Normal"/>
    <w:rsid w:val="001F66D6"/>
    <w:pPr>
      <w:pBdr>
        <w:left w:val="single" w:sz="8" w:space="0" w:color="auto"/>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31">
    <w:name w:val="xl131"/>
    <w:basedOn w:val="Normal"/>
    <w:rsid w:val="001F66D6"/>
    <w:pPr>
      <w:pBdr>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32">
    <w:name w:val="xl132"/>
    <w:basedOn w:val="Normal"/>
    <w:rsid w:val="001F66D6"/>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3">
    <w:name w:val="xl133"/>
    <w:basedOn w:val="Normal"/>
    <w:rsid w:val="001F66D6"/>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4">
    <w:name w:val="xl134"/>
    <w:basedOn w:val="Normal"/>
    <w:rsid w:val="001F66D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5">
    <w:name w:val="xl135"/>
    <w:basedOn w:val="Normal"/>
    <w:rsid w:val="001F66D6"/>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6">
    <w:name w:val="xl136"/>
    <w:basedOn w:val="Normal"/>
    <w:rsid w:val="001F66D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137">
    <w:name w:val="xl137"/>
    <w:basedOn w:val="Normal"/>
    <w:rsid w:val="001F66D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38">
    <w:name w:val="xl138"/>
    <w:basedOn w:val="Normal"/>
    <w:rsid w:val="001F66D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39">
    <w:name w:val="xl139"/>
    <w:basedOn w:val="Normal"/>
    <w:rsid w:val="001F66D6"/>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40">
    <w:name w:val="xl140"/>
    <w:basedOn w:val="Normal"/>
    <w:rsid w:val="001F66D6"/>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41">
    <w:name w:val="xl141"/>
    <w:basedOn w:val="Normal"/>
    <w:rsid w:val="001F66D6"/>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hAnsi="Arial" w:cs="Arial"/>
      <w:b/>
      <w:bCs/>
      <w:sz w:val="14"/>
      <w:szCs w:val="14"/>
    </w:rPr>
  </w:style>
  <w:style w:type="paragraph" w:customStyle="1" w:styleId="xl142">
    <w:name w:val="xl142"/>
    <w:basedOn w:val="Normal"/>
    <w:rsid w:val="001F66D6"/>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4"/>
      <w:szCs w:val="14"/>
    </w:rPr>
  </w:style>
  <w:style w:type="paragraph" w:customStyle="1" w:styleId="xl143">
    <w:name w:val="xl143"/>
    <w:basedOn w:val="Normal"/>
    <w:rsid w:val="001F66D6"/>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44">
    <w:name w:val="xl144"/>
    <w:basedOn w:val="Normal"/>
    <w:rsid w:val="001F66D6"/>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45">
    <w:name w:val="xl145"/>
    <w:basedOn w:val="Normal"/>
    <w:rsid w:val="001F66D6"/>
    <w:pPr>
      <w:pBdr>
        <w:left w:val="single" w:sz="8" w:space="0" w:color="auto"/>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146">
    <w:name w:val="xl146"/>
    <w:basedOn w:val="Normal"/>
    <w:rsid w:val="001F66D6"/>
    <w:pPr>
      <w:pBdr>
        <w:bottom w:val="single" w:sz="4" w:space="0" w:color="auto"/>
        <w:right w:val="single" w:sz="8" w:space="0" w:color="auto"/>
      </w:pBdr>
      <w:spacing w:before="100" w:beforeAutospacing="1" w:after="100" w:afterAutospacing="1"/>
      <w:jc w:val="center"/>
      <w:textAlignment w:val="center"/>
    </w:pPr>
    <w:rPr>
      <w:rFonts w:ascii="Times New Roman" w:hAnsi="Times New Roman"/>
      <w:sz w:val="24"/>
    </w:rPr>
  </w:style>
  <w:style w:type="paragraph" w:customStyle="1" w:styleId="xl147">
    <w:name w:val="xl147"/>
    <w:basedOn w:val="Normal"/>
    <w:rsid w:val="001F66D6"/>
    <w:pPr>
      <w:pBdr>
        <w:top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148">
    <w:name w:val="xl148"/>
    <w:basedOn w:val="Normal"/>
    <w:rsid w:val="001F66D6"/>
    <w:pPr>
      <w:pBdr>
        <w:bottom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EmphasisandStrong">
    <w:name w:val="Emphasis and Strong"/>
    <w:basedOn w:val="bt"/>
    <w:link w:val="EmphasisandStrongChar"/>
    <w:qFormat/>
    <w:rsid w:val="0015529E"/>
    <w:rPr>
      <w:b/>
      <w:i/>
    </w:rPr>
  </w:style>
  <w:style w:type="paragraph" w:customStyle="1" w:styleId="TableofContents-heading">
    <w:name w:val="TableofContents-heading"/>
    <w:basedOn w:val="TOC1"/>
    <w:link w:val="TableofContents-headingChar"/>
    <w:qFormat/>
    <w:rsid w:val="00C54D8C"/>
    <w:pPr>
      <w:spacing w:before="40"/>
    </w:pPr>
    <w:rPr>
      <w:b/>
      <w:color w:val="BF1359"/>
      <w:sz w:val="34"/>
      <w:szCs w:val="34"/>
    </w:rPr>
  </w:style>
  <w:style w:type="character" w:customStyle="1" w:styleId="EmphasisandStrongChar">
    <w:name w:val="Emphasis and Strong Char"/>
    <w:basedOn w:val="btChar"/>
    <w:link w:val="EmphasisandStrong"/>
    <w:rsid w:val="0015529E"/>
    <w:rPr>
      <w:b/>
      <w:i/>
      <w:sz w:val="20"/>
      <w:szCs w:val="24"/>
    </w:rPr>
  </w:style>
  <w:style w:type="paragraph" w:customStyle="1" w:styleId="Header-heading">
    <w:name w:val="Header-heading"/>
    <w:basedOn w:val="Header"/>
    <w:link w:val="Header-headingChar"/>
    <w:qFormat/>
    <w:rsid w:val="002651E6"/>
    <w:pPr>
      <w:pBdr>
        <w:bottom w:val="single" w:sz="4" w:space="1" w:color="auto"/>
      </w:pBdr>
      <w:tabs>
        <w:tab w:val="right" w:pos="9072"/>
      </w:tabs>
      <w:spacing w:line="276" w:lineRule="auto"/>
      <w:jc w:val="center"/>
    </w:pPr>
    <w:rPr>
      <w:rFonts w:asciiTheme="minorHAnsi" w:hAnsiTheme="minorHAnsi" w:cstheme="minorHAnsi"/>
      <w:szCs w:val="20"/>
    </w:rPr>
  </w:style>
  <w:style w:type="character" w:customStyle="1" w:styleId="TOC1Char">
    <w:name w:val="TOC 1 Char"/>
    <w:basedOn w:val="DefaultParagraphFont"/>
    <w:link w:val="TOC1"/>
    <w:uiPriority w:val="39"/>
    <w:rsid w:val="00F82A2A"/>
    <w:rPr>
      <w:rFonts w:eastAsia="Times New Roman"/>
      <w:bCs/>
      <w:noProof/>
      <w:szCs w:val="20"/>
    </w:rPr>
  </w:style>
  <w:style w:type="character" w:customStyle="1" w:styleId="TableofContents-headingChar">
    <w:name w:val="TableofContents-heading Char"/>
    <w:basedOn w:val="TOC1Char"/>
    <w:link w:val="TableofContents-heading"/>
    <w:rsid w:val="00C54D8C"/>
    <w:rPr>
      <w:rFonts w:eastAsia="Times New Roman"/>
      <w:b/>
      <w:bCs/>
      <w:noProof/>
      <w:color w:val="BF1359"/>
      <w:sz w:val="34"/>
      <w:szCs w:val="34"/>
    </w:rPr>
  </w:style>
  <w:style w:type="paragraph" w:customStyle="1" w:styleId="Header-Subheading">
    <w:name w:val="Header-Subheading"/>
    <w:basedOn w:val="Header"/>
    <w:link w:val="Header-SubheadingChar"/>
    <w:qFormat/>
    <w:rsid w:val="002651E6"/>
    <w:pPr>
      <w:pBdr>
        <w:bottom w:val="single" w:sz="4" w:space="1" w:color="auto"/>
      </w:pBdr>
      <w:tabs>
        <w:tab w:val="right" w:pos="9072"/>
      </w:tabs>
      <w:spacing w:line="276" w:lineRule="auto"/>
      <w:jc w:val="center"/>
    </w:pPr>
    <w:rPr>
      <w:rFonts w:asciiTheme="minorHAnsi" w:hAnsiTheme="minorHAnsi" w:cstheme="minorHAnsi"/>
      <w:b/>
      <w:szCs w:val="20"/>
    </w:rPr>
  </w:style>
  <w:style w:type="character" w:customStyle="1" w:styleId="Header-headingChar">
    <w:name w:val="Header-heading Char"/>
    <w:basedOn w:val="HeaderChar"/>
    <w:link w:val="Header-heading"/>
    <w:rsid w:val="002651E6"/>
    <w:rPr>
      <w:rFonts w:ascii="Tahoma" w:eastAsia="Times New Roman" w:hAnsi="Tahoma" w:cstheme="minorHAnsi"/>
      <w:sz w:val="20"/>
      <w:szCs w:val="20"/>
      <w:lang w:eastAsia="en-AU"/>
    </w:rPr>
  </w:style>
  <w:style w:type="paragraph" w:customStyle="1" w:styleId="Heading40">
    <w:name w:val="Heading_4"/>
    <w:basedOn w:val="bt"/>
    <w:link w:val="Heading4Char0"/>
    <w:qFormat/>
    <w:rsid w:val="00000AE4"/>
    <w:rPr>
      <w:b/>
    </w:rPr>
  </w:style>
  <w:style w:type="character" w:customStyle="1" w:styleId="Header-SubheadingChar">
    <w:name w:val="Header-Subheading Char"/>
    <w:basedOn w:val="HeaderChar"/>
    <w:link w:val="Header-Subheading"/>
    <w:rsid w:val="002651E6"/>
    <w:rPr>
      <w:rFonts w:ascii="Tahoma" w:eastAsia="Times New Roman" w:hAnsi="Tahoma" w:cstheme="minorHAnsi"/>
      <w:b/>
      <w:sz w:val="20"/>
      <w:szCs w:val="20"/>
      <w:lang w:eastAsia="en-AU"/>
    </w:rPr>
  </w:style>
  <w:style w:type="character" w:customStyle="1" w:styleId="Heading4Char0">
    <w:name w:val="Heading_4 Char"/>
    <w:basedOn w:val="btChar"/>
    <w:link w:val="Heading40"/>
    <w:rsid w:val="00000AE4"/>
    <w:rPr>
      <w:b/>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62279">
      <w:bodyDiv w:val="1"/>
      <w:marLeft w:val="0"/>
      <w:marRight w:val="0"/>
      <w:marTop w:val="0"/>
      <w:marBottom w:val="0"/>
      <w:divBdr>
        <w:top w:val="none" w:sz="0" w:space="0" w:color="auto"/>
        <w:left w:val="none" w:sz="0" w:space="0" w:color="auto"/>
        <w:bottom w:val="none" w:sz="0" w:space="0" w:color="auto"/>
        <w:right w:val="none" w:sz="0" w:space="0" w:color="auto"/>
      </w:divBdr>
      <w:divsChild>
        <w:div w:id="450129404">
          <w:marLeft w:val="0"/>
          <w:marRight w:val="0"/>
          <w:marTop w:val="0"/>
          <w:marBottom w:val="0"/>
          <w:divBdr>
            <w:top w:val="none" w:sz="0" w:space="0" w:color="auto"/>
            <w:left w:val="none" w:sz="0" w:space="0" w:color="auto"/>
            <w:bottom w:val="none" w:sz="0" w:space="0" w:color="auto"/>
            <w:right w:val="none" w:sz="0" w:space="0" w:color="auto"/>
          </w:divBdr>
          <w:divsChild>
            <w:div w:id="1993899901">
              <w:marLeft w:val="0"/>
              <w:marRight w:val="0"/>
              <w:marTop w:val="0"/>
              <w:marBottom w:val="0"/>
              <w:divBdr>
                <w:top w:val="none" w:sz="0" w:space="0" w:color="auto"/>
                <w:left w:val="none" w:sz="0" w:space="0" w:color="auto"/>
                <w:bottom w:val="none" w:sz="0" w:space="0" w:color="auto"/>
                <w:right w:val="none" w:sz="0" w:space="0" w:color="auto"/>
              </w:divBdr>
              <w:divsChild>
                <w:div w:id="719212806">
                  <w:marLeft w:val="0"/>
                  <w:marRight w:val="0"/>
                  <w:marTop w:val="0"/>
                  <w:marBottom w:val="0"/>
                  <w:divBdr>
                    <w:top w:val="none" w:sz="0" w:space="0" w:color="auto"/>
                    <w:left w:val="none" w:sz="0" w:space="0" w:color="auto"/>
                    <w:bottom w:val="none" w:sz="0" w:space="0" w:color="auto"/>
                    <w:right w:val="none" w:sz="0" w:space="0" w:color="auto"/>
                  </w:divBdr>
                  <w:divsChild>
                    <w:div w:id="1112480731">
                      <w:marLeft w:val="0"/>
                      <w:marRight w:val="0"/>
                      <w:marTop w:val="0"/>
                      <w:marBottom w:val="0"/>
                      <w:divBdr>
                        <w:top w:val="none" w:sz="0" w:space="0" w:color="auto"/>
                        <w:left w:val="none" w:sz="0" w:space="0" w:color="auto"/>
                        <w:bottom w:val="none" w:sz="0" w:space="0" w:color="auto"/>
                        <w:right w:val="none" w:sz="0" w:space="0" w:color="auto"/>
                      </w:divBdr>
                      <w:divsChild>
                        <w:div w:id="608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8010">
      <w:bodyDiv w:val="1"/>
      <w:marLeft w:val="0"/>
      <w:marRight w:val="0"/>
      <w:marTop w:val="0"/>
      <w:marBottom w:val="0"/>
      <w:divBdr>
        <w:top w:val="none" w:sz="0" w:space="0" w:color="auto"/>
        <w:left w:val="none" w:sz="0" w:space="0" w:color="auto"/>
        <w:bottom w:val="none" w:sz="0" w:space="0" w:color="auto"/>
        <w:right w:val="none" w:sz="0" w:space="0" w:color="auto"/>
      </w:divBdr>
    </w:div>
    <w:div w:id="191959412">
      <w:bodyDiv w:val="1"/>
      <w:marLeft w:val="0"/>
      <w:marRight w:val="0"/>
      <w:marTop w:val="0"/>
      <w:marBottom w:val="0"/>
      <w:divBdr>
        <w:top w:val="none" w:sz="0" w:space="0" w:color="auto"/>
        <w:left w:val="none" w:sz="0" w:space="0" w:color="auto"/>
        <w:bottom w:val="none" w:sz="0" w:space="0" w:color="auto"/>
        <w:right w:val="none" w:sz="0" w:space="0" w:color="auto"/>
      </w:divBdr>
    </w:div>
    <w:div w:id="310138568">
      <w:bodyDiv w:val="1"/>
      <w:marLeft w:val="0"/>
      <w:marRight w:val="0"/>
      <w:marTop w:val="0"/>
      <w:marBottom w:val="0"/>
      <w:divBdr>
        <w:top w:val="none" w:sz="0" w:space="0" w:color="auto"/>
        <w:left w:val="none" w:sz="0" w:space="0" w:color="auto"/>
        <w:bottom w:val="none" w:sz="0" w:space="0" w:color="auto"/>
        <w:right w:val="none" w:sz="0" w:space="0" w:color="auto"/>
      </w:divBdr>
    </w:div>
    <w:div w:id="346250789">
      <w:bodyDiv w:val="1"/>
      <w:marLeft w:val="0"/>
      <w:marRight w:val="0"/>
      <w:marTop w:val="0"/>
      <w:marBottom w:val="0"/>
      <w:divBdr>
        <w:top w:val="none" w:sz="0" w:space="0" w:color="auto"/>
        <w:left w:val="none" w:sz="0" w:space="0" w:color="auto"/>
        <w:bottom w:val="none" w:sz="0" w:space="0" w:color="auto"/>
        <w:right w:val="none" w:sz="0" w:space="0" w:color="auto"/>
      </w:divBdr>
    </w:div>
    <w:div w:id="410733740">
      <w:bodyDiv w:val="1"/>
      <w:marLeft w:val="0"/>
      <w:marRight w:val="0"/>
      <w:marTop w:val="0"/>
      <w:marBottom w:val="0"/>
      <w:divBdr>
        <w:top w:val="none" w:sz="0" w:space="0" w:color="auto"/>
        <w:left w:val="none" w:sz="0" w:space="0" w:color="auto"/>
        <w:bottom w:val="none" w:sz="0" w:space="0" w:color="auto"/>
        <w:right w:val="none" w:sz="0" w:space="0" w:color="auto"/>
      </w:divBdr>
    </w:div>
    <w:div w:id="825049575">
      <w:bodyDiv w:val="1"/>
      <w:marLeft w:val="0"/>
      <w:marRight w:val="0"/>
      <w:marTop w:val="0"/>
      <w:marBottom w:val="0"/>
      <w:divBdr>
        <w:top w:val="none" w:sz="0" w:space="0" w:color="auto"/>
        <w:left w:val="none" w:sz="0" w:space="0" w:color="auto"/>
        <w:bottom w:val="none" w:sz="0" w:space="0" w:color="auto"/>
        <w:right w:val="none" w:sz="0" w:space="0" w:color="auto"/>
      </w:divBdr>
    </w:div>
    <w:div w:id="842475282">
      <w:bodyDiv w:val="1"/>
      <w:marLeft w:val="0"/>
      <w:marRight w:val="0"/>
      <w:marTop w:val="0"/>
      <w:marBottom w:val="0"/>
      <w:divBdr>
        <w:top w:val="none" w:sz="0" w:space="0" w:color="auto"/>
        <w:left w:val="none" w:sz="0" w:space="0" w:color="auto"/>
        <w:bottom w:val="none" w:sz="0" w:space="0" w:color="auto"/>
        <w:right w:val="none" w:sz="0" w:space="0" w:color="auto"/>
      </w:divBdr>
    </w:div>
    <w:div w:id="952638339">
      <w:bodyDiv w:val="1"/>
      <w:marLeft w:val="0"/>
      <w:marRight w:val="0"/>
      <w:marTop w:val="0"/>
      <w:marBottom w:val="0"/>
      <w:divBdr>
        <w:top w:val="none" w:sz="0" w:space="0" w:color="auto"/>
        <w:left w:val="none" w:sz="0" w:space="0" w:color="auto"/>
        <w:bottom w:val="none" w:sz="0" w:space="0" w:color="auto"/>
        <w:right w:val="none" w:sz="0" w:space="0" w:color="auto"/>
      </w:divBdr>
      <w:divsChild>
        <w:div w:id="763501601">
          <w:marLeft w:val="0"/>
          <w:marRight w:val="0"/>
          <w:marTop w:val="0"/>
          <w:marBottom w:val="0"/>
          <w:divBdr>
            <w:top w:val="none" w:sz="0" w:space="0" w:color="auto"/>
            <w:left w:val="none" w:sz="0" w:space="0" w:color="auto"/>
            <w:bottom w:val="none" w:sz="0" w:space="0" w:color="auto"/>
            <w:right w:val="none" w:sz="0" w:space="0" w:color="auto"/>
          </w:divBdr>
          <w:divsChild>
            <w:div w:id="1251501388">
              <w:marLeft w:val="0"/>
              <w:marRight w:val="0"/>
              <w:marTop w:val="0"/>
              <w:marBottom w:val="0"/>
              <w:divBdr>
                <w:top w:val="none" w:sz="0" w:space="0" w:color="auto"/>
                <w:left w:val="none" w:sz="0" w:space="0" w:color="auto"/>
                <w:bottom w:val="none" w:sz="0" w:space="0" w:color="auto"/>
                <w:right w:val="none" w:sz="0" w:space="0" w:color="auto"/>
              </w:divBdr>
              <w:divsChild>
                <w:div w:id="72508121">
                  <w:marLeft w:val="0"/>
                  <w:marRight w:val="0"/>
                  <w:marTop w:val="0"/>
                  <w:marBottom w:val="0"/>
                  <w:divBdr>
                    <w:top w:val="none" w:sz="0" w:space="0" w:color="auto"/>
                    <w:left w:val="none" w:sz="0" w:space="0" w:color="auto"/>
                    <w:bottom w:val="none" w:sz="0" w:space="0" w:color="auto"/>
                    <w:right w:val="none" w:sz="0" w:space="0" w:color="auto"/>
                  </w:divBdr>
                  <w:divsChild>
                    <w:div w:id="29572070">
                      <w:marLeft w:val="0"/>
                      <w:marRight w:val="0"/>
                      <w:marTop w:val="0"/>
                      <w:marBottom w:val="0"/>
                      <w:divBdr>
                        <w:top w:val="none" w:sz="0" w:space="0" w:color="auto"/>
                        <w:left w:val="none" w:sz="0" w:space="0" w:color="auto"/>
                        <w:bottom w:val="none" w:sz="0" w:space="0" w:color="auto"/>
                        <w:right w:val="none" w:sz="0" w:space="0" w:color="auto"/>
                      </w:divBdr>
                      <w:divsChild>
                        <w:div w:id="21162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720506">
      <w:bodyDiv w:val="1"/>
      <w:marLeft w:val="0"/>
      <w:marRight w:val="0"/>
      <w:marTop w:val="0"/>
      <w:marBottom w:val="0"/>
      <w:divBdr>
        <w:top w:val="none" w:sz="0" w:space="0" w:color="auto"/>
        <w:left w:val="none" w:sz="0" w:space="0" w:color="auto"/>
        <w:bottom w:val="none" w:sz="0" w:space="0" w:color="auto"/>
        <w:right w:val="none" w:sz="0" w:space="0" w:color="auto"/>
      </w:divBdr>
    </w:div>
    <w:div w:id="1301617987">
      <w:bodyDiv w:val="1"/>
      <w:marLeft w:val="0"/>
      <w:marRight w:val="0"/>
      <w:marTop w:val="0"/>
      <w:marBottom w:val="0"/>
      <w:divBdr>
        <w:top w:val="none" w:sz="0" w:space="0" w:color="auto"/>
        <w:left w:val="none" w:sz="0" w:space="0" w:color="auto"/>
        <w:bottom w:val="none" w:sz="0" w:space="0" w:color="auto"/>
        <w:right w:val="none" w:sz="0" w:space="0" w:color="auto"/>
      </w:divBdr>
    </w:div>
    <w:div w:id="1434864077">
      <w:bodyDiv w:val="1"/>
      <w:marLeft w:val="0"/>
      <w:marRight w:val="0"/>
      <w:marTop w:val="0"/>
      <w:marBottom w:val="0"/>
      <w:divBdr>
        <w:top w:val="none" w:sz="0" w:space="0" w:color="auto"/>
        <w:left w:val="none" w:sz="0" w:space="0" w:color="auto"/>
        <w:bottom w:val="none" w:sz="0" w:space="0" w:color="auto"/>
        <w:right w:val="none" w:sz="0" w:space="0" w:color="auto"/>
      </w:divBdr>
    </w:div>
    <w:div w:id="1837722392">
      <w:bodyDiv w:val="1"/>
      <w:marLeft w:val="0"/>
      <w:marRight w:val="0"/>
      <w:marTop w:val="0"/>
      <w:marBottom w:val="0"/>
      <w:divBdr>
        <w:top w:val="none" w:sz="0" w:space="0" w:color="auto"/>
        <w:left w:val="none" w:sz="0" w:space="0" w:color="auto"/>
        <w:bottom w:val="none" w:sz="0" w:space="0" w:color="auto"/>
        <w:right w:val="none" w:sz="0" w:space="0" w:color="auto"/>
      </w:divBdr>
    </w:div>
    <w:div w:id="1912226807">
      <w:bodyDiv w:val="1"/>
      <w:marLeft w:val="0"/>
      <w:marRight w:val="0"/>
      <w:marTop w:val="0"/>
      <w:marBottom w:val="0"/>
      <w:divBdr>
        <w:top w:val="none" w:sz="0" w:space="0" w:color="auto"/>
        <w:left w:val="none" w:sz="0" w:space="0" w:color="auto"/>
        <w:bottom w:val="none" w:sz="0" w:space="0" w:color="auto"/>
        <w:right w:val="none" w:sz="0" w:space="0" w:color="auto"/>
      </w:divBdr>
    </w:div>
    <w:div w:id="202775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jpeg"/><Relationship Id="rId39" Type="http://schemas.openxmlformats.org/officeDocument/2006/relationships/image" Target="media/image18.jpeg"/><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image" Target="media/image30.png"/><Relationship Id="rId63" Type="http://schemas.openxmlformats.org/officeDocument/2006/relationships/image" Target="media/image38.jpeg"/><Relationship Id="rId68" Type="http://schemas.openxmlformats.org/officeDocument/2006/relationships/hyperlink" Target="file:///C:\Users\mm0r\AppData\Local\Microsoft\Windows\Temporary%20Internet%20Files\Low\Content.IE5\PNNFMKUM\www.who.int\social_determinants\en\"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tpli.vic.gov.au/regionalgrowthplans"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chart" Target="charts/chart1.xm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28.emf"/><Relationship Id="rId58" Type="http://schemas.openxmlformats.org/officeDocument/2006/relationships/image" Target="media/image33.jpeg"/><Relationship Id="rId66" Type="http://schemas.openxmlformats.org/officeDocument/2006/relationships/hyperlink" Target="http://www.dpi.vic.gov.au/agriculture/investment-trade/region-overviews/central-highlands" TargetMode="Externa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9.wmf"/><Relationship Id="rId36" Type="http://schemas.openxmlformats.org/officeDocument/2006/relationships/hyperlink" Target="http://www.dpcd.vic.gov.au/planning/plansandpolicies/ruralandregionalplanning" TargetMode="External"/><Relationship Id="rId49" Type="http://schemas.openxmlformats.org/officeDocument/2006/relationships/chart" Target="charts/chart4.xml"/><Relationship Id="rId57" Type="http://schemas.openxmlformats.org/officeDocument/2006/relationships/image" Target="media/image32.jpeg"/><Relationship Id="rId61" Type="http://schemas.openxmlformats.org/officeDocument/2006/relationships/image" Target="media/image36.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2.png"/><Relationship Id="rId44" Type="http://schemas.openxmlformats.org/officeDocument/2006/relationships/image" Target="media/image23.jpeg"/><Relationship Id="rId52" Type="http://schemas.openxmlformats.org/officeDocument/2006/relationships/image" Target="media/image27.emf"/><Relationship Id="rId60" Type="http://schemas.openxmlformats.org/officeDocument/2006/relationships/image" Target="media/image35.jpeg"/><Relationship Id="rId65" Type="http://schemas.openxmlformats.org/officeDocument/2006/relationships/hyperlink" Target="http://www.cvlx.com.a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chart" Target="charts/chart3.xml"/><Relationship Id="rId56" Type="http://schemas.openxmlformats.org/officeDocument/2006/relationships/image" Target="media/image31.png"/><Relationship Id="rId64" Type="http://schemas.openxmlformats.org/officeDocument/2006/relationships/image" Target="media/image39.jpeg"/><Relationship Id="rId69" Type="http://schemas.openxmlformats.org/officeDocument/2006/relationships/image" Target="media/image40.jpeg"/><Relationship Id="rId8" Type="http://schemas.openxmlformats.org/officeDocument/2006/relationships/footnotes" Target="footnotes.xml"/><Relationship Id="rId51" Type="http://schemas.openxmlformats.org/officeDocument/2006/relationships/image" Target="media/image26.jpe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4.jpeg"/><Relationship Id="rId67" Type="http://schemas.openxmlformats.org/officeDocument/2006/relationships/hyperlink" Target="http://www.skills.vic.gov.au/corporate/providers/universities/victorias-plan-for-tertiary-education" TargetMode="External"/><Relationship Id="rId20" Type="http://schemas.openxmlformats.org/officeDocument/2006/relationships/image" Target="media/image2.jpeg"/><Relationship Id="rId41" Type="http://schemas.openxmlformats.org/officeDocument/2006/relationships/image" Target="media/image20.jpeg"/><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image" Target="media/image41.jpeg"/></Relationships>
</file>

<file path=word/_rels/footnotes.xml.rels><?xml version="1.0" encoding="UTF-8" standalone="yes"?>
<Relationships xmlns="http://schemas.openxmlformats.org/package/2006/relationships"><Relationship Id="rId1" Type="http://schemas.openxmlformats.org/officeDocument/2006/relationships/hyperlink" Target="http://www.dse.vic.gov.au/conservation-and-environment/biodiversity/naturepri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w78\AppData\Local\Temp\notes3CE883\Figure%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hurleyk\Trim\Offline%20Records%20(A1)\Request%20-%20RGP%20-%20Central%20~%20Transport%20-%20Research%20and%20Analysis\Central%20Highlands%20results%20201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hurleyk\Trim\Offline%20Records%20(A1)\Request%20-%20RGP%20-%20Central%20~%20Transport%20-%20Research%20and%20Analysis\Central%20Highlands%20results%20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hurleyk\Trim\Offline%20Records%20(A1)\Request%20-%20RGP%20-%20Patronage%20-%20Transport%20-%20Research%20and%20Analysis\Rail%20patronage%20by%20region%20-%2020120123%20VERSION%20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hurleyk\Local%20Settings\Application%20Data\TOWER%20Software\TRIM5\TEMP\CONTEXT.3336\DOC%2013%2021199%20%20Central%20Highlands%20Traffic%20Counts%20Information%202011-%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44"/>
    </mc:Choice>
    <mc:Fallback>
      <c:style val="44"/>
    </mc:Fallback>
  </mc:AlternateContent>
  <c:chart>
    <c:autoTitleDeleted val="0"/>
    <c:plotArea>
      <c:layout>
        <c:manualLayout>
          <c:layoutTarget val="inner"/>
          <c:xMode val="edge"/>
          <c:yMode val="edge"/>
          <c:x val="0.11017478370759212"/>
          <c:y val="5.9913463787324032E-2"/>
          <c:w val="0.75830796150481194"/>
          <c:h val="0.82101894441412671"/>
        </c:manualLayout>
      </c:layout>
      <c:barChart>
        <c:barDir val="col"/>
        <c:grouping val="clustered"/>
        <c:varyColors val="0"/>
        <c:ser>
          <c:idx val="0"/>
          <c:order val="0"/>
          <c:tx>
            <c:strRef>
              <c:f>Sheet1!$C$3</c:f>
              <c:strCache>
                <c:ptCount val="1"/>
                <c:pt idx="0">
                  <c:v>2011</c:v>
                </c:pt>
              </c:strCache>
            </c:strRef>
          </c:tx>
          <c:spPr>
            <a:solidFill>
              <a:srgbClr val="EDB9CC"/>
            </a:solidFill>
            <a:ln w="6350">
              <a:solidFill>
                <a:prstClr val="black"/>
              </a:solidFill>
            </a:ln>
            <a:effectLst/>
            <a:scene3d>
              <a:camera prst="orthographicFront"/>
              <a:lightRig rig="threePt" dir="t">
                <a:rot lat="0" lon="0" rev="1200000"/>
              </a:lightRig>
            </a:scene3d>
            <a:sp3d/>
          </c:spPr>
          <c:invertIfNegative val="0"/>
          <c:cat>
            <c:strRef>
              <c:f>Sheet1!$B$4:$B$12</c:f>
              <c:strCache>
                <c:ptCount val="9"/>
                <c:pt idx="0">
                  <c:v>0-4</c:v>
                </c:pt>
                <c:pt idx="1">
                  <c:v>5.0-14</c:v>
                </c:pt>
                <c:pt idx="2">
                  <c:v>15-24</c:v>
                </c:pt>
                <c:pt idx="3">
                  <c:v>25-34</c:v>
                </c:pt>
                <c:pt idx="4">
                  <c:v>35-49</c:v>
                </c:pt>
                <c:pt idx="5">
                  <c:v>50-59</c:v>
                </c:pt>
                <c:pt idx="6">
                  <c:v>60-69</c:v>
                </c:pt>
                <c:pt idx="7">
                  <c:v>70-84</c:v>
                </c:pt>
                <c:pt idx="8">
                  <c:v>85+</c:v>
                </c:pt>
              </c:strCache>
            </c:strRef>
          </c:cat>
          <c:val>
            <c:numRef>
              <c:f>Sheet1!$C$4:$C$12</c:f>
              <c:numCache>
                <c:formatCode>#,##0</c:formatCode>
                <c:ptCount val="9"/>
                <c:pt idx="0">
                  <c:v>11351</c:v>
                </c:pt>
                <c:pt idx="1">
                  <c:v>25932</c:v>
                </c:pt>
                <c:pt idx="2">
                  <c:v>22378</c:v>
                </c:pt>
                <c:pt idx="3">
                  <c:v>21239</c:v>
                </c:pt>
                <c:pt idx="4">
                  <c:v>36874</c:v>
                </c:pt>
                <c:pt idx="5">
                  <c:v>24727</c:v>
                </c:pt>
                <c:pt idx="6">
                  <c:v>19374</c:v>
                </c:pt>
                <c:pt idx="7">
                  <c:v>14974</c:v>
                </c:pt>
                <c:pt idx="8">
                  <c:v>3397</c:v>
                </c:pt>
              </c:numCache>
            </c:numRef>
          </c:val>
        </c:ser>
        <c:ser>
          <c:idx val="1"/>
          <c:order val="1"/>
          <c:tx>
            <c:strRef>
              <c:f>Sheet1!$D$3</c:f>
              <c:strCache>
                <c:ptCount val="1"/>
                <c:pt idx="0">
                  <c:v>2031</c:v>
                </c:pt>
              </c:strCache>
            </c:strRef>
          </c:tx>
          <c:spPr>
            <a:solidFill>
              <a:srgbClr val="BF1259"/>
            </a:solidFill>
            <a:ln w="6350">
              <a:solidFill>
                <a:schemeClr val="tx1"/>
              </a:solidFill>
            </a:ln>
            <a:effectLst/>
            <a:scene3d>
              <a:camera prst="orthographicFront"/>
              <a:lightRig rig="threePt" dir="t">
                <a:rot lat="0" lon="0" rev="1200000"/>
              </a:lightRig>
            </a:scene3d>
            <a:sp3d/>
          </c:spPr>
          <c:invertIfNegative val="0"/>
          <c:cat>
            <c:strRef>
              <c:f>Sheet1!$B$4:$B$12</c:f>
              <c:strCache>
                <c:ptCount val="9"/>
                <c:pt idx="0">
                  <c:v>0-4</c:v>
                </c:pt>
                <c:pt idx="1">
                  <c:v>5.0-14</c:v>
                </c:pt>
                <c:pt idx="2">
                  <c:v>15-24</c:v>
                </c:pt>
                <c:pt idx="3">
                  <c:v>25-34</c:v>
                </c:pt>
                <c:pt idx="4">
                  <c:v>35-49</c:v>
                </c:pt>
                <c:pt idx="5">
                  <c:v>50-59</c:v>
                </c:pt>
                <c:pt idx="6">
                  <c:v>60-69</c:v>
                </c:pt>
                <c:pt idx="7">
                  <c:v>70-84</c:v>
                </c:pt>
                <c:pt idx="8">
                  <c:v>85+</c:v>
                </c:pt>
              </c:strCache>
            </c:strRef>
          </c:cat>
          <c:val>
            <c:numRef>
              <c:f>Sheet1!$D$4:$D$12</c:f>
              <c:numCache>
                <c:formatCode>#,##0</c:formatCode>
                <c:ptCount val="9"/>
                <c:pt idx="0">
                  <c:v>13088</c:v>
                </c:pt>
                <c:pt idx="1">
                  <c:v>28888</c:v>
                </c:pt>
                <c:pt idx="2">
                  <c:v>28984</c:v>
                </c:pt>
                <c:pt idx="3">
                  <c:v>25087</c:v>
                </c:pt>
                <c:pt idx="4">
                  <c:v>46378</c:v>
                </c:pt>
                <c:pt idx="5">
                  <c:v>27583</c:v>
                </c:pt>
                <c:pt idx="6">
                  <c:v>27906</c:v>
                </c:pt>
                <c:pt idx="7">
                  <c:v>34074</c:v>
                </c:pt>
                <c:pt idx="8">
                  <c:v>7594</c:v>
                </c:pt>
              </c:numCache>
            </c:numRef>
          </c:val>
        </c:ser>
        <c:dLbls>
          <c:showLegendKey val="0"/>
          <c:showVal val="0"/>
          <c:showCatName val="0"/>
          <c:showSerName val="0"/>
          <c:showPercent val="0"/>
          <c:showBubbleSize val="0"/>
        </c:dLbls>
        <c:gapWidth val="150"/>
        <c:axId val="137748864"/>
        <c:axId val="137750400"/>
      </c:barChart>
      <c:catAx>
        <c:axId val="137748864"/>
        <c:scaling>
          <c:orientation val="minMax"/>
        </c:scaling>
        <c:delete val="0"/>
        <c:axPos val="b"/>
        <c:majorTickMark val="out"/>
        <c:minorTickMark val="none"/>
        <c:tickLblPos val="nextTo"/>
        <c:txPr>
          <a:bodyPr/>
          <a:lstStyle/>
          <a:p>
            <a:pPr>
              <a:defRPr>
                <a:solidFill>
                  <a:sysClr val="windowText" lastClr="000000"/>
                </a:solidFill>
              </a:defRPr>
            </a:pPr>
            <a:endParaRPr lang="en-US"/>
          </a:p>
        </c:txPr>
        <c:crossAx val="137750400"/>
        <c:crosses val="autoZero"/>
        <c:auto val="1"/>
        <c:lblAlgn val="ctr"/>
        <c:lblOffset val="100"/>
        <c:noMultiLvlLbl val="0"/>
      </c:catAx>
      <c:valAx>
        <c:axId val="137750400"/>
        <c:scaling>
          <c:orientation val="minMax"/>
        </c:scaling>
        <c:delete val="0"/>
        <c:axPos val="l"/>
        <c:majorGridlines/>
        <c:numFmt formatCode="#,##0" sourceLinked="0"/>
        <c:majorTickMark val="out"/>
        <c:minorTickMark val="none"/>
        <c:tickLblPos val="nextTo"/>
        <c:spPr>
          <a:noFill/>
        </c:spPr>
        <c:txPr>
          <a:bodyPr/>
          <a:lstStyle/>
          <a:p>
            <a:pPr>
              <a:defRPr>
                <a:solidFill>
                  <a:sysClr val="windowText" lastClr="000000"/>
                </a:solidFill>
              </a:defRPr>
            </a:pPr>
            <a:endParaRPr lang="en-US"/>
          </a:p>
        </c:txPr>
        <c:crossAx val="137748864"/>
        <c:crosses val="autoZero"/>
        <c:crossBetween val="between"/>
      </c:valAx>
      <c:spPr>
        <a:noFill/>
      </c:spPr>
    </c:plotArea>
    <c:legend>
      <c:legendPos val="r"/>
      <c:overlay val="0"/>
      <c:txPr>
        <a:bodyPr/>
        <a:lstStyle/>
        <a:p>
          <a:pPr>
            <a:defRPr>
              <a:solidFill>
                <a:sysClr val="windowText" lastClr="000000"/>
              </a:solidFill>
            </a:defRPr>
          </a:pPr>
          <a:endParaRPr lang="en-US"/>
        </a:p>
      </c:txPr>
    </c:legend>
    <c:plotVisOnly val="1"/>
    <c:dispBlanksAs val="gap"/>
    <c:showDLblsOverMax val="0"/>
  </c:chart>
  <c:spPr>
    <a:solidFill>
      <a:sysClr val="window" lastClr="FFFFFF"/>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200" dirty="0"/>
              <a:t>Journeys</a:t>
            </a:r>
            <a:r>
              <a:rPr lang="en-AU" sz="1200" baseline="0" dirty="0"/>
              <a:t> made by car</a:t>
            </a:r>
            <a:endParaRPr lang="en-AU" sz="1200" dirty="0"/>
          </a:p>
        </c:rich>
      </c:tx>
      <c:layout>
        <c:manualLayout>
          <c:xMode val="edge"/>
          <c:yMode val="edge"/>
          <c:x val="0.29532220686155225"/>
          <c:y val="1.430018922053369E-2"/>
        </c:manualLayout>
      </c:layout>
      <c:overlay val="0"/>
    </c:title>
    <c:autoTitleDeleted val="0"/>
    <c:plotArea>
      <c:layout>
        <c:manualLayout>
          <c:layoutTarget val="inner"/>
          <c:xMode val="edge"/>
          <c:yMode val="edge"/>
          <c:x val="0.11566415929852362"/>
          <c:y val="8.2647781832148576E-2"/>
          <c:w val="0.76712032028111365"/>
          <c:h val="0.71722620540053261"/>
        </c:manualLayout>
      </c:layout>
      <c:lineChart>
        <c:grouping val="standard"/>
        <c:varyColors val="0"/>
        <c:ser>
          <c:idx val="0"/>
          <c:order val="0"/>
          <c:tx>
            <c:strRef>
              <c:f>Data!$A$17</c:f>
              <c:strCache>
                <c:ptCount val="1"/>
                <c:pt idx="0">
                  <c:v>Pyrenees (S)</c:v>
                </c:pt>
              </c:strCache>
            </c:strRef>
          </c:tx>
          <c:spPr>
            <a:ln>
              <a:solidFill>
                <a:srgbClr val="FF0000"/>
              </a:solidFill>
            </a:ln>
          </c:spPr>
          <c:marker>
            <c:symbol val="none"/>
          </c:marker>
          <c:cat>
            <c:numRef>
              <c:f>Data!$B$15:$E$15</c:f>
              <c:numCache>
                <c:formatCode>General</c:formatCode>
                <c:ptCount val="4"/>
                <c:pt idx="0">
                  <c:v>1996</c:v>
                </c:pt>
                <c:pt idx="1">
                  <c:v>2001</c:v>
                </c:pt>
                <c:pt idx="2">
                  <c:v>2006</c:v>
                </c:pt>
                <c:pt idx="3">
                  <c:v>2011</c:v>
                </c:pt>
              </c:numCache>
            </c:numRef>
          </c:cat>
          <c:val>
            <c:numRef>
              <c:f>Data!$B$17:$E$17</c:f>
              <c:numCache>
                <c:formatCode>_-* #,##0_-;\-* #,##0_-;_-* "-"??_-;_-@_-</c:formatCode>
                <c:ptCount val="4"/>
                <c:pt idx="0">
                  <c:v>0</c:v>
                </c:pt>
                <c:pt idx="1">
                  <c:v>21</c:v>
                </c:pt>
                <c:pt idx="2">
                  <c:v>24</c:v>
                </c:pt>
                <c:pt idx="3">
                  <c:v>33</c:v>
                </c:pt>
              </c:numCache>
            </c:numRef>
          </c:val>
          <c:smooth val="0"/>
        </c:ser>
        <c:ser>
          <c:idx val="1"/>
          <c:order val="1"/>
          <c:tx>
            <c:strRef>
              <c:f>Data!$A$18</c:f>
              <c:strCache>
                <c:ptCount val="1"/>
                <c:pt idx="0">
                  <c:v>Moorabool (S)</c:v>
                </c:pt>
              </c:strCache>
            </c:strRef>
          </c:tx>
          <c:spPr>
            <a:ln>
              <a:solidFill>
                <a:srgbClr val="FF9933"/>
              </a:solidFill>
            </a:ln>
          </c:spPr>
          <c:marker>
            <c:symbol val="none"/>
          </c:marker>
          <c:cat>
            <c:numRef>
              <c:f>Data!$B$15:$E$15</c:f>
              <c:numCache>
                <c:formatCode>General</c:formatCode>
                <c:ptCount val="4"/>
                <c:pt idx="0">
                  <c:v>1996</c:v>
                </c:pt>
                <c:pt idx="1">
                  <c:v>2001</c:v>
                </c:pt>
                <c:pt idx="2">
                  <c:v>2006</c:v>
                </c:pt>
                <c:pt idx="3">
                  <c:v>2011</c:v>
                </c:pt>
              </c:numCache>
            </c:numRef>
          </c:cat>
          <c:val>
            <c:numRef>
              <c:f>Data!$B$18:$E$18</c:f>
              <c:numCache>
                <c:formatCode>_-* #,##0_-;\-* #,##0_-;_-* "-"??_-;_-@_-</c:formatCode>
                <c:ptCount val="4"/>
                <c:pt idx="0">
                  <c:v>2814</c:v>
                </c:pt>
                <c:pt idx="1">
                  <c:v>3331</c:v>
                </c:pt>
                <c:pt idx="2">
                  <c:v>3555</c:v>
                </c:pt>
                <c:pt idx="3">
                  <c:v>4085</c:v>
                </c:pt>
              </c:numCache>
            </c:numRef>
          </c:val>
          <c:smooth val="0"/>
        </c:ser>
        <c:ser>
          <c:idx val="2"/>
          <c:order val="2"/>
          <c:tx>
            <c:strRef>
              <c:f>Data!$A$19</c:f>
              <c:strCache>
                <c:ptCount val="1"/>
                <c:pt idx="0">
                  <c:v>Hepburn (S)</c:v>
                </c:pt>
              </c:strCache>
            </c:strRef>
          </c:tx>
          <c:spPr>
            <a:ln>
              <a:solidFill>
                <a:srgbClr val="7030A0"/>
              </a:solidFill>
            </a:ln>
          </c:spPr>
          <c:marker>
            <c:symbol val="none"/>
          </c:marker>
          <c:cat>
            <c:numRef>
              <c:f>Data!$B$15:$E$15</c:f>
              <c:numCache>
                <c:formatCode>General</c:formatCode>
                <c:ptCount val="4"/>
                <c:pt idx="0">
                  <c:v>1996</c:v>
                </c:pt>
                <c:pt idx="1">
                  <c:v>2001</c:v>
                </c:pt>
                <c:pt idx="2">
                  <c:v>2006</c:v>
                </c:pt>
                <c:pt idx="3">
                  <c:v>2011</c:v>
                </c:pt>
              </c:numCache>
            </c:numRef>
          </c:cat>
          <c:val>
            <c:numRef>
              <c:f>Data!$B$19:$E$19</c:f>
              <c:numCache>
                <c:formatCode>_-* #,##0_-;\-* #,##0_-;_-* "-"??_-;_-@_-</c:formatCode>
                <c:ptCount val="4"/>
                <c:pt idx="0">
                  <c:v>269</c:v>
                </c:pt>
                <c:pt idx="1">
                  <c:v>292</c:v>
                </c:pt>
                <c:pt idx="2">
                  <c:v>296</c:v>
                </c:pt>
                <c:pt idx="3">
                  <c:v>367</c:v>
                </c:pt>
              </c:numCache>
            </c:numRef>
          </c:val>
          <c:smooth val="0"/>
        </c:ser>
        <c:ser>
          <c:idx val="3"/>
          <c:order val="3"/>
          <c:tx>
            <c:strRef>
              <c:f>Data!$A$20</c:f>
              <c:strCache>
                <c:ptCount val="1"/>
                <c:pt idx="0">
                  <c:v>Golden Plains (S)</c:v>
                </c:pt>
              </c:strCache>
            </c:strRef>
          </c:tx>
          <c:spPr>
            <a:ln>
              <a:solidFill>
                <a:srgbClr val="00FF00"/>
              </a:solidFill>
            </a:ln>
          </c:spPr>
          <c:marker>
            <c:symbol val="none"/>
          </c:marker>
          <c:cat>
            <c:numRef>
              <c:f>Data!$B$15:$E$15</c:f>
              <c:numCache>
                <c:formatCode>General</c:formatCode>
                <c:ptCount val="4"/>
                <c:pt idx="0">
                  <c:v>1996</c:v>
                </c:pt>
                <c:pt idx="1">
                  <c:v>2001</c:v>
                </c:pt>
                <c:pt idx="2">
                  <c:v>2006</c:v>
                </c:pt>
                <c:pt idx="3">
                  <c:v>2011</c:v>
                </c:pt>
              </c:numCache>
            </c:numRef>
          </c:cat>
          <c:val>
            <c:numRef>
              <c:f>Data!$B$20:$E$20</c:f>
              <c:numCache>
                <c:formatCode>_-* #,##0_-;\-* #,##0_-;_-* "-"??_-;_-@_-</c:formatCode>
                <c:ptCount val="4"/>
                <c:pt idx="0">
                  <c:v>196</c:v>
                </c:pt>
                <c:pt idx="1">
                  <c:v>257</c:v>
                </c:pt>
                <c:pt idx="2">
                  <c:v>288</c:v>
                </c:pt>
                <c:pt idx="3">
                  <c:v>427</c:v>
                </c:pt>
              </c:numCache>
            </c:numRef>
          </c:val>
          <c:smooth val="0"/>
        </c:ser>
        <c:ser>
          <c:idx val="4"/>
          <c:order val="4"/>
          <c:tx>
            <c:strRef>
              <c:f>Data!$A$21</c:f>
              <c:strCache>
                <c:ptCount val="1"/>
                <c:pt idx="0">
                  <c:v>Ballarat (C)</c:v>
                </c:pt>
              </c:strCache>
            </c:strRef>
          </c:tx>
          <c:marker>
            <c:symbol val="none"/>
          </c:marker>
          <c:cat>
            <c:numRef>
              <c:f>Data!$B$15:$E$15</c:f>
              <c:numCache>
                <c:formatCode>General</c:formatCode>
                <c:ptCount val="4"/>
                <c:pt idx="0">
                  <c:v>1996</c:v>
                </c:pt>
                <c:pt idx="1">
                  <c:v>2001</c:v>
                </c:pt>
                <c:pt idx="2">
                  <c:v>2006</c:v>
                </c:pt>
                <c:pt idx="3">
                  <c:v>2011</c:v>
                </c:pt>
              </c:numCache>
            </c:numRef>
          </c:cat>
          <c:val>
            <c:numRef>
              <c:f>Data!$B$21:$E$21</c:f>
              <c:numCache>
                <c:formatCode>_-* #,##0_-;\-* #,##0_-;_-* "-"??_-;_-@_-</c:formatCode>
                <c:ptCount val="4"/>
                <c:pt idx="0">
                  <c:v>739</c:v>
                </c:pt>
                <c:pt idx="1">
                  <c:v>738</c:v>
                </c:pt>
                <c:pt idx="2">
                  <c:v>820</c:v>
                </c:pt>
                <c:pt idx="3">
                  <c:v>1013</c:v>
                </c:pt>
              </c:numCache>
            </c:numRef>
          </c:val>
          <c:smooth val="0"/>
        </c:ser>
        <c:ser>
          <c:idx val="5"/>
          <c:order val="5"/>
          <c:tx>
            <c:strRef>
              <c:f>Data!$A$22</c:f>
              <c:strCache>
                <c:ptCount val="1"/>
                <c:pt idx="0">
                  <c:v>Ararat (RC)</c:v>
                </c:pt>
              </c:strCache>
            </c:strRef>
          </c:tx>
          <c:spPr>
            <a:ln>
              <a:solidFill>
                <a:schemeClr val="bg2">
                  <a:lumMod val="90000"/>
                </a:schemeClr>
              </a:solidFill>
            </a:ln>
          </c:spPr>
          <c:marker>
            <c:symbol val="none"/>
          </c:marker>
          <c:cat>
            <c:numRef>
              <c:f>Data!$B$15:$E$15</c:f>
              <c:numCache>
                <c:formatCode>General</c:formatCode>
                <c:ptCount val="4"/>
                <c:pt idx="0">
                  <c:v>1996</c:v>
                </c:pt>
                <c:pt idx="1">
                  <c:v>2001</c:v>
                </c:pt>
                <c:pt idx="2">
                  <c:v>2006</c:v>
                </c:pt>
                <c:pt idx="3">
                  <c:v>2011</c:v>
                </c:pt>
              </c:numCache>
            </c:numRef>
          </c:cat>
          <c:val>
            <c:numRef>
              <c:f>Data!$B$22:$E$22</c:f>
              <c:numCache>
                <c:formatCode>_-* #,##0_-;\-* #,##0_-;_-* "-"??_-;_-@_-</c:formatCode>
                <c:ptCount val="4"/>
                <c:pt idx="0">
                  <c:v>0</c:v>
                </c:pt>
                <c:pt idx="1">
                  <c:v>21</c:v>
                </c:pt>
                <c:pt idx="2">
                  <c:v>42</c:v>
                </c:pt>
                <c:pt idx="3">
                  <c:v>63</c:v>
                </c:pt>
              </c:numCache>
            </c:numRef>
          </c:val>
          <c:smooth val="0"/>
        </c:ser>
        <c:dLbls>
          <c:showLegendKey val="0"/>
          <c:showVal val="0"/>
          <c:showCatName val="0"/>
          <c:showSerName val="0"/>
          <c:showPercent val="0"/>
          <c:showBubbleSize val="0"/>
        </c:dLbls>
        <c:marker val="1"/>
        <c:smooth val="0"/>
        <c:axId val="142873728"/>
        <c:axId val="142875264"/>
      </c:lineChart>
      <c:catAx>
        <c:axId val="142873728"/>
        <c:scaling>
          <c:orientation val="minMax"/>
        </c:scaling>
        <c:delete val="0"/>
        <c:axPos val="b"/>
        <c:numFmt formatCode="General" sourceLinked="1"/>
        <c:majorTickMark val="out"/>
        <c:minorTickMark val="none"/>
        <c:tickLblPos val="nextTo"/>
        <c:spPr>
          <a:ln>
            <a:solidFill>
              <a:sysClr val="windowText" lastClr="000000"/>
            </a:solidFill>
          </a:ln>
        </c:spPr>
        <c:crossAx val="142875264"/>
        <c:crosses val="autoZero"/>
        <c:auto val="1"/>
        <c:lblAlgn val="ctr"/>
        <c:lblOffset val="100"/>
        <c:noMultiLvlLbl val="0"/>
      </c:catAx>
      <c:valAx>
        <c:axId val="142875264"/>
        <c:scaling>
          <c:orientation val="minMax"/>
        </c:scaling>
        <c:delete val="0"/>
        <c:axPos val="l"/>
        <c:majorGridlines/>
        <c:numFmt formatCode="0" sourceLinked="0"/>
        <c:majorTickMark val="out"/>
        <c:minorTickMark val="none"/>
        <c:tickLblPos val="nextTo"/>
        <c:spPr>
          <a:noFill/>
          <a:ln>
            <a:solidFill>
              <a:schemeClr val="tx1"/>
            </a:solidFill>
          </a:ln>
        </c:spPr>
        <c:crossAx val="142873728"/>
        <c:crosses val="autoZero"/>
        <c:crossBetween val="between"/>
      </c:valAx>
      <c:spPr>
        <a:noFill/>
      </c:spPr>
    </c:plotArea>
    <c:legend>
      <c:legendPos val="b"/>
      <c:layout>
        <c:manualLayout>
          <c:xMode val="edge"/>
          <c:yMode val="edge"/>
          <c:x val="7.1930822087001509E-2"/>
          <c:y val="0.85510478512316812"/>
          <c:w val="0.81297723280773104"/>
          <c:h val="0.12581691152648874"/>
        </c:manualLayout>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200" dirty="0"/>
              <a:t>Journeys made by public</a:t>
            </a:r>
            <a:r>
              <a:rPr lang="en-AU" sz="1200" baseline="0" dirty="0"/>
              <a:t> transport</a:t>
            </a:r>
            <a:endParaRPr lang="en-AU" sz="1200" dirty="0"/>
          </a:p>
        </c:rich>
      </c:tx>
      <c:layout>
        <c:manualLayout>
          <c:xMode val="edge"/>
          <c:yMode val="edge"/>
          <c:x val="0.21603915889824407"/>
          <c:y val="1.430018922053369E-2"/>
        </c:manualLayout>
      </c:layout>
      <c:overlay val="0"/>
    </c:title>
    <c:autoTitleDeleted val="0"/>
    <c:plotArea>
      <c:layout>
        <c:manualLayout>
          <c:layoutTarget val="inner"/>
          <c:xMode val="edge"/>
          <c:yMode val="edge"/>
          <c:x val="0.13603765046610591"/>
          <c:y val="8.2892116124124879E-2"/>
          <c:w val="0.82181675566416268"/>
          <c:h val="0.72378253255016578"/>
        </c:manualLayout>
      </c:layout>
      <c:lineChart>
        <c:grouping val="standard"/>
        <c:varyColors val="0"/>
        <c:ser>
          <c:idx val="0"/>
          <c:order val="0"/>
          <c:tx>
            <c:strRef>
              <c:f>Data!$F$17</c:f>
              <c:strCache>
                <c:ptCount val="1"/>
                <c:pt idx="0">
                  <c:v> Pyrenees (S) </c:v>
                </c:pt>
              </c:strCache>
            </c:strRef>
          </c:tx>
          <c:spPr>
            <a:ln>
              <a:solidFill>
                <a:srgbClr val="FF0000"/>
              </a:solidFill>
            </a:ln>
          </c:spPr>
          <c:marker>
            <c:symbol val="none"/>
          </c:marker>
          <c:cat>
            <c:numRef>
              <c:f>Data!$G$16:$J$16</c:f>
              <c:numCache>
                <c:formatCode>General</c:formatCode>
                <c:ptCount val="4"/>
                <c:pt idx="0">
                  <c:v>1996</c:v>
                </c:pt>
                <c:pt idx="1">
                  <c:v>2001</c:v>
                </c:pt>
                <c:pt idx="2">
                  <c:v>2006</c:v>
                </c:pt>
                <c:pt idx="3">
                  <c:v>2011</c:v>
                </c:pt>
              </c:numCache>
            </c:numRef>
          </c:cat>
          <c:val>
            <c:numRef>
              <c:f>Data!$G$17:$J$17</c:f>
              <c:numCache>
                <c:formatCode>_-* #,##0_-;\-* #,##0_-;_-* "-"??_-;_-@_-</c:formatCode>
                <c:ptCount val="4"/>
                <c:pt idx="0">
                  <c:v>0</c:v>
                </c:pt>
                <c:pt idx="1">
                  <c:v>3</c:v>
                </c:pt>
                <c:pt idx="2">
                  <c:v>9</c:v>
                </c:pt>
                <c:pt idx="3">
                  <c:v>0</c:v>
                </c:pt>
              </c:numCache>
            </c:numRef>
          </c:val>
          <c:smooth val="0"/>
        </c:ser>
        <c:ser>
          <c:idx val="1"/>
          <c:order val="1"/>
          <c:tx>
            <c:strRef>
              <c:f>Data!$F$18</c:f>
              <c:strCache>
                <c:ptCount val="1"/>
                <c:pt idx="0">
                  <c:v> Moorabool (S) </c:v>
                </c:pt>
              </c:strCache>
            </c:strRef>
          </c:tx>
          <c:spPr>
            <a:ln>
              <a:solidFill>
                <a:srgbClr val="FF9933"/>
              </a:solidFill>
            </a:ln>
          </c:spPr>
          <c:marker>
            <c:symbol val="none"/>
          </c:marker>
          <c:cat>
            <c:numRef>
              <c:f>Data!$G$16:$J$16</c:f>
              <c:numCache>
                <c:formatCode>General</c:formatCode>
                <c:ptCount val="4"/>
                <c:pt idx="0">
                  <c:v>1996</c:v>
                </c:pt>
                <c:pt idx="1">
                  <c:v>2001</c:v>
                </c:pt>
                <c:pt idx="2">
                  <c:v>2006</c:v>
                </c:pt>
                <c:pt idx="3">
                  <c:v>2011</c:v>
                </c:pt>
              </c:numCache>
            </c:numRef>
          </c:cat>
          <c:val>
            <c:numRef>
              <c:f>Data!$G$18:$J$18</c:f>
              <c:numCache>
                <c:formatCode>_-* #,##0_-;\-* #,##0_-;_-* "-"??_-;_-@_-</c:formatCode>
                <c:ptCount val="4"/>
                <c:pt idx="0">
                  <c:v>330</c:v>
                </c:pt>
                <c:pt idx="1">
                  <c:v>349</c:v>
                </c:pt>
                <c:pt idx="2">
                  <c:v>423</c:v>
                </c:pt>
                <c:pt idx="3">
                  <c:v>635</c:v>
                </c:pt>
              </c:numCache>
            </c:numRef>
          </c:val>
          <c:smooth val="0"/>
        </c:ser>
        <c:ser>
          <c:idx val="2"/>
          <c:order val="2"/>
          <c:tx>
            <c:strRef>
              <c:f>Data!$F$19</c:f>
              <c:strCache>
                <c:ptCount val="1"/>
                <c:pt idx="0">
                  <c:v> Hepburn (S) </c:v>
                </c:pt>
              </c:strCache>
            </c:strRef>
          </c:tx>
          <c:spPr>
            <a:ln>
              <a:solidFill>
                <a:srgbClr val="7030A0"/>
              </a:solidFill>
            </a:ln>
          </c:spPr>
          <c:marker>
            <c:symbol val="none"/>
          </c:marker>
          <c:cat>
            <c:numRef>
              <c:f>Data!$G$16:$J$16</c:f>
              <c:numCache>
                <c:formatCode>General</c:formatCode>
                <c:ptCount val="4"/>
                <c:pt idx="0">
                  <c:v>1996</c:v>
                </c:pt>
                <c:pt idx="1">
                  <c:v>2001</c:v>
                </c:pt>
                <c:pt idx="2">
                  <c:v>2006</c:v>
                </c:pt>
                <c:pt idx="3">
                  <c:v>2011</c:v>
                </c:pt>
              </c:numCache>
            </c:numRef>
          </c:cat>
          <c:val>
            <c:numRef>
              <c:f>Data!$G$19:$J$19</c:f>
              <c:numCache>
                <c:formatCode>_-* #,##0_-;\-* #,##0_-;_-* "-"??_-;_-@_-</c:formatCode>
                <c:ptCount val="4"/>
                <c:pt idx="0">
                  <c:v>33</c:v>
                </c:pt>
                <c:pt idx="1">
                  <c:v>70</c:v>
                </c:pt>
                <c:pt idx="2">
                  <c:v>55</c:v>
                </c:pt>
                <c:pt idx="3">
                  <c:v>139</c:v>
                </c:pt>
              </c:numCache>
            </c:numRef>
          </c:val>
          <c:smooth val="0"/>
        </c:ser>
        <c:ser>
          <c:idx val="3"/>
          <c:order val="3"/>
          <c:tx>
            <c:strRef>
              <c:f>Data!$F$20</c:f>
              <c:strCache>
                <c:ptCount val="1"/>
                <c:pt idx="0">
                  <c:v> Golden Plains (S) </c:v>
                </c:pt>
              </c:strCache>
            </c:strRef>
          </c:tx>
          <c:spPr>
            <a:ln>
              <a:solidFill>
                <a:srgbClr val="00FF00"/>
              </a:solidFill>
            </a:ln>
          </c:spPr>
          <c:marker>
            <c:symbol val="none"/>
          </c:marker>
          <c:cat>
            <c:numRef>
              <c:f>Data!$G$16:$J$16</c:f>
              <c:numCache>
                <c:formatCode>General</c:formatCode>
                <c:ptCount val="4"/>
                <c:pt idx="0">
                  <c:v>1996</c:v>
                </c:pt>
                <c:pt idx="1">
                  <c:v>2001</c:v>
                </c:pt>
                <c:pt idx="2">
                  <c:v>2006</c:v>
                </c:pt>
                <c:pt idx="3">
                  <c:v>2011</c:v>
                </c:pt>
              </c:numCache>
            </c:numRef>
          </c:cat>
          <c:val>
            <c:numRef>
              <c:f>Data!$G$20:$J$20</c:f>
              <c:numCache>
                <c:formatCode>_-* #,##0_-;\-* #,##0_-;_-* "-"??_-;_-@_-</c:formatCode>
                <c:ptCount val="4"/>
                <c:pt idx="0">
                  <c:v>25</c:v>
                </c:pt>
                <c:pt idx="1">
                  <c:v>40</c:v>
                </c:pt>
                <c:pt idx="2">
                  <c:v>56</c:v>
                </c:pt>
                <c:pt idx="3">
                  <c:v>97</c:v>
                </c:pt>
              </c:numCache>
            </c:numRef>
          </c:val>
          <c:smooth val="0"/>
        </c:ser>
        <c:ser>
          <c:idx val="4"/>
          <c:order val="4"/>
          <c:tx>
            <c:strRef>
              <c:f>Data!$F$21</c:f>
              <c:strCache>
                <c:ptCount val="1"/>
                <c:pt idx="0">
                  <c:v> Ballarat (C) </c:v>
                </c:pt>
              </c:strCache>
            </c:strRef>
          </c:tx>
          <c:marker>
            <c:symbol val="none"/>
          </c:marker>
          <c:cat>
            <c:numRef>
              <c:f>Data!$G$16:$J$16</c:f>
              <c:numCache>
                <c:formatCode>General</c:formatCode>
                <c:ptCount val="4"/>
                <c:pt idx="0">
                  <c:v>1996</c:v>
                </c:pt>
                <c:pt idx="1">
                  <c:v>2001</c:v>
                </c:pt>
                <c:pt idx="2">
                  <c:v>2006</c:v>
                </c:pt>
                <c:pt idx="3">
                  <c:v>2011</c:v>
                </c:pt>
              </c:numCache>
            </c:numRef>
          </c:cat>
          <c:val>
            <c:numRef>
              <c:f>Data!$G$21:$J$21</c:f>
              <c:numCache>
                <c:formatCode>_-* #,##0_-;\-* #,##0_-;_-* "-"??_-;_-@_-</c:formatCode>
                <c:ptCount val="4"/>
                <c:pt idx="0">
                  <c:v>125</c:v>
                </c:pt>
                <c:pt idx="1">
                  <c:v>167</c:v>
                </c:pt>
                <c:pt idx="2">
                  <c:v>246</c:v>
                </c:pt>
                <c:pt idx="3">
                  <c:v>695</c:v>
                </c:pt>
              </c:numCache>
            </c:numRef>
          </c:val>
          <c:smooth val="0"/>
        </c:ser>
        <c:ser>
          <c:idx val="5"/>
          <c:order val="5"/>
          <c:tx>
            <c:strRef>
              <c:f>Data!$F$22</c:f>
              <c:strCache>
                <c:ptCount val="1"/>
                <c:pt idx="0">
                  <c:v> Ararat (RC) </c:v>
                </c:pt>
              </c:strCache>
            </c:strRef>
          </c:tx>
          <c:spPr>
            <a:ln>
              <a:solidFill>
                <a:schemeClr val="bg2">
                  <a:lumMod val="90000"/>
                </a:schemeClr>
              </a:solidFill>
            </a:ln>
          </c:spPr>
          <c:marker>
            <c:symbol val="none"/>
          </c:marker>
          <c:cat>
            <c:numRef>
              <c:f>Data!$G$16:$J$16</c:f>
              <c:numCache>
                <c:formatCode>General</c:formatCode>
                <c:ptCount val="4"/>
                <c:pt idx="0">
                  <c:v>1996</c:v>
                </c:pt>
                <c:pt idx="1">
                  <c:v>2001</c:v>
                </c:pt>
                <c:pt idx="2">
                  <c:v>2006</c:v>
                </c:pt>
                <c:pt idx="3">
                  <c:v>2011</c:v>
                </c:pt>
              </c:numCache>
            </c:numRef>
          </c:cat>
          <c:val>
            <c:numRef>
              <c:f>Data!$G$22:$J$22</c:f>
              <c:numCache>
                <c:formatCode>_-* #,##0_-;\-* #,##0_-;_-* "-"??_-;_-@_-</c:formatCode>
                <c:ptCount val="4"/>
                <c:pt idx="0">
                  <c:v>0</c:v>
                </c:pt>
                <c:pt idx="1">
                  <c:v>9</c:v>
                </c:pt>
                <c:pt idx="2">
                  <c:v>7</c:v>
                </c:pt>
                <c:pt idx="3">
                  <c:v>5</c:v>
                </c:pt>
              </c:numCache>
            </c:numRef>
          </c:val>
          <c:smooth val="0"/>
        </c:ser>
        <c:dLbls>
          <c:showLegendKey val="0"/>
          <c:showVal val="0"/>
          <c:showCatName val="0"/>
          <c:showSerName val="0"/>
          <c:showPercent val="0"/>
          <c:showBubbleSize val="0"/>
        </c:dLbls>
        <c:marker val="1"/>
        <c:smooth val="0"/>
        <c:axId val="142912128"/>
        <c:axId val="142926208"/>
      </c:lineChart>
      <c:catAx>
        <c:axId val="142912128"/>
        <c:scaling>
          <c:orientation val="minMax"/>
        </c:scaling>
        <c:delete val="0"/>
        <c:axPos val="b"/>
        <c:numFmt formatCode="General" sourceLinked="1"/>
        <c:majorTickMark val="out"/>
        <c:minorTickMark val="none"/>
        <c:tickLblPos val="nextTo"/>
        <c:spPr>
          <a:ln>
            <a:solidFill>
              <a:sysClr val="windowText" lastClr="000000"/>
            </a:solidFill>
          </a:ln>
        </c:spPr>
        <c:crossAx val="142926208"/>
        <c:crosses val="autoZero"/>
        <c:auto val="1"/>
        <c:lblAlgn val="ctr"/>
        <c:lblOffset val="100"/>
        <c:noMultiLvlLbl val="0"/>
      </c:catAx>
      <c:valAx>
        <c:axId val="142926208"/>
        <c:scaling>
          <c:orientation val="minMax"/>
        </c:scaling>
        <c:delete val="0"/>
        <c:axPos val="l"/>
        <c:majorGridlines/>
        <c:numFmt formatCode="_-* #,##0_-;\-* #,##0_-;_-* &quot;-&quot;??_-;_-@_-" sourceLinked="1"/>
        <c:majorTickMark val="out"/>
        <c:minorTickMark val="none"/>
        <c:tickLblPos val="nextTo"/>
        <c:spPr>
          <a:ln>
            <a:solidFill>
              <a:schemeClr val="tx1"/>
            </a:solidFill>
          </a:ln>
        </c:spPr>
        <c:crossAx val="142912128"/>
        <c:crosses val="autoZero"/>
        <c:crossBetween val="between"/>
      </c:valAx>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62393986466002"/>
          <c:y val="3.3132832080200611E-2"/>
          <c:w val="0.88379488278250962"/>
          <c:h val="0.69205178300080961"/>
        </c:manualLayout>
      </c:layout>
      <c:barChart>
        <c:barDir val="col"/>
        <c:grouping val="clustered"/>
        <c:varyColors val="0"/>
        <c:ser>
          <c:idx val="0"/>
          <c:order val="0"/>
          <c:tx>
            <c:strRef>
              <c:f>'Central Highlands'!$M$2</c:f>
              <c:strCache>
                <c:ptCount val="1"/>
                <c:pt idx="0">
                  <c:v>2005-06</c:v>
                </c:pt>
              </c:strCache>
            </c:strRef>
          </c:tx>
          <c:spPr>
            <a:solidFill>
              <a:srgbClr val="C5C3C2"/>
            </a:solidFill>
            <a:ln w="6350">
              <a:solidFill>
                <a:prstClr val="black"/>
              </a:solidFill>
            </a:ln>
          </c:spPr>
          <c:invertIfNegative val="0"/>
          <c:cat>
            <c:strRef>
              <c:f>'Central Highlands'!$L$3:$L$8</c:f>
              <c:strCache>
                <c:ptCount val="6"/>
                <c:pt idx="0">
                  <c:v>Ararat</c:v>
                </c:pt>
                <c:pt idx="1">
                  <c:v>Beaufort</c:v>
                </c:pt>
                <c:pt idx="2">
                  <c:v>Wendouree</c:v>
                </c:pt>
                <c:pt idx="3">
                  <c:v>Ballarat</c:v>
                </c:pt>
                <c:pt idx="4">
                  <c:v>Ballan</c:v>
                </c:pt>
                <c:pt idx="5">
                  <c:v>Bacchus Marsh</c:v>
                </c:pt>
              </c:strCache>
            </c:strRef>
          </c:cat>
          <c:val>
            <c:numRef>
              <c:f>'Central Highlands'!$M$3:$M$8</c:f>
              <c:numCache>
                <c:formatCode>#,##0</c:formatCode>
                <c:ptCount val="6"/>
                <c:pt idx="0">
                  <c:v>60.023996265172762</c:v>
                </c:pt>
                <c:pt idx="1">
                  <c:v>9.2938748832866498</c:v>
                </c:pt>
                <c:pt idx="2">
                  <c:v>0</c:v>
                </c:pt>
                <c:pt idx="3">
                  <c:v>665.67996265172803</c:v>
                </c:pt>
                <c:pt idx="4">
                  <c:v>117.60972922502334</c:v>
                </c:pt>
                <c:pt idx="5">
                  <c:v>422.65654528478052</c:v>
                </c:pt>
              </c:numCache>
            </c:numRef>
          </c:val>
        </c:ser>
        <c:ser>
          <c:idx val="1"/>
          <c:order val="1"/>
          <c:tx>
            <c:strRef>
              <c:f>'Central Highlands'!$N$2</c:f>
              <c:strCache>
                <c:ptCount val="1"/>
                <c:pt idx="0">
                  <c:v>2006-07</c:v>
                </c:pt>
              </c:strCache>
            </c:strRef>
          </c:tx>
          <c:spPr>
            <a:solidFill>
              <a:srgbClr val="9D9B99"/>
            </a:solidFill>
            <a:ln w="6350">
              <a:solidFill>
                <a:schemeClr val="tx1"/>
              </a:solidFill>
            </a:ln>
          </c:spPr>
          <c:invertIfNegative val="0"/>
          <c:cat>
            <c:strRef>
              <c:f>'Central Highlands'!$L$3:$L$8</c:f>
              <c:strCache>
                <c:ptCount val="6"/>
                <c:pt idx="0">
                  <c:v>Ararat</c:v>
                </c:pt>
                <c:pt idx="1">
                  <c:v>Beaufort</c:v>
                </c:pt>
                <c:pt idx="2">
                  <c:v>Wendouree</c:v>
                </c:pt>
                <c:pt idx="3">
                  <c:v>Ballarat</c:v>
                </c:pt>
                <c:pt idx="4">
                  <c:v>Ballan</c:v>
                </c:pt>
                <c:pt idx="5">
                  <c:v>Bacchus Marsh</c:v>
                </c:pt>
              </c:strCache>
            </c:strRef>
          </c:cat>
          <c:val>
            <c:numRef>
              <c:f>'Central Highlands'!$N$3:$N$8</c:f>
              <c:numCache>
                <c:formatCode>#,##0</c:formatCode>
                <c:ptCount val="6"/>
                <c:pt idx="0">
                  <c:v>55.043645383568943</c:v>
                </c:pt>
                <c:pt idx="1">
                  <c:v>11.286477494528894</c:v>
                </c:pt>
                <c:pt idx="2">
                  <c:v>0</c:v>
                </c:pt>
                <c:pt idx="3">
                  <c:v>952.18152244632392</c:v>
                </c:pt>
                <c:pt idx="4">
                  <c:v>155.72599293192158</c:v>
                </c:pt>
                <c:pt idx="5">
                  <c:v>536.76354394630494</c:v>
                </c:pt>
              </c:numCache>
            </c:numRef>
          </c:val>
        </c:ser>
        <c:ser>
          <c:idx val="2"/>
          <c:order val="2"/>
          <c:tx>
            <c:strRef>
              <c:f>'Central Highlands'!$O$2</c:f>
              <c:strCache>
                <c:ptCount val="1"/>
                <c:pt idx="0">
                  <c:v>2007-08</c:v>
                </c:pt>
              </c:strCache>
            </c:strRef>
          </c:tx>
          <c:spPr>
            <a:solidFill>
              <a:srgbClr val="3B3733"/>
            </a:solidFill>
            <a:ln w="6350">
              <a:solidFill>
                <a:schemeClr val="tx1"/>
              </a:solidFill>
            </a:ln>
          </c:spPr>
          <c:invertIfNegative val="0"/>
          <c:cat>
            <c:strRef>
              <c:f>'Central Highlands'!$L$3:$L$8</c:f>
              <c:strCache>
                <c:ptCount val="6"/>
                <c:pt idx="0">
                  <c:v>Ararat</c:v>
                </c:pt>
                <c:pt idx="1">
                  <c:v>Beaufort</c:v>
                </c:pt>
                <c:pt idx="2">
                  <c:v>Wendouree</c:v>
                </c:pt>
                <c:pt idx="3">
                  <c:v>Ballarat</c:v>
                </c:pt>
                <c:pt idx="4">
                  <c:v>Ballan</c:v>
                </c:pt>
                <c:pt idx="5">
                  <c:v>Bacchus Marsh</c:v>
                </c:pt>
              </c:strCache>
            </c:strRef>
          </c:cat>
          <c:val>
            <c:numRef>
              <c:f>'Central Highlands'!$O$3:$O$8</c:f>
              <c:numCache>
                <c:formatCode>#,##0</c:formatCode>
                <c:ptCount val="6"/>
                <c:pt idx="0">
                  <c:v>73.371449553000858</c:v>
                </c:pt>
                <c:pt idx="1">
                  <c:v>14.055095785440622</c:v>
                </c:pt>
                <c:pt idx="2">
                  <c:v>0</c:v>
                </c:pt>
                <c:pt idx="3">
                  <c:v>1283.784157088123</c:v>
                </c:pt>
                <c:pt idx="4">
                  <c:v>187.44059067688372</c:v>
                </c:pt>
                <c:pt idx="5">
                  <c:v>676.07448914431802</c:v>
                </c:pt>
              </c:numCache>
            </c:numRef>
          </c:val>
        </c:ser>
        <c:ser>
          <c:idx val="3"/>
          <c:order val="3"/>
          <c:tx>
            <c:strRef>
              <c:f>'Central Highlands'!$P$2</c:f>
              <c:strCache>
                <c:ptCount val="1"/>
                <c:pt idx="0">
                  <c:v>2008-09</c:v>
                </c:pt>
              </c:strCache>
            </c:strRef>
          </c:tx>
          <c:spPr>
            <a:solidFill>
              <a:srgbClr val="EDB9CC"/>
            </a:solidFill>
            <a:ln w="6350">
              <a:solidFill>
                <a:schemeClr val="tx1"/>
              </a:solidFill>
            </a:ln>
          </c:spPr>
          <c:invertIfNegative val="0"/>
          <c:cat>
            <c:strRef>
              <c:f>'Central Highlands'!$L$3:$L$8</c:f>
              <c:strCache>
                <c:ptCount val="6"/>
                <c:pt idx="0">
                  <c:v>Ararat</c:v>
                </c:pt>
                <c:pt idx="1">
                  <c:v>Beaufort</c:v>
                </c:pt>
                <c:pt idx="2">
                  <c:v>Wendouree</c:v>
                </c:pt>
                <c:pt idx="3">
                  <c:v>Ballarat</c:v>
                </c:pt>
                <c:pt idx="4">
                  <c:v>Ballan</c:v>
                </c:pt>
                <c:pt idx="5">
                  <c:v>Bacchus Marsh</c:v>
                </c:pt>
              </c:strCache>
            </c:strRef>
          </c:cat>
          <c:val>
            <c:numRef>
              <c:f>'Central Highlands'!$P$3:$P$8</c:f>
              <c:numCache>
                <c:formatCode>#,##0</c:formatCode>
                <c:ptCount val="6"/>
                <c:pt idx="0">
                  <c:v>89.004730908206511</c:v>
                </c:pt>
                <c:pt idx="1">
                  <c:v>17.970112744076129</c:v>
                </c:pt>
                <c:pt idx="2">
                  <c:v>0</c:v>
                </c:pt>
                <c:pt idx="3">
                  <c:v>1514.4753318046</c:v>
                </c:pt>
                <c:pt idx="4">
                  <c:v>223.36212024876664</c:v>
                </c:pt>
                <c:pt idx="5">
                  <c:v>742.30638871516919</c:v>
                </c:pt>
              </c:numCache>
            </c:numRef>
          </c:val>
        </c:ser>
        <c:ser>
          <c:idx val="4"/>
          <c:order val="4"/>
          <c:tx>
            <c:strRef>
              <c:f>'Central Highlands'!$Q$2</c:f>
              <c:strCache>
                <c:ptCount val="1"/>
                <c:pt idx="0">
                  <c:v>2009-10</c:v>
                </c:pt>
              </c:strCache>
            </c:strRef>
          </c:tx>
          <c:spPr>
            <a:solidFill>
              <a:srgbClr val="DA7398"/>
            </a:solidFill>
            <a:ln w="6350">
              <a:solidFill>
                <a:srgbClr val="000000"/>
              </a:solidFill>
            </a:ln>
          </c:spPr>
          <c:invertIfNegative val="0"/>
          <c:cat>
            <c:strRef>
              <c:f>'Central Highlands'!$L$3:$L$8</c:f>
              <c:strCache>
                <c:ptCount val="6"/>
                <c:pt idx="0">
                  <c:v>Ararat</c:v>
                </c:pt>
                <c:pt idx="1">
                  <c:v>Beaufort</c:v>
                </c:pt>
                <c:pt idx="2">
                  <c:v>Wendouree</c:v>
                </c:pt>
                <c:pt idx="3">
                  <c:v>Ballarat</c:v>
                </c:pt>
                <c:pt idx="4">
                  <c:v>Ballan</c:v>
                </c:pt>
                <c:pt idx="5">
                  <c:v>Bacchus Marsh</c:v>
                </c:pt>
              </c:strCache>
            </c:strRef>
          </c:cat>
          <c:val>
            <c:numRef>
              <c:f>'Central Highlands'!$Q$3:$Q$8</c:f>
              <c:numCache>
                <c:formatCode>#,##0</c:formatCode>
                <c:ptCount val="6"/>
                <c:pt idx="0">
                  <c:v>105.46891384646101</c:v>
                </c:pt>
                <c:pt idx="1">
                  <c:v>24.44860986323209</c:v>
                </c:pt>
                <c:pt idx="2">
                  <c:v>102.72215733253263</c:v>
                </c:pt>
                <c:pt idx="3">
                  <c:v>1578.7490476190478</c:v>
                </c:pt>
                <c:pt idx="4">
                  <c:v>226.21748926824398</c:v>
                </c:pt>
                <c:pt idx="5">
                  <c:v>752.1422721373666</c:v>
                </c:pt>
              </c:numCache>
            </c:numRef>
          </c:val>
        </c:ser>
        <c:ser>
          <c:idx val="5"/>
          <c:order val="5"/>
          <c:tx>
            <c:strRef>
              <c:f>'Central Highlands'!$R$2</c:f>
              <c:strCache>
                <c:ptCount val="1"/>
                <c:pt idx="0">
                  <c:v>2010-11</c:v>
                </c:pt>
              </c:strCache>
            </c:strRef>
          </c:tx>
          <c:spPr>
            <a:solidFill>
              <a:srgbClr val="BF1259"/>
            </a:solidFill>
            <a:ln w="6350">
              <a:solidFill>
                <a:srgbClr val="000000"/>
              </a:solidFill>
            </a:ln>
          </c:spPr>
          <c:invertIfNegative val="0"/>
          <c:cat>
            <c:strRef>
              <c:f>'Central Highlands'!$L$3:$L$8</c:f>
              <c:strCache>
                <c:ptCount val="6"/>
                <c:pt idx="0">
                  <c:v>Ararat</c:v>
                </c:pt>
                <c:pt idx="1">
                  <c:v>Beaufort</c:v>
                </c:pt>
                <c:pt idx="2">
                  <c:v>Wendouree</c:v>
                </c:pt>
                <c:pt idx="3">
                  <c:v>Ballarat</c:v>
                </c:pt>
                <c:pt idx="4">
                  <c:v>Ballan</c:v>
                </c:pt>
                <c:pt idx="5">
                  <c:v>Bacchus Marsh</c:v>
                </c:pt>
              </c:strCache>
            </c:strRef>
          </c:cat>
          <c:val>
            <c:numRef>
              <c:f>'Central Highlands'!$R$3:$R$8</c:f>
              <c:numCache>
                <c:formatCode>#,##0</c:formatCode>
                <c:ptCount val="6"/>
                <c:pt idx="0">
                  <c:v>114</c:v>
                </c:pt>
                <c:pt idx="1">
                  <c:v>25.5</c:v>
                </c:pt>
                <c:pt idx="2">
                  <c:v>148</c:v>
                </c:pt>
                <c:pt idx="3">
                  <c:v>1637.5</c:v>
                </c:pt>
                <c:pt idx="4">
                  <c:v>230</c:v>
                </c:pt>
                <c:pt idx="5">
                  <c:v>774</c:v>
                </c:pt>
              </c:numCache>
            </c:numRef>
          </c:val>
        </c:ser>
        <c:dLbls>
          <c:showLegendKey val="0"/>
          <c:showVal val="0"/>
          <c:showCatName val="0"/>
          <c:showSerName val="0"/>
          <c:showPercent val="0"/>
          <c:showBubbleSize val="0"/>
        </c:dLbls>
        <c:gapWidth val="150"/>
        <c:axId val="142974976"/>
        <c:axId val="142976896"/>
      </c:barChart>
      <c:catAx>
        <c:axId val="142974976"/>
        <c:scaling>
          <c:orientation val="minMax"/>
        </c:scaling>
        <c:delete val="0"/>
        <c:axPos val="b"/>
        <c:title>
          <c:tx>
            <c:rich>
              <a:bodyPr/>
              <a:lstStyle/>
              <a:p>
                <a:pPr>
                  <a:defRPr sz="1125" b="1" i="0" u="none" strike="noStrike" baseline="0">
                    <a:solidFill>
                      <a:srgbClr val="000000"/>
                    </a:solidFill>
                    <a:latin typeface="Arial"/>
                    <a:ea typeface="Arial"/>
                    <a:cs typeface="Arial"/>
                  </a:defRPr>
                </a:pPr>
                <a:r>
                  <a:rPr lang="en-AU"/>
                  <a:t>Station</a:t>
                </a:r>
              </a:p>
            </c:rich>
          </c:tx>
          <c:layout>
            <c:manualLayout>
              <c:xMode val="edge"/>
              <c:yMode val="edge"/>
              <c:x val="0.45539325441462675"/>
              <c:y val="0.8291413573303417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2976896"/>
        <c:crosses val="autoZero"/>
        <c:auto val="1"/>
        <c:lblAlgn val="ctr"/>
        <c:lblOffset val="100"/>
        <c:tickLblSkip val="1"/>
        <c:tickMarkSkip val="1"/>
        <c:noMultiLvlLbl val="0"/>
      </c:catAx>
      <c:valAx>
        <c:axId val="142976896"/>
        <c:scaling>
          <c:orientation val="minMax"/>
        </c:scaling>
        <c:delete val="0"/>
        <c:axPos val="l"/>
        <c:majorGridlines>
          <c:spPr>
            <a:ln w="3175">
              <a:solidFill>
                <a:srgbClr val="9D9B99"/>
              </a:solidFill>
              <a:prstDash val="solid"/>
            </a:ln>
          </c:spPr>
        </c:majorGridlines>
        <c:title>
          <c:tx>
            <c:rich>
              <a:bodyPr/>
              <a:lstStyle/>
              <a:p>
                <a:pPr>
                  <a:defRPr sz="1125" b="1" i="0" u="none" strike="noStrike" baseline="0">
                    <a:solidFill>
                      <a:srgbClr val="000000"/>
                    </a:solidFill>
                    <a:latin typeface="Arial"/>
                    <a:ea typeface="Arial"/>
                    <a:cs typeface="Arial"/>
                  </a:defRPr>
                </a:pPr>
                <a:r>
                  <a:rPr lang="en-AU"/>
                  <a:t>Patronage</a:t>
                </a:r>
              </a:p>
            </c:rich>
          </c:tx>
          <c:layout>
            <c:manualLayout>
              <c:xMode val="edge"/>
              <c:yMode val="edge"/>
              <c:x val="3.0030174799578692E-3"/>
              <c:y val="0.173885895841969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42974976"/>
        <c:crosses val="autoZero"/>
        <c:crossBetween val="between"/>
      </c:valAx>
      <c:spPr>
        <a:noFill/>
        <a:ln w="25400">
          <a:noFill/>
        </a:ln>
      </c:spPr>
    </c:plotArea>
    <c:legend>
      <c:legendPos val="r"/>
      <c:layout>
        <c:manualLayout>
          <c:xMode val="edge"/>
          <c:yMode val="edge"/>
          <c:x val="9.4311246808434654E-2"/>
          <c:y val="0.92664456416632135"/>
          <c:w val="0.85647425897035878"/>
          <c:h val="4.9792531120334028E-2"/>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7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58709457572045"/>
          <c:y val="3.3071053288190752E-2"/>
          <c:w val="0.80951448186014341"/>
          <c:h val="0.65963328770774754"/>
        </c:manualLayout>
      </c:layout>
      <c:barChart>
        <c:barDir val="col"/>
        <c:grouping val="stacked"/>
        <c:varyColors val="0"/>
        <c:ser>
          <c:idx val="1"/>
          <c:order val="0"/>
          <c:tx>
            <c:strRef>
              <c:f>Images!$B$3</c:f>
              <c:strCache>
                <c:ptCount val="1"/>
                <c:pt idx="0">
                  <c:v>Trucks</c:v>
                </c:pt>
              </c:strCache>
            </c:strRef>
          </c:tx>
          <c:spPr>
            <a:solidFill>
              <a:srgbClr val="BF1259"/>
            </a:solidFill>
          </c:spPr>
          <c:invertIfNegative val="0"/>
          <c:cat>
            <c:strRef>
              <c:f>Images!$C$1:$K$1</c:f>
              <c:strCache>
                <c:ptCount val="9"/>
                <c:pt idx="0">
                  <c:v>Western Fwy W of Ballan @ 79.4km Post</c:v>
                </c:pt>
                <c:pt idx="1">
                  <c:v>Western Fwy (Ballarat) btw Midland Hwy &amp; Daylesford-Ballarat Rd @107.2</c:v>
                </c:pt>
                <c:pt idx="2">
                  <c:v>Midland Hwy S of Creswick @ 12.3km Post</c:v>
                </c:pt>
                <c:pt idx="3">
                  <c:v>Pyrenees Hwy W of Newstead (Castlemaine) @ 21.5km Post</c:v>
                </c:pt>
                <c:pt idx="4">
                  <c:v>Western Hwy 2 W of Beaufort @169.8km Post</c:v>
                </c:pt>
                <c:pt idx="5">
                  <c:v>Wimmera Hwy W of St Arnaud 94.2km E of Horsham</c:v>
                </c:pt>
                <c:pt idx="6">
                  <c:v>Sunraysia Highway North of Stuart Mill @220.5km Post</c:v>
                </c:pt>
                <c:pt idx="7">
                  <c:v>Western Hwy 3 Near Dadswells Bridge @258.9km Post</c:v>
                </c:pt>
                <c:pt idx="8">
                  <c:v>Western Hwy 5 at Lillimur @ 420.0km Post</c:v>
                </c:pt>
              </c:strCache>
            </c:strRef>
          </c:cat>
          <c:val>
            <c:numRef>
              <c:f>Images!$C$3:$G$3</c:f>
              <c:numCache>
                <c:formatCode>General</c:formatCode>
                <c:ptCount val="5"/>
                <c:pt idx="0">
                  <c:v>2987</c:v>
                </c:pt>
                <c:pt idx="1">
                  <c:v>2593</c:v>
                </c:pt>
                <c:pt idx="2">
                  <c:v>575</c:v>
                </c:pt>
                <c:pt idx="3">
                  <c:v>429</c:v>
                </c:pt>
                <c:pt idx="4">
                  <c:v>1597</c:v>
                </c:pt>
              </c:numCache>
            </c:numRef>
          </c:val>
        </c:ser>
        <c:ser>
          <c:idx val="0"/>
          <c:order val="1"/>
          <c:tx>
            <c:strRef>
              <c:f>Images!$B$2</c:f>
              <c:strCache>
                <c:ptCount val="1"/>
                <c:pt idx="0">
                  <c:v>All Vehicles</c:v>
                </c:pt>
              </c:strCache>
            </c:strRef>
          </c:tx>
          <c:spPr>
            <a:solidFill>
              <a:srgbClr val="EDB9CC"/>
            </a:solidFill>
          </c:spPr>
          <c:invertIfNegative val="0"/>
          <c:cat>
            <c:strRef>
              <c:f>Images!$C$1:$K$1</c:f>
              <c:strCache>
                <c:ptCount val="9"/>
                <c:pt idx="0">
                  <c:v>Western Fwy W of Ballan @ 79.4km Post</c:v>
                </c:pt>
                <c:pt idx="1">
                  <c:v>Western Fwy (Ballarat) btw Midland Hwy &amp; Daylesford-Ballarat Rd @107.2</c:v>
                </c:pt>
                <c:pt idx="2">
                  <c:v>Midland Hwy S of Creswick @ 12.3km Post</c:v>
                </c:pt>
                <c:pt idx="3">
                  <c:v>Pyrenees Hwy W of Newstead (Castlemaine) @ 21.5km Post</c:v>
                </c:pt>
                <c:pt idx="4">
                  <c:v>Western Hwy 2 W of Beaufort @169.8km Post</c:v>
                </c:pt>
                <c:pt idx="5">
                  <c:v>Wimmera Hwy W of St Arnaud 94.2km E of Horsham</c:v>
                </c:pt>
                <c:pt idx="6">
                  <c:v>Sunraysia Highway North of Stuart Mill @220.5km Post</c:v>
                </c:pt>
                <c:pt idx="7">
                  <c:v>Western Hwy 3 Near Dadswells Bridge @258.9km Post</c:v>
                </c:pt>
                <c:pt idx="8">
                  <c:v>Western Hwy 5 at Lillimur @ 420.0km Post</c:v>
                </c:pt>
              </c:strCache>
            </c:strRef>
          </c:cat>
          <c:val>
            <c:numRef>
              <c:f>Images!$C$2:$G$2</c:f>
              <c:numCache>
                <c:formatCode>General</c:formatCode>
                <c:ptCount val="5"/>
                <c:pt idx="0">
                  <c:v>17958</c:v>
                </c:pt>
                <c:pt idx="1">
                  <c:v>11340</c:v>
                </c:pt>
                <c:pt idx="2">
                  <c:v>7084</c:v>
                </c:pt>
                <c:pt idx="3">
                  <c:v>1386</c:v>
                </c:pt>
                <c:pt idx="4">
                  <c:v>5810</c:v>
                </c:pt>
              </c:numCache>
            </c:numRef>
          </c:val>
        </c:ser>
        <c:dLbls>
          <c:showLegendKey val="0"/>
          <c:showVal val="0"/>
          <c:showCatName val="0"/>
          <c:showSerName val="0"/>
          <c:showPercent val="0"/>
          <c:showBubbleSize val="0"/>
        </c:dLbls>
        <c:gapWidth val="150"/>
        <c:overlap val="100"/>
        <c:axId val="143002624"/>
        <c:axId val="143004416"/>
      </c:barChart>
      <c:catAx>
        <c:axId val="143002624"/>
        <c:scaling>
          <c:orientation val="minMax"/>
        </c:scaling>
        <c:delete val="0"/>
        <c:axPos val="b"/>
        <c:majorTickMark val="out"/>
        <c:minorTickMark val="none"/>
        <c:tickLblPos val="nextTo"/>
        <c:txPr>
          <a:bodyPr rot="0" vert="horz"/>
          <a:lstStyle/>
          <a:p>
            <a:pPr>
              <a:defRPr/>
            </a:pPr>
            <a:endParaRPr lang="en-US"/>
          </a:p>
        </c:txPr>
        <c:crossAx val="143004416"/>
        <c:crosses val="autoZero"/>
        <c:auto val="1"/>
        <c:lblAlgn val="ctr"/>
        <c:lblOffset val="100"/>
        <c:noMultiLvlLbl val="0"/>
      </c:catAx>
      <c:valAx>
        <c:axId val="143004416"/>
        <c:scaling>
          <c:orientation val="minMax"/>
        </c:scaling>
        <c:delete val="0"/>
        <c:axPos val="l"/>
        <c:majorGridlines/>
        <c:title>
          <c:tx>
            <c:rich>
              <a:bodyPr rot="-5400000" vert="horz"/>
              <a:lstStyle/>
              <a:p>
                <a:pPr>
                  <a:defRPr/>
                </a:pPr>
                <a:r>
                  <a:rPr lang="en-AU"/>
                  <a:t>Annual Average Daily Traffic</a:t>
                </a:r>
              </a:p>
            </c:rich>
          </c:tx>
          <c:layout>
            <c:manualLayout>
              <c:xMode val="edge"/>
              <c:yMode val="edge"/>
              <c:x val="2.0206727692607352E-3"/>
              <c:y val="0.18481522631756941"/>
            </c:manualLayout>
          </c:layout>
          <c:overlay val="0"/>
        </c:title>
        <c:numFmt formatCode="#,##0" sourceLinked="0"/>
        <c:majorTickMark val="out"/>
        <c:minorTickMark val="none"/>
        <c:tickLblPos val="nextTo"/>
        <c:crossAx val="143002624"/>
        <c:crosses val="autoZero"/>
        <c:crossBetween val="between"/>
      </c:valAx>
    </c:plotArea>
    <c:legend>
      <c:legendPos val="b"/>
      <c:overlay val="0"/>
    </c:legend>
    <c:plotVisOnly val="1"/>
    <c:dispBlanksAs val="gap"/>
    <c:showDLblsOverMax val="0"/>
  </c:chart>
  <c:txPr>
    <a:bodyPr/>
    <a:lstStyle/>
    <a:p>
      <a:pPr>
        <a:defRPr kern="800" baseline="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44423-4885-4A88-9DD9-54F289888EFD}">
  <ds:schemaRefs>
    <ds:schemaRef ds:uri="http://schemas.openxmlformats.org/officeDocument/2006/bibliography"/>
  </ds:schemaRefs>
</ds:datastoreItem>
</file>

<file path=customXml/itemProps2.xml><?xml version="1.0" encoding="utf-8"?>
<ds:datastoreItem xmlns:ds="http://schemas.openxmlformats.org/officeDocument/2006/customXml" ds:itemID="{9D9C5A44-77AE-47F1-A3F3-BE6D65726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40522</Words>
  <Characters>230981</Characters>
  <Application>Microsoft Office Word</Application>
  <DocSecurity>4</DocSecurity>
  <Lines>1924</Lines>
  <Paragraphs>541</Paragraphs>
  <ScaleCrop>false</ScaleCrop>
  <HeadingPairs>
    <vt:vector size="2" baseType="variant">
      <vt:variant>
        <vt:lpstr>Title</vt:lpstr>
      </vt:variant>
      <vt:variant>
        <vt:i4>1</vt:i4>
      </vt:variant>
    </vt:vector>
  </HeadingPairs>
  <TitlesOfParts>
    <vt:vector size="1" baseType="lpstr">
      <vt:lpstr/>
    </vt:vector>
  </TitlesOfParts>
  <Company>CenITex</Company>
  <LinksUpToDate>false</LinksUpToDate>
  <CharactersWithSpaces>270962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rw78</dc:creator>
  <cp:lastModifiedBy>Sarah Keating</cp:lastModifiedBy>
  <cp:revision>2</cp:revision>
  <cp:lastPrinted>2014-02-18T02:47:00Z</cp:lastPrinted>
  <dcterms:created xsi:type="dcterms:W3CDTF">2017-07-12T04:25:00Z</dcterms:created>
  <dcterms:modified xsi:type="dcterms:W3CDTF">2017-07-12T04:25:00Z</dcterms:modified>
</cp:coreProperties>
</file>