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38" w:rsidRPr="00472E49" w:rsidRDefault="00F36F38" w:rsidP="00D019C4">
      <w:pPr>
        <w:jc w:val="both"/>
        <w:rPr>
          <w:b/>
          <w:sz w:val="20"/>
          <w:szCs w:val="20"/>
          <w:u w:val="single"/>
          <w:lang w:eastAsia="en-US"/>
        </w:rPr>
      </w:pPr>
      <w:bookmarkStart w:id="0" w:name="_GoBack"/>
      <w:bookmarkEnd w:id="0"/>
      <w:r w:rsidRPr="00F079DB">
        <w:rPr>
          <w:rFonts w:ascii="Tahoma" w:hAnsi="Tahoma" w:cs="Tahoma"/>
          <w:b/>
          <w:sz w:val="18"/>
          <w:szCs w:val="20"/>
          <w:u w:val="single"/>
          <w:lang w:eastAsia="en-US"/>
        </w:rPr>
        <w:t>Attachment 2</w:t>
      </w:r>
      <w:r w:rsidRPr="00F079DB">
        <w:rPr>
          <w:rFonts w:ascii="Tahoma" w:hAnsi="Tahoma" w:cs="Tahoma"/>
          <w:b/>
          <w:sz w:val="18"/>
          <w:szCs w:val="20"/>
          <w:lang w:eastAsia="en-US"/>
        </w:rPr>
        <w:t xml:space="preserve">          </w:t>
      </w:r>
    </w:p>
    <w:p w:rsidR="00F36F38" w:rsidRPr="00F079DB" w:rsidRDefault="00F36F38" w:rsidP="00D019C4">
      <w:pPr>
        <w:keepNext/>
        <w:jc w:val="both"/>
        <w:outlineLvl w:val="0"/>
        <w:rPr>
          <w:rFonts w:ascii="Tahoma" w:hAnsi="Tahoma" w:cs="Tahoma"/>
          <w:b/>
          <w:bCs/>
          <w:sz w:val="22"/>
          <w:lang w:eastAsia="en-US"/>
        </w:rPr>
      </w:pPr>
      <w:r w:rsidRPr="00F079DB">
        <w:rPr>
          <w:rFonts w:ascii="Tahoma" w:hAnsi="Tahoma" w:cs="Tahoma"/>
          <w:b/>
          <w:bCs/>
          <w:sz w:val="22"/>
          <w:lang w:eastAsia="en-US"/>
        </w:rPr>
        <w:t>For Public Notice via Internet</w:t>
      </w:r>
    </w:p>
    <w:p w:rsidR="00F36F38" w:rsidRPr="008116B7" w:rsidRDefault="00F36F38" w:rsidP="00D019C4">
      <w:pPr>
        <w:jc w:val="both"/>
        <w:rPr>
          <w:rFonts w:ascii="Tahoma" w:hAnsi="Tahoma" w:cs="Tahoma"/>
          <w:b/>
          <w:szCs w:val="20"/>
          <w:lang w:eastAsia="en-US"/>
        </w:rPr>
      </w:pPr>
    </w:p>
    <w:p w:rsidR="00F36F38" w:rsidRPr="008116B7" w:rsidRDefault="00F36F38" w:rsidP="00D019C4">
      <w:pPr>
        <w:jc w:val="both"/>
        <w:rPr>
          <w:rFonts w:ascii="Tahoma" w:hAnsi="Tahoma" w:cs="Tahoma"/>
          <w:b/>
          <w:szCs w:val="20"/>
          <w:lang w:eastAsia="en-US"/>
        </w:rPr>
      </w:pPr>
    </w:p>
    <w:p w:rsidR="00F36F38" w:rsidRPr="00F079DB" w:rsidRDefault="00F36F38" w:rsidP="00D019C4">
      <w:pPr>
        <w:jc w:val="both"/>
        <w:rPr>
          <w:rFonts w:ascii="Tahoma" w:hAnsi="Tahoma" w:cs="Tahoma"/>
          <w:b/>
          <w:i/>
          <w:sz w:val="22"/>
          <w:szCs w:val="20"/>
          <w:lang w:eastAsia="en-US"/>
        </w:rPr>
      </w:pPr>
      <w:r w:rsidRPr="00F079DB">
        <w:rPr>
          <w:rFonts w:ascii="Tahoma" w:hAnsi="Tahoma" w:cs="Tahoma"/>
          <w:b/>
          <w:sz w:val="22"/>
          <w:szCs w:val="20"/>
          <w:lang w:eastAsia="en-US"/>
        </w:rPr>
        <w:t xml:space="preserve">REASONS FOR DECISION UNDER </w:t>
      </w:r>
      <w:r w:rsidRPr="00F079DB">
        <w:rPr>
          <w:rFonts w:ascii="Tahoma" w:hAnsi="Tahoma" w:cs="Tahoma"/>
          <w:b/>
          <w:i/>
          <w:sz w:val="22"/>
          <w:szCs w:val="20"/>
          <w:lang w:eastAsia="en-US"/>
        </w:rPr>
        <w:t>ENVIRONMENT EFFECTS ACT 1978</w:t>
      </w:r>
    </w:p>
    <w:p w:rsidR="00F36F38" w:rsidRPr="00F079DB" w:rsidRDefault="00F36F38" w:rsidP="00D019C4">
      <w:pPr>
        <w:jc w:val="both"/>
        <w:rPr>
          <w:rFonts w:ascii="Tahoma" w:hAnsi="Tahoma" w:cs="Tahoma"/>
          <w:b/>
          <w:i/>
          <w:sz w:val="22"/>
          <w:szCs w:val="20"/>
          <w:lang w:eastAsia="en-US"/>
        </w:rPr>
      </w:pPr>
    </w:p>
    <w:p w:rsidR="00F36F38" w:rsidRPr="008116B7" w:rsidRDefault="00F36F38" w:rsidP="00D019C4">
      <w:pPr>
        <w:jc w:val="both"/>
        <w:rPr>
          <w:rFonts w:ascii="Tahoma" w:hAnsi="Tahoma" w:cs="Tahoma"/>
          <w:b/>
          <w:szCs w:val="20"/>
          <w:lang w:eastAsia="en-US"/>
        </w:rPr>
      </w:pPr>
    </w:p>
    <w:p w:rsidR="00F36F38" w:rsidRPr="00F079DB" w:rsidRDefault="00F36F38" w:rsidP="00D019C4">
      <w:pPr>
        <w:ind w:left="2880" w:hanging="2880"/>
        <w:jc w:val="both"/>
        <w:rPr>
          <w:rFonts w:ascii="Tahoma" w:hAnsi="Tahoma" w:cs="Tahoma"/>
          <w:b/>
          <w:sz w:val="22"/>
          <w:szCs w:val="22"/>
          <w:lang w:eastAsia="en-US"/>
        </w:rPr>
      </w:pPr>
      <w:r w:rsidRPr="00F079DB">
        <w:rPr>
          <w:rFonts w:ascii="Tahoma" w:hAnsi="Tahoma" w:cs="Tahoma"/>
          <w:b/>
          <w:sz w:val="22"/>
          <w:szCs w:val="22"/>
          <w:lang w:eastAsia="en-US"/>
        </w:rPr>
        <w:t>Title of Proposal:</w:t>
      </w:r>
      <w:r w:rsidRPr="00F079DB">
        <w:rPr>
          <w:rFonts w:ascii="Tahoma" w:hAnsi="Tahoma" w:cs="Tahoma"/>
          <w:b/>
          <w:sz w:val="22"/>
          <w:szCs w:val="22"/>
          <w:lang w:eastAsia="en-US"/>
        </w:rPr>
        <w:tab/>
      </w:r>
      <w:r w:rsidR="001E5C0C">
        <w:rPr>
          <w:rFonts w:ascii="Tahoma" w:hAnsi="Tahoma" w:cs="Tahoma"/>
          <w:b/>
          <w:sz w:val="22"/>
          <w:szCs w:val="22"/>
          <w:lang w:eastAsia="en-US"/>
        </w:rPr>
        <w:t>Edithvale and Bonbeach level crossing removal</w:t>
      </w:r>
      <w:r w:rsidR="008071E2">
        <w:rPr>
          <w:rFonts w:ascii="Tahoma" w:hAnsi="Tahoma" w:cs="Tahoma"/>
          <w:b/>
          <w:sz w:val="22"/>
          <w:szCs w:val="22"/>
          <w:lang w:eastAsia="en-US"/>
        </w:rPr>
        <w:t>s</w:t>
      </w:r>
      <w:r w:rsidR="001E5C0C">
        <w:rPr>
          <w:rFonts w:ascii="Tahoma" w:hAnsi="Tahoma" w:cs="Tahoma"/>
          <w:b/>
          <w:sz w:val="22"/>
          <w:szCs w:val="22"/>
          <w:lang w:eastAsia="en-US"/>
        </w:rPr>
        <w:t xml:space="preserve"> </w:t>
      </w:r>
    </w:p>
    <w:p w:rsidR="00F36F38" w:rsidRPr="00F079DB" w:rsidRDefault="00F36F38" w:rsidP="00D019C4">
      <w:pPr>
        <w:jc w:val="both"/>
        <w:rPr>
          <w:rFonts w:ascii="Tahoma" w:hAnsi="Tahoma" w:cs="Tahoma"/>
          <w:b/>
          <w:sz w:val="22"/>
          <w:szCs w:val="22"/>
          <w:lang w:eastAsia="en-US"/>
        </w:rPr>
      </w:pPr>
    </w:p>
    <w:p w:rsidR="00F36F38" w:rsidRPr="00F079DB" w:rsidRDefault="00F36F38" w:rsidP="00D019C4">
      <w:pPr>
        <w:ind w:left="2880" w:hanging="2880"/>
        <w:jc w:val="both"/>
        <w:rPr>
          <w:rFonts w:ascii="Tahoma" w:hAnsi="Tahoma" w:cs="Tahoma"/>
          <w:b/>
          <w:sz w:val="22"/>
          <w:szCs w:val="22"/>
          <w:lang w:eastAsia="en-US"/>
        </w:rPr>
      </w:pPr>
      <w:r w:rsidRPr="00F079DB">
        <w:rPr>
          <w:rFonts w:ascii="Tahoma" w:hAnsi="Tahoma" w:cs="Tahoma"/>
          <w:b/>
          <w:sz w:val="22"/>
          <w:szCs w:val="22"/>
          <w:lang w:eastAsia="en-US"/>
        </w:rPr>
        <w:t>Proponent:</w:t>
      </w:r>
      <w:r w:rsidRPr="00F079DB">
        <w:rPr>
          <w:rFonts w:ascii="Tahoma" w:hAnsi="Tahoma" w:cs="Tahoma"/>
          <w:b/>
          <w:sz w:val="22"/>
          <w:szCs w:val="22"/>
          <w:lang w:eastAsia="en-US"/>
        </w:rPr>
        <w:tab/>
      </w:r>
      <w:r w:rsidR="00472E49" w:rsidRPr="00472E49">
        <w:rPr>
          <w:rFonts w:ascii="Tahoma" w:hAnsi="Tahoma" w:cs="Tahoma"/>
          <w:b/>
          <w:sz w:val="22"/>
          <w:szCs w:val="22"/>
          <w:lang w:eastAsia="en-US"/>
        </w:rPr>
        <w:t>Level Crossing Removal Authority</w:t>
      </w:r>
    </w:p>
    <w:p w:rsidR="00F36F38" w:rsidRPr="00F079DB" w:rsidRDefault="00F36F38" w:rsidP="00D019C4">
      <w:pPr>
        <w:jc w:val="both"/>
        <w:rPr>
          <w:rFonts w:ascii="Tahoma" w:hAnsi="Tahoma" w:cs="Tahoma"/>
          <w:b/>
          <w:sz w:val="22"/>
          <w:szCs w:val="22"/>
          <w:lang w:eastAsia="en-US"/>
        </w:rPr>
      </w:pPr>
    </w:p>
    <w:p w:rsidR="00F36F38" w:rsidRDefault="00F36F38" w:rsidP="00D019C4">
      <w:pPr>
        <w:jc w:val="both"/>
        <w:rPr>
          <w:rFonts w:ascii="Tahoma" w:hAnsi="Tahoma" w:cs="Tahoma"/>
          <w:b/>
          <w:sz w:val="22"/>
          <w:szCs w:val="22"/>
          <w:lang w:eastAsia="en-US"/>
        </w:rPr>
      </w:pPr>
    </w:p>
    <w:p w:rsidR="00F36F38" w:rsidRDefault="00F36F38" w:rsidP="00D019C4">
      <w:pPr>
        <w:jc w:val="both"/>
        <w:rPr>
          <w:rFonts w:ascii="Tahoma" w:hAnsi="Tahoma" w:cs="Tahoma"/>
          <w:b/>
          <w:sz w:val="22"/>
          <w:szCs w:val="22"/>
          <w:lang w:eastAsia="en-US"/>
        </w:rPr>
      </w:pPr>
      <w:r w:rsidRPr="00F079DB">
        <w:rPr>
          <w:rFonts w:ascii="Tahoma" w:hAnsi="Tahoma" w:cs="Tahoma"/>
          <w:b/>
          <w:sz w:val="22"/>
          <w:szCs w:val="22"/>
          <w:lang w:eastAsia="en-US"/>
        </w:rPr>
        <w:t>Description of Project:</w:t>
      </w:r>
      <w:r w:rsidRPr="00F079DB">
        <w:rPr>
          <w:rFonts w:ascii="Tahoma" w:hAnsi="Tahoma" w:cs="Tahoma"/>
          <w:b/>
          <w:sz w:val="22"/>
          <w:szCs w:val="22"/>
          <w:lang w:eastAsia="en-US"/>
        </w:rPr>
        <w:tab/>
      </w:r>
    </w:p>
    <w:p w:rsidR="001E5C0C" w:rsidRPr="00F079DB" w:rsidRDefault="001E5C0C" w:rsidP="00D019C4">
      <w:pPr>
        <w:jc w:val="both"/>
        <w:rPr>
          <w:rFonts w:ascii="Tahoma" w:hAnsi="Tahoma" w:cs="Tahoma"/>
          <w:b/>
          <w:sz w:val="22"/>
          <w:szCs w:val="22"/>
          <w:lang w:eastAsia="en-US"/>
        </w:rPr>
      </w:pPr>
    </w:p>
    <w:p w:rsidR="00F36F38" w:rsidRDefault="001E5C0C" w:rsidP="00D019C4">
      <w:pPr>
        <w:jc w:val="both"/>
        <w:rPr>
          <w:rFonts w:ascii="Tahoma" w:hAnsi="Tahoma" w:cs="Tahoma"/>
          <w:sz w:val="22"/>
          <w:szCs w:val="22"/>
        </w:rPr>
      </w:pPr>
      <w:r w:rsidRPr="00CA4CE0">
        <w:rPr>
          <w:rFonts w:ascii="Tahoma" w:hAnsi="Tahoma" w:cs="Tahoma"/>
          <w:sz w:val="22"/>
          <w:szCs w:val="22"/>
        </w:rPr>
        <w:t>This referral is for two</w:t>
      </w:r>
      <w:r w:rsidR="006D28B0">
        <w:rPr>
          <w:rFonts w:ascii="Tahoma" w:hAnsi="Tahoma" w:cs="Tahoma"/>
          <w:sz w:val="22"/>
          <w:szCs w:val="22"/>
        </w:rPr>
        <w:t xml:space="preserve"> crossings</w:t>
      </w:r>
      <w:r w:rsidRPr="00CA4CE0">
        <w:rPr>
          <w:rFonts w:ascii="Tahoma" w:hAnsi="Tahoma" w:cs="Tahoma"/>
          <w:sz w:val="22"/>
          <w:szCs w:val="22"/>
        </w:rPr>
        <w:t xml:space="preserve"> that are part of the Victoria Government’s program to remove 50 level crossings in Melbourne. </w:t>
      </w:r>
      <w:r w:rsidR="00821BC5">
        <w:rPr>
          <w:rFonts w:ascii="Tahoma" w:hAnsi="Tahoma" w:cs="Tahoma"/>
          <w:sz w:val="22"/>
          <w:szCs w:val="22"/>
        </w:rPr>
        <w:t xml:space="preserve"> </w:t>
      </w:r>
      <w:r w:rsidRPr="00CA4CE0">
        <w:rPr>
          <w:rFonts w:ascii="Tahoma" w:hAnsi="Tahoma" w:cs="Tahoma"/>
          <w:sz w:val="22"/>
          <w:szCs w:val="22"/>
        </w:rPr>
        <w:t xml:space="preserve">These are the level crossing removals at Edithvale Road, Edithvale and Station Street/Bondi Road, Bonbeach. </w:t>
      </w:r>
      <w:r w:rsidR="00821BC5">
        <w:rPr>
          <w:rFonts w:ascii="Tahoma" w:hAnsi="Tahoma" w:cs="Tahoma"/>
          <w:sz w:val="22"/>
          <w:szCs w:val="22"/>
        </w:rPr>
        <w:t xml:space="preserve"> R</w:t>
      </w:r>
      <w:r w:rsidRPr="00CA4CE0">
        <w:rPr>
          <w:rFonts w:ascii="Tahoma" w:hAnsi="Tahoma" w:cs="Tahoma"/>
          <w:sz w:val="22"/>
          <w:szCs w:val="22"/>
        </w:rPr>
        <w:t>ail under road has been identified as the preferred option at both Edithvale and Bonbeach</w:t>
      </w:r>
      <w:r w:rsidR="00821BC5">
        <w:rPr>
          <w:rFonts w:ascii="Tahoma" w:hAnsi="Tahoma" w:cs="Tahoma"/>
          <w:sz w:val="22"/>
          <w:szCs w:val="22"/>
        </w:rPr>
        <w:t xml:space="preserve">.  Two trenches, </w:t>
      </w:r>
      <w:r w:rsidR="006D28B0">
        <w:rPr>
          <w:rFonts w:ascii="Tahoma" w:hAnsi="Tahoma" w:cs="Tahoma"/>
          <w:sz w:val="22"/>
          <w:szCs w:val="22"/>
        </w:rPr>
        <w:t xml:space="preserve">approximately 8 metres </w:t>
      </w:r>
      <w:r w:rsidR="00821BC5">
        <w:rPr>
          <w:rFonts w:ascii="Tahoma" w:hAnsi="Tahoma" w:cs="Tahoma"/>
          <w:sz w:val="22"/>
          <w:szCs w:val="22"/>
        </w:rPr>
        <w:t>deep</w:t>
      </w:r>
      <w:r w:rsidR="006D28B0">
        <w:rPr>
          <w:rFonts w:ascii="Tahoma" w:hAnsi="Tahoma" w:cs="Tahoma"/>
          <w:sz w:val="22"/>
          <w:szCs w:val="22"/>
        </w:rPr>
        <w:t xml:space="preserve">, </w:t>
      </w:r>
      <w:r w:rsidR="00821BC5">
        <w:rPr>
          <w:rFonts w:ascii="Tahoma" w:hAnsi="Tahoma" w:cs="Tahoma"/>
          <w:sz w:val="22"/>
          <w:szCs w:val="22"/>
        </w:rPr>
        <w:t>12 metres wide, and 1,000 metres and 1,100 metres long for Edithvale and Bonbeach, respectively</w:t>
      </w:r>
      <w:r w:rsidR="005A298E">
        <w:rPr>
          <w:rFonts w:ascii="Tahoma" w:hAnsi="Tahoma" w:cs="Tahoma"/>
          <w:sz w:val="22"/>
          <w:szCs w:val="22"/>
        </w:rPr>
        <w:t>,</w:t>
      </w:r>
      <w:r w:rsidR="00821BC5">
        <w:rPr>
          <w:rFonts w:ascii="Tahoma" w:hAnsi="Tahoma" w:cs="Tahoma"/>
          <w:sz w:val="22"/>
          <w:szCs w:val="22"/>
        </w:rPr>
        <w:t xml:space="preserve"> will be constructed </w:t>
      </w:r>
      <w:r w:rsidR="006D28B0">
        <w:rPr>
          <w:rFonts w:ascii="Tahoma" w:hAnsi="Tahoma" w:cs="Tahoma"/>
          <w:sz w:val="22"/>
          <w:szCs w:val="22"/>
        </w:rPr>
        <w:t>within the existing rail corridor</w:t>
      </w:r>
      <w:r w:rsidRPr="00CA4CE0">
        <w:rPr>
          <w:rFonts w:ascii="Tahoma" w:hAnsi="Tahoma" w:cs="Tahoma"/>
          <w:sz w:val="22"/>
          <w:szCs w:val="22"/>
        </w:rPr>
        <w:t>.</w:t>
      </w:r>
    </w:p>
    <w:p w:rsidR="001E5C0C" w:rsidRPr="006079FC" w:rsidRDefault="001E5C0C" w:rsidP="00D019C4">
      <w:pPr>
        <w:jc w:val="both"/>
        <w:rPr>
          <w:rFonts w:ascii="Tahoma" w:hAnsi="Tahoma" w:cs="Tahoma"/>
          <w:b/>
          <w:sz w:val="22"/>
          <w:szCs w:val="22"/>
          <w:lang w:eastAsia="en-US"/>
        </w:rPr>
      </w:pPr>
    </w:p>
    <w:p w:rsidR="00F36F38" w:rsidRPr="006079FC" w:rsidRDefault="00F36F38" w:rsidP="00D019C4">
      <w:pPr>
        <w:jc w:val="both"/>
        <w:rPr>
          <w:rFonts w:ascii="Tahoma" w:hAnsi="Tahoma" w:cs="Tahoma"/>
          <w:b/>
          <w:sz w:val="22"/>
          <w:szCs w:val="22"/>
          <w:lang w:eastAsia="en-US"/>
        </w:rPr>
      </w:pPr>
      <w:r w:rsidRPr="006079FC">
        <w:rPr>
          <w:rFonts w:ascii="Tahoma" w:hAnsi="Tahoma" w:cs="Tahoma"/>
          <w:b/>
          <w:sz w:val="22"/>
          <w:szCs w:val="22"/>
          <w:lang w:eastAsia="en-US"/>
        </w:rPr>
        <w:t>Decision:</w:t>
      </w:r>
    </w:p>
    <w:p w:rsidR="00F36F38" w:rsidRPr="006079FC" w:rsidRDefault="00F36F38">
      <w:pPr>
        <w:spacing w:before="120"/>
        <w:jc w:val="both"/>
        <w:rPr>
          <w:rFonts w:ascii="Tahoma" w:hAnsi="Tahoma" w:cs="Tahoma"/>
          <w:sz w:val="22"/>
          <w:szCs w:val="22"/>
          <w:lang w:eastAsia="en-US"/>
        </w:rPr>
      </w:pPr>
      <w:r w:rsidRPr="00F42519">
        <w:rPr>
          <w:rFonts w:ascii="Tahoma" w:hAnsi="Tahoma" w:cs="Tahoma"/>
          <w:sz w:val="22"/>
          <w:szCs w:val="22"/>
          <w:lang w:eastAsia="en-US"/>
        </w:rPr>
        <w:t xml:space="preserve">The Minister for Planning has decided that an Environment Effects Statement (EES) </w:t>
      </w:r>
      <w:r w:rsidR="005D2E4B" w:rsidRPr="00F42519">
        <w:rPr>
          <w:rFonts w:ascii="Tahoma" w:hAnsi="Tahoma" w:cs="Tahoma"/>
          <w:sz w:val="22"/>
          <w:szCs w:val="22"/>
          <w:u w:val="single"/>
          <w:lang w:eastAsia="en-US"/>
        </w:rPr>
        <w:t xml:space="preserve">is </w:t>
      </w:r>
      <w:r w:rsidRPr="00F42519">
        <w:rPr>
          <w:rFonts w:ascii="Tahoma" w:hAnsi="Tahoma" w:cs="Tahoma"/>
          <w:sz w:val="22"/>
          <w:szCs w:val="22"/>
          <w:u w:val="single"/>
          <w:lang w:eastAsia="en-US"/>
        </w:rPr>
        <w:t>required</w:t>
      </w:r>
      <w:r w:rsidR="00A571AA" w:rsidRPr="00F42519">
        <w:rPr>
          <w:rFonts w:ascii="Tahoma" w:hAnsi="Tahoma" w:cs="Tahoma"/>
          <w:sz w:val="22"/>
          <w:szCs w:val="22"/>
          <w:u w:val="single"/>
          <w:lang w:eastAsia="en-US"/>
        </w:rPr>
        <w:t xml:space="preserve"> </w:t>
      </w:r>
      <w:r w:rsidRPr="00F42519">
        <w:rPr>
          <w:rFonts w:ascii="Tahoma" w:hAnsi="Tahoma" w:cs="Tahoma"/>
          <w:sz w:val="22"/>
          <w:szCs w:val="22"/>
          <w:lang w:eastAsia="en-US"/>
        </w:rPr>
        <w:t xml:space="preserve">for </w:t>
      </w:r>
      <w:r w:rsidR="00132806">
        <w:rPr>
          <w:rFonts w:ascii="Tahoma" w:hAnsi="Tahoma" w:cs="Tahoma"/>
          <w:sz w:val="22"/>
          <w:szCs w:val="22"/>
          <w:lang w:eastAsia="en-US"/>
        </w:rPr>
        <w:t>the project</w:t>
      </w:r>
      <w:r w:rsidR="005D2E4B" w:rsidRPr="006079FC">
        <w:rPr>
          <w:rFonts w:ascii="Tahoma" w:hAnsi="Tahoma" w:cs="Tahoma"/>
          <w:sz w:val="22"/>
          <w:szCs w:val="22"/>
          <w:lang w:eastAsia="en-US"/>
        </w:rPr>
        <w:t>,</w:t>
      </w:r>
      <w:r w:rsidRPr="006079FC">
        <w:rPr>
          <w:rFonts w:ascii="Tahoma" w:hAnsi="Tahoma" w:cs="Tahoma"/>
          <w:sz w:val="22"/>
          <w:szCs w:val="22"/>
          <w:lang w:eastAsia="en-US"/>
        </w:rPr>
        <w:t xml:space="preserve"> as described in the referral accepted on </w:t>
      </w:r>
      <w:r w:rsidR="001E5C0C">
        <w:rPr>
          <w:rFonts w:ascii="Tahoma" w:hAnsi="Tahoma" w:cs="Tahoma"/>
          <w:sz w:val="22"/>
          <w:szCs w:val="22"/>
          <w:lang w:eastAsia="en-US"/>
        </w:rPr>
        <w:t>9</w:t>
      </w:r>
      <w:r w:rsidR="00652CFC" w:rsidRPr="006079FC">
        <w:rPr>
          <w:rFonts w:ascii="Tahoma" w:hAnsi="Tahoma" w:cs="Tahoma"/>
          <w:sz w:val="22"/>
          <w:szCs w:val="22"/>
          <w:lang w:eastAsia="en-US"/>
        </w:rPr>
        <w:t xml:space="preserve"> </w:t>
      </w:r>
      <w:r w:rsidR="001E5C0C">
        <w:rPr>
          <w:rFonts w:ascii="Tahoma" w:hAnsi="Tahoma" w:cs="Tahoma"/>
          <w:sz w:val="22"/>
          <w:szCs w:val="22"/>
          <w:lang w:eastAsia="en-US"/>
        </w:rPr>
        <w:t>March 2017</w:t>
      </w:r>
      <w:r w:rsidR="00132806">
        <w:rPr>
          <w:rFonts w:ascii="Tahoma" w:hAnsi="Tahoma" w:cs="Tahoma"/>
          <w:sz w:val="22"/>
          <w:szCs w:val="22"/>
          <w:lang w:eastAsia="en-US"/>
        </w:rPr>
        <w:t>.</w:t>
      </w:r>
      <w:r w:rsidRPr="006079FC">
        <w:rPr>
          <w:rFonts w:ascii="Tahoma" w:hAnsi="Tahoma" w:cs="Tahoma"/>
          <w:sz w:val="22"/>
          <w:szCs w:val="22"/>
          <w:lang w:eastAsia="en-US"/>
        </w:rPr>
        <w:t xml:space="preserve"> </w:t>
      </w:r>
    </w:p>
    <w:p w:rsidR="00F857E2" w:rsidRPr="00187BB6" w:rsidRDefault="00F857E2">
      <w:pPr>
        <w:spacing w:before="120"/>
        <w:jc w:val="both"/>
        <w:rPr>
          <w:rFonts w:ascii="Tahoma" w:hAnsi="Tahoma" w:cs="Tahoma"/>
          <w:sz w:val="22"/>
          <w:szCs w:val="22"/>
          <w:lang w:eastAsia="en-US"/>
        </w:rPr>
      </w:pPr>
    </w:p>
    <w:p w:rsidR="00551AF3" w:rsidRDefault="00F36F38" w:rsidP="00D019C4">
      <w:pPr>
        <w:jc w:val="both"/>
        <w:rPr>
          <w:rFonts w:ascii="Tahoma" w:hAnsi="Tahoma" w:cs="Tahoma"/>
          <w:b/>
          <w:sz w:val="22"/>
          <w:szCs w:val="20"/>
          <w:lang w:eastAsia="en-US"/>
        </w:rPr>
      </w:pPr>
      <w:r w:rsidRPr="00F079DB">
        <w:rPr>
          <w:rFonts w:ascii="Tahoma" w:hAnsi="Tahoma" w:cs="Tahoma"/>
          <w:b/>
          <w:sz w:val="22"/>
          <w:szCs w:val="20"/>
          <w:lang w:eastAsia="en-US"/>
        </w:rPr>
        <w:t>Reasons for Decision:</w:t>
      </w:r>
      <w:r>
        <w:rPr>
          <w:rFonts w:ascii="Tahoma" w:hAnsi="Tahoma" w:cs="Tahoma"/>
          <w:b/>
          <w:sz w:val="22"/>
          <w:szCs w:val="20"/>
          <w:lang w:eastAsia="en-US"/>
        </w:rPr>
        <w:t xml:space="preserve">   </w:t>
      </w:r>
    </w:p>
    <w:p w:rsidR="008E5A0C" w:rsidRPr="001F6353" w:rsidRDefault="008E5A0C" w:rsidP="00D019C4">
      <w:pPr>
        <w:jc w:val="both"/>
        <w:rPr>
          <w:rFonts w:ascii="Tahoma" w:hAnsi="Tahoma" w:cs="Tahoma"/>
          <w:sz w:val="22"/>
          <w:szCs w:val="20"/>
          <w:lang w:eastAsia="en-US"/>
        </w:rPr>
      </w:pPr>
    </w:p>
    <w:p w:rsidR="008E5A0C" w:rsidRPr="00CA4CE0" w:rsidRDefault="008E5A0C">
      <w:pPr>
        <w:pStyle w:val="Parah0number"/>
        <w:numPr>
          <w:ilvl w:val="0"/>
          <w:numId w:val="25"/>
        </w:numPr>
        <w:ind w:left="340" w:hanging="340"/>
        <w:jc w:val="both"/>
        <w:rPr>
          <w:rFonts w:cs="Arial"/>
        </w:rPr>
      </w:pPr>
      <w:r w:rsidRPr="00CA4CE0">
        <w:rPr>
          <w:rFonts w:cs="Arial"/>
        </w:rPr>
        <w:t>The project has the potential for a range of significant environmental effects.  In particular the project as proposed is likely to have significant effects on:</w:t>
      </w:r>
    </w:p>
    <w:p w:rsidR="00CA4CE0" w:rsidRPr="00A12063" w:rsidRDefault="00821BC5" w:rsidP="00D019C4">
      <w:pPr>
        <w:pStyle w:val="Parah0number"/>
        <w:numPr>
          <w:ilvl w:val="0"/>
          <w:numId w:val="26"/>
        </w:numPr>
        <w:spacing w:before="80" w:after="40"/>
        <w:ind w:left="714" w:hanging="357"/>
        <w:jc w:val="both"/>
        <w:rPr>
          <w:rFonts w:cs="Arial"/>
        </w:rPr>
      </w:pPr>
      <w:r>
        <w:rPr>
          <w:rFonts w:cs="Arial"/>
        </w:rPr>
        <w:t>the</w:t>
      </w:r>
      <w:r w:rsidR="00CA4CE0" w:rsidRPr="00A12063">
        <w:rPr>
          <w:rFonts w:cs="Arial"/>
        </w:rPr>
        <w:t xml:space="preserve"> regional groundwater </w:t>
      </w:r>
      <w:r w:rsidR="00032372">
        <w:rPr>
          <w:rFonts w:cs="Arial"/>
        </w:rPr>
        <w:t xml:space="preserve">regime </w:t>
      </w:r>
      <w:r w:rsidR="00CA4CE0" w:rsidRPr="00A12063">
        <w:rPr>
          <w:rFonts w:cs="Arial"/>
        </w:rPr>
        <w:t xml:space="preserve">resulting in potential </w:t>
      </w:r>
      <w:r w:rsidR="00032372">
        <w:rPr>
          <w:rFonts w:cs="Arial"/>
        </w:rPr>
        <w:t xml:space="preserve">changes to </w:t>
      </w:r>
      <w:r w:rsidR="00440712">
        <w:rPr>
          <w:rFonts w:cs="Arial"/>
        </w:rPr>
        <w:t xml:space="preserve">hydrological conditions at </w:t>
      </w:r>
      <w:r w:rsidR="00CA4CE0" w:rsidRPr="00A12063">
        <w:rPr>
          <w:rFonts w:cs="Arial"/>
        </w:rPr>
        <w:t>the Ramsar listed Edithvale-Seaford Wetlands</w:t>
      </w:r>
      <w:r w:rsidR="00132806">
        <w:rPr>
          <w:rFonts w:cs="Arial"/>
        </w:rPr>
        <w:t>;</w:t>
      </w:r>
    </w:p>
    <w:p w:rsidR="00A12063" w:rsidRDefault="00821BC5" w:rsidP="00D019C4">
      <w:pPr>
        <w:pStyle w:val="Parah0number"/>
        <w:numPr>
          <w:ilvl w:val="0"/>
          <w:numId w:val="26"/>
        </w:numPr>
        <w:spacing w:before="80" w:after="40"/>
        <w:ind w:left="714" w:hanging="357"/>
        <w:jc w:val="both"/>
        <w:rPr>
          <w:rFonts w:cs="Arial"/>
        </w:rPr>
      </w:pPr>
      <w:r>
        <w:rPr>
          <w:rFonts w:cs="Arial"/>
        </w:rPr>
        <w:t xml:space="preserve">the </w:t>
      </w:r>
      <w:r w:rsidR="00730A18">
        <w:rPr>
          <w:rFonts w:cs="Arial"/>
        </w:rPr>
        <w:t xml:space="preserve">ecological character and </w:t>
      </w:r>
      <w:r w:rsidR="00A12063" w:rsidRPr="00A12063">
        <w:rPr>
          <w:rFonts w:cs="Arial"/>
        </w:rPr>
        <w:t xml:space="preserve">habitat </w:t>
      </w:r>
      <w:r w:rsidR="00AC277E">
        <w:rPr>
          <w:rFonts w:cs="Arial"/>
        </w:rPr>
        <w:t>values of</w:t>
      </w:r>
      <w:r w:rsidR="00A12063" w:rsidRPr="00A12063">
        <w:rPr>
          <w:rFonts w:cs="Arial"/>
        </w:rPr>
        <w:t xml:space="preserve"> the </w:t>
      </w:r>
      <w:r w:rsidR="004313E7" w:rsidRPr="00A12063">
        <w:rPr>
          <w:rFonts w:cs="Arial"/>
        </w:rPr>
        <w:t>Edithvale-Seaford Wetlands</w:t>
      </w:r>
      <w:r w:rsidR="000B2BB3">
        <w:rPr>
          <w:rFonts w:cs="Arial"/>
        </w:rPr>
        <w:t xml:space="preserve">, </w:t>
      </w:r>
      <w:r w:rsidR="000D435E">
        <w:rPr>
          <w:rFonts w:cs="Arial"/>
        </w:rPr>
        <w:t xml:space="preserve">and the </w:t>
      </w:r>
      <w:r w:rsidR="00A12063" w:rsidRPr="00A12063">
        <w:rPr>
          <w:rFonts w:cs="Arial"/>
        </w:rPr>
        <w:t>dependent flora and fauna</w:t>
      </w:r>
      <w:r w:rsidR="006772E0">
        <w:rPr>
          <w:rFonts w:cs="Arial"/>
        </w:rPr>
        <w:t>,</w:t>
      </w:r>
      <w:r w:rsidR="00A12063" w:rsidRPr="00A12063">
        <w:rPr>
          <w:rFonts w:cs="Arial"/>
        </w:rPr>
        <w:t xml:space="preserve"> </w:t>
      </w:r>
      <w:r w:rsidR="000D435E">
        <w:rPr>
          <w:rFonts w:cs="Arial"/>
        </w:rPr>
        <w:t xml:space="preserve">in particular </w:t>
      </w:r>
      <w:r w:rsidR="00A12063" w:rsidRPr="00A12063">
        <w:rPr>
          <w:rFonts w:cs="Arial"/>
        </w:rPr>
        <w:t>the critical component</w:t>
      </w:r>
      <w:r w:rsidR="008E2865">
        <w:rPr>
          <w:rFonts w:cs="Arial"/>
        </w:rPr>
        <w:t>s</w:t>
      </w:r>
      <w:r w:rsidR="00A12063" w:rsidRPr="00A12063">
        <w:rPr>
          <w:rFonts w:cs="Arial"/>
        </w:rPr>
        <w:t xml:space="preserve"> of habitat for </w:t>
      </w:r>
      <w:r w:rsidR="006772E0">
        <w:rPr>
          <w:rFonts w:cs="Arial"/>
        </w:rPr>
        <w:t xml:space="preserve">listed </w:t>
      </w:r>
      <w:r w:rsidR="00A12063" w:rsidRPr="00A12063">
        <w:rPr>
          <w:rFonts w:cs="Arial"/>
        </w:rPr>
        <w:t>waterbirds</w:t>
      </w:r>
      <w:r w:rsidR="00730A18">
        <w:rPr>
          <w:rFonts w:cs="Arial"/>
        </w:rPr>
        <w:t>, due to</w:t>
      </w:r>
      <w:r w:rsidR="00730A18" w:rsidRPr="00730A18">
        <w:rPr>
          <w:rFonts w:cs="Arial"/>
        </w:rPr>
        <w:t xml:space="preserve"> </w:t>
      </w:r>
      <w:r w:rsidR="00730A18">
        <w:rPr>
          <w:rFonts w:cs="Arial"/>
        </w:rPr>
        <w:t xml:space="preserve">alterations </w:t>
      </w:r>
      <w:r>
        <w:rPr>
          <w:rFonts w:cs="Arial"/>
        </w:rPr>
        <w:t xml:space="preserve">in </w:t>
      </w:r>
      <w:r w:rsidR="00730A18">
        <w:rPr>
          <w:rFonts w:cs="Arial"/>
        </w:rPr>
        <w:t>the groundwater</w:t>
      </w:r>
      <w:r w:rsidR="00A31CC4">
        <w:rPr>
          <w:rFonts w:cs="Arial"/>
        </w:rPr>
        <w:t xml:space="preserve"> regime</w:t>
      </w:r>
      <w:r w:rsidR="00132806">
        <w:rPr>
          <w:rFonts w:cs="Arial"/>
        </w:rPr>
        <w:t>;</w:t>
      </w:r>
    </w:p>
    <w:p w:rsidR="00821BC5" w:rsidRPr="005A298E" w:rsidRDefault="00821BC5" w:rsidP="00821BC5">
      <w:pPr>
        <w:pStyle w:val="Parah0number"/>
        <w:numPr>
          <w:ilvl w:val="0"/>
          <w:numId w:val="26"/>
        </w:numPr>
        <w:spacing w:before="80" w:after="40"/>
        <w:ind w:left="714" w:hanging="357"/>
        <w:jc w:val="both"/>
        <w:rPr>
          <w:rFonts w:cs="Arial"/>
        </w:rPr>
      </w:pPr>
      <w:r w:rsidRPr="00821BC5">
        <w:rPr>
          <w:rFonts w:cs="Arial"/>
        </w:rPr>
        <w:t>t</w:t>
      </w:r>
      <w:r w:rsidR="00385664" w:rsidRPr="00821BC5">
        <w:rPr>
          <w:rFonts w:cs="Arial"/>
        </w:rPr>
        <w:t xml:space="preserve">he protected beneficial uses </w:t>
      </w:r>
      <w:r w:rsidRPr="005A298E">
        <w:rPr>
          <w:rFonts w:ascii="Tahoma" w:hAnsi="Tahoma" w:cs="Tahoma"/>
        </w:rPr>
        <w:t>of groundwater, due to alterations in the groundwater regime, along with risks to human health, recreation and ecosystems due to changes in water quality from activation and excavation of potentially acid sulphate soils and from interception/movement of existing contaminated soil and groundwater.</w:t>
      </w:r>
    </w:p>
    <w:p w:rsidR="00A571AA" w:rsidRPr="00A571AA" w:rsidRDefault="00CF35DC" w:rsidP="00D019C4">
      <w:pPr>
        <w:pStyle w:val="Parah0number"/>
        <w:numPr>
          <w:ilvl w:val="0"/>
          <w:numId w:val="25"/>
        </w:numPr>
        <w:spacing w:before="180"/>
        <w:ind w:left="357" w:hanging="357"/>
        <w:jc w:val="both"/>
        <w:rPr>
          <w:rFonts w:cs="Arial"/>
        </w:rPr>
      </w:pPr>
      <w:r w:rsidRPr="00CF35DC">
        <w:rPr>
          <w:rFonts w:cs="Arial"/>
        </w:rPr>
        <w:t>O</w:t>
      </w:r>
      <w:r w:rsidR="00A52C58" w:rsidRPr="00CF35DC">
        <w:rPr>
          <w:rFonts w:cs="Arial"/>
        </w:rPr>
        <w:t xml:space="preserve">ther </w:t>
      </w:r>
      <w:r w:rsidRPr="00CF35DC">
        <w:rPr>
          <w:rFonts w:cs="Arial"/>
        </w:rPr>
        <w:t xml:space="preserve">potential effects on </w:t>
      </w:r>
      <w:r w:rsidR="00A52C58" w:rsidRPr="00CF35DC">
        <w:rPr>
          <w:rFonts w:cs="Arial"/>
        </w:rPr>
        <w:t xml:space="preserve">the social or environmental setting are </w:t>
      </w:r>
      <w:r w:rsidRPr="00CF35DC">
        <w:rPr>
          <w:rFonts w:cs="Arial"/>
        </w:rPr>
        <w:t xml:space="preserve">unlikely to be significant and should be readily </w:t>
      </w:r>
      <w:r w:rsidR="00A52C58" w:rsidRPr="00CF35DC">
        <w:rPr>
          <w:rFonts w:cs="Arial"/>
        </w:rPr>
        <w:t xml:space="preserve">addressed </w:t>
      </w:r>
      <w:r w:rsidR="00473661">
        <w:rPr>
          <w:rFonts w:cs="Arial"/>
        </w:rPr>
        <w:t xml:space="preserve">and mitigated </w:t>
      </w:r>
      <w:r w:rsidR="00A52C58" w:rsidRPr="00CF35DC">
        <w:rPr>
          <w:rFonts w:cs="Arial"/>
        </w:rPr>
        <w:t xml:space="preserve">through </w:t>
      </w:r>
      <w:r w:rsidRPr="00CF35DC">
        <w:rPr>
          <w:rFonts w:cs="Arial"/>
        </w:rPr>
        <w:t xml:space="preserve">existing statutory </w:t>
      </w:r>
      <w:r>
        <w:rPr>
          <w:rFonts w:cs="Arial"/>
        </w:rPr>
        <w:t xml:space="preserve">processes and </w:t>
      </w:r>
      <w:r w:rsidRPr="00CF35DC">
        <w:rPr>
          <w:rFonts w:cs="Arial"/>
        </w:rPr>
        <w:t xml:space="preserve">requirements </w:t>
      </w:r>
      <w:r w:rsidR="00A52C58" w:rsidRPr="00CF35DC">
        <w:rPr>
          <w:rFonts w:cs="Arial"/>
        </w:rPr>
        <w:t xml:space="preserve">under the </w:t>
      </w:r>
      <w:r w:rsidRPr="00D019C4">
        <w:rPr>
          <w:rFonts w:cs="Arial"/>
          <w:i/>
        </w:rPr>
        <w:t>Aboriginal Heritage Act 2006</w:t>
      </w:r>
      <w:r>
        <w:rPr>
          <w:rFonts w:cs="Arial"/>
        </w:rPr>
        <w:t xml:space="preserve">, </w:t>
      </w:r>
      <w:r w:rsidRPr="00D019C4">
        <w:rPr>
          <w:rFonts w:cs="Arial"/>
          <w:i/>
        </w:rPr>
        <w:t>Environment Protection Act 1970</w:t>
      </w:r>
      <w:r>
        <w:rPr>
          <w:rFonts w:cs="Arial"/>
        </w:rPr>
        <w:t xml:space="preserve">, </w:t>
      </w:r>
      <w:r w:rsidR="00A52C58" w:rsidRPr="00CF35DC">
        <w:rPr>
          <w:rFonts w:cs="Arial"/>
          <w:i/>
        </w:rPr>
        <w:t>Planning and Environment Act 1987</w:t>
      </w:r>
      <w:r w:rsidRPr="00CF35DC">
        <w:rPr>
          <w:rFonts w:cs="Arial"/>
        </w:rPr>
        <w:t xml:space="preserve">, </w:t>
      </w:r>
      <w:r w:rsidR="00A52C58" w:rsidRPr="00CF35DC">
        <w:rPr>
          <w:rFonts w:cs="Arial"/>
        </w:rPr>
        <w:t>includ</w:t>
      </w:r>
      <w:r w:rsidRPr="00CF35DC">
        <w:rPr>
          <w:rFonts w:cs="Arial"/>
        </w:rPr>
        <w:t>ing c</w:t>
      </w:r>
      <w:r w:rsidR="00A571AA" w:rsidRPr="00CF35DC">
        <w:rPr>
          <w:rFonts w:cs="Arial"/>
        </w:rPr>
        <w:t>onstruction noise</w:t>
      </w:r>
      <w:r w:rsidRPr="00CF35DC">
        <w:rPr>
          <w:rFonts w:cs="Arial"/>
        </w:rPr>
        <w:t xml:space="preserve">, </w:t>
      </w:r>
      <w:r w:rsidR="00700FB0">
        <w:rPr>
          <w:rFonts w:cs="Arial"/>
        </w:rPr>
        <w:t>traffic and transport impact</w:t>
      </w:r>
      <w:r w:rsidR="002C0053">
        <w:rPr>
          <w:rFonts w:cs="Arial"/>
        </w:rPr>
        <w:t>s</w:t>
      </w:r>
      <w:r w:rsidR="00700FB0">
        <w:rPr>
          <w:rFonts w:cs="Arial"/>
        </w:rPr>
        <w:t xml:space="preserve">, as well as </w:t>
      </w:r>
      <w:r w:rsidR="00A571AA" w:rsidRPr="00CF35DC">
        <w:rPr>
          <w:rFonts w:cs="Arial"/>
        </w:rPr>
        <w:t>visua</w:t>
      </w:r>
      <w:r w:rsidR="00A52C58" w:rsidRPr="00CF35DC">
        <w:rPr>
          <w:rFonts w:cs="Arial"/>
        </w:rPr>
        <w:t>l impacts</w:t>
      </w:r>
      <w:r w:rsidR="00A52C58">
        <w:rPr>
          <w:rFonts w:cs="Arial"/>
        </w:rPr>
        <w:t>.</w:t>
      </w:r>
    </w:p>
    <w:p w:rsidR="008E5A0C" w:rsidRPr="00792D08" w:rsidRDefault="00CF35DC">
      <w:pPr>
        <w:pStyle w:val="Parah0number"/>
        <w:numPr>
          <w:ilvl w:val="0"/>
          <w:numId w:val="25"/>
        </w:numPr>
        <w:spacing w:before="180"/>
        <w:ind w:left="340" w:hanging="340"/>
        <w:jc w:val="both"/>
        <w:rPr>
          <w:rFonts w:cs="Arial"/>
        </w:rPr>
      </w:pPr>
      <w:r>
        <w:rPr>
          <w:rFonts w:cs="Arial"/>
        </w:rPr>
        <w:t>A</w:t>
      </w:r>
      <w:r w:rsidR="008E5A0C" w:rsidRPr="00792D08">
        <w:rPr>
          <w:rFonts w:cs="Arial"/>
        </w:rPr>
        <w:t xml:space="preserve">ssessment </w:t>
      </w:r>
      <w:r>
        <w:rPr>
          <w:rFonts w:cs="Arial"/>
        </w:rPr>
        <w:t xml:space="preserve">of potentially significant </w:t>
      </w:r>
      <w:r w:rsidR="00814BDD">
        <w:rPr>
          <w:rFonts w:cs="Arial"/>
        </w:rPr>
        <w:t xml:space="preserve">effects </w:t>
      </w:r>
      <w:r>
        <w:rPr>
          <w:rFonts w:cs="Arial"/>
        </w:rPr>
        <w:t xml:space="preserve">through an EES </w:t>
      </w:r>
      <w:r w:rsidR="008E5A0C" w:rsidRPr="00792D08">
        <w:rPr>
          <w:rFonts w:cs="Arial"/>
        </w:rPr>
        <w:t>is necessary to ensure the</w:t>
      </w:r>
      <w:r>
        <w:rPr>
          <w:rFonts w:cs="Arial"/>
        </w:rPr>
        <w:t>ir</w:t>
      </w:r>
      <w:r w:rsidR="008E5A0C" w:rsidRPr="00792D08">
        <w:rPr>
          <w:rFonts w:cs="Arial"/>
        </w:rPr>
        <w:t xml:space="preserve"> </w:t>
      </w:r>
      <w:r>
        <w:rPr>
          <w:rFonts w:cs="Arial"/>
        </w:rPr>
        <w:t xml:space="preserve">extent, significance and </w:t>
      </w:r>
      <w:r w:rsidR="008E5A0C" w:rsidRPr="00792D08">
        <w:rPr>
          <w:rFonts w:cs="Arial"/>
        </w:rPr>
        <w:t>related uncertainties are sufficiently investigated</w:t>
      </w:r>
      <w:r w:rsidR="00821BC5">
        <w:rPr>
          <w:rFonts w:cs="Arial"/>
        </w:rPr>
        <w:t xml:space="preserve">.  </w:t>
      </w:r>
      <w:r w:rsidR="005A298E">
        <w:rPr>
          <w:rFonts w:cs="Arial"/>
        </w:rPr>
        <w:t>Those investigations will inform strategies for</w:t>
      </w:r>
      <w:r w:rsidR="005A1DE0">
        <w:rPr>
          <w:rFonts w:cs="Arial"/>
        </w:rPr>
        <w:t xml:space="preserve"> </w:t>
      </w:r>
      <w:r w:rsidR="008E5A0C" w:rsidRPr="00792D08">
        <w:rPr>
          <w:rFonts w:cs="Arial"/>
        </w:rPr>
        <w:t>avoid</w:t>
      </w:r>
      <w:r w:rsidR="005A1DE0">
        <w:rPr>
          <w:rFonts w:cs="Arial"/>
        </w:rPr>
        <w:t>ance</w:t>
      </w:r>
      <w:r>
        <w:rPr>
          <w:rFonts w:cs="Arial"/>
        </w:rPr>
        <w:t xml:space="preserve">, </w:t>
      </w:r>
      <w:r w:rsidR="008E5A0C" w:rsidRPr="00792D08">
        <w:rPr>
          <w:rFonts w:cs="Arial"/>
        </w:rPr>
        <w:t>minimis</w:t>
      </w:r>
      <w:r w:rsidR="005A1DE0">
        <w:rPr>
          <w:rFonts w:cs="Arial"/>
        </w:rPr>
        <w:t>ation</w:t>
      </w:r>
      <w:r w:rsidR="008E5A0C" w:rsidRPr="00792D08">
        <w:rPr>
          <w:rFonts w:cs="Arial"/>
        </w:rPr>
        <w:t xml:space="preserve"> </w:t>
      </w:r>
      <w:r w:rsidR="005A1DE0">
        <w:rPr>
          <w:rFonts w:cs="Arial"/>
        </w:rPr>
        <w:t xml:space="preserve">or mitigation </w:t>
      </w:r>
      <w:r>
        <w:rPr>
          <w:rFonts w:cs="Arial"/>
        </w:rPr>
        <w:t>to</w:t>
      </w:r>
      <w:r w:rsidR="008E5A0C" w:rsidRPr="00792D08">
        <w:rPr>
          <w:rFonts w:cs="Arial"/>
        </w:rPr>
        <w:t xml:space="preserve"> </w:t>
      </w:r>
      <w:r w:rsidR="005A1DE0">
        <w:rPr>
          <w:rFonts w:cs="Arial"/>
        </w:rPr>
        <w:t xml:space="preserve">ensure </w:t>
      </w:r>
      <w:r w:rsidR="008E5A0C" w:rsidRPr="00792D08">
        <w:rPr>
          <w:rFonts w:cs="Arial"/>
        </w:rPr>
        <w:t xml:space="preserve">acceptable </w:t>
      </w:r>
      <w:r w:rsidR="005A1DE0">
        <w:rPr>
          <w:rFonts w:cs="Arial"/>
        </w:rPr>
        <w:t>residual effects</w:t>
      </w:r>
      <w:r w:rsidR="00064F75">
        <w:rPr>
          <w:rFonts w:cs="Arial"/>
        </w:rPr>
        <w:t xml:space="preserve"> are achieved</w:t>
      </w:r>
      <w:r w:rsidR="008E5A0C" w:rsidRPr="00792D08">
        <w:rPr>
          <w:rFonts w:cs="Arial"/>
        </w:rPr>
        <w:t>.</w:t>
      </w:r>
    </w:p>
    <w:p w:rsidR="008E5A0C" w:rsidRPr="0001356B" w:rsidRDefault="008E5A0C">
      <w:pPr>
        <w:pStyle w:val="Parah0number"/>
        <w:numPr>
          <w:ilvl w:val="0"/>
          <w:numId w:val="25"/>
        </w:numPr>
        <w:spacing w:before="180"/>
        <w:ind w:left="340" w:hanging="340"/>
        <w:jc w:val="both"/>
        <w:rPr>
          <w:rFonts w:cs="Arial"/>
        </w:rPr>
      </w:pPr>
      <w:r w:rsidRPr="0001356B">
        <w:rPr>
          <w:rFonts w:cs="Arial"/>
        </w:rPr>
        <w:t>An EES would</w:t>
      </w:r>
      <w:r w:rsidR="00F02796">
        <w:rPr>
          <w:rFonts w:cs="Arial"/>
        </w:rPr>
        <w:t xml:space="preserve"> also</w:t>
      </w:r>
      <w:r w:rsidRPr="0001356B">
        <w:rPr>
          <w:rFonts w:cs="Arial"/>
        </w:rPr>
        <w:t xml:space="preserve"> enable a transparent and rigorous process for consideration of potentially significant adverse effects of the project </w:t>
      </w:r>
      <w:r w:rsidR="004B42E0">
        <w:rPr>
          <w:rFonts w:cs="Arial"/>
        </w:rPr>
        <w:t xml:space="preserve">to inform </w:t>
      </w:r>
      <w:r w:rsidRPr="0001356B">
        <w:rPr>
          <w:rFonts w:cs="Arial"/>
        </w:rPr>
        <w:t>relevant statutory decision-</w:t>
      </w:r>
      <w:r w:rsidRPr="0001356B">
        <w:rPr>
          <w:rFonts w:cs="Arial"/>
        </w:rPr>
        <w:lastRenderedPageBreak/>
        <w:t xml:space="preserve">making, including under the </w:t>
      </w:r>
      <w:r w:rsidR="0001356B" w:rsidRPr="0001356B">
        <w:rPr>
          <w:rFonts w:cs="Arial"/>
          <w:i/>
        </w:rPr>
        <w:t>Planning and Environment Act 1987</w:t>
      </w:r>
      <w:r w:rsidR="0001356B" w:rsidRPr="0001356B">
        <w:rPr>
          <w:rFonts w:cs="Arial"/>
        </w:rPr>
        <w:t xml:space="preserve">, </w:t>
      </w:r>
      <w:r w:rsidR="0001356B" w:rsidRPr="0001356B">
        <w:rPr>
          <w:rFonts w:cs="Arial"/>
          <w:i/>
        </w:rPr>
        <w:t>Water Act 1989</w:t>
      </w:r>
      <w:r w:rsidR="0001356B" w:rsidRPr="0001356B">
        <w:rPr>
          <w:rFonts w:cs="Arial"/>
        </w:rPr>
        <w:t xml:space="preserve"> and </w:t>
      </w:r>
      <w:r w:rsidR="0001356B" w:rsidRPr="0001356B">
        <w:rPr>
          <w:rFonts w:cs="Arial"/>
          <w:i/>
        </w:rPr>
        <w:t>Flora and Fauna Guarantee Act 1995</w:t>
      </w:r>
      <w:r w:rsidRPr="0001356B">
        <w:rPr>
          <w:rFonts w:cs="Arial"/>
        </w:rPr>
        <w:t>.</w:t>
      </w:r>
    </w:p>
    <w:p w:rsidR="00D9438E" w:rsidRPr="008E5A0C" w:rsidRDefault="00D9438E" w:rsidP="000F624C">
      <w:pPr>
        <w:jc w:val="both"/>
        <w:rPr>
          <w:rFonts w:ascii="Tahoma" w:hAnsi="Tahoma" w:cs="Tahoma"/>
          <w:b/>
          <w:sz w:val="22"/>
          <w:szCs w:val="20"/>
          <w:highlight w:val="yellow"/>
          <w:lang w:eastAsia="en-US"/>
        </w:rPr>
      </w:pPr>
    </w:p>
    <w:p w:rsidR="00D9438E" w:rsidRPr="00253BD5" w:rsidRDefault="00D9438E" w:rsidP="000F624C">
      <w:pPr>
        <w:jc w:val="both"/>
        <w:rPr>
          <w:rFonts w:ascii="Tahoma" w:hAnsi="Tahoma" w:cs="Tahoma"/>
          <w:b/>
          <w:sz w:val="22"/>
          <w:szCs w:val="20"/>
          <w:lang w:eastAsia="en-US"/>
        </w:rPr>
      </w:pPr>
    </w:p>
    <w:p w:rsidR="00551AF3" w:rsidRPr="00B20E5E" w:rsidRDefault="00F36F38" w:rsidP="000F624C">
      <w:pPr>
        <w:jc w:val="both"/>
        <w:rPr>
          <w:rFonts w:ascii="Tahoma" w:hAnsi="Tahoma" w:cs="Tahoma"/>
          <w:b/>
          <w:sz w:val="22"/>
          <w:szCs w:val="20"/>
          <w:lang w:eastAsia="en-US"/>
        </w:rPr>
      </w:pPr>
      <w:r w:rsidRPr="00F079DB">
        <w:rPr>
          <w:rFonts w:ascii="Tahoma" w:hAnsi="Tahoma" w:cs="Tahoma"/>
          <w:b/>
          <w:sz w:val="22"/>
          <w:szCs w:val="20"/>
          <w:lang w:eastAsia="en-US"/>
        </w:rPr>
        <w:t>Date of Decision:</w:t>
      </w:r>
      <w:r w:rsidR="00FE764B">
        <w:rPr>
          <w:rFonts w:ascii="Tahoma" w:hAnsi="Tahoma" w:cs="Tahoma"/>
          <w:b/>
          <w:sz w:val="22"/>
          <w:szCs w:val="20"/>
          <w:lang w:eastAsia="en-US"/>
        </w:rPr>
        <w:t xml:space="preserve"> </w:t>
      </w:r>
      <w:r w:rsidR="000C4BEE">
        <w:rPr>
          <w:rFonts w:ascii="Tahoma" w:hAnsi="Tahoma" w:cs="Tahoma"/>
          <w:b/>
          <w:sz w:val="22"/>
          <w:szCs w:val="20"/>
          <w:lang w:eastAsia="en-US"/>
        </w:rPr>
        <w:t>5 April 2017</w:t>
      </w:r>
    </w:p>
    <w:sectPr w:rsidR="00551AF3" w:rsidRPr="00B20E5E" w:rsidSect="00472E49">
      <w:headerReference w:type="default" r:id="rId9"/>
      <w:pgSz w:w="11907" w:h="16840" w:code="9"/>
      <w:pgMar w:top="1440" w:right="1440" w:bottom="1134"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0F" w:rsidRDefault="009D0F0F">
      <w:r>
        <w:separator/>
      </w:r>
    </w:p>
  </w:endnote>
  <w:endnote w:type="continuationSeparator" w:id="0">
    <w:p w:rsidR="009D0F0F" w:rsidRDefault="009D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0F" w:rsidRDefault="009D0F0F">
      <w:r>
        <w:separator/>
      </w:r>
    </w:p>
  </w:footnote>
  <w:footnote w:type="continuationSeparator" w:id="0">
    <w:p w:rsidR="009D0F0F" w:rsidRDefault="009D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9" w:rsidRPr="00F079DB" w:rsidRDefault="00C70D80">
    <w:pPr>
      <w:pStyle w:val="Header"/>
      <w:jc w:val="right"/>
      <w:rPr>
        <w:rFonts w:ascii="Tahoma" w:hAnsi="Tahoma" w:cs="Tahoma"/>
        <w:sz w:val="22"/>
      </w:rPr>
    </w:pPr>
    <w:r w:rsidRPr="00F079DB">
      <w:rPr>
        <w:rFonts w:ascii="Tahoma" w:hAnsi="Tahoma" w:cs="Tahoma"/>
        <w:sz w:val="22"/>
      </w:rPr>
      <w:t xml:space="preserve">REFERRAL NUMBER </w:t>
    </w:r>
    <w:r w:rsidR="00867966" w:rsidRPr="00867966">
      <w:rPr>
        <w:rFonts w:ascii="Tahoma" w:hAnsi="Tahoma" w:cs="Tahoma"/>
        <w:sz w:val="22"/>
      </w:rPr>
      <w:t>2016-R04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4930532"/>
    <w:multiLevelType w:val="hybridMultilevel"/>
    <w:tmpl w:val="E1B0CE46"/>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5797A24"/>
    <w:multiLevelType w:val="hybridMultilevel"/>
    <w:tmpl w:val="0744197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2AA7091A"/>
    <w:multiLevelType w:val="hybridMultilevel"/>
    <w:tmpl w:val="C4101D6E"/>
    <w:lvl w:ilvl="0" w:tplc="0C090017">
      <w:start w:val="1"/>
      <w:numFmt w:val="lowerLetter"/>
      <w:lvlText w:val="%1)"/>
      <w:lvlJc w:val="left"/>
      <w:pPr>
        <w:ind w:left="720" w:hanging="360"/>
      </w:pPr>
      <w:rPr>
        <w:rFonts w:hint="default"/>
      </w:rPr>
    </w:lvl>
    <w:lvl w:ilvl="1" w:tplc="3C4EF18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9">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D576E99"/>
    <w:multiLevelType w:val="hybridMultilevel"/>
    <w:tmpl w:val="44D88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12">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3">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5">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nsid w:val="4E060CB3"/>
    <w:multiLevelType w:val="hybridMultilevel"/>
    <w:tmpl w:val="D7B843BE"/>
    <w:lvl w:ilvl="0" w:tplc="3F980038">
      <w:start w:val="1"/>
      <w:numFmt w:val="lowerRoman"/>
      <w:lvlText w:val="%1."/>
      <w:lvlJc w:val="right"/>
      <w:pPr>
        <w:ind w:left="1080" w:hanging="360"/>
      </w:pPr>
      <w:rPr>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6872E30"/>
    <w:multiLevelType w:val="singleLevel"/>
    <w:tmpl w:val="7AF6CB6E"/>
    <w:lvl w:ilvl="0">
      <w:numFmt w:val="bullet"/>
      <w:lvlText w:val="-"/>
      <w:lvlJc w:val="left"/>
      <w:pPr>
        <w:tabs>
          <w:tab w:val="num" w:pos="720"/>
        </w:tabs>
        <w:ind w:left="720" w:hanging="360"/>
      </w:pPr>
      <w:rPr>
        <w:rFonts w:hint="default"/>
      </w:rPr>
    </w:lvl>
  </w:abstractNum>
  <w:abstractNum w:abstractNumId="18">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9">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D87CCA"/>
    <w:multiLevelType w:val="hybridMultilevel"/>
    <w:tmpl w:val="C4F6A018"/>
    <w:lvl w:ilvl="0" w:tplc="F82E9454">
      <w:start w:val="1"/>
      <w:numFmt w:val="bullet"/>
      <w:lvlText w:val="-"/>
      <w:lvlJc w:val="left"/>
      <w:pPr>
        <w:ind w:left="720" w:hanging="360"/>
      </w:pPr>
      <w:rPr>
        <w:rFonts w:ascii="Arial Narrow" w:hAnsi="Arial Narrow" w:hint="default"/>
      </w:rPr>
    </w:lvl>
    <w:lvl w:ilvl="1" w:tplc="F82E9454">
      <w:start w:val="1"/>
      <w:numFmt w:val="bullet"/>
      <w:lvlText w:val="-"/>
      <w:lvlJc w:val="left"/>
      <w:pPr>
        <w:ind w:left="1440" w:hanging="360"/>
      </w:pPr>
      <w:rPr>
        <w:rFonts w:ascii="Arial Narrow" w:hAnsi="Arial Narrow" w:hint="default"/>
      </w:rPr>
    </w:lvl>
    <w:lvl w:ilvl="2" w:tplc="457C09FA">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3">
    <w:nsid w:val="6F1374A8"/>
    <w:multiLevelType w:val="hybridMultilevel"/>
    <w:tmpl w:val="1CE01612"/>
    <w:lvl w:ilvl="0" w:tplc="0276CB56">
      <w:start w:val="1"/>
      <w:numFmt w:val="lowerRoman"/>
      <w:lvlText w:val="(%1)"/>
      <w:lvlJc w:val="left"/>
      <w:pPr>
        <w:tabs>
          <w:tab w:val="num" w:pos="540"/>
        </w:tabs>
        <w:ind w:left="540" w:hanging="72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4">
    <w:nsid w:val="722B1CC9"/>
    <w:multiLevelType w:val="hybridMultilevel"/>
    <w:tmpl w:val="C4101D6E"/>
    <w:lvl w:ilvl="0" w:tplc="0C090017">
      <w:start w:val="1"/>
      <w:numFmt w:val="lowerLetter"/>
      <w:lvlText w:val="%1)"/>
      <w:lvlJc w:val="left"/>
      <w:pPr>
        <w:ind w:left="720" w:hanging="360"/>
      </w:pPr>
      <w:rPr>
        <w:rFonts w:hint="default"/>
      </w:rPr>
    </w:lvl>
    <w:lvl w:ilvl="1" w:tplc="3C4EF18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286DA1"/>
    <w:multiLevelType w:val="hybridMultilevel"/>
    <w:tmpl w:val="50BA6B8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9766CC7"/>
    <w:multiLevelType w:val="singleLevel"/>
    <w:tmpl w:val="69FE8BEC"/>
    <w:lvl w:ilvl="0">
      <w:start w:val="1"/>
      <w:numFmt w:val="decimal"/>
      <w:lvlText w:val="%1."/>
      <w:lvlJc w:val="left"/>
      <w:pPr>
        <w:tabs>
          <w:tab w:val="num" w:pos="360"/>
        </w:tabs>
        <w:ind w:left="360" w:hanging="360"/>
      </w:pPr>
      <w:rPr>
        <w:rFonts w:cs="Times New Roman"/>
      </w:rPr>
    </w:lvl>
  </w:abstractNum>
  <w:num w:numId="1">
    <w:abstractNumId w:val="18"/>
  </w:num>
  <w:num w:numId="2">
    <w:abstractNumId w:val="15"/>
  </w:num>
  <w:num w:numId="3">
    <w:abstractNumId w:val="5"/>
  </w:num>
  <w:num w:numId="4">
    <w:abstractNumId w:val="13"/>
  </w:num>
  <w:num w:numId="5">
    <w:abstractNumId w:val="22"/>
  </w:num>
  <w:num w:numId="6">
    <w:abstractNumId w:val="4"/>
  </w:num>
  <w:num w:numId="7">
    <w:abstractNumId w:val="17"/>
  </w:num>
  <w:num w:numId="8">
    <w:abstractNumId w:val="26"/>
  </w:num>
  <w:num w:numId="9">
    <w:abstractNumId w:val="8"/>
  </w:num>
  <w:num w:numId="10">
    <w:abstractNumId w:val="14"/>
  </w:num>
  <w:num w:numId="11">
    <w:abstractNumId w:val="11"/>
  </w:num>
  <w:num w:numId="12">
    <w:abstractNumId w:val="12"/>
  </w:num>
  <w:num w:numId="13">
    <w:abstractNumId w:val="7"/>
  </w:num>
  <w:num w:numId="14">
    <w:abstractNumId w:val="19"/>
  </w:num>
  <w:num w:numId="15">
    <w:abstractNumId w:val="9"/>
  </w:num>
  <w:num w:numId="16">
    <w:abstractNumId w:val="0"/>
  </w:num>
  <w:num w:numId="17">
    <w:abstractNumId w:val="20"/>
  </w:num>
  <w:num w:numId="18">
    <w:abstractNumId w:val="2"/>
  </w:num>
  <w:num w:numId="19">
    <w:abstractNumId w:val="3"/>
  </w:num>
  <w:num w:numId="20">
    <w:abstractNumId w:val="16"/>
  </w:num>
  <w:num w:numId="21">
    <w:abstractNumId w:val="24"/>
  </w:num>
  <w:num w:numId="22">
    <w:abstractNumId w:val="0"/>
  </w:num>
  <w:num w:numId="23">
    <w:abstractNumId w:val="6"/>
  </w:num>
  <w:num w:numId="24">
    <w:abstractNumId w:val="1"/>
  </w:num>
  <w:num w:numId="25">
    <w:abstractNumId w:val="25"/>
  </w:num>
  <w:num w:numId="26">
    <w:abstractNumId w:val="21"/>
  </w:num>
  <w:num w:numId="27">
    <w:abstractNumId w:val="1"/>
  </w:num>
  <w:num w:numId="28">
    <w:abstractNumId w:val="1"/>
  </w:num>
  <w:num w:numId="29">
    <w:abstractNumId w:val="10"/>
  </w:num>
  <w:num w:numId="30">
    <w:abstractNumId w:val="1"/>
  </w:num>
  <w:num w:numId="31">
    <w:abstractNumId w:val="1"/>
  </w:num>
  <w:num w:numId="32">
    <w:abstractNumId w:val="1"/>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4E"/>
    <w:rsid w:val="00002C4E"/>
    <w:rsid w:val="00005D79"/>
    <w:rsid w:val="0001356B"/>
    <w:rsid w:val="00015498"/>
    <w:rsid w:val="00024702"/>
    <w:rsid w:val="00025F57"/>
    <w:rsid w:val="00026458"/>
    <w:rsid w:val="00032372"/>
    <w:rsid w:val="000343A5"/>
    <w:rsid w:val="00041135"/>
    <w:rsid w:val="000438BA"/>
    <w:rsid w:val="00044272"/>
    <w:rsid w:val="00044E7B"/>
    <w:rsid w:val="00050F4B"/>
    <w:rsid w:val="00054889"/>
    <w:rsid w:val="00055CF8"/>
    <w:rsid w:val="00064F75"/>
    <w:rsid w:val="00071011"/>
    <w:rsid w:val="00076F36"/>
    <w:rsid w:val="00086380"/>
    <w:rsid w:val="00093233"/>
    <w:rsid w:val="00096190"/>
    <w:rsid w:val="000B2BB3"/>
    <w:rsid w:val="000C4BEE"/>
    <w:rsid w:val="000D435E"/>
    <w:rsid w:val="000E6BC9"/>
    <w:rsid w:val="000F5BB1"/>
    <w:rsid w:val="000F624C"/>
    <w:rsid w:val="00107A1F"/>
    <w:rsid w:val="00120BD1"/>
    <w:rsid w:val="0012303B"/>
    <w:rsid w:val="00132806"/>
    <w:rsid w:val="001353B7"/>
    <w:rsid w:val="00143057"/>
    <w:rsid w:val="00147339"/>
    <w:rsid w:val="0015503F"/>
    <w:rsid w:val="0016003C"/>
    <w:rsid w:val="0017777F"/>
    <w:rsid w:val="00182EB0"/>
    <w:rsid w:val="00187BB6"/>
    <w:rsid w:val="0019050D"/>
    <w:rsid w:val="001962B7"/>
    <w:rsid w:val="001A0D93"/>
    <w:rsid w:val="001A3A86"/>
    <w:rsid w:val="001B30C0"/>
    <w:rsid w:val="001B611D"/>
    <w:rsid w:val="001D1019"/>
    <w:rsid w:val="001E0E3C"/>
    <w:rsid w:val="001E5C0C"/>
    <w:rsid w:val="001F486B"/>
    <w:rsid w:val="002038BC"/>
    <w:rsid w:val="00207FE8"/>
    <w:rsid w:val="0022764C"/>
    <w:rsid w:val="00243B5C"/>
    <w:rsid w:val="00247B5D"/>
    <w:rsid w:val="00277B9D"/>
    <w:rsid w:val="00282F6C"/>
    <w:rsid w:val="0029150F"/>
    <w:rsid w:val="002A063F"/>
    <w:rsid w:val="002A31B4"/>
    <w:rsid w:val="002A798E"/>
    <w:rsid w:val="002B27C8"/>
    <w:rsid w:val="002B66F4"/>
    <w:rsid w:val="002C0053"/>
    <w:rsid w:val="002E664E"/>
    <w:rsid w:val="00300C56"/>
    <w:rsid w:val="00302656"/>
    <w:rsid w:val="0031652C"/>
    <w:rsid w:val="00322DA1"/>
    <w:rsid w:val="0032465E"/>
    <w:rsid w:val="00341047"/>
    <w:rsid w:val="003571C5"/>
    <w:rsid w:val="00385664"/>
    <w:rsid w:val="0038672F"/>
    <w:rsid w:val="00390623"/>
    <w:rsid w:val="00396D7A"/>
    <w:rsid w:val="003A2444"/>
    <w:rsid w:val="003A3B1D"/>
    <w:rsid w:val="003C397B"/>
    <w:rsid w:val="003C6208"/>
    <w:rsid w:val="003E36F8"/>
    <w:rsid w:val="003F01F9"/>
    <w:rsid w:val="003F1D4C"/>
    <w:rsid w:val="0040600E"/>
    <w:rsid w:val="0041580B"/>
    <w:rsid w:val="004313E7"/>
    <w:rsid w:val="00440712"/>
    <w:rsid w:val="00453C76"/>
    <w:rsid w:val="0046027C"/>
    <w:rsid w:val="00461E83"/>
    <w:rsid w:val="004632F1"/>
    <w:rsid w:val="00472E49"/>
    <w:rsid w:val="00473661"/>
    <w:rsid w:val="00485346"/>
    <w:rsid w:val="0048710B"/>
    <w:rsid w:val="00487AF7"/>
    <w:rsid w:val="004A032C"/>
    <w:rsid w:val="004B0421"/>
    <w:rsid w:val="004B42E0"/>
    <w:rsid w:val="004B4CBB"/>
    <w:rsid w:val="004C4197"/>
    <w:rsid w:val="004E20BF"/>
    <w:rsid w:val="005016E9"/>
    <w:rsid w:val="00510AEB"/>
    <w:rsid w:val="005448BE"/>
    <w:rsid w:val="00547CED"/>
    <w:rsid w:val="00551AF3"/>
    <w:rsid w:val="00556675"/>
    <w:rsid w:val="0058319A"/>
    <w:rsid w:val="00585909"/>
    <w:rsid w:val="00586208"/>
    <w:rsid w:val="005916A7"/>
    <w:rsid w:val="005A0E4A"/>
    <w:rsid w:val="005A1DE0"/>
    <w:rsid w:val="005A298E"/>
    <w:rsid w:val="005A3A2B"/>
    <w:rsid w:val="005B0ACD"/>
    <w:rsid w:val="005D2E4B"/>
    <w:rsid w:val="005E1354"/>
    <w:rsid w:val="006079FC"/>
    <w:rsid w:val="00607D41"/>
    <w:rsid w:val="00611247"/>
    <w:rsid w:val="006207B8"/>
    <w:rsid w:val="006244E1"/>
    <w:rsid w:val="00652398"/>
    <w:rsid w:val="00652CFC"/>
    <w:rsid w:val="00657A5F"/>
    <w:rsid w:val="00666C2F"/>
    <w:rsid w:val="0067075B"/>
    <w:rsid w:val="0067222B"/>
    <w:rsid w:val="006772E0"/>
    <w:rsid w:val="00677C32"/>
    <w:rsid w:val="006A219A"/>
    <w:rsid w:val="006B1353"/>
    <w:rsid w:val="006C59D4"/>
    <w:rsid w:val="006D28B0"/>
    <w:rsid w:val="00700FB0"/>
    <w:rsid w:val="00730A18"/>
    <w:rsid w:val="00733BEE"/>
    <w:rsid w:val="00740579"/>
    <w:rsid w:val="00775245"/>
    <w:rsid w:val="00792D08"/>
    <w:rsid w:val="007B1605"/>
    <w:rsid w:val="007C2D75"/>
    <w:rsid w:val="007E0467"/>
    <w:rsid w:val="007E66A0"/>
    <w:rsid w:val="0080125B"/>
    <w:rsid w:val="008071E2"/>
    <w:rsid w:val="008116B7"/>
    <w:rsid w:val="00814BDD"/>
    <w:rsid w:val="00821BC5"/>
    <w:rsid w:val="00822B07"/>
    <w:rsid w:val="00831438"/>
    <w:rsid w:val="00867966"/>
    <w:rsid w:val="00877176"/>
    <w:rsid w:val="00877812"/>
    <w:rsid w:val="00894308"/>
    <w:rsid w:val="008A3FE6"/>
    <w:rsid w:val="008A4A5C"/>
    <w:rsid w:val="008C3510"/>
    <w:rsid w:val="008D4931"/>
    <w:rsid w:val="008E2865"/>
    <w:rsid w:val="008E5A0C"/>
    <w:rsid w:val="008F56E7"/>
    <w:rsid w:val="00903ED9"/>
    <w:rsid w:val="00904114"/>
    <w:rsid w:val="009156AE"/>
    <w:rsid w:val="00916285"/>
    <w:rsid w:val="0092786B"/>
    <w:rsid w:val="009319BB"/>
    <w:rsid w:val="00933705"/>
    <w:rsid w:val="00940740"/>
    <w:rsid w:val="00941B74"/>
    <w:rsid w:val="00950B65"/>
    <w:rsid w:val="00985A26"/>
    <w:rsid w:val="009D0F0F"/>
    <w:rsid w:val="009D22C5"/>
    <w:rsid w:val="009D26C1"/>
    <w:rsid w:val="009D75E9"/>
    <w:rsid w:val="009E036B"/>
    <w:rsid w:val="009E5F66"/>
    <w:rsid w:val="00A105A6"/>
    <w:rsid w:val="00A12063"/>
    <w:rsid w:val="00A20F6A"/>
    <w:rsid w:val="00A213A8"/>
    <w:rsid w:val="00A22A76"/>
    <w:rsid w:val="00A30BB7"/>
    <w:rsid w:val="00A31CC4"/>
    <w:rsid w:val="00A33712"/>
    <w:rsid w:val="00A4539D"/>
    <w:rsid w:val="00A52C58"/>
    <w:rsid w:val="00A5444A"/>
    <w:rsid w:val="00A550F5"/>
    <w:rsid w:val="00A571AA"/>
    <w:rsid w:val="00A60FD7"/>
    <w:rsid w:val="00A72E7B"/>
    <w:rsid w:val="00AA29FA"/>
    <w:rsid w:val="00AC2222"/>
    <w:rsid w:val="00AC277E"/>
    <w:rsid w:val="00AD1C2D"/>
    <w:rsid w:val="00AD5BB3"/>
    <w:rsid w:val="00AE0D44"/>
    <w:rsid w:val="00AF4CEB"/>
    <w:rsid w:val="00B0262D"/>
    <w:rsid w:val="00B14022"/>
    <w:rsid w:val="00B2038A"/>
    <w:rsid w:val="00B20E5E"/>
    <w:rsid w:val="00B20EF3"/>
    <w:rsid w:val="00B32C33"/>
    <w:rsid w:val="00B35E76"/>
    <w:rsid w:val="00B45295"/>
    <w:rsid w:val="00B50488"/>
    <w:rsid w:val="00B51159"/>
    <w:rsid w:val="00B572CE"/>
    <w:rsid w:val="00B6479B"/>
    <w:rsid w:val="00B65956"/>
    <w:rsid w:val="00B76483"/>
    <w:rsid w:val="00B90DA4"/>
    <w:rsid w:val="00BC5B3E"/>
    <w:rsid w:val="00BD1913"/>
    <w:rsid w:val="00BD71BC"/>
    <w:rsid w:val="00C0568D"/>
    <w:rsid w:val="00C14D37"/>
    <w:rsid w:val="00C17926"/>
    <w:rsid w:val="00C26AD9"/>
    <w:rsid w:val="00C55427"/>
    <w:rsid w:val="00C70D80"/>
    <w:rsid w:val="00C737F9"/>
    <w:rsid w:val="00C73EE1"/>
    <w:rsid w:val="00C87125"/>
    <w:rsid w:val="00C928D9"/>
    <w:rsid w:val="00CA4CE0"/>
    <w:rsid w:val="00CB1B7D"/>
    <w:rsid w:val="00CC757B"/>
    <w:rsid w:val="00CD589D"/>
    <w:rsid w:val="00CF35DC"/>
    <w:rsid w:val="00D019C4"/>
    <w:rsid w:val="00D02B60"/>
    <w:rsid w:val="00D218B3"/>
    <w:rsid w:val="00D360E8"/>
    <w:rsid w:val="00D44D28"/>
    <w:rsid w:val="00D63849"/>
    <w:rsid w:val="00D65AF1"/>
    <w:rsid w:val="00D66C41"/>
    <w:rsid w:val="00D9438E"/>
    <w:rsid w:val="00D97A57"/>
    <w:rsid w:val="00DA3277"/>
    <w:rsid w:val="00DB304D"/>
    <w:rsid w:val="00DC3E46"/>
    <w:rsid w:val="00DE3E2B"/>
    <w:rsid w:val="00E301C9"/>
    <w:rsid w:val="00E31137"/>
    <w:rsid w:val="00E334E9"/>
    <w:rsid w:val="00E34961"/>
    <w:rsid w:val="00E40698"/>
    <w:rsid w:val="00E773E0"/>
    <w:rsid w:val="00E92729"/>
    <w:rsid w:val="00E933EB"/>
    <w:rsid w:val="00EA2267"/>
    <w:rsid w:val="00EC2AAE"/>
    <w:rsid w:val="00EC3761"/>
    <w:rsid w:val="00EC3788"/>
    <w:rsid w:val="00EC4D2F"/>
    <w:rsid w:val="00EC5EB3"/>
    <w:rsid w:val="00ED29A3"/>
    <w:rsid w:val="00ED3DF5"/>
    <w:rsid w:val="00EF6D74"/>
    <w:rsid w:val="00F02796"/>
    <w:rsid w:val="00F031AD"/>
    <w:rsid w:val="00F079DB"/>
    <w:rsid w:val="00F07E14"/>
    <w:rsid w:val="00F11F7D"/>
    <w:rsid w:val="00F146DF"/>
    <w:rsid w:val="00F24300"/>
    <w:rsid w:val="00F260DA"/>
    <w:rsid w:val="00F33924"/>
    <w:rsid w:val="00F36F38"/>
    <w:rsid w:val="00F42519"/>
    <w:rsid w:val="00F45C3F"/>
    <w:rsid w:val="00F50D84"/>
    <w:rsid w:val="00F549C6"/>
    <w:rsid w:val="00F57CDC"/>
    <w:rsid w:val="00F621C5"/>
    <w:rsid w:val="00F62B91"/>
    <w:rsid w:val="00F64DB9"/>
    <w:rsid w:val="00F73BCE"/>
    <w:rsid w:val="00F857E2"/>
    <w:rsid w:val="00F87E3E"/>
    <w:rsid w:val="00F94DED"/>
    <w:rsid w:val="00FA7D55"/>
    <w:rsid w:val="00FC26E3"/>
    <w:rsid w:val="00FC6A17"/>
    <w:rsid w:val="00FD7E06"/>
    <w:rsid w:val="00FE60D9"/>
    <w:rsid w:val="00FE764B"/>
    <w:rsid w:val="00FE7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customStyle="1" w:styleId="Parah0number">
    <w:name w:val="Parah 0 number"/>
    <w:basedOn w:val="Normal"/>
    <w:rsid w:val="008E5A0C"/>
    <w:pPr>
      <w:numPr>
        <w:numId w:val="24"/>
      </w:numPr>
      <w:spacing w:after="60"/>
    </w:pPr>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customStyle="1" w:styleId="Parah0number">
    <w:name w:val="Parah 0 number"/>
    <w:basedOn w:val="Normal"/>
    <w:rsid w:val="008E5A0C"/>
    <w:pPr>
      <w:numPr>
        <w:numId w:val="24"/>
      </w:numPr>
      <w:spacing w:after="60"/>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 w:id="1367216763">
      <w:bodyDiv w:val="1"/>
      <w:marLeft w:val="0"/>
      <w:marRight w:val="0"/>
      <w:marTop w:val="0"/>
      <w:marBottom w:val="0"/>
      <w:divBdr>
        <w:top w:val="none" w:sz="0" w:space="0" w:color="auto"/>
        <w:left w:val="none" w:sz="0" w:space="0" w:color="auto"/>
        <w:bottom w:val="none" w:sz="0" w:space="0" w:color="auto"/>
        <w:right w:val="none" w:sz="0" w:space="0" w:color="auto"/>
      </w:divBdr>
    </w:div>
    <w:div w:id="20235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1BE8-B2F4-4089-A3C6-3423DF87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RECOMMENDATION FOR DECISION ON PROJECT REFERRED UNDER ENVIRONMENT EFFECTS ACT 1978</vt:lpstr>
    </vt:vector>
  </TitlesOfParts>
  <Company>DSE/DPI</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DECISION ON PROJECT REFERRED UNDER ENVIRONMENT EFFECTS ACT 1978</dc:title>
  <dc:creator>tb37</dc:creator>
  <cp:lastModifiedBy>vicymyn</cp:lastModifiedBy>
  <cp:revision>2</cp:revision>
  <cp:lastPrinted>2017-03-20T02:24:00Z</cp:lastPrinted>
  <dcterms:created xsi:type="dcterms:W3CDTF">2017-05-24T23:54:00Z</dcterms:created>
  <dcterms:modified xsi:type="dcterms:W3CDTF">2017-05-24T23:54:00Z</dcterms:modified>
</cp:coreProperties>
</file>