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0FA" w:rsidRDefault="00AB70FA" w:rsidP="00AB70FA">
      <w:pPr>
        <w:tabs>
          <w:tab w:val="left" w:pos="8080"/>
        </w:tabs>
        <w:autoSpaceDE w:val="0"/>
        <w:autoSpaceDN w:val="0"/>
        <w:adjustRightInd w:val="0"/>
        <w:spacing w:after="120"/>
        <w:jc w:val="center"/>
        <w:rPr>
          <w:rFonts w:ascii="Times New Roman" w:hAnsi="Times New Roman" w:cs="Times New Roman"/>
          <w:i/>
          <w:color w:val="000000"/>
        </w:rPr>
      </w:pPr>
      <w:bookmarkStart w:id="0" w:name="_GoBack"/>
      <w:bookmarkEnd w:id="0"/>
    </w:p>
    <w:p w:rsidR="00AB70FA" w:rsidRPr="00AB70FA" w:rsidRDefault="00593647" w:rsidP="002C555F">
      <w:pPr>
        <w:tabs>
          <w:tab w:val="left" w:pos="8080"/>
        </w:tabs>
        <w:autoSpaceDE w:val="0"/>
        <w:autoSpaceDN w:val="0"/>
        <w:adjustRightInd w:val="0"/>
        <w:spacing w:after="0"/>
        <w:jc w:val="center"/>
        <w:rPr>
          <w:rFonts w:ascii="Times New Roman" w:hAnsi="Times New Roman" w:cs="Times New Roman"/>
          <w:i/>
          <w:color w:val="000000"/>
        </w:rPr>
      </w:pPr>
      <w:r>
        <w:rPr>
          <w:rFonts w:ascii="Times New Roman" w:hAnsi="Times New Roman" w:cs="Times New Roman"/>
          <w:i/>
          <w:noProof/>
          <w:color w:val="000000"/>
        </w:rPr>
        <w:pict>
          <v:shapetype id="_x0000_t202" coordsize="21600,21600" o:spt="202" path="m,l,21600r21600,l21600,xe">
            <v:stroke joinstyle="miter"/>
            <v:path gradientshapeok="t" o:connecttype="rect"/>
          </v:shapetype>
          <v:shape id="_x0000_s1030" type="#_x0000_t202" style="position:absolute;left:0;text-align:left;margin-left:-4.5pt;margin-top:-45pt;width:6in;height:36pt;z-index:251660288" stroked="f">
            <v:textbox style="mso-next-textbox:#_x0000_s1030">
              <w:txbxContent>
                <w:p w:rsidR="00AB70FA" w:rsidRDefault="00AB70FA" w:rsidP="00AB70FA">
                  <w:pPr>
                    <w:jc w:val="center"/>
                    <w:rPr>
                      <w:rFonts w:ascii="Arial" w:hAnsi="Arial" w:cs="Arial"/>
                      <w:b/>
                      <w:color w:val="999999"/>
                      <w:sz w:val="28"/>
                      <w:szCs w:val="28"/>
                    </w:rPr>
                  </w:pPr>
                  <w:r>
                    <w:rPr>
                      <w:rFonts w:ascii="Arial" w:hAnsi="Arial" w:cs="Arial"/>
                      <w:b/>
                      <w:color w:val="999999"/>
                      <w:sz w:val="28"/>
                      <w:szCs w:val="28"/>
                    </w:rPr>
                    <w:t xml:space="preserve"> </w:t>
                  </w:r>
                </w:p>
                <w:p w:rsidR="00AB70FA" w:rsidRPr="00F750AA" w:rsidRDefault="00AB70FA" w:rsidP="00AB70FA">
                  <w:pPr>
                    <w:jc w:val="center"/>
                    <w:rPr>
                      <w:rFonts w:ascii="Arial" w:hAnsi="Arial" w:cs="Arial"/>
                      <w:b/>
                      <w:color w:val="999999"/>
                      <w:sz w:val="48"/>
                      <w:szCs w:val="48"/>
                    </w:rPr>
                  </w:pPr>
                </w:p>
              </w:txbxContent>
            </v:textbox>
          </v:shape>
        </w:pict>
      </w:r>
      <w:r w:rsidR="00AB70FA" w:rsidRPr="00AB70FA">
        <w:rPr>
          <w:rFonts w:ascii="Times New Roman" w:hAnsi="Times New Roman" w:cs="Times New Roman"/>
          <w:i/>
          <w:color w:val="000000"/>
        </w:rPr>
        <w:t>Planning and Environment Act 1987</w:t>
      </w:r>
    </w:p>
    <w:p w:rsidR="002C555F" w:rsidRDefault="00AB70FA" w:rsidP="002C555F">
      <w:pPr>
        <w:tabs>
          <w:tab w:val="left" w:pos="8080"/>
        </w:tabs>
        <w:autoSpaceDE w:val="0"/>
        <w:autoSpaceDN w:val="0"/>
        <w:adjustRightInd w:val="0"/>
        <w:spacing w:after="0"/>
        <w:jc w:val="center"/>
        <w:rPr>
          <w:rFonts w:ascii="Times New Roman" w:hAnsi="Times New Roman" w:cs="Times New Roman"/>
          <w:color w:val="000000"/>
        </w:rPr>
      </w:pPr>
      <w:r w:rsidRPr="00AB70FA">
        <w:rPr>
          <w:rFonts w:ascii="Times New Roman" w:hAnsi="Times New Roman" w:cs="Times New Roman"/>
          <w:color w:val="000000"/>
        </w:rPr>
        <w:t xml:space="preserve">Section </w:t>
      </w:r>
      <w:r>
        <w:rPr>
          <w:rFonts w:ascii="Times New Roman" w:hAnsi="Times New Roman" w:cs="Times New Roman"/>
          <w:color w:val="000000"/>
        </w:rPr>
        <w:t>12 (2)</w:t>
      </w:r>
      <w:r w:rsidRPr="00AB70FA">
        <w:rPr>
          <w:rFonts w:ascii="Times New Roman" w:hAnsi="Times New Roman" w:cs="Times New Roman"/>
          <w:color w:val="000000"/>
        </w:rPr>
        <w:t xml:space="preserve"> (</w:t>
      </w:r>
      <w:r>
        <w:rPr>
          <w:rFonts w:ascii="Times New Roman" w:hAnsi="Times New Roman" w:cs="Times New Roman"/>
          <w:color w:val="000000"/>
        </w:rPr>
        <w:t>a</w:t>
      </w:r>
      <w:r w:rsidRPr="00AB70FA">
        <w:rPr>
          <w:rFonts w:ascii="Times New Roman" w:hAnsi="Times New Roman" w:cs="Times New Roman"/>
          <w:color w:val="000000"/>
        </w:rPr>
        <w:t xml:space="preserve">) </w:t>
      </w:r>
    </w:p>
    <w:p w:rsidR="002C555F" w:rsidRPr="002C555F" w:rsidRDefault="002C555F" w:rsidP="002C555F">
      <w:pPr>
        <w:tabs>
          <w:tab w:val="left" w:pos="8080"/>
        </w:tabs>
        <w:autoSpaceDE w:val="0"/>
        <w:autoSpaceDN w:val="0"/>
        <w:adjustRightInd w:val="0"/>
        <w:spacing w:after="0"/>
        <w:jc w:val="center"/>
        <w:rPr>
          <w:rFonts w:ascii="Times New Roman" w:hAnsi="Times New Roman" w:cs="Times New Roman"/>
          <w:color w:val="000000"/>
        </w:rPr>
      </w:pPr>
    </w:p>
    <w:p w:rsidR="00AB70FA" w:rsidRDefault="00AB70FA" w:rsidP="00AB70FA">
      <w:pPr>
        <w:autoSpaceDE w:val="0"/>
        <w:autoSpaceDN w:val="0"/>
        <w:adjustRightInd w:val="0"/>
        <w:jc w:val="center"/>
        <w:rPr>
          <w:rFonts w:ascii="Times New Roman" w:hAnsi="Times New Roman" w:cs="Times New Roman"/>
          <w:b/>
          <w:bCs/>
          <w:color w:val="000000"/>
        </w:rPr>
      </w:pPr>
      <w:r w:rsidRPr="00AB70FA">
        <w:rPr>
          <w:rFonts w:ascii="Times New Roman" w:hAnsi="Times New Roman" w:cs="Times New Roman"/>
          <w:b/>
          <w:bCs/>
          <w:color w:val="000000"/>
        </w:rPr>
        <w:t>DIRECTION NO.  14</w:t>
      </w:r>
    </w:p>
    <w:p w:rsidR="00AB70FA" w:rsidRPr="00AB70FA" w:rsidRDefault="00AB70FA" w:rsidP="00AB70FA">
      <w:pPr>
        <w:autoSpaceDE w:val="0"/>
        <w:autoSpaceDN w:val="0"/>
        <w:adjustRightInd w:val="0"/>
        <w:ind w:left="2880" w:firstLine="720"/>
        <w:rPr>
          <w:rFonts w:ascii="Times New Roman" w:hAnsi="Times New Roman" w:cs="Times New Roman"/>
          <w:b/>
          <w:bCs/>
          <w:color w:val="000000"/>
          <w:sz w:val="36"/>
          <w:szCs w:val="36"/>
        </w:rPr>
      </w:pPr>
      <w:r w:rsidRPr="00AB70FA">
        <w:rPr>
          <w:rFonts w:ascii="Times New Roman" w:hAnsi="Times New Roman" w:cs="Times New Roman"/>
          <w:b/>
          <w:bCs/>
          <w:color w:val="000000"/>
          <w:sz w:val="36"/>
          <w:szCs w:val="36"/>
        </w:rPr>
        <w:t>PORTS ENVIRONS</w:t>
      </w:r>
    </w:p>
    <w:p w:rsidR="00AB70FA" w:rsidRPr="00AB70FA" w:rsidRDefault="00AB70FA" w:rsidP="00AB70FA">
      <w:pPr>
        <w:autoSpaceDE w:val="0"/>
        <w:autoSpaceDN w:val="0"/>
        <w:adjustRightInd w:val="0"/>
        <w:jc w:val="both"/>
        <w:rPr>
          <w:rFonts w:ascii="Times New Roman" w:hAnsi="Times New Roman" w:cs="Times New Roman"/>
          <w:b/>
          <w:bCs/>
          <w:color w:val="000000"/>
        </w:rPr>
      </w:pPr>
    </w:p>
    <w:p w:rsidR="00AB70FA" w:rsidRPr="00AB70FA" w:rsidRDefault="00AB70FA" w:rsidP="00AB70FA">
      <w:pPr>
        <w:tabs>
          <w:tab w:val="left" w:pos="3170"/>
        </w:tabs>
        <w:autoSpaceDE w:val="0"/>
        <w:autoSpaceDN w:val="0"/>
        <w:adjustRightInd w:val="0"/>
        <w:spacing w:after="0"/>
        <w:ind w:left="284" w:right="1276"/>
        <w:jc w:val="both"/>
        <w:rPr>
          <w:rFonts w:ascii="Times New Roman" w:hAnsi="Times New Roman" w:cs="Times New Roman"/>
          <w:b/>
          <w:bCs/>
          <w:color w:val="000000"/>
        </w:rPr>
      </w:pPr>
      <w:r w:rsidRPr="00AB70FA">
        <w:rPr>
          <w:rFonts w:ascii="Times New Roman" w:hAnsi="Times New Roman" w:cs="Times New Roman"/>
          <w:b/>
          <w:bCs/>
          <w:color w:val="000000"/>
        </w:rPr>
        <w:t>Purpose</w:t>
      </w:r>
      <w:r>
        <w:rPr>
          <w:rFonts w:ascii="Times New Roman" w:hAnsi="Times New Roman" w:cs="Times New Roman"/>
          <w:b/>
          <w:bCs/>
          <w:color w:val="000000"/>
        </w:rPr>
        <w:tab/>
      </w:r>
    </w:p>
    <w:p w:rsidR="00AB70FA" w:rsidRDefault="00AB70FA" w:rsidP="00AB70FA">
      <w:pPr>
        <w:pStyle w:val="ListParagraph"/>
        <w:numPr>
          <w:ilvl w:val="0"/>
          <w:numId w:val="4"/>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The purpose of this Direction is to ensure that any planning scheme amendment in the environs of a commercial trading port has regard to protecting the operations and development of the port from the encroachment or intensification of sensitive uses described under section 3 of this Direction.</w:t>
      </w:r>
    </w:p>
    <w:p w:rsidR="00EC6F0C" w:rsidRPr="00EC6F0C" w:rsidRDefault="00EC6F0C" w:rsidP="00EC6F0C">
      <w:pPr>
        <w:autoSpaceDE w:val="0"/>
        <w:autoSpaceDN w:val="0"/>
        <w:adjustRightInd w:val="0"/>
        <w:spacing w:after="0" w:line="240" w:lineRule="auto"/>
        <w:ind w:left="284" w:right="1276"/>
        <w:jc w:val="both"/>
        <w:rPr>
          <w:rFonts w:ascii="Times New Roman" w:hAnsi="Times New Roman" w:cs="Times New Roman"/>
          <w:color w:val="000000"/>
        </w:rPr>
      </w:pPr>
    </w:p>
    <w:p w:rsidR="00AB70FA" w:rsidRPr="00AB70FA" w:rsidRDefault="00AB70FA" w:rsidP="00AB70FA">
      <w:pPr>
        <w:autoSpaceDE w:val="0"/>
        <w:autoSpaceDN w:val="0"/>
        <w:adjustRightInd w:val="0"/>
        <w:spacing w:after="0"/>
        <w:ind w:left="284" w:right="1276"/>
        <w:jc w:val="both"/>
        <w:rPr>
          <w:rFonts w:ascii="Arial" w:hAnsi="Arial" w:cs="Arial"/>
          <w:b/>
          <w:bCs/>
          <w:color w:val="000000"/>
        </w:rPr>
      </w:pPr>
      <w:r w:rsidRPr="00AB70FA">
        <w:rPr>
          <w:rFonts w:ascii="Arial" w:hAnsi="Arial" w:cs="Arial"/>
          <w:b/>
          <w:bCs/>
          <w:color w:val="000000"/>
        </w:rPr>
        <w:t>Application</w:t>
      </w:r>
    </w:p>
    <w:p w:rsidR="00AB70FA" w:rsidRDefault="00AB70FA" w:rsidP="00EC6F0C">
      <w:pPr>
        <w:pStyle w:val="ListParagraph"/>
        <w:numPr>
          <w:ilvl w:val="0"/>
          <w:numId w:val="4"/>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This Direction applies to the preparation of a planning scheme amendment affecting land in the environs of the Ports of Melbourne, Hastings, Geelong and Portland.</w:t>
      </w:r>
    </w:p>
    <w:p w:rsidR="00EC6F0C" w:rsidRPr="00EC6F0C" w:rsidRDefault="00EC6F0C" w:rsidP="00EC6F0C">
      <w:pPr>
        <w:autoSpaceDE w:val="0"/>
        <w:autoSpaceDN w:val="0"/>
        <w:adjustRightInd w:val="0"/>
        <w:spacing w:after="0" w:line="240" w:lineRule="auto"/>
        <w:ind w:left="284" w:right="1276"/>
        <w:jc w:val="both"/>
        <w:rPr>
          <w:rFonts w:ascii="Times New Roman" w:hAnsi="Times New Roman" w:cs="Times New Roman"/>
          <w:color w:val="000000"/>
        </w:rPr>
      </w:pPr>
    </w:p>
    <w:p w:rsidR="00AB70FA" w:rsidRPr="00AB70FA" w:rsidRDefault="00AB70FA" w:rsidP="00AB70FA">
      <w:pPr>
        <w:autoSpaceDE w:val="0"/>
        <w:autoSpaceDN w:val="0"/>
        <w:adjustRightInd w:val="0"/>
        <w:spacing w:after="0"/>
        <w:ind w:left="284" w:right="1276"/>
        <w:jc w:val="both"/>
        <w:rPr>
          <w:rFonts w:ascii="Arial" w:hAnsi="Arial" w:cs="Arial"/>
          <w:b/>
          <w:bCs/>
          <w:color w:val="000000"/>
        </w:rPr>
      </w:pPr>
      <w:r w:rsidRPr="00AB70FA">
        <w:rPr>
          <w:rFonts w:ascii="Arial" w:hAnsi="Arial" w:cs="Arial"/>
          <w:b/>
          <w:bCs/>
          <w:color w:val="000000"/>
        </w:rPr>
        <w:t>Definitions</w:t>
      </w:r>
    </w:p>
    <w:p w:rsidR="00AB70FA" w:rsidRPr="00AB70FA" w:rsidRDefault="00AB70FA" w:rsidP="00AB70FA">
      <w:pPr>
        <w:pStyle w:val="ListParagraph"/>
        <w:numPr>
          <w:ilvl w:val="0"/>
          <w:numId w:val="4"/>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In this Direction:</w:t>
      </w:r>
    </w:p>
    <w:p w:rsidR="00AB70FA" w:rsidRPr="00AB70FA" w:rsidRDefault="00AB70FA" w:rsidP="00AB70FA">
      <w:pPr>
        <w:pStyle w:val="ListParagraph"/>
        <w:numPr>
          <w:ilvl w:val="0"/>
          <w:numId w:val="7"/>
        </w:numPr>
        <w:autoSpaceDE w:val="0"/>
        <w:autoSpaceDN w:val="0"/>
        <w:adjustRightInd w:val="0"/>
        <w:spacing w:after="0" w:line="240" w:lineRule="auto"/>
        <w:ind w:right="1276"/>
        <w:jc w:val="both"/>
        <w:rPr>
          <w:rFonts w:ascii="Times New Roman" w:hAnsi="Times New Roman" w:cs="Times New Roman"/>
          <w:b/>
          <w:bCs/>
          <w:color w:val="000000"/>
        </w:rPr>
      </w:pPr>
      <w:r w:rsidRPr="00AB70FA">
        <w:rPr>
          <w:rFonts w:ascii="Times New Roman" w:hAnsi="Times New Roman" w:cs="Times New Roman"/>
          <w:color w:val="000000"/>
        </w:rPr>
        <w:t>“port environs” means the land identified on the maps attached to this Direction</w:t>
      </w:r>
    </w:p>
    <w:p w:rsidR="00AB70FA" w:rsidRDefault="00AB70FA" w:rsidP="00EC6F0C">
      <w:pPr>
        <w:pStyle w:val="ListParagraph"/>
        <w:numPr>
          <w:ilvl w:val="0"/>
          <w:numId w:val="7"/>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 xml:space="preserve">“sensitive use” means a residential use, accommodation, a child care centre, a pre-school centre or a primary school.  </w:t>
      </w:r>
    </w:p>
    <w:p w:rsidR="00EC6F0C" w:rsidRPr="00EC6F0C" w:rsidRDefault="00EC6F0C" w:rsidP="00EC6F0C">
      <w:pPr>
        <w:autoSpaceDE w:val="0"/>
        <w:autoSpaceDN w:val="0"/>
        <w:adjustRightInd w:val="0"/>
        <w:spacing w:after="0" w:line="240" w:lineRule="auto"/>
        <w:ind w:left="644" w:right="1276"/>
        <w:jc w:val="both"/>
        <w:rPr>
          <w:rFonts w:ascii="Times New Roman" w:hAnsi="Times New Roman" w:cs="Times New Roman"/>
          <w:color w:val="000000"/>
        </w:rPr>
      </w:pPr>
    </w:p>
    <w:p w:rsidR="00AB70FA" w:rsidRPr="00AB70FA" w:rsidRDefault="00AB70FA" w:rsidP="00AB70FA">
      <w:pPr>
        <w:autoSpaceDE w:val="0"/>
        <w:autoSpaceDN w:val="0"/>
        <w:adjustRightInd w:val="0"/>
        <w:spacing w:after="0"/>
        <w:ind w:left="284" w:right="1276"/>
        <w:jc w:val="both"/>
        <w:rPr>
          <w:rFonts w:ascii="Arial" w:hAnsi="Arial" w:cs="Arial"/>
          <w:b/>
          <w:bCs/>
          <w:color w:val="000000"/>
        </w:rPr>
      </w:pPr>
      <w:r w:rsidRPr="00AB70FA">
        <w:rPr>
          <w:rFonts w:ascii="Arial" w:hAnsi="Arial" w:cs="Arial"/>
          <w:b/>
          <w:bCs/>
          <w:color w:val="000000"/>
        </w:rPr>
        <w:t>What does the Direction do</w:t>
      </w:r>
    </w:p>
    <w:p w:rsidR="00AB70FA" w:rsidRDefault="00AB70FA" w:rsidP="00EC6F0C">
      <w:pPr>
        <w:pStyle w:val="ListParagraph"/>
        <w:numPr>
          <w:ilvl w:val="0"/>
          <w:numId w:val="4"/>
        </w:numPr>
        <w:autoSpaceDE w:val="0"/>
        <w:autoSpaceDN w:val="0"/>
        <w:adjustRightInd w:val="0"/>
        <w:spacing w:after="0" w:line="240" w:lineRule="auto"/>
        <w:ind w:right="1276"/>
        <w:jc w:val="both"/>
        <w:rPr>
          <w:rFonts w:ascii="Times New Roman" w:hAnsi="Times New Roman" w:cs="Times New Roman"/>
        </w:rPr>
      </w:pPr>
      <w:r w:rsidRPr="00AB70FA">
        <w:rPr>
          <w:rFonts w:ascii="Times New Roman" w:hAnsi="Times New Roman" w:cs="Times New Roman"/>
          <w:color w:val="000000"/>
        </w:rPr>
        <w:t xml:space="preserve">The Direction requires a planning authority to satisfy itself that an amendment to a planning scheme </w:t>
      </w:r>
      <w:r w:rsidRPr="00AB70FA">
        <w:rPr>
          <w:rFonts w:ascii="Times New Roman" w:hAnsi="Times New Roman" w:cs="Times New Roman"/>
        </w:rPr>
        <w:t>will not introduce a sensitive use or will not intensify existing sensitive uses</w:t>
      </w:r>
      <w:r w:rsidRPr="00AB70FA">
        <w:rPr>
          <w:rFonts w:ascii="Times New Roman" w:hAnsi="Times New Roman" w:cs="Times New Roman"/>
          <w:color w:val="000000"/>
        </w:rPr>
        <w:t xml:space="preserve"> in the areas designated as port environs, </w:t>
      </w:r>
      <w:r w:rsidRPr="00AB70FA">
        <w:rPr>
          <w:rFonts w:ascii="Times New Roman" w:hAnsi="Times New Roman" w:cs="Times New Roman"/>
        </w:rPr>
        <w:t>if the use prejudices the operation of the port.</w:t>
      </w:r>
    </w:p>
    <w:p w:rsidR="00EC6F0C" w:rsidRPr="00EC6F0C" w:rsidRDefault="00EC6F0C" w:rsidP="00EC6F0C">
      <w:pPr>
        <w:autoSpaceDE w:val="0"/>
        <w:autoSpaceDN w:val="0"/>
        <w:adjustRightInd w:val="0"/>
        <w:spacing w:after="0" w:line="240" w:lineRule="auto"/>
        <w:ind w:left="284" w:right="1276"/>
        <w:jc w:val="both"/>
        <w:rPr>
          <w:rFonts w:ascii="Times New Roman" w:hAnsi="Times New Roman" w:cs="Times New Roman"/>
        </w:rPr>
      </w:pPr>
    </w:p>
    <w:p w:rsidR="00AB70FA" w:rsidRPr="00AB70FA" w:rsidRDefault="00AB70FA" w:rsidP="00AB70FA">
      <w:pPr>
        <w:autoSpaceDE w:val="0"/>
        <w:autoSpaceDN w:val="0"/>
        <w:adjustRightInd w:val="0"/>
        <w:spacing w:after="0"/>
        <w:ind w:left="284" w:right="1276"/>
        <w:jc w:val="both"/>
        <w:rPr>
          <w:rFonts w:ascii="Arial" w:hAnsi="Arial" w:cs="Arial"/>
          <w:b/>
          <w:bCs/>
          <w:color w:val="000000"/>
        </w:rPr>
      </w:pPr>
      <w:r w:rsidRPr="00AB70FA">
        <w:rPr>
          <w:rFonts w:ascii="Arial" w:hAnsi="Arial" w:cs="Arial"/>
          <w:b/>
          <w:bCs/>
          <w:color w:val="000000"/>
        </w:rPr>
        <w:t>How a planning authority must satisfy itself</w:t>
      </w:r>
    </w:p>
    <w:p w:rsidR="00AB70FA" w:rsidRPr="00AB70FA" w:rsidRDefault="00AB70FA" w:rsidP="00AB70FA">
      <w:pPr>
        <w:pStyle w:val="ListParagraph"/>
        <w:numPr>
          <w:ilvl w:val="0"/>
          <w:numId w:val="4"/>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 xml:space="preserve">In preparing an amendment affecting land in the port environs, a planning authority must ensure that the current curfew free operations and future development of the port, identified in the relevant Port Development Strategy will not be prejudiced.  This includes arterial road and rail transport connections.  </w:t>
      </w:r>
    </w:p>
    <w:p w:rsidR="00AB70FA" w:rsidRDefault="00AB70FA" w:rsidP="00EC6F0C">
      <w:pPr>
        <w:pStyle w:val="ListParagraph"/>
        <w:numPr>
          <w:ilvl w:val="0"/>
          <w:numId w:val="4"/>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The planning authority must consider the views of the Minister for Ports and the relevant port manager.</w:t>
      </w:r>
    </w:p>
    <w:p w:rsidR="00EC6F0C" w:rsidRPr="00EC6F0C" w:rsidRDefault="00EC6F0C" w:rsidP="00EC6F0C">
      <w:pPr>
        <w:autoSpaceDE w:val="0"/>
        <w:autoSpaceDN w:val="0"/>
        <w:adjustRightInd w:val="0"/>
        <w:spacing w:after="0" w:line="240" w:lineRule="auto"/>
        <w:ind w:left="284" w:right="1276"/>
        <w:jc w:val="both"/>
        <w:rPr>
          <w:rFonts w:ascii="Times New Roman" w:hAnsi="Times New Roman" w:cs="Times New Roman"/>
          <w:color w:val="000000"/>
        </w:rPr>
      </w:pPr>
    </w:p>
    <w:p w:rsidR="00AB70FA" w:rsidRPr="00AB70FA" w:rsidRDefault="00AB70FA" w:rsidP="00AB70FA">
      <w:pPr>
        <w:autoSpaceDE w:val="0"/>
        <w:autoSpaceDN w:val="0"/>
        <w:adjustRightInd w:val="0"/>
        <w:spacing w:after="0"/>
        <w:ind w:left="284" w:right="1276"/>
        <w:jc w:val="both"/>
        <w:rPr>
          <w:rFonts w:ascii="Arial" w:hAnsi="Arial" w:cs="Arial"/>
          <w:b/>
          <w:bCs/>
          <w:color w:val="000000"/>
        </w:rPr>
      </w:pPr>
      <w:r w:rsidRPr="00AB70FA">
        <w:rPr>
          <w:rFonts w:ascii="Arial" w:hAnsi="Arial" w:cs="Arial"/>
          <w:b/>
          <w:bCs/>
          <w:color w:val="000000"/>
        </w:rPr>
        <w:t>Exemption by Minister</w:t>
      </w:r>
    </w:p>
    <w:p w:rsidR="00AB70FA" w:rsidRPr="00AB70FA" w:rsidRDefault="00AB70FA" w:rsidP="00AB70FA">
      <w:pPr>
        <w:pStyle w:val="ListParagraph"/>
        <w:numPr>
          <w:ilvl w:val="0"/>
          <w:numId w:val="4"/>
        </w:numPr>
        <w:autoSpaceDE w:val="0"/>
        <w:autoSpaceDN w:val="0"/>
        <w:adjustRightInd w:val="0"/>
        <w:spacing w:after="0" w:line="240" w:lineRule="auto"/>
        <w:ind w:right="1276"/>
        <w:jc w:val="both"/>
        <w:rPr>
          <w:rFonts w:ascii="Times New Roman" w:hAnsi="Times New Roman" w:cs="Times New Roman"/>
          <w:color w:val="000000"/>
        </w:rPr>
      </w:pPr>
      <w:r w:rsidRPr="00AB70FA">
        <w:rPr>
          <w:rFonts w:ascii="Times New Roman" w:hAnsi="Times New Roman" w:cs="Times New Roman"/>
          <w:color w:val="000000"/>
        </w:rPr>
        <w:t xml:space="preserve">The Minister may grant an exemption from the need to comply with this Direction in relation to a particular amendment. </w:t>
      </w:r>
    </w:p>
    <w:p w:rsidR="00AB70FA" w:rsidRPr="00AB70FA" w:rsidRDefault="00AB70FA" w:rsidP="00AB70FA">
      <w:pPr>
        <w:autoSpaceDE w:val="0"/>
        <w:autoSpaceDN w:val="0"/>
        <w:adjustRightInd w:val="0"/>
        <w:ind w:right="1559"/>
        <w:jc w:val="both"/>
        <w:rPr>
          <w:rFonts w:ascii="Times New Roman" w:hAnsi="Times New Roman" w:cs="Times New Roman"/>
          <w:b/>
          <w:bCs/>
          <w:color w:val="000000"/>
        </w:rPr>
      </w:pPr>
    </w:p>
    <w:p w:rsidR="00AB70FA" w:rsidRPr="00AB70FA" w:rsidRDefault="00AB70FA" w:rsidP="00AB70FA">
      <w:pPr>
        <w:autoSpaceDE w:val="0"/>
        <w:autoSpaceDN w:val="0"/>
        <w:adjustRightInd w:val="0"/>
        <w:spacing w:after="0"/>
        <w:ind w:left="284" w:right="1559"/>
        <w:jc w:val="both"/>
        <w:rPr>
          <w:rFonts w:ascii="Arial" w:hAnsi="Arial" w:cs="Arial"/>
          <w:b/>
          <w:bCs/>
          <w:color w:val="000000"/>
        </w:rPr>
      </w:pPr>
      <w:r w:rsidRPr="00AB70FA">
        <w:rPr>
          <w:rFonts w:ascii="Arial" w:hAnsi="Arial" w:cs="Arial"/>
          <w:b/>
          <w:bCs/>
          <w:color w:val="000000"/>
        </w:rPr>
        <w:t>MATTHEW GUY MLC</w:t>
      </w:r>
    </w:p>
    <w:p w:rsidR="00AB70FA" w:rsidRPr="00AB70FA" w:rsidRDefault="00AB70FA" w:rsidP="00AB70FA">
      <w:pPr>
        <w:autoSpaceDE w:val="0"/>
        <w:autoSpaceDN w:val="0"/>
        <w:adjustRightInd w:val="0"/>
        <w:spacing w:after="0"/>
        <w:ind w:left="284" w:right="1559"/>
        <w:jc w:val="both"/>
        <w:rPr>
          <w:rFonts w:ascii="Arial" w:hAnsi="Arial" w:cs="Arial"/>
          <w:b/>
          <w:bCs/>
          <w:color w:val="000000"/>
        </w:rPr>
      </w:pPr>
      <w:r w:rsidRPr="00AB70FA">
        <w:rPr>
          <w:rFonts w:ascii="Arial" w:hAnsi="Arial" w:cs="Arial"/>
          <w:b/>
          <w:bCs/>
          <w:color w:val="000000"/>
        </w:rPr>
        <w:t>MINISTER FOR PLANNING</w:t>
      </w:r>
    </w:p>
    <w:p w:rsidR="00AB70FA" w:rsidRPr="00AB70FA" w:rsidRDefault="00AB70FA" w:rsidP="00AB70FA">
      <w:pPr>
        <w:autoSpaceDE w:val="0"/>
        <w:autoSpaceDN w:val="0"/>
        <w:adjustRightInd w:val="0"/>
        <w:ind w:left="284" w:right="1559"/>
        <w:jc w:val="both"/>
        <w:rPr>
          <w:rFonts w:ascii="Times New Roman" w:hAnsi="Times New Roman" w:cs="Times New Roman"/>
          <w:color w:val="000000"/>
        </w:rPr>
      </w:pPr>
    </w:p>
    <w:p w:rsidR="00AB70FA" w:rsidRDefault="00AB70FA" w:rsidP="00AB70FA">
      <w:pPr>
        <w:autoSpaceDE w:val="0"/>
        <w:autoSpaceDN w:val="0"/>
        <w:adjustRightInd w:val="0"/>
        <w:ind w:left="284" w:right="1559"/>
        <w:jc w:val="both"/>
        <w:rPr>
          <w:rFonts w:ascii="Times New Roman" w:hAnsi="Times New Roman" w:cs="Times New Roman"/>
          <w:color w:val="000000"/>
        </w:rPr>
      </w:pPr>
      <w:r w:rsidRPr="00AB70FA">
        <w:rPr>
          <w:rFonts w:ascii="Times New Roman" w:hAnsi="Times New Roman" w:cs="Times New Roman"/>
          <w:color w:val="000000"/>
        </w:rPr>
        <w:t xml:space="preserve">Date: </w:t>
      </w:r>
      <w:r w:rsidR="00EC6F0C">
        <w:rPr>
          <w:rFonts w:ascii="Times New Roman" w:hAnsi="Times New Roman" w:cs="Times New Roman"/>
          <w:color w:val="000000"/>
        </w:rPr>
        <w:t xml:space="preserve"> 17 May 2012</w:t>
      </w:r>
    </w:p>
    <w:tbl>
      <w:tblPr>
        <w:tblW w:w="0" w:type="auto"/>
        <w:tblInd w:w="124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49"/>
        <w:gridCol w:w="2729"/>
      </w:tblGrid>
      <w:tr w:rsidR="00993B10" w:rsidTr="00904D09">
        <w:tc>
          <w:tcPr>
            <w:tcW w:w="4678" w:type="dxa"/>
            <w:gridSpan w:val="2"/>
            <w:shd w:val="solid" w:color="auto" w:fill="auto"/>
          </w:tcPr>
          <w:p w:rsidR="00993B10" w:rsidRPr="00994998" w:rsidRDefault="00E90CA1" w:rsidP="00E90CA1">
            <w:pPr>
              <w:pStyle w:val="Tabletext"/>
              <w:rPr>
                <w:rFonts w:ascii="Arial" w:hAnsi="Arial" w:cs="Arial"/>
              </w:rPr>
            </w:pPr>
            <w:r w:rsidRPr="00994998">
              <w:rPr>
                <w:rFonts w:ascii="Arial" w:hAnsi="Arial" w:cs="Arial"/>
              </w:rPr>
              <w:t>Commencement details</w:t>
            </w:r>
          </w:p>
        </w:tc>
      </w:tr>
      <w:tr w:rsidR="00993B10" w:rsidTr="00904D09">
        <w:tc>
          <w:tcPr>
            <w:tcW w:w="1949" w:type="dxa"/>
          </w:tcPr>
          <w:p w:rsidR="00993B10" w:rsidRPr="00994998" w:rsidRDefault="00993B10" w:rsidP="00904D09">
            <w:pPr>
              <w:pStyle w:val="Tabletext"/>
              <w:rPr>
                <w:rFonts w:ascii="Arial" w:hAnsi="Arial" w:cs="Arial"/>
              </w:rPr>
            </w:pPr>
            <w:r w:rsidRPr="00994998">
              <w:rPr>
                <w:rFonts w:ascii="Arial" w:hAnsi="Arial" w:cs="Arial"/>
              </w:rPr>
              <w:t>Gazetted</w:t>
            </w:r>
          </w:p>
        </w:tc>
        <w:tc>
          <w:tcPr>
            <w:tcW w:w="2729" w:type="dxa"/>
          </w:tcPr>
          <w:p w:rsidR="00993B10" w:rsidRPr="00994998" w:rsidRDefault="00993B10" w:rsidP="00904D09">
            <w:pPr>
              <w:pStyle w:val="Tabletext"/>
              <w:rPr>
                <w:rFonts w:ascii="Arial" w:hAnsi="Arial" w:cs="Arial"/>
              </w:rPr>
            </w:pPr>
            <w:r w:rsidRPr="00994998">
              <w:rPr>
                <w:rFonts w:ascii="Arial" w:hAnsi="Arial" w:cs="Arial"/>
              </w:rPr>
              <w:t>31 May 2012</w:t>
            </w:r>
          </w:p>
        </w:tc>
      </w:tr>
    </w:tbl>
    <w:p w:rsidR="00993B10" w:rsidRPr="00AB70FA" w:rsidRDefault="00993B10" w:rsidP="00AB70FA">
      <w:pPr>
        <w:autoSpaceDE w:val="0"/>
        <w:autoSpaceDN w:val="0"/>
        <w:adjustRightInd w:val="0"/>
        <w:ind w:left="284" w:right="1559"/>
        <w:jc w:val="both"/>
        <w:rPr>
          <w:rFonts w:ascii="Times New Roman" w:hAnsi="Times New Roman" w:cs="Times New Roman"/>
          <w:color w:val="000000"/>
        </w:rPr>
      </w:pPr>
    </w:p>
    <w:p w:rsidR="00FA5BC4" w:rsidRDefault="00562804" w:rsidP="00AF6F1E">
      <w:pPr>
        <w:tabs>
          <w:tab w:val="left" w:pos="4678"/>
        </w:tabs>
      </w:pPr>
      <w:r>
        <w:rPr>
          <w:noProof/>
          <w:lang w:eastAsia="en-AU"/>
        </w:rPr>
        <w:lastRenderedPageBreak/>
        <w:drawing>
          <wp:inline distT="0" distB="0" distL="0" distR="0">
            <wp:extent cx="6210300" cy="8782050"/>
            <wp:effectExtent l="19050" t="0" r="0" b="0"/>
            <wp:docPr id="10" name="Picture 2" descr="C:\Data\!!! requests\2012\Simon Haber\Vic port maps\jpgs for Word version\Geelong port environs 1705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ta\!!! requests\2012\Simon Haber\Vic port maps\jpgs for Word version\Geelong port environs 17052012.jpg"/>
                    <pic:cNvPicPr>
                      <a:picLocks noChangeAspect="1" noChangeArrowheads="1"/>
                    </pic:cNvPicPr>
                  </pic:nvPicPr>
                  <pic:blipFill>
                    <a:blip r:embed="rId7"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r>
        <w:rPr>
          <w:noProof/>
          <w:lang w:eastAsia="en-AU"/>
        </w:rPr>
        <w:lastRenderedPageBreak/>
        <w:drawing>
          <wp:inline distT="0" distB="0" distL="0" distR="0">
            <wp:extent cx="6210300" cy="8782050"/>
            <wp:effectExtent l="19050" t="0" r="0" b="0"/>
            <wp:docPr id="11" name="Picture 4" descr="C:\Data\!!! requests\2012\Simon Haber\Vic port maps\jpgs for Word version\Hastings Port Environs 2705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ta\!!! requests\2012\Simon Haber\Vic port maps\jpgs for Word version\Hastings Port Environs 27052012.JPG"/>
                    <pic:cNvPicPr>
                      <a:picLocks noChangeAspect="1" noChangeArrowheads="1"/>
                    </pic:cNvPicPr>
                  </pic:nvPicPr>
                  <pic:blipFill>
                    <a:blip r:embed="rId8"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r>
        <w:rPr>
          <w:noProof/>
          <w:lang w:eastAsia="en-AU"/>
        </w:rPr>
        <w:lastRenderedPageBreak/>
        <w:drawing>
          <wp:inline distT="0" distB="0" distL="0" distR="0">
            <wp:extent cx="6210300" cy="8782050"/>
            <wp:effectExtent l="19050" t="0" r="0" b="0"/>
            <wp:docPr id="12" name="Picture 5" descr="C:\Data\!!! requests\2012\Simon Haber\Vic port maps\jpgs for Word version\Portland port environs 2705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ta\!!! requests\2012\Simon Haber\Vic port maps\jpgs for Word version\Portland port environs 27052012.jpg"/>
                    <pic:cNvPicPr>
                      <a:picLocks noChangeAspect="1" noChangeArrowheads="1"/>
                    </pic:cNvPicPr>
                  </pic:nvPicPr>
                  <pic:blipFill>
                    <a:blip r:embed="rId9"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r w:rsidR="00734971">
        <w:rPr>
          <w:noProof/>
          <w:lang w:eastAsia="en-AU"/>
        </w:rPr>
        <w:lastRenderedPageBreak/>
        <w:drawing>
          <wp:inline distT="0" distB="0" distL="0" distR="0">
            <wp:extent cx="6210300" cy="8782050"/>
            <wp:effectExtent l="19050" t="0" r="0" b="0"/>
            <wp:docPr id="3" name="Picture 1" descr="C:\Data\!!! requests\2012\Simon Haber\Vic port maps\jpgs for Word version\Melbourne ports environ 2705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 requests\2012\Simon Haber\Vic port maps\jpgs for Word version\Melbourne ports environ 27052012.jpg"/>
                    <pic:cNvPicPr>
                      <a:picLocks noChangeAspect="1" noChangeArrowheads="1"/>
                    </pic:cNvPicPr>
                  </pic:nvPicPr>
                  <pic:blipFill>
                    <a:blip r:embed="rId10" cstate="print"/>
                    <a:srcRect/>
                    <a:stretch>
                      <a:fillRect/>
                    </a:stretch>
                  </pic:blipFill>
                  <pic:spPr bwMode="auto">
                    <a:xfrm>
                      <a:off x="0" y="0"/>
                      <a:ext cx="6210300" cy="8782050"/>
                    </a:xfrm>
                    <a:prstGeom prst="rect">
                      <a:avLst/>
                    </a:prstGeom>
                    <a:noFill/>
                    <a:ln w="9525">
                      <a:noFill/>
                      <a:miter lim="800000"/>
                      <a:headEnd/>
                      <a:tailEnd/>
                    </a:ln>
                  </pic:spPr>
                </pic:pic>
              </a:graphicData>
            </a:graphic>
          </wp:inline>
        </w:drawing>
      </w:r>
    </w:p>
    <w:sectPr w:rsidR="00FA5BC4" w:rsidSect="00AF6F1E">
      <w:pgSz w:w="11906" w:h="16838"/>
      <w:pgMar w:top="709"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67EC9"/>
    <w:multiLevelType w:val="hybridMultilevel"/>
    <w:tmpl w:val="4074FD8A"/>
    <w:lvl w:ilvl="0" w:tplc="0C09000F">
      <w:start w:val="4"/>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nsid w:val="414A6B2D"/>
    <w:multiLevelType w:val="hybridMultilevel"/>
    <w:tmpl w:val="F90499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4C7573FA"/>
    <w:multiLevelType w:val="hybridMultilevel"/>
    <w:tmpl w:val="7F602ECA"/>
    <w:lvl w:ilvl="0" w:tplc="0C090005">
      <w:start w:val="1"/>
      <w:numFmt w:val="bullet"/>
      <w:lvlText w:val=""/>
      <w:lvlJc w:val="left"/>
      <w:pPr>
        <w:tabs>
          <w:tab w:val="num" w:pos="1080"/>
        </w:tabs>
        <w:ind w:left="1080" w:hanging="360"/>
      </w:pPr>
      <w:rPr>
        <w:rFonts w:ascii="Wingdings" w:hAnsi="Wingdings"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nsid w:val="4F5779CE"/>
    <w:multiLevelType w:val="hybridMultilevel"/>
    <w:tmpl w:val="5802CE3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6CE96A8F"/>
    <w:multiLevelType w:val="hybridMultilevel"/>
    <w:tmpl w:val="2EAAA5C0"/>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nsid w:val="725C0B7B"/>
    <w:multiLevelType w:val="hybridMultilevel"/>
    <w:tmpl w:val="2B4C809C"/>
    <w:lvl w:ilvl="0" w:tplc="47F28268">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nsid w:val="7C047E76"/>
    <w:multiLevelType w:val="hybridMultilevel"/>
    <w:tmpl w:val="8222E97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defaultTabStop w:val="720"/>
  <w:characterSpacingControl w:val="doNotCompress"/>
  <w:compat>
    <w:compatSetting w:name="compatibilityMode" w:uri="http://schemas.microsoft.com/office/word" w:val="12"/>
  </w:compat>
  <w:rsids>
    <w:rsidRoot w:val="00AF6F1E"/>
    <w:rsid w:val="0000213A"/>
    <w:rsid w:val="00006A3F"/>
    <w:rsid w:val="00017815"/>
    <w:rsid w:val="00022F77"/>
    <w:rsid w:val="00056A76"/>
    <w:rsid w:val="000716F6"/>
    <w:rsid w:val="0008747F"/>
    <w:rsid w:val="00092D00"/>
    <w:rsid w:val="000B7A35"/>
    <w:rsid w:val="000C2365"/>
    <w:rsid w:val="000C38C9"/>
    <w:rsid w:val="000D4522"/>
    <w:rsid w:val="000E1E08"/>
    <w:rsid w:val="000E3761"/>
    <w:rsid w:val="000E58EE"/>
    <w:rsid w:val="000E6888"/>
    <w:rsid w:val="000E7870"/>
    <w:rsid w:val="00105080"/>
    <w:rsid w:val="001177E3"/>
    <w:rsid w:val="00121F21"/>
    <w:rsid w:val="00122210"/>
    <w:rsid w:val="001239E5"/>
    <w:rsid w:val="00126F7A"/>
    <w:rsid w:val="00136AF7"/>
    <w:rsid w:val="001407C0"/>
    <w:rsid w:val="00187C61"/>
    <w:rsid w:val="00197EF2"/>
    <w:rsid w:val="001E010F"/>
    <w:rsid w:val="001E4AD3"/>
    <w:rsid w:val="001F44DC"/>
    <w:rsid w:val="002160D9"/>
    <w:rsid w:val="00217F70"/>
    <w:rsid w:val="00223D49"/>
    <w:rsid w:val="00235FC3"/>
    <w:rsid w:val="00243BA5"/>
    <w:rsid w:val="00262425"/>
    <w:rsid w:val="00270247"/>
    <w:rsid w:val="00273263"/>
    <w:rsid w:val="00275FC9"/>
    <w:rsid w:val="00283E7A"/>
    <w:rsid w:val="00285F16"/>
    <w:rsid w:val="002937FC"/>
    <w:rsid w:val="002A010D"/>
    <w:rsid w:val="002A2788"/>
    <w:rsid w:val="002A4743"/>
    <w:rsid w:val="002A70CA"/>
    <w:rsid w:val="002B0296"/>
    <w:rsid w:val="002C3162"/>
    <w:rsid w:val="002C4CCE"/>
    <w:rsid w:val="002C5235"/>
    <w:rsid w:val="002C555F"/>
    <w:rsid w:val="002D5018"/>
    <w:rsid w:val="002D5218"/>
    <w:rsid w:val="002D6A3E"/>
    <w:rsid w:val="002F3A63"/>
    <w:rsid w:val="003061AE"/>
    <w:rsid w:val="00316DAD"/>
    <w:rsid w:val="00321428"/>
    <w:rsid w:val="00327C31"/>
    <w:rsid w:val="0034580B"/>
    <w:rsid w:val="0036432A"/>
    <w:rsid w:val="00375E74"/>
    <w:rsid w:val="0038066D"/>
    <w:rsid w:val="00380C4E"/>
    <w:rsid w:val="00386055"/>
    <w:rsid w:val="00390F3D"/>
    <w:rsid w:val="003C0A4A"/>
    <w:rsid w:val="003C4ED9"/>
    <w:rsid w:val="003D1493"/>
    <w:rsid w:val="003E77A8"/>
    <w:rsid w:val="003F49A5"/>
    <w:rsid w:val="00403234"/>
    <w:rsid w:val="00424C1E"/>
    <w:rsid w:val="004368DE"/>
    <w:rsid w:val="00487A86"/>
    <w:rsid w:val="00491FD3"/>
    <w:rsid w:val="004A1F32"/>
    <w:rsid w:val="004D3615"/>
    <w:rsid w:val="004D37D8"/>
    <w:rsid w:val="004E1655"/>
    <w:rsid w:val="004E5936"/>
    <w:rsid w:val="004F7E6B"/>
    <w:rsid w:val="00500E3C"/>
    <w:rsid w:val="0050318C"/>
    <w:rsid w:val="00504886"/>
    <w:rsid w:val="00511169"/>
    <w:rsid w:val="00512A8D"/>
    <w:rsid w:val="005154D8"/>
    <w:rsid w:val="00522EA8"/>
    <w:rsid w:val="00536520"/>
    <w:rsid w:val="005405F8"/>
    <w:rsid w:val="005436DD"/>
    <w:rsid w:val="005525D1"/>
    <w:rsid w:val="0055358F"/>
    <w:rsid w:val="0055441C"/>
    <w:rsid w:val="00562804"/>
    <w:rsid w:val="005738A4"/>
    <w:rsid w:val="005864ED"/>
    <w:rsid w:val="00593647"/>
    <w:rsid w:val="005C2950"/>
    <w:rsid w:val="005D5CA1"/>
    <w:rsid w:val="005F02EC"/>
    <w:rsid w:val="005F2E89"/>
    <w:rsid w:val="005F5CEE"/>
    <w:rsid w:val="006070DE"/>
    <w:rsid w:val="006072D4"/>
    <w:rsid w:val="00611CB2"/>
    <w:rsid w:val="006256FB"/>
    <w:rsid w:val="00630072"/>
    <w:rsid w:val="006370FA"/>
    <w:rsid w:val="0063795B"/>
    <w:rsid w:val="00646D88"/>
    <w:rsid w:val="00651317"/>
    <w:rsid w:val="00656738"/>
    <w:rsid w:val="00672641"/>
    <w:rsid w:val="006805A7"/>
    <w:rsid w:val="00694F12"/>
    <w:rsid w:val="0069586E"/>
    <w:rsid w:val="006A2B13"/>
    <w:rsid w:val="006A46E1"/>
    <w:rsid w:val="006A715E"/>
    <w:rsid w:val="006B1386"/>
    <w:rsid w:val="006D1439"/>
    <w:rsid w:val="006F1676"/>
    <w:rsid w:val="007043CC"/>
    <w:rsid w:val="00734971"/>
    <w:rsid w:val="0074329C"/>
    <w:rsid w:val="007453E7"/>
    <w:rsid w:val="007479F2"/>
    <w:rsid w:val="007618B7"/>
    <w:rsid w:val="00766717"/>
    <w:rsid w:val="00776450"/>
    <w:rsid w:val="00794200"/>
    <w:rsid w:val="007D3A97"/>
    <w:rsid w:val="007E4890"/>
    <w:rsid w:val="007E6529"/>
    <w:rsid w:val="007E682E"/>
    <w:rsid w:val="007F2E4A"/>
    <w:rsid w:val="00800548"/>
    <w:rsid w:val="00813DB3"/>
    <w:rsid w:val="0082665B"/>
    <w:rsid w:val="00863A23"/>
    <w:rsid w:val="00864D83"/>
    <w:rsid w:val="0087532E"/>
    <w:rsid w:val="00891B3F"/>
    <w:rsid w:val="008A3246"/>
    <w:rsid w:val="008B021C"/>
    <w:rsid w:val="008C50B7"/>
    <w:rsid w:val="008C58F4"/>
    <w:rsid w:val="008C6C11"/>
    <w:rsid w:val="008D72CE"/>
    <w:rsid w:val="008E727C"/>
    <w:rsid w:val="009012D3"/>
    <w:rsid w:val="00921E65"/>
    <w:rsid w:val="0093351B"/>
    <w:rsid w:val="00942FF4"/>
    <w:rsid w:val="00953568"/>
    <w:rsid w:val="00962C70"/>
    <w:rsid w:val="00965DB4"/>
    <w:rsid w:val="00977B77"/>
    <w:rsid w:val="00993B10"/>
    <w:rsid w:val="00994998"/>
    <w:rsid w:val="00996746"/>
    <w:rsid w:val="00996B7C"/>
    <w:rsid w:val="009D45EF"/>
    <w:rsid w:val="009D688E"/>
    <w:rsid w:val="009E5C59"/>
    <w:rsid w:val="009F776E"/>
    <w:rsid w:val="00A1349E"/>
    <w:rsid w:val="00A3235A"/>
    <w:rsid w:val="00A34E6D"/>
    <w:rsid w:val="00A5122E"/>
    <w:rsid w:val="00A51E76"/>
    <w:rsid w:val="00A60203"/>
    <w:rsid w:val="00A64407"/>
    <w:rsid w:val="00A65311"/>
    <w:rsid w:val="00A7665B"/>
    <w:rsid w:val="00A84730"/>
    <w:rsid w:val="00A90411"/>
    <w:rsid w:val="00A92720"/>
    <w:rsid w:val="00A95BBE"/>
    <w:rsid w:val="00AB5691"/>
    <w:rsid w:val="00AB70FA"/>
    <w:rsid w:val="00AC3C2C"/>
    <w:rsid w:val="00AC643B"/>
    <w:rsid w:val="00AE314E"/>
    <w:rsid w:val="00AF6F1E"/>
    <w:rsid w:val="00B13558"/>
    <w:rsid w:val="00B2182D"/>
    <w:rsid w:val="00B50D73"/>
    <w:rsid w:val="00B7579E"/>
    <w:rsid w:val="00B855AD"/>
    <w:rsid w:val="00B9281B"/>
    <w:rsid w:val="00B94594"/>
    <w:rsid w:val="00BC29EA"/>
    <w:rsid w:val="00BC799F"/>
    <w:rsid w:val="00BE189F"/>
    <w:rsid w:val="00BE3A52"/>
    <w:rsid w:val="00BF1974"/>
    <w:rsid w:val="00C03208"/>
    <w:rsid w:val="00C140B9"/>
    <w:rsid w:val="00C1512A"/>
    <w:rsid w:val="00C22298"/>
    <w:rsid w:val="00C4215A"/>
    <w:rsid w:val="00C46DDD"/>
    <w:rsid w:val="00C5337E"/>
    <w:rsid w:val="00C56AD6"/>
    <w:rsid w:val="00C610A0"/>
    <w:rsid w:val="00C63A7A"/>
    <w:rsid w:val="00C64518"/>
    <w:rsid w:val="00C77514"/>
    <w:rsid w:val="00C91220"/>
    <w:rsid w:val="00CB1AF8"/>
    <w:rsid w:val="00CB5814"/>
    <w:rsid w:val="00CD6C53"/>
    <w:rsid w:val="00CE07EE"/>
    <w:rsid w:val="00CE401E"/>
    <w:rsid w:val="00CF551F"/>
    <w:rsid w:val="00CF732F"/>
    <w:rsid w:val="00D03549"/>
    <w:rsid w:val="00D23CE6"/>
    <w:rsid w:val="00D300D9"/>
    <w:rsid w:val="00D35CCA"/>
    <w:rsid w:val="00D37E7F"/>
    <w:rsid w:val="00D477A2"/>
    <w:rsid w:val="00D64B46"/>
    <w:rsid w:val="00D72130"/>
    <w:rsid w:val="00D769F9"/>
    <w:rsid w:val="00D80652"/>
    <w:rsid w:val="00D829C3"/>
    <w:rsid w:val="00D83FDD"/>
    <w:rsid w:val="00D913FC"/>
    <w:rsid w:val="00D9302C"/>
    <w:rsid w:val="00DD70C7"/>
    <w:rsid w:val="00DF4010"/>
    <w:rsid w:val="00E44164"/>
    <w:rsid w:val="00E56B24"/>
    <w:rsid w:val="00E64B3D"/>
    <w:rsid w:val="00E750F3"/>
    <w:rsid w:val="00E82A8D"/>
    <w:rsid w:val="00E90CA1"/>
    <w:rsid w:val="00E919CD"/>
    <w:rsid w:val="00E96A69"/>
    <w:rsid w:val="00EC6F0C"/>
    <w:rsid w:val="00ED0201"/>
    <w:rsid w:val="00ED632C"/>
    <w:rsid w:val="00EF0E12"/>
    <w:rsid w:val="00F2139A"/>
    <w:rsid w:val="00F2578C"/>
    <w:rsid w:val="00F35A70"/>
    <w:rsid w:val="00F62E28"/>
    <w:rsid w:val="00F653D4"/>
    <w:rsid w:val="00F73664"/>
    <w:rsid w:val="00F81420"/>
    <w:rsid w:val="00F870B2"/>
    <w:rsid w:val="00FA5BC4"/>
    <w:rsid w:val="00FB3269"/>
    <w:rsid w:val="00FD0E12"/>
    <w:rsid w:val="00FD15B6"/>
    <w:rsid w:val="00FD1E68"/>
    <w:rsid w:val="00FD5926"/>
    <w:rsid w:val="00FF6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5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F1E"/>
    <w:rPr>
      <w:rFonts w:ascii="Tahoma" w:hAnsi="Tahoma" w:cs="Tahoma"/>
      <w:sz w:val="16"/>
      <w:szCs w:val="16"/>
    </w:rPr>
  </w:style>
  <w:style w:type="paragraph" w:styleId="ListParagraph">
    <w:name w:val="List Paragraph"/>
    <w:basedOn w:val="Normal"/>
    <w:uiPriority w:val="34"/>
    <w:qFormat/>
    <w:rsid w:val="00AB70FA"/>
    <w:pPr>
      <w:ind w:left="720"/>
      <w:contextualSpacing/>
    </w:pPr>
  </w:style>
  <w:style w:type="paragraph" w:customStyle="1" w:styleId="Tabletext">
    <w:name w:val="Table text"/>
    <w:basedOn w:val="Normal"/>
    <w:rsid w:val="00993B10"/>
    <w:pPr>
      <w:spacing w:before="60" w:after="80" w:line="240" w:lineRule="exact"/>
      <w:jc w:val="both"/>
    </w:pPr>
    <w:rPr>
      <w:rFonts w:ascii="Helvetica" w:eastAsia="Times New Roman" w:hAnsi="Helvetica" w:cs="Times New Roman"/>
      <w:sz w:val="18"/>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4FBDA-19D2-4247-81F2-33C17174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wm17</dc:creator>
  <cp:lastModifiedBy>sd40</cp:lastModifiedBy>
  <cp:revision>2</cp:revision>
  <cp:lastPrinted>2012-05-28T08:04:00Z</cp:lastPrinted>
  <dcterms:created xsi:type="dcterms:W3CDTF">2017-02-26T23:34:00Z</dcterms:created>
  <dcterms:modified xsi:type="dcterms:W3CDTF">2017-02-26T23:34:00Z</dcterms:modified>
</cp:coreProperties>
</file>