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37" w:rsidRPr="00874337" w:rsidRDefault="00874337" w:rsidP="00874337">
      <w:pPr>
        <w:keepNext/>
        <w:spacing w:after="0" w:line="240" w:lineRule="auto"/>
        <w:outlineLvl w:val="0"/>
        <w:rPr>
          <w:rFonts w:ascii="Arial" w:eastAsia="Times New Roman" w:hAnsi="Arial" w:cs="Arial"/>
          <w:b/>
          <w:bCs/>
          <w:sz w:val="20"/>
          <w:szCs w:val="20"/>
        </w:rPr>
      </w:pPr>
      <w:r w:rsidRPr="00874337">
        <w:rPr>
          <w:rFonts w:ascii="Arial" w:eastAsia="Times New Roman" w:hAnsi="Arial" w:cs="Arial"/>
          <w:b/>
          <w:sz w:val="20"/>
          <w:szCs w:val="20"/>
          <w:u w:val="single"/>
        </w:rPr>
        <w:t>Attachment 2</w:t>
      </w:r>
      <w:r w:rsidRPr="00874337">
        <w:rPr>
          <w:rFonts w:ascii="Arial" w:eastAsia="Times New Roman" w:hAnsi="Arial" w:cs="Arial"/>
          <w:b/>
          <w:sz w:val="20"/>
          <w:szCs w:val="20"/>
        </w:rPr>
        <w:t xml:space="preserve">          </w:t>
      </w:r>
    </w:p>
    <w:p w:rsidR="00874337" w:rsidRPr="00874337" w:rsidRDefault="00874337" w:rsidP="00874337">
      <w:pPr>
        <w:keepNext/>
        <w:spacing w:after="0" w:line="240" w:lineRule="auto"/>
        <w:jc w:val="center"/>
        <w:outlineLvl w:val="0"/>
        <w:rPr>
          <w:rFonts w:ascii="Arial" w:eastAsia="Times New Roman" w:hAnsi="Arial" w:cs="Arial"/>
          <w:b/>
          <w:bCs/>
          <w:sz w:val="20"/>
          <w:szCs w:val="20"/>
        </w:rPr>
      </w:pPr>
      <w:r w:rsidRPr="00874337">
        <w:rPr>
          <w:rFonts w:ascii="Arial" w:eastAsia="Times New Roman" w:hAnsi="Arial" w:cs="Arial"/>
          <w:b/>
          <w:bCs/>
          <w:sz w:val="20"/>
          <w:szCs w:val="20"/>
        </w:rPr>
        <w:t>For Public Notice via Internet</w:t>
      </w:r>
    </w:p>
    <w:p w:rsidR="00874337" w:rsidRPr="00874337" w:rsidRDefault="00874337" w:rsidP="00874337">
      <w:pPr>
        <w:spacing w:after="0" w:line="240" w:lineRule="auto"/>
        <w:jc w:val="center"/>
        <w:rPr>
          <w:rFonts w:ascii="Arial" w:eastAsia="Times New Roman" w:hAnsi="Arial" w:cs="Arial"/>
          <w:b/>
          <w:sz w:val="20"/>
          <w:szCs w:val="20"/>
        </w:rPr>
      </w:pPr>
    </w:p>
    <w:p w:rsidR="00874337" w:rsidRPr="00874337" w:rsidRDefault="00874337" w:rsidP="00874337">
      <w:pPr>
        <w:spacing w:after="0" w:line="240" w:lineRule="auto"/>
        <w:rPr>
          <w:rFonts w:ascii="Arial" w:eastAsia="Times New Roman" w:hAnsi="Arial" w:cs="Arial"/>
          <w:b/>
          <w:sz w:val="20"/>
          <w:szCs w:val="20"/>
        </w:rPr>
      </w:pPr>
    </w:p>
    <w:p w:rsidR="00874337" w:rsidRPr="00874337" w:rsidRDefault="00874337" w:rsidP="00874337">
      <w:pPr>
        <w:spacing w:after="0" w:line="240" w:lineRule="auto"/>
        <w:rPr>
          <w:rFonts w:ascii="Arial" w:eastAsia="Times New Roman" w:hAnsi="Arial" w:cs="Arial"/>
          <w:b/>
          <w:i/>
          <w:sz w:val="20"/>
          <w:szCs w:val="20"/>
        </w:rPr>
      </w:pPr>
      <w:r w:rsidRPr="00874337">
        <w:rPr>
          <w:rFonts w:ascii="Arial" w:eastAsia="Times New Roman" w:hAnsi="Arial" w:cs="Arial"/>
          <w:b/>
          <w:sz w:val="20"/>
          <w:szCs w:val="20"/>
        </w:rPr>
        <w:t xml:space="preserve">REASONS FOR DECISION UNDER </w:t>
      </w:r>
      <w:r w:rsidRPr="00874337">
        <w:rPr>
          <w:rFonts w:ascii="Arial" w:eastAsia="Times New Roman" w:hAnsi="Arial" w:cs="Arial"/>
          <w:b/>
          <w:i/>
          <w:sz w:val="20"/>
          <w:szCs w:val="20"/>
        </w:rPr>
        <w:t>ENVIRONMENT EFFECTS ACT 1978</w:t>
      </w:r>
    </w:p>
    <w:p w:rsidR="00874337" w:rsidRPr="00874337" w:rsidRDefault="00874337" w:rsidP="001B020A">
      <w:pPr>
        <w:spacing w:after="0" w:line="240" w:lineRule="auto"/>
        <w:jc w:val="both"/>
        <w:rPr>
          <w:rFonts w:ascii="Arial" w:eastAsia="Times New Roman" w:hAnsi="Arial" w:cs="Arial"/>
          <w:b/>
          <w:i/>
          <w:sz w:val="20"/>
          <w:szCs w:val="20"/>
        </w:rPr>
      </w:pPr>
    </w:p>
    <w:p w:rsidR="00874337" w:rsidRPr="00874337" w:rsidRDefault="00874337" w:rsidP="001B020A">
      <w:pPr>
        <w:spacing w:after="0" w:line="240" w:lineRule="auto"/>
        <w:jc w:val="both"/>
        <w:rPr>
          <w:rFonts w:ascii="Arial" w:eastAsia="Times New Roman" w:hAnsi="Arial" w:cs="Arial"/>
          <w:b/>
          <w:sz w:val="20"/>
          <w:szCs w:val="20"/>
        </w:rPr>
      </w:pPr>
    </w:p>
    <w:p w:rsidR="00874337" w:rsidRPr="00874337" w:rsidRDefault="00874337" w:rsidP="001B020A">
      <w:pPr>
        <w:spacing w:after="0" w:line="240" w:lineRule="auto"/>
        <w:ind w:left="2880" w:hanging="2880"/>
        <w:jc w:val="both"/>
        <w:rPr>
          <w:rFonts w:ascii="Arial" w:eastAsia="Times New Roman" w:hAnsi="Arial" w:cs="Arial"/>
          <w:b/>
          <w:sz w:val="20"/>
          <w:szCs w:val="20"/>
        </w:rPr>
      </w:pPr>
      <w:r w:rsidRPr="00874337">
        <w:rPr>
          <w:rFonts w:ascii="Arial" w:eastAsia="Times New Roman" w:hAnsi="Arial" w:cs="Arial"/>
          <w:b/>
          <w:sz w:val="20"/>
          <w:szCs w:val="20"/>
        </w:rPr>
        <w:t>Title of Proposal:</w:t>
      </w:r>
      <w:r w:rsidRPr="00874337">
        <w:rPr>
          <w:rFonts w:ascii="Arial" w:eastAsia="Times New Roman" w:hAnsi="Arial" w:cs="Arial"/>
          <w:b/>
          <w:sz w:val="20"/>
          <w:szCs w:val="20"/>
        </w:rPr>
        <w:tab/>
        <w:t>Stockyard Hill Wind Farm and Related Projects</w:t>
      </w:r>
    </w:p>
    <w:p w:rsidR="00874337" w:rsidRPr="00874337" w:rsidRDefault="00874337" w:rsidP="001B020A">
      <w:pPr>
        <w:spacing w:after="0" w:line="240" w:lineRule="auto"/>
        <w:jc w:val="both"/>
        <w:rPr>
          <w:rFonts w:ascii="Arial" w:eastAsia="Times New Roman" w:hAnsi="Arial" w:cs="Arial"/>
          <w:b/>
          <w:sz w:val="20"/>
          <w:szCs w:val="20"/>
        </w:rPr>
      </w:pPr>
    </w:p>
    <w:p w:rsidR="00874337" w:rsidRPr="00874337" w:rsidRDefault="00874337" w:rsidP="001B020A">
      <w:pPr>
        <w:spacing w:after="0" w:line="240" w:lineRule="auto"/>
        <w:ind w:left="2880" w:hanging="2880"/>
        <w:jc w:val="both"/>
        <w:rPr>
          <w:rFonts w:ascii="Arial" w:eastAsia="Times New Roman" w:hAnsi="Arial" w:cs="Arial"/>
          <w:b/>
          <w:sz w:val="20"/>
          <w:szCs w:val="20"/>
        </w:rPr>
      </w:pPr>
      <w:r w:rsidRPr="00874337">
        <w:rPr>
          <w:rFonts w:ascii="Arial" w:eastAsia="Times New Roman" w:hAnsi="Arial" w:cs="Arial"/>
          <w:b/>
          <w:sz w:val="20"/>
          <w:szCs w:val="20"/>
        </w:rPr>
        <w:t>Proponent:</w:t>
      </w:r>
      <w:r w:rsidRPr="00874337">
        <w:rPr>
          <w:rFonts w:ascii="Arial" w:eastAsia="Times New Roman" w:hAnsi="Arial" w:cs="Arial"/>
          <w:b/>
          <w:sz w:val="20"/>
          <w:szCs w:val="20"/>
        </w:rPr>
        <w:tab/>
        <w:t>Stockyard Hill Wind Farm Pty Ltd</w:t>
      </w:r>
    </w:p>
    <w:p w:rsidR="00874337" w:rsidRPr="00874337" w:rsidRDefault="00874337" w:rsidP="001B020A">
      <w:pPr>
        <w:spacing w:after="0" w:line="240" w:lineRule="auto"/>
        <w:jc w:val="both"/>
        <w:rPr>
          <w:rFonts w:ascii="Arial" w:eastAsia="Times New Roman" w:hAnsi="Arial" w:cs="Arial"/>
          <w:b/>
          <w:sz w:val="20"/>
          <w:szCs w:val="20"/>
        </w:rPr>
      </w:pPr>
    </w:p>
    <w:p w:rsidR="00874337" w:rsidRPr="00874337" w:rsidRDefault="00874337" w:rsidP="001B020A">
      <w:pPr>
        <w:spacing w:after="0" w:line="240" w:lineRule="auto"/>
        <w:jc w:val="both"/>
        <w:rPr>
          <w:rFonts w:ascii="Arial" w:eastAsia="Times New Roman" w:hAnsi="Arial" w:cs="Arial"/>
          <w:b/>
          <w:sz w:val="20"/>
          <w:szCs w:val="20"/>
        </w:rPr>
      </w:pPr>
      <w:r w:rsidRPr="00874337">
        <w:rPr>
          <w:rFonts w:ascii="Arial" w:eastAsia="Times New Roman" w:hAnsi="Arial" w:cs="Arial"/>
          <w:b/>
          <w:sz w:val="20"/>
          <w:szCs w:val="20"/>
        </w:rPr>
        <w:t>Description of Project:</w:t>
      </w:r>
      <w:r w:rsidRPr="00874337">
        <w:rPr>
          <w:rFonts w:ascii="Arial" w:eastAsia="Times New Roman" w:hAnsi="Arial" w:cs="Arial"/>
          <w:b/>
          <w:sz w:val="20"/>
          <w:szCs w:val="20"/>
        </w:rPr>
        <w:tab/>
      </w:r>
    </w:p>
    <w:p w:rsidR="00874337" w:rsidRPr="00874337" w:rsidRDefault="00874337" w:rsidP="001B020A">
      <w:pPr>
        <w:spacing w:after="0" w:line="240" w:lineRule="auto"/>
        <w:jc w:val="both"/>
        <w:rPr>
          <w:rFonts w:ascii="Arial" w:eastAsia="Times New Roman" w:hAnsi="Arial" w:cs="Arial"/>
          <w:sz w:val="20"/>
          <w:szCs w:val="20"/>
          <w:lang w:eastAsia="en-AU"/>
        </w:rPr>
      </w:pPr>
      <w:r w:rsidRPr="00874337">
        <w:rPr>
          <w:rFonts w:ascii="Arial" w:eastAsia="Times New Roman" w:hAnsi="Arial" w:cs="Arial"/>
          <w:sz w:val="20"/>
          <w:szCs w:val="20"/>
          <w:lang w:eastAsia="en-AU"/>
        </w:rPr>
        <w:t>Stockyard Hill Wind Farm Pty Ltd</w:t>
      </w:r>
      <w:r w:rsidRPr="00874337">
        <w:rPr>
          <w:rFonts w:ascii="Arial" w:eastAsia="Times New Roman" w:hAnsi="Arial" w:cs="Arial"/>
          <w:sz w:val="20"/>
          <w:szCs w:val="20"/>
        </w:rPr>
        <w:t xml:space="preserve"> (</w:t>
      </w:r>
      <w:r w:rsidRPr="00874337">
        <w:rPr>
          <w:rFonts w:ascii="Arial" w:eastAsia="Times New Roman" w:hAnsi="Arial" w:cs="Arial"/>
          <w:sz w:val="20"/>
          <w:szCs w:val="20"/>
          <w:lang w:eastAsia="en-AU"/>
        </w:rPr>
        <w:t>the proponent) proposes to develop a Stockyard Wind Farm Energy Facility (SHWEF) in south-west Victoria, approximately 4.5km south of Beaufort and 4km north of Skipton townships.  The wind farm will comprise up to 149 turbines, with an overall height of up to 180 m to the blade tip, located on a total footprint area of 109.5 km</w:t>
      </w:r>
      <w:r w:rsidRPr="00874337">
        <w:rPr>
          <w:rFonts w:ascii="Arial" w:eastAsia="Times New Roman" w:hAnsi="Arial" w:cs="Arial"/>
          <w:sz w:val="20"/>
          <w:szCs w:val="20"/>
          <w:vertAlign w:val="superscript"/>
          <w:lang w:eastAsia="en-AU"/>
        </w:rPr>
        <w:t>2</w:t>
      </w:r>
      <w:r w:rsidRPr="00874337">
        <w:rPr>
          <w:rFonts w:ascii="Arial" w:eastAsia="Times New Roman" w:hAnsi="Arial" w:cs="Arial"/>
          <w:sz w:val="20"/>
          <w:szCs w:val="20"/>
          <w:lang w:eastAsia="en-AU"/>
        </w:rPr>
        <w:t>.</w:t>
      </w:r>
      <w:r w:rsidRPr="00874337">
        <w:rPr>
          <w:rFonts w:ascii="Arial" w:eastAsia="Times New Roman" w:hAnsi="Arial" w:cs="Arial"/>
          <w:sz w:val="20"/>
          <w:szCs w:val="20"/>
          <w:vertAlign w:val="superscript"/>
          <w:lang w:eastAsia="en-AU"/>
        </w:rPr>
        <w:t xml:space="preserve"> </w:t>
      </w:r>
      <w:r w:rsidRPr="00874337">
        <w:rPr>
          <w:rFonts w:ascii="Arial" w:eastAsia="Times New Roman" w:hAnsi="Arial" w:cs="Arial"/>
          <w:sz w:val="20"/>
          <w:szCs w:val="20"/>
          <w:lang w:eastAsia="en-AU"/>
        </w:rPr>
        <w:t xml:space="preserve"> The SHWEF infrastructure will occupy an area of 278.1ha, generally bound by </w:t>
      </w:r>
      <w:proofErr w:type="spellStart"/>
      <w:r w:rsidRPr="00874337">
        <w:rPr>
          <w:rFonts w:ascii="Arial" w:eastAsia="Times New Roman" w:hAnsi="Arial" w:cs="Arial"/>
          <w:sz w:val="20"/>
          <w:szCs w:val="20"/>
          <w:lang w:eastAsia="en-AU"/>
        </w:rPr>
        <w:t>Eurambeen</w:t>
      </w:r>
      <w:proofErr w:type="spellEnd"/>
      <w:r w:rsidRPr="00874337">
        <w:rPr>
          <w:rFonts w:ascii="Arial" w:eastAsia="Times New Roman" w:hAnsi="Arial" w:cs="Arial"/>
          <w:sz w:val="20"/>
          <w:szCs w:val="20"/>
          <w:lang w:eastAsia="en-AU"/>
        </w:rPr>
        <w:t xml:space="preserve">-Streatham Road and Beaufort-Carranballac Road to the west, Stockyard Hill Road and Mt Emu Settlement Road in the south, Mount Emu </w:t>
      </w:r>
      <w:bookmarkStart w:id="0" w:name="_GoBack"/>
      <w:bookmarkEnd w:id="0"/>
      <w:r w:rsidRPr="00874337">
        <w:rPr>
          <w:rFonts w:ascii="Arial" w:eastAsia="Times New Roman" w:hAnsi="Arial" w:cs="Arial"/>
          <w:sz w:val="20"/>
          <w:szCs w:val="20"/>
          <w:lang w:eastAsia="en-AU"/>
        </w:rPr>
        <w:t xml:space="preserve">Creek in the east and </w:t>
      </w:r>
      <w:proofErr w:type="spellStart"/>
      <w:r w:rsidRPr="00874337">
        <w:rPr>
          <w:rFonts w:ascii="Arial" w:eastAsia="Times New Roman" w:hAnsi="Arial" w:cs="Arial"/>
          <w:sz w:val="20"/>
          <w:szCs w:val="20"/>
          <w:lang w:eastAsia="en-AU"/>
        </w:rPr>
        <w:t>Ballyrogan</w:t>
      </w:r>
      <w:proofErr w:type="spellEnd"/>
      <w:r w:rsidRPr="00874337">
        <w:rPr>
          <w:rFonts w:ascii="Arial" w:eastAsia="Times New Roman" w:hAnsi="Arial" w:cs="Arial"/>
          <w:sz w:val="20"/>
          <w:szCs w:val="20"/>
          <w:lang w:eastAsia="en-AU"/>
        </w:rPr>
        <w:t xml:space="preserve"> Road, Long Gully Road and </w:t>
      </w:r>
      <w:proofErr w:type="spellStart"/>
      <w:r w:rsidRPr="00874337">
        <w:rPr>
          <w:rFonts w:ascii="Arial" w:eastAsia="Times New Roman" w:hAnsi="Arial" w:cs="Arial"/>
          <w:sz w:val="20"/>
          <w:szCs w:val="20"/>
          <w:lang w:eastAsia="en-AU"/>
        </w:rPr>
        <w:t>Dalgleishs</w:t>
      </w:r>
      <w:proofErr w:type="spellEnd"/>
      <w:r w:rsidRPr="00874337">
        <w:rPr>
          <w:rFonts w:ascii="Arial" w:eastAsia="Times New Roman" w:hAnsi="Arial" w:cs="Arial"/>
          <w:sz w:val="20"/>
          <w:szCs w:val="20"/>
          <w:lang w:eastAsia="en-AU"/>
        </w:rPr>
        <w:t xml:space="preserve"> Road in the north.  </w:t>
      </w:r>
    </w:p>
    <w:p w:rsidR="00874337" w:rsidRPr="00874337" w:rsidRDefault="00874337" w:rsidP="001B020A">
      <w:pPr>
        <w:spacing w:after="0" w:line="240" w:lineRule="auto"/>
        <w:jc w:val="both"/>
        <w:rPr>
          <w:rFonts w:ascii="Arial" w:eastAsia="Times New Roman" w:hAnsi="Arial" w:cs="Arial"/>
          <w:sz w:val="20"/>
          <w:szCs w:val="20"/>
          <w:lang w:eastAsia="en-AU"/>
        </w:rPr>
      </w:pPr>
    </w:p>
    <w:p w:rsidR="00874337" w:rsidRPr="00874337" w:rsidRDefault="00874337" w:rsidP="001B020A">
      <w:pPr>
        <w:spacing w:after="0" w:line="240" w:lineRule="auto"/>
        <w:jc w:val="both"/>
        <w:rPr>
          <w:rFonts w:ascii="Arial" w:eastAsia="Times New Roman" w:hAnsi="Arial" w:cs="Arial"/>
          <w:sz w:val="20"/>
          <w:szCs w:val="20"/>
          <w:lang w:eastAsia="en-AU"/>
        </w:rPr>
      </w:pPr>
      <w:r w:rsidRPr="00874337">
        <w:rPr>
          <w:rFonts w:ascii="Arial" w:eastAsia="Times New Roman" w:hAnsi="Arial" w:cs="Arial"/>
          <w:sz w:val="20"/>
          <w:szCs w:val="20"/>
          <w:lang w:eastAsia="en-AU"/>
        </w:rPr>
        <w:t>The related project associated with the SHWEF are:</w:t>
      </w:r>
    </w:p>
    <w:p w:rsidR="00874337" w:rsidRPr="00874337" w:rsidRDefault="00874337" w:rsidP="001B020A">
      <w:pPr>
        <w:numPr>
          <w:ilvl w:val="0"/>
          <w:numId w:val="6"/>
        </w:numPr>
        <w:spacing w:after="0" w:line="240" w:lineRule="auto"/>
        <w:jc w:val="both"/>
        <w:rPr>
          <w:rFonts w:ascii="Arial" w:eastAsia="Times New Roman" w:hAnsi="Arial" w:cs="Arial"/>
          <w:sz w:val="20"/>
          <w:szCs w:val="20"/>
          <w:lang w:val="en-US"/>
        </w:rPr>
      </w:pPr>
      <w:r w:rsidRPr="00874337">
        <w:rPr>
          <w:rFonts w:ascii="Arial" w:eastAsia="Times New Roman" w:hAnsi="Arial" w:cs="Arial"/>
          <w:sz w:val="20"/>
          <w:szCs w:val="20"/>
          <w:lang w:val="en-US"/>
        </w:rPr>
        <w:t xml:space="preserve">75km of 132kV overhead power lines (83.4ha footprint ) connecting the wind farm to the terminal station located on Lower Darlington Road, Lismore; </w:t>
      </w:r>
    </w:p>
    <w:p w:rsidR="00874337" w:rsidRPr="00874337" w:rsidRDefault="00874337" w:rsidP="001B020A">
      <w:pPr>
        <w:numPr>
          <w:ilvl w:val="0"/>
          <w:numId w:val="6"/>
        </w:numPr>
        <w:spacing w:after="0" w:line="240" w:lineRule="auto"/>
        <w:jc w:val="both"/>
        <w:rPr>
          <w:rFonts w:ascii="Arial" w:eastAsia="Times New Roman" w:hAnsi="Arial" w:cs="Arial"/>
          <w:sz w:val="20"/>
          <w:szCs w:val="20"/>
          <w:lang w:val="en-US"/>
        </w:rPr>
      </w:pPr>
      <w:r w:rsidRPr="00874337">
        <w:rPr>
          <w:rFonts w:ascii="Arial" w:eastAsia="Times New Roman" w:hAnsi="Arial" w:cs="Arial"/>
          <w:sz w:val="20"/>
          <w:szCs w:val="20"/>
          <w:lang w:val="en-US"/>
        </w:rPr>
        <w:t xml:space="preserve">on-site quarry (57ha footprint), located on Stockyard Hill – </w:t>
      </w:r>
      <w:proofErr w:type="spellStart"/>
      <w:r w:rsidRPr="00874337">
        <w:rPr>
          <w:rFonts w:ascii="Arial" w:eastAsia="Times New Roman" w:hAnsi="Arial" w:cs="Arial"/>
          <w:sz w:val="20"/>
          <w:szCs w:val="20"/>
          <w:lang w:val="en-US"/>
        </w:rPr>
        <w:t>Wangatta</w:t>
      </w:r>
      <w:proofErr w:type="spellEnd"/>
      <w:r w:rsidRPr="00874337">
        <w:rPr>
          <w:rFonts w:ascii="Arial" w:eastAsia="Times New Roman" w:hAnsi="Arial" w:cs="Arial"/>
          <w:sz w:val="20"/>
          <w:szCs w:val="20"/>
          <w:lang w:val="en-US"/>
        </w:rPr>
        <w:t xml:space="preserve"> Road, </w:t>
      </w:r>
    </w:p>
    <w:p w:rsidR="00874337" w:rsidRPr="00874337" w:rsidRDefault="00874337" w:rsidP="001B020A">
      <w:pPr>
        <w:numPr>
          <w:ilvl w:val="0"/>
          <w:numId w:val="6"/>
        </w:numPr>
        <w:spacing w:after="0" w:line="240" w:lineRule="auto"/>
        <w:jc w:val="both"/>
        <w:rPr>
          <w:rFonts w:ascii="Arial" w:eastAsia="Times New Roman" w:hAnsi="Arial" w:cs="Arial"/>
          <w:sz w:val="20"/>
          <w:szCs w:val="20"/>
          <w:lang w:val="en-US"/>
        </w:rPr>
      </w:pPr>
      <w:r w:rsidRPr="00874337">
        <w:rPr>
          <w:rFonts w:ascii="Arial" w:eastAsia="Times New Roman" w:hAnsi="Arial" w:cs="Arial"/>
          <w:sz w:val="20"/>
          <w:szCs w:val="20"/>
          <w:lang w:val="en-US"/>
        </w:rPr>
        <w:t>access tracks (47.4ha footprint); and</w:t>
      </w:r>
    </w:p>
    <w:p w:rsidR="00874337" w:rsidRPr="00874337" w:rsidRDefault="00874337" w:rsidP="001B020A">
      <w:pPr>
        <w:numPr>
          <w:ilvl w:val="0"/>
          <w:numId w:val="6"/>
        </w:numPr>
        <w:spacing w:after="0" w:line="240" w:lineRule="auto"/>
        <w:jc w:val="both"/>
        <w:rPr>
          <w:rFonts w:ascii="Arial" w:eastAsia="Times New Roman" w:hAnsi="Arial" w:cs="Arial"/>
          <w:sz w:val="20"/>
          <w:szCs w:val="20"/>
          <w:lang w:val="en-US"/>
        </w:rPr>
      </w:pPr>
      <w:r w:rsidRPr="00874337">
        <w:rPr>
          <w:rFonts w:ascii="Arial" w:eastAsia="Times New Roman" w:hAnsi="Arial" w:cs="Arial"/>
          <w:sz w:val="20"/>
          <w:szCs w:val="20"/>
          <w:lang w:val="en-US"/>
        </w:rPr>
        <w:t xml:space="preserve">underground electrical and telecom cables </w:t>
      </w:r>
    </w:p>
    <w:p w:rsidR="00874337" w:rsidRPr="00874337" w:rsidRDefault="00874337" w:rsidP="001B020A">
      <w:pPr>
        <w:spacing w:after="0" w:line="240" w:lineRule="auto"/>
        <w:jc w:val="both"/>
        <w:rPr>
          <w:rFonts w:ascii="Arial" w:eastAsia="Times New Roman" w:hAnsi="Arial" w:cs="Arial"/>
          <w:sz w:val="20"/>
          <w:szCs w:val="20"/>
          <w:lang w:eastAsia="en-AU"/>
        </w:rPr>
      </w:pPr>
    </w:p>
    <w:p w:rsidR="00874337" w:rsidRPr="00874337" w:rsidRDefault="00874337" w:rsidP="001B020A">
      <w:pPr>
        <w:spacing w:after="0" w:line="240" w:lineRule="auto"/>
        <w:jc w:val="both"/>
        <w:rPr>
          <w:rFonts w:ascii="Arial" w:eastAsia="Times New Roman" w:hAnsi="Arial" w:cs="Arial"/>
          <w:sz w:val="20"/>
          <w:szCs w:val="20"/>
          <w:lang w:eastAsia="en-AU"/>
        </w:rPr>
      </w:pPr>
      <w:r w:rsidRPr="00874337">
        <w:rPr>
          <w:rFonts w:ascii="Arial" w:eastAsia="Times New Roman" w:hAnsi="Arial" w:cs="Arial"/>
          <w:sz w:val="20"/>
          <w:szCs w:val="20"/>
          <w:lang w:eastAsia="en-AU"/>
        </w:rPr>
        <w:t>The SHWEF and a quarry would be located on the existing farm land cleared for grazing and cropping. The power line route primarily traverses private agricultural properties and parcels of public/ Crown land including road and rail reserves.</w:t>
      </w:r>
    </w:p>
    <w:p w:rsidR="00874337" w:rsidRPr="00874337" w:rsidRDefault="00874337" w:rsidP="001B020A">
      <w:pPr>
        <w:spacing w:after="0" w:line="240" w:lineRule="auto"/>
        <w:jc w:val="both"/>
        <w:rPr>
          <w:rFonts w:ascii="Arial" w:eastAsia="Times New Roman" w:hAnsi="Arial" w:cs="Arial"/>
          <w:sz w:val="20"/>
          <w:szCs w:val="20"/>
          <w:lang w:eastAsia="en-AU"/>
        </w:rPr>
      </w:pPr>
    </w:p>
    <w:p w:rsidR="00874337" w:rsidRPr="00874337" w:rsidRDefault="00874337" w:rsidP="001B020A">
      <w:pPr>
        <w:spacing w:after="0" w:line="240" w:lineRule="auto"/>
        <w:jc w:val="both"/>
        <w:rPr>
          <w:rFonts w:ascii="Arial" w:eastAsia="Times New Roman" w:hAnsi="Arial" w:cs="Arial"/>
          <w:b/>
          <w:sz w:val="20"/>
          <w:szCs w:val="20"/>
        </w:rPr>
      </w:pPr>
      <w:r w:rsidRPr="00874337">
        <w:rPr>
          <w:rFonts w:ascii="Arial" w:eastAsia="Times New Roman" w:hAnsi="Arial" w:cs="Arial"/>
          <w:b/>
          <w:sz w:val="20"/>
          <w:szCs w:val="20"/>
        </w:rPr>
        <w:t>Decision:</w:t>
      </w:r>
    </w:p>
    <w:p w:rsidR="00874337" w:rsidRDefault="00874337" w:rsidP="001B020A">
      <w:pPr>
        <w:spacing w:before="120" w:after="0" w:line="240" w:lineRule="auto"/>
        <w:jc w:val="both"/>
        <w:rPr>
          <w:rFonts w:ascii="Arial" w:eastAsia="Times New Roman" w:hAnsi="Arial" w:cs="Arial"/>
          <w:sz w:val="20"/>
          <w:szCs w:val="20"/>
        </w:rPr>
      </w:pPr>
      <w:r w:rsidRPr="00874337">
        <w:rPr>
          <w:rFonts w:ascii="Arial" w:eastAsia="Times New Roman" w:hAnsi="Arial" w:cs="Arial"/>
          <w:sz w:val="20"/>
          <w:szCs w:val="20"/>
        </w:rPr>
        <w:t xml:space="preserve">The Minister for Planning has decided that an Environment Effects Statement (EES) </w:t>
      </w:r>
      <w:r w:rsidRPr="00874337">
        <w:rPr>
          <w:rFonts w:ascii="Arial" w:eastAsia="Times New Roman" w:hAnsi="Arial" w:cs="Arial"/>
          <w:sz w:val="20"/>
          <w:szCs w:val="20"/>
          <w:u w:val="single"/>
        </w:rPr>
        <w:t>is not required</w:t>
      </w:r>
      <w:r w:rsidRPr="00874337">
        <w:rPr>
          <w:rFonts w:ascii="Arial" w:eastAsia="Times New Roman" w:hAnsi="Arial" w:cs="Arial"/>
          <w:sz w:val="20"/>
          <w:szCs w:val="20"/>
        </w:rPr>
        <w:t xml:space="preserve"> for the Stockyard Hill Wind Farm and Related Projects, as described in the referra</w:t>
      </w:r>
      <w:r w:rsidR="008E0A45">
        <w:rPr>
          <w:rFonts w:ascii="Arial" w:eastAsia="Times New Roman" w:hAnsi="Arial" w:cs="Arial"/>
          <w:sz w:val="20"/>
          <w:szCs w:val="20"/>
        </w:rPr>
        <w:t>l accepted on</w:t>
      </w:r>
      <w:r w:rsidR="001B020A">
        <w:rPr>
          <w:rFonts w:ascii="Arial" w:eastAsia="Times New Roman" w:hAnsi="Arial" w:cs="Arial"/>
          <w:sz w:val="20"/>
          <w:szCs w:val="20"/>
        </w:rPr>
        <w:t xml:space="preserve">        </w:t>
      </w:r>
      <w:r w:rsidR="008E0A45">
        <w:rPr>
          <w:rFonts w:ascii="Arial" w:eastAsia="Times New Roman" w:hAnsi="Arial" w:cs="Arial"/>
          <w:sz w:val="20"/>
          <w:szCs w:val="20"/>
        </w:rPr>
        <w:t xml:space="preserve"> 1 August 2016</w:t>
      </w:r>
      <w:r w:rsidRPr="00874337">
        <w:rPr>
          <w:rFonts w:ascii="Arial" w:eastAsia="Times New Roman" w:hAnsi="Arial" w:cs="Arial"/>
          <w:sz w:val="20"/>
          <w:szCs w:val="20"/>
        </w:rPr>
        <w:t>:</w:t>
      </w:r>
    </w:p>
    <w:p w:rsidR="008E0A45" w:rsidRDefault="008E0A45" w:rsidP="001B020A">
      <w:pPr>
        <w:spacing w:before="120" w:after="0" w:line="240" w:lineRule="auto"/>
        <w:jc w:val="both"/>
        <w:rPr>
          <w:rFonts w:ascii="Arial" w:eastAsia="Times New Roman" w:hAnsi="Arial" w:cs="Arial"/>
          <w:sz w:val="20"/>
          <w:szCs w:val="20"/>
        </w:rPr>
      </w:pPr>
    </w:p>
    <w:p w:rsidR="00874337" w:rsidRPr="00874337" w:rsidRDefault="00874337" w:rsidP="001B020A">
      <w:pPr>
        <w:spacing w:after="0" w:line="240" w:lineRule="auto"/>
        <w:jc w:val="both"/>
        <w:rPr>
          <w:rFonts w:ascii="Arial" w:eastAsia="Times New Roman" w:hAnsi="Arial" w:cs="Arial"/>
          <w:b/>
          <w:sz w:val="20"/>
          <w:szCs w:val="20"/>
        </w:rPr>
      </w:pPr>
      <w:r w:rsidRPr="00874337">
        <w:rPr>
          <w:rFonts w:ascii="Arial" w:eastAsia="Times New Roman" w:hAnsi="Arial" w:cs="Arial"/>
          <w:b/>
          <w:sz w:val="20"/>
          <w:szCs w:val="20"/>
        </w:rPr>
        <w:t>Reasons for Decision:</w:t>
      </w:r>
    </w:p>
    <w:p w:rsidR="0072047D" w:rsidRPr="0072047D" w:rsidRDefault="0072047D" w:rsidP="0072047D">
      <w:pPr>
        <w:pStyle w:val="ListParagraph"/>
        <w:numPr>
          <w:ilvl w:val="0"/>
          <w:numId w:val="7"/>
        </w:numPr>
        <w:spacing w:before="60" w:after="80"/>
        <w:ind w:left="567" w:hanging="567"/>
        <w:jc w:val="both"/>
        <w:rPr>
          <w:rFonts w:ascii="Arial" w:hAnsi="Arial" w:cs="Arial"/>
          <w:sz w:val="20"/>
          <w:szCs w:val="20"/>
        </w:rPr>
      </w:pPr>
      <w:r w:rsidRPr="0072047D">
        <w:rPr>
          <w:rFonts w:ascii="Arial" w:hAnsi="Arial" w:cs="Arial"/>
          <w:sz w:val="20"/>
          <w:szCs w:val="20"/>
        </w:rPr>
        <w:t xml:space="preserve">The project has potential for some adverse environmental effects, although these are unlikely to be significant, particularly as the previous planning permit process under the </w:t>
      </w:r>
      <w:r w:rsidRPr="0072047D">
        <w:rPr>
          <w:rFonts w:ascii="Arial" w:hAnsi="Arial" w:cs="Arial"/>
          <w:i/>
          <w:sz w:val="20"/>
          <w:szCs w:val="20"/>
        </w:rPr>
        <w:t>Planning and Environment Act 1987</w:t>
      </w:r>
      <w:r w:rsidRPr="0072047D">
        <w:rPr>
          <w:rFonts w:ascii="Arial" w:hAnsi="Arial" w:cs="Arial"/>
          <w:sz w:val="20"/>
          <w:szCs w:val="20"/>
        </w:rPr>
        <w:t xml:space="preserve"> has resulted in </w:t>
      </w:r>
      <w:r>
        <w:rPr>
          <w:rFonts w:ascii="Arial" w:hAnsi="Arial" w:cs="Arial"/>
          <w:sz w:val="20"/>
          <w:szCs w:val="20"/>
        </w:rPr>
        <w:t xml:space="preserve">mitigation and </w:t>
      </w:r>
      <w:r w:rsidRPr="0072047D">
        <w:rPr>
          <w:rFonts w:ascii="Arial" w:hAnsi="Arial" w:cs="Arial"/>
          <w:sz w:val="20"/>
          <w:szCs w:val="20"/>
        </w:rPr>
        <w:t xml:space="preserve">design modifications, including substantial reduction and relocation of turbines.  Potential additional </w:t>
      </w:r>
      <w:r w:rsidR="008227D3">
        <w:rPr>
          <w:rFonts w:ascii="Arial" w:hAnsi="Arial" w:cs="Arial"/>
          <w:sz w:val="20"/>
          <w:szCs w:val="20"/>
        </w:rPr>
        <w:t xml:space="preserve">or changed </w:t>
      </w:r>
      <w:r w:rsidRPr="0072047D">
        <w:rPr>
          <w:rFonts w:ascii="Arial" w:hAnsi="Arial" w:cs="Arial"/>
          <w:sz w:val="20"/>
          <w:szCs w:val="20"/>
        </w:rPr>
        <w:t xml:space="preserve">adverse effects can be </w:t>
      </w:r>
      <w:r w:rsidR="008227D3">
        <w:rPr>
          <w:rFonts w:ascii="Arial" w:hAnsi="Arial" w:cs="Arial"/>
          <w:sz w:val="20"/>
          <w:szCs w:val="20"/>
        </w:rPr>
        <w:t xml:space="preserve">readily </w:t>
      </w:r>
      <w:r w:rsidRPr="0072047D">
        <w:rPr>
          <w:rFonts w:ascii="Arial" w:hAnsi="Arial" w:cs="Arial"/>
          <w:sz w:val="20"/>
          <w:szCs w:val="20"/>
        </w:rPr>
        <w:t>addressed through the required permits, which will help ensure proposed avoidance and mitigation measures are adopted together with a robust environmental management framework for the project.</w:t>
      </w:r>
    </w:p>
    <w:p w:rsidR="0072047D" w:rsidRPr="0072047D" w:rsidRDefault="0072047D" w:rsidP="0072047D">
      <w:pPr>
        <w:pStyle w:val="ListParagraph"/>
        <w:numPr>
          <w:ilvl w:val="0"/>
          <w:numId w:val="7"/>
        </w:numPr>
        <w:spacing w:before="60" w:after="80"/>
        <w:ind w:left="567" w:hanging="567"/>
        <w:jc w:val="both"/>
        <w:rPr>
          <w:rFonts w:ascii="Arial" w:hAnsi="Arial" w:cs="Arial"/>
          <w:sz w:val="20"/>
          <w:szCs w:val="20"/>
        </w:rPr>
      </w:pPr>
      <w:r w:rsidRPr="0072047D">
        <w:rPr>
          <w:rFonts w:ascii="Arial" w:hAnsi="Arial" w:cs="Arial"/>
          <w:sz w:val="20"/>
          <w:szCs w:val="20"/>
        </w:rPr>
        <w:t xml:space="preserve">The project’s potentially significant effects on listed threatened species </w:t>
      </w:r>
      <w:r w:rsidR="008227D3">
        <w:rPr>
          <w:rFonts w:ascii="Arial" w:hAnsi="Arial" w:cs="Arial"/>
          <w:sz w:val="20"/>
          <w:szCs w:val="20"/>
        </w:rPr>
        <w:t xml:space="preserve">and communities </w:t>
      </w:r>
      <w:r w:rsidRPr="0072047D">
        <w:rPr>
          <w:rFonts w:ascii="Arial" w:hAnsi="Arial" w:cs="Arial"/>
          <w:sz w:val="20"/>
          <w:szCs w:val="20"/>
        </w:rPr>
        <w:t xml:space="preserve">under the </w:t>
      </w:r>
      <w:r w:rsidRPr="0072047D">
        <w:rPr>
          <w:rFonts w:ascii="Arial" w:hAnsi="Arial" w:cs="Arial"/>
          <w:i/>
          <w:sz w:val="20"/>
          <w:szCs w:val="20"/>
        </w:rPr>
        <w:t>Flora and Fauna Guarantee Act 1988</w:t>
      </w:r>
      <w:r w:rsidRPr="0072047D">
        <w:rPr>
          <w:rFonts w:ascii="Arial" w:hAnsi="Arial" w:cs="Arial"/>
          <w:sz w:val="20"/>
          <w:szCs w:val="20"/>
        </w:rPr>
        <w:t xml:space="preserve">, including </w:t>
      </w:r>
      <w:proofErr w:type="spellStart"/>
      <w:r w:rsidRPr="0072047D">
        <w:rPr>
          <w:rFonts w:ascii="Arial" w:hAnsi="Arial" w:cs="Arial"/>
          <w:sz w:val="20"/>
          <w:szCs w:val="20"/>
        </w:rPr>
        <w:t>Brolga</w:t>
      </w:r>
      <w:proofErr w:type="spellEnd"/>
      <w:r w:rsidRPr="0072047D">
        <w:rPr>
          <w:rFonts w:ascii="Arial" w:hAnsi="Arial" w:cs="Arial"/>
          <w:i/>
          <w:sz w:val="20"/>
          <w:szCs w:val="20"/>
        </w:rPr>
        <w:t xml:space="preserve">, </w:t>
      </w:r>
      <w:r w:rsidRPr="0072047D">
        <w:rPr>
          <w:rFonts w:ascii="Arial" w:hAnsi="Arial" w:cs="Arial"/>
          <w:sz w:val="20"/>
          <w:szCs w:val="20"/>
        </w:rPr>
        <w:t xml:space="preserve">have been assessed by detailed studies for both the approved and amended projects, and on this basis, can be addressed through the proposed mitigation measures.  Moreover residual effects and obligations to provide the required offsets, can be adequately addressed through the planning permit process under the </w:t>
      </w:r>
      <w:r w:rsidRPr="0072047D">
        <w:rPr>
          <w:rFonts w:ascii="Arial" w:hAnsi="Arial" w:cs="Arial"/>
          <w:i/>
          <w:sz w:val="20"/>
          <w:szCs w:val="20"/>
        </w:rPr>
        <w:t>Planning and Environment Act 1987</w:t>
      </w:r>
      <w:r w:rsidRPr="0072047D">
        <w:rPr>
          <w:rFonts w:ascii="Arial" w:hAnsi="Arial" w:cs="Arial"/>
          <w:sz w:val="20"/>
          <w:szCs w:val="20"/>
        </w:rPr>
        <w:t xml:space="preserve">, consistent with the requirements of the </w:t>
      </w:r>
      <w:r w:rsidRPr="0072047D">
        <w:rPr>
          <w:rFonts w:ascii="Arial" w:hAnsi="Arial" w:cs="Arial"/>
          <w:i/>
          <w:sz w:val="20"/>
          <w:szCs w:val="20"/>
        </w:rPr>
        <w:t xml:space="preserve">Permitted Clearing of Native Vegetation - Biodiversity Assessment Guidelines (2013) </w:t>
      </w:r>
      <w:r w:rsidRPr="0072047D">
        <w:rPr>
          <w:rFonts w:ascii="Arial" w:hAnsi="Arial" w:cs="Arial"/>
          <w:sz w:val="20"/>
          <w:szCs w:val="20"/>
        </w:rPr>
        <w:t xml:space="preserve">and the </w:t>
      </w:r>
      <w:r w:rsidRPr="0072047D">
        <w:rPr>
          <w:rFonts w:ascii="Arial" w:hAnsi="Arial" w:cs="Arial"/>
          <w:i/>
          <w:sz w:val="20"/>
          <w:szCs w:val="20"/>
        </w:rPr>
        <w:t>Policy and Planning Guidelines for Development of Wind Energy Facilities in Victoria 2016</w:t>
      </w:r>
      <w:r w:rsidRPr="0072047D">
        <w:rPr>
          <w:rFonts w:ascii="Arial" w:hAnsi="Arial" w:cs="Arial"/>
          <w:sz w:val="20"/>
          <w:szCs w:val="20"/>
        </w:rPr>
        <w:t>.</w:t>
      </w:r>
      <w:r w:rsidRPr="0072047D">
        <w:rPr>
          <w:rFonts w:ascii="Arial" w:hAnsi="Arial" w:cs="Arial"/>
          <w:i/>
          <w:sz w:val="20"/>
          <w:szCs w:val="20"/>
        </w:rPr>
        <w:t xml:space="preserve">  </w:t>
      </w:r>
    </w:p>
    <w:p w:rsidR="008E0A45" w:rsidRPr="0072047D" w:rsidRDefault="0072047D" w:rsidP="0072047D">
      <w:pPr>
        <w:pStyle w:val="ListParagraph"/>
        <w:numPr>
          <w:ilvl w:val="0"/>
          <w:numId w:val="7"/>
        </w:numPr>
        <w:spacing w:before="60" w:after="80"/>
        <w:ind w:left="567" w:hanging="567"/>
        <w:jc w:val="both"/>
        <w:rPr>
          <w:rFonts w:ascii="Arial" w:hAnsi="Arial" w:cs="Arial"/>
          <w:sz w:val="20"/>
          <w:szCs w:val="20"/>
        </w:rPr>
      </w:pPr>
      <w:r w:rsidRPr="0072047D">
        <w:rPr>
          <w:rFonts w:ascii="Arial" w:hAnsi="Arial" w:cs="Arial"/>
          <w:sz w:val="20"/>
          <w:szCs w:val="20"/>
        </w:rPr>
        <w:t xml:space="preserve">Potential effects on Aboriginal and Cultural Heritage can be readily addressed under the </w:t>
      </w:r>
      <w:r w:rsidRPr="0072047D">
        <w:rPr>
          <w:rFonts w:ascii="Arial" w:hAnsi="Arial" w:cs="Arial"/>
          <w:i/>
          <w:sz w:val="20"/>
          <w:szCs w:val="20"/>
        </w:rPr>
        <w:t xml:space="preserve">Aboriginal Heritage Act 2006 </w:t>
      </w:r>
      <w:r w:rsidRPr="0072047D">
        <w:rPr>
          <w:rFonts w:ascii="Arial" w:hAnsi="Arial" w:cs="Arial"/>
          <w:sz w:val="20"/>
          <w:szCs w:val="20"/>
        </w:rPr>
        <w:t>and</w:t>
      </w:r>
      <w:r w:rsidRPr="0072047D">
        <w:rPr>
          <w:rFonts w:ascii="Arial" w:hAnsi="Arial" w:cs="Arial"/>
          <w:i/>
          <w:sz w:val="20"/>
          <w:szCs w:val="20"/>
        </w:rPr>
        <w:t xml:space="preserve"> Heritage Act</w:t>
      </w:r>
      <w:r w:rsidRPr="0072047D">
        <w:rPr>
          <w:rFonts w:ascii="Arial" w:hAnsi="Arial" w:cs="Arial"/>
          <w:sz w:val="20"/>
          <w:szCs w:val="20"/>
        </w:rPr>
        <w:t xml:space="preserve"> 1</w:t>
      </w:r>
      <w:r w:rsidRPr="0072047D">
        <w:rPr>
          <w:rFonts w:ascii="Arial" w:hAnsi="Arial" w:cs="Arial"/>
          <w:i/>
          <w:sz w:val="20"/>
          <w:szCs w:val="20"/>
        </w:rPr>
        <w:t>995</w:t>
      </w:r>
      <w:r w:rsidRPr="0072047D">
        <w:rPr>
          <w:rFonts w:ascii="Arial" w:hAnsi="Arial" w:cs="Arial"/>
          <w:sz w:val="20"/>
          <w:szCs w:val="20"/>
        </w:rPr>
        <w:t>.</w:t>
      </w:r>
    </w:p>
    <w:p w:rsidR="0072047D" w:rsidRDefault="0072047D" w:rsidP="007A1B7E">
      <w:pPr>
        <w:spacing w:after="0" w:line="240" w:lineRule="auto"/>
        <w:rPr>
          <w:rFonts w:ascii="Arial" w:eastAsia="Times New Roman" w:hAnsi="Arial" w:cs="Arial"/>
          <w:b/>
          <w:sz w:val="20"/>
          <w:szCs w:val="20"/>
        </w:rPr>
      </w:pPr>
    </w:p>
    <w:p w:rsidR="002D7CA9" w:rsidRPr="007A1B7E" w:rsidRDefault="008D5386" w:rsidP="007A1B7E">
      <w:pPr>
        <w:spacing w:after="0" w:line="240" w:lineRule="auto"/>
        <w:rPr>
          <w:rFonts w:ascii="Arial" w:eastAsia="Times New Roman" w:hAnsi="Arial" w:cs="Arial"/>
          <w:b/>
          <w:sz w:val="20"/>
          <w:szCs w:val="20"/>
        </w:rPr>
      </w:pPr>
      <w:r>
        <w:rPr>
          <w:rFonts w:ascii="Arial" w:eastAsia="Times New Roman" w:hAnsi="Arial" w:cs="Arial"/>
          <w:b/>
          <w:sz w:val="20"/>
          <w:szCs w:val="20"/>
        </w:rPr>
        <w:t>D</w:t>
      </w:r>
      <w:r w:rsidR="00874337" w:rsidRPr="00874337">
        <w:rPr>
          <w:rFonts w:ascii="Arial" w:eastAsia="Times New Roman" w:hAnsi="Arial" w:cs="Arial"/>
          <w:b/>
          <w:sz w:val="20"/>
          <w:szCs w:val="20"/>
        </w:rPr>
        <w:t>ate of Decision:</w:t>
      </w:r>
      <w:r w:rsidR="00874337" w:rsidRPr="00874337">
        <w:rPr>
          <w:rFonts w:ascii="Arial" w:eastAsia="Times New Roman" w:hAnsi="Arial" w:cs="Arial"/>
          <w:b/>
          <w:sz w:val="20"/>
          <w:szCs w:val="20"/>
        </w:rPr>
        <w:tab/>
      </w:r>
      <w:r w:rsidR="001C7B9E">
        <w:rPr>
          <w:rFonts w:ascii="Arial" w:eastAsia="Times New Roman" w:hAnsi="Arial" w:cs="Arial"/>
          <w:b/>
          <w:sz w:val="20"/>
          <w:szCs w:val="20"/>
        </w:rPr>
        <w:t>7 September 2016</w:t>
      </w:r>
    </w:p>
    <w:sectPr w:rsidR="002D7CA9" w:rsidRPr="007A1B7E" w:rsidSect="007A1B7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A3" w:rsidRDefault="005E1CA3">
      <w:pPr>
        <w:spacing w:after="0" w:line="240" w:lineRule="auto"/>
      </w:pPr>
      <w:r>
        <w:separator/>
      </w:r>
    </w:p>
  </w:endnote>
  <w:endnote w:type="continuationSeparator" w:id="0">
    <w:p w:rsidR="005E1CA3" w:rsidRDefault="005E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65" w:rsidRDefault="00804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65" w:rsidRDefault="00804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65" w:rsidRDefault="00804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A3" w:rsidRDefault="005E1CA3">
      <w:pPr>
        <w:spacing w:after="0" w:line="240" w:lineRule="auto"/>
      </w:pPr>
      <w:r>
        <w:separator/>
      </w:r>
    </w:p>
  </w:footnote>
  <w:footnote w:type="continuationSeparator" w:id="0">
    <w:p w:rsidR="005E1CA3" w:rsidRDefault="005E1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65" w:rsidRDefault="00804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10" w:rsidRDefault="00874337">
    <w:pPr>
      <w:pStyle w:val="Header"/>
      <w:jc w:val="right"/>
      <w:rPr>
        <w:sz w:val="24"/>
      </w:rPr>
    </w:pPr>
    <w:r>
      <w:rPr>
        <w:sz w:val="24"/>
      </w:rPr>
      <w:t>REFERRAL NUMBER 2016R00005</w:t>
    </w:r>
  </w:p>
  <w:p w:rsidR="00A26110" w:rsidRDefault="001C7B9E">
    <w:pPr>
      <w:pStyle w:val="Heade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65" w:rsidRDefault="00804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nsid w:val="21824146"/>
    <w:multiLevelType w:val="hybridMultilevel"/>
    <w:tmpl w:val="B6823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032D92"/>
    <w:multiLevelType w:val="hybridMultilevel"/>
    <w:tmpl w:val="9DDEDBBC"/>
    <w:lvl w:ilvl="0" w:tplc="6D12EEB0">
      <w:start w:val="1"/>
      <w:numFmt w:val="lowerLetter"/>
      <w:lvlText w:val="%1)"/>
      <w:lvlJc w:val="left"/>
      <w:pPr>
        <w:tabs>
          <w:tab w:val="num" w:pos="1080"/>
        </w:tabs>
        <w:ind w:left="1080" w:hanging="360"/>
      </w:pPr>
      <w:rPr>
        <w:rFonts w:ascii="Arial" w:eastAsia="Times New Roman" w:hAnsi="Arial" w:cs="Arial"/>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633F22F2"/>
    <w:multiLevelType w:val="hybridMultilevel"/>
    <w:tmpl w:val="91CCC8DA"/>
    <w:lvl w:ilvl="0" w:tplc="7B9C92A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99D7697"/>
    <w:multiLevelType w:val="hybridMultilevel"/>
    <w:tmpl w:val="620E06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B711615"/>
    <w:multiLevelType w:val="hybridMultilevel"/>
    <w:tmpl w:val="C50CF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37"/>
    <w:rsid w:val="001B020A"/>
    <w:rsid w:val="001C7B9E"/>
    <w:rsid w:val="001F42A8"/>
    <w:rsid w:val="002D7CA9"/>
    <w:rsid w:val="004F522E"/>
    <w:rsid w:val="0053300B"/>
    <w:rsid w:val="005E1CA3"/>
    <w:rsid w:val="005F1722"/>
    <w:rsid w:val="0072047D"/>
    <w:rsid w:val="007A1B7E"/>
    <w:rsid w:val="007C5B76"/>
    <w:rsid w:val="00804365"/>
    <w:rsid w:val="008227D3"/>
    <w:rsid w:val="00874337"/>
    <w:rsid w:val="008D5386"/>
    <w:rsid w:val="008E0A45"/>
    <w:rsid w:val="0092454F"/>
    <w:rsid w:val="00F03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33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74337"/>
    <w:rPr>
      <w:rFonts w:ascii="Times New Roman" w:eastAsia="Times New Roman" w:hAnsi="Times New Roman" w:cs="Times New Roman"/>
      <w:sz w:val="20"/>
      <w:szCs w:val="20"/>
    </w:rPr>
  </w:style>
  <w:style w:type="paragraph" w:customStyle="1" w:styleId="NumberedText">
    <w:name w:val="Numbered Text"/>
    <w:basedOn w:val="Normal"/>
    <w:rsid w:val="00874337"/>
    <w:pPr>
      <w:numPr>
        <w:numId w:val="4"/>
      </w:numPr>
      <w:spacing w:after="120" w:line="240" w:lineRule="auto"/>
      <w:jc w:val="both"/>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74337"/>
    <w:pPr>
      <w:spacing w:after="0" w:line="240" w:lineRule="auto"/>
      <w:ind w:left="720"/>
    </w:pPr>
    <w:rPr>
      <w:rFonts w:ascii="Calibri" w:eastAsia="Times New Roman" w:hAnsi="Calibri" w:cs="Times New Roman"/>
      <w:lang w:val="en-US"/>
    </w:rPr>
  </w:style>
  <w:style w:type="paragraph" w:customStyle="1" w:styleId="Body2">
    <w:name w:val="_Body2"/>
    <w:basedOn w:val="Normal"/>
    <w:link w:val="Body2Char"/>
    <w:uiPriority w:val="9"/>
    <w:qFormat/>
    <w:rsid w:val="00874337"/>
    <w:pPr>
      <w:spacing w:after="113" w:line="240" w:lineRule="atLeast"/>
    </w:pPr>
    <w:rPr>
      <w:rFonts w:ascii="Calibri" w:eastAsia="Times New Roman" w:hAnsi="Calibri" w:cs="Arial"/>
    </w:rPr>
  </w:style>
  <w:style w:type="character" w:customStyle="1" w:styleId="Body2Char">
    <w:name w:val="_Body2 Char"/>
    <w:link w:val="Body2"/>
    <w:uiPriority w:val="9"/>
    <w:locked/>
    <w:rsid w:val="00874337"/>
    <w:rPr>
      <w:rFonts w:ascii="Calibri" w:eastAsia="Times New Roman" w:hAnsi="Calibri" w:cs="Arial"/>
    </w:rPr>
  </w:style>
  <w:style w:type="paragraph" w:styleId="Footer">
    <w:name w:val="footer"/>
    <w:basedOn w:val="Normal"/>
    <w:link w:val="FooterChar"/>
    <w:uiPriority w:val="99"/>
    <w:unhideWhenUsed/>
    <w:rsid w:val="0080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33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74337"/>
    <w:rPr>
      <w:rFonts w:ascii="Times New Roman" w:eastAsia="Times New Roman" w:hAnsi="Times New Roman" w:cs="Times New Roman"/>
      <w:sz w:val="20"/>
      <w:szCs w:val="20"/>
    </w:rPr>
  </w:style>
  <w:style w:type="paragraph" w:customStyle="1" w:styleId="NumberedText">
    <w:name w:val="Numbered Text"/>
    <w:basedOn w:val="Normal"/>
    <w:rsid w:val="00874337"/>
    <w:pPr>
      <w:numPr>
        <w:numId w:val="4"/>
      </w:numPr>
      <w:spacing w:after="120" w:line="240" w:lineRule="auto"/>
      <w:jc w:val="both"/>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74337"/>
    <w:pPr>
      <w:spacing w:after="0" w:line="240" w:lineRule="auto"/>
      <w:ind w:left="720"/>
    </w:pPr>
    <w:rPr>
      <w:rFonts w:ascii="Calibri" w:eastAsia="Times New Roman" w:hAnsi="Calibri" w:cs="Times New Roman"/>
      <w:lang w:val="en-US"/>
    </w:rPr>
  </w:style>
  <w:style w:type="paragraph" w:customStyle="1" w:styleId="Body2">
    <w:name w:val="_Body2"/>
    <w:basedOn w:val="Normal"/>
    <w:link w:val="Body2Char"/>
    <w:uiPriority w:val="9"/>
    <w:qFormat/>
    <w:rsid w:val="00874337"/>
    <w:pPr>
      <w:spacing w:after="113" w:line="240" w:lineRule="atLeast"/>
    </w:pPr>
    <w:rPr>
      <w:rFonts w:ascii="Calibri" w:eastAsia="Times New Roman" w:hAnsi="Calibri" w:cs="Arial"/>
    </w:rPr>
  </w:style>
  <w:style w:type="character" w:customStyle="1" w:styleId="Body2Char">
    <w:name w:val="_Body2 Char"/>
    <w:link w:val="Body2"/>
    <w:uiPriority w:val="9"/>
    <w:locked/>
    <w:rsid w:val="00874337"/>
    <w:rPr>
      <w:rFonts w:ascii="Calibri" w:eastAsia="Times New Roman" w:hAnsi="Calibri" w:cs="Arial"/>
    </w:rPr>
  </w:style>
  <w:style w:type="paragraph" w:styleId="Footer">
    <w:name w:val="footer"/>
    <w:basedOn w:val="Normal"/>
    <w:link w:val="FooterChar"/>
    <w:uiPriority w:val="99"/>
    <w:unhideWhenUsed/>
    <w:rsid w:val="0080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irek</dc:creator>
  <cp:lastModifiedBy>vicymyn</cp:lastModifiedBy>
  <cp:revision>7</cp:revision>
  <dcterms:created xsi:type="dcterms:W3CDTF">2016-08-11T04:06:00Z</dcterms:created>
  <dcterms:modified xsi:type="dcterms:W3CDTF">2016-09-08T22:33:00Z</dcterms:modified>
</cp:coreProperties>
</file>