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5C" w:rsidRDefault="00945D6B" w:rsidP="00A2005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EFB77" wp14:editId="2E71CC8A">
                <wp:simplePos x="0" y="0"/>
                <wp:positionH relativeFrom="column">
                  <wp:posOffset>-495300</wp:posOffset>
                </wp:positionH>
                <wp:positionV relativeFrom="paragraph">
                  <wp:posOffset>-590550</wp:posOffset>
                </wp:positionV>
                <wp:extent cx="1095375" cy="2857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5D6B" w:rsidRPr="00D426AC" w:rsidRDefault="00945D6B" w:rsidP="00945D6B">
                            <w:pPr>
                              <w:pStyle w:val="BalloonText"/>
                              <w:rPr>
                                <w:b/>
                              </w:rPr>
                            </w:pPr>
                            <w:r w:rsidRPr="00D426AC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TTACHMENT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9pt;margin-top:-46.5pt;width:8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" fillcolor="window" strokeweight=".5pt">
                <v:path arrowok="t"/>
                <v:textbox>
                  <w:txbxContent>
                    <w:p w:rsidR="00945D6B" w:rsidRPr="00D426AC" w:rsidRDefault="00945D6B" w:rsidP="00945D6B">
                      <w:pPr>
                        <w:pStyle w:val="BalloonText"/>
                        <w:rPr>
                          <w:b/>
                        </w:rPr>
                      </w:pPr>
                      <w:r w:rsidRPr="00D426AC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TTACHMENT 2</w:t>
                      </w:r>
                    </w:p>
                  </w:txbxContent>
                </v:textbox>
              </v:shape>
            </w:pict>
          </mc:Fallback>
        </mc:AlternateContent>
      </w:r>
      <w:r w:rsidR="005C2AF0">
        <w:rPr>
          <w:b/>
        </w:rPr>
        <w:t>Public Housing Renewal Program</w:t>
      </w:r>
      <w:bookmarkStart w:id="0" w:name="_GoBack"/>
      <w:bookmarkEnd w:id="0"/>
      <w:r w:rsidR="005C2AF0">
        <w:rPr>
          <w:b/>
        </w:rPr>
        <w:t xml:space="preserve"> – Tranche B</w:t>
      </w:r>
      <w:r w:rsidR="00A2005C">
        <w:rPr>
          <w:b/>
        </w:rPr>
        <w:t xml:space="preserve"> - Abbotsford Street – North Melbourne</w:t>
      </w:r>
    </w:p>
    <w:p w:rsidR="005C2AF0" w:rsidRDefault="005C2AF0">
      <w:pPr>
        <w:rPr>
          <w:b/>
        </w:rPr>
      </w:pPr>
      <w:r>
        <w:rPr>
          <w:b/>
        </w:rPr>
        <w:t>Explanation of changes to be made to the exhibited DPO Schedule 11</w:t>
      </w:r>
    </w:p>
    <w:tbl>
      <w:tblPr>
        <w:tblStyle w:val="TableGrid"/>
        <w:tblW w:w="15168" w:type="dxa"/>
        <w:tblInd w:w="-318" w:type="dxa"/>
        <w:tblLook w:val="04A0" w:firstRow="1" w:lastRow="0" w:firstColumn="1" w:lastColumn="0" w:noHBand="0" w:noVBand="1"/>
      </w:tblPr>
      <w:tblGrid>
        <w:gridCol w:w="5042"/>
        <w:gridCol w:w="4725"/>
        <w:gridCol w:w="5401"/>
      </w:tblGrid>
      <w:tr w:rsidR="005C2AF0" w:rsidTr="00A2005C">
        <w:tc>
          <w:tcPr>
            <w:tcW w:w="5042" w:type="dxa"/>
            <w:shd w:val="clear" w:color="auto" w:fill="EEECE1" w:themeFill="background2"/>
          </w:tcPr>
          <w:p w:rsidR="005C2AF0" w:rsidRDefault="005C2AF0">
            <w:pPr>
              <w:rPr>
                <w:b/>
              </w:rPr>
            </w:pPr>
            <w:r>
              <w:rPr>
                <w:b/>
              </w:rPr>
              <w:t>Issue with exhibited DPO Schedule</w:t>
            </w:r>
          </w:p>
        </w:tc>
        <w:tc>
          <w:tcPr>
            <w:tcW w:w="4725" w:type="dxa"/>
            <w:shd w:val="clear" w:color="auto" w:fill="EEECE1" w:themeFill="background2"/>
          </w:tcPr>
          <w:p w:rsidR="005C2AF0" w:rsidRDefault="005C2AF0">
            <w:pPr>
              <w:rPr>
                <w:b/>
              </w:rPr>
            </w:pPr>
            <w:r>
              <w:rPr>
                <w:b/>
              </w:rPr>
              <w:t xml:space="preserve">What change is proposed </w:t>
            </w:r>
          </w:p>
        </w:tc>
        <w:tc>
          <w:tcPr>
            <w:tcW w:w="5401" w:type="dxa"/>
            <w:shd w:val="clear" w:color="auto" w:fill="EEECE1" w:themeFill="background2"/>
          </w:tcPr>
          <w:p w:rsidR="005C2AF0" w:rsidRDefault="005C2AF0">
            <w:pPr>
              <w:rPr>
                <w:b/>
              </w:rPr>
            </w:pPr>
            <w:r>
              <w:rPr>
                <w:b/>
              </w:rPr>
              <w:t>What it means</w:t>
            </w:r>
          </w:p>
        </w:tc>
      </w:tr>
      <w:tr w:rsidR="005C2AF0" w:rsidTr="00A2005C">
        <w:tc>
          <w:tcPr>
            <w:tcW w:w="5042" w:type="dxa"/>
          </w:tcPr>
          <w:p w:rsidR="005C2AF0" w:rsidRPr="005C2AF0" w:rsidRDefault="005C2AF0" w:rsidP="005C2AF0">
            <w:r>
              <w:t xml:space="preserve">Under Section 3.0, objective no.11 references the Better Apartments Design Standards which are now in the Planning Scheme at Clause 58 and therefore no longer need to be referenced.  </w:t>
            </w:r>
          </w:p>
        </w:tc>
        <w:tc>
          <w:tcPr>
            <w:tcW w:w="4725" w:type="dxa"/>
          </w:tcPr>
          <w:p w:rsidR="005C2AF0" w:rsidRPr="005C2AF0" w:rsidRDefault="005C2AF0">
            <w:r>
              <w:t>It is proposed to remove the reference to the Better Apartment Design Standards.</w:t>
            </w:r>
          </w:p>
        </w:tc>
        <w:tc>
          <w:tcPr>
            <w:tcW w:w="5401" w:type="dxa"/>
          </w:tcPr>
          <w:p w:rsidR="005C2AF0" w:rsidRPr="005C2AF0" w:rsidRDefault="005C2AF0">
            <w:r>
              <w:t xml:space="preserve">The change ensures the DPO Schedule correctly references updated policy. </w:t>
            </w:r>
          </w:p>
        </w:tc>
      </w:tr>
      <w:tr w:rsidR="005C2AF0" w:rsidTr="00A2005C">
        <w:tc>
          <w:tcPr>
            <w:tcW w:w="5042" w:type="dxa"/>
          </w:tcPr>
          <w:p w:rsidR="005C2AF0" w:rsidRPr="005C2AF0" w:rsidRDefault="005C2AF0" w:rsidP="005C2AF0">
            <w:r>
              <w:t xml:space="preserve">In the Built Form Table, in the Precincts 1, 3 and 4 building heights are incorrectly identified. </w:t>
            </w:r>
          </w:p>
        </w:tc>
        <w:tc>
          <w:tcPr>
            <w:tcW w:w="4725" w:type="dxa"/>
          </w:tcPr>
          <w:p w:rsidR="005C2AF0" w:rsidRDefault="005C2AF0">
            <w:r>
              <w:t>In Precinct 1, the building height should read as 8 storeys instead of 7 storeys, as outlined in the Design Framework.</w:t>
            </w:r>
          </w:p>
          <w:p w:rsidR="005C2AF0" w:rsidRDefault="005C2AF0"/>
          <w:p w:rsidR="005C2AF0" w:rsidRDefault="005C2AF0">
            <w:r>
              <w:t>In Precinct 3, the building height should read as 9 storeys instead of 7 storeys, as outlined in the Design Framework.</w:t>
            </w:r>
          </w:p>
          <w:p w:rsidR="005C2AF0" w:rsidRDefault="005C2AF0"/>
          <w:p w:rsidR="005C2AF0" w:rsidRPr="005C2AF0" w:rsidRDefault="005C2AF0">
            <w:r>
              <w:t>In precinct 4, the building height should read as 7 storeys instead of 9 storeys, as outlined in the Design Framework.</w:t>
            </w:r>
          </w:p>
        </w:tc>
        <w:tc>
          <w:tcPr>
            <w:tcW w:w="5401" w:type="dxa"/>
          </w:tcPr>
          <w:p w:rsidR="005C2AF0" w:rsidRDefault="005C2AF0">
            <w:r>
              <w:t>The change in Precinct 1 will mean an increase in height to the upper levels along Abbotsford Street from 7 to 8 storeys, noting the upper levels are to be setback 5 metres from the street wall.</w:t>
            </w:r>
          </w:p>
          <w:p w:rsidR="005C2AF0" w:rsidRDefault="005C2AF0" w:rsidP="005C2AF0"/>
          <w:p w:rsidR="005C2AF0" w:rsidRDefault="005C2AF0" w:rsidP="005C2AF0">
            <w:r>
              <w:t xml:space="preserve">The change in Precinct 3 will mean an increase in height to the upper levels along Abbotsford Street from 7 to 9 storeys, noting the upper levels are to be setback 5 metres from the street wall. </w:t>
            </w:r>
          </w:p>
          <w:p w:rsidR="005C2AF0" w:rsidRDefault="005C2AF0" w:rsidP="005C2AF0"/>
          <w:p w:rsidR="005C2AF0" w:rsidRPr="005C2AF0" w:rsidRDefault="005C2AF0" w:rsidP="005C2AF0">
            <w:r>
              <w:t>The change to Precinct 4 will mean a reduction in the height of the upper levels along Haines Street from 9 to 7 storeys.</w:t>
            </w:r>
          </w:p>
        </w:tc>
      </w:tr>
      <w:tr w:rsidR="005C2AF0" w:rsidTr="00A2005C">
        <w:tc>
          <w:tcPr>
            <w:tcW w:w="5042" w:type="dxa"/>
          </w:tcPr>
          <w:p w:rsidR="005C2AF0" w:rsidRPr="005C2AF0" w:rsidRDefault="005C2AF0">
            <w:r>
              <w:t>In the Built Form Table, in Area 3, the interface treatment is incorrectly identified.</w:t>
            </w:r>
          </w:p>
        </w:tc>
        <w:tc>
          <w:tcPr>
            <w:tcW w:w="4725" w:type="dxa"/>
          </w:tcPr>
          <w:p w:rsidR="005C2AF0" w:rsidRPr="005C2AF0" w:rsidRDefault="005C2AF0">
            <w:r>
              <w:t>In Precinct 3, the reference to Interface Treatment is changed from C to A.</w:t>
            </w:r>
          </w:p>
        </w:tc>
        <w:tc>
          <w:tcPr>
            <w:tcW w:w="5401" w:type="dxa"/>
          </w:tcPr>
          <w:p w:rsidR="005C2AF0" w:rsidRPr="005C2AF0" w:rsidRDefault="005C2AF0">
            <w:r>
              <w:t>The change ensures the correct interface treatment is applied to Precinct 3 and its adjacent context.</w:t>
            </w:r>
          </w:p>
        </w:tc>
      </w:tr>
      <w:tr w:rsidR="005C2AF0" w:rsidTr="00A2005C">
        <w:tc>
          <w:tcPr>
            <w:tcW w:w="5042" w:type="dxa"/>
          </w:tcPr>
          <w:p w:rsidR="005C2AF0" w:rsidRDefault="005C2AF0">
            <w:r>
              <w:t>In the Built Form section, the reference to higher built form on corners does not align with the Design Framework.</w:t>
            </w:r>
          </w:p>
        </w:tc>
        <w:tc>
          <w:tcPr>
            <w:tcW w:w="4725" w:type="dxa"/>
          </w:tcPr>
          <w:p w:rsidR="005C2AF0" w:rsidRDefault="005C2AF0">
            <w:r>
              <w:t xml:space="preserve">Removal of the following: </w:t>
            </w:r>
          </w:p>
          <w:p w:rsidR="005C2AF0" w:rsidRDefault="005C2AF0">
            <w:pPr>
              <w:rPr>
                <w:i/>
              </w:rPr>
            </w:pPr>
            <w:r>
              <w:rPr>
                <w:i/>
              </w:rPr>
              <w:t>Higher built form on the following corners as follows:</w:t>
            </w:r>
          </w:p>
          <w:p w:rsidR="005C2AF0" w:rsidRDefault="005C2AF0" w:rsidP="005C2AF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Corner of Molesworth and Abbotsford Streets – 1-2 storeys above precinct height; and</w:t>
            </w:r>
          </w:p>
          <w:p w:rsidR="005C2AF0" w:rsidRPr="005C2AF0" w:rsidRDefault="005C2AF0" w:rsidP="005C2AF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Corner of Haines and Molesworth Streets – 1-2 storeys above precinct height.</w:t>
            </w:r>
          </w:p>
        </w:tc>
        <w:tc>
          <w:tcPr>
            <w:tcW w:w="5401" w:type="dxa"/>
          </w:tcPr>
          <w:p w:rsidR="005C2AF0" w:rsidRDefault="005C2AF0">
            <w:r>
              <w:t xml:space="preserve">The change ensures the DPO Schedule responds to the interface treatments and the Design Framework. </w:t>
            </w:r>
          </w:p>
        </w:tc>
      </w:tr>
    </w:tbl>
    <w:p w:rsidR="005C2AF0" w:rsidRPr="005C2AF0" w:rsidRDefault="005C2AF0">
      <w:pPr>
        <w:rPr>
          <w:b/>
        </w:rPr>
      </w:pPr>
    </w:p>
    <w:sectPr w:rsidR="005C2AF0" w:rsidRPr="005C2AF0" w:rsidSect="005C2A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7EB"/>
    <w:multiLevelType w:val="hybridMultilevel"/>
    <w:tmpl w:val="FFC4B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F0"/>
    <w:rsid w:val="005C2AF0"/>
    <w:rsid w:val="008E70D4"/>
    <w:rsid w:val="00945D6B"/>
    <w:rsid w:val="009E2BEA"/>
    <w:rsid w:val="00A2005C"/>
    <w:rsid w:val="00C32548"/>
    <w:rsid w:val="00C6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AF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945D6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945D6B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AF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945D6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945D6B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Bell</dc:creator>
  <cp:lastModifiedBy>Jessica Cutting</cp:lastModifiedBy>
  <cp:revision>3</cp:revision>
  <dcterms:created xsi:type="dcterms:W3CDTF">2017-09-21T03:41:00Z</dcterms:created>
  <dcterms:modified xsi:type="dcterms:W3CDTF">2017-09-21T04:08:00Z</dcterms:modified>
</cp:coreProperties>
</file>