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6B3B1" w14:textId="4DC7361D" w:rsidR="005A2A5D" w:rsidRPr="00AF2361" w:rsidRDefault="00330302" w:rsidP="00AF2361">
      <w:pPr>
        <w:pStyle w:val="BodyText"/>
        <w:rPr>
          <w:sz w:val="96"/>
          <w:szCs w:val="96"/>
        </w:rPr>
      </w:pPr>
      <w:r w:rsidRPr="00AF2361">
        <w:rPr>
          <w:noProof/>
          <w:sz w:val="96"/>
          <w:szCs w:val="96"/>
          <w:lang w:eastAsia="en-AU"/>
        </w:rPr>
        <mc:AlternateContent>
          <mc:Choice Requires="wps">
            <w:drawing>
              <wp:anchor distT="0" distB="0" distL="114300" distR="114300" simplePos="0" relativeHeight="251648000" behindDoc="0" locked="1" layoutInCell="1" allowOverlap="1" wp14:anchorId="2D43EFAD" wp14:editId="48471A82">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6A9F7" w14:textId="77777777" w:rsidR="00AF2361" w:rsidRPr="009F69FA" w:rsidRDefault="00AF236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936A9F7" w14:textId="77777777" w:rsidR="00AF2361" w:rsidRPr="009F69FA" w:rsidRDefault="00AF2361" w:rsidP="00330302">
                      <w:pPr>
                        <w:pStyle w:val="xWeb"/>
                      </w:pPr>
                      <w:r w:rsidRPr="009F69FA">
                        <w:t>www.de</w:t>
                      </w:r>
                      <w:r>
                        <w:t>lw</w:t>
                      </w:r>
                      <w:r w:rsidRPr="009F69FA">
                        <w:t>p.vic.gov.au</w:t>
                      </w:r>
                    </w:p>
                  </w:txbxContent>
                </v:textbox>
                <w10:wrap anchorx="page" anchory="page"/>
                <w10:anchorlock/>
              </v:shape>
            </w:pict>
          </mc:Fallback>
        </mc:AlternateContent>
      </w:r>
      <w:r w:rsidR="003D5476" w:rsidRPr="00AF2361">
        <w:rPr>
          <w:noProof/>
          <w:sz w:val="96"/>
          <w:szCs w:val="96"/>
          <w:lang w:eastAsia="en-AU"/>
        </w:rPr>
        <mc:AlternateContent>
          <mc:Choice Requires="wps">
            <w:drawing>
              <wp:anchor distT="0" distB="0" distL="114300" distR="114300" simplePos="0" relativeHeight="251643904" behindDoc="0" locked="1" layoutInCell="1" allowOverlap="1" wp14:anchorId="3C67E6BD" wp14:editId="790BBE2B">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D40E3" w14:textId="77777777" w:rsidR="00AF2361" w:rsidRPr="00271B90" w:rsidRDefault="00AF236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4EFD40E3" w14:textId="77777777" w:rsidR="00AF2361" w:rsidRPr="00271B90" w:rsidRDefault="00AF236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AF2361" w:rsidRPr="00AF2361">
        <w:rPr>
          <w:sz w:val="96"/>
          <w:szCs w:val="96"/>
        </w:rPr>
        <w:t>Urban Development Program</w:t>
      </w:r>
    </w:p>
    <w:p w14:paraId="0061372C" w14:textId="77777777" w:rsidR="00AF2361" w:rsidRDefault="00AF2361" w:rsidP="00E76545">
      <w:pPr>
        <w:pStyle w:val="BodyText"/>
        <w:jc w:val="center"/>
      </w:pPr>
    </w:p>
    <w:p w14:paraId="2C8E4ABC" w14:textId="77777777" w:rsidR="00AF2361" w:rsidRDefault="00AF2361" w:rsidP="00E76545">
      <w:pPr>
        <w:pStyle w:val="BodyText"/>
        <w:jc w:val="center"/>
      </w:pPr>
    </w:p>
    <w:p w14:paraId="57BBD7F1" w14:textId="77777777" w:rsidR="00AF2361" w:rsidRDefault="00AF2361" w:rsidP="00AF2361">
      <w:pPr>
        <w:pStyle w:val="BodyText"/>
        <w:rPr>
          <w:sz w:val="56"/>
          <w:szCs w:val="56"/>
        </w:rPr>
      </w:pPr>
    </w:p>
    <w:p w14:paraId="5C5826C5" w14:textId="77777777" w:rsidR="00AF2361" w:rsidRDefault="00AF2361" w:rsidP="00AF2361">
      <w:pPr>
        <w:pStyle w:val="BodyText"/>
        <w:rPr>
          <w:sz w:val="56"/>
          <w:szCs w:val="56"/>
        </w:rPr>
      </w:pPr>
    </w:p>
    <w:p w14:paraId="3CD434D3" w14:textId="77777777" w:rsidR="00AF2361" w:rsidRDefault="00AF2361" w:rsidP="00AF2361">
      <w:pPr>
        <w:pStyle w:val="BodyText"/>
        <w:rPr>
          <w:sz w:val="56"/>
          <w:szCs w:val="56"/>
        </w:rPr>
      </w:pPr>
    </w:p>
    <w:p w14:paraId="6E73C3A2" w14:textId="6A251A88" w:rsidR="00AF2361" w:rsidRDefault="00AF2361" w:rsidP="00AF2361">
      <w:pPr>
        <w:pStyle w:val="BodyText"/>
        <w:rPr>
          <w:sz w:val="56"/>
          <w:szCs w:val="56"/>
        </w:rPr>
      </w:pPr>
      <w:r w:rsidRPr="00AF2361">
        <w:rPr>
          <w:sz w:val="56"/>
          <w:szCs w:val="56"/>
        </w:rPr>
        <w:t>Metropolitan Melbourne 2016</w:t>
      </w:r>
    </w:p>
    <w:p w14:paraId="16B02E92" w14:textId="77777777" w:rsidR="00AF2361" w:rsidRDefault="00AF2361" w:rsidP="00AF2361">
      <w:pPr>
        <w:pStyle w:val="BodyText"/>
        <w:rPr>
          <w:sz w:val="56"/>
          <w:szCs w:val="56"/>
        </w:rPr>
      </w:pPr>
    </w:p>
    <w:p w14:paraId="21878E00" w14:textId="77777777" w:rsidR="00AF2361" w:rsidRDefault="00AF2361" w:rsidP="00AF2361">
      <w:pPr>
        <w:pStyle w:val="BodyText"/>
        <w:rPr>
          <w:sz w:val="36"/>
          <w:szCs w:val="36"/>
        </w:rPr>
      </w:pPr>
    </w:p>
    <w:p w14:paraId="685F58D5" w14:textId="77777777" w:rsidR="00AF2361" w:rsidRDefault="00AF2361" w:rsidP="00AF2361">
      <w:pPr>
        <w:pStyle w:val="BodyText"/>
        <w:rPr>
          <w:sz w:val="36"/>
          <w:szCs w:val="36"/>
        </w:rPr>
      </w:pPr>
    </w:p>
    <w:p w14:paraId="2CDFE47B" w14:textId="77777777" w:rsidR="00AF2361" w:rsidRDefault="00AF2361" w:rsidP="00AF2361">
      <w:pPr>
        <w:pStyle w:val="BodyText"/>
        <w:rPr>
          <w:sz w:val="36"/>
          <w:szCs w:val="36"/>
        </w:rPr>
      </w:pPr>
    </w:p>
    <w:p w14:paraId="244D1B40" w14:textId="77777777" w:rsidR="00AF2361" w:rsidRDefault="00AF2361" w:rsidP="00AF2361">
      <w:pPr>
        <w:pStyle w:val="BodyText"/>
        <w:rPr>
          <w:sz w:val="36"/>
          <w:szCs w:val="36"/>
        </w:rPr>
      </w:pPr>
    </w:p>
    <w:p w14:paraId="3D1B348D" w14:textId="77777777" w:rsidR="00AF2361" w:rsidRDefault="00AF2361" w:rsidP="00AF2361">
      <w:pPr>
        <w:pStyle w:val="BodyText"/>
        <w:rPr>
          <w:sz w:val="36"/>
          <w:szCs w:val="36"/>
        </w:rPr>
      </w:pPr>
    </w:p>
    <w:p w14:paraId="089ECA71" w14:textId="4EC909EC" w:rsidR="00AF2361" w:rsidRDefault="00AF2361" w:rsidP="00AF2361">
      <w:pPr>
        <w:pStyle w:val="BodyText"/>
        <w:rPr>
          <w:sz w:val="36"/>
          <w:szCs w:val="36"/>
        </w:rPr>
      </w:pPr>
      <w:r>
        <w:rPr>
          <w:sz w:val="36"/>
          <w:szCs w:val="36"/>
        </w:rPr>
        <w:t>Planning Division</w:t>
      </w:r>
    </w:p>
    <w:p w14:paraId="7FF75D2B" w14:textId="477FB064" w:rsidR="00AF2361" w:rsidRDefault="00AF2361" w:rsidP="00AF2361">
      <w:pPr>
        <w:pStyle w:val="BodyText"/>
        <w:rPr>
          <w:sz w:val="36"/>
          <w:szCs w:val="36"/>
        </w:rPr>
      </w:pPr>
      <w:r>
        <w:rPr>
          <w:sz w:val="36"/>
          <w:szCs w:val="36"/>
        </w:rPr>
        <w:t>Department of Environment, Land, Water &amp; Planning</w:t>
      </w:r>
    </w:p>
    <w:p w14:paraId="433E48E7" w14:textId="118E7768" w:rsidR="00AF2361" w:rsidRPr="00AF2361" w:rsidRDefault="00AF2361" w:rsidP="00AF2361">
      <w:pPr>
        <w:pStyle w:val="BodyText"/>
        <w:rPr>
          <w:sz w:val="36"/>
          <w:szCs w:val="36"/>
        </w:rPr>
      </w:pPr>
      <w:r>
        <w:rPr>
          <w:sz w:val="36"/>
          <w:szCs w:val="36"/>
        </w:rPr>
        <w:t>State Government of Victoria</w:t>
      </w:r>
    </w:p>
    <w:p w14:paraId="7089A013" w14:textId="77777777" w:rsidR="00D73B6C" w:rsidRDefault="00D73B6C"/>
    <w:p w14:paraId="1312EFE8" w14:textId="77777777" w:rsidR="00AF2361" w:rsidRPr="00D55628" w:rsidRDefault="00AF2361">
      <w:pPr>
        <w:sectPr w:rsidR="00AF2361" w:rsidRPr="00D55628" w:rsidSect="005E59CF">
          <w:headerReference w:type="default" r:id="rId9"/>
          <w:footerReference w:type="even" r:id="rId10"/>
          <w:footerReference w:type="default" r:id="rId11"/>
          <w:footerReference w:type="first" r:id="rId12"/>
          <w:pgSz w:w="11907" w:h="16840" w:code="9"/>
          <w:pgMar w:top="2268" w:right="1134" w:bottom="1134" w:left="1134" w:header="284" w:footer="284" w:gutter="0"/>
          <w:cols w:space="708"/>
          <w:titlePg/>
          <w:docGrid w:linePitch="360"/>
        </w:sectPr>
      </w:pPr>
    </w:p>
    <w:p w14:paraId="6ACEFCEC" w14:textId="77777777" w:rsidR="003C4209" w:rsidRPr="00D55628" w:rsidRDefault="003C4209" w:rsidP="00D55628">
      <w:pPr>
        <w:pStyle w:val="xDisclaimerText"/>
      </w:pPr>
    </w:p>
    <w:p w14:paraId="21C9EC09"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457C96EC" w14:textId="77777777" w:rsidTr="005E59CF">
        <w:tc>
          <w:tcPr>
            <w:tcW w:w="5000" w:type="pct"/>
            <w:vAlign w:val="bottom"/>
          </w:tcPr>
          <w:p w14:paraId="38D9DF1F" w14:textId="10B7FDB1" w:rsidR="00AE3298" w:rsidRPr="00CA2C45" w:rsidRDefault="00AF2361" w:rsidP="00D55628">
            <w:pPr>
              <w:pStyle w:val="xDisclaimertext3"/>
              <w:rPr>
                <w:sz w:val="20"/>
              </w:rPr>
            </w:pPr>
            <w:r w:rsidRPr="00CA2C45">
              <w:rPr>
                <w:sz w:val="20"/>
              </w:rPr>
              <w:t>Copyright</w:t>
            </w:r>
            <w:r w:rsidR="00AE3298" w:rsidRPr="00CA2C45">
              <w:rPr>
                <w:sz w:val="20"/>
              </w:rPr>
              <w:t xml:space="preserve"> </w:t>
            </w:r>
            <w:r w:rsidRPr="00CA2C45">
              <w:rPr>
                <w:sz w:val="20"/>
              </w:rPr>
              <w:t xml:space="preserve"> </w:t>
            </w:r>
            <w:r w:rsidR="00AE3298" w:rsidRPr="00CA2C45">
              <w:rPr>
                <w:sz w:val="20"/>
              </w:rPr>
              <w:t xml:space="preserve">The State of Victoria Department of Environment, Land, Water and Planning </w:t>
            </w:r>
            <w:r w:rsidR="00D14E24" w:rsidRPr="00CA2C45">
              <w:rPr>
                <w:sz w:val="20"/>
              </w:rPr>
              <w:t>2016</w:t>
            </w:r>
            <w:bookmarkStart w:id="0" w:name="_CreativeCommonsMarker"/>
            <w:bookmarkEnd w:id="0"/>
          </w:p>
          <w:p w14:paraId="654E8B68" w14:textId="77777777" w:rsidR="00CA2C45" w:rsidRPr="00CA2C45" w:rsidRDefault="00CA2C45" w:rsidP="00D55628">
            <w:pPr>
              <w:pStyle w:val="xDisclaimertext3"/>
              <w:rPr>
                <w:sz w:val="20"/>
              </w:rPr>
            </w:pPr>
          </w:p>
          <w:p w14:paraId="19517CDC" w14:textId="77777777" w:rsidR="00AE3298" w:rsidRPr="00CA2C45" w:rsidRDefault="00AE3298" w:rsidP="00D55628">
            <w:pPr>
              <w:pStyle w:val="xDisclaimertext3"/>
              <w:rPr>
                <w:sz w:val="20"/>
              </w:rPr>
            </w:pPr>
            <w:r w:rsidRPr="00CA2C45">
              <w:rPr>
                <w:sz w:val="20"/>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004D2591" w:rsidRPr="00CA2C45">
                <w:rPr>
                  <w:sz w:val="20"/>
                </w:rPr>
                <w:t>http://creativecommons.org/licenses/by/4.0/</w:t>
              </w:r>
            </w:hyperlink>
            <w:r w:rsidR="004D2591" w:rsidRPr="00CA2C45">
              <w:rPr>
                <w:sz w:val="20"/>
              </w:rPr>
              <w:t xml:space="preserve"> </w:t>
            </w:r>
          </w:p>
          <w:p w14:paraId="662FBA2B" w14:textId="77777777" w:rsidR="000B5C5C" w:rsidRPr="00CA2C45" w:rsidRDefault="000B5C5C" w:rsidP="00D55628">
            <w:pPr>
              <w:pStyle w:val="xDisclaimertext3"/>
              <w:rPr>
                <w:sz w:val="20"/>
              </w:rPr>
            </w:pPr>
          </w:p>
          <w:p w14:paraId="5005F0F1" w14:textId="77777777" w:rsidR="000B5C5C" w:rsidRPr="00CA2C45" w:rsidRDefault="000B5C5C" w:rsidP="00D55628">
            <w:pPr>
              <w:pStyle w:val="xDisclaimertext3"/>
              <w:rPr>
                <w:sz w:val="20"/>
              </w:rPr>
            </w:pPr>
            <w:r w:rsidRPr="00CA2C45">
              <w:rPr>
                <w:sz w:val="20"/>
              </w:rPr>
              <w:t>ISBN 978-1-76047-411-9 (pdf/online)</w:t>
            </w:r>
          </w:p>
          <w:p w14:paraId="0EF927EB" w14:textId="77777777" w:rsidR="00187A24" w:rsidRPr="00CA2C45" w:rsidRDefault="00187A24" w:rsidP="00D55628">
            <w:pPr>
              <w:pStyle w:val="xDisclaimerHeading"/>
              <w:rPr>
                <w:b w:val="0"/>
                <w:sz w:val="20"/>
              </w:rPr>
            </w:pPr>
            <w:r w:rsidRPr="00CA2C45">
              <w:rPr>
                <w:b w:val="0"/>
                <w:sz w:val="20"/>
              </w:rPr>
              <w:t>Disclaimer</w:t>
            </w:r>
          </w:p>
          <w:p w14:paraId="077D1819" w14:textId="77777777" w:rsidR="00187A24" w:rsidRDefault="00187A24" w:rsidP="00D55628">
            <w:pPr>
              <w:pStyle w:val="xDisclaimerText"/>
              <w:rPr>
                <w:sz w:val="20"/>
              </w:rPr>
            </w:pPr>
            <w:r w:rsidRPr="00CA2C45">
              <w:rPr>
                <w:sz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8C31D5" w14:textId="77777777" w:rsidR="00CA2C45" w:rsidRDefault="00CA2C45" w:rsidP="00D55628">
            <w:pPr>
              <w:pStyle w:val="xDisclaimerText"/>
              <w:rPr>
                <w:sz w:val="20"/>
              </w:rPr>
            </w:pPr>
          </w:p>
          <w:p w14:paraId="0DFAE11F" w14:textId="77777777" w:rsidR="00CA2C45" w:rsidRPr="00CA2C45" w:rsidRDefault="00CA2C45" w:rsidP="00CA2C45">
            <w:pPr>
              <w:pStyle w:val="xDisclaimerText"/>
              <w:rPr>
                <w:sz w:val="20"/>
              </w:rPr>
            </w:pPr>
            <w:r w:rsidRPr="00CA2C45">
              <w:rPr>
                <w:sz w:val="20"/>
              </w:rPr>
              <w:t>Accessibility</w:t>
            </w:r>
          </w:p>
          <w:p w14:paraId="0660C3F9" w14:textId="6C9B119D" w:rsidR="00CA2C45" w:rsidRPr="00D55628" w:rsidRDefault="00CA2C45" w:rsidP="00CA2C45">
            <w:pPr>
              <w:pStyle w:val="xDisclaimerText"/>
            </w:pPr>
            <w:r w:rsidRPr="00CA2C45">
              <w:rPr>
                <w:sz w:val="20"/>
              </w:rPr>
              <w:t>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www.delwp.vic.gov.au.</w:t>
            </w:r>
          </w:p>
          <w:p w14:paraId="065351FA" w14:textId="5D0662B4" w:rsidR="004D2591" w:rsidRPr="00D55628" w:rsidRDefault="004D2591" w:rsidP="000B5C5C">
            <w:pPr>
              <w:pStyle w:val="xAccessibilityText"/>
            </w:pPr>
            <w:r w:rsidRPr="00D55628">
              <w:t>.</w:t>
            </w:r>
          </w:p>
        </w:tc>
      </w:tr>
    </w:tbl>
    <w:p w14:paraId="57B6B0ED" w14:textId="77777777" w:rsidR="00AB780B" w:rsidRDefault="00AB780B"/>
    <w:p w14:paraId="16AE6218" w14:textId="77777777" w:rsidR="004561E6" w:rsidRDefault="004561E6">
      <w:pPr>
        <w:sectPr w:rsidR="004561E6" w:rsidSect="005E59CF">
          <w:headerReference w:type="even" r:id="rId14"/>
          <w:footerReference w:type="even" r:id="rId15"/>
          <w:headerReference w:type="first" r:id="rId16"/>
          <w:footerReference w:type="first" r:id="rId17"/>
          <w:pgSz w:w="11907" w:h="16840" w:code="9"/>
          <w:pgMar w:top="2268" w:right="1134" w:bottom="1134" w:left="1134" w:header="284" w:footer="284" w:gutter="0"/>
          <w:cols w:space="708"/>
          <w:titlePg/>
          <w:docGrid w:linePitch="360"/>
        </w:sectPr>
      </w:pPr>
    </w:p>
    <w:p w14:paraId="3AF5FF12" w14:textId="77777777" w:rsidR="00004237" w:rsidRPr="00B65DEC" w:rsidRDefault="00FB5D61" w:rsidP="00C4364B">
      <w:pPr>
        <w:pStyle w:val="TOCHeading"/>
        <w:framePr w:wrap="around"/>
        <w:rPr>
          <w:color w:val="201547"/>
        </w:rPr>
      </w:pPr>
      <w:r w:rsidRPr="00B65DEC">
        <w:rPr>
          <w:color w:val="201547"/>
        </w:rPr>
        <w:lastRenderedPageBreak/>
        <w:t>Contents</w:t>
      </w:r>
      <w:bookmarkStart w:id="1" w:name="_TOCMarker"/>
      <w:bookmarkEnd w:id="1"/>
    </w:p>
    <w:p w14:paraId="601323BA" w14:textId="3EF5C945" w:rsidR="008E0DD5" w:rsidRPr="00762F99" w:rsidRDefault="00072A38" w:rsidP="00072A38">
      <w:pPr>
        <w:pStyle w:val="TOC1"/>
        <w:ind w:left="426" w:hanging="426"/>
        <w:rPr>
          <w:rFonts w:eastAsiaTheme="minorEastAsia" w:cstheme="minorBidi"/>
          <w:b w:val="0"/>
          <w:color w:val="363534" w:themeColor="text1"/>
          <w:sz w:val="22"/>
          <w:szCs w:val="22"/>
        </w:rPr>
      </w:pPr>
      <w:r>
        <w:rPr>
          <w:color w:val="auto"/>
        </w:rPr>
        <w:tab/>
      </w:r>
      <w:r w:rsidR="001F5D92" w:rsidRPr="00D14D7E">
        <w:rPr>
          <w:color w:val="auto"/>
        </w:rPr>
        <w:fldChar w:fldCharType="begin"/>
      </w:r>
      <w:r w:rsidR="001F5D92" w:rsidRPr="001A701E">
        <w:rPr>
          <w:color w:val="auto"/>
        </w:rPr>
        <w:instrText xml:space="preserve"> TOC \o "1-</w:instrText>
      </w:r>
      <w:r w:rsidR="00BE0BEA" w:rsidRPr="001A701E">
        <w:rPr>
          <w:color w:val="auto"/>
        </w:rPr>
        <w:instrText>3</w:instrText>
      </w:r>
      <w:r w:rsidR="001F5D92" w:rsidRPr="001A701E">
        <w:rPr>
          <w:color w:val="auto"/>
        </w:rPr>
        <w:instrText xml:space="preserve">" \h \z \t "Heading 8,8,Section Heading,5" </w:instrText>
      </w:r>
      <w:r w:rsidR="001F5D92" w:rsidRPr="00D14D7E">
        <w:rPr>
          <w:color w:val="auto"/>
        </w:rPr>
        <w:fldChar w:fldCharType="separate"/>
      </w:r>
      <w:hyperlink w:anchor="_Toc473558964" w:history="1">
        <w:r w:rsidR="008E0DD5" w:rsidRPr="00762F99">
          <w:rPr>
            <w:rStyle w:val="Hyperlink"/>
            <w:color w:val="363534" w:themeColor="text1"/>
          </w:rPr>
          <w:t>Summary of findings</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_Toc473558964 \h </w:instrText>
        </w:r>
        <w:r w:rsidR="008E0DD5" w:rsidRPr="00762F99">
          <w:rPr>
            <w:webHidden/>
            <w:color w:val="363534" w:themeColor="text1"/>
          </w:rPr>
        </w:r>
        <w:r w:rsidR="008E0DD5" w:rsidRPr="00762F99">
          <w:rPr>
            <w:webHidden/>
            <w:color w:val="363534" w:themeColor="text1"/>
          </w:rPr>
          <w:fldChar w:fldCharType="separate"/>
        </w:r>
        <w:r w:rsidR="00631450">
          <w:rPr>
            <w:webHidden/>
            <w:color w:val="363534" w:themeColor="text1"/>
          </w:rPr>
          <w:t>2</w:t>
        </w:r>
        <w:r w:rsidR="008E0DD5" w:rsidRPr="00762F99">
          <w:rPr>
            <w:webHidden/>
            <w:color w:val="363534" w:themeColor="text1"/>
          </w:rPr>
          <w:fldChar w:fldCharType="end"/>
        </w:r>
      </w:hyperlink>
    </w:p>
    <w:p w14:paraId="594E8C0F" w14:textId="0FB7BEBB" w:rsidR="008E0DD5" w:rsidRPr="00762F99" w:rsidRDefault="00AF2361" w:rsidP="00072A38">
      <w:pPr>
        <w:pStyle w:val="TOC1"/>
        <w:ind w:left="426" w:hanging="426"/>
        <w:rPr>
          <w:rFonts w:eastAsiaTheme="minorEastAsia" w:cstheme="minorBidi"/>
          <w:b w:val="0"/>
          <w:color w:val="363534" w:themeColor="text1"/>
          <w:sz w:val="22"/>
          <w:szCs w:val="22"/>
        </w:rPr>
      </w:pPr>
      <w:hyperlink w:anchor="_Toc473558965" w:history="1">
        <w:r w:rsidR="008E0DD5" w:rsidRPr="00762F99">
          <w:rPr>
            <w:rStyle w:val="Hyperlink"/>
            <w:color w:val="363534" w:themeColor="text1"/>
          </w:rPr>
          <w:t xml:space="preserve">1 </w:t>
        </w:r>
        <w:r w:rsidR="00072A38">
          <w:rPr>
            <w:rStyle w:val="Hyperlink"/>
            <w:color w:val="363534" w:themeColor="text1"/>
          </w:rPr>
          <w:tab/>
        </w:r>
        <w:r w:rsidR="008E0DD5" w:rsidRPr="00762F99">
          <w:rPr>
            <w:rStyle w:val="Hyperlink"/>
            <w:color w:val="363534" w:themeColor="text1"/>
          </w:rPr>
          <w:t>Introduction</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_Toc473558965 \h </w:instrText>
        </w:r>
        <w:r w:rsidR="008E0DD5" w:rsidRPr="00762F99">
          <w:rPr>
            <w:webHidden/>
            <w:color w:val="363534" w:themeColor="text1"/>
          </w:rPr>
        </w:r>
        <w:r w:rsidR="008E0DD5" w:rsidRPr="00762F99">
          <w:rPr>
            <w:webHidden/>
            <w:color w:val="363534" w:themeColor="text1"/>
          </w:rPr>
          <w:fldChar w:fldCharType="separate"/>
        </w:r>
        <w:r w:rsidR="00631450">
          <w:rPr>
            <w:webHidden/>
            <w:color w:val="363534" w:themeColor="text1"/>
          </w:rPr>
          <w:t>3</w:t>
        </w:r>
        <w:r w:rsidR="008E0DD5" w:rsidRPr="00762F99">
          <w:rPr>
            <w:webHidden/>
            <w:color w:val="363534" w:themeColor="text1"/>
          </w:rPr>
          <w:fldChar w:fldCharType="end"/>
        </w:r>
      </w:hyperlink>
    </w:p>
    <w:p w14:paraId="355FEE19" w14:textId="64E73D42" w:rsidR="008E0DD5" w:rsidRPr="00762F99" w:rsidRDefault="00AF2361" w:rsidP="00072A38">
      <w:pPr>
        <w:pStyle w:val="TOC1"/>
        <w:ind w:left="426" w:hanging="426"/>
        <w:rPr>
          <w:rFonts w:eastAsiaTheme="minorEastAsia" w:cstheme="minorBidi"/>
          <w:b w:val="0"/>
          <w:color w:val="363534" w:themeColor="text1"/>
          <w:sz w:val="22"/>
          <w:szCs w:val="22"/>
        </w:rPr>
      </w:pPr>
      <w:hyperlink w:anchor="_Toc473558966" w:history="1">
        <w:r w:rsidR="008E0DD5" w:rsidRPr="00762F99">
          <w:rPr>
            <w:rStyle w:val="Hyperlink"/>
            <w:color w:val="363534" w:themeColor="text1"/>
          </w:rPr>
          <w:t xml:space="preserve">2 </w:t>
        </w:r>
        <w:r w:rsidR="00072A38">
          <w:rPr>
            <w:rStyle w:val="Hyperlink"/>
            <w:color w:val="363534" w:themeColor="text1"/>
          </w:rPr>
          <w:tab/>
        </w:r>
        <w:r w:rsidR="008E0DD5" w:rsidRPr="00762F99">
          <w:rPr>
            <w:rStyle w:val="Hyperlink"/>
            <w:color w:val="363534" w:themeColor="text1"/>
          </w:rPr>
          <w:t>Major Residential Development</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_Toc473558966 \h </w:instrText>
        </w:r>
        <w:r w:rsidR="008E0DD5" w:rsidRPr="00762F99">
          <w:rPr>
            <w:webHidden/>
            <w:color w:val="363534" w:themeColor="text1"/>
          </w:rPr>
        </w:r>
        <w:r w:rsidR="008E0DD5" w:rsidRPr="00762F99">
          <w:rPr>
            <w:webHidden/>
            <w:color w:val="363534" w:themeColor="text1"/>
          </w:rPr>
          <w:fldChar w:fldCharType="separate"/>
        </w:r>
        <w:r w:rsidR="00631450">
          <w:rPr>
            <w:webHidden/>
            <w:color w:val="363534" w:themeColor="text1"/>
          </w:rPr>
          <w:t>4</w:t>
        </w:r>
        <w:r w:rsidR="008E0DD5" w:rsidRPr="00762F99">
          <w:rPr>
            <w:webHidden/>
            <w:color w:val="363534" w:themeColor="text1"/>
          </w:rPr>
          <w:fldChar w:fldCharType="end"/>
        </w:r>
      </w:hyperlink>
    </w:p>
    <w:p w14:paraId="3C3DF5F8" w14:textId="57691AA6" w:rsidR="008E0DD5" w:rsidRDefault="00AF2361" w:rsidP="00762F99">
      <w:pPr>
        <w:pStyle w:val="TOC2"/>
        <w:ind w:left="709" w:hanging="709"/>
        <w:rPr>
          <w:rFonts w:eastAsiaTheme="minorEastAsia" w:cstheme="minorBidi"/>
          <w:b w:val="0"/>
          <w:color w:val="auto"/>
          <w:sz w:val="22"/>
          <w:szCs w:val="22"/>
        </w:rPr>
      </w:pPr>
      <w:hyperlink w:anchor="_Toc473558967" w:history="1">
        <w:r w:rsidR="008E0DD5" w:rsidRPr="006C18D4">
          <w:rPr>
            <w:rStyle w:val="Hyperlink"/>
          </w:rPr>
          <w:t xml:space="preserve">2.1 </w:t>
        </w:r>
        <w:r w:rsidR="00072A38">
          <w:rPr>
            <w:rStyle w:val="Hyperlink"/>
          </w:rPr>
          <w:tab/>
        </w:r>
        <w:r w:rsidR="008E0DD5" w:rsidRPr="006C18D4">
          <w:rPr>
            <w:rStyle w:val="Hyperlink"/>
          </w:rPr>
          <w:t>The Pipeline Supply of Dwellings in Major Residential Redevelopments</w:t>
        </w:r>
        <w:r w:rsidR="008E0DD5">
          <w:rPr>
            <w:webHidden/>
          </w:rPr>
          <w:tab/>
        </w:r>
        <w:r w:rsidR="008E0DD5">
          <w:rPr>
            <w:webHidden/>
          </w:rPr>
          <w:fldChar w:fldCharType="begin"/>
        </w:r>
        <w:r w:rsidR="008E0DD5">
          <w:rPr>
            <w:webHidden/>
          </w:rPr>
          <w:instrText xml:space="preserve"> PAGEREF _Toc473558967 \h </w:instrText>
        </w:r>
        <w:r w:rsidR="008E0DD5">
          <w:rPr>
            <w:webHidden/>
          </w:rPr>
        </w:r>
        <w:r w:rsidR="008E0DD5">
          <w:rPr>
            <w:webHidden/>
          </w:rPr>
          <w:fldChar w:fldCharType="separate"/>
        </w:r>
        <w:r w:rsidR="00631450">
          <w:rPr>
            <w:webHidden/>
          </w:rPr>
          <w:t>4</w:t>
        </w:r>
        <w:r w:rsidR="008E0DD5">
          <w:rPr>
            <w:webHidden/>
          </w:rPr>
          <w:fldChar w:fldCharType="end"/>
        </w:r>
      </w:hyperlink>
    </w:p>
    <w:p w14:paraId="30121079" w14:textId="181410F4" w:rsidR="008E0DD5" w:rsidRDefault="00AF2361" w:rsidP="00762F99">
      <w:pPr>
        <w:pStyle w:val="TOC2"/>
        <w:ind w:left="709" w:hanging="709"/>
        <w:rPr>
          <w:rFonts w:eastAsiaTheme="minorEastAsia" w:cstheme="minorBidi"/>
          <w:b w:val="0"/>
          <w:color w:val="auto"/>
          <w:sz w:val="22"/>
          <w:szCs w:val="22"/>
        </w:rPr>
      </w:pPr>
      <w:hyperlink w:anchor="_Toc473558968" w:history="1">
        <w:r w:rsidR="008E0DD5" w:rsidRPr="006C18D4">
          <w:rPr>
            <w:rStyle w:val="Hyperlink"/>
          </w:rPr>
          <w:t>2.2</w:t>
        </w:r>
        <w:r w:rsidR="00072A38">
          <w:rPr>
            <w:rStyle w:val="Hyperlink"/>
          </w:rPr>
          <w:tab/>
        </w:r>
        <w:r w:rsidR="008E0DD5" w:rsidRPr="006C18D4">
          <w:rPr>
            <w:rStyle w:val="Hyperlink"/>
          </w:rPr>
          <w:t>Major Residential Redevelopment Pipeline by Region</w:t>
        </w:r>
        <w:r w:rsidR="008E0DD5">
          <w:rPr>
            <w:webHidden/>
          </w:rPr>
          <w:tab/>
        </w:r>
        <w:r w:rsidR="008E0DD5">
          <w:rPr>
            <w:webHidden/>
          </w:rPr>
          <w:fldChar w:fldCharType="begin"/>
        </w:r>
        <w:r w:rsidR="008E0DD5">
          <w:rPr>
            <w:webHidden/>
          </w:rPr>
          <w:instrText xml:space="preserve"> PAGEREF _Toc473558968 \h </w:instrText>
        </w:r>
        <w:r w:rsidR="008E0DD5">
          <w:rPr>
            <w:webHidden/>
          </w:rPr>
        </w:r>
        <w:r w:rsidR="008E0DD5">
          <w:rPr>
            <w:webHidden/>
          </w:rPr>
          <w:fldChar w:fldCharType="separate"/>
        </w:r>
        <w:r w:rsidR="00631450">
          <w:rPr>
            <w:webHidden/>
          </w:rPr>
          <w:t>5</w:t>
        </w:r>
        <w:r w:rsidR="008E0DD5">
          <w:rPr>
            <w:webHidden/>
          </w:rPr>
          <w:fldChar w:fldCharType="end"/>
        </w:r>
      </w:hyperlink>
    </w:p>
    <w:p w14:paraId="400EC295" w14:textId="6E0F905E" w:rsidR="008E0DD5" w:rsidRDefault="00AF2361" w:rsidP="00762F99">
      <w:pPr>
        <w:pStyle w:val="TOC2"/>
        <w:ind w:left="709" w:hanging="709"/>
        <w:rPr>
          <w:rFonts w:eastAsiaTheme="minorEastAsia" w:cstheme="minorBidi"/>
          <w:b w:val="0"/>
          <w:color w:val="auto"/>
          <w:sz w:val="22"/>
          <w:szCs w:val="22"/>
        </w:rPr>
      </w:pPr>
      <w:hyperlink w:anchor="_Toc473558969" w:history="1">
        <w:r w:rsidR="008E0DD5" w:rsidRPr="006C18D4">
          <w:rPr>
            <w:rStyle w:val="Hyperlink"/>
          </w:rPr>
          <w:t xml:space="preserve">2.3 </w:t>
        </w:r>
        <w:r w:rsidR="00072A38">
          <w:rPr>
            <w:rStyle w:val="Hyperlink"/>
          </w:rPr>
          <w:tab/>
        </w:r>
        <w:r w:rsidR="008E0DD5" w:rsidRPr="006C18D4">
          <w:rPr>
            <w:rStyle w:val="Hyperlink"/>
          </w:rPr>
          <w:t>Major Residential Redevelopments in Activity Centres</w:t>
        </w:r>
        <w:r w:rsidR="008E0DD5">
          <w:rPr>
            <w:webHidden/>
          </w:rPr>
          <w:tab/>
        </w:r>
        <w:r w:rsidR="008E0DD5">
          <w:rPr>
            <w:webHidden/>
          </w:rPr>
          <w:fldChar w:fldCharType="begin"/>
        </w:r>
        <w:r w:rsidR="008E0DD5">
          <w:rPr>
            <w:webHidden/>
          </w:rPr>
          <w:instrText xml:space="preserve"> PAGEREF _Toc473558969 \h </w:instrText>
        </w:r>
        <w:r w:rsidR="008E0DD5">
          <w:rPr>
            <w:webHidden/>
          </w:rPr>
        </w:r>
        <w:r w:rsidR="008E0DD5">
          <w:rPr>
            <w:webHidden/>
          </w:rPr>
          <w:fldChar w:fldCharType="separate"/>
        </w:r>
        <w:r w:rsidR="00631450">
          <w:rPr>
            <w:webHidden/>
          </w:rPr>
          <w:t>7</w:t>
        </w:r>
        <w:r w:rsidR="008E0DD5">
          <w:rPr>
            <w:webHidden/>
          </w:rPr>
          <w:fldChar w:fldCharType="end"/>
        </w:r>
      </w:hyperlink>
    </w:p>
    <w:p w14:paraId="114B92B1" w14:textId="65B17524" w:rsidR="008E0DD5" w:rsidRPr="00762F99" w:rsidRDefault="00AF2361" w:rsidP="00072A38">
      <w:pPr>
        <w:pStyle w:val="TOC1"/>
        <w:ind w:left="426" w:hanging="426"/>
        <w:rPr>
          <w:rFonts w:eastAsiaTheme="minorEastAsia" w:cstheme="minorBidi"/>
          <w:b w:val="0"/>
          <w:color w:val="363534" w:themeColor="text1"/>
          <w:sz w:val="22"/>
          <w:szCs w:val="22"/>
        </w:rPr>
      </w:pPr>
      <w:hyperlink w:anchor="_Toc473558970" w:history="1">
        <w:r w:rsidR="008E0DD5" w:rsidRPr="00762F99">
          <w:rPr>
            <w:rStyle w:val="Hyperlink"/>
            <w:color w:val="363534" w:themeColor="text1"/>
          </w:rPr>
          <w:t xml:space="preserve">3 </w:t>
        </w:r>
        <w:r w:rsidR="00072A38">
          <w:rPr>
            <w:rStyle w:val="Hyperlink"/>
            <w:color w:val="363534" w:themeColor="text1"/>
          </w:rPr>
          <w:tab/>
        </w:r>
        <w:r w:rsidR="008E0DD5" w:rsidRPr="00762F99">
          <w:rPr>
            <w:rStyle w:val="Hyperlink"/>
            <w:color w:val="363534" w:themeColor="text1"/>
          </w:rPr>
          <w:t>Broadhectare Residential Development</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_Toc473558970 \h </w:instrText>
        </w:r>
        <w:r w:rsidR="008E0DD5" w:rsidRPr="00762F99">
          <w:rPr>
            <w:webHidden/>
            <w:color w:val="363534" w:themeColor="text1"/>
          </w:rPr>
        </w:r>
        <w:r w:rsidR="008E0DD5" w:rsidRPr="00762F99">
          <w:rPr>
            <w:webHidden/>
            <w:color w:val="363534" w:themeColor="text1"/>
          </w:rPr>
          <w:fldChar w:fldCharType="separate"/>
        </w:r>
        <w:r w:rsidR="00631450">
          <w:rPr>
            <w:webHidden/>
            <w:color w:val="363534" w:themeColor="text1"/>
          </w:rPr>
          <w:t>8</w:t>
        </w:r>
        <w:r w:rsidR="008E0DD5" w:rsidRPr="00762F99">
          <w:rPr>
            <w:webHidden/>
            <w:color w:val="363534" w:themeColor="text1"/>
          </w:rPr>
          <w:fldChar w:fldCharType="end"/>
        </w:r>
      </w:hyperlink>
    </w:p>
    <w:p w14:paraId="1B474B7F" w14:textId="69B5E188" w:rsidR="008E0DD5" w:rsidRDefault="00AF2361" w:rsidP="00762F99">
      <w:pPr>
        <w:pStyle w:val="TOC2"/>
        <w:ind w:left="709" w:hanging="709"/>
        <w:rPr>
          <w:rFonts w:eastAsiaTheme="minorEastAsia" w:cstheme="minorBidi"/>
          <w:b w:val="0"/>
          <w:color w:val="auto"/>
          <w:sz w:val="22"/>
          <w:szCs w:val="22"/>
        </w:rPr>
      </w:pPr>
      <w:hyperlink w:anchor="_Toc473558971" w:history="1">
        <w:r w:rsidR="008E0DD5" w:rsidRPr="006C18D4">
          <w:rPr>
            <w:rStyle w:val="Hyperlink"/>
          </w:rPr>
          <w:t xml:space="preserve">3.1 </w:t>
        </w:r>
        <w:r w:rsidR="00072A38">
          <w:rPr>
            <w:rStyle w:val="Hyperlink"/>
          </w:rPr>
          <w:tab/>
        </w:r>
        <w:r w:rsidR="008E0DD5" w:rsidRPr="006C18D4">
          <w:rPr>
            <w:rStyle w:val="Hyperlink"/>
          </w:rPr>
          <w:t>Supply of Development Ready Broadhectare Lots</w:t>
        </w:r>
        <w:r w:rsidR="008E0DD5">
          <w:rPr>
            <w:webHidden/>
          </w:rPr>
          <w:tab/>
        </w:r>
        <w:r w:rsidR="008E0DD5">
          <w:rPr>
            <w:webHidden/>
          </w:rPr>
          <w:fldChar w:fldCharType="begin"/>
        </w:r>
        <w:r w:rsidR="008E0DD5">
          <w:rPr>
            <w:webHidden/>
          </w:rPr>
          <w:instrText xml:space="preserve"> PAGEREF _Toc473558971 \h </w:instrText>
        </w:r>
        <w:r w:rsidR="008E0DD5">
          <w:rPr>
            <w:webHidden/>
          </w:rPr>
        </w:r>
        <w:r w:rsidR="008E0DD5">
          <w:rPr>
            <w:webHidden/>
          </w:rPr>
          <w:fldChar w:fldCharType="separate"/>
        </w:r>
        <w:r w:rsidR="00631450">
          <w:rPr>
            <w:webHidden/>
          </w:rPr>
          <w:t>8</w:t>
        </w:r>
        <w:r w:rsidR="008E0DD5">
          <w:rPr>
            <w:webHidden/>
          </w:rPr>
          <w:fldChar w:fldCharType="end"/>
        </w:r>
      </w:hyperlink>
    </w:p>
    <w:p w14:paraId="19280DA6" w14:textId="039527C7" w:rsidR="008E0DD5" w:rsidRDefault="00AF2361" w:rsidP="00762F99">
      <w:pPr>
        <w:pStyle w:val="TOC2"/>
        <w:ind w:left="709" w:hanging="709"/>
        <w:rPr>
          <w:rFonts w:eastAsiaTheme="minorEastAsia" w:cstheme="minorBidi"/>
          <w:b w:val="0"/>
          <w:color w:val="auto"/>
          <w:sz w:val="22"/>
          <w:szCs w:val="22"/>
        </w:rPr>
      </w:pPr>
      <w:hyperlink w:anchor="_Toc473558972" w:history="1">
        <w:r w:rsidR="008E0DD5" w:rsidRPr="006C18D4">
          <w:rPr>
            <w:rStyle w:val="Hyperlink"/>
          </w:rPr>
          <w:t xml:space="preserve">3.2 </w:t>
        </w:r>
        <w:r w:rsidR="00072A38">
          <w:rPr>
            <w:rStyle w:val="Hyperlink"/>
          </w:rPr>
          <w:tab/>
        </w:r>
        <w:r w:rsidR="008E0DD5" w:rsidRPr="006C18D4">
          <w:rPr>
            <w:rStyle w:val="Hyperlink"/>
          </w:rPr>
          <w:t>Total Supply of Broadhectare Lots for Metropolitan Melbourne</w:t>
        </w:r>
        <w:r w:rsidR="008E0DD5">
          <w:rPr>
            <w:webHidden/>
          </w:rPr>
          <w:tab/>
        </w:r>
        <w:r w:rsidR="008E0DD5">
          <w:rPr>
            <w:webHidden/>
          </w:rPr>
          <w:fldChar w:fldCharType="begin"/>
        </w:r>
        <w:r w:rsidR="008E0DD5">
          <w:rPr>
            <w:webHidden/>
          </w:rPr>
          <w:instrText xml:space="preserve"> PAGEREF _Toc473558972 \h </w:instrText>
        </w:r>
        <w:r w:rsidR="008E0DD5">
          <w:rPr>
            <w:webHidden/>
          </w:rPr>
        </w:r>
        <w:r w:rsidR="008E0DD5">
          <w:rPr>
            <w:webHidden/>
          </w:rPr>
          <w:fldChar w:fldCharType="separate"/>
        </w:r>
        <w:r w:rsidR="00631450">
          <w:rPr>
            <w:webHidden/>
          </w:rPr>
          <w:t>9</w:t>
        </w:r>
        <w:r w:rsidR="008E0DD5">
          <w:rPr>
            <w:webHidden/>
          </w:rPr>
          <w:fldChar w:fldCharType="end"/>
        </w:r>
      </w:hyperlink>
    </w:p>
    <w:p w14:paraId="30A049DC" w14:textId="0123DF14" w:rsidR="008E0DD5" w:rsidRDefault="00AF2361" w:rsidP="00762F99">
      <w:pPr>
        <w:pStyle w:val="TOC2"/>
        <w:ind w:left="709" w:hanging="709"/>
        <w:rPr>
          <w:rFonts w:eastAsiaTheme="minorEastAsia" w:cstheme="minorBidi"/>
          <w:b w:val="0"/>
          <w:color w:val="auto"/>
          <w:sz w:val="22"/>
          <w:szCs w:val="22"/>
        </w:rPr>
      </w:pPr>
      <w:hyperlink w:anchor="_Toc473558973" w:history="1">
        <w:r w:rsidR="008E0DD5" w:rsidRPr="006C18D4">
          <w:rPr>
            <w:rStyle w:val="Hyperlink"/>
          </w:rPr>
          <w:t xml:space="preserve">3.3 </w:t>
        </w:r>
        <w:r w:rsidR="00072A38">
          <w:rPr>
            <w:rStyle w:val="Hyperlink"/>
          </w:rPr>
          <w:tab/>
        </w:r>
        <w:r w:rsidR="008E0DD5" w:rsidRPr="006C18D4">
          <w:rPr>
            <w:rStyle w:val="Hyperlink"/>
          </w:rPr>
          <w:t>Broadhectare Lot Construction</w:t>
        </w:r>
        <w:r w:rsidR="008E0DD5">
          <w:rPr>
            <w:webHidden/>
          </w:rPr>
          <w:tab/>
        </w:r>
        <w:r w:rsidR="008E0DD5">
          <w:rPr>
            <w:webHidden/>
          </w:rPr>
          <w:fldChar w:fldCharType="begin"/>
        </w:r>
        <w:r w:rsidR="008E0DD5">
          <w:rPr>
            <w:webHidden/>
          </w:rPr>
          <w:instrText xml:space="preserve"> PAGEREF _Toc473558973 \h </w:instrText>
        </w:r>
        <w:r w:rsidR="008E0DD5">
          <w:rPr>
            <w:webHidden/>
          </w:rPr>
        </w:r>
        <w:r w:rsidR="008E0DD5">
          <w:rPr>
            <w:webHidden/>
          </w:rPr>
          <w:fldChar w:fldCharType="separate"/>
        </w:r>
        <w:r w:rsidR="00631450">
          <w:rPr>
            <w:webHidden/>
          </w:rPr>
          <w:t>10</w:t>
        </w:r>
        <w:r w:rsidR="008E0DD5">
          <w:rPr>
            <w:webHidden/>
          </w:rPr>
          <w:fldChar w:fldCharType="end"/>
        </w:r>
      </w:hyperlink>
    </w:p>
    <w:p w14:paraId="103E4B60" w14:textId="5973F557" w:rsidR="008E0DD5" w:rsidRDefault="00AF2361" w:rsidP="00762F99">
      <w:pPr>
        <w:pStyle w:val="TOC2"/>
        <w:ind w:left="709" w:hanging="709"/>
        <w:rPr>
          <w:rFonts w:eastAsiaTheme="minorEastAsia" w:cstheme="minorBidi"/>
          <w:b w:val="0"/>
          <w:color w:val="auto"/>
          <w:sz w:val="22"/>
          <w:szCs w:val="22"/>
        </w:rPr>
      </w:pPr>
      <w:hyperlink w:anchor="_Toc473558974" w:history="1">
        <w:r w:rsidR="008E0DD5" w:rsidRPr="006C18D4">
          <w:rPr>
            <w:rStyle w:val="Hyperlink"/>
          </w:rPr>
          <w:t xml:space="preserve">3.4 </w:t>
        </w:r>
        <w:r w:rsidR="00072A38">
          <w:rPr>
            <w:rStyle w:val="Hyperlink"/>
          </w:rPr>
          <w:tab/>
        </w:r>
        <w:r w:rsidR="008E0DD5" w:rsidRPr="006C18D4">
          <w:rPr>
            <w:rStyle w:val="Hyperlink"/>
          </w:rPr>
          <w:t>Lot Size Profile</w:t>
        </w:r>
        <w:r w:rsidR="008E0DD5">
          <w:rPr>
            <w:webHidden/>
          </w:rPr>
          <w:tab/>
        </w:r>
        <w:r w:rsidR="008E0DD5">
          <w:rPr>
            <w:webHidden/>
          </w:rPr>
          <w:fldChar w:fldCharType="begin"/>
        </w:r>
        <w:r w:rsidR="008E0DD5">
          <w:rPr>
            <w:webHidden/>
          </w:rPr>
          <w:instrText xml:space="preserve"> PAGEREF _Toc473558974 \h </w:instrText>
        </w:r>
        <w:r w:rsidR="008E0DD5">
          <w:rPr>
            <w:webHidden/>
          </w:rPr>
        </w:r>
        <w:r w:rsidR="008E0DD5">
          <w:rPr>
            <w:webHidden/>
          </w:rPr>
          <w:fldChar w:fldCharType="separate"/>
        </w:r>
        <w:r w:rsidR="00631450">
          <w:rPr>
            <w:webHidden/>
          </w:rPr>
          <w:t>12</w:t>
        </w:r>
        <w:r w:rsidR="008E0DD5">
          <w:rPr>
            <w:webHidden/>
          </w:rPr>
          <w:fldChar w:fldCharType="end"/>
        </w:r>
      </w:hyperlink>
    </w:p>
    <w:p w14:paraId="40DE5C2B" w14:textId="3BAE019D" w:rsidR="008E0DD5" w:rsidRPr="00762F99" w:rsidRDefault="00AF2361" w:rsidP="00072A38">
      <w:pPr>
        <w:pStyle w:val="TOC1"/>
        <w:ind w:left="426" w:hanging="426"/>
        <w:rPr>
          <w:rFonts w:eastAsiaTheme="minorEastAsia" w:cstheme="minorBidi"/>
          <w:b w:val="0"/>
          <w:color w:val="363534" w:themeColor="text1"/>
          <w:sz w:val="22"/>
          <w:szCs w:val="22"/>
        </w:rPr>
      </w:pPr>
      <w:hyperlink w:anchor="_Toc473558975" w:history="1">
        <w:r w:rsidR="008E0DD5" w:rsidRPr="00762F99">
          <w:rPr>
            <w:rStyle w:val="Hyperlink"/>
            <w:color w:val="363534" w:themeColor="text1"/>
          </w:rPr>
          <w:t xml:space="preserve">4 </w:t>
        </w:r>
        <w:r w:rsidR="00072A38">
          <w:rPr>
            <w:rStyle w:val="Hyperlink"/>
            <w:color w:val="363534" w:themeColor="text1"/>
          </w:rPr>
          <w:tab/>
        </w:r>
        <w:r w:rsidR="008E0DD5" w:rsidRPr="00762F99">
          <w:rPr>
            <w:rStyle w:val="Hyperlink"/>
            <w:color w:val="363534" w:themeColor="text1"/>
          </w:rPr>
          <w:t>Industrial Land</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_Toc473558975 \h </w:instrText>
        </w:r>
        <w:r w:rsidR="008E0DD5" w:rsidRPr="00762F99">
          <w:rPr>
            <w:webHidden/>
            <w:color w:val="363534" w:themeColor="text1"/>
          </w:rPr>
        </w:r>
        <w:r w:rsidR="008E0DD5" w:rsidRPr="00762F99">
          <w:rPr>
            <w:webHidden/>
            <w:color w:val="363534" w:themeColor="text1"/>
          </w:rPr>
          <w:fldChar w:fldCharType="separate"/>
        </w:r>
        <w:r w:rsidR="00631450">
          <w:rPr>
            <w:webHidden/>
            <w:color w:val="363534" w:themeColor="text1"/>
          </w:rPr>
          <w:t>13</w:t>
        </w:r>
        <w:r w:rsidR="008E0DD5" w:rsidRPr="00762F99">
          <w:rPr>
            <w:webHidden/>
            <w:color w:val="363534" w:themeColor="text1"/>
          </w:rPr>
          <w:fldChar w:fldCharType="end"/>
        </w:r>
      </w:hyperlink>
    </w:p>
    <w:p w14:paraId="2D82C39A" w14:textId="22BABF95" w:rsidR="008E0DD5" w:rsidRDefault="00AF2361" w:rsidP="00762F99">
      <w:pPr>
        <w:pStyle w:val="TOC2"/>
        <w:ind w:left="709" w:hanging="709"/>
        <w:rPr>
          <w:rFonts w:eastAsiaTheme="minorEastAsia" w:cstheme="minorBidi"/>
          <w:b w:val="0"/>
          <w:color w:val="auto"/>
          <w:sz w:val="22"/>
          <w:szCs w:val="22"/>
        </w:rPr>
      </w:pPr>
      <w:hyperlink w:anchor="_Toc473558976" w:history="1">
        <w:r w:rsidR="008E0DD5" w:rsidRPr="006C18D4">
          <w:rPr>
            <w:rStyle w:val="Hyperlink"/>
          </w:rPr>
          <w:t xml:space="preserve">4.1 </w:t>
        </w:r>
        <w:r w:rsidR="00072A38">
          <w:rPr>
            <w:rStyle w:val="Hyperlink"/>
          </w:rPr>
          <w:tab/>
        </w:r>
        <w:r w:rsidR="008E0DD5" w:rsidRPr="006C18D4">
          <w:rPr>
            <w:rStyle w:val="Hyperlink"/>
          </w:rPr>
          <w:t>Net Change in Industrial Zoned Land</w:t>
        </w:r>
        <w:r w:rsidR="008E0DD5">
          <w:rPr>
            <w:webHidden/>
          </w:rPr>
          <w:tab/>
        </w:r>
        <w:r w:rsidR="008E0DD5">
          <w:rPr>
            <w:webHidden/>
          </w:rPr>
          <w:fldChar w:fldCharType="begin"/>
        </w:r>
        <w:r w:rsidR="008E0DD5">
          <w:rPr>
            <w:webHidden/>
          </w:rPr>
          <w:instrText xml:space="preserve"> PAGEREF _Toc473558976 \h </w:instrText>
        </w:r>
        <w:r w:rsidR="008E0DD5">
          <w:rPr>
            <w:webHidden/>
          </w:rPr>
        </w:r>
        <w:r w:rsidR="008E0DD5">
          <w:rPr>
            <w:webHidden/>
          </w:rPr>
          <w:fldChar w:fldCharType="separate"/>
        </w:r>
        <w:r w:rsidR="00631450">
          <w:rPr>
            <w:webHidden/>
          </w:rPr>
          <w:t>15</w:t>
        </w:r>
        <w:r w:rsidR="008E0DD5">
          <w:rPr>
            <w:webHidden/>
          </w:rPr>
          <w:fldChar w:fldCharType="end"/>
        </w:r>
      </w:hyperlink>
    </w:p>
    <w:p w14:paraId="0C96A697" w14:textId="712813DE" w:rsidR="008E0DD5" w:rsidRDefault="00AF2361" w:rsidP="00762F99">
      <w:pPr>
        <w:pStyle w:val="TOC2"/>
        <w:ind w:left="709" w:hanging="709"/>
        <w:rPr>
          <w:rFonts w:eastAsiaTheme="minorEastAsia" w:cstheme="minorBidi"/>
          <w:b w:val="0"/>
          <w:color w:val="auto"/>
          <w:sz w:val="22"/>
          <w:szCs w:val="22"/>
        </w:rPr>
      </w:pPr>
      <w:hyperlink w:anchor="_Toc473558977" w:history="1">
        <w:r w:rsidR="008E0DD5" w:rsidRPr="006C18D4">
          <w:rPr>
            <w:rStyle w:val="Hyperlink"/>
          </w:rPr>
          <w:t xml:space="preserve">4.2 </w:t>
        </w:r>
        <w:r w:rsidR="00072A38">
          <w:rPr>
            <w:rStyle w:val="Hyperlink"/>
          </w:rPr>
          <w:tab/>
        </w:r>
        <w:r w:rsidR="008E0DD5" w:rsidRPr="006C18D4">
          <w:rPr>
            <w:rStyle w:val="Hyperlink"/>
          </w:rPr>
          <w:t>Rezoning of Industrial Land for Other Uses</w:t>
        </w:r>
        <w:r w:rsidR="008E0DD5">
          <w:rPr>
            <w:webHidden/>
          </w:rPr>
          <w:tab/>
        </w:r>
        <w:r w:rsidR="008E0DD5">
          <w:rPr>
            <w:webHidden/>
          </w:rPr>
          <w:fldChar w:fldCharType="begin"/>
        </w:r>
        <w:r w:rsidR="008E0DD5">
          <w:rPr>
            <w:webHidden/>
          </w:rPr>
          <w:instrText xml:space="preserve"> PAGEREF _Toc473558977 \h </w:instrText>
        </w:r>
        <w:r w:rsidR="008E0DD5">
          <w:rPr>
            <w:webHidden/>
          </w:rPr>
        </w:r>
        <w:r w:rsidR="008E0DD5">
          <w:rPr>
            <w:webHidden/>
          </w:rPr>
          <w:fldChar w:fldCharType="separate"/>
        </w:r>
        <w:r w:rsidR="00631450">
          <w:rPr>
            <w:webHidden/>
          </w:rPr>
          <w:t>16</w:t>
        </w:r>
        <w:r w:rsidR="008E0DD5">
          <w:rPr>
            <w:webHidden/>
          </w:rPr>
          <w:fldChar w:fldCharType="end"/>
        </w:r>
      </w:hyperlink>
    </w:p>
    <w:p w14:paraId="0A81B8D0" w14:textId="46AD5A68" w:rsidR="008E0DD5" w:rsidRDefault="00AF2361" w:rsidP="00762F99">
      <w:pPr>
        <w:pStyle w:val="TOC2"/>
        <w:ind w:left="709" w:hanging="709"/>
        <w:rPr>
          <w:rFonts w:eastAsiaTheme="minorEastAsia" w:cstheme="minorBidi"/>
          <w:b w:val="0"/>
          <w:color w:val="auto"/>
          <w:sz w:val="22"/>
          <w:szCs w:val="22"/>
        </w:rPr>
      </w:pPr>
      <w:hyperlink w:anchor="_Toc473558978" w:history="1">
        <w:r w:rsidR="008E0DD5" w:rsidRPr="006C18D4">
          <w:rPr>
            <w:rStyle w:val="Hyperlink"/>
          </w:rPr>
          <w:t xml:space="preserve">4.3 </w:t>
        </w:r>
        <w:r w:rsidR="00072A38">
          <w:rPr>
            <w:rStyle w:val="Hyperlink"/>
          </w:rPr>
          <w:tab/>
        </w:r>
        <w:r w:rsidR="008E0DD5" w:rsidRPr="006C18D4">
          <w:rPr>
            <w:rStyle w:val="Hyperlink"/>
          </w:rPr>
          <w:t>Vacant Industrial Land</w:t>
        </w:r>
        <w:r w:rsidR="008E0DD5">
          <w:rPr>
            <w:webHidden/>
          </w:rPr>
          <w:tab/>
        </w:r>
        <w:r w:rsidR="008E0DD5">
          <w:rPr>
            <w:webHidden/>
          </w:rPr>
          <w:fldChar w:fldCharType="begin"/>
        </w:r>
        <w:r w:rsidR="008E0DD5">
          <w:rPr>
            <w:webHidden/>
          </w:rPr>
          <w:instrText xml:space="preserve"> PAGEREF _Toc473558978 \h </w:instrText>
        </w:r>
        <w:r w:rsidR="008E0DD5">
          <w:rPr>
            <w:webHidden/>
          </w:rPr>
        </w:r>
        <w:r w:rsidR="008E0DD5">
          <w:rPr>
            <w:webHidden/>
          </w:rPr>
          <w:fldChar w:fldCharType="separate"/>
        </w:r>
        <w:r w:rsidR="00631450">
          <w:rPr>
            <w:webHidden/>
          </w:rPr>
          <w:t>19</w:t>
        </w:r>
        <w:r w:rsidR="008E0DD5">
          <w:rPr>
            <w:webHidden/>
          </w:rPr>
          <w:fldChar w:fldCharType="end"/>
        </w:r>
      </w:hyperlink>
    </w:p>
    <w:p w14:paraId="2D9BC1C1" w14:textId="10AB39BF" w:rsidR="008E0DD5" w:rsidRDefault="00AF2361" w:rsidP="00762F99">
      <w:pPr>
        <w:pStyle w:val="TOC2"/>
        <w:ind w:left="709" w:hanging="709"/>
        <w:rPr>
          <w:rFonts w:eastAsiaTheme="minorEastAsia" w:cstheme="minorBidi"/>
          <w:b w:val="0"/>
          <w:color w:val="auto"/>
          <w:sz w:val="22"/>
          <w:szCs w:val="22"/>
        </w:rPr>
      </w:pPr>
      <w:hyperlink w:anchor="_Toc473558979" w:history="1">
        <w:r w:rsidR="008E0DD5" w:rsidRPr="006C18D4">
          <w:rPr>
            <w:rStyle w:val="Hyperlink"/>
          </w:rPr>
          <w:t xml:space="preserve">4.4 </w:t>
        </w:r>
        <w:r w:rsidR="00072A38">
          <w:rPr>
            <w:rStyle w:val="Hyperlink"/>
          </w:rPr>
          <w:tab/>
        </w:r>
        <w:r w:rsidR="008E0DD5" w:rsidRPr="006C18D4">
          <w:rPr>
            <w:rStyle w:val="Hyperlink"/>
          </w:rPr>
          <w:t>Net Consumption of Industrial Land</w:t>
        </w:r>
        <w:r w:rsidR="008E0DD5">
          <w:rPr>
            <w:webHidden/>
          </w:rPr>
          <w:tab/>
        </w:r>
        <w:r w:rsidR="008E0DD5">
          <w:rPr>
            <w:webHidden/>
          </w:rPr>
          <w:fldChar w:fldCharType="begin"/>
        </w:r>
        <w:r w:rsidR="008E0DD5">
          <w:rPr>
            <w:webHidden/>
          </w:rPr>
          <w:instrText xml:space="preserve"> PAGEREF _Toc473558979 \h </w:instrText>
        </w:r>
        <w:r w:rsidR="008E0DD5">
          <w:rPr>
            <w:webHidden/>
          </w:rPr>
        </w:r>
        <w:r w:rsidR="008E0DD5">
          <w:rPr>
            <w:webHidden/>
          </w:rPr>
          <w:fldChar w:fldCharType="separate"/>
        </w:r>
        <w:r w:rsidR="00631450">
          <w:rPr>
            <w:webHidden/>
          </w:rPr>
          <w:t>20</w:t>
        </w:r>
        <w:r w:rsidR="008E0DD5">
          <w:rPr>
            <w:webHidden/>
          </w:rPr>
          <w:fldChar w:fldCharType="end"/>
        </w:r>
      </w:hyperlink>
    </w:p>
    <w:p w14:paraId="4B64D9D0" w14:textId="295779B0" w:rsidR="008E0DD5" w:rsidRDefault="00AF2361" w:rsidP="00762F99">
      <w:pPr>
        <w:pStyle w:val="TOC2"/>
        <w:ind w:left="709" w:hanging="709"/>
        <w:rPr>
          <w:rFonts w:eastAsiaTheme="minorEastAsia" w:cstheme="minorBidi"/>
          <w:b w:val="0"/>
          <w:color w:val="auto"/>
          <w:sz w:val="22"/>
          <w:szCs w:val="22"/>
        </w:rPr>
      </w:pPr>
      <w:hyperlink w:anchor="_Toc473558980" w:history="1">
        <w:r w:rsidR="008E0DD5" w:rsidRPr="006C18D4">
          <w:rPr>
            <w:rStyle w:val="Hyperlink"/>
          </w:rPr>
          <w:t xml:space="preserve">4.5 </w:t>
        </w:r>
        <w:r w:rsidR="00072A38">
          <w:rPr>
            <w:rStyle w:val="Hyperlink"/>
          </w:rPr>
          <w:tab/>
        </w:r>
        <w:r w:rsidR="008E0DD5" w:rsidRPr="006C18D4">
          <w:rPr>
            <w:rStyle w:val="Hyperlink"/>
          </w:rPr>
          <w:t>Spatial Distribution of Industrial Land Consumption</w:t>
        </w:r>
        <w:r w:rsidR="008E0DD5">
          <w:rPr>
            <w:webHidden/>
          </w:rPr>
          <w:tab/>
        </w:r>
        <w:r w:rsidR="008E0DD5">
          <w:rPr>
            <w:webHidden/>
          </w:rPr>
          <w:fldChar w:fldCharType="begin"/>
        </w:r>
        <w:r w:rsidR="008E0DD5">
          <w:rPr>
            <w:webHidden/>
          </w:rPr>
          <w:instrText xml:space="preserve"> PAGEREF _Toc473558980 \h </w:instrText>
        </w:r>
        <w:r w:rsidR="008E0DD5">
          <w:rPr>
            <w:webHidden/>
          </w:rPr>
        </w:r>
        <w:r w:rsidR="008E0DD5">
          <w:rPr>
            <w:webHidden/>
          </w:rPr>
          <w:fldChar w:fldCharType="separate"/>
        </w:r>
        <w:r w:rsidR="00631450">
          <w:rPr>
            <w:webHidden/>
          </w:rPr>
          <w:t>20</w:t>
        </w:r>
        <w:r w:rsidR="008E0DD5">
          <w:rPr>
            <w:webHidden/>
          </w:rPr>
          <w:fldChar w:fldCharType="end"/>
        </w:r>
      </w:hyperlink>
    </w:p>
    <w:p w14:paraId="7A8F64D2" w14:textId="77777777" w:rsidR="00072A38" w:rsidRDefault="00072A38">
      <w:pPr>
        <w:pStyle w:val="TOC2"/>
        <w:tabs>
          <w:tab w:val="left" w:pos="1760"/>
        </w:tabs>
        <w:rPr>
          <w:rStyle w:val="Hyperlink"/>
        </w:rPr>
      </w:pPr>
    </w:p>
    <w:p w14:paraId="7704CC16" w14:textId="77777777" w:rsidR="008E0DD5" w:rsidRDefault="00AF2361" w:rsidP="00762F99">
      <w:pPr>
        <w:pStyle w:val="TOC2"/>
        <w:tabs>
          <w:tab w:val="left" w:pos="1760"/>
        </w:tabs>
        <w:ind w:left="1418" w:hanging="1418"/>
        <w:rPr>
          <w:rFonts w:eastAsiaTheme="minorEastAsia" w:cstheme="minorBidi"/>
          <w:b w:val="0"/>
          <w:color w:val="auto"/>
          <w:sz w:val="22"/>
          <w:szCs w:val="22"/>
        </w:rPr>
      </w:pPr>
      <w:hyperlink w:anchor="_Toc473558981" w:history="1">
        <w:r w:rsidR="008E0DD5" w:rsidRPr="006C18D4">
          <w:rPr>
            <w:rStyle w:val="Hyperlink"/>
          </w:rPr>
          <w:t>APPENDIX 1:</w:t>
        </w:r>
        <w:r w:rsidR="008E0DD5">
          <w:rPr>
            <w:rFonts w:eastAsiaTheme="minorEastAsia" w:cstheme="minorBidi"/>
            <w:b w:val="0"/>
            <w:color w:val="auto"/>
            <w:sz w:val="22"/>
            <w:szCs w:val="22"/>
          </w:rPr>
          <w:tab/>
        </w:r>
        <w:r w:rsidR="008E0DD5" w:rsidRPr="006C18D4">
          <w:rPr>
            <w:rStyle w:val="Hyperlink"/>
          </w:rPr>
          <w:t>MAJOR RESIDENTIAL REDEVELOPMENT</w:t>
        </w:r>
        <w:r w:rsidR="008E0DD5">
          <w:rPr>
            <w:webHidden/>
          </w:rPr>
          <w:tab/>
        </w:r>
        <w:r w:rsidR="008E0DD5">
          <w:rPr>
            <w:webHidden/>
          </w:rPr>
          <w:fldChar w:fldCharType="begin"/>
        </w:r>
        <w:r w:rsidR="008E0DD5">
          <w:rPr>
            <w:webHidden/>
          </w:rPr>
          <w:instrText xml:space="preserve"> PAGEREF _Toc473558981 \h </w:instrText>
        </w:r>
        <w:r w:rsidR="008E0DD5">
          <w:rPr>
            <w:webHidden/>
          </w:rPr>
        </w:r>
        <w:r w:rsidR="008E0DD5">
          <w:rPr>
            <w:webHidden/>
          </w:rPr>
          <w:fldChar w:fldCharType="separate"/>
        </w:r>
        <w:r w:rsidR="00631450">
          <w:rPr>
            <w:webHidden/>
          </w:rPr>
          <w:t>22</w:t>
        </w:r>
        <w:r w:rsidR="008E0DD5">
          <w:rPr>
            <w:webHidden/>
          </w:rPr>
          <w:fldChar w:fldCharType="end"/>
        </w:r>
      </w:hyperlink>
    </w:p>
    <w:p w14:paraId="0E166BCB" w14:textId="77777777" w:rsidR="008E0DD5" w:rsidRDefault="00AF2361" w:rsidP="00762F99">
      <w:pPr>
        <w:pStyle w:val="TOC2"/>
        <w:tabs>
          <w:tab w:val="left" w:pos="1760"/>
        </w:tabs>
        <w:ind w:left="1418" w:hanging="1418"/>
        <w:rPr>
          <w:rFonts w:eastAsiaTheme="minorEastAsia" w:cstheme="minorBidi"/>
          <w:b w:val="0"/>
          <w:color w:val="auto"/>
          <w:sz w:val="22"/>
          <w:szCs w:val="22"/>
        </w:rPr>
      </w:pPr>
      <w:hyperlink w:anchor="_Toc473558982" w:history="1">
        <w:r w:rsidR="008E0DD5" w:rsidRPr="006C18D4">
          <w:rPr>
            <w:rStyle w:val="Hyperlink"/>
          </w:rPr>
          <w:t>APPENDIX 2:</w:t>
        </w:r>
        <w:r w:rsidR="008E0DD5">
          <w:rPr>
            <w:rFonts w:eastAsiaTheme="minorEastAsia" w:cstheme="minorBidi"/>
            <w:b w:val="0"/>
            <w:color w:val="auto"/>
            <w:sz w:val="22"/>
            <w:szCs w:val="22"/>
          </w:rPr>
          <w:tab/>
        </w:r>
        <w:r w:rsidR="008E0DD5" w:rsidRPr="006C18D4">
          <w:rPr>
            <w:rStyle w:val="Hyperlink"/>
          </w:rPr>
          <w:t>BROADHECTARE LOT STATUS</w:t>
        </w:r>
        <w:r w:rsidR="008E0DD5">
          <w:rPr>
            <w:webHidden/>
          </w:rPr>
          <w:tab/>
        </w:r>
        <w:r w:rsidR="008E0DD5">
          <w:rPr>
            <w:webHidden/>
          </w:rPr>
          <w:fldChar w:fldCharType="begin"/>
        </w:r>
        <w:r w:rsidR="008E0DD5">
          <w:rPr>
            <w:webHidden/>
          </w:rPr>
          <w:instrText xml:space="preserve"> PAGEREF _Toc473558982 \h </w:instrText>
        </w:r>
        <w:r w:rsidR="008E0DD5">
          <w:rPr>
            <w:webHidden/>
          </w:rPr>
        </w:r>
        <w:r w:rsidR="008E0DD5">
          <w:rPr>
            <w:webHidden/>
          </w:rPr>
          <w:fldChar w:fldCharType="separate"/>
        </w:r>
        <w:r w:rsidR="00631450">
          <w:rPr>
            <w:webHidden/>
          </w:rPr>
          <w:t>23</w:t>
        </w:r>
        <w:r w:rsidR="008E0DD5">
          <w:rPr>
            <w:webHidden/>
          </w:rPr>
          <w:fldChar w:fldCharType="end"/>
        </w:r>
      </w:hyperlink>
    </w:p>
    <w:p w14:paraId="0D3211B5" w14:textId="35402F6F" w:rsidR="008E0DD5" w:rsidRDefault="00AF2361" w:rsidP="00762F99">
      <w:pPr>
        <w:pStyle w:val="TOC2"/>
        <w:tabs>
          <w:tab w:val="left" w:pos="1760"/>
        </w:tabs>
        <w:ind w:left="1418" w:hanging="1418"/>
        <w:rPr>
          <w:rFonts w:eastAsiaTheme="minorEastAsia" w:cstheme="minorBidi"/>
          <w:b w:val="0"/>
          <w:color w:val="auto"/>
          <w:sz w:val="22"/>
          <w:szCs w:val="22"/>
        </w:rPr>
      </w:pPr>
      <w:hyperlink w:anchor="_Toc473558983" w:history="1">
        <w:r w:rsidR="008E0DD5" w:rsidRPr="006C18D4">
          <w:rPr>
            <w:rStyle w:val="Hyperlink"/>
          </w:rPr>
          <w:t>APPENDIX 3:</w:t>
        </w:r>
        <w:r w:rsidR="008E0DD5">
          <w:rPr>
            <w:rFonts w:eastAsiaTheme="minorEastAsia" w:cstheme="minorBidi"/>
            <w:b w:val="0"/>
            <w:color w:val="auto"/>
            <w:sz w:val="22"/>
            <w:szCs w:val="22"/>
          </w:rPr>
          <w:tab/>
        </w:r>
        <w:r w:rsidR="008E0DD5" w:rsidRPr="006C18D4">
          <w:rPr>
            <w:rStyle w:val="Hyperlink"/>
          </w:rPr>
          <w:t>AVERAGE BROADHECTARE LOT YIELD AND SIZE, SUBURB, 2014-15</w:t>
        </w:r>
        <w:r w:rsidR="008E0DD5">
          <w:rPr>
            <w:webHidden/>
          </w:rPr>
          <w:tab/>
        </w:r>
        <w:r w:rsidR="008E0DD5">
          <w:rPr>
            <w:webHidden/>
          </w:rPr>
          <w:fldChar w:fldCharType="begin"/>
        </w:r>
        <w:r w:rsidR="008E0DD5">
          <w:rPr>
            <w:webHidden/>
          </w:rPr>
          <w:instrText xml:space="preserve"> PAGEREF _Toc473558983 \h </w:instrText>
        </w:r>
        <w:r w:rsidR="008E0DD5">
          <w:rPr>
            <w:webHidden/>
          </w:rPr>
        </w:r>
        <w:r w:rsidR="008E0DD5">
          <w:rPr>
            <w:webHidden/>
          </w:rPr>
          <w:fldChar w:fldCharType="separate"/>
        </w:r>
        <w:r w:rsidR="00631450">
          <w:rPr>
            <w:webHidden/>
          </w:rPr>
          <w:t>24</w:t>
        </w:r>
        <w:r w:rsidR="008E0DD5">
          <w:rPr>
            <w:webHidden/>
          </w:rPr>
          <w:fldChar w:fldCharType="end"/>
        </w:r>
      </w:hyperlink>
    </w:p>
    <w:p w14:paraId="54DE00C1" w14:textId="77777777" w:rsidR="008E0DD5" w:rsidRDefault="00AF2361" w:rsidP="00762F99">
      <w:pPr>
        <w:pStyle w:val="TOC2"/>
        <w:tabs>
          <w:tab w:val="left" w:pos="1760"/>
        </w:tabs>
        <w:ind w:left="1418" w:hanging="1418"/>
        <w:rPr>
          <w:rFonts w:eastAsiaTheme="minorEastAsia" w:cstheme="minorBidi"/>
          <w:b w:val="0"/>
          <w:color w:val="auto"/>
          <w:sz w:val="22"/>
          <w:szCs w:val="22"/>
        </w:rPr>
      </w:pPr>
      <w:hyperlink w:anchor="_Toc473558984" w:history="1">
        <w:r w:rsidR="008E0DD5" w:rsidRPr="006C18D4">
          <w:rPr>
            <w:rStyle w:val="Hyperlink"/>
          </w:rPr>
          <w:t>APPENDIX 4:</w:t>
        </w:r>
        <w:r w:rsidR="008E0DD5">
          <w:rPr>
            <w:rFonts w:eastAsiaTheme="minorEastAsia" w:cstheme="minorBidi"/>
            <w:b w:val="0"/>
            <w:color w:val="auto"/>
            <w:sz w:val="22"/>
            <w:szCs w:val="22"/>
          </w:rPr>
          <w:tab/>
        </w:r>
        <w:r w:rsidR="008E0DD5" w:rsidRPr="006C18D4">
          <w:rPr>
            <w:rStyle w:val="Hyperlink"/>
          </w:rPr>
          <w:t>GROSS ZONED INDUSTRIAL LAND SUPPLY (HA), 2015-16</w:t>
        </w:r>
        <w:r w:rsidR="008E0DD5">
          <w:rPr>
            <w:webHidden/>
          </w:rPr>
          <w:tab/>
        </w:r>
        <w:r w:rsidR="008E0DD5">
          <w:rPr>
            <w:webHidden/>
          </w:rPr>
          <w:fldChar w:fldCharType="begin"/>
        </w:r>
        <w:r w:rsidR="008E0DD5">
          <w:rPr>
            <w:webHidden/>
          </w:rPr>
          <w:instrText xml:space="preserve"> PAGEREF _Toc473558984 \h </w:instrText>
        </w:r>
        <w:r w:rsidR="008E0DD5">
          <w:rPr>
            <w:webHidden/>
          </w:rPr>
        </w:r>
        <w:r w:rsidR="008E0DD5">
          <w:rPr>
            <w:webHidden/>
          </w:rPr>
          <w:fldChar w:fldCharType="separate"/>
        </w:r>
        <w:r w:rsidR="00631450">
          <w:rPr>
            <w:webHidden/>
          </w:rPr>
          <w:t>25</w:t>
        </w:r>
        <w:r w:rsidR="008E0DD5">
          <w:rPr>
            <w:webHidden/>
          </w:rPr>
          <w:fldChar w:fldCharType="end"/>
        </w:r>
      </w:hyperlink>
    </w:p>
    <w:p w14:paraId="63CFC833" w14:textId="77777777" w:rsidR="008E0DD5" w:rsidRDefault="00AF2361" w:rsidP="00762F99">
      <w:pPr>
        <w:pStyle w:val="TOC2"/>
        <w:tabs>
          <w:tab w:val="left" w:pos="1760"/>
        </w:tabs>
        <w:ind w:left="1418" w:hanging="1418"/>
        <w:rPr>
          <w:rFonts w:eastAsiaTheme="minorEastAsia" w:cstheme="minorBidi"/>
          <w:b w:val="0"/>
          <w:color w:val="auto"/>
          <w:sz w:val="22"/>
          <w:szCs w:val="22"/>
        </w:rPr>
      </w:pPr>
      <w:hyperlink w:anchor="_Toc473558985" w:history="1">
        <w:r w:rsidR="008E0DD5" w:rsidRPr="006C18D4">
          <w:rPr>
            <w:rStyle w:val="Hyperlink"/>
          </w:rPr>
          <w:t>APPENDIX 5:</w:t>
        </w:r>
        <w:r w:rsidR="008E0DD5">
          <w:rPr>
            <w:rFonts w:eastAsiaTheme="minorEastAsia" w:cstheme="minorBidi"/>
            <w:b w:val="0"/>
            <w:color w:val="auto"/>
            <w:sz w:val="22"/>
            <w:szCs w:val="22"/>
          </w:rPr>
          <w:tab/>
        </w:r>
        <w:r w:rsidR="008E0DD5" w:rsidRPr="006C18D4">
          <w:rPr>
            <w:rStyle w:val="Hyperlink"/>
          </w:rPr>
          <w:t>CONSUMPTION OF INDUSTRIAL LAND (HA), 2012-13 TO 2015-16</w:t>
        </w:r>
        <w:r w:rsidR="008E0DD5">
          <w:rPr>
            <w:webHidden/>
          </w:rPr>
          <w:tab/>
        </w:r>
        <w:r w:rsidR="008E0DD5">
          <w:rPr>
            <w:webHidden/>
          </w:rPr>
          <w:fldChar w:fldCharType="begin"/>
        </w:r>
        <w:r w:rsidR="008E0DD5">
          <w:rPr>
            <w:webHidden/>
          </w:rPr>
          <w:instrText xml:space="preserve"> PAGEREF _Toc473558985 \h </w:instrText>
        </w:r>
        <w:r w:rsidR="008E0DD5">
          <w:rPr>
            <w:webHidden/>
          </w:rPr>
        </w:r>
        <w:r w:rsidR="008E0DD5">
          <w:rPr>
            <w:webHidden/>
          </w:rPr>
          <w:fldChar w:fldCharType="separate"/>
        </w:r>
        <w:r w:rsidR="00631450">
          <w:rPr>
            <w:webHidden/>
          </w:rPr>
          <w:t>26</w:t>
        </w:r>
        <w:r w:rsidR="008E0DD5">
          <w:rPr>
            <w:webHidden/>
          </w:rPr>
          <w:fldChar w:fldCharType="end"/>
        </w:r>
      </w:hyperlink>
    </w:p>
    <w:p w14:paraId="1A020D61" w14:textId="77777777" w:rsidR="008F4D3D" w:rsidRPr="00714E0E" w:rsidRDefault="001F5D92" w:rsidP="00162B86">
      <w:pPr>
        <w:rPr>
          <w:color w:val="auto"/>
        </w:rPr>
      </w:pPr>
      <w:r w:rsidRPr="00D14D7E">
        <w:rPr>
          <w:color w:val="auto"/>
        </w:rPr>
        <w:fldChar w:fldCharType="end"/>
      </w:r>
    </w:p>
    <w:p w14:paraId="5BC80D04" w14:textId="77777777" w:rsidR="00436277" w:rsidRDefault="00DB2F5C" w:rsidP="00162B86">
      <w:pPr>
        <w:sectPr w:rsidR="00436277" w:rsidSect="005E59CF">
          <w:headerReference w:type="even" r:id="rId18"/>
          <w:headerReference w:type="default" r:id="rId19"/>
          <w:footerReference w:type="even" r:id="rId20"/>
          <w:footerReference w:type="default" r:id="rId21"/>
          <w:pgSz w:w="11907" w:h="16840" w:code="9"/>
          <w:pgMar w:top="2268" w:right="1134" w:bottom="1134" w:left="1134" w:header="284" w:footer="284" w:gutter="0"/>
          <w:pgNumType w:start="1"/>
          <w:cols w:space="708"/>
          <w:docGrid w:linePitch="360"/>
        </w:sectPr>
      </w:pPr>
      <w:r>
        <w:t xml:space="preserve"> </w:t>
      </w:r>
    </w:p>
    <w:p w14:paraId="24A836EF" w14:textId="77777777" w:rsidR="00B83743" w:rsidRPr="00C4364B" w:rsidRDefault="008F31DB" w:rsidP="002A4619">
      <w:pPr>
        <w:pStyle w:val="Heading1TopofPage"/>
        <w:framePr w:wrap="around"/>
      </w:pPr>
      <w:bookmarkStart w:id="2" w:name="_Toc473558964"/>
      <w:r>
        <w:lastRenderedPageBreak/>
        <w:t xml:space="preserve">Summary of </w:t>
      </w:r>
      <w:r w:rsidRPr="002A4619">
        <w:t>findings</w:t>
      </w:r>
      <w:bookmarkEnd w:id="2"/>
    </w:p>
    <w:p w14:paraId="3A8E3C9F" w14:textId="4DF044C6" w:rsidR="00762F99" w:rsidRDefault="00762F99" w:rsidP="00762F99">
      <w:pPr>
        <w:rPr>
          <w:rFonts w:ascii="Arial" w:hAnsi="Arial"/>
        </w:rPr>
      </w:pPr>
      <w:r w:rsidRPr="006F6BA4">
        <w:rPr>
          <w:rFonts w:ascii="Arial" w:hAnsi="Arial"/>
        </w:rPr>
        <w:t>The past five years ha</w:t>
      </w:r>
      <w:r>
        <w:rPr>
          <w:rFonts w:ascii="Arial" w:hAnsi="Arial"/>
        </w:rPr>
        <w:t>ve</w:t>
      </w:r>
      <w:r w:rsidRPr="006F6BA4">
        <w:rPr>
          <w:rFonts w:ascii="Arial" w:hAnsi="Arial"/>
        </w:rPr>
        <w:t xml:space="preserve"> seen historically high </w:t>
      </w:r>
      <w:r>
        <w:rPr>
          <w:rFonts w:ascii="Arial" w:hAnsi="Arial"/>
        </w:rPr>
        <w:t>housing growth throughout</w:t>
      </w:r>
      <w:r w:rsidRPr="006F6BA4">
        <w:rPr>
          <w:rFonts w:ascii="Arial" w:hAnsi="Arial"/>
        </w:rPr>
        <w:t xml:space="preserve"> Melbourne's growth areas and established areas, w</w:t>
      </w:r>
      <w:r>
        <w:rPr>
          <w:rFonts w:ascii="Arial" w:hAnsi="Arial"/>
        </w:rPr>
        <w:t>ith</w:t>
      </w:r>
      <w:r w:rsidRPr="006F6BA4">
        <w:rPr>
          <w:rFonts w:ascii="Arial" w:hAnsi="Arial"/>
        </w:rPr>
        <w:t xml:space="preserve"> dwelling approvals averag</w:t>
      </w:r>
      <w:r>
        <w:rPr>
          <w:rFonts w:ascii="Arial" w:hAnsi="Arial"/>
        </w:rPr>
        <w:t>ing</w:t>
      </w:r>
      <w:r w:rsidRPr="006F6BA4">
        <w:rPr>
          <w:rFonts w:ascii="Arial" w:hAnsi="Arial"/>
        </w:rPr>
        <w:t xml:space="preserve"> </w:t>
      </w:r>
      <w:r>
        <w:rPr>
          <w:rFonts w:ascii="Arial" w:hAnsi="Arial"/>
        </w:rPr>
        <w:t xml:space="preserve">approximately </w:t>
      </w:r>
      <w:r w:rsidRPr="006F6BA4">
        <w:rPr>
          <w:rFonts w:ascii="Arial" w:hAnsi="Arial"/>
        </w:rPr>
        <w:t xml:space="preserve">48,000 dwellings per annum.  </w:t>
      </w:r>
      <w:r>
        <w:rPr>
          <w:rFonts w:ascii="Arial" w:hAnsi="Arial"/>
        </w:rPr>
        <w:t xml:space="preserve">Data on </w:t>
      </w:r>
      <w:r w:rsidRPr="006F6BA4">
        <w:rPr>
          <w:rFonts w:ascii="Arial" w:hAnsi="Arial"/>
        </w:rPr>
        <w:t>l</w:t>
      </w:r>
      <w:r>
        <w:rPr>
          <w:rFonts w:ascii="Arial" w:hAnsi="Arial"/>
        </w:rPr>
        <w:t>ot construction</w:t>
      </w:r>
      <w:r w:rsidRPr="006F6BA4">
        <w:rPr>
          <w:rFonts w:ascii="Arial" w:hAnsi="Arial"/>
        </w:rPr>
        <w:t xml:space="preserve"> in growth areas and development intentions in established areas </w:t>
      </w:r>
      <w:r>
        <w:rPr>
          <w:rFonts w:ascii="Arial" w:hAnsi="Arial"/>
        </w:rPr>
        <w:t xml:space="preserve">collected in this </w:t>
      </w:r>
      <w:proofErr w:type="spellStart"/>
      <w:r>
        <w:rPr>
          <w:rFonts w:ascii="Arial" w:hAnsi="Arial"/>
        </w:rPr>
        <w:t>years</w:t>
      </w:r>
      <w:proofErr w:type="spellEnd"/>
      <w:r>
        <w:rPr>
          <w:rFonts w:ascii="Arial" w:hAnsi="Arial"/>
        </w:rPr>
        <w:t xml:space="preserve"> UDP suggests that high</w:t>
      </w:r>
      <w:r w:rsidRPr="006F6BA4">
        <w:rPr>
          <w:rFonts w:ascii="Arial" w:hAnsi="Arial"/>
        </w:rPr>
        <w:t xml:space="preserve"> </w:t>
      </w:r>
      <w:r>
        <w:rPr>
          <w:rFonts w:ascii="Arial" w:hAnsi="Arial"/>
        </w:rPr>
        <w:t>numbers of new dwellings will continue to be</w:t>
      </w:r>
      <w:r w:rsidRPr="006F6BA4">
        <w:rPr>
          <w:rFonts w:ascii="Arial" w:hAnsi="Arial"/>
        </w:rPr>
        <w:t xml:space="preserve"> develop</w:t>
      </w:r>
      <w:r>
        <w:rPr>
          <w:rFonts w:ascii="Arial" w:hAnsi="Arial"/>
        </w:rPr>
        <w:t>ed</w:t>
      </w:r>
      <w:r w:rsidRPr="006F6BA4">
        <w:rPr>
          <w:rFonts w:ascii="Arial" w:hAnsi="Arial"/>
        </w:rPr>
        <w:t xml:space="preserve"> </w:t>
      </w:r>
      <w:r>
        <w:rPr>
          <w:rFonts w:ascii="Arial" w:hAnsi="Arial"/>
        </w:rPr>
        <w:t>throughout Melbourne</w:t>
      </w:r>
      <w:r w:rsidRPr="006F6BA4">
        <w:rPr>
          <w:rFonts w:ascii="Arial" w:hAnsi="Arial"/>
        </w:rPr>
        <w:t>.</w:t>
      </w:r>
    </w:p>
    <w:p w14:paraId="7DB88403" w14:textId="77777777" w:rsidR="00762F99" w:rsidRDefault="00762F99" w:rsidP="008F31DB">
      <w:pPr>
        <w:pStyle w:val="BodyText"/>
        <w:rPr>
          <w:b/>
        </w:rPr>
      </w:pPr>
    </w:p>
    <w:p w14:paraId="6450388D" w14:textId="77777777" w:rsidR="008F31DB" w:rsidRPr="008F31DB" w:rsidRDefault="008F31DB" w:rsidP="008F31DB">
      <w:pPr>
        <w:pStyle w:val="BodyText"/>
        <w:rPr>
          <w:b/>
        </w:rPr>
      </w:pPr>
      <w:r w:rsidRPr="008F31DB">
        <w:rPr>
          <w:b/>
        </w:rPr>
        <w:t>Major Residential Redevelopment</w:t>
      </w:r>
    </w:p>
    <w:p w14:paraId="74966F3B" w14:textId="05F7F31E" w:rsidR="008F31DB" w:rsidRPr="006B1E8F" w:rsidRDefault="008F31DB" w:rsidP="008F31DB">
      <w:pPr>
        <w:pStyle w:val="ListParagraph"/>
        <w:numPr>
          <w:ilvl w:val="0"/>
          <w:numId w:val="44"/>
        </w:numPr>
        <w:spacing w:after="80" w:line="240" w:lineRule="auto"/>
        <w:ind w:left="357" w:right="-284" w:hanging="357"/>
        <w:contextualSpacing w:val="0"/>
        <w:rPr>
          <w:rFonts w:cstheme="minorHAnsi"/>
        </w:rPr>
      </w:pPr>
      <w:r w:rsidRPr="006B1E8F">
        <w:rPr>
          <w:rFonts w:cstheme="minorHAnsi"/>
        </w:rPr>
        <w:t>As at July 2016, there were 247,000 dwellings identified for future development in major residential redevelopment projects (</w:t>
      </w:r>
      <w:r w:rsidR="001A701E">
        <w:rPr>
          <w:rFonts w:cstheme="minorHAnsi"/>
        </w:rPr>
        <w:t>sites</w:t>
      </w:r>
      <w:r w:rsidR="001A701E" w:rsidRPr="006B1E8F">
        <w:rPr>
          <w:rFonts w:cstheme="minorHAnsi"/>
        </w:rPr>
        <w:t xml:space="preserve"> </w:t>
      </w:r>
      <w:r w:rsidRPr="006B1E8F">
        <w:rPr>
          <w:rFonts w:cstheme="minorHAnsi"/>
        </w:rPr>
        <w:t xml:space="preserve">yielding 10 dwellings or more). This is the highest number of dwellings </w:t>
      </w:r>
      <w:r w:rsidR="001A701E">
        <w:rPr>
          <w:rFonts w:cstheme="minorHAnsi"/>
        </w:rPr>
        <w:t>planned for</w:t>
      </w:r>
      <w:r w:rsidRPr="006B1E8F">
        <w:rPr>
          <w:rFonts w:cstheme="minorHAnsi"/>
        </w:rPr>
        <w:t xml:space="preserve"> major redevelopment projects since </w:t>
      </w:r>
      <w:r w:rsidR="00006F42">
        <w:rPr>
          <w:rFonts w:cstheme="minorHAnsi"/>
        </w:rPr>
        <w:t>comparable</w:t>
      </w:r>
      <w:r w:rsidR="00006F42" w:rsidRPr="006B1E8F">
        <w:rPr>
          <w:rFonts w:cstheme="minorHAnsi"/>
        </w:rPr>
        <w:t xml:space="preserve"> </w:t>
      </w:r>
      <w:r w:rsidRPr="006B1E8F">
        <w:rPr>
          <w:rFonts w:cstheme="minorHAnsi"/>
        </w:rPr>
        <w:t xml:space="preserve">data became available </w:t>
      </w:r>
      <w:r w:rsidR="001A701E">
        <w:rPr>
          <w:rFonts w:cstheme="minorHAnsi"/>
        </w:rPr>
        <w:t>in</w:t>
      </w:r>
      <w:r w:rsidRPr="006B1E8F">
        <w:rPr>
          <w:rFonts w:cstheme="minorHAnsi"/>
        </w:rPr>
        <w:t xml:space="preserve"> 2002-03.</w:t>
      </w:r>
    </w:p>
    <w:p w14:paraId="4A362DDC" w14:textId="78035CC2" w:rsidR="008F31DB" w:rsidRPr="006B1E8F" w:rsidRDefault="001A701E" w:rsidP="008F31DB">
      <w:pPr>
        <w:pStyle w:val="ListParagraph"/>
        <w:numPr>
          <w:ilvl w:val="0"/>
          <w:numId w:val="44"/>
        </w:numPr>
        <w:spacing w:after="80" w:line="240" w:lineRule="auto"/>
        <w:ind w:left="357" w:hanging="357"/>
        <w:contextualSpacing w:val="0"/>
        <w:rPr>
          <w:lang w:val="en-US"/>
        </w:rPr>
      </w:pPr>
      <w:r>
        <w:rPr>
          <w:lang w:val="en-US"/>
        </w:rPr>
        <w:t>The vast majority (84%) of dwellings proposed fo</w:t>
      </w:r>
      <w:r w:rsidR="000541DE">
        <w:rPr>
          <w:lang w:val="en-US"/>
        </w:rPr>
        <w:t xml:space="preserve">r major redevelopment sites </w:t>
      </w:r>
      <w:r w:rsidR="00BE53E5">
        <w:rPr>
          <w:lang w:val="en-US"/>
        </w:rPr>
        <w:t>are expected to</w:t>
      </w:r>
      <w:r w:rsidR="000541DE">
        <w:rPr>
          <w:lang w:val="en-US"/>
        </w:rPr>
        <w:t xml:space="preserve"> be built in </w:t>
      </w:r>
      <w:r>
        <w:rPr>
          <w:lang w:val="en-US"/>
        </w:rPr>
        <w:t xml:space="preserve">buildings of 4 or more </w:t>
      </w:r>
      <w:proofErr w:type="spellStart"/>
      <w:r>
        <w:rPr>
          <w:lang w:val="en-US"/>
        </w:rPr>
        <w:t>store</w:t>
      </w:r>
      <w:r w:rsidR="000541DE">
        <w:rPr>
          <w:lang w:val="en-US"/>
        </w:rPr>
        <w:t>y</w:t>
      </w:r>
      <w:r>
        <w:rPr>
          <w:lang w:val="en-US"/>
        </w:rPr>
        <w:t>s</w:t>
      </w:r>
      <w:proofErr w:type="spellEnd"/>
      <w:r>
        <w:rPr>
          <w:lang w:val="en-US"/>
        </w:rPr>
        <w:t xml:space="preserve">. </w:t>
      </w:r>
      <w:r w:rsidR="00303C62" w:rsidRPr="007D5062">
        <w:rPr>
          <w:lang w:val="en-US"/>
        </w:rPr>
        <w:t xml:space="preserve">Melbourne’s inner suburbs as well as </w:t>
      </w:r>
      <w:r w:rsidR="00303C62">
        <w:rPr>
          <w:lang w:val="en-US"/>
        </w:rPr>
        <w:t>the inner north and east are expected to see the greatest redevelopment activity.</w:t>
      </w:r>
    </w:p>
    <w:p w14:paraId="1B8A1B7A" w14:textId="200D9745" w:rsidR="008F31DB" w:rsidRDefault="008F31DB" w:rsidP="008F31DB">
      <w:pPr>
        <w:pStyle w:val="ListParagraph"/>
        <w:numPr>
          <w:ilvl w:val="0"/>
          <w:numId w:val="44"/>
        </w:numPr>
        <w:spacing w:after="80" w:line="240" w:lineRule="auto"/>
        <w:ind w:left="357" w:hanging="357"/>
        <w:contextualSpacing w:val="0"/>
        <w:rPr>
          <w:lang w:val="en-US"/>
        </w:rPr>
      </w:pPr>
      <w:r w:rsidRPr="006B1E8F">
        <w:rPr>
          <w:lang w:val="en-US"/>
        </w:rPr>
        <w:t>The number of dwellings</w:t>
      </w:r>
      <w:r w:rsidR="00303C62">
        <w:rPr>
          <w:lang w:val="en-US"/>
        </w:rPr>
        <w:t xml:space="preserve"> proposed</w:t>
      </w:r>
      <w:r w:rsidRPr="006B1E8F">
        <w:rPr>
          <w:lang w:val="en-US"/>
        </w:rPr>
        <w:t xml:space="preserve"> in major residential redevelopment projects within activity </w:t>
      </w:r>
      <w:proofErr w:type="spellStart"/>
      <w:r w:rsidRPr="006B1E8F">
        <w:rPr>
          <w:lang w:val="en-US"/>
        </w:rPr>
        <w:t>centre</w:t>
      </w:r>
      <w:proofErr w:type="spellEnd"/>
      <w:r w:rsidRPr="006B1E8F">
        <w:rPr>
          <w:lang w:val="en-US"/>
        </w:rPr>
        <w:t xml:space="preserve"> boundaries </w:t>
      </w:r>
      <w:r>
        <w:rPr>
          <w:lang w:val="en-US"/>
        </w:rPr>
        <w:t>continues to</w:t>
      </w:r>
      <w:r w:rsidRPr="006B1E8F">
        <w:rPr>
          <w:lang w:val="en-US"/>
        </w:rPr>
        <w:t xml:space="preserve"> grow; from 45% in 2004-05, to </w:t>
      </w:r>
      <w:r>
        <w:rPr>
          <w:lang w:val="en-US"/>
        </w:rPr>
        <w:t>62</w:t>
      </w:r>
      <w:r w:rsidRPr="006B1E8F">
        <w:rPr>
          <w:lang w:val="en-US"/>
        </w:rPr>
        <w:t>% in 201</w:t>
      </w:r>
      <w:r>
        <w:rPr>
          <w:lang w:val="en-US"/>
        </w:rPr>
        <w:t>5</w:t>
      </w:r>
      <w:r w:rsidRPr="006B1E8F">
        <w:rPr>
          <w:lang w:val="en-US"/>
        </w:rPr>
        <w:t>-1</w:t>
      </w:r>
      <w:r>
        <w:rPr>
          <w:lang w:val="en-US"/>
        </w:rPr>
        <w:t>6</w:t>
      </w:r>
      <w:r w:rsidRPr="006B1E8F">
        <w:rPr>
          <w:lang w:val="en-US"/>
        </w:rPr>
        <w:t xml:space="preserve">. </w:t>
      </w:r>
    </w:p>
    <w:p w14:paraId="1C4CE6E6" w14:textId="1265827B" w:rsidR="008F31DB" w:rsidRPr="006B1E8F" w:rsidRDefault="00303C62" w:rsidP="008F31DB">
      <w:pPr>
        <w:pStyle w:val="ListParagraph"/>
        <w:numPr>
          <w:ilvl w:val="0"/>
          <w:numId w:val="44"/>
        </w:numPr>
        <w:spacing w:after="80" w:line="240" w:lineRule="auto"/>
        <w:ind w:left="357" w:hanging="357"/>
        <w:contextualSpacing w:val="0"/>
        <w:rPr>
          <w:lang w:val="en-US"/>
        </w:rPr>
      </w:pPr>
      <w:r>
        <w:t>A</w:t>
      </w:r>
      <w:r w:rsidR="008F31DB" w:rsidRPr="00C267E7">
        <w:t xml:space="preserve"> record 55,000 dwellings were approved </w:t>
      </w:r>
      <w:r>
        <w:t xml:space="preserve">for construction </w:t>
      </w:r>
      <w:r w:rsidR="008F31DB" w:rsidRPr="00C267E7">
        <w:t>in Metropolitan Melbourne</w:t>
      </w:r>
      <w:r w:rsidR="008F31DB">
        <w:t xml:space="preserve"> in 2015-16</w:t>
      </w:r>
      <w:r>
        <w:t xml:space="preserve"> (</w:t>
      </w:r>
      <w:r w:rsidR="008F31DB" w:rsidRPr="00C267E7">
        <w:t xml:space="preserve">37% apartments, </w:t>
      </w:r>
      <w:r>
        <w:t xml:space="preserve">18% </w:t>
      </w:r>
      <w:r w:rsidR="008F31DB" w:rsidRPr="00C267E7">
        <w:t>townhouses</w:t>
      </w:r>
      <w:r w:rsidR="00006F42">
        <w:t xml:space="preserve"> and </w:t>
      </w:r>
      <w:r>
        <w:t>units</w:t>
      </w:r>
      <w:r w:rsidR="008F31DB" w:rsidRPr="00C267E7">
        <w:t xml:space="preserve"> </w:t>
      </w:r>
      <w:r>
        <w:t>and 55% detached dwellings).</w:t>
      </w:r>
    </w:p>
    <w:p w14:paraId="1331800C" w14:textId="77777777" w:rsidR="008F31DB" w:rsidRPr="008F31DB" w:rsidRDefault="008F31DB" w:rsidP="00A91855">
      <w:pPr>
        <w:spacing w:after="120" w:line="240" w:lineRule="auto"/>
        <w:ind w:right="-284"/>
        <w:rPr>
          <w:lang w:val="en-US"/>
        </w:rPr>
      </w:pPr>
    </w:p>
    <w:p w14:paraId="6D0A0D9F" w14:textId="77777777" w:rsidR="008F31DB" w:rsidRPr="008F31DB" w:rsidRDefault="008F31DB" w:rsidP="008F31DB">
      <w:pPr>
        <w:pStyle w:val="BodyText"/>
        <w:rPr>
          <w:b/>
        </w:rPr>
      </w:pPr>
      <w:proofErr w:type="spellStart"/>
      <w:r w:rsidRPr="008F31DB">
        <w:rPr>
          <w:b/>
        </w:rPr>
        <w:t>Broadhectare</w:t>
      </w:r>
      <w:proofErr w:type="spellEnd"/>
      <w:r w:rsidRPr="008F31DB">
        <w:rPr>
          <w:b/>
        </w:rPr>
        <w:t xml:space="preserve"> Residential Development</w:t>
      </w:r>
    </w:p>
    <w:p w14:paraId="35B96E9E" w14:textId="2B8588FB" w:rsidR="009B5D3C" w:rsidRDefault="00821670" w:rsidP="009B5D3C">
      <w:pPr>
        <w:pStyle w:val="ListParagraph"/>
        <w:numPr>
          <w:ilvl w:val="0"/>
          <w:numId w:val="45"/>
        </w:numPr>
        <w:spacing w:after="80" w:line="240" w:lineRule="auto"/>
        <w:ind w:left="369" w:right="-284" w:hanging="369"/>
        <w:contextualSpacing w:val="0"/>
        <w:rPr>
          <w:rFonts w:cstheme="minorHAnsi"/>
        </w:rPr>
      </w:pPr>
      <w:r>
        <w:rPr>
          <w:rFonts w:cs="Tahoma"/>
        </w:rPr>
        <w:t>T</w:t>
      </w:r>
      <w:r w:rsidR="009B5D3C">
        <w:rPr>
          <w:rFonts w:cs="Tahoma"/>
        </w:rPr>
        <w:t xml:space="preserve">here </w:t>
      </w:r>
      <w:r w:rsidR="00DA6CD0">
        <w:rPr>
          <w:rFonts w:cs="Tahoma"/>
        </w:rPr>
        <w:t>is</w:t>
      </w:r>
      <w:r w:rsidR="009B5D3C">
        <w:rPr>
          <w:rFonts w:cs="Tahoma"/>
        </w:rPr>
        <w:t xml:space="preserve"> </w:t>
      </w:r>
      <w:r>
        <w:rPr>
          <w:rFonts w:cs="Tahoma"/>
        </w:rPr>
        <w:t xml:space="preserve">a </w:t>
      </w:r>
      <w:r w:rsidR="00DA6CD0">
        <w:rPr>
          <w:rFonts w:cs="Tahoma"/>
        </w:rPr>
        <w:t>potential supply</w:t>
      </w:r>
      <w:r>
        <w:rPr>
          <w:rFonts w:cs="Tahoma"/>
        </w:rPr>
        <w:t xml:space="preserve"> of </w:t>
      </w:r>
      <w:r w:rsidR="009B5D3C">
        <w:rPr>
          <w:rFonts w:cs="Tahoma"/>
        </w:rPr>
        <w:t xml:space="preserve">372,400 </w:t>
      </w:r>
      <w:r w:rsidR="00DA6CD0">
        <w:rPr>
          <w:rFonts w:cs="Tahoma"/>
        </w:rPr>
        <w:t xml:space="preserve">lots for future </w:t>
      </w:r>
      <w:r w:rsidR="009B5D3C">
        <w:rPr>
          <w:rFonts w:cs="Tahoma"/>
        </w:rPr>
        <w:t xml:space="preserve">residential </w:t>
      </w:r>
      <w:proofErr w:type="spellStart"/>
      <w:r w:rsidR="009B5D3C">
        <w:rPr>
          <w:rFonts w:cs="Tahoma"/>
        </w:rPr>
        <w:t>broadhectare</w:t>
      </w:r>
      <w:proofErr w:type="spellEnd"/>
      <w:r w:rsidR="009B5D3C">
        <w:rPr>
          <w:rFonts w:cs="Tahoma"/>
        </w:rPr>
        <w:t xml:space="preserve"> </w:t>
      </w:r>
      <w:r w:rsidR="00DA6CD0">
        <w:rPr>
          <w:rFonts w:cs="Tahoma"/>
        </w:rPr>
        <w:t>development. Nearly all of these lots are in Melbourne’s</w:t>
      </w:r>
      <w:r w:rsidR="009B5D3C">
        <w:rPr>
          <w:rFonts w:cs="Tahoma"/>
        </w:rPr>
        <w:t xml:space="preserve"> growth areas. </w:t>
      </w:r>
    </w:p>
    <w:p w14:paraId="25D585EE" w14:textId="1CC8A19F" w:rsidR="008F31DB" w:rsidRDefault="008F31DB" w:rsidP="00F9737D">
      <w:pPr>
        <w:pStyle w:val="ListParagraph"/>
        <w:numPr>
          <w:ilvl w:val="0"/>
          <w:numId w:val="45"/>
        </w:numPr>
        <w:spacing w:after="80" w:line="240" w:lineRule="auto"/>
        <w:ind w:left="369" w:right="-284" w:hanging="369"/>
        <w:contextualSpacing w:val="0"/>
        <w:rPr>
          <w:rFonts w:cstheme="minorHAnsi"/>
        </w:rPr>
      </w:pPr>
      <w:r w:rsidRPr="004742A1">
        <w:rPr>
          <w:rFonts w:cstheme="minorHAnsi"/>
        </w:rPr>
        <w:t>Based on identified land supply and Victoria in Future 201</w:t>
      </w:r>
      <w:r>
        <w:rPr>
          <w:rFonts w:cstheme="minorHAnsi"/>
        </w:rPr>
        <w:t>6</w:t>
      </w:r>
      <w:r w:rsidRPr="004742A1">
        <w:rPr>
          <w:rFonts w:cstheme="minorHAnsi"/>
        </w:rPr>
        <w:t xml:space="preserve"> input data, as at July 201</w:t>
      </w:r>
      <w:r>
        <w:rPr>
          <w:rFonts w:cstheme="minorHAnsi"/>
        </w:rPr>
        <w:t>6</w:t>
      </w:r>
      <w:r w:rsidRPr="004742A1">
        <w:rPr>
          <w:rFonts w:cstheme="minorHAnsi"/>
        </w:rPr>
        <w:t xml:space="preserve">, Melbourne's growth areas </w:t>
      </w:r>
      <w:r w:rsidR="00DA6CD0">
        <w:rPr>
          <w:rFonts w:cstheme="minorHAnsi"/>
        </w:rPr>
        <w:t xml:space="preserve">collectively </w:t>
      </w:r>
      <w:r w:rsidRPr="004742A1">
        <w:rPr>
          <w:rFonts w:cstheme="minorHAnsi"/>
        </w:rPr>
        <w:t xml:space="preserve">have </w:t>
      </w:r>
      <w:r>
        <w:rPr>
          <w:rFonts w:cstheme="minorHAnsi"/>
        </w:rPr>
        <w:t xml:space="preserve">an estimated </w:t>
      </w:r>
      <w:r w:rsidRPr="004742A1">
        <w:rPr>
          <w:rFonts w:cstheme="minorHAnsi"/>
        </w:rPr>
        <w:t xml:space="preserve">25 years or more </w:t>
      </w:r>
      <w:r>
        <w:rPr>
          <w:rFonts w:cstheme="minorHAnsi"/>
        </w:rPr>
        <w:t xml:space="preserve">of </w:t>
      </w:r>
      <w:r w:rsidRPr="004742A1">
        <w:rPr>
          <w:rFonts w:cstheme="minorHAnsi"/>
        </w:rPr>
        <w:t xml:space="preserve">total </w:t>
      </w:r>
      <w:proofErr w:type="spellStart"/>
      <w:r w:rsidRPr="004742A1">
        <w:rPr>
          <w:rFonts w:cstheme="minorHAnsi"/>
        </w:rPr>
        <w:t>broadhectare</w:t>
      </w:r>
      <w:proofErr w:type="spellEnd"/>
      <w:r w:rsidRPr="004742A1">
        <w:rPr>
          <w:rFonts w:cstheme="minorHAnsi"/>
        </w:rPr>
        <w:t xml:space="preserve"> residential land supply</w:t>
      </w:r>
      <w:r w:rsidR="00DA6CD0">
        <w:rPr>
          <w:rFonts w:cstheme="minorHAnsi"/>
        </w:rPr>
        <w:t xml:space="preserve"> </w:t>
      </w:r>
      <w:r w:rsidRPr="004742A1">
        <w:rPr>
          <w:rFonts w:cstheme="minorHAnsi"/>
        </w:rPr>
        <w:t>with the exception of Casey-Cardinia (2</w:t>
      </w:r>
      <w:r>
        <w:rPr>
          <w:rFonts w:cstheme="minorHAnsi"/>
        </w:rPr>
        <w:t>3</w:t>
      </w:r>
      <w:r w:rsidRPr="004742A1">
        <w:rPr>
          <w:rFonts w:cstheme="minorHAnsi"/>
        </w:rPr>
        <w:t>-2</w:t>
      </w:r>
      <w:r>
        <w:rPr>
          <w:rFonts w:cstheme="minorHAnsi"/>
        </w:rPr>
        <w:t>4</w:t>
      </w:r>
      <w:r w:rsidRPr="004742A1">
        <w:rPr>
          <w:rFonts w:cstheme="minorHAnsi"/>
        </w:rPr>
        <w:t xml:space="preserve"> years) and Whittlesea (1</w:t>
      </w:r>
      <w:r>
        <w:rPr>
          <w:rFonts w:cstheme="minorHAnsi"/>
        </w:rPr>
        <w:t>6</w:t>
      </w:r>
      <w:r w:rsidRPr="004742A1">
        <w:rPr>
          <w:rFonts w:cstheme="minorHAnsi"/>
        </w:rPr>
        <w:t>-1</w:t>
      </w:r>
      <w:r>
        <w:rPr>
          <w:rFonts w:cstheme="minorHAnsi"/>
        </w:rPr>
        <w:t>7</w:t>
      </w:r>
      <w:r w:rsidRPr="004742A1">
        <w:rPr>
          <w:rFonts w:cstheme="minorHAnsi"/>
        </w:rPr>
        <w:t xml:space="preserve"> years).</w:t>
      </w:r>
      <w:r w:rsidR="008E355D">
        <w:rPr>
          <w:rFonts w:cstheme="minorHAnsi"/>
        </w:rPr>
        <w:t xml:space="preserve">  This includes both land with an approved precinct structure plan as well as </w:t>
      </w:r>
      <w:proofErr w:type="spellStart"/>
      <w:r w:rsidR="008E355D">
        <w:rPr>
          <w:rFonts w:cstheme="minorHAnsi"/>
        </w:rPr>
        <w:t>broadhectare</w:t>
      </w:r>
      <w:proofErr w:type="spellEnd"/>
      <w:r w:rsidR="008E355D">
        <w:rPr>
          <w:rFonts w:cstheme="minorHAnsi"/>
        </w:rPr>
        <w:t xml:space="preserve"> land the still requires approval.</w:t>
      </w:r>
    </w:p>
    <w:p w14:paraId="0B7FCFD5" w14:textId="62D7051A" w:rsidR="008F31DB" w:rsidRPr="00A11FF4" w:rsidRDefault="008F31DB" w:rsidP="00F9737D">
      <w:pPr>
        <w:pStyle w:val="ListParagraph"/>
        <w:numPr>
          <w:ilvl w:val="0"/>
          <w:numId w:val="45"/>
        </w:numPr>
        <w:spacing w:after="80" w:line="240" w:lineRule="auto"/>
        <w:ind w:left="369" w:hanging="369"/>
        <w:contextualSpacing w:val="0"/>
        <w:rPr>
          <w:rFonts w:cstheme="minorHAnsi"/>
        </w:rPr>
      </w:pPr>
      <w:r w:rsidRPr="004742A1">
        <w:rPr>
          <w:rFonts w:cstheme="minorHAnsi"/>
        </w:rPr>
        <w:t xml:space="preserve">Of this supply, </w:t>
      </w:r>
      <w:r>
        <w:rPr>
          <w:rFonts w:cstheme="minorHAnsi"/>
        </w:rPr>
        <w:t>203</w:t>
      </w:r>
      <w:r w:rsidRPr="004742A1">
        <w:rPr>
          <w:rFonts w:cstheme="minorHAnsi"/>
        </w:rPr>
        <w:t>,</w:t>
      </w:r>
      <w:r>
        <w:rPr>
          <w:rFonts w:cstheme="minorHAnsi"/>
        </w:rPr>
        <w:t>0</w:t>
      </w:r>
      <w:r w:rsidRPr="004742A1">
        <w:rPr>
          <w:rFonts w:cstheme="minorHAnsi"/>
        </w:rPr>
        <w:t>00 lots</w:t>
      </w:r>
      <w:r w:rsidR="00006F42">
        <w:rPr>
          <w:rFonts w:cstheme="minorHAnsi"/>
        </w:rPr>
        <w:t xml:space="preserve"> (</w:t>
      </w:r>
      <w:r w:rsidRPr="004742A1">
        <w:rPr>
          <w:rFonts w:cstheme="minorHAnsi"/>
        </w:rPr>
        <w:t>1</w:t>
      </w:r>
      <w:r>
        <w:rPr>
          <w:rFonts w:cstheme="minorHAnsi"/>
        </w:rPr>
        <w:t>2</w:t>
      </w:r>
      <w:r w:rsidRPr="004742A1">
        <w:rPr>
          <w:rFonts w:cstheme="minorHAnsi"/>
        </w:rPr>
        <w:t>-1</w:t>
      </w:r>
      <w:r>
        <w:rPr>
          <w:rFonts w:cstheme="minorHAnsi"/>
        </w:rPr>
        <w:t>3</w:t>
      </w:r>
      <w:r w:rsidRPr="004742A1">
        <w:rPr>
          <w:rFonts w:cstheme="minorHAnsi"/>
        </w:rPr>
        <w:t xml:space="preserve"> years supply</w:t>
      </w:r>
      <w:r w:rsidR="00006F42">
        <w:rPr>
          <w:rFonts w:cstheme="minorHAnsi"/>
        </w:rPr>
        <w:t xml:space="preserve">) </w:t>
      </w:r>
      <w:r w:rsidRPr="004742A1">
        <w:rPr>
          <w:rFonts w:cstheme="minorHAnsi"/>
        </w:rPr>
        <w:t>is 'development ready' (i.e. either zoned for residential use, or having an ap</w:t>
      </w:r>
      <w:r>
        <w:rPr>
          <w:rFonts w:cstheme="minorHAnsi"/>
        </w:rPr>
        <w:t>proved precinct structure plan).</w:t>
      </w:r>
    </w:p>
    <w:p w14:paraId="4154E616" w14:textId="1FFD206D" w:rsidR="008F31DB" w:rsidRPr="00C30EA5" w:rsidRDefault="008F31DB" w:rsidP="00F9737D">
      <w:pPr>
        <w:pStyle w:val="ListParagraph"/>
        <w:numPr>
          <w:ilvl w:val="0"/>
          <w:numId w:val="45"/>
        </w:numPr>
        <w:spacing w:after="80" w:line="240" w:lineRule="auto"/>
        <w:ind w:left="369" w:hanging="369"/>
        <w:contextualSpacing w:val="0"/>
        <w:rPr>
          <w:rFonts w:cstheme="minorHAnsi"/>
          <w:spacing w:val="-4"/>
        </w:rPr>
      </w:pPr>
      <w:r w:rsidRPr="00C30EA5">
        <w:rPr>
          <w:rFonts w:cstheme="minorHAnsi"/>
          <w:spacing w:val="-4"/>
        </w:rPr>
        <w:t xml:space="preserve">During 2015-16, nearly 19,000 </w:t>
      </w:r>
      <w:proofErr w:type="spellStart"/>
      <w:r w:rsidRPr="00C30EA5">
        <w:rPr>
          <w:rFonts w:cstheme="minorHAnsi"/>
          <w:spacing w:val="-4"/>
        </w:rPr>
        <w:t>broadhectare</w:t>
      </w:r>
      <w:proofErr w:type="spellEnd"/>
      <w:r w:rsidRPr="00C30EA5">
        <w:rPr>
          <w:rFonts w:cstheme="minorHAnsi"/>
          <w:spacing w:val="-4"/>
        </w:rPr>
        <w:t xml:space="preserve"> lots were constructed in Melbourne's growth area municipalities. This is the highest level of </w:t>
      </w:r>
      <w:proofErr w:type="spellStart"/>
      <w:r w:rsidRPr="00C30EA5">
        <w:rPr>
          <w:rFonts w:cstheme="minorHAnsi"/>
          <w:spacing w:val="-4"/>
        </w:rPr>
        <w:t>broadhectare</w:t>
      </w:r>
      <w:proofErr w:type="spellEnd"/>
      <w:r w:rsidRPr="00C30EA5">
        <w:rPr>
          <w:rFonts w:cstheme="minorHAnsi"/>
          <w:spacing w:val="-4"/>
        </w:rPr>
        <w:t xml:space="preserve"> lot construction recorded since </w:t>
      </w:r>
      <w:r w:rsidR="00006F42">
        <w:rPr>
          <w:rFonts w:cstheme="minorHAnsi"/>
          <w:spacing w:val="-4"/>
        </w:rPr>
        <w:t>comparable</w:t>
      </w:r>
      <w:r w:rsidR="00006F42" w:rsidRPr="00C30EA5">
        <w:rPr>
          <w:rFonts w:cstheme="minorHAnsi"/>
          <w:spacing w:val="-4"/>
        </w:rPr>
        <w:t xml:space="preserve"> </w:t>
      </w:r>
      <w:r w:rsidRPr="00C30EA5">
        <w:rPr>
          <w:rFonts w:cstheme="minorHAnsi"/>
          <w:spacing w:val="-4"/>
        </w:rPr>
        <w:t xml:space="preserve">data became available </w:t>
      </w:r>
      <w:r w:rsidR="00DA6CD0">
        <w:rPr>
          <w:rFonts w:cstheme="minorHAnsi"/>
          <w:spacing w:val="-4"/>
        </w:rPr>
        <w:t>in</w:t>
      </w:r>
      <w:r w:rsidRPr="00C30EA5">
        <w:rPr>
          <w:rFonts w:cstheme="minorHAnsi"/>
          <w:spacing w:val="-4"/>
        </w:rPr>
        <w:t xml:space="preserve"> 2002-03.</w:t>
      </w:r>
      <w:r w:rsidR="00753AC9">
        <w:rPr>
          <w:rFonts w:cstheme="minorHAnsi"/>
          <w:spacing w:val="-4"/>
        </w:rPr>
        <w:t xml:space="preserve"> </w:t>
      </w:r>
      <w:r w:rsidRPr="00C30EA5">
        <w:rPr>
          <w:rFonts w:cstheme="minorHAnsi"/>
          <w:spacing w:val="-4"/>
        </w:rPr>
        <w:t xml:space="preserve">There were an additional 15,000 lots identified as 'under construction' as at July 2016, indicating continued high levels of lot construction </w:t>
      </w:r>
      <w:r w:rsidR="00441759">
        <w:rPr>
          <w:rFonts w:cstheme="minorHAnsi"/>
          <w:spacing w:val="-4"/>
        </w:rPr>
        <w:t>in 2016-17</w:t>
      </w:r>
      <w:r w:rsidRPr="00C30EA5">
        <w:rPr>
          <w:rFonts w:cstheme="minorHAnsi"/>
          <w:spacing w:val="-4"/>
        </w:rPr>
        <w:t>.</w:t>
      </w:r>
    </w:p>
    <w:p w14:paraId="710BAD4F" w14:textId="42DECA4A" w:rsidR="00581BEC" w:rsidRPr="00C814BC" w:rsidRDefault="008F31DB" w:rsidP="00C814BC">
      <w:pPr>
        <w:pStyle w:val="ListParagraph"/>
        <w:numPr>
          <w:ilvl w:val="0"/>
          <w:numId w:val="45"/>
        </w:numPr>
        <w:spacing w:after="80" w:line="240" w:lineRule="auto"/>
        <w:ind w:left="369" w:hanging="369"/>
        <w:contextualSpacing w:val="0"/>
        <w:rPr>
          <w:lang w:val="en-US"/>
        </w:rPr>
      </w:pPr>
      <w:r w:rsidRPr="00581BEC">
        <w:rPr>
          <w:rFonts w:cstheme="minorHAnsi"/>
        </w:rPr>
        <w:t xml:space="preserve">The size of </w:t>
      </w:r>
      <w:r w:rsidR="00441759">
        <w:rPr>
          <w:rFonts w:cstheme="minorHAnsi"/>
        </w:rPr>
        <w:t xml:space="preserve">new </w:t>
      </w:r>
      <w:r w:rsidRPr="00581BEC">
        <w:rPr>
          <w:rFonts w:cstheme="minorHAnsi"/>
        </w:rPr>
        <w:t>residential lots continue</w:t>
      </w:r>
      <w:r w:rsidR="00441759">
        <w:rPr>
          <w:rFonts w:cstheme="minorHAnsi"/>
        </w:rPr>
        <w:t>s</w:t>
      </w:r>
      <w:r w:rsidRPr="00581BEC">
        <w:rPr>
          <w:rFonts w:cstheme="minorHAnsi"/>
        </w:rPr>
        <w:t xml:space="preserve"> to decrease</w:t>
      </w:r>
      <w:r w:rsidR="00006F42">
        <w:rPr>
          <w:rFonts w:cstheme="minorHAnsi"/>
        </w:rPr>
        <w:t xml:space="preserve"> with</w:t>
      </w:r>
      <w:r w:rsidRPr="00581BEC">
        <w:rPr>
          <w:rFonts w:cstheme="minorHAnsi"/>
        </w:rPr>
        <w:t xml:space="preserve"> </w:t>
      </w:r>
      <w:r w:rsidR="009B5D3C" w:rsidRPr="00581BEC">
        <w:rPr>
          <w:rFonts w:cstheme="minorHAnsi"/>
        </w:rPr>
        <w:t>three quarters</w:t>
      </w:r>
      <w:r w:rsidRPr="00581BEC">
        <w:rPr>
          <w:rFonts w:cstheme="minorHAnsi"/>
        </w:rPr>
        <w:t xml:space="preserve"> of all lots constructed </w:t>
      </w:r>
      <w:r w:rsidR="00006F42">
        <w:rPr>
          <w:rFonts w:cstheme="minorHAnsi"/>
        </w:rPr>
        <w:t xml:space="preserve">in </w:t>
      </w:r>
      <w:r w:rsidRPr="00581BEC">
        <w:rPr>
          <w:rFonts w:cstheme="minorHAnsi"/>
        </w:rPr>
        <w:t>Melbourne's growth areas</w:t>
      </w:r>
      <w:r w:rsidR="00006F42">
        <w:rPr>
          <w:rFonts w:cstheme="minorHAnsi"/>
        </w:rPr>
        <w:t xml:space="preserve"> in 2015-16</w:t>
      </w:r>
      <w:r w:rsidRPr="00581BEC">
        <w:rPr>
          <w:rFonts w:cstheme="minorHAnsi"/>
        </w:rPr>
        <w:t xml:space="preserve"> below 500 square metres</w:t>
      </w:r>
      <w:r w:rsidR="00581BEC">
        <w:rPr>
          <w:rFonts w:cstheme="minorHAnsi"/>
        </w:rPr>
        <w:t>.</w:t>
      </w:r>
    </w:p>
    <w:p w14:paraId="16C603B4" w14:textId="73D7CEF1" w:rsidR="008F31DB" w:rsidRPr="00581BEC" w:rsidRDefault="008F31DB" w:rsidP="00581BEC">
      <w:pPr>
        <w:pStyle w:val="ListParagraph"/>
        <w:numPr>
          <w:ilvl w:val="0"/>
          <w:numId w:val="45"/>
        </w:numPr>
        <w:spacing w:after="200" w:line="240" w:lineRule="auto"/>
        <w:ind w:left="369" w:hanging="369"/>
        <w:rPr>
          <w:lang w:val="en-US"/>
        </w:rPr>
      </w:pPr>
      <w:r w:rsidRPr="00581BEC">
        <w:rPr>
          <w:rFonts w:cstheme="minorHAnsi"/>
        </w:rPr>
        <w:t xml:space="preserve">While there is a significant supply of development ready </w:t>
      </w:r>
      <w:proofErr w:type="spellStart"/>
      <w:r w:rsidRPr="00581BEC">
        <w:rPr>
          <w:rFonts w:cstheme="minorHAnsi"/>
        </w:rPr>
        <w:t>broadhectare</w:t>
      </w:r>
      <w:proofErr w:type="spellEnd"/>
      <w:r w:rsidRPr="00581BEC">
        <w:rPr>
          <w:rFonts w:cstheme="minorHAnsi"/>
        </w:rPr>
        <w:t xml:space="preserve"> lots across</w:t>
      </w:r>
      <w:r w:rsidR="009B5D3C" w:rsidRPr="00581BEC">
        <w:rPr>
          <w:rFonts w:cstheme="minorHAnsi"/>
        </w:rPr>
        <w:t xml:space="preserve"> metropolitan Melbourne</w:t>
      </w:r>
      <w:r w:rsidRPr="00581BEC">
        <w:rPr>
          <w:rFonts w:cstheme="minorHAnsi"/>
        </w:rPr>
        <w:t xml:space="preserve">, Whittlesea has around 4-5 years of approved lot supply. With the pending approval of further precinct structure plans this </w:t>
      </w:r>
      <w:r w:rsidR="00081CCD">
        <w:rPr>
          <w:rFonts w:cstheme="minorHAnsi"/>
        </w:rPr>
        <w:t>will</w:t>
      </w:r>
      <w:r w:rsidRPr="00581BEC">
        <w:rPr>
          <w:rFonts w:cstheme="minorHAnsi"/>
        </w:rPr>
        <w:t xml:space="preserve"> </w:t>
      </w:r>
      <w:r w:rsidR="00B964D6">
        <w:rPr>
          <w:rFonts w:cstheme="minorHAnsi"/>
        </w:rPr>
        <w:t>increase</w:t>
      </w:r>
      <w:r w:rsidRPr="00581BEC">
        <w:rPr>
          <w:rFonts w:cstheme="minorHAnsi"/>
        </w:rPr>
        <w:t>.</w:t>
      </w:r>
    </w:p>
    <w:p w14:paraId="4588C4FE" w14:textId="77777777" w:rsidR="008F31DB" w:rsidRPr="008F31DB" w:rsidRDefault="008F31DB" w:rsidP="00F35105">
      <w:pPr>
        <w:spacing w:after="120" w:line="240" w:lineRule="auto"/>
        <w:ind w:right="-284"/>
        <w:rPr>
          <w:lang w:val="en-US"/>
        </w:rPr>
      </w:pPr>
    </w:p>
    <w:p w14:paraId="2AFA0B62" w14:textId="77777777" w:rsidR="008F31DB" w:rsidRPr="008F31DB" w:rsidRDefault="008F31DB" w:rsidP="008F31DB">
      <w:pPr>
        <w:pStyle w:val="BodyText"/>
        <w:rPr>
          <w:b/>
        </w:rPr>
      </w:pPr>
      <w:r w:rsidRPr="008F31DB">
        <w:rPr>
          <w:b/>
        </w:rPr>
        <w:t>Industrial Land</w:t>
      </w:r>
    </w:p>
    <w:p w14:paraId="5593708A" w14:textId="49A1E307" w:rsidR="008F31DB" w:rsidRPr="002B6CCF" w:rsidRDefault="008F31DB" w:rsidP="008F31DB">
      <w:pPr>
        <w:pStyle w:val="ListParagraph"/>
        <w:numPr>
          <w:ilvl w:val="0"/>
          <w:numId w:val="46"/>
        </w:numPr>
        <w:spacing w:after="80" w:line="240" w:lineRule="auto"/>
        <w:ind w:left="369" w:hanging="369"/>
        <w:contextualSpacing w:val="0"/>
        <w:rPr>
          <w:rFonts w:cstheme="minorHAnsi"/>
        </w:rPr>
      </w:pPr>
      <w:r w:rsidRPr="002B6CCF">
        <w:rPr>
          <w:rFonts w:cstheme="minorHAnsi"/>
        </w:rPr>
        <w:t>There are 25,</w:t>
      </w:r>
      <w:r>
        <w:rPr>
          <w:rFonts w:cstheme="minorHAnsi"/>
        </w:rPr>
        <w:t>860</w:t>
      </w:r>
      <w:r w:rsidRPr="002B6CCF">
        <w:rPr>
          <w:rFonts w:cstheme="minorHAnsi"/>
        </w:rPr>
        <w:t xml:space="preserve"> hectares of industrially zoned land across metropolitan Melbourne </w:t>
      </w:r>
      <w:r w:rsidR="00006F42">
        <w:rPr>
          <w:rFonts w:cstheme="minorHAnsi"/>
        </w:rPr>
        <w:t>of which</w:t>
      </w:r>
      <w:r w:rsidR="00F35105">
        <w:rPr>
          <w:rFonts w:cstheme="minorHAnsi"/>
        </w:rPr>
        <w:t xml:space="preserve"> </w:t>
      </w:r>
      <w:r>
        <w:rPr>
          <w:rFonts w:cstheme="minorHAnsi"/>
        </w:rPr>
        <w:t>6</w:t>
      </w:r>
      <w:r w:rsidRPr="002B6CCF">
        <w:rPr>
          <w:rFonts w:cstheme="minorHAnsi"/>
        </w:rPr>
        <w:t>,</w:t>
      </w:r>
      <w:r>
        <w:rPr>
          <w:rFonts w:cstheme="minorHAnsi"/>
        </w:rPr>
        <w:t>870</w:t>
      </w:r>
      <w:r w:rsidRPr="002B6CCF">
        <w:rPr>
          <w:rFonts w:cstheme="minorHAnsi"/>
        </w:rPr>
        <w:t xml:space="preserve"> hectares </w:t>
      </w:r>
      <w:r w:rsidR="00006F42">
        <w:rPr>
          <w:rFonts w:cstheme="minorHAnsi"/>
        </w:rPr>
        <w:t>is</w:t>
      </w:r>
      <w:r w:rsidRPr="002B6CCF">
        <w:rPr>
          <w:rFonts w:cstheme="minorHAnsi"/>
        </w:rPr>
        <w:t xml:space="preserve"> vacant. Two thirds of the vacant industrial land (4,</w:t>
      </w:r>
      <w:r>
        <w:rPr>
          <w:rFonts w:cstheme="minorHAnsi"/>
        </w:rPr>
        <w:t>520</w:t>
      </w:r>
      <w:r w:rsidRPr="002B6CCF">
        <w:rPr>
          <w:rFonts w:cstheme="minorHAnsi"/>
        </w:rPr>
        <w:t xml:space="preserve"> hectares) is located within State Significant Industrial Precincts (SSIP).</w:t>
      </w:r>
    </w:p>
    <w:p w14:paraId="145131FB" w14:textId="32E3503A" w:rsidR="008F31DB" w:rsidRPr="00097BE3" w:rsidRDefault="00581BEC" w:rsidP="008F31DB">
      <w:pPr>
        <w:pStyle w:val="ListParagraph"/>
        <w:numPr>
          <w:ilvl w:val="0"/>
          <w:numId w:val="46"/>
        </w:numPr>
        <w:spacing w:after="80" w:line="240" w:lineRule="auto"/>
        <w:ind w:left="369" w:hanging="369"/>
        <w:contextualSpacing w:val="0"/>
        <w:rPr>
          <w:lang w:val="en-US"/>
        </w:rPr>
      </w:pPr>
      <w:r>
        <w:rPr>
          <w:rFonts w:cstheme="minorHAnsi"/>
        </w:rPr>
        <w:t>In 2015-16</w:t>
      </w:r>
      <w:r w:rsidR="00C814BC">
        <w:rPr>
          <w:rFonts w:cstheme="minorHAnsi"/>
        </w:rPr>
        <w:t>,</w:t>
      </w:r>
      <w:r>
        <w:rPr>
          <w:rFonts w:cstheme="minorHAnsi"/>
        </w:rPr>
        <w:t xml:space="preserve"> consumption of industrial </w:t>
      </w:r>
      <w:r w:rsidR="00C814BC">
        <w:rPr>
          <w:rFonts w:cstheme="minorHAnsi"/>
        </w:rPr>
        <w:t xml:space="preserve">land in metropolitan Melbourne </w:t>
      </w:r>
      <w:r>
        <w:rPr>
          <w:rFonts w:cstheme="minorHAnsi"/>
        </w:rPr>
        <w:t xml:space="preserve">reached 298 hectares. </w:t>
      </w:r>
      <w:r w:rsidR="00C814BC">
        <w:rPr>
          <w:rFonts w:cstheme="minorHAnsi"/>
        </w:rPr>
        <w:t xml:space="preserve">This </w:t>
      </w:r>
      <w:r w:rsidR="00D871E1">
        <w:rPr>
          <w:rFonts w:cstheme="minorHAnsi"/>
        </w:rPr>
        <w:t>is</w:t>
      </w:r>
      <w:r w:rsidR="00C814BC">
        <w:rPr>
          <w:rFonts w:cstheme="minorHAnsi"/>
        </w:rPr>
        <w:t xml:space="preserve"> the first time since the Global Financial Crisis (GFC) that industrial land consumption has reached the same levels </w:t>
      </w:r>
      <w:r w:rsidR="00D871E1">
        <w:rPr>
          <w:rFonts w:cstheme="minorHAnsi"/>
        </w:rPr>
        <w:t xml:space="preserve">(averaging </w:t>
      </w:r>
      <w:r w:rsidR="00C814BC">
        <w:rPr>
          <w:rFonts w:cstheme="minorHAnsi"/>
        </w:rPr>
        <w:t>300 hectares per year</w:t>
      </w:r>
      <w:r w:rsidR="00D871E1">
        <w:rPr>
          <w:rFonts w:cstheme="minorHAnsi"/>
        </w:rPr>
        <w:t xml:space="preserve">) experienced </w:t>
      </w:r>
      <w:r w:rsidR="00C814BC">
        <w:rPr>
          <w:rFonts w:cstheme="minorHAnsi"/>
        </w:rPr>
        <w:t>prior to the GFC.</w:t>
      </w:r>
    </w:p>
    <w:p w14:paraId="7C689F24" w14:textId="63D3171F" w:rsidR="00006F42" w:rsidRDefault="008F31DB" w:rsidP="008F31DB">
      <w:pPr>
        <w:pStyle w:val="ListParagraph"/>
        <w:numPr>
          <w:ilvl w:val="0"/>
          <w:numId w:val="46"/>
        </w:numPr>
        <w:spacing w:after="80" w:line="240" w:lineRule="auto"/>
        <w:ind w:left="369" w:hanging="369"/>
        <w:contextualSpacing w:val="0"/>
        <w:rPr>
          <w:lang w:val="en-US"/>
        </w:rPr>
      </w:pPr>
      <w:r w:rsidRPr="00EE740B">
        <w:rPr>
          <w:lang w:val="en-US"/>
        </w:rPr>
        <w:t xml:space="preserve">The West SSIP </w:t>
      </w:r>
      <w:r w:rsidR="00006F42">
        <w:rPr>
          <w:lang w:val="en-US"/>
        </w:rPr>
        <w:t>has the</w:t>
      </w:r>
      <w:r w:rsidRPr="00EE740B">
        <w:rPr>
          <w:lang w:val="en-US"/>
        </w:rPr>
        <w:t xml:space="preserve"> highest annual average rate of industrial land consumption at approximately 80 hectares per annum</w:t>
      </w:r>
      <w:r w:rsidR="00006F42">
        <w:rPr>
          <w:lang w:val="en-US"/>
        </w:rPr>
        <w:t>, followed by the</w:t>
      </w:r>
      <w:r w:rsidRPr="00EE740B">
        <w:rPr>
          <w:lang w:val="en-US"/>
        </w:rPr>
        <w:t xml:space="preserve"> South SSIP </w:t>
      </w:r>
      <w:r w:rsidR="00006F42">
        <w:rPr>
          <w:lang w:val="en-US"/>
        </w:rPr>
        <w:t>with an annual</w:t>
      </w:r>
      <w:r>
        <w:rPr>
          <w:lang w:val="en-US"/>
        </w:rPr>
        <w:t xml:space="preserve"> average level of consumption</w:t>
      </w:r>
      <w:r w:rsidR="00581BEC">
        <w:rPr>
          <w:lang w:val="en-US"/>
        </w:rPr>
        <w:t xml:space="preserve"> of </w:t>
      </w:r>
      <w:r w:rsidR="00C814BC">
        <w:rPr>
          <w:lang w:val="en-US"/>
        </w:rPr>
        <w:t>45 hectares per year</w:t>
      </w:r>
      <w:r w:rsidRPr="00EE740B">
        <w:rPr>
          <w:lang w:val="en-US"/>
        </w:rPr>
        <w:t>.</w:t>
      </w:r>
      <w:r w:rsidR="00420345">
        <w:rPr>
          <w:lang w:val="en-US"/>
        </w:rPr>
        <w:t xml:space="preserve"> </w:t>
      </w:r>
    </w:p>
    <w:p w14:paraId="09F7277B" w14:textId="042BABE0" w:rsidR="008F31DB" w:rsidRPr="00097BE3" w:rsidRDefault="00730D0F" w:rsidP="008F31DB">
      <w:pPr>
        <w:pStyle w:val="ListParagraph"/>
        <w:numPr>
          <w:ilvl w:val="0"/>
          <w:numId w:val="46"/>
        </w:numPr>
        <w:spacing w:after="80" w:line="240" w:lineRule="auto"/>
        <w:ind w:left="369" w:hanging="369"/>
        <w:contextualSpacing w:val="0"/>
        <w:rPr>
          <w:lang w:val="en-US"/>
        </w:rPr>
        <w:sectPr w:rsidR="008F31DB" w:rsidRPr="00097BE3" w:rsidSect="00A413B9">
          <w:pgSz w:w="11907" w:h="16840" w:code="9"/>
          <w:pgMar w:top="1134" w:right="1134" w:bottom="425" w:left="1134" w:header="709" w:footer="567" w:gutter="0"/>
          <w:cols w:space="708"/>
          <w:formProt w:val="0"/>
          <w:titlePg/>
          <w:docGrid w:linePitch="360"/>
        </w:sectPr>
      </w:pPr>
      <w:r>
        <w:rPr>
          <w:lang w:val="en-US"/>
        </w:rPr>
        <w:t>T</w:t>
      </w:r>
      <w:r w:rsidR="00224756">
        <w:rPr>
          <w:lang w:val="en-US"/>
        </w:rPr>
        <w:t xml:space="preserve">he South SSIP has the smallest amount of vacant land </w:t>
      </w:r>
      <w:r w:rsidR="00D871E1">
        <w:rPr>
          <w:lang w:val="en-US"/>
        </w:rPr>
        <w:t xml:space="preserve">of the SSIPs </w:t>
      </w:r>
      <w:r w:rsidR="00C814BC">
        <w:rPr>
          <w:lang w:val="en-US"/>
        </w:rPr>
        <w:t xml:space="preserve">with </w:t>
      </w:r>
      <w:r w:rsidR="00F35105">
        <w:rPr>
          <w:lang w:val="en-US"/>
        </w:rPr>
        <w:t xml:space="preserve">674 </w:t>
      </w:r>
      <w:r w:rsidR="00B964D6">
        <w:rPr>
          <w:lang w:val="en-US"/>
        </w:rPr>
        <w:t>hectares</w:t>
      </w:r>
      <w:r w:rsidR="00523573">
        <w:rPr>
          <w:lang w:val="en-US"/>
        </w:rPr>
        <w:t>. In comparison</w:t>
      </w:r>
      <w:r>
        <w:rPr>
          <w:lang w:val="en-US"/>
        </w:rPr>
        <w:t xml:space="preserve"> the West SSIP </w:t>
      </w:r>
      <w:r w:rsidR="00523573">
        <w:rPr>
          <w:lang w:val="en-US"/>
        </w:rPr>
        <w:t>has</w:t>
      </w:r>
      <w:r w:rsidR="00A91855">
        <w:rPr>
          <w:lang w:val="en-US"/>
        </w:rPr>
        <w:t xml:space="preserve"> 1,85</w:t>
      </w:r>
      <w:r w:rsidR="00006F42">
        <w:rPr>
          <w:lang w:val="en-US"/>
        </w:rPr>
        <w:t>7</w:t>
      </w:r>
      <w:r w:rsidR="006D32A9">
        <w:rPr>
          <w:lang w:val="en-US"/>
        </w:rPr>
        <w:t xml:space="preserve"> hectares</w:t>
      </w:r>
      <w:r w:rsidR="00224756">
        <w:rPr>
          <w:lang w:val="en-US"/>
        </w:rPr>
        <w:t>.</w:t>
      </w:r>
    </w:p>
    <w:p w14:paraId="69B23D1F" w14:textId="77777777" w:rsidR="008F31DB" w:rsidRPr="00BD5E06" w:rsidRDefault="008F31DB" w:rsidP="00A413B9">
      <w:pPr>
        <w:pStyle w:val="Heading1TopofPage"/>
        <w:framePr w:wrap="around"/>
      </w:pPr>
      <w:bookmarkStart w:id="3" w:name="_Toc435691179"/>
      <w:bookmarkStart w:id="4" w:name="_Toc473558965"/>
      <w:r w:rsidRPr="00BD5E06">
        <w:lastRenderedPageBreak/>
        <w:t>1 Introduction</w:t>
      </w:r>
      <w:bookmarkEnd w:id="3"/>
      <w:bookmarkEnd w:id="4"/>
      <w:r w:rsidRPr="00BD5E06">
        <w:t xml:space="preserve"> </w:t>
      </w:r>
    </w:p>
    <w:p w14:paraId="75DFCB3D" w14:textId="77777777" w:rsidR="008F31DB" w:rsidRDefault="008F31DB" w:rsidP="00962295">
      <w:pPr>
        <w:rPr>
          <w:szCs w:val="22"/>
        </w:rPr>
      </w:pPr>
      <w:r w:rsidRPr="00C16BAC">
        <w:rPr>
          <w:szCs w:val="22"/>
        </w:rPr>
        <w:t>The 201</w:t>
      </w:r>
      <w:r>
        <w:rPr>
          <w:szCs w:val="22"/>
        </w:rPr>
        <w:t>6</w:t>
      </w:r>
      <w:r w:rsidRPr="00C16BAC">
        <w:rPr>
          <w:szCs w:val="22"/>
        </w:rPr>
        <w:t xml:space="preserve"> Urban Development Program Report provides an updated analysis of supply and demand for residential and industrial land across metropolitan Melbourne.</w:t>
      </w:r>
    </w:p>
    <w:p w14:paraId="10338C44" w14:textId="77777777" w:rsidR="00962295" w:rsidRPr="00C16BAC" w:rsidRDefault="00962295" w:rsidP="00962295">
      <w:pPr>
        <w:rPr>
          <w:szCs w:val="22"/>
        </w:rPr>
      </w:pPr>
    </w:p>
    <w:p w14:paraId="2584E277" w14:textId="22D2AA0D" w:rsidR="008F31DB" w:rsidRDefault="008F31DB" w:rsidP="00962295">
      <w:pPr>
        <w:rPr>
          <w:rFonts w:ascii="Helv" w:eastAsiaTheme="minorHAnsi" w:hAnsi="Helv" w:cs="Helv"/>
          <w:color w:val="000000"/>
        </w:rPr>
      </w:pPr>
      <w:r>
        <w:rPr>
          <w:rFonts w:ascii="Helv" w:eastAsiaTheme="minorHAnsi" w:hAnsi="Helv" w:cs="Helv"/>
          <w:color w:val="000000"/>
        </w:rPr>
        <w:t>This is the thirteenth annual edition of the Urban Development Program. The program aims to ensure ongoing provision of residential and industrial land and supporting infrastructure. Information and feedback is drawn from across State and Local Government.</w:t>
      </w:r>
    </w:p>
    <w:p w14:paraId="0C2060E1" w14:textId="77777777" w:rsidR="00962295" w:rsidRDefault="00962295" w:rsidP="00962295">
      <w:pPr>
        <w:rPr>
          <w:szCs w:val="22"/>
        </w:rPr>
      </w:pPr>
    </w:p>
    <w:p w14:paraId="75F0BA15" w14:textId="768E3DBC" w:rsidR="008F31DB" w:rsidRDefault="008F31DB" w:rsidP="00962295">
      <w:pPr>
        <w:rPr>
          <w:szCs w:val="22"/>
        </w:rPr>
      </w:pPr>
      <w:r>
        <w:rPr>
          <w:szCs w:val="22"/>
        </w:rPr>
        <w:t>The information included within the Urban Development Program is updated annually, and during 2015-16, there were revisions to the associated databases in order to provide more accurate and up-to-date information.</w:t>
      </w:r>
    </w:p>
    <w:p w14:paraId="13B592D9" w14:textId="77777777" w:rsidR="00962295" w:rsidRDefault="00962295" w:rsidP="00962295">
      <w:pPr>
        <w:rPr>
          <w:szCs w:val="22"/>
        </w:rPr>
      </w:pPr>
    </w:p>
    <w:p w14:paraId="2F1FA314" w14:textId="6820AC34" w:rsidR="008F31DB" w:rsidRDefault="008F31DB" w:rsidP="00962295">
      <w:pPr>
        <w:rPr>
          <w:szCs w:val="22"/>
        </w:rPr>
      </w:pPr>
      <w:r w:rsidRPr="00C16BAC">
        <w:rPr>
          <w:szCs w:val="22"/>
        </w:rPr>
        <w:t xml:space="preserve">This report outlines the main findings </w:t>
      </w:r>
      <w:r>
        <w:rPr>
          <w:szCs w:val="22"/>
        </w:rPr>
        <w:t>of the 2016 program</w:t>
      </w:r>
      <w:r w:rsidRPr="00C16BAC">
        <w:rPr>
          <w:szCs w:val="22"/>
        </w:rPr>
        <w:t xml:space="preserve">. Comprehensive data and maps are also available from the </w:t>
      </w:r>
      <w:r w:rsidR="002B0D41">
        <w:rPr>
          <w:szCs w:val="22"/>
        </w:rPr>
        <w:t>planning portal</w:t>
      </w:r>
      <w:r w:rsidRPr="00C16BAC">
        <w:rPr>
          <w:szCs w:val="22"/>
        </w:rPr>
        <w:t>, at</w:t>
      </w:r>
      <w:r w:rsidR="00E54C27">
        <w:rPr>
          <w:szCs w:val="22"/>
        </w:rPr>
        <w:t xml:space="preserve"> </w:t>
      </w:r>
      <w:hyperlink r:id="rId22" w:history="1">
        <w:r w:rsidR="00962295" w:rsidRPr="00D47BAC">
          <w:rPr>
            <w:rStyle w:val="Hyperlink"/>
            <w:szCs w:val="22"/>
          </w:rPr>
          <w:t>www.planning.vic.gov.au</w:t>
        </w:r>
      </w:hyperlink>
    </w:p>
    <w:p w14:paraId="37CF46CE" w14:textId="77777777" w:rsidR="00962295" w:rsidRPr="00C16BAC" w:rsidRDefault="00962295" w:rsidP="00962295">
      <w:pPr>
        <w:rPr>
          <w:szCs w:val="22"/>
        </w:rPr>
      </w:pPr>
    </w:p>
    <w:p w14:paraId="6BBFFC06" w14:textId="77777777" w:rsidR="008F31DB" w:rsidRDefault="008F31DB" w:rsidP="00962295">
      <w:pPr>
        <w:rPr>
          <w:szCs w:val="22"/>
        </w:rPr>
      </w:pPr>
      <w:r w:rsidRPr="00C16BAC">
        <w:rPr>
          <w:szCs w:val="22"/>
        </w:rPr>
        <w:t>The Urban Development Program consists of three components:</w:t>
      </w:r>
    </w:p>
    <w:p w14:paraId="487B3B1B" w14:textId="77777777" w:rsidR="00962295" w:rsidRPr="00C16BAC" w:rsidRDefault="00962295" w:rsidP="00962295">
      <w:pPr>
        <w:rPr>
          <w:szCs w:val="22"/>
        </w:rPr>
      </w:pPr>
    </w:p>
    <w:p w14:paraId="3F345024" w14:textId="68D35F76" w:rsidR="008F31DB" w:rsidRDefault="008F31DB" w:rsidP="00962295">
      <w:pPr>
        <w:rPr>
          <w:szCs w:val="22"/>
        </w:rPr>
      </w:pPr>
      <w:r w:rsidRPr="00C16BAC">
        <w:rPr>
          <w:b/>
          <w:i/>
          <w:szCs w:val="22"/>
        </w:rPr>
        <w:t>Major</w:t>
      </w:r>
      <w:r w:rsidRPr="00C16BAC">
        <w:rPr>
          <w:szCs w:val="22"/>
        </w:rPr>
        <w:t xml:space="preserve"> </w:t>
      </w:r>
      <w:r w:rsidRPr="00C16BAC">
        <w:rPr>
          <w:b/>
          <w:i/>
          <w:szCs w:val="22"/>
        </w:rPr>
        <w:t xml:space="preserve">residential redevelopment projects - </w:t>
      </w:r>
      <w:r w:rsidRPr="00C16BAC">
        <w:rPr>
          <w:szCs w:val="22"/>
        </w:rPr>
        <w:t>information on residential projects of 10 or more dwellings on non-</w:t>
      </w:r>
      <w:proofErr w:type="spellStart"/>
      <w:r w:rsidRPr="00C16BAC">
        <w:rPr>
          <w:szCs w:val="22"/>
        </w:rPr>
        <w:t>broadhectare</w:t>
      </w:r>
      <w:proofErr w:type="spellEnd"/>
      <w:r w:rsidRPr="00C16BAC">
        <w:rPr>
          <w:szCs w:val="22"/>
        </w:rPr>
        <w:t xml:space="preserve"> land that is either planned or mooted to commence construction over the next ten years.</w:t>
      </w:r>
      <w:r w:rsidR="00FA4BC4">
        <w:rPr>
          <w:szCs w:val="22"/>
        </w:rPr>
        <w:t xml:space="preserve"> Note that s</w:t>
      </w:r>
      <w:r w:rsidR="00FA4BC4" w:rsidRPr="00FA4BC4">
        <w:rPr>
          <w:szCs w:val="22"/>
        </w:rPr>
        <w:t>mall scale infill redevelopment projects of less than 10 dwellings are not currently included in the Urban Development Program. These types of dwellings make up approximately half of dwellings added to the housing stock in the established areas of metropolitan Melbourne each year. They are not included in the Urban Development Program report because small scale redevelopment is more difficult to identify using the existing method</w:t>
      </w:r>
    </w:p>
    <w:p w14:paraId="3A974A15" w14:textId="77777777" w:rsidR="00962295" w:rsidRPr="00C16BAC" w:rsidRDefault="00962295" w:rsidP="00962295">
      <w:pPr>
        <w:rPr>
          <w:szCs w:val="22"/>
        </w:rPr>
      </w:pPr>
    </w:p>
    <w:p w14:paraId="54F34686" w14:textId="77777777" w:rsidR="008F31DB" w:rsidRDefault="008F31DB" w:rsidP="00962295">
      <w:pPr>
        <w:rPr>
          <w:szCs w:val="22"/>
        </w:rPr>
      </w:pPr>
      <w:proofErr w:type="spellStart"/>
      <w:r w:rsidRPr="00C16BAC">
        <w:rPr>
          <w:b/>
          <w:i/>
          <w:szCs w:val="22"/>
        </w:rPr>
        <w:t>Broadhectare</w:t>
      </w:r>
      <w:proofErr w:type="spellEnd"/>
      <w:r w:rsidRPr="00C16BAC">
        <w:rPr>
          <w:b/>
          <w:i/>
          <w:szCs w:val="22"/>
        </w:rPr>
        <w:t xml:space="preserve"> residential land - </w:t>
      </w:r>
      <w:r w:rsidRPr="00C16BAC">
        <w:rPr>
          <w:szCs w:val="22"/>
        </w:rPr>
        <w:t xml:space="preserve">information on the supply and construction of </w:t>
      </w:r>
      <w:proofErr w:type="spellStart"/>
      <w:r w:rsidRPr="00C16BAC">
        <w:rPr>
          <w:szCs w:val="22"/>
        </w:rPr>
        <w:t>broadhectare</w:t>
      </w:r>
      <w:proofErr w:type="spellEnd"/>
      <w:r w:rsidRPr="00C16BAC">
        <w:rPr>
          <w:szCs w:val="22"/>
        </w:rPr>
        <w:t xml:space="preserve"> land across metropolitan Melbourne, including estimated lot yields. This includes land which is either zoned or has an approved precinct structure plan, as well as land that has been identified for residential development where an approved precinct structure plan is required to commence development.</w:t>
      </w:r>
    </w:p>
    <w:p w14:paraId="5901E836" w14:textId="77777777" w:rsidR="00962295" w:rsidRPr="00C16BAC" w:rsidRDefault="00962295" w:rsidP="00962295">
      <w:pPr>
        <w:rPr>
          <w:szCs w:val="22"/>
        </w:rPr>
      </w:pPr>
    </w:p>
    <w:p w14:paraId="13E56D88" w14:textId="77777777" w:rsidR="008F31DB" w:rsidRDefault="008F31DB" w:rsidP="00962295">
      <w:pPr>
        <w:rPr>
          <w:szCs w:val="22"/>
        </w:rPr>
      </w:pPr>
      <w:r w:rsidRPr="00C16BAC">
        <w:rPr>
          <w:b/>
          <w:i/>
          <w:szCs w:val="22"/>
        </w:rPr>
        <w:t xml:space="preserve">Industrial land - </w:t>
      </w:r>
      <w:r w:rsidRPr="00C16BAC">
        <w:rPr>
          <w:szCs w:val="22"/>
        </w:rPr>
        <w:t>information on the supply and consumption of industrial land across metropolitan Melbourne, as well as indicators on the zoning changes of industrial land.</w:t>
      </w:r>
    </w:p>
    <w:p w14:paraId="710D6640" w14:textId="77777777" w:rsidR="00962295" w:rsidRPr="00C16BAC" w:rsidRDefault="00962295" w:rsidP="00962295">
      <w:pPr>
        <w:rPr>
          <w:szCs w:val="22"/>
        </w:rPr>
      </w:pPr>
    </w:p>
    <w:p w14:paraId="63A7AEA1" w14:textId="2CEB5D69" w:rsidR="008F31DB" w:rsidRDefault="008F31DB" w:rsidP="00962295">
      <w:pPr>
        <w:rPr>
          <w:szCs w:val="22"/>
        </w:rPr>
      </w:pPr>
      <w:r w:rsidRPr="00C16BAC">
        <w:rPr>
          <w:szCs w:val="22"/>
        </w:rPr>
        <w:t xml:space="preserve">The </w:t>
      </w:r>
      <w:r w:rsidRPr="00C16BAC">
        <w:rPr>
          <w:i/>
          <w:szCs w:val="22"/>
        </w:rPr>
        <w:t>Plan Melbourne</w:t>
      </w:r>
      <w:r w:rsidRPr="00C16BAC">
        <w:rPr>
          <w:szCs w:val="22"/>
        </w:rPr>
        <w:t xml:space="preserve"> </w:t>
      </w:r>
      <w:r w:rsidRPr="00C16BAC">
        <w:rPr>
          <w:i/>
          <w:szCs w:val="22"/>
        </w:rPr>
        <w:t>Refresh</w:t>
      </w:r>
      <w:r w:rsidRPr="00C16BAC">
        <w:rPr>
          <w:szCs w:val="22"/>
        </w:rPr>
        <w:t xml:space="preserve"> </w:t>
      </w:r>
      <w:r w:rsidRPr="00C16BAC">
        <w:rPr>
          <w:i/>
          <w:szCs w:val="22"/>
        </w:rPr>
        <w:t>Discussion Paper</w:t>
      </w:r>
      <w:r w:rsidRPr="00C16BAC">
        <w:rPr>
          <w:szCs w:val="22"/>
        </w:rPr>
        <w:t xml:space="preserve"> indicates that Melbourne’s population is expected to increase from 4.4 million to 7.</w:t>
      </w:r>
      <w:r>
        <w:rPr>
          <w:szCs w:val="22"/>
        </w:rPr>
        <w:t>9</w:t>
      </w:r>
      <w:r w:rsidRPr="00C16BAC">
        <w:rPr>
          <w:szCs w:val="22"/>
        </w:rPr>
        <w:t xml:space="preserve"> million by 2051, requiring an additional 1.5 million homes to accommodate this growth. It also </w:t>
      </w:r>
      <w:r w:rsidR="006C635E">
        <w:rPr>
          <w:szCs w:val="22"/>
        </w:rPr>
        <w:t>seeks to promote</w:t>
      </w:r>
      <w:r w:rsidRPr="00C16BAC">
        <w:rPr>
          <w:szCs w:val="22"/>
        </w:rPr>
        <w:t xml:space="preserve"> housing supply in areas located close to workplaces, infrastructure, facilities, services and open space.</w:t>
      </w:r>
    </w:p>
    <w:p w14:paraId="2A189532" w14:textId="77777777" w:rsidR="00962295" w:rsidRPr="00C16BAC" w:rsidRDefault="00962295" w:rsidP="00962295">
      <w:pPr>
        <w:rPr>
          <w:szCs w:val="22"/>
        </w:rPr>
      </w:pPr>
    </w:p>
    <w:p w14:paraId="32E3477B" w14:textId="52FF38DE" w:rsidR="008F31DB" w:rsidRDefault="008F31DB" w:rsidP="00962295">
      <w:pPr>
        <w:rPr>
          <w:szCs w:val="22"/>
        </w:rPr>
      </w:pPr>
      <w:r w:rsidRPr="00C16BAC">
        <w:rPr>
          <w:szCs w:val="22"/>
        </w:rPr>
        <w:t xml:space="preserve">The Urban Development Program will continue to report on the location and stocks of land identified for residential development, both within the established areas of Melbourne as well as </w:t>
      </w:r>
      <w:r>
        <w:rPr>
          <w:szCs w:val="22"/>
        </w:rPr>
        <w:t xml:space="preserve">its </w:t>
      </w:r>
      <w:r w:rsidRPr="00C16BAC">
        <w:rPr>
          <w:szCs w:val="22"/>
        </w:rPr>
        <w:t>growth areas</w:t>
      </w:r>
      <w:r>
        <w:rPr>
          <w:szCs w:val="22"/>
        </w:rPr>
        <w:t>.</w:t>
      </w:r>
      <w:r w:rsidR="00753AC9">
        <w:rPr>
          <w:szCs w:val="22"/>
        </w:rPr>
        <w:t xml:space="preserve"> </w:t>
      </w:r>
      <w:r>
        <w:rPr>
          <w:szCs w:val="22"/>
        </w:rPr>
        <w:t>T</w:t>
      </w:r>
      <w:r w:rsidRPr="00C16BAC">
        <w:rPr>
          <w:szCs w:val="22"/>
        </w:rPr>
        <w:t xml:space="preserve">he </w:t>
      </w:r>
      <w:r>
        <w:rPr>
          <w:szCs w:val="22"/>
        </w:rPr>
        <w:t>program will also continue to monitor</w:t>
      </w:r>
      <w:r w:rsidR="00753AC9">
        <w:rPr>
          <w:szCs w:val="22"/>
        </w:rPr>
        <w:t xml:space="preserve"> </w:t>
      </w:r>
      <w:r>
        <w:rPr>
          <w:szCs w:val="22"/>
        </w:rPr>
        <w:t xml:space="preserve">and report on the </w:t>
      </w:r>
      <w:r w:rsidRPr="00C16BAC">
        <w:rPr>
          <w:szCs w:val="22"/>
        </w:rPr>
        <w:t>supply and consumption of industrial land</w:t>
      </w:r>
      <w:r>
        <w:rPr>
          <w:szCs w:val="22"/>
        </w:rPr>
        <w:t xml:space="preserve">. This will be </w:t>
      </w:r>
      <w:r w:rsidR="009E44E9">
        <w:rPr>
          <w:szCs w:val="22"/>
        </w:rPr>
        <w:t xml:space="preserve">complemented </w:t>
      </w:r>
      <w:r>
        <w:rPr>
          <w:szCs w:val="22"/>
        </w:rPr>
        <w:t xml:space="preserve">by further research on the State Significant Industrial </w:t>
      </w:r>
      <w:proofErr w:type="spellStart"/>
      <w:r w:rsidR="00B964D6">
        <w:rPr>
          <w:szCs w:val="22"/>
        </w:rPr>
        <w:t>Pecincts</w:t>
      </w:r>
      <w:proofErr w:type="spellEnd"/>
      <w:r w:rsidR="00B964D6">
        <w:rPr>
          <w:szCs w:val="22"/>
        </w:rPr>
        <w:t xml:space="preserve"> </w:t>
      </w:r>
      <w:r>
        <w:rPr>
          <w:szCs w:val="22"/>
        </w:rPr>
        <w:t>which will be published in early 2017.</w:t>
      </w:r>
    </w:p>
    <w:p w14:paraId="39363EA1" w14:textId="77777777" w:rsidR="00962295" w:rsidRPr="00C16BAC" w:rsidRDefault="00962295" w:rsidP="00962295">
      <w:pPr>
        <w:rPr>
          <w:szCs w:val="22"/>
        </w:rPr>
      </w:pPr>
    </w:p>
    <w:p w14:paraId="543A103A" w14:textId="77777777" w:rsidR="008F31DB" w:rsidRDefault="008F31DB" w:rsidP="00962295">
      <w:pPr>
        <w:rPr>
          <w:i/>
          <w:szCs w:val="22"/>
        </w:rPr>
      </w:pPr>
      <w:r w:rsidRPr="00C16BAC">
        <w:rPr>
          <w:szCs w:val="22"/>
        </w:rPr>
        <w:t xml:space="preserve">Expansion of the Urban Development Program in future years will also address and report on a number of additional key issues outlined within the </w:t>
      </w:r>
      <w:r w:rsidRPr="00C16BAC">
        <w:rPr>
          <w:i/>
          <w:szCs w:val="22"/>
        </w:rPr>
        <w:t>Plan Melbourne</w:t>
      </w:r>
      <w:r w:rsidRPr="00C16BAC">
        <w:rPr>
          <w:szCs w:val="22"/>
        </w:rPr>
        <w:t xml:space="preserve"> </w:t>
      </w:r>
      <w:r w:rsidRPr="00C16BAC">
        <w:rPr>
          <w:i/>
          <w:szCs w:val="22"/>
        </w:rPr>
        <w:t>Refres</w:t>
      </w:r>
      <w:r w:rsidRPr="0071702A">
        <w:rPr>
          <w:i/>
          <w:szCs w:val="22"/>
        </w:rPr>
        <w:t>h.</w:t>
      </w:r>
      <w:r>
        <w:rPr>
          <w:i/>
          <w:szCs w:val="22"/>
        </w:rPr>
        <w:br w:type="page"/>
      </w:r>
    </w:p>
    <w:p w14:paraId="528D530B" w14:textId="77777777" w:rsidR="008F31DB" w:rsidRPr="00BD5E06" w:rsidRDefault="008F31DB" w:rsidP="00A413B9">
      <w:pPr>
        <w:pStyle w:val="Heading1TopofPage"/>
        <w:framePr w:wrap="around"/>
      </w:pPr>
      <w:bookmarkStart w:id="5" w:name="_Toc435691180"/>
      <w:bookmarkStart w:id="6" w:name="_Toc473558966"/>
      <w:r w:rsidRPr="00BD5E06">
        <w:lastRenderedPageBreak/>
        <w:t>2 Major Residential Development</w:t>
      </w:r>
      <w:bookmarkEnd w:id="5"/>
      <w:bookmarkEnd w:id="6"/>
    </w:p>
    <w:p w14:paraId="12B79BE6" w14:textId="4FB7C48A" w:rsidR="008F31DB" w:rsidRPr="007C5771" w:rsidRDefault="008F31DB" w:rsidP="001A701E">
      <w:pPr>
        <w:rPr>
          <w:rFonts w:cstheme="minorHAnsi"/>
        </w:rPr>
      </w:pPr>
      <w:r>
        <w:rPr>
          <w:rFonts w:cstheme="minorHAnsi"/>
        </w:rPr>
        <w:t>The Urban Development Program monitors and reports on major residential redevelopment projects across metropolitan Melbourne. D</w:t>
      </w:r>
      <w:r w:rsidRPr="007C5771">
        <w:rPr>
          <w:rFonts w:cstheme="minorHAnsi"/>
        </w:rPr>
        <w:t>ata is collected thro</w:t>
      </w:r>
      <w:r>
        <w:rPr>
          <w:rFonts w:cstheme="minorHAnsi"/>
        </w:rPr>
        <w:t>ugh analysis of aerial imagery and commercial data sources and is verified through consultations with councils</w:t>
      </w:r>
      <w:r w:rsidR="00062EBD">
        <w:rPr>
          <w:rFonts w:cstheme="minorHAnsi"/>
        </w:rPr>
        <w:t>.</w:t>
      </w:r>
      <w:r>
        <w:rPr>
          <w:rFonts w:cstheme="minorHAnsi"/>
        </w:rPr>
        <w:t xml:space="preserve"> </w:t>
      </w:r>
      <w:r w:rsidR="00FA4BC4" w:rsidRPr="00FA4BC4">
        <w:rPr>
          <w:rFonts w:cstheme="minorHAnsi"/>
        </w:rPr>
        <w:t>No information or limited information was available for 2016 from Bayside, Cardinia, Frankston, Greater Dandenong Hume, Mitchell and Whittlesea City Councils. Information for these municipalities is partially based on an update of data from industry and other sources.</w:t>
      </w:r>
    </w:p>
    <w:p w14:paraId="28E4844C" w14:textId="77777777" w:rsidR="008F31DB" w:rsidRPr="00A413B9" w:rsidRDefault="008F31DB" w:rsidP="00A413B9">
      <w:pPr>
        <w:pStyle w:val="Heading2"/>
      </w:pPr>
      <w:bookmarkStart w:id="7" w:name="_Toc351648225"/>
      <w:bookmarkStart w:id="8" w:name="_Toc400456309"/>
      <w:bookmarkStart w:id="9" w:name="_Toc473558967"/>
      <w:r w:rsidRPr="00A413B9">
        <w:t xml:space="preserve">2.1 </w:t>
      </w:r>
      <w:bookmarkEnd w:id="7"/>
      <w:r w:rsidRPr="00A413B9">
        <w:t>The Pipeline Supply of Dwellings in Major Residential Redevelopments</w:t>
      </w:r>
      <w:bookmarkEnd w:id="8"/>
      <w:bookmarkEnd w:id="9"/>
    </w:p>
    <w:p w14:paraId="1D3D0B0C" w14:textId="77777777" w:rsidR="00BE53E5" w:rsidRDefault="008F31DB" w:rsidP="001A701E">
      <w:pPr>
        <w:rPr>
          <w:rFonts w:cstheme="minorHAnsi"/>
        </w:rPr>
      </w:pPr>
      <w:r>
        <w:rPr>
          <w:rFonts w:cstheme="minorHAnsi"/>
        </w:rPr>
        <w:t>A</w:t>
      </w:r>
      <w:r w:rsidRPr="007C5771">
        <w:rPr>
          <w:rFonts w:cstheme="minorHAnsi"/>
        </w:rPr>
        <w:t xml:space="preserve">s </w:t>
      </w:r>
      <w:r>
        <w:rPr>
          <w:rFonts w:cstheme="minorHAnsi"/>
        </w:rPr>
        <w:t>at</w:t>
      </w:r>
      <w:r w:rsidRPr="007C5771">
        <w:rPr>
          <w:rFonts w:cstheme="minorHAnsi"/>
        </w:rPr>
        <w:t xml:space="preserve"> </w:t>
      </w:r>
      <w:r w:rsidRPr="00FA56A9">
        <w:rPr>
          <w:rFonts w:cstheme="minorHAnsi"/>
        </w:rPr>
        <w:t>July 201</w:t>
      </w:r>
      <w:r>
        <w:rPr>
          <w:rFonts w:cstheme="minorHAnsi"/>
        </w:rPr>
        <w:t>6</w:t>
      </w:r>
      <w:r w:rsidRPr="007C5771">
        <w:rPr>
          <w:rFonts w:cstheme="minorHAnsi"/>
        </w:rPr>
        <w:t xml:space="preserve">, there were </w:t>
      </w:r>
      <w:r w:rsidRPr="00FA56A9">
        <w:rPr>
          <w:rFonts w:cstheme="minorHAnsi"/>
        </w:rPr>
        <w:t>2</w:t>
      </w:r>
      <w:r>
        <w:rPr>
          <w:rFonts w:cstheme="minorHAnsi"/>
        </w:rPr>
        <w:t>47</w:t>
      </w:r>
      <w:r w:rsidRPr="00FA56A9">
        <w:rPr>
          <w:rFonts w:cstheme="minorHAnsi"/>
        </w:rPr>
        <w:t>,</w:t>
      </w:r>
      <w:r>
        <w:rPr>
          <w:rFonts w:cstheme="minorHAnsi"/>
        </w:rPr>
        <w:t>0</w:t>
      </w:r>
      <w:r w:rsidRPr="00FA56A9">
        <w:rPr>
          <w:rFonts w:cstheme="minorHAnsi"/>
        </w:rPr>
        <w:t>00</w:t>
      </w:r>
      <w:r w:rsidRPr="007C5771">
        <w:rPr>
          <w:rFonts w:cstheme="minorHAnsi"/>
        </w:rPr>
        <w:t xml:space="preserve"> dwellings </w:t>
      </w:r>
      <w:r>
        <w:rPr>
          <w:rFonts w:cstheme="minorHAnsi"/>
        </w:rPr>
        <w:t xml:space="preserve">in major </w:t>
      </w:r>
      <w:r w:rsidRPr="007C5771">
        <w:rPr>
          <w:rFonts w:cstheme="minorHAnsi"/>
        </w:rPr>
        <w:t>residential redevelopment projects</w:t>
      </w:r>
      <w:r>
        <w:rPr>
          <w:rFonts w:cstheme="minorHAnsi"/>
        </w:rPr>
        <w:t xml:space="preserve"> that were either under construction or anticipated to commence construction over the next ten years. This compares to 239,000 dwellings identified in last year’s report. </w:t>
      </w:r>
    </w:p>
    <w:p w14:paraId="52321F96" w14:textId="77777777" w:rsidR="00BE53E5" w:rsidRDefault="00BE53E5" w:rsidP="001A701E">
      <w:pPr>
        <w:rPr>
          <w:rFonts w:cstheme="minorHAnsi"/>
        </w:rPr>
      </w:pPr>
    </w:p>
    <w:p w14:paraId="68A88502" w14:textId="7B99AF7A" w:rsidR="00BE53E5" w:rsidRDefault="008F31DB" w:rsidP="001A701E">
      <w:pPr>
        <w:rPr>
          <w:rFonts w:cstheme="minorHAnsi"/>
        </w:rPr>
      </w:pPr>
      <w:r>
        <w:rPr>
          <w:rFonts w:cstheme="minorHAnsi"/>
        </w:rPr>
        <w:t xml:space="preserve">The pipeline of dwellings in major residential redevelopments has risen steadily from 2008-09 </w:t>
      </w:r>
      <w:r w:rsidR="00BE53E5">
        <w:rPr>
          <w:rFonts w:cstheme="minorHAnsi"/>
        </w:rPr>
        <w:t xml:space="preserve">and </w:t>
      </w:r>
      <w:r>
        <w:rPr>
          <w:rFonts w:cstheme="minorHAnsi"/>
        </w:rPr>
        <w:t xml:space="preserve">is </w:t>
      </w:r>
      <w:r w:rsidR="00BE53E5">
        <w:rPr>
          <w:rFonts w:cstheme="minorHAnsi"/>
        </w:rPr>
        <w:t xml:space="preserve">currently </w:t>
      </w:r>
      <w:r>
        <w:rPr>
          <w:rFonts w:cstheme="minorHAnsi"/>
        </w:rPr>
        <w:t xml:space="preserve">the highest on record. </w:t>
      </w:r>
      <w:r w:rsidR="00BE53E5">
        <w:rPr>
          <w:lang w:val="en-US"/>
        </w:rPr>
        <w:t xml:space="preserve">The vast majority (84%) of dwellings proposed for major redevelopment sites are expected to be built in buildings of 4 or more </w:t>
      </w:r>
      <w:proofErr w:type="spellStart"/>
      <w:r w:rsidR="00BE53E5">
        <w:rPr>
          <w:lang w:val="en-US"/>
        </w:rPr>
        <w:t>storeys</w:t>
      </w:r>
      <w:proofErr w:type="spellEnd"/>
      <w:r>
        <w:rPr>
          <w:rFonts w:cstheme="minorHAnsi"/>
        </w:rPr>
        <w:t>.</w:t>
      </w:r>
    </w:p>
    <w:p w14:paraId="5A68C989" w14:textId="288DFD97" w:rsidR="008F31DB" w:rsidRPr="00BD5E06" w:rsidRDefault="008F31DB" w:rsidP="00FA4BC4">
      <w:pPr>
        <w:rPr>
          <w:rFonts w:cstheme="minorHAnsi"/>
        </w:rPr>
      </w:pPr>
      <w:bookmarkStart w:id="10" w:name="_Toc351648227"/>
    </w:p>
    <w:p w14:paraId="010868C9" w14:textId="77777777" w:rsidR="008F31DB" w:rsidRPr="00A413B9" w:rsidRDefault="008F31DB" w:rsidP="00FA4BC4">
      <w:pPr>
        <w:pStyle w:val="Heading2"/>
        <w:numPr>
          <w:ilvl w:val="0"/>
          <w:numId w:val="0"/>
        </w:numPr>
      </w:pPr>
      <w:bookmarkStart w:id="11" w:name="_Toc400456310"/>
      <w:bookmarkStart w:id="12" w:name="_Toc473558968"/>
      <w:r w:rsidRPr="00A413B9">
        <w:t>2.2 Major Residential Redevelopment Pipeline by Region</w:t>
      </w:r>
      <w:bookmarkEnd w:id="10"/>
      <w:bookmarkEnd w:id="11"/>
      <w:bookmarkEnd w:id="12"/>
    </w:p>
    <w:p w14:paraId="3AA89C98" w14:textId="1DD90A3D" w:rsidR="008F31DB" w:rsidRDefault="008F31DB" w:rsidP="001A701E">
      <w:pPr>
        <w:rPr>
          <w:b/>
        </w:rPr>
      </w:pPr>
      <w:r>
        <w:rPr>
          <w:rFonts w:cstheme="minorHAnsi"/>
        </w:rPr>
        <w:t>While the middle ring municipalities have seen growth in the number of dwellings under construction or anticipated in the next ten years, the pipeline in inner Melbourne</w:t>
      </w:r>
      <w:r w:rsidR="00B964D6">
        <w:rPr>
          <w:rFonts w:cstheme="minorHAnsi"/>
        </w:rPr>
        <w:t xml:space="preserve"> in particular</w:t>
      </w:r>
      <w:r>
        <w:rPr>
          <w:rFonts w:cstheme="minorHAnsi"/>
        </w:rPr>
        <w:t xml:space="preserve"> has increased strongly, almost tripling from around 53,000 in 2009-10 to around 147,000 in 2015-16</w:t>
      </w:r>
      <w:bookmarkStart w:id="13" w:name="_Toc351641239"/>
      <w:bookmarkStart w:id="14" w:name="_Toc398552648"/>
      <w:r w:rsidR="00062EBD">
        <w:rPr>
          <w:rFonts w:cstheme="minorHAnsi"/>
        </w:rPr>
        <w:t>.</w:t>
      </w:r>
    </w:p>
    <w:bookmarkEnd w:id="13"/>
    <w:bookmarkEnd w:id="14"/>
    <w:p w14:paraId="102FE389" w14:textId="77777777" w:rsidR="00FA4BC4" w:rsidRDefault="00FA4BC4" w:rsidP="00FA4BC4">
      <w:pPr>
        <w:rPr>
          <w:rFonts w:cstheme="minorHAnsi"/>
        </w:rPr>
      </w:pPr>
    </w:p>
    <w:p w14:paraId="7E9254C3" w14:textId="48B2D8B1" w:rsidR="008F31DB" w:rsidRDefault="008F31DB" w:rsidP="00FA4BC4">
      <w:pPr>
        <w:rPr>
          <w:rFonts w:cstheme="minorHAnsi"/>
        </w:rPr>
      </w:pPr>
      <w:r>
        <w:rPr>
          <w:rFonts w:cstheme="minorHAnsi"/>
        </w:rPr>
        <w:t>The majority of</w:t>
      </w:r>
      <w:r w:rsidRPr="007C5771">
        <w:rPr>
          <w:rFonts w:cstheme="minorHAnsi"/>
        </w:rPr>
        <w:t xml:space="preserve"> </w:t>
      </w:r>
      <w:r>
        <w:rPr>
          <w:rFonts w:cstheme="minorHAnsi"/>
        </w:rPr>
        <w:t xml:space="preserve">current and anticipated major </w:t>
      </w:r>
      <w:r w:rsidRPr="007C5771">
        <w:rPr>
          <w:rFonts w:cstheme="minorHAnsi"/>
        </w:rPr>
        <w:t xml:space="preserve">redevelopment activity </w:t>
      </w:r>
      <w:r>
        <w:rPr>
          <w:rFonts w:cstheme="minorHAnsi"/>
        </w:rPr>
        <w:t xml:space="preserve">in </w:t>
      </w:r>
      <w:r w:rsidR="00BE53E5">
        <w:rPr>
          <w:rFonts w:cstheme="minorHAnsi"/>
        </w:rPr>
        <w:t xml:space="preserve">inner and middle </w:t>
      </w:r>
      <w:r>
        <w:rPr>
          <w:rFonts w:cstheme="minorHAnsi"/>
        </w:rPr>
        <w:t xml:space="preserve">Melbourne </w:t>
      </w:r>
      <w:r w:rsidR="00B964D6">
        <w:rPr>
          <w:rFonts w:cstheme="minorHAnsi"/>
        </w:rPr>
        <w:t xml:space="preserve">are </w:t>
      </w:r>
      <w:r>
        <w:rPr>
          <w:rFonts w:cstheme="minorHAnsi"/>
        </w:rPr>
        <w:t>in p</w:t>
      </w:r>
      <w:r w:rsidRPr="007C5771">
        <w:rPr>
          <w:rFonts w:cstheme="minorHAnsi"/>
        </w:rPr>
        <w:t>rojects of four storeys or greater</w:t>
      </w:r>
      <w:r>
        <w:rPr>
          <w:rFonts w:cstheme="minorHAnsi"/>
        </w:rPr>
        <w:t>.</w:t>
      </w:r>
    </w:p>
    <w:p w14:paraId="72C40008" w14:textId="77777777" w:rsidR="00FA4BC4" w:rsidRDefault="00FA4BC4" w:rsidP="00FA4BC4">
      <w:pPr>
        <w:rPr>
          <w:rFonts w:cstheme="minorHAnsi"/>
        </w:rPr>
      </w:pPr>
    </w:p>
    <w:p w14:paraId="2FC40B3D" w14:textId="77777777" w:rsidR="00FA4BC4" w:rsidRPr="00FA4BC4" w:rsidRDefault="00FA4BC4" w:rsidP="00FA4BC4">
      <w:pPr>
        <w:rPr>
          <w:rFonts w:cstheme="minorHAnsi"/>
        </w:rPr>
      </w:pPr>
      <w:r w:rsidRPr="00FA4BC4">
        <w:rPr>
          <w:rFonts w:cstheme="minorHAnsi"/>
        </w:rPr>
        <w:t>The regions (or ‘rings’) used here are comprised of the following local government areas:</w:t>
      </w:r>
    </w:p>
    <w:p w14:paraId="0EEFEE64" w14:textId="77777777" w:rsidR="00FA4BC4" w:rsidRPr="00FA4BC4" w:rsidRDefault="00FA4BC4" w:rsidP="00FA4BC4">
      <w:pPr>
        <w:rPr>
          <w:rFonts w:cstheme="minorHAnsi"/>
        </w:rPr>
      </w:pPr>
      <w:r w:rsidRPr="00FA4BC4">
        <w:rPr>
          <w:rFonts w:cstheme="minorHAnsi"/>
        </w:rPr>
        <w:t xml:space="preserve">Inner: Maribyrnong, Melbourne, Port Phillip, </w:t>
      </w:r>
      <w:proofErr w:type="spellStart"/>
      <w:r w:rsidRPr="00FA4BC4">
        <w:rPr>
          <w:rFonts w:cstheme="minorHAnsi"/>
        </w:rPr>
        <w:t>Stonnington</w:t>
      </w:r>
      <w:proofErr w:type="spellEnd"/>
      <w:r w:rsidRPr="00FA4BC4">
        <w:rPr>
          <w:rFonts w:cstheme="minorHAnsi"/>
        </w:rPr>
        <w:t>, and Yarra</w:t>
      </w:r>
    </w:p>
    <w:p w14:paraId="259933E4" w14:textId="77777777" w:rsidR="00FA4BC4" w:rsidRPr="00FA4BC4" w:rsidRDefault="00FA4BC4" w:rsidP="00FA4BC4">
      <w:pPr>
        <w:rPr>
          <w:rFonts w:cstheme="minorHAnsi"/>
        </w:rPr>
      </w:pPr>
      <w:r w:rsidRPr="00FA4BC4">
        <w:rPr>
          <w:rFonts w:cstheme="minorHAnsi"/>
        </w:rPr>
        <w:t xml:space="preserve">Middle: Banyule, Bayside, </w:t>
      </w:r>
      <w:proofErr w:type="spellStart"/>
      <w:r w:rsidRPr="00FA4BC4">
        <w:rPr>
          <w:rFonts w:cstheme="minorHAnsi"/>
        </w:rPr>
        <w:t>Boroondara</w:t>
      </w:r>
      <w:proofErr w:type="spellEnd"/>
      <w:r w:rsidRPr="00FA4BC4">
        <w:rPr>
          <w:rFonts w:cstheme="minorHAnsi"/>
        </w:rPr>
        <w:t xml:space="preserve">, Darebin, Glen </w:t>
      </w:r>
      <w:proofErr w:type="spellStart"/>
      <w:r w:rsidRPr="00FA4BC4">
        <w:rPr>
          <w:rFonts w:cstheme="minorHAnsi"/>
        </w:rPr>
        <w:t>Eira</w:t>
      </w:r>
      <w:proofErr w:type="spellEnd"/>
      <w:r w:rsidRPr="00FA4BC4">
        <w:rPr>
          <w:rFonts w:cstheme="minorHAnsi"/>
        </w:rPr>
        <w:t xml:space="preserve">, </w:t>
      </w:r>
      <w:proofErr w:type="spellStart"/>
      <w:r w:rsidRPr="00FA4BC4">
        <w:rPr>
          <w:rFonts w:cstheme="minorHAnsi"/>
        </w:rPr>
        <w:t>Hobsons</w:t>
      </w:r>
      <w:proofErr w:type="spellEnd"/>
      <w:r w:rsidRPr="00FA4BC4">
        <w:rPr>
          <w:rFonts w:cstheme="minorHAnsi"/>
        </w:rPr>
        <w:t xml:space="preserve"> Bay, Kingston, Manningham, Monash, Moonee Valley, Moreland, and Whitehorse</w:t>
      </w:r>
    </w:p>
    <w:p w14:paraId="01688933" w14:textId="77777777" w:rsidR="00FA4BC4" w:rsidRPr="00FA4BC4" w:rsidRDefault="00FA4BC4" w:rsidP="00FA4BC4">
      <w:pPr>
        <w:rPr>
          <w:rFonts w:cstheme="minorHAnsi"/>
        </w:rPr>
      </w:pPr>
      <w:r w:rsidRPr="00FA4BC4">
        <w:rPr>
          <w:rFonts w:cstheme="minorHAnsi"/>
        </w:rPr>
        <w:t xml:space="preserve">Outer: </w:t>
      </w:r>
      <w:proofErr w:type="spellStart"/>
      <w:r w:rsidRPr="00FA4BC4">
        <w:rPr>
          <w:rFonts w:cstheme="minorHAnsi"/>
        </w:rPr>
        <w:t>Brimbank</w:t>
      </w:r>
      <w:proofErr w:type="spellEnd"/>
      <w:r w:rsidRPr="00FA4BC4">
        <w:rPr>
          <w:rFonts w:cstheme="minorHAnsi"/>
        </w:rPr>
        <w:t>, Frankston, Greater Dandenong, Knox, Maroondah, Mornington Peninsula, Nillumbik, and Yarra Ranges</w:t>
      </w:r>
    </w:p>
    <w:p w14:paraId="64422D7D" w14:textId="22641510" w:rsidR="00FA4BC4" w:rsidRDefault="00FA4BC4" w:rsidP="00FA4BC4">
      <w:pPr>
        <w:rPr>
          <w:rFonts w:cstheme="minorHAnsi"/>
        </w:rPr>
      </w:pPr>
      <w:r w:rsidRPr="00FA4BC4">
        <w:rPr>
          <w:rFonts w:cstheme="minorHAnsi"/>
        </w:rPr>
        <w:t>Growth Area: Casey, Cardinia, Hume, Melton, Mitchell (part, since 2010), Whittlesea and Wyndham</w:t>
      </w:r>
    </w:p>
    <w:p w14:paraId="68071DA2" w14:textId="74728AD7" w:rsidR="008F31DB" w:rsidRDefault="008F31DB" w:rsidP="008F31DB">
      <w:pPr>
        <w:spacing w:after="200" w:line="276" w:lineRule="auto"/>
        <w:rPr>
          <w:b/>
          <w:color w:val="201547"/>
          <w:sz w:val="28"/>
          <w:szCs w:val="32"/>
        </w:rPr>
      </w:pPr>
      <w:bookmarkStart w:id="15" w:name="_Toc351648229"/>
      <w:bookmarkStart w:id="16" w:name="_Toc400456311"/>
    </w:p>
    <w:p w14:paraId="7408CA95" w14:textId="77777777" w:rsidR="008F31DB" w:rsidRPr="00F97F94" w:rsidRDefault="008F31DB" w:rsidP="00FA4BC4">
      <w:pPr>
        <w:pStyle w:val="Heading2"/>
        <w:numPr>
          <w:ilvl w:val="0"/>
          <w:numId w:val="0"/>
        </w:numPr>
      </w:pPr>
      <w:bookmarkStart w:id="17" w:name="_Toc473558969"/>
      <w:r>
        <w:rPr>
          <w:szCs w:val="32"/>
        </w:rPr>
        <w:t>2.</w:t>
      </w:r>
      <w:r>
        <w:t xml:space="preserve">3 </w:t>
      </w:r>
      <w:r w:rsidRPr="00F97F94">
        <w:t xml:space="preserve">Major Residential Redevelopments </w:t>
      </w:r>
      <w:r>
        <w:t>i</w:t>
      </w:r>
      <w:r w:rsidRPr="00F97F94">
        <w:t xml:space="preserve">n Activity </w:t>
      </w:r>
      <w:bookmarkEnd w:id="15"/>
      <w:r>
        <w:t>Centres</w:t>
      </w:r>
      <w:bookmarkEnd w:id="16"/>
      <w:bookmarkEnd w:id="17"/>
    </w:p>
    <w:p w14:paraId="1050A434" w14:textId="440DAE45" w:rsidR="008F31DB" w:rsidRDefault="008F31DB" w:rsidP="001A701E">
      <w:pPr>
        <w:rPr>
          <w:rFonts w:cstheme="minorHAnsi"/>
        </w:rPr>
      </w:pPr>
      <w:r>
        <w:rPr>
          <w:rFonts w:cstheme="minorHAnsi"/>
        </w:rPr>
        <w:t>The Urban Development Program also monitors and reports on major residential redevelopment in and around Melbourne’s activity centres</w:t>
      </w:r>
      <w:r w:rsidR="00753AC9">
        <w:rPr>
          <w:rFonts w:cstheme="minorHAnsi"/>
        </w:rPr>
        <w:t>.</w:t>
      </w:r>
      <w:r>
        <w:rPr>
          <w:rFonts w:cstheme="minorHAnsi"/>
        </w:rPr>
        <w:t xml:space="preserve"> </w:t>
      </w:r>
      <w:r w:rsidR="00FA4BC4">
        <w:rPr>
          <w:rFonts w:cstheme="minorHAnsi"/>
        </w:rPr>
        <w:t>A</w:t>
      </w:r>
      <w:r>
        <w:rPr>
          <w:rFonts w:cstheme="minorHAnsi"/>
        </w:rPr>
        <w:t>nticipated dwellings in p</w:t>
      </w:r>
      <w:r w:rsidRPr="007C5771">
        <w:rPr>
          <w:rFonts w:cstheme="minorHAnsi"/>
        </w:rPr>
        <w:t xml:space="preserve">rojects of four storeys or greater are largely concentrated inside activity </w:t>
      </w:r>
      <w:r>
        <w:rPr>
          <w:rFonts w:cstheme="minorHAnsi"/>
        </w:rPr>
        <w:t xml:space="preserve">centres </w:t>
      </w:r>
      <w:r w:rsidRPr="007C5771">
        <w:rPr>
          <w:rFonts w:cstheme="minorHAnsi"/>
        </w:rPr>
        <w:t xml:space="preserve">(which includes the CBD), while those of less than four </w:t>
      </w:r>
      <w:r>
        <w:rPr>
          <w:rFonts w:cstheme="minorHAnsi"/>
        </w:rPr>
        <w:t>storeys</w:t>
      </w:r>
      <w:r w:rsidRPr="007C5771">
        <w:rPr>
          <w:rFonts w:cstheme="minorHAnsi"/>
        </w:rPr>
        <w:t xml:space="preserve"> tend to be outside activity areas.</w:t>
      </w:r>
    </w:p>
    <w:p w14:paraId="308E0766" w14:textId="77777777" w:rsidR="00FA4BC4" w:rsidRDefault="00FA4BC4" w:rsidP="001A701E">
      <w:pPr>
        <w:rPr>
          <w:rFonts w:cstheme="minorHAnsi"/>
        </w:rPr>
      </w:pPr>
    </w:p>
    <w:p w14:paraId="170F69F5" w14:textId="23FCB3E4" w:rsidR="00FA4BC4" w:rsidRPr="007C5771" w:rsidRDefault="00FA4BC4" w:rsidP="001A701E">
      <w:pPr>
        <w:rPr>
          <w:rFonts w:cstheme="minorHAnsi"/>
        </w:rPr>
      </w:pPr>
      <w:r w:rsidRPr="00FA4BC4">
        <w:rPr>
          <w:rFonts w:cstheme="minorHAnsi"/>
        </w:rPr>
        <w:t>Activity area boundaries are based on councils’ Structure Plans and other strategic plans where these exist. Where Council has not adopted an activity area boundary, DELWP has mapped a boundary based on land use zoning. Note that 2012 boundaries have been used throughout so that the area remains constant across the period, although some boundaries have changed over this time.</w:t>
      </w:r>
    </w:p>
    <w:p w14:paraId="00B80BED" w14:textId="6ABB604C" w:rsidR="008F31DB" w:rsidRDefault="008F31DB" w:rsidP="00962295">
      <w:pPr>
        <w:ind w:left="851" w:hanging="851"/>
        <w:rPr>
          <w:b/>
        </w:rPr>
      </w:pPr>
      <w:bookmarkStart w:id="18" w:name="_Toc351641240"/>
      <w:bookmarkStart w:id="19" w:name="_Toc398552651"/>
    </w:p>
    <w:bookmarkEnd w:id="18"/>
    <w:bookmarkEnd w:id="19"/>
    <w:p w14:paraId="69037C61" w14:textId="77777777" w:rsidR="001D7FF3" w:rsidRDefault="001D7FF3" w:rsidP="008F31DB">
      <w:pPr>
        <w:rPr>
          <w:lang w:val="en-US"/>
        </w:rPr>
      </w:pPr>
    </w:p>
    <w:p w14:paraId="45C796B7" w14:textId="77777777" w:rsidR="001D7FF3" w:rsidRDefault="001D7FF3" w:rsidP="008F31DB">
      <w:pPr>
        <w:rPr>
          <w:lang w:val="en-US"/>
        </w:rPr>
      </w:pPr>
    </w:p>
    <w:p w14:paraId="14EDBF87" w14:textId="77777777" w:rsidR="001D7FF3" w:rsidRDefault="001D7FF3" w:rsidP="008F31DB">
      <w:pPr>
        <w:rPr>
          <w:lang w:val="en-US"/>
        </w:rPr>
      </w:pPr>
    </w:p>
    <w:p w14:paraId="7FD957BC" w14:textId="77777777" w:rsidR="001D7FF3" w:rsidRDefault="001D7FF3" w:rsidP="008F31DB">
      <w:pPr>
        <w:rPr>
          <w:lang w:val="en-US"/>
        </w:rPr>
      </w:pPr>
    </w:p>
    <w:p w14:paraId="5007C241" w14:textId="77777777" w:rsidR="001D7FF3" w:rsidRDefault="001D7FF3" w:rsidP="008F31DB">
      <w:pPr>
        <w:rPr>
          <w:lang w:val="en-US"/>
        </w:rPr>
      </w:pPr>
    </w:p>
    <w:p w14:paraId="54B4144C" w14:textId="77777777" w:rsidR="001D7FF3" w:rsidRDefault="001D7FF3" w:rsidP="008F31DB">
      <w:pPr>
        <w:rPr>
          <w:lang w:val="en-US"/>
        </w:rPr>
      </w:pPr>
    </w:p>
    <w:p w14:paraId="39F50A6F" w14:textId="52E5C715" w:rsidR="001D7FF3" w:rsidRDefault="001D7FF3" w:rsidP="001D7FF3">
      <w:pPr>
        <w:spacing w:after="200" w:line="276" w:lineRule="auto"/>
        <w:rPr>
          <w:color w:val="201547"/>
          <w:sz w:val="40"/>
          <w:lang w:val="en-US"/>
        </w:rPr>
      </w:pPr>
    </w:p>
    <w:p w14:paraId="5C02925B" w14:textId="77777777" w:rsidR="008F31DB" w:rsidRPr="00EC1E96" w:rsidRDefault="008F31DB" w:rsidP="00A413B9">
      <w:pPr>
        <w:pStyle w:val="Heading1TopofPage"/>
        <w:framePr w:wrap="around"/>
      </w:pPr>
      <w:bookmarkStart w:id="20" w:name="_Toc473558970"/>
      <w:r w:rsidRPr="00EC1E96">
        <w:lastRenderedPageBreak/>
        <w:t xml:space="preserve">3 </w:t>
      </w:r>
      <w:proofErr w:type="spellStart"/>
      <w:r w:rsidRPr="00EC1E96">
        <w:t>Broadhectare</w:t>
      </w:r>
      <w:proofErr w:type="spellEnd"/>
      <w:r w:rsidRPr="00EC1E96">
        <w:t xml:space="preserve"> Residential Development</w:t>
      </w:r>
      <w:bookmarkEnd w:id="20"/>
    </w:p>
    <w:p w14:paraId="69B58852" w14:textId="77777777" w:rsidR="008F31DB" w:rsidRPr="004408B6" w:rsidRDefault="008F31DB" w:rsidP="008F31DB">
      <w:pPr>
        <w:pStyle w:val="Heading2"/>
      </w:pPr>
      <w:bookmarkStart w:id="21" w:name="_Toc435691185"/>
      <w:bookmarkStart w:id="22" w:name="_Toc473558971"/>
      <w:r w:rsidRPr="004408B6">
        <w:t xml:space="preserve">3.1 Supply of Development Ready </w:t>
      </w:r>
      <w:proofErr w:type="spellStart"/>
      <w:r w:rsidRPr="004408B6">
        <w:t>Broadhectare</w:t>
      </w:r>
      <w:proofErr w:type="spellEnd"/>
      <w:r w:rsidRPr="004408B6">
        <w:t xml:space="preserve"> Lots</w:t>
      </w:r>
      <w:bookmarkEnd w:id="21"/>
      <w:bookmarkEnd w:id="22"/>
    </w:p>
    <w:p w14:paraId="743B94C4" w14:textId="1A57B900" w:rsidR="008F31DB" w:rsidRDefault="0063581C" w:rsidP="00225922">
      <w:pPr>
        <w:rPr>
          <w:szCs w:val="22"/>
        </w:rPr>
      </w:pPr>
      <w:r>
        <w:rPr>
          <w:szCs w:val="22"/>
        </w:rPr>
        <w:t xml:space="preserve">As at July 2016, </w:t>
      </w:r>
      <w:r w:rsidR="008F31DB">
        <w:rPr>
          <w:szCs w:val="22"/>
        </w:rPr>
        <w:t>there were 202,900</w:t>
      </w:r>
      <w:r>
        <w:rPr>
          <w:szCs w:val="22"/>
        </w:rPr>
        <w:t xml:space="preserve"> development ready</w:t>
      </w:r>
      <w:r w:rsidR="008F31DB">
        <w:rPr>
          <w:szCs w:val="22"/>
        </w:rPr>
        <w:t xml:space="preserve"> lots, as compared to 197,900 at the same time last year. </w:t>
      </w:r>
      <w:r>
        <w:rPr>
          <w:szCs w:val="22"/>
        </w:rPr>
        <w:t xml:space="preserve">These are lots within an approved precinct structure plan. While there </w:t>
      </w:r>
      <w:r w:rsidR="00354813">
        <w:rPr>
          <w:szCs w:val="22"/>
        </w:rPr>
        <w:t>were</w:t>
      </w:r>
      <w:r w:rsidR="008F31DB">
        <w:rPr>
          <w:szCs w:val="22"/>
        </w:rPr>
        <w:t xml:space="preserve"> a record number of lots constructed (or subdivided) during 2015-16</w:t>
      </w:r>
      <w:r>
        <w:rPr>
          <w:szCs w:val="22"/>
        </w:rPr>
        <w:t xml:space="preserve"> (see 3.3), the</w:t>
      </w:r>
      <w:r w:rsidR="008F31DB">
        <w:rPr>
          <w:szCs w:val="22"/>
        </w:rPr>
        <w:t xml:space="preserve"> approval of additional precinct structure plans, as well as an adjustment to </w:t>
      </w:r>
      <w:r w:rsidR="00354813">
        <w:rPr>
          <w:szCs w:val="22"/>
        </w:rPr>
        <w:t xml:space="preserve">projected </w:t>
      </w:r>
      <w:r w:rsidR="008F31DB">
        <w:rPr>
          <w:szCs w:val="22"/>
        </w:rPr>
        <w:t xml:space="preserve">lot yields </w:t>
      </w:r>
      <w:r w:rsidR="00354813">
        <w:rPr>
          <w:szCs w:val="22"/>
        </w:rPr>
        <w:t>to align with</w:t>
      </w:r>
      <w:r w:rsidR="008F31DB">
        <w:rPr>
          <w:szCs w:val="22"/>
        </w:rPr>
        <w:t xml:space="preserve"> current </w:t>
      </w:r>
      <w:r w:rsidR="00354813">
        <w:rPr>
          <w:szCs w:val="22"/>
        </w:rPr>
        <w:t>development trends</w:t>
      </w:r>
      <w:r w:rsidR="008F31DB">
        <w:rPr>
          <w:szCs w:val="22"/>
        </w:rPr>
        <w:t>, has ensured high stock levels of land with</w:t>
      </w:r>
      <w:r w:rsidR="00354813">
        <w:rPr>
          <w:szCs w:val="22"/>
        </w:rPr>
        <w:t>in</w:t>
      </w:r>
      <w:r w:rsidR="008F31DB">
        <w:rPr>
          <w:szCs w:val="22"/>
        </w:rPr>
        <w:t xml:space="preserve"> approved precinct structure plans.</w:t>
      </w:r>
    </w:p>
    <w:p w14:paraId="5DDBC907" w14:textId="77777777" w:rsidR="00225922" w:rsidRDefault="00225922" w:rsidP="00225922">
      <w:pPr>
        <w:rPr>
          <w:szCs w:val="22"/>
        </w:rPr>
      </w:pPr>
    </w:p>
    <w:p w14:paraId="4B2DD444" w14:textId="77777777" w:rsidR="00225922" w:rsidRDefault="00225922" w:rsidP="00225922">
      <w:pPr>
        <w:rPr>
          <w:szCs w:val="22"/>
        </w:rPr>
      </w:pPr>
    </w:p>
    <w:p w14:paraId="7F65B74E" w14:textId="22C8A44C" w:rsidR="008F31DB" w:rsidRPr="00DE55C1" w:rsidRDefault="00806CDF" w:rsidP="00225922">
      <w:pPr>
        <w:rPr>
          <w:szCs w:val="22"/>
        </w:rPr>
      </w:pPr>
      <w:r>
        <w:rPr>
          <w:szCs w:val="22"/>
        </w:rPr>
        <w:t>T</w:t>
      </w:r>
      <w:r w:rsidR="008F31DB" w:rsidRPr="00DE55C1">
        <w:rPr>
          <w:szCs w:val="22"/>
        </w:rPr>
        <w:t>he number of precinct structure plans approved in recent years has ensured long term supply of potential lots on development read</w:t>
      </w:r>
      <w:r w:rsidR="008F31DB">
        <w:rPr>
          <w:szCs w:val="22"/>
        </w:rPr>
        <w:t xml:space="preserve">y land across each of the growth areas. </w:t>
      </w:r>
      <w:r w:rsidR="008F31DB" w:rsidRPr="00DE55C1">
        <w:rPr>
          <w:szCs w:val="22"/>
        </w:rPr>
        <w:t>The Western Growth Corridor</w:t>
      </w:r>
      <w:r w:rsidR="007616F7">
        <w:rPr>
          <w:szCs w:val="22"/>
        </w:rPr>
        <w:t>,</w:t>
      </w:r>
      <w:r w:rsidR="008F31DB" w:rsidRPr="00DE55C1">
        <w:rPr>
          <w:szCs w:val="22"/>
        </w:rPr>
        <w:t xml:space="preserve"> which includes the municipalities of Wyndham and Melton</w:t>
      </w:r>
      <w:r w:rsidR="007616F7">
        <w:rPr>
          <w:szCs w:val="22"/>
        </w:rPr>
        <w:t>,</w:t>
      </w:r>
      <w:r w:rsidR="008F31DB" w:rsidRPr="00DE55C1">
        <w:rPr>
          <w:szCs w:val="22"/>
        </w:rPr>
        <w:t xml:space="preserve"> ha</w:t>
      </w:r>
      <w:r w:rsidR="007616F7">
        <w:rPr>
          <w:szCs w:val="22"/>
        </w:rPr>
        <w:t>s</w:t>
      </w:r>
      <w:r w:rsidR="008F31DB" w:rsidRPr="00DE55C1">
        <w:rPr>
          <w:szCs w:val="22"/>
        </w:rPr>
        <w:t xml:space="preserve"> </w:t>
      </w:r>
      <w:r w:rsidR="007616F7">
        <w:rPr>
          <w:szCs w:val="22"/>
        </w:rPr>
        <w:t xml:space="preserve">the largest number of </w:t>
      </w:r>
      <w:r w:rsidR="008F31DB" w:rsidRPr="00DE55C1">
        <w:rPr>
          <w:szCs w:val="22"/>
        </w:rPr>
        <w:t xml:space="preserve">development ready </w:t>
      </w:r>
      <w:r w:rsidR="007616F7">
        <w:rPr>
          <w:szCs w:val="22"/>
        </w:rPr>
        <w:t>lots</w:t>
      </w:r>
      <w:r w:rsidR="008F31DB" w:rsidRPr="00DE55C1">
        <w:rPr>
          <w:szCs w:val="22"/>
        </w:rPr>
        <w:t xml:space="preserve"> with</w:t>
      </w:r>
      <w:r w:rsidR="007616F7">
        <w:rPr>
          <w:szCs w:val="22"/>
        </w:rPr>
        <w:t xml:space="preserve"> </w:t>
      </w:r>
      <w:r w:rsidR="008F31DB">
        <w:rPr>
          <w:szCs w:val="22"/>
        </w:rPr>
        <w:t>106</w:t>
      </w:r>
      <w:r w:rsidR="008F31DB" w:rsidRPr="00DE55C1">
        <w:rPr>
          <w:szCs w:val="22"/>
        </w:rPr>
        <w:t>,</w:t>
      </w:r>
      <w:r w:rsidR="008F31DB">
        <w:rPr>
          <w:szCs w:val="22"/>
        </w:rPr>
        <w:t>3</w:t>
      </w:r>
      <w:r w:rsidR="008F31DB" w:rsidRPr="00DE55C1">
        <w:rPr>
          <w:szCs w:val="22"/>
        </w:rPr>
        <w:t>00 lots</w:t>
      </w:r>
      <w:r w:rsidR="008F31DB">
        <w:rPr>
          <w:szCs w:val="22"/>
        </w:rPr>
        <w:t>. The</w:t>
      </w:r>
      <w:r w:rsidR="008F31DB" w:rsidRPr="00DE55C1">
        <w:rPr>
          <w:szCs w:val="22"/>
        </w:rPr>
        <w:t xml:space="preserve"> South-Eastern Corridor (which includes the municipalities of Casey and Cardinia) </w:t>
      </w:r>
      <w:r w:rsidR="008F31DB">
        <w:rPr>
          <w:szCs w:val="22"/>
        </w:rPr>
        <w:t>has around</w:t>
      </w:r>
      <w:r w:rsidR="008F31DB" w:rsidRPr="00DE55C1">
        <w:rPr>
          <w:szCs w:val="22"/>
        </w:rPr>
        <w:t xml:space="preserve"> 5</w:t>
      </w:r>
      <w:r w:rsidR="008F31DB">
        <w:rPr>
          <w:szCs w:val="22"/>
        </w:rPr>
        <w:t>1</w:t>
      </w:r>
      <w:r w:rsidR="008F31DB" w:rsidRPr="00DE55C1">
        <w:rPr>
          <w:szCs w:val="22"/>
        </w:rPr>
        <w:t>,</w:t>
      </w:r>
      <w:r w:rsidR="008F31DB">
        <w:rPr>
          <w:szCs w:val="22"/>
        </w:rPr>
        <w:t>7</w:t>
      </w:r>
      <w:r w:rsidR="008F31DB" w:rsidRPr="00DE55C1">
        <w:rPr>
          <w:szCs w:val="22"/>
        </w:rPr>
        <w:t>00 development ready lots</w:t>
      </w:r>
      <w:r w:rsidR="008F31DB">
        <w:rPr>
          <w:szCs w:val="22"/>
        </w:rPr>
        <w:t xml:space="preserve"> </w:t>
      </w:r>
      <w:r w:rsidR="008F31DB" w:rsidRPr="00DE55C1">
        <w:rPr>
          <w:szCs w:val="22"/>
        </w:rPr>
        <w:t xml:space="preserve">and the </w:t>
      </w:r>
      <w:r w:rsidR="00753AC9">
        <w:rPr>
          <w:szCs w:val="22"/>
        </w:rPr>
        <w:br/>
      </w:r>
      <w:r w:rsidR="008F31DB" w:rsidRPr="00DE55C1">
        <w:rPr>
          <w:szCs w:val="22"/>
        </w:rPr>
        <w:t xml:space="preserve">Northern Growth Corridor </w:t>
      </w:r>
      <w:r w:rsidR="008F31DB">
        <w:rPr>
          <w:szCs w:val="22"/>
        </w:rPr>
        <w:t>(which includes the municipalities of Hume, Mitchell and Whittlesea) around</w:t>
      </w:r>
      <w:r w:rsidR="008F31DB" w:rsidRPr="00DE55C1">
        <w:rPr>
          <w:szCs w:val="22"/>
        </w:rPr>
        <w:t xml:space="preserve"> 4</w:t>
      </w:r>
      <w:r w:rsidR="008F31DB">
        <w:rPr>
          <w:szCs w:val="22"/>
        </w:rPr>
        <w:t>5</w:t>
      </w:r>
      <w:r w:rsidR="008F31DB" w:rsidRPr="00DE55C1">
        <w:rPr>
          <w:szCs w:val="22"/>
        </w:rPr>
        <w:t>,</w:t>
      </w:r>
      <w:r w:rsidR="008F31DB">
        <w:rPr>
          <w:szCs w:val="22"/>
        </w:rPr>
        <w:t>0</w:t>
      </w:r>
      <w:r w:rsidR="008F31DB" w:rsidRPr="00DE55C1">
        <w:rPr>
          <w:szCs w:val="22"/>
        </w:rPr>
        <w:t>00.</w:t>
      </w:r>
    </w:p>
    <w:p w14:paraId="29CEDC5B" w14:textId="77777777" w:rsidR="008F31DB" w:rsidRPr="00040071" w:rsidRDefault="008F31DB" w:rsidP="008F31DB">
      <w:pPr>
        <w:pStyle w:val="Heading2"/>
      </w:pPr>
      <w:bookmarkStart w:id="23" w:name="_Toc435691186"/>
      <w:bookmarkStart w:id="24" w:name="_Toc473558972"/>
      <w:r w:rsidRPr="003E47FB">
        <w:t xml:space="preserve">3.2 Total Supply of </w:t>
      </w:r>
      <w:proofErr w:type="spellStart"/>
      <w:r w:rsidRPr="003E47FB">
        <w:t>Broadhectare</w:t>
      </w:r>
      <w:proofErr w:type="spellEnd"/>
      <w:r w:rsidRPr="003E47FB">
        <w:t xml:space="preserve"> Lots </w:t>
      </w:r>
      <w:bookmarkEnd w:id="23"/>
      <w:r w:rsidRPr="003E47FB">
        <w:t>for Metropolitan Melbourne</w:t>
      </w:r>
      <w:bookmarkEnd w:id="24"/>
    </w:p>
    <w:p w14:paraId="0E2834B1" w14:textId="1F394328" w:rsidR="00F60090" w:rsidRDefault="00F60090" w:rsidP="00225922">
      <w:pPr>
        <w:rPr>
          <w:szCs w:val="22"/>
        </w:rPr>
      </w:pPr>
      <w:r>
        <w:rPr>
          <w:szCs w:val="22"/>
        </w:rPr>
        <w:t xml:space="preserve">As at July 2016 the total number of lots within the growth areas was around 372,400 lots </w:t>
      </w:r>
      <w:r w:rsidRPr="00DE55C1">
        <w:rPr>
          <w:szCs w:val="22"/>
        </w:rPr>
        <w:t>compared to about 3</w:t>
      </w:r>
      <w:r>
        <w:rPr>
          <w:szCs w:val="22"/>
        </w:rPr>
        <w:t>73</w:t>
      </w:r>
      <w:r w:rsidRPr="00DE55C1">
        <w:rPr>
          <w:szCs w:val="22"/>
        </w:rPr>
        <w:t>,</w:t>
      </w:r>
      <w:r>
        <w:rPr>
          <w:szCs w:val="22"/>
        </w:rPr>
        <w:t>5</w:t>
      </w:r>
      <w:r w:rsidRPr="00DE55C1">
        <w:rPr>
          <w:szCs w:val="22"/>
        </w:rPr>
        <w:t xml:space="preserve">00 </w:t>
      </w:r>
      <w:r>
        <w:rPr>
          <w:szCs w:val="22"/>
        </w:rPr>
        <w:t xml:space="preserve">lots </w:t>
      </w:r>
      <w:r w:rsidRPr="00DE55C1">
        <w:rPr>
          <w:szCs w:val="22"/>
        </w:rPr>
        <w:t>at the same time last year. This includes land with</w:t>
      </w:r>
      <w:r>
        <w:rPr>
          <w:szCs w:val="22"/>
        </w:rPr>
        <w:t>in</w:t>
      </w:r>
      <w:r w:rsidRPr="00DE55C1">
        <w:rPr>
          <w:szCs w:val="22"/>
        </w:rPr>
        <w:t xml:space="preserve"> approved precinct str</w:t>
      </w:r>
      <w:r>
        <w:rPr>
          <w:szCs w:val="22"/>
        </w:rPr>
        <w:t>ucture plans, land subject to the U</w:t>
      </w:r>
      <w:r w:rsidRPr="00DE55C1">
        <w:rPr>
          <w:szCs w:val="22"/>
        </w:rPr>
        <w:t xml:space="preserve">rban </w:t>
      </w:r>
      <w:r>
        <w:rPr>
          <w:szCs w:val="22"/>
        </w:rPr>
        <w:t>G</w:t>
      </w:r>
      <w:r w:rsidRPr="00DE55C1">
        <w:rPr>
          <w:szCs w:val="22"/>
        </w:rPr>
        <w:t xml:space="preserve">rowth </w:t>
      </w:r>
      <w:r>
        <w:rPr>
          <w:szCs w:val="22"/>
        </w:rPr>
        <w:t>Z</w:t>
      </w:r>
      <w:r w:rsidRPr="00DE55C1">
        <w:rPr>
          <w:szCs w:val="22"/>
        </w:rPr>
        <w:t>one where a precinct plan is still required and land that has been identified as ‘potential residential’</w:t>
      </w:r>
      <w:r w:rsidR="00892051">
        <w:rPr>
          <w:szCs w:val="22"/>
        </w:rPr>
        <w:t>.</w:t>
      </w:r>
    </w:p>
    <w:p w14:paraId="1094F085" w14:textId="77777777" w:rsidR="00D61869" w:rsidRDefault="00D61869" w:rsidP="00225922">
      <w:pPr>
        <w:rPr>
          <w:szCs w:val="22"/>
        </w:rPr>
      </w:pPr>
    </w:p>
    <w:p w14:paraId="3CDBCC06" w14:textId="64189C83" w:rsidR="00D61869" w:rsidRDefault="00D61869" w:rsidP="00225922">
      <w:pPr>
        <w:rPr>
          <w:szCs w:val="22"/>
        </w:rPr>
      </w:pPr>
      <w:r>
        <w:rPr>
          <w:szCs w:val="22"/>
        </w:rPr>
        <w:t>Note that t</w:t>
      </w:r>
      <w:r w:rsidRPr="00D61869">
        <w:rPr>
          <w:szCs w:val="22"/>
        </w:rPr>
        <w:t>he potential lots calculated on land which does not have an approved precinct structure plan, or land identified as ‘potential residential’ are estimates only. Once the precinct structure plan is approved, the number of potential lots based on the net developable area are applied to each land parcel. This in turn provides a more accurate indicator of lot yields for these areas.</w:t>
      </w:r>
    </w:p>
    <w:p w14:paraId="61D55879" w14:textId="77777777" w:rsidR="00F60090" w:rsidRDefault="00F60090" w:rsidP="00225922">
      <w:pPr>
        <w:rPr>
          <w:szCs w:val="22"/>
        </w:rPr>
      </w:pPr>
    </w:p>
    <w:p w14:paraId="62002267" w14:textId="357AE808" w:rsidR="00225922" w:rsidRDefault="00F60090" w:rsidP="00225922">
      <w:pPr>
        <w:rPr>
          <w:szCs w:val="22"/>
        </w:rPr>
      </w:pPr>
      <w:r>
        <w:rPr>
          <w:szCs w:val="22"/>
        </w:rPr>
        <w:t xml:space="preserve">When remnant </w:t>
      </w:r>
      <w:proofErr w:type="spellStart"/>
      <w:r>
        <w:rPr>
          <w:szCs w:val="22"/>
        </w:rPr>
        <w:t>broadhectare</w:t>
      </w:r>
      <w:proofErr w:type="spellEnd"/>
      <w:r>
        <w:rPr>
          <w:szCs w:val="22"/>
        </w:rPr>
        <w:t xml:space="preserve"> lots in Melbourne’s established areas are also included t</w:t>
      </w:r>
      <w:r w:rsidR="008F31DB" w:rsidRPr="00DE55C1">
        <w:rPr>
          <w:szCs w:val="22"/>
        </w:rPr>
        <w:t xml:space="preserve">here </w:t>
      </w:r>
      <w:r w:rsidR="008D3D0F">
        <w:rPr>
          <w:szCs w:val="22"/>
        </w:rPr>
        <w:t>are</w:t>
      </w:r>
      <w:r w:rsidR="008F31DB" w:rsidRPr="00DE55C1">
        <w:rPr>
          <w:szCs w:val="22"/>
        </w:rPr>
        <w:t xml:space="preserve"> a total of 37</w:t>
      </w:r>
      <w:r w:rsidR="008F31DB">
        <w:rPr>
          <w:szCs w:val="22"/>
        </w:rPr>
        <w:t>7</w:t>
      </w:r>
      <w:r w:rsidR="008F31DB" w:rsidRPr="00DE55C1">
        <w:rPr>
          <w:szCs w:val="22"/>
        </w:rPr>
        <w:t>,</w:t>
      </w:r>
      <w:r w:rsidR="008F31DB">
        <w:rPr>
          <w:szCs w:val="22"/>
        </w:rPr>
        <w:t>3</w:t>
      </w:r>
      <w:r w:rsidR="008F31DB" w:rsidRPr="00DE55C1">
        <w:rPr>
          <w:szCs w:val="22"/>
        </w:rPr>
        <w:t xml:space="preserve">00 potential </w:t>
      </w:r>
      <w:proofErr w:type="spellStart"/>
      <w:r w:rsidR="008F31DB" w:rsidRPr="00DE55C1">
        <w:rPr>
          <w:szCs w:val="22"/>
        </w:rPr>
        <w:t>broadhectare</w:t>
      </w:r>
      <w:proofErr w:type="spellEnd"/>
      <w:r w:rsidR="008F31DB" w:rsidRPr="00DE55C1">
        <w:rPr>
          <w:szCs w:val="22"/>
        </w:rPr>
        <w:t xml:space="preserve"> lots across </w:t>
      </w:r>
      <w:r w:rsidR="008F31DB">
        <w:rPr>
          <w:szCs w:val="22"/>
        </w:rPr>
        <w:t xml:space="preserve">metropolitan </w:t>
      </w:r>
      <w:r w:rsidR="008F31DB" w:rsidRPr="00DE55C1">
        <w:rPr>
          <w:szCs w:val="22"/>
        </w:rPr>
        <w:t>Melbourne</w:t>
      </w:r>
      <w:r w:rsidR="008F31DB">
        <w:rPr>
          <w:szCs w:val="22"/>
        </w:rPr>
        <w:t>.</w:t>
      </w:r>
      <w:r w:rsidR="008F31DB" w:rsidRPr="00DE55C1">
        <w:rPr>
          <w:szCs w:val="22"/>
        </w:rPr>
        <w:t xml:space="preserve"> </w:t>
      </w:r>
    </w:p>
    <w:p w14:paraId="1483FD51" w14:textId="77777777" w:rsidR="00225922" w:rsidRPr="00DE55C1" w:rsidRDefault="00225922" w:rsidP="00225922">
      <w:pPr>
        <w:rPr>
          <w:szCs w:val="22"/>
        </w:rPr>
      </w:pPr>
    </w:p>
    <w:p w14:paraId="76F06C23" w14:textId="778635C6" w:rsidR="00225922" w:rsidRDefault="008F31DB" w:rsidP="00225922">
      <w:pPr>
        <w:rPr>
          <w:szCs w:val="22"/>
        </w:rPr>
      </w:pPr>
      <w:r w:rsidRPr="00DE55C1">
        <w:rPr>
          <w:szCs w:val="22"/>
        </w:rPr>
        <w:t xml:space="preserve">The Western Growth Corridor has the </w:t>
      </w:r>
      <w:r w:rsidR="00A6541A">
        <w:rPr>
          <w:szCs w:val="22"/>
        </w:rPr>
        <w:t xml:space="preserve">largest number of overall </w:t>
      </w:r>
      <w:r w:rsidR="005A42D2">
        <w:rPr>
          <w:szCs w:val="22"/>
        </w:rPr>
        <w:t xml:space="preserve">potential </w:t>
      </w:r>
      <w:r w:rsidR="00A6541A">
        <w:rPr>
          <w:szCs w:val="22"/>
        </w:rPr>
        <w:t>lots with a potential</w:t>
      </w:r>
      <w:r w:rsidRPr="00DE55C1">
        <w:rPr>
          <w:szCs w:val="22"/>
        </w:rPr>
        <w:t xml:space="preserve"> supply of 16</w:t>
      </w:r>
      <w:r>
        <w:rPr>
          <w:szCs w:val="22"/>
        </w:rPr>
        <w:t>7</w:t>
      </w:r>
      <w:r w:rsidRPr="00DE55C1">
        <w:rPr>
          <w:szCs w:val="22"/>
        </w:rPr>
        <w:t>,</w:t>
      </w:r>
      <w:r>
        <w:rPr>
          <w:szCs w:val="22"/>
        </w:rPr>
        <w:t>5</w:t>
      </w:r>
      <w:r w:rsidRPr="00DE55C1">
        <w:rPr>
          <w:szCs w:val="22"/>
        </w:rPr>
        <w:t>00 lots</w:t>
      </w:r>
      <w:r>
        <w:rPr>
          <w:szCs w:val="22"/>
        </w:rPr>
        <w:t xml:space="preserve"> (</w:t>
      </w:r>
      <w:r w:rsidR="00A6541A">
        <w:rPr>
          <w:szCs w:val="22"/>
        </w:rPr>
        <w:t xml:space="preserve">this </w:t>
      </w:r>
      <w:r w:rsidRPr="00DE55C1">
        <w:rPr>
          <w:szCs w:val="22"/>
        </w:rPr>
        <w:t>includ</w:t>
      </w:r>
      <w:r w:rsidR="00A6541A">
        <w:rPr>
          <w:szCs w:val="22"/>
        </w:rPr>
        <w:t>es</w:t>
      </w:r>
      <w:r w:rsidRPr="00DE55C1">
        <w:rPr>
          <w:szCs w:val="22"/>
        </w:rPr>
        <w:t xml:space="preserve"> land </w:t>
      </w:r>
      <w:r w:rsidR="0088114B">
        <w:rPr>
          <w:szCs w:val="22"/>
        </w:rPr>
        <w:t>that</w:t>
      </w:r>
      <w:r w:rsidR="0088114B" w:rsidRPr="00DE55C1">
        <w:rPr>
          <w:szCs w:val="22"/>
        </w:rPr>
        <w:t xml:space="preserve"> </w:t>
      </w:r>
      <w:r w:rsidRPr="00DE55C1">
        <w:rPr>
          <w:szCs w:val="22"/>
        </w:rPr>
        <w:t>still requires a</w:t>
      </w:r>
      <w:r w:rsidR="0088114B">
        <w:rPr>
          <w:szCs w:val="22"/>
        </w:rPr>
        <w:t>n approved</w:t>
      </w:r>
      <w:r w:rsidRPr="00DE55C1">
        <w:rPr>
          <w:szCs w:val="22"/>
        </w:rPr>
        <w:t xml:space="preserve"> precinct structure plan</w:t>
      </w:r>
      <w:r>
        <w:rPr>
          <w:szCs w:val="22"/>
        </w:rPr>
        <w:t>)</w:t>
      </w:r>
      <w:r w:rsidRPr="00DE55C1">
        <w:rPr>
          <w:szCs w:val="22"/>
        </w:rPr>
        <w:t>. Th</w:t>
      </w:r>
      <w:r w:rsidR="005A42D2">
        <w:rPr>
          <w:szCs w:val="22"/>
        </w:rPr>
        <w:t>e Western Growth Corridor has</w:t>
      </w:r>
      <w:r w:rsidRPr="00DE55C1">
        <w:rPr>
          <w:szCs w:val="22"/>
        </w:rPr>
        <w:t xml:space="preserve"> 4</w:t>
      </w:r>
      <w:r>
        <w:rPr>
          <w:szCs w:val="22"/>
        </w:rPr>
        <w:t>4</w:t>
      </w:r>
      <w:r w:rsidRPr="00DE55C1">
        <w:rPr>
          <w:szCs w:val="22"/>
        </w:rPr>
        <w:t xml:space="preserve">% of all undeveloped residential </w:t>
      </w:r>
      <w:proofErr w:type="spellStart"/>
      <w:r w:rsidRPr="00DE55C1">
        <w:rPr>
          <w:szCs w:val="22"/>
        </w:rPr>
        <w:t>broadhectare</w:t>
      </w:r>
      <w:proofErr w:type="spellEnd"/>
      <w:r w:rsidRPr="00DE55C1">
        <w:rPr>
          <w:szCs w:val="22"/>
        </w:rPr>
        <w:t xml:space="preserve"> land across Melbourne’s growth areas.</w:t>
      </w:r>
      <w:r w:rsidR="00F60090">
        <w:rPr>
          <w:szCs w:val="22"/>
        </w:rPr>
        <w:t xml:space="preserve"> </w:t>
      </w:r>
      <w:r w:rsidRPr="00DE55C1">
        <w:rPr>
          <w:szCs w:val="22"/>
        </w:rPr>
        <w:t xml:space="preserve">The Northern Growth Corridor has a total supply </w:t>
      </w:r>
      <w:r w:rsidR="0088114B">
        <w:rPr>
          <w:szCs w:val="22"/>
        </w:rPr>
        <w:t xml:space="preserve">of </w:t>
      </w:r>
      <w:r w:rsidRPr="00DE55C1">
        <w:rPr>
          <w:szCs w:val="22"/>
        </w:rPr>
        <w:t>12</w:t>
      </w:r>
      <w:r>
        <w:rPr>
          <w:szCs w:val="22"/>
        </w:rPr>
        <w:t>1</w:t>
      </w:r>
      <w:r w:rsidRPr="00DE55C1">
        <w:rPr>
          <w:szCs w:val="22"/>
        </w:rPr>
        <w:t>,700 potential lots</w:t>
      </w:r>
      <w:r w:rsidR="00F60090">
        <w:rPr>
          <w:szCs w:val="22"/>
        </w:rPr>
        <w:t>,</w:t>
      </w:r>
      <w:r>
        <w:rPr>
          <w:szCs w:val="22"/>
        </w:rPr>
        <w:t xml:space="preserve"> </w:t>
      </w:r>
      <w:r w:rsidR="003242F8">
        <w:rPr>
          <w:szCs w:val="22"/>
        </w:rPr>
        <w:t xml:space="preserve">which is </w:t>
      </w:r>
      <w:r>
        <w:rPr>
          <w:szCs w:val="22"/>
        </w:rPr>
        <w:t>32</w:t>
      </w:r>
      <w:r w:rsidRPr="00DE55C1">
        <w:rPr>
          <w:szCs w:val="22"/>
        </w:rPr>
        <w:t xml:space="preserve">% of all residential </w:t>
      </w:r>
      <w:proofErr w:type="spellStart"/>
      <w:r w:rsidRPr="00DE55C1">
        <w:rPr>
          <w:szCs w:val="22"/>
        </w:rPr>
        <w:t>broadhectare</w:t>
      </w:r>
      <w:proofErr w:type="spellEnd"/>
      <w:r w:rsidRPr="00DE55C1">
        <w:rPr>
          <w:szCs w:val="22"/>
        </w:rPr>
        <w:t xml:space="preserve"> land across Melbourne’s growth areas.</w:t>
      </w:r>
    </w:p>
    <w:p w14:paraId="6941FC67" w14:textId="1D1DB431" w:rsidR="008F31DB" w:rsidRPr="00DE55C1" w:rsidRDefault="008F31DB" w:rsidP="00225922">
      <w:pPr>
        <w:rPr>
          <w:szCs w:val="22"/>
        </w:rPr>
      </w:pPr>
    </w:p>
    <w:p w14:paraId="237CF255" w14:textId="576C79B7" w:rsidR="008F31DB" w:rsidRDefault="008F31DB" w:rsidP="00225922">
      <w:pPr>
        <w:rPr>
          <w:szCs w:val="22"/>
        </w:rPr>
      </w:pPr>
      <w:r w:rsidRPr="00DE55C1">
        <w:rPr>
          <w:szCs w:val="22"/>
        </w:rPr>
        <w:t>The South-Eastern Growth Corridor</w:t>
      </w:r>
      <w:r w:rsidR="00F60090">
        <w:rPr>
          <w:szCs w:val="22"/>
        </w:rPr>
        <w:t xml:space="preserve"> </w:t>
      </w:r>
      <w:r w:rsidRPr="00DE55C1">
        <w:rPr>
          <w:szCs w:val="22"/>
        </w:rPr>
        <w:t>has a total supply of 8</w:t>
      </w:r>
      <w:r>
        <w:rPr>
          <w:szCs w:val="22"/>
        </w:rPr>
        <w:t>8</w:t>
      </w:r>
      <w:r w:rsidRPr="00DE55C1">
        <w:rPr>
          <w:szCs w:val="22"/>
        </w:rPr>
        <w:t>,</w:t>
      </w:r>
      <w:r>
        <w:rPr>
          <w:szCs w:val="22"/>
        </w:rPr>
        <w:t>0</w:t>
      </w:r>
      <w:r w:rsidRPr="00DE55C1">
        <w:rPr>
          <w:szCs w:val="22"/>
        </w:rPr>
        <w:t>00 potential lots.</w:t>
      </w:r>
    </w:p>
    <w:p w14:paraId="7ED3FD6F" w14:textId="334EF3EC" w:rsidR="00225922" w:rsidRDefault="00225922" w:rsidP="00225922">
      <w:pPr>
        <w:rPr>
          <w:szCs w:val="22"/>
        </w:rPr>
      </w:pPr>
    </w:p>
    <w:p w14:paraId="546342E1" w14:textId="77777777" w:rsidR="008F31DB" w:rsidRPr="00040071" w:rsidRDefault="008F31DB" w:rsidP="00D61869">
      <w:pPr>
        <w:pStyle w:val="Heading2"/>
        <w:numPr>
          <w:ilvl w:val="0"/>
          <w:numId w:val="0"/>
        </w:numPr>
      </w:pPr>
      <w:bookmarkStart w:id="25" w:name="_Toc435691187"/>
      <w:bookmarkStart w:id="26" w:name="_Toc473558973"/>
      <w:r w:rsidRPr="003E47FB">
        <w:t xml:space="preserve">3.3 </w:t>
      </w:r>
      <w:proofErr w:type="spellStart"/>
      <w:r w:rsidRPr="003E47FB">
        <w:t>Broadhectare</w:t>
      </w:r>
      <w:proofErr w:type="spellEnd"/>
      <w:r w:rsidRPr="003E47FB">
        <w:t xml:space="preserve"> Lot Construction</w:t>
      </w:r>
      <w:bookmarkEnd w:id="25"/>
      <w:bookmarkEnd w:id="26"/>
    </w:p>
    <w:p w14:paraId="3760AE00" w14:textId="5EE64C16" w:rsidR="00225922" w:rsidRDefault="008F31DB" w:rsidP="00225922">
      <w:pPr>
        <w:rPr>
          <w:szCs w:val="22"/>
        </w:rPr>
      </w:pPr>
      <w:r w:rsidRPr="00DE55C1">
        <w:rPr>
          <w:szCs w:val="22"/>
        </w:rPr>
        <w:t>During 201</w:t>
      </w:r>
      <w:r>
        <w:rPr>
          <w:szCs w:val="22"/>
        </w:rPr>
        <w:t>5</w:t>
      </w:r>
      <w:r w:rsidRPr="00DE55C1">
        <w:rPr>
          <w:szCs w:val="22"/>
        </w:rPr>
        <w:t>-1</w:t>
      </w:r>
      <w:r>
        <w:rPr>
          <w:szCs w:val="22"/>
        </w:rPr>
        <w:t>6</w:t>
      </w:r>
      <w:r w:rsidRPr="00DE55C1">
        <w:rPr>
          <w:szCs w:val="22"/>
        </w:rPr>
        <w:t xml:space="preserve">, </w:t>
      </w:r>
      <w:r>
        <w:rPr>
          <w:szCs w:val="22"/>
        </w:rPr>
        <w:t>nearly</w:t>
      </w:r>
      <w:r w:rsidRPr="00DE55C1">
        <w:rPr>
          <w:szCs w:val="22"/>
        </w:rPr>
        <w:t xml:space="preserve"> 1</w:t>
      </w:r>
      <w:r>
        <w:rPr>
          <w:szCs w:val="22"/>
        </w:rPr>
        <w:t>8</w:t>
      </w:r>
      <w:r w:rsidRPr="00DE55C1">
        <w:rPr>
          <w:szCs w:val="22"/>
        </w:rPr>
        <w:t>,</w:t>
      </w:r>
      <w:r>
        <w:rPr>
          <w:szCs w:val="22"/>
        </w:rPr>
        <w:t>9</w:t>
      </w:r>
      <w:r w:rsidRPr="00DE55C1">
        <w:rPr>
          <w:szCs w:val="22"/>
        </w:rPr>
        <w:t xml:space="preserve">00 </w:t>
      </w:r>
      <w:proofErr w:type="spellStart"/>
      <w:r w:rsidRPr="00DE55C1">
        <w:rPr>
          <w:szCs w:val="22"/>
        </w:rPr>
        <w:t>broadhectare</w:t>
      </w:r>
      <w:proofErr w:type="spellEnd"/>
      <w:r w:rsidRPr="00DE55C1">
        <w:rPr>
          <w:szCs w:val="22"/>
        </w:rPr>
        <w:t xml:space="preserve"> lots were constructed in Melbourne’s growth area municipalities, compared </w:t>
      </w:r>
      <w:r>
        <w:rPr>
          <w:szCs w:val="22"/>
        </w:rPr>
        <w:t>with</w:t>
      </w:r>
      <w:r w:rsidRPr="00DE55C1">
        <w:rPr>
          <w:szCs w:val="22"/>
        </w:rPr>
        <w:t xml:space="preserve"> around </w:t>
      </w:r>
      <w:r>
        <w:rPr>
          <w:szCs w:val="22"/>
        </w:rPr>
        <w:t>10</w:t>
      </w:r>
      <w:r w:rsidRPr="00DE55C1">
        <w:rPr>
          <w:szCs w:val="22"/>
        </w:rPr>
        <w:t>,600 in 201</w:t>
      </w:r>
      <w:r>
        <w:rPr>
          <w:szCs w:val="22"/>
        </w:rPr>
        <w:t>4</w:t>
      </w:r>
      <w:r w:rsidRPr="00DE55C1">
        <w:rPr>
          <w:szCs w:val="22"/>
        </w:rPr>
        <w:t>-1</w:t>
      </w:r>
      <w:r>
        <w:rPr>
          <w:szCs w:val="22"/>
        </w:rPr>
        <w:t xml:space="preserve">5. This </w:t>
      </w:r>
      <w:r w:rsidR="008C6F92">
        <w:rPr>
          <w:szCs w:val="22"/>
        </w:rPr>
        <w:t>is</w:t>
      </w:r>
      <w:r>
        <w:rPr>
          <w:szCs w:val="22"/>
        </w:rPr>
        <w:t xml:space="preserve"> the highest number of lots constructed over a financial year and a 44% increase from the previous financial year.</w:t>
      </w:r>
    </w:p>
    <w:p w14:paraId="7F09977D" w14:textId="0321EBA7" w:rsidR="008C6F92" w:rsidRDefault="008C6F92" w:rsidP="00225922">
      <w:pPr>
        <w:rPr>
          <w:szCs w:val="22"/>
        </w:rPr>
      </w:pPr>
    </w:p>
    <w:p w14:paraId="2E0589E0" w14:textId="128395BB" w:rsidR="0084625F" w:rsidRDefault="00FB3EC5" w:rsidP="00225922">
      <w:pPr>
        <w:rPr>
          <w:szCs w:val="22"/>
        </w:rPr>
      </w:pPr>
      <w:proofErr w:type="spellStart"/>
      <w:r>
        <w:rPr>
          <w:szCs w:val="22"/>
        </w:rPr>
        <w:t>B</w:t>
      </w:r>
      <w:r w:rsidRPr="00DE55C1">
        <w:rPr>
          <w:szCs w:val="22"/>
        </w:rPr>
        <w:t>roadhectare</w:t>
      </w:r>
      <w:proofErr w:type="spellEnd"/>
      <w:r w:rsidRPr="00DE55C1">
        <w:rPr>
          <w:szCs w:val="22"/>
        </w:rPr>
        <w:t xml:space="preserve"> lot construction during 201</w:t>
      </w:r>
      <w:r>
        <w:rPr>
          <w:szCs w:val="22"/>
        </w:rPr>
        <w:t>5</w:t>
      </w:r>
      <w:r w:rsidRPr="00DE55C1">
        <w:rPr>
          <w:szCs w:val="22"/>
        </w:rPr>
        <w:t>-1</w:t>
      </w:r>
      <w:r>
        <w:rPr>
          <w:szCs w:val="22"/>
        </w:rPr>
        <w:t>6</w:t>
      </w:r>
      <w:r w:rsidRPr="00DE55C1">
        <w:rPr>
          <w:szCs w:val="22"/>
        </w:rPr>
        <w:t xml:space="preserve"> </w:t>
      </w:r>
      <w:r>
        <w:rPr>
          <w:szCs w:val="22"/>
        </w:rPr>
        <w:t xml:space="preserve">period was also well in excess of the long </w:t>
      </w:r>
      <w:r w:rsidRPr="00DE55C1">
        <w:rPr>
          <w:szCs w:val="22"/>
        </w:rPr>
        <w:t>term average (</w:t>
      </w:r>
      <w:r>
        <w:rPr>
          <w:szCs w:val="22"/>
        </w:rPr>
        <w:t xml:space="preserve">over the </w:t>
      </w:r>
      <w:r w:rsidRPr="00DE55C1">
        <w:rPr>
          <w:szCs w:val="22"/>
        </w:rPr>
        <w:t>last decade) of 11,</w:t>
      </w:r>
      <w:r>
        <w:rPr>
          <w:szCs w:val="22"/>
        </w:rPr>
        <w:t>9</w:t>
      </w:r>
      <w:r w:rsidRPr="00DE55C1">
        <w:rPr>
          <w:szCs w:val="22"/>
        </w:rPr>
        <w:t>00 lots per year</w:t>
      </w:r>
      <w:r>
        <w:rPr>
          <w:szCs w:val="22"/>
        </w:rPr>
        <w:t>.</w:t>
      </w:r>
      <w:r w:rsidR="00753AC9">
        <w:rPr>
          <w:szCs w:val="22"/>
        </w:rPr>
        <w:t xml:space="preserve"> </w:t>
      </w:r>
      <w:r w:rsidR="00311D63">
        <w:rPr>
          <w:szCs w:val="22"/>
        </w:rPr>
        <w:t>T</w:t>
      </w:r>
      <w:r w:rsidR="00C77A36">
        <w:rPr>
          <w:szCs w:val="22"/>
        </w:rPr>
        <w:t>he last decade</w:t>
      </w:r>
      <w:r w:rsidR="00311D63">
        <w:rPr>
          <w:szCs w:val="22"/>
        </w:rPr>
        <w:t xml:space="preserve"> has seen</w:t>
      </w:r>
      <w:r w:rsidR="00C77A36" w:rsidRPr="00DE55C1">
        <w:rPr>
          <w:szCs w:val="22"/>
        </w:rPr>
        <w:t xml:space="preserve"> significant </w:t>
      </w:r>
      <w:r w:rsidR="00C77A36">
        <w:rPr>
          <w:szCs w:val="22"/>
        </w:rPr>
        <w:t>variation</w:t>
      </w:r>
      <w:r w:rsidR="00C77A36" w:rsidRPr="00DE55C1">
        <w:rPr>
          <w:szCs w:val="22"/>
        </w:rPr>
        <w:t xml:space="preserve"> in the annual number of lots constructed (or subdivided) in the growth areas.</w:t>
      </w:r>
      <w:r w:rsidR="0084625F">
        <w:rPr>
          <w:szCs w:val="22"/>
        </w:rPr>
        <w:br w:type="page"/>
      </w:r>
    </w:p>
    <w:p w14:paraId="23F01A43" w14:textId="269118DD" w:rsidR="00225922" w:rsidRDefault="008F31DB" w:rsidP="00225922">
      <w:pPr>
        <w:rPr>
          <w:szCs w:val="22"/>
        </w:rPr>
      </w:pPr>
      <w:r>
        <w:rPr>
          <w:szCs w:val="22"/>
        </w:rPr>
        <w:lastRenderedPageBreak/>
        <w:t xml:space="preserve">The municipalities of Wyndham and Casey continue to produce the highest numbers of </w:t>
      </w:r>
      <w:proofErr w:type="spellStart"/>
      <w:r>
        <w:rPr>
          <w:szCs w:val="22"/>
        </w:rPr>
        <w:t>broadhectare</w:t>
      </w:r>
      <w:proofErr w:type="spellEnd"/>
      <w:r>
        <w:rPr>
          <w:szCs w:val="22"/>
        </w:rPr>
        <w:t xml:space="preserve"> residential lots, with around 4,950 and 4,300 lots constructed during 2015-16 respectively. </w:t>
      </w:r>
    </w:p>
    <w:p w14:paraId="3D584621" w14:textId="77777777" w:rsidR="00624CD5" w:rsidRDefault="00624CD5" w:rsidP="00225922">
      <w:pPr>
        <w:rPr>
          <w:b/>
          <w:szCs w:val="22"/>
        </w:rPr>
      </w:pPr>
    </w:p>
    <w:p w14:paraId="700BE682" w14:textId="77777777" w:rsidR="008F31DB" w:rsidRPr="00040071" w:rsidRDefault="008F31DB" w:rsidP="008F31DB">
      <w:pPr>
        <w:pStyle w:val="Heading2"/>
      </w:pPr>
      <w:bookmarkStart w:id="27" w:name="_Toc435691188"/>
      <w:bookmarkStart w:id="28" w:name="_Toc473558974"/>
      <w:r w:rsidRPr="003E47FB">
        <w:t>3.4 Lot Size Profile</w:t>
      </w:r>
      <w:bookmarkEnd w:id="27"/>
      <w:bookmarkEnd w:id="28"/>
    </w:p>
    <w:p w14:paraId="13970875" w14:textId="4401D550" w:rsidR="008C0524" w:rsidRDefault="008F31DB" w:rsidP="00225922">
      <w:pPr>
        <w:rPr>
          <w:szCs w:val="22"/>
        </w:rPr>
      </w:pPr>
      <w:r w:rsidRPr="00DE55C1">
        <w:rPr>
          <w:szCs w:val="22"/>
        </w:rPr>
        <w:t xml:space="preserve">The size of lots constructed across each of the growth areas </w:t>
      </w:r>
      <w:r w:rsidR="00C718C7">
        <w:rPr>
          <w:szCs w:val="22"/>
        </w:rPr>
        <w:t>has</w:t>
      </w:r>
      <w:r w:rsidR="00C718C7" w:rsidRPr="00DE55C1">
        <w:rPr>
          <w:szCs w:val="22"/>
        </w:rPr>
        <w:t xml:space="preserve"> </w:t>
      </w:r>
      <w:r w:rsidRPr="00DE55C1">
        <w:rPr>
          <w:szCs w:val="22"/>
        </w:rPr>
        <w:t xml:space="preserve">continued to decrease. </w:t>
      </w:r>
    </w:p>
    <w:p w14:paraId="242C3477" w14:textId="2773AC31" w:rsidR="008F31DB" w:rsidRDefault="00B664CC" w:rsidP="00225922">
      <w:pPr>
        <w:rPr>
          <w:szCs w:val="22"/>
        </w:rPr>
      </w:pPr>
      <w:r>
        <w:rPr>
          <w:szCs w:val="22"/>
        </w:rPr>
        <w:t xml:space="preserve">For the past few years, about three quarters of </w:t>
      </w:r>
      <w:r w:rsidR="008F31DB">
        <w:rPr>
          <w:szCs w:val="22"/>
        </w:rPr>
        <w:t>lots constructed</w:t>
      </w:r>
      <w:r w:rsidR="008C0524">
        <w:rPr>
          <w:szCs w:val="22"/>
        </w:rPr>
        <w:t xml:space="preserve"> in the growth areas</w:t>
      </w:r>
      <w:r>
        <w:rPr>
          <w:szCs w:val="22"/>
        </w:rPr>
        <w:t xml:space="preserve"> have been </w:t>
      </w:r>
      <w:r w:rsidR="008F31DB">
        <w:rPr>
          <w:szCs w:val="22"/>
        </w:rPr>
        <w:t xml:space="preserve">below 500 square metres </w:t>
      </w:r>
      <w:r>
        <w:rPr>
          <w:szCs w:val="22"/>
        </w:rPr>
        <w:t>in area</w:t>
      </w:r>
      <w:r w:rsidR="008C0524">
        <w:rPr>
          <w:szCs w:val="22"/>
        </w:rPr>
        <w:t xml:space="preserve">. This </w:t>
      </w:r>
      <w:r>
        <w:rPr>
          <w:szCs w:val="22"/>
        </w:rPr>
        <w:t>is a significant difference compared to 2006-07 when a third of lots were below 500 square metres</w:t>
      </w:r>
      <w:r w:rsidR="008F31DB">
        <w:rPr>
          <w:szCs w:val="22"/>
        </w:rPr>
        <w:t>.</w:t>
      </w:r>
      <w:r>
        <w:rPr>
          <w:szCs w:val="22"/>
        </w:rPr>
        <w:t xml:space="preserve"> A</w:t>
      </w:r>
      <w:r w:rsidR="00155CBD">
        <w:rPr>
          <w:szCs w:val="22"/>
        </w:rPr>
        <w:t xml:space="preserve">t the same time </w:t>
      </w:r>
      <w:r>
        <w:rPr>
          <w:szCs w:val="22"/>
        </w:rPr>
        <w:t>th</w:t>
      </w:r>
      <w:r w:rsidR="008F31DB" w:rsidRPr="00DE55C1">
        <w:rPr>
          <w:szCs w:val="22"/>
        </w:rPr>
        <w:t xml:space="preserve">e share of larger lots (500 square metres or over) dropped from </w:t>
      </w:r>
      <w:r>
        <w:rPr>
          <w:szCs w:val="22"/>
        </w:rPr>
        <w:t>nearly two thirds</w:t>
      </w:r>
      <w:r w:rsidR="00F46396">
        <w:rPr>
          <w:szCs w:val="22"/>
        </w:rPr>
        <w:t xml:space="preserve"> of lots</w:t>
      </w:r>
      <w:r w:rsidR="008F31DB" w:rsidRPr="00DE55C1">
        <w:rPr>
          <w:szCs w:val="22"/>
        </w:rPr>
        <w:t xml:space="preserve"> in 2006-07 to </w:t>
      </w:r>
      <w:r>
        <w:rPr>
          <w:szCs w:val="22"/>
        </w:rPr>
        <w:t xml:space="preserve">around a quarter </w:t>
      </w:r>
      <w:r w:rsidR="008F31DB">
        <w:rPr>
          <w:szCs w:val="22"/>
        </w:rPr>
        <w:t>in 2015-16</w:t>
      </w:r>
      <w:r w:rsidR="008F31DB" w:rsidRPr="00DE55C1">
        <w:rPr>
          <w:szCs w:val="22"/>
        </w:rPr>
        <w:t>.</w:t>
      </w:r>
    </w:p>
    <w:p w14:paraId="0B584BA3" w14:textId="77777777" w:rsidR="00225922" w:rsidRPr="00DE55C1" w:rsidRDefault="00225922" w:rsidP="00225922">
      <w:pPr>
        <w:rPr>
          <w:szCs w:val="22"/>
        </w:rPr>
      </w:pPr>
    </w:p>
    <w:p w14:paraId="4EE58967" w14:textId="704DB59E" w:rsidR="008F31DB" w:rsidRDefault="008F31DB" w:rsidP="00225922">
      <w:pPr>
        <w:rPr>
          <w:szCs w:val="22"/>
        </w:rPr>
      </w:pPr>
      <w:r w:rsidRPr="00DE55C1">
        <w:rPr>
          <w:szCs w:val="22"/>
        </w:rPr>
        <w:t xml:space="preserve">Whittlesea has the smallest average lot size, with 85% of all </w:t>
      </w:r>
      <w:proofErr w:type="spellStart"/>
      <w:r w:rsidRPr="00DE55C1">
        <w:rPr>
          <w:szCs w:val="22"/>
        </w:rPr>
        <w:t>broadhectare</w:t>
      </w:r>
      <w:proofErr w:type="spellEnd"/>
      <w:r w:rsidRPr="00DE55C1">
        <w:rPr>
          <w:szCs w:val="22"/>
        </w:rPr>
        <w:t xml:space="preserve"> lots constructed during 201</w:t>
      </w:r>
      <w:r>
        <w:rPr>
          <w:szCs w:val="22"/>
        </w:rPr>
        <w:t>5</w:t>
      </w:r>
      <w:r w:rsidRPr="00DE55C1">
        <w:rPr>
          <w:szCs w:val="22"/>
        </w:rPr>
        <w:t>-1</w:t>
      </w:r>
      <w:r>
        <w:rPr>
          <w:szCs w:val="22"/>
        </w:rPr>
        <w:t>6</w:t>
      </w:r>
      <w:r w:rsidRPr="00DE55C1">
        <w:rPr>
          <w:szCs w:val="22"/>
        </w:rPr>
        <w:t xml:space="preserve"> </w:t>
      </w:r>
      <w:r w:rsidR="00151430">
        <w:rPr>
          <w:szCs w:val="22"/>
        </w:rPr>
        <w:t xml:space="preserve">having an area of </w:t>
      </w:r>
      <w:r w:rsidRPr="00DE55C1">
        <w:rPr>
          <w:szCs w:val="22"/>
        </w:rPr>
        <w:t>less than 500 square metres.</w:t>
      </w:r>
      <w:r>
        <w:rPr>
          <w:szCs w:val="22"/>
        </w:rPr>
        <w:t xml:space="preserve"> </w:t>
      </w:r>
    </w:p>
    <w:p w14:paraId="555A5EB7" w14:textId="77777777" w:rsidR="00225922" w:rsidRDefault="00225922" w:rsidP="00225922">
      <w:pPr>
        <w:rPr>
          <w:szCs w:val="22"/>
        </w:rPr>
      </w:pPr>
    </w:p>
    <w:p w14:paraId="2CFBCBFD" w14:textId="1AF2B408" w:rsidR="00F46396" w:rsidRDefault="00F46396" w:rsidP="00225922">
      <w:pPr>
        <w:rPr>
          <w:szCs w:val="22"/>
        </w:rPr>
      </w:pPr>
      <w:r>
        <w:rPr>
          <w:szCs w:val="22"/>
        </w:rPr>
        <w:t>Since 2010, the proportion of lots below 300 square metres has steadily increased. For the 2015-16 period</w:t>
      </w:r>
      <w:r w:rsidR="00753AC9">
        <w:rPr>
          <w:szCs w:val="22"/>
        </w:rPr>
        <w:t>,</w:t>
      </w:r>
      <w:r>
        <w:rPr>
          <w:szCs w:val="22"/>
        </w:rPr>
        <w:t xml:space="preserve"> </w:t>
      </w:r>
      <w:r w:rsidR="009A5942" w:rsidRPr="009A5942">
        <w:rPr>
          <w:szCs w:val="22"/>
        </w:rPr>
        <w:t>2,860</w:t>
      </w:r>
      <w:r w:rsidRPr="009A5942">
        <w:rPr>
          <w:szCs w:val="22"/>
        </w:rPr>
        <w:t xml:space="preserve"> l</w:t>
      </w:r>
      <w:r>
        <w:rPr>
          <w:szCs w:val="22"/>
        </w:rPr>
        <w:t xml:space="preserve">ots of below 300 square metres were constructed, as compared to </w:t>
      </w:r>
      <w:r w:rsidR="009A5942">
        <w:rPr>
          <w:szCs w:val="22"/>
        </w:rPr>
        <w:t xml:space="preserve">2,150 </w:t>
      </w:r>
      <w:r>
        <w:rPr>
          <w:szCs w:val="22"/>
        </w:rPr>
        <w:t xml:space="preserve">lots in 2014-15. Lots below 300 square metres are generally considered the most affordable growth area lots. </w:t>
      </w:r>
    </w:p>
    <w:p w14:paraId="2C2117CB" w14:textId="4181F224" w:rsidR="008F31DB" w:rsidRDefault="008F31DB" w:rsidP="008F31DB">
      <w:r>
        <w:br w:type="page"/>
      </w:r>
    </w:p>
    <w:p w14:paraId="0C9A9DBE" w14:textId="77777777" w:rsidR="008F31DB" w:rsidRPr="00EC1E96" w:rsidRDefault="008F31DB" w:rsidP="008F31DB">
      <w:pPr>
        <w:pStyle w:val="HA"/>
        <w:rPr>
          <w:b/>
        </w:rPr>
      </w:pPr>
      <w:bookmarkStart w:id="29" w:name="_Toc473558975"/>
      <w:r w:rsidRPr="00EC1E96">
        <w:rPr>
          <w:b/>
        </w:rPr>
        <w:lastRenderedPageBreak/>
        <w:t>4 Industrial Land</w:t>
      </w:r>
      <w:bookmarkEnd w:id="29"/>
    </w:p>
    <w:p w14:paraId="22A23115" w14:textId="77777777" w:rsidR="008F31DB" w:rsidRDefault="008F31DB" w:rsidP="008F31DB">
      <w:r>
        <w:t>The Urban Development Program for industrial land reports on:</w:t>
      </w:r>
    </w:p>
    <w:p w14:paraId="4341A8CD" w14:textId="3E70A4EC" w:rsidR="008F31DB" w:rsidRDefault="008F31DB" w:rsidP="00753AC9">
      <w:pPr>
        <w:pStyle w:val="ListParagraph"/>
        <w:numPr>
          <w:ilvl w:val="0"/>
          <w:numId w:val="42"/>
        </w:numPr>
        <w:spacing w:after="200" w:line="276" w:lineRule="auto"/>
        <w:ind w:left="284" w:hanging="284"/>
      </w:pPr>
      <w:r>
        <w:t>Change</w:t>
      </w:r>
      <w:r w:rsidR="00B964D6">
        <w:t>s</w:t>
      </w:r>
      <w:r>
        <w:t xml:space="preserve"> in zoning of industrial land; </w:t>
      </w:r>
    </w:p>
    <w:p w14:paraId="48F5A6D3" w14:textId="77777777" w:rsidR="008F31DB" w:rsidRDefault="008F31DB" w:rsidP="00753AC9">
      <w:pPr>
        <w:pStyle w:val="ListParagraph"/>
        <w:numPr>
          <w:ilvl w:val="0"/>
          <w:numId w:val="42"/>
        </w:numPr>
        <w:spacing w:after="200" w:line="276" w:lineRule="auto"/>
        <w:ind w:left="284" w:hanging="284"/>
      </w:pPr>
      <w:r>
        <w:t>Rezoning of industrial land to other uses;</w:t>
      </w:r>
    </w:p>
    <w:p w14:paraId="130DCB24" w14:textId="77777777" w:rsidR="008F31DB" w:rsidRDefault="008F31DB" w:rsidP="00753AC9">
      <w:pPr>
        <w:pStyle w:val="ListParagraph"/>
        <w:numPr>
          <w:ilvl w:val="0"/>
          <w:numId w:val="42"/>
        </w:numPr>
        <w:spacing w:after="200" w:line="276" w:lineRule="auto"/>
        <w:ind w:left="284" w:hanging="284"/>
      </w:pPr>
      <w:r>
        <w:t>Supply of vacant industrial land;</w:t>
      </w:r>
    </w:p>
    <w:p w14:paraId="1336D96E" w14:textId="77777777" w:rsidR="008F31DB" w:rsidRDefault="008F31DB" w:rsidP="00753AC9">
      <w:pPr>
        <w:pStyle w:val="ListParagraph"/>
        <w:numPr>
          <w:ilvl w:val="0"/>
          <w:numId w:val="42"/>
        </w:numPr>
        <w:spacing w:after="200" w:line="276" w:lineRule="auto"/>
        <w:ind w:left="284" w:hanging="284"/>
      </w:pPr>
      <w:r>
        <w:t>Net consumption of industrial land.</w:t>
      </w:r>
    </w:p>
    <w:p w14:paraId="3A401106" w14:textId="4BACC78F" w:rsidR="008F31DB" w:rsidRDefault="008F31DB" w:rsidP="008F31DB">
      <w:r>
        <w:t>The use of industrial land is dynamic, with large developments occurring in the State Significant</w:t>
      </w:r>
      <w:r w:rsidR="00753AC9">
        <w:t xml:space="preserve"> </w:t>
      </w:r>
      <w:r w:rsidR="00B964D6">
        <w:t xml:space="preserve">Industrial </w:t>
      </w:r>
      <w:r>
        <w:t xml:space="preserve">Precincts (SSIPs) on the fringe of the city, redevelopment for employment uses in some middle and inner suburbs, and the rezoning of land from industrial to a non-industrial zone which occurs across metropolitan Melbourne. </w:t>
      </w:r>
    </w:p>
    <w:p w14:paraId="46D9F8A2" w14:textId="77777777" w:rsidR="008F31DB" w:rsidRDefault="008F31DB" w:rsidP="008F31DB"/>
    <w:p w14:paraId="33243672" w14:textId="77777777" w:rsidR="008F31DB" w:rsidRDefault="008F31DB" w:rsidP="008F31DB">
      <w:r>
        <w:t>The definition of industrial land used in this report includes the following:</w:t>
      </w:r>
    </w:p>
    <w:p w14:paraId="0F4973DB" w14:textId="77777777" w:rsidR="008F31DB" w:rsidRDefault="008F31DB" w:rsidP="00461A1D">
      <w:pPr>
        <w:pStyle w:val="ListParagraph"/>
        <w:numPr>
          <w:ilvl w:val="0"/>
          <w:numId w:val="42"/>
        </w:numPr>
        <w:spacing w:after="200" w:line="276" w:lineRule="auto"/>
        <w:ind w:left="284" w:hanging="284"/>
      </w:pPr>
      <w:r>
        <w:t>Industrial 1, 2 and 3 Zones;</w:t>
      </w:r>
    </w:p>
    <w:p w14:paraId="0FEE5421" w14:textId="77777777" w:rsidR="008F31DB" w:rsidRDefault="008F31DB" w:rsidP="00461A1D">
      <w:pPr>
        <w:pStyle w:val="ListParagraph"/>
        <w:numPr>
          <w:ilvl w:val="0"/>
          <w:numId w:val="42"/>
        </w:numPr>
        <w:spacing w:after="200" w:line="276" w:lineRule="auto"/>
        <w:ind w:left="284" w:hanging="284"/>
      </w:pPr>
      <w:r>
        <w:t>Business 3 and 4 Zones;</w:t>
      </w:r>
    </w:p>
    <w:p w14:paraId="451E38F9" w14:textId="77777777" w:rsidR="008F31DB" w:rsidRDefault="008F31DB" w:rsidP="00461A1D">
      <w:pPr>
        <w:pStyle w:val="ListParagraph"/>
        <w:numPr>
          <w:ilvl w:val="0"/>
          <w:numId w:val="42"/>
        </w:numPr>
        <w:spacing w:after="200" w:line="276" w:lineRule="auto"/>
        <w:ind w:left="284" w:hanging="284"/>
      </w:pPr>
      <w:r>
        <w:t>Commercial 2;</w:t>
      </w:r>
    </w:p>
    <w:p w14:paraId="337C9122" w14:textId="77777777" w:rsidR="008F31DB" w:rsidRDefault="008F31DB" w:rsidP="00461A1D">
      <w:pPr>
        <w:pStyle w:val="ListParagraph"/>
        <w:numPr>
          <w:ilvl w:val="0"/>
          <w:numId w:val="42"/>
        </w:numPr>
        <w:spacing w:after="200" w:line="276" w:lineRule="auto"/>
        <w:ind w:left="284" w:hanging="284"/>
      </w:pPr>
      <w:r>
        <w:t xml:space="preserve">Special Use 2, 3, 4, and 5 Zones in the City of </w:t>
      </w:r>
      <w:proofErr w:type="spellStart"/>
      <w:r>
        <w:t>Hobsons</w:t>
      </w:r>
      <w:proofErr w:type="spellEnd"/>
      <w:r>
        <w:t xml:space="preserve"> Bay, Special Use 1 Zone in the Shire of Mornington Peninsula and Special Use Zone 6 in the City of Monash;</w:t>
      </w:r>
    </w:p>
    <w:p w14:paraId="4CD895AD" w14:textId="77777777" w:rsidR="008F31DB" w:rsidRDefault="008F31DB" w:rsidP="00461A1D">
      <w:pPr>
        <w:pStyle w:val="ListParagraph"/>
        <w:numPr>
          <w:ilvl w:val="0"/>
          <w:numId w:val="42"/>
        </w:numPr>
        <w:spacing w:after="200" w:line="276" w:lineRule="auto"/>
        <w:ind w:left="284" w:hanging="284"/>
      </w:pPr>
      <w:r>
        <w:t>Comprehensive Development Zone 2 in the City of Hume and Comprehensive Development Zone 2 in the City of Whittlesea;</w:t>
      </w:r>
    </w:p>
    <w:p w14:paraId="2BF2DCE6" w14:textId="77777777" w:rsidR="008F31DB" w:rsidRDefault="008F31DB" w:rsidP="00461A1D">
      <w:pPr>
        <w:pStyle w:val="ListParagraph"/>
        <w:numPr>
          <w:ilvl w:val="0"/>
          <w:numId w:val="42"/>
        </w:numPr>
        <w:spacing w:after="200" w:line="276" w:lineRule="auto"/>
        <w:ind w:left="284" w:hanging="284"/>
      </w:pPr>
      <w:r>
        <w:t>Precincts with Activity Centre Zones that are industrial in character within the City of Casey, City of Moreland and the City of Whittlesea;</w:t>
      </w:r>
    </w:p>
    <w:p w14:paraId="1F112F3C" w14:textId="77777777" w:rsidR="008F31DB" w:rsidRDefault="008F31DB" w:rsidP="00461A1D">
      <w:pPr>
        <w:pStyle w:val="ListParagraph"/>
        <w:numPr>
          <w:ilvl w:val="0"/>
          <w:numId w:val="42"/>
        </w:numPr>
        <w:spacing w:after="200" w:line="276" w:lineRule="auto"/>
        <w:ind w:left="284" w:hanging="284"/>
      </w:pPr>
      <w:r>
        <w:t>Land within the Melbourne and Moorabbin Airport Business Parks; and;</w:t>
      </w:r>
    </w:p>
    <w:p w14:paraId="714DD5CE" w14:textId="77777777" w:rsidR="008F31DB" w:rsidRDefault="008F31DB" w:rsidP="00461A1D">
      <w:pPr>
        <w:pStyle w:val="ListParagraph"/>
        <w:numPr>
          <w:ilvl w:val="0"/>
          <w:numId w:val="42"/>
        </w:numPr>
        <w:spacing w:after="200" w:line="276" w:lineRule="auto"/>
        <w:ind w:left="284" w:hanging="284"/>
      </w:pPr>
      <w:r>
        <w:t>Urban Growth Zone land identified as industrial in the Truganina Employment Area Precinct Structure Plan, Cranbourne West Precinct Structure Plan, Cardinia Road Employment Precinct Structure Plan and areas within the East Werribee Employment Precinct and the Truganina Precinct Structure Plan that are industrial in character.</w:t>
      </w:r>
    </w:p>
    <w:p w14:paraId="521024D7" w14:textId="77777777" w:rsidR="008F31DB" w:rsidRDefault="008F31DB" w:rsidP="008F31DB">
      <w:r>
        <w:t>There are some 5,950 hectares of unzoned land that has been identified through the growth corridor plans and previous strategic plans which is not included as industrial land in the Urban Development Program. This land will be included in the Urban Development Program once structure planning has been undertaken and approved for these areas.</w:t>
      </w:r>
    </w:p>
    <w:p w14:paraId="5F7C106A" w14:textId="0C9726F4" w:rsidR="008F31DB" w:rsidRDefault="008F31DB" w:rsidP="008F31DB"/>
    <w:p w14:paraId="48CE5124" w14:textId="77777777" w:rsidR="008F31DB" w:rsidRPr="002644FC" w:rsidRDefault="008F31DB" w:rsidP="008F31DB">
      <w:pPr>
        <w:pStyle w:val="Heading2"/>
      </w:pPr>
      <w:bookmarkStart w:id="30" w:name="_Toc473558976"/>
      <w:r w:rsidRPr="004408B6">
        <w:t xml:space="preserve">4.1 </w:t>
      </w:r>
      <w:r>
        <w:t>Net Change i</w:t>
      </w:r>
      <w:r w:rsidRPr="004408B6">
        <w:t>n Industrial Zoned Land</w:t>
      </w:r>
      <w:bookmarkEnd w:id="30"/>
    </w:p>
    <w:p w14:paraId="2E0BA21A" w14:textId="64956387" w:rsidR="008F31DB" w:rsidRDefault="008F31DB" w:rsidP="008F31DB">
      <w:r>
        <w:t>Over the 15 year period between 2000-01 and 2015-16, there was a net increase of 3,921 hectares of land zoned for industrial use across metropolitan Melbourne. Most of this was added to the State Significant Industrial Precincts (SSIPs): the West SSIP in Melton and Wyndham; the North SSIP in Hume and Whittlesea;</w:t>
      </w:r>
      <w:r w:rsidRPr="003E4FF6">
        <w:t xml:space="preserve"> </w:t>
      </w:r>
      <w:r>
        <w:t>the South SSIP in Greater Dandenong and the Officer/Pakenham SSIP in Cardinia.</w:t>
      </w:r>
    </w:p>
    <w:p w14:paraId="0F5698FD" w14:textId="77777777" w:rsidR="008F31DB" w:rsidRDefault="008F31DB" w:rsidP="008F31DB"/>
    <w:p w14:paraId="401E6DF6" w14:textId="77777777" w:rsidR="008F31DB" w:rsidRPr="00B226F1" w:rsidRDefault="008F31DB" w:rsidP="008F31DB">
      <w:pPr>
        <w:pStyle w:val="Heading2"/>
      </w:pPr>
      <w:bookmarkStart w:id="31" w:name="_Toc473558977"/>
      <w:r w:rsidRPr="00B226F1">
        <w:t xml:space="preserve">4.2 Rezoning </w:t>
      </w:r>
      <w:r>
        <w:t>o</w:t>
      </w:r>
      <w:r w:rsidRPr="00B226F1">
        <w:t xml:space="preserve">f Industrial Land </w:t>
      </w:r>
      <w:r>
        <w:t>f</w:t>
      </w:r>
      <w:r w:rsidRPr="00B226F1">
        <w:t>or Other Uses</w:t>
      </w:r>
      <w:bookmarkEnd w:id="31"/>
    </w:p>
    <w:p w14:paraId="0052CFE4" w14:textId="77777777" w:rsidR="008F31DB" w:rsidRDefault="008F31DB" w:rsidP="008F31DB"/>
    <w:p w14:paraId="03FE1A4D" w14:textId="52182BF3" w:rsidR="008F31DB" w:rsidRDefault="008F31DB" w:rsidP="008F31DB">
      <w:r>
        <w:t>Compared to previous years the</w:t>
      </w:r>
      <w:r w:rsidR="00EE0C67">
        <w:t xml:space="preserve"> 2015-16 period saw </w:t>
      </w:r>
      <w:r>
        <w:t xml:space="preserve">relatively little rezoning </w:t>
      </w:r>
      <w:r w:rsidR="001A551E">
        <w:t>of industrial land</w:t>
      </w:r>
      <w:r w:rsidR="00617D03">
        <w:t xml:space="preserve"> to other uses</w:t>
      </w:r>
      <w:r>
        <w:t xml:space="preserve">. </w:t>
      </w:r>
      <w:r w:rsidR="00617D03">
        <w:t xml:space="preserve">Overall, a net 76 hectares of industrial land was rezoned to non-industrial uses. This included 21 hectares of rezoned land due to </w:t>
      </w:r>
      <w:r>
        <w:t>the implementation of the Activity Centre Zone in Sunshine (</w:t>
      </w:r>
      <w:proofErr w:type="spellStart"/>
      <w:r>
        <w:t>Brimbank</w:t>
      </w:r>
      <w:proofErr w:type="spellEnd"/>
      <w:r>
        <w:t>).</w:t>
      </w:r>
    </w:p>
    <w:p w14:paraId="16174536" w14:textId="77777777" w:rsidR="008F31DB" w:rsidRDefault="008F31DB" w:rsidP="008F31DB"/>
    <w:p w14:paraId="15C6ED08" w14:textId="4585413B" w:rsidR="008F31DB" w:rsidRDefault="00EE0C67" w:rsidP="008F31DB">
      <w:r>
        <w:t xml:space="preserve">For </w:t>
      </w:r>
      <w:r w:rsidR="008F31DB">
        <w:t>the 15 year period between 2000-01 and 2015-16</w:t>
      </w:r>
      <w:r w:rsidR="00617D03">
        <w:t>,</w:t>
      </w:r>
      <w:r w:rsidR="008F31DB">
        <w:t xml:space="preserve"> 1,801 hectares of industrial land was rezoned for other uses.</w:t>
      </w:r>
      <w:r w:rsidR="00753AC9">
        <w:t xml:space="preserve"> </w:t>
      </w:r>
      <w:r w:rsidR="008F31DB">
        <w:t xml:space="preserve">Just under half </w:t>
      </w:r>
      <w:r w:rsidR="00617D03">
        <w:t xml:space="preserve">of this land was </w:t>
      </w:r>
      <w:r w:rsidR="008F31DB">
        <w:t xml:space="preserve">rezoned for residential or mixed use purposes (Figure </w:t>
      </w:r>
      <w:r w:rsidR="006E0BE2">
        <w:t>12</w:t>
      </w:r>
      <w:r w:rsidR="008F31DB">
        <w:t xml:space="preserve">). </w:t>
      </w:r>
    </w:p>
    <w:p w14:paraId="0B7FF92B" w14:textId="77777777" w:rsidR="008F31DB" w:rsidRDefault="008F31DB" w:rsidP="008F31DB"/>
    <w:p w14:paraId="1339C7B0" w14:textId="72DC2280" w:rsidR="008F31DB" w:rsidRDefault="00617D03" w:rsidP="008F31DB">
      <w:r>
        <w:t>During this time, i</w:t>
      </w:r>
      <w:r w:rsidR="008F31DB">
        <w:t>ndustrial land was also rezoned to provide land for transport infrastructure, particularly in the outer suburbs and growth areas</w:t>
      </w:r>
      <w:r>
        <w:t>. I</w:t>
      </w:r>
      <w:r w:rsidR="008F31DB">
        <w:t>ndustrial land has also been rezoned for conservation purposes, drainage reserves and other uses within the SSIPs.</w:t>
      </w:r>
    </w:p>
    <w:p w14:paraId="2AAE6815" w14:textId="4998708A" w:rsidR="008F0DD3" w:rsidRDefault="008F0DD3">
      <w:pPr>
        <w:rPr>
          <w:b/>
        </w:rPr>
      </w:pPr>
    </w:p>
    <w:p w14:paraId="6B39894D" w14:textId="78222CBB" w:rsidR="00AD471B" w:rsidRDefault="00EE0C67" w:rsidP="00AD471B">
      <w:proofErr w:type="spellStart"/>
      <w:r>
        <w:t>Rez</w:t>
      </w:r>
      <w:r w:rsidR="00AD471B">
        <w:t>onings</w:t>
      </w:r>
      <w:proofErr w:type="spellEnd"/>
      <w:r w:rsidR="00AD471B">
        <w:t xml:space="preserve"> </w:t>
      </w:r>
      <w:r>
        <w:t xml:space="preserve">of land for </w:t>
      </w:r>
      <w:r w:rsidR="00AD471B">
        <w:t xml:space="preserve">industrial </w:t>
      </w:r>
      <w:r>
        <w:t>purposes</w:t>
      </w:r>
      <w:r w:rsidR="00AD471B">
        <w:t xml:space="preserve"> are infrequent, however, </w:t>
      </w:r>
      <w:r>
        <w:t xml:space="preserve">when they </w:t>
      </w:r>
      <w:r w:rsidR="001E1C5A">
        <w:t xml:space="preserve">do </w:t>
      </w:r>
      <w:r>
        <w:t xml:space="preserve">occur </w:t>
      </w:r>
      <w:r w:rsidR="00AD471B">
        <w:t xml:space="preserve">they </w:t>
      </w:r>
      <w:r>
        <w:t xml:space="preserve">usually </w:t>
      </w:r>
      <w:r w:rsidR="00AD471B">
        <w:t xml:space="preserve">involve very large land areas. This can be seen with major </w:t>
      </w:r>
      <w:proofErr w:type="spellStart"/>
      <w:r w:rsidR="00AD471B">
        <w:t>rezonings</w:t>
      </w:r>
      <w:proofErr w:type="spellEnd"/>
      <w:r w:rsidR="00AD471B">
        <w:t xml:space="preserve"> in the West, North, South and Officer/Pakenham SSIPs. Most of the land zoned to industrial between 2000-01 to 2015-16 was previously identified in strategic plans for industrial purposes.</w:t>
      </w:r>
    </w:p>
    <w:p w14:paraId="75B7A687" w14:textId="77777777" w:rsidR="00AD471B" w:rsidRDefault="00AD471B" w:rsidP="00AD471B"/>
    <w:p w14:paraId="05DBBDC2" w14:textId="53605565" w:rsidR="008F31DB" w:rsidRDefault="00AD471B" w:rsidP="00AD471B">
      <w:r>
        <w:t xml:space="preserve">Rezoning </w:t>
      </w:r>
      <w:r w:rsidR="00EE0C67">
        <w:t xml:space="preserve">of </w:t>
      </w:r>
      <w:r>
        <w:t>industrial</w:t>
      </w:r>
      <w:r w:rsidR="00EE0C67">
        <w:t xml:space="preserve"> land</w:t>
      </w:r>
      <w:r>
        <w:t xml:space="preserve"> </w:t>
      </w:r>
      <w:r w:rsidR="00EE0C67">
        <w:t>for</w:t>
      </w:r>
      <w:r>
        <w:t xml:space="preserve"> other </w:t>
      </w:r>
      <w:r w:rsidR="001E1C5A">
        <w:t xml:space="preserve">non-industrial </w:t>
      </w:r>
      <w:r>
        <w:t>uses tend to be more frequent</w:t>
      </w:r>
      <w:r w:rsidR="00B964D6">
        <w:t>, however generally</w:t>
      </w:r>
      <w:r>
        <w:t xml:space="preserve"> involve</w:t>
      </w:r>
      <w:r w:rsidR="00B964D6">
        <w:t>s</w:t>
      </w:r>
      <w:r>
        <w:t xml:space="preserve"> smaller parcels of land. Around 80 per cent of </w:t>
      </w:r>
      <w:proofErr w:type="spellStart"/>
      <w:r>
        <w:t>rezonings</w:t>
      </w:r>
      <w:proofErr w:type="spellEnd"/>
      <w:r>
        <w:t xml:space="preserve"> from industrial are between 100m</w:t>
      </w:r>
      <w:r>
        <w:rPr>
          <w:vertAlign w:val="superscript"/>
        </w:rPr>
        <w:t>2</w:t>
      </w:r>
      <w:r>
        <w:t xml:space="preserve"> and five hectares. An exception to this was the zoning of 215 hectares of industrial land to create the </w:t>
      </w:r>
      <w:proofErr w:type="spellStart"/>
      <w:r>
        <w:t>Fishermans</w:t>
      </w:r>
      <w:proofErr w:type="spellEnd"/>
      <w:r>
        <w:t xml:space="preserve"> Bend urban renewal area in Port Phillip and the City of Melbourne.</w:t>
      </w:r>
    </w:p>
    <w:p w14:paraId="0CEF1E30" w14:textId="6E871A5C" w:rsidR="008F31DB" w:rsidRPr="004B7D9A" w:rsidRDefault="008F31DB" w:rsidP="008F31DB">
      <w:pPr>
        <w:pStyle w:val="Heading2"/>
      </w:pPr>
      <w:bookmarkStart w:id="32" w:name="_Toc473558978"/>
      <w:r w:rsidRPr="00B226F1">
        <w:t>4.</w:t>
      </w:r>
      <w:r w:rsidR="00D70289">
        <w:t>3</w:t>
      </w:r>
      <w:r w:rsidR="00D70289" w:rsidRPr="00B226F1">
        <w:t xml:space="preserve"> </w:t>
      </w:r>
      <w:r w:rsidRPr="00B226F1">
        <w:t>Vacant Industrial Land</w:t>
      </w:r>
      <w:bookmarkEnd w:id="32"/>
    </w:p>
    <w:p w14:paraId="4C65DE65" w14:textId="77777777" w:rsidR="008F31DB" w:rsidRDefault="008F31DB" w:rsidP="008F31DB"/>
    <w:p w14:paraId="7B11A30D" w14:textId="4A16DD0C" w:rsidR="008F31DB" w:rsidRDefault="008F31DB" w:rsidP="008F31DB">
      <w:r>
        <w:t>There are 25,859 hectares of industrially zoned land across metropolitan Melbourne with 6,874 hectares of that being vacant. Two thirds of the vacant industrial land (4,520 hectares) is located within the SSIPs.</w:t>
      </w:r>
    </w:p>
    <w:p w14:paraId="6EA92C2C" w14:textId="77777777" w:rsidR="008F31DB" w:rsidRDefault="008F31DB" w:rsidP="008F31DB"/>
    <w:p w14:paraId="6B1076F6" w14:textId="77777777" w:rsidR="008F31DB" w:rsidRDefault="008F31DB" w:rsidP="008F31DB">
      <w:r>
        <w:t>The remainder of the vacant land is located in a number of smaller industrial precincts across metropolitan Melbourne, particularly Maribyrnong in the west and the municipalities of Kingston, Knox, Frankston, Maroondah and Mornington Peninsula in the east and south east.</w:t>
      </w:r>
    </w:p>
    <w:p w14:paraId="71B0B99E" w14:textId="77777777" w:rsidR="008F31DB" w:rsidRDefault="008F31DB" w:rsidP="008F31DB">
      <w:pPr>
        <w:ind w:left="993" w:hanging="993"/>
        <w:rPr>
          <w:b/>
        </w:rPr>
      </w:pPr>
    </w:p>
    <w:p w14:paraId="06351172" w14:textId="26C16879" w:rsidR="008F31DB" w:rsidRDefault="008F31DB" w:rsidP="008F31DB">
      <w:r>
        <w:t xml:space="preserve">In addition to zoned industrial land, there are some 5,945 hectares of unzoned land that has been identified </w:t>
      </w:r>
      <w:r w:rsidR="00A906D8">
        <w:t xml:space="preserve">as </w:t>
      </w:r>
      <w:r w:rsidR="00AD471B">
        <w:t xml:space="preserve">proposed </w:t>
      </w:r>
      <w:r w:rsidR="00A906D8">
        <w:t xml:space="preserve">future industrial land </w:t>
      </w:r>
      <w:r>
        <w:t>through the growth corridor plans and previous strategic plans. Of this there are 1,900 hectares in Melton, 1,580 hectares in Whittlesea, 940 hectares in Cardinia, 680 hectares in Hume, 350 hectares in Wyndham, 245 hectares in Casey and 250 hectares identified in the growth area portion of Mitchell. These areas will undergo further planning processes</w:t>
      </w:r>
      <w:r w:rsidR="00A906D8">
        <w:t xml:space="preserve"> </w:t>
      </w:r>
      <w:r>
        <w:t>before they are included as industrial land in the Urban Development Program.</w:t>
      </w:r>
    </w:p>
    <w:p w14:paraId="3CEB0194" w14:textId="77777777" w:rsidR="008F31DB" w:rsidRDefault="008F31DB" w:rsidP="008F31DB">
      <w:pPr>
        <w:rPr>
          <w:b/>
        </w:rPr>
      </w:pPr>
    </w:p>
    <w:p w14:paraId="1EA86954" w14:textId="77777777" w:rsidR="008F31DB" w:rsidRDefault="008F31DB" w:rsidP="008F31DB">
      <w:pPr>
        <w:rPr>
          <w:b/>
        </w:rPr>
      </w:pPr>
    </w:p>
    <w:p w14:paraId="3DDD77D5" w14:textId="43807256" w:rsidR="008F31DB" w:rsidRPr="0000302A" w:rsidRDefault="008F31DB" w:rsidP="008F31DB">
      <w:pPr>
        <w:pStyle w:val="Heading2"/>
      </w:pPr>
      <w:bookmarkStart w:id="33" w:name="_Toc473558979"/>
      <w:r w:rsidRPr="00B226F1">
        <w:t>4.</w:t>
      </w:r>
      <w:r w:rsidR="00D70289">
        <w:t>4</w:t>
      </w:r>
      <w:r w:rsidR="00D70289" w:rsidRPr="00B226F1">
        <w:t xml:space="preserve"> </w:t>
      </w:r>
      <w:r w:rsidRPr="00B226F1">
        <w:t>Net Consumption of Industrial Land</w:t>
      </w:r>
      <w:bookmarkEnd w:id="33"/>
    </w:p>
    <w:p w14:paraId="744B08AF" w14:textId="77777777" w:rsidR="008F31DB" w:rsidRDefault="008F31DB" w:rsidP="008F31DB"/>
    <w:p w14:paraId="2F16CE3E" w14:textId="77777777" w:rsidR="00964D08" w:rsidRDefault="00964D08" w:rsidP="008F31DB">
      <w:r>
        <w:t>Consumption occurs when land changes from being vacant to having some form of use on it, such as a building, storage area, carpark, etc.</w:t>
      </w:r>
    </w:p>
    <w:p w14:paraId="3C33CDB2" w14:textId="77777777" w:rsidR="00964D08" w:rsidRDefault="00964D08" w:rsidP="008F31DB"/>
    <w:p w14:paraId="72BDCE8F" w14:textId="2A66E9ED" w:rsidR="008F31DB" w:rsidRDefault="008F31DB" w:rsidP="008F31DB">
      <w:r>
        <w:t xml:space="preserve">Consumption for the 2015-16 period is the greatest since the </w:t>
      </w:r>
      <w:r w:rsidR="00A62840">
        <w:t xml:space="preserve">Global Financial Crisis (GFC) </w:t>
      </w:r>
      <w:r>
        <w:t>with a net 298 hectares consumed in the last year</w:t>
      </w:r>
      <w:r w:rsidR="00A62840">
        <w:t>.</w:t>
      </w:r>
    </w:p>
    <w:p w14:paraId="5940E2F5" w14:textId="3984AC28" w:rsidR="00F042B5" w:rsidRDefault="00F042B5" w:rsidP="008F31DB"/>
    <w:p w14:paraId="0F07DAC8" w14:textId="3D2104D9" w:rsidR="00F042B5" w:rsidRDefault="00F042B5" w:rsidP="00F042B5">
      <w:r>
        <w:t>Prior to the G</w:t>
      </w:r>
      <w:r w:rsidR="00A62840">
        <w:t>FC</w:t>
      </w:r>
      <w:r>
        <w:t xml:space="preserve">, industrial land consumption across metropolitan Melbourne averaged around 300 hectares per year. </w:t>
      </w:r>
      <w:r w:rsidR="00EF471F">
        <w:t>F</w:t>
      </w:r>
      <w:r w:rsidR="001A546F">
        <w:t>ollowing the GFC c</w:t>
      </w:r>
      <w:r>
        <w:t>onsumption declined significantly</w:t>
      </w:r>
      <w:r w:rsidR="001A546F">
        <w:t>,</w:t>
      </w:r>
      <w:r>
        <w:t xml:space="preserve"> </w:t>
      </w:r>
      <w:r w:rsidR="00A62840">
        <w:t>b</w:t>
      </w:r>
      <w:r>
        <w:t>ut beg</w:t>
      </w:r>
      <w:r w:rsidR="00A62840">
        <w:t>a</w:t>
      </w:r>
      <w:r>
        <w:t xml:space="preserve">n to </w:t>
      </w:r>
      <w:r w:rsidR="00A62840">
        <w:t>increase</w:t>
      </w:r>
      <w:r>
        <w:t xml:space="preserve"> from 2011-12.</w:t>
      </w:r>
    </w:p>
    <w:p w14:paraId="76AA438D" w14:textId="77777777" w:rsidR="008F31DB" w:rsidRDefault="008F31DB" w:rsidP="008F31DB">
      <w:pPr>
        <w:rPr>
          <w:b/>
        </w:rPr>
      </w:pPr>
    </w:p>
    <w:p w14:paraId="0FC3D4EA" w14:textId="342B112C" w:rsidR="008F31DB" w:rsidRPr="00FC044D" w:rsidRDefault="008F31DB" w:rsidP="008F31DB">
      <w:pPr>
        <w:pStyle w:val="Heading2"/>
      </w:pPr>
      <w:bookmarkStart w:id="34" w:name="_Toc473558980"/>
      <w:r w:rsidRPr="00B226F1">
        <w:t>4.</w:t>
      </w:r>
      <w:r w:rsidR="00D70289">
        <w:t>5</w:t>
      </w:r>
      <w:r w:rsidR="00D70289" w:rsidRPr="00B226F1">
        <w:t xml:space="preserve"> </w:t>
      </w:r>
      <w:r w:rsidRPr="00B226F1">
        <w:t>Spatial Distribution of Industrial Land Consumption</w:t>
      </w:r>
      <w:bookmarkEnd w:id="34"/>
    </w:p>
    <w:p w14:paraId="66CBCC9A" w14:textId="77777777" w:rsidR="008F31DB" w:rsidRDefault="008F31DB" w:rsidP="008F31DB"/>
    <w:p w14:paraId="3375279B" w14:textId="77777777" w:rsidR="008F31DB" w:rsidRDefault="008F31DB" w:rsidP="008F31DB">
      <w:r>
        <w:t>The State Significant Industrial Precincts are where the vast majority of industrial land consumption occurs.</w:t>
      </w:r>
    </w:p>
    <w:p w14:paraId="307D4239" w14:textId="77777777" w:rsidR="008F31DB" w:rsidRDefault="008F31DB" w:rsidP="008F31DB"/>
    <w:p w14:paraId="5062412C" w14:textId="110E7534" w:rsidR="008F31DB" w:rsidRDefault="008F31DB" w:rsidP="008F31DB">
      <w:r>
        <w:t>Pre-GFC and Post-GFC consumption activity in the SSIPs demonstrates a high degree of volatility. After the GFC, the West SSIP maintained relatively high levels of consumption with levels similar to those witnessed prior to the GFC. The other SSIPs exhibited significant declines in consumption</w:t>
      </w:r>
      <w:r w:rsidR="004F2B3C">
        <w:t xml:space="preserve"> which in the past two years began to change</w:t>
      </w:r>
      <w:r>
        <w:t>.</w:t>
      </w:r>
    </w:p>
    <w:p w14:paraId="646B253A" w14:textId="77777777" w:rsidR="008F31DB" w:rsidRDefault="008F31DB" w:rsidP="008F31DB"/>
    <w:p w14:paraId="3C189E37" w14:textId="76145EC4" w:rsidR="001E1C5A" w:rsidRDefault="004F2B3C" w:rsidP="008F31DB">
      <w:r>
        <w:t>Since 2014 both t</w:t>
      </w:r>
      <w:r w:rsidR="008F31DB">
        <w:t>he North</w:t>
      </w:r>
      <w:r>
        <w:t xml:space="preserve"> and South</w:t>
      </w:r>
      <w:r w:rsidR="008F31DB">
        <w:t xml:space="preserve"> SSIP</w:t>
      </w:r>
      <w:r>
        <w:t>s</w:t>
      </w:r>
      <w:r w:rsidR="008F31DB">
        <w:t xml:space="preserve"> experienced significant increase</w:t>
      </w:r>
      <w:r>
        <w:t>s</w:t>
      </w:r>
      <w:r w:rsidR="008F31DB">
        <w:t xml:space="preserve"> in </w:t>
      </w:r>
      <w:r>
        <w:t xml:space="preserve">land </w:t>
      </w:r>
      <w:r w:rsidR="008F31DB">
        <w:t>consumption</w:t>
      </w:r>
      <w:r>
        <w:t>.</w:t>
      </w:r>
      <w:r w:rsidR="00753AC9">
        <w:t xml:space="preserve"> </w:t>
      </w:r>
      <w:r w:rsidR="008F31DB">
        <w:t>In 201</w:t>
      </w:r>
      <w:r>
        <w:t>5</w:t>
      </w:r>
      <w:r w:rsidR="00EF471F">
        <w:t>–</w:t>
      </w:r>
      <w:r>
        <w:t>16</w:t>
      </w:r>
      <w:r w:rsidR="008F31DB">
        <w:t xml:space="preserve">, </w:t>
      </w:r>
      <w:r w:rsidR="00962295">
        <w:t>73</w:t>
      </w:r>
      <w:r w:rsidR="008F31DB">
        <w:t xml:space="preserve"> hectares of </w:t>
      </w:r>
      <w:r>
        <w:t xml:space="preserve">land was consumed in the North SSIP. </w:t>
      </w:r>
      <w:r w:rsidR="00962295">
        <w:t>I</w:t>
      </w:r>
      <w:r>
        <w:t xml:space="preserve">n the previous year a major boost in </w:t>
      </w:r>
      <w:r w:rsidR="008F31DB">
        <w:t xml:space="preserve">consumption was due to the development of phase 1 of the Department of Agriculture’s </w:t>
      </w:r>
      <w:r w:rsidR="008F31DB" w:rsidRPr="0010783C">
        <w:t xml:space="preserve">Post Entry Quarantine </w:t>
      </w:r>
      <w:r w:rsidR="008F31DB">
        <w:t>F</w:t>
      </w:r>
      <w:r w:rsidR="008F31DB" w:rsidRPr="0010783C">
        <w:t xml:space="preserve">acility in Mickleham. </w:t>
      </w:r>
      <w:r w:rsidR="00EE0C67">
        <w:t>In contrast industrial consumption in the 2015-16 period was due to private investment.</w:t>
      </w:r>
    </w:p>
    <w:p w14:paraId="4DD879E3" w14:textId="77777777" w:rsidR="001E1C5A" w:rsidRDefault="001E1C5A" w:rsidP="008F31DB"/>
    <w:p w14:paraId="36201C0F" w14:textId="7CAEF3DD" w:rsidR="0058551B" w:rsidRPr="00EB042B" w:rsidRDefault="008F31DB" w:rsidP="00A424AD">
      <w:r>
        <w:t>The South SSIP also experienced an increase in consumption reaching its highest level since the GFC</w:t>
      </w:r>
      <w:r w:rsidR="00962295">
        <w:t xml:space="preserve"> with 78</w:t>
      </w:r>
      <w:r w:rsidR="00EE0C67">
        <w:t xml:space="preserve"> </w:t>
      </w:r>
      <w:r w:rsidR="004F2B3C">
        <w:t>hectares</w:t>
      </w:r>
      <w:r w:rsidR="00962295">
        <w:t xml:space="preserve"> being consumed</w:t>
      </w:r>
      <w:r w:rsidR="00A5576D">
        <w:t>.</w:t>
      </w:r>
      <w:bookmarkStart w:id="35" w:name="_GoBack"/>
      <w:bookmarkEnd w:id="35"/>
    </w:p>
    <w:sectPr w:rsidR="0058551B" w:rsidRPr="00EB042B" w:rsidSect="001A701E">
      <w:pgSz w:w="11907" w:h="16840" w:code="9"/>
      <w:pgMar w:top="1440" w:right="1134" w:bottom="1134" w:left="1440" w:header="284" w:footer="284" w:gutter="0"/>
      <w:cols w:space="284"/>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26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DCE9" w14:textId="77777777" w:rsidR="00AF2361" w:rsidRDefault="00AF2361">
      <w:r>
        <w:separator/>
      </w:r>
    </w:p>
    <w:p w14:paraId="3680C4A4" w14:textId="77777777" w:rsidR="00AF2361" w:rsidRDefault="00AF2361"/>
  </w:endnote>
  <w:endnote w:type="continuationSeparator" w:id="0">
    <w:p w14:paraId="1BABEED3" w14:textId="77777777" w:rsidR="00AF2361" w:rsidRDefault="00AF2361">
      <w:r>
        <w:continuationSeparator/>
      </w:r>
    </w:p>
    <w:p w14:paraId="2DF5D491" w14:textId="77777777" w:rsidR="00AF2361" w:rsidRDefault="00AF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F2361" w14:paraId="30C6A405" w14:textId="77777777" w:rsidTr="00D83BD4">
      <w:trPr>
        <w:trHeight w:val="397"/>
      </w:trPr>
      <w:tc>
        <w:tcPr>
          <w:tcW w:w="340" w:type="dxa"/>
        </w:tcPr>
        <w:p w14:paraId="7194606F" w14:textId="77777777" w:rsidR="00AF2361" w:rsidRPr="00D55628" w:rsidRDefault="00AF2361" w:rsidP="00D55628">
          <w:pPr>
            <w:pStyle w:val="FooterEven"/>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8164" w:type="dxa"/>
        </w:tcPr>
        <w:p w14:paraId="64447197" w14:textId="77777777" w:rsidR="00AF2361" w:rsidRPr="00D55628" w:rsidRDefault="00AF2361" w:rsidP="00D55628">
          <w:pPr>
            <w:pStyle w:val="FooterEven"/>
          </w:pPr>
          <w:r w:rsidRPr="000A15E4">
            <w:rPr>
              <w:rStyle w:val="Bold"/>
            </w:rPr>
            <w:t>Title of document</w:t>
          </w:r>
          <w:r w:rsidRPr="00D55628">
            <w:t xml:space="preserve"> Subtitle</w:t>
          </w:r>
        </w:p>
      </w:tc>
    </w:tr>
  </w:tbl>
  <w:p w14:paraId="4F8F1873" w14:textId="77777777" w:rsidR="00AF2361" w:rsidRPr="008B6D45" w:rsidRDefault="00AF2361" w:rsidP="005949B0">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5EB8" w14:textId="77777777" w:rsidR="00AF2361" w:rsidRDefault="00AF2361">
    <w:pPr>
      <w:pStyle w:val="Footer"/>
    </w:pPr>
    <w:r w:rsidRPr="00D55628">
      <w:rPr>
        <w:noProof/>
      </w:rPr>
      <mc:AlternateContent>
        <mc:Choice Requires="wps">
          <w:drawing>
            <wp:anchor distT="0" distB="0" distL="114300" distR="114300" simplePos="0" relativeHeight="251658240" behindDoc="1" locked="1" layoutInCell="1" allowOverlap="1" wp14:anchorId="6B48743F" wp14:editId="55A0765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E4C2" w14:textId="5E61B77A" w:rsidR="00AF2361" w:rsidRPr="0001226A" w:rsidRDefault="00AF2361"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43B8E4C2" w14:textId="5E61B77A" w:rsidR="00AF2361" w:rsidRPr="0001226A" w:rsidRDefault="00AF2361" w:rsidP="00DF21D2">
                    <w:pPr>
                      <w:pStyle w:val="xStatus"/>
                    </w:pPr>
                  </w:p>
                </w:txbxContent>
              </v:textbox>
              <w10:wrap anchorx="page" anchory="page"/>
              <w10:anchorlock/>
            </v:shape>
          </w:pict>
        </mc:Fallback>
      </mc:AlternateContent>
    </w:r>
  </w:p>
  <w:p w14:paraId="1BBFB680" w14:textId="77777777" w:rsidR="00AF2361" w:rsidRDefault="00AF2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82E2" w14:textId="03A949E2" w:rsidR="00AF2361" w:rsidRDefault="00AF2361">
    <w:pPr>
      <w:pStyle w:val="Footer"/>
    </w:pPr>
    <w:r w:rsidRPr="00D55628">
      <w:rPr>
        <w:noProof/>
      </w:rPr>
      <w:drawing>
        <wp:anchor distT="0" distB="0" distL="114300" distR="114300" simplePos="0" relativeHeight="251654144" behindDoc="1" locked="0" layoutInCell="1" allowOverlap="1" wp14:anchorId="07E9DA21" wp14:editId="3161DFA2">
          <wp:simplePos x="0" y="0"/>
          <wp:positionH relativeFrom="page">
            <wp:align>right</wp:align>
          </wp:positionH>
          <wp:positionV relativeFrom="page">
            <wp:align>bottom</wp:align>
          </wp:positionV>
          <wp:extent cx="2203200" cy="903600"/>
          <wp:effectExtent l="0" t="0" r="6985" b="0"/>
          <wp:wrapNone/>
          <wp:docPr id="2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9812" w14:textId="77777777" w:rsidR="00AF2361" w:rsidRPr="00124E8F" w:rsidRDefault="00AF2361" w:rsidP="00124E8F">
    <w:pPr>
      <w:pStyle w:val="Footer"/>
    </w:pPr>
    <w:r w:rsidRPr="00D55628">
      <w:rPr>
        <w:noProof/>
      </w:rPr>
      <mc:AlternateContent>
        <mc:Choice Requires="wps">
          <w:drawing>
            <wp:anchor distT="0" distB="0" distL="114300" distR="114300" simplePos="0" relativeHeight="251664384" behindDoc="1" locked="1" layoutInCell="1" allowOverlap="1" wp14:anchorId="4FFE8F06" wp14:editId="73C1CB11">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AFDD" w14:textId="65C8BD14" w:rsidR="00AF2361" w:rsidRPr="0001226A" w:rsidRDefault="00AF2361"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9"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887AFDD" w14:textId="65C8BD14" w:rsidR="00AF2361" w:rsidRPr="0001226A" w:rsidRDefault="00AF2361"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8F1A" w14:textId="77777777" w:rsidR="00AF2361" w:rsidRDefault="00AF2361">
    <w:pPr>
      <w:pStyle w:val="Footer"/>
    </w:pPr>
    <w:r w:rsidRPr="00D55628">
      <w:rPr>
        <w:noProof/>
      </w:rPr>
      <mc:AlternateContent>
        <mc:Choice Requires="wps">
          <w:drawing>
            <wp:anchor distT="0" distB="0" distL="114300" distR="114300" simplePos="0" relativeHeight="251656192" behindDoc="1" locked="1" layoutInCell="1" allowOverlap="1" wp14:anchorId="6C984EF9" wp14:editId="2A1A93C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6B5C" w14:textId="610A8879" w:rsidR="00AF2361" w:rsidRPr="0001226A" w:rsidRDefault="00AF2361"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345A6B5C" w14:textId="610A8879" w:rsidR="00AF2361" w:rsidRPr="0001226A" w:rsidRDefault="00AF2361" w:rsidP="00DF21D2">
                    <w:pPr>
                      <w:pStyle w:val="xStatus"/>
                    </w:pPr>
                  </w:p>
                </w:txbxContent>
              </v:textbox>
              <w10:wrap anchorx="page" anchory="page"/>
              <w10:anchorlock/>
            </v:shape>
          </w:pict>
        </mc:Fallback>
      </mc:AlternateContent>
    </w:r>
  </w:p>
  <w:p w14:paraId="057CA22E" w14:textId="77777777" w:rsidR="00AF2361" w:rsidRDefault="00AF23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F2361" w14:paraId="2197D22B" w14:textId="77777777" w:rsidTr="00DD7238">
      <w:trPr>
        <w:trHeight w:val="397"/>
      </w:trPr>
      <w:tc>
        <w:tcPr>
          <w:tcW w:w="340" w:type="dxa"/>
        </w:tcPr>
        <w:p w14:paraId="6289C7A3" w14:textId="6820DFA1" w:rsidR="00AF2361" w:rsidRPr="0084625F" w:rsidRDefault="00AF2361" w:rsidP="006C52DE">
          <w:pPr>
            <w:pStyle w:val="FooterEvenPageNumber"/>
            <w:framePr w:wrap="auto" w:vAnchor="margin" w:hAnchor="text" w:yAlign="inline"/>
            <w:rPr>
              <w:color w:val="201547"/>
            </w:rPr>
          </w:pPr>
          <w:r w:rsidRPr="0084625F">
            <w:rPr>
              <w:color w:val="201547"/>
            </w:rPr>
            <w:fldChar w:fldCharType="begin"/>
          </w:r>
          <w:r w:rsidRPr="0084625F">
            <w:rPr>
              <w:color w:val="201547"/>
            </w:rPr>
            <w:instrText xml:space="preserve"> PAGE   \* MERGEFORMAT </w:instrText>
          </w:r>
          <w:r w:rsidRPr="0084625F">
            <w:rPr>
              <w:color w:val="201547"/>
            </w:rPr>
            <w:fldChar w:fldCharType="separate"/>
          </w:r>
          <w:r w:rsidR="00A424AD">
            <w:rPr>
              <w:noProof/>
              <w:color w:val="201547"/>
            </w:rPr>
            <w:t>8</w:t>
          </w:r>
          <w:r w:rsidRPr="0084625F">
            <w:rPr>
              <w:color w:val="201547"/>
            </w:rPr>
            <w:fldChar w:fldCharType="end"/>
          </w:r>
        </w:p>
      </w:tc>
      <w:tc>
        <w:tcPr>
          <w:tcW w:w="9071" w:type="dxa"/>
        </w:tcPr>
        <w:p w14:paraId="106F86EC" w14:textId="07FB2D19" w:rsidR="00AF2361" w:rsidRPr="00D55628" w:rsidRDefault="00AF2361" w:rsidP="00D55628">
          <w:pPr>
            <w:pStyle w:val="FooterEven"/>
          </w:pPr>
        </w:p>
      </w:tc>
    </w:tr>
  </w:tbl>
  <w:p w14:paraId="58668B92" w14:textId="77777777" w:rsidR="00AF2361" w:rsidRDefault="00AF2361" w:rsidP="005949B0">
    <w:pPr>
      <w:pStyle w:val="FooterEven"/>
    </w:pPr>
    <w:r w:rsidRPr="00D55628">
      <w:rPr>
        <w:noProof/>
      </w:rPr>
      <mc:AlternateContent>
        <mc:Choice Requires="wps">
          <w:drawing>
            <wp:anchor distT="0" distB="0" distL="114300" distR="114300" simplePos="0" relativeHeight="251662336" behindDoc="1" locked="1" layoutInCell="1" allowOverlap="1" wp14:anchorId="58A413BB" wp14:editId="2995CFF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3625" w14:textId="6C226C7C" w:rsidR="00AF2361" w:rsidRPr="0001226A" w:rsidRDefault="00AF2361"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18F03625" w14:textId="6C226C7C" w:rsidR="00AF2361" w:rsidRPr="0001226A" w:rsidRDefault="00AF2361" w:rsidP="00DF21D2">
                    <w:pPr>
                      <w:pStyle w:val="xStatus"/>
                    </w:pPr>
                  </w:p>
                </w:txbxContent>
              </v:textbox>
              <w10:wrap anchorx="page" anchory="page"/>
              <w10:anchorlock/>
            </v:shape>
          </w:pict>
        </mc:Fallback>
      </mc:AlternateContent>
    </w:r>
  </w:p>
  <w:p w14:paraId="7105329B" w14:textId="77777777" w:rsidR="00AF2361" w:rsidRPr="00B5221E" w:rsidRDefault="00AF2361"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F2361" w:rsidRPr="0084625F" w14:paraId="50752679" w14:textId="77777777" w:rsidTr="00DD7238">
      <w:trPr>
        <w:trHeight w:val="397"/>
      </w:trPr>
      <w:tc>
        <w:tcPr>
          <w:tcW w:w="9071" w:type="dxa"/>
        </w:tcPr>
        <w:p w14:paraId="210AA146" w14:textId="54F3F11B" w:rsidR="00AF2361" w:rsidRPr="00CB1FB7" w:rsidRDefault="00AF2361" w:rsidP="00CB1FB7">
          <w:pPr>
            <w:pStyle w:val="FooterOdd"/>
            <w:rPr>
              <w:b/>
            </w:rPr>
          </w:pPr>
        </w:p>
      </w:tc>
      <w:tc>
        <w:tcPr>
          <w:tcW w:w="340" w:type="dxa"/>
        </w:tcPr>
        <w:p w14:paraId="2FD9C55C" w14:textId="2CCA81CF" w:rsidR="00AF2361" w:rsidRPr="0084625F" w:rsidRDefault="00AF2361" w:rsidP="00D55628">
          <w:pPr>
            <w:pStyle w:val="FooterOddPageNumber"/>
            <w:rPr>
              <w:color w:val="201547"/>
            </w:rPr>
          </w:pPr>
          <w:r w:rsidRPr="0084625F">
            <w:rPr>
              <w:color w:val="201547"/>
            </w:rPr>
            <w:fldChar w:fldCharType="begin"/>
          </w:r>
          <w:r w:rsidRPr="0084625F">
            <w:rPr>
              <w:color w:val="201547"/>
            </w:rPr>
            <w:instrText xml:space="preserve"> PAGE   \* MERGEFORMAT </w:instrText>
          </w:r>
          <w:r w:rsidRPr="0084625F">
            <w:rPr>
              <w:color w:val="201547"/>
            </w:rPr>
            <w:fldChar w:fldCharType="separate"/>
          </w:r>
          <w:r w:rsidR="00A424AD">
            <w:rPr>
              <w:noProof/>
              <w:color w:val="201547"/>
            </w:rPr>
            <w:t>7</w:t>
          </w:r>
          <w:r w:rsidRPr="0084625F">
            <w:rPr>
              <w:color w:val="201547"/>
            </w:rPr>
            <w:fldChar w:fldCharType="end"/>
          </w:r>
        </w:p>
      </w:tc>
    </w:tr>
  </w:tbl>
  <w:p w14:paraId="3951D7CF" w14:textId="77777777" w:rsidR="00AF2361" w:rsidRDefault="00AF2361">
    <w:pPr>
      <w:pStyle w:val="Footer"/>
    </w:pPr>
    <w:r w:rsidRPr="00D55628">
      <w:rPr>
        <w:noProof/>
      </w:rPr>
      <mc:AlternateContent>
        <mc:Choice Requires="wps">
          <w:drawing>
            <wp:anchor distT="0" distB="0" distL="114300" distR="114300" simplePos="0" relativeHeight="251660288" behindDoc="1" locked="1" layoutInCell="1" allowOverlap="1" wp14:anchorId="7358FBB1" wp14:editId="37BCACE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CEB4" w14:textId="7FA8CBC7" w:rsidR="00AF2361" w:rsidRPr="0001226A" w:rsidRDefault="00AF2361"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5D09CEB4" w14:textId="7FA8CBC7" w:rsidR="00AF2361" w:rsidRPr="0001226A" w:rsidRDefault="00AF2361" w:rsidP="00DF21D2">
                    <w:pPr>
                      <w:pStyle w:val="xStatus"/>
                    </w:pPr>
                  </w:p>
                </w:txbxContent>
              </v:textbox>
              <w10:wrap anchorx="page" anchory="page"/>
              <w10:anchorlock/>
            </v:shape>
          </w:pict>
        </mc:Fallback>
      </mc:AlternateContent>
    </w:r>
  </w:p>
  <w:p w14:paraId="13D0F09A" w14:textId="77777777" w:rsidR="00AF2361" w:rsidRDefault="00AF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0931" w14:textId="77777777" w:rsidR="00AF2361" w:rsidRPr="008F5280" w:rsidRDefault="00AF2361" w:rsidP="008F5280">
      <w:pPr>
        <w:pStyle w:val="FootnoteSeparator"/>
      </w:pPr>
    </w:p>
  </w:footnote>
  <w:footnote w:type="continuationSeparator" w:id="0">
    <w:p w14:paraId="07E8D445" w14:textId="77777777" w:rsidR="00AF2361" w:rsidRDefault="00AF2361" w:rsidP="008F5280">
      <w:pPr>
        <w:pStyle w:val="FootnoteSeparator"/>
      </w:pPr>
    </w:p>
    <w:p w14:paraId="0A240328" w14:textId="77777777" w:rsidR="00AF2361" w:rsidRDefault="00AF2361"/>
  </w:footnote>
  <w:footnote w:type="continuationNotice" w:id="1">
    <w:p w14:paraId="01C6B7A2" w14:textId="77777777" w:rsidR="00AF2361" w:rsidRDefault="00AF2361" w:rsidP="00D55628"/>
    <w:p w14:paraId="3F7F7D7F" w14:textId="77777777" w:rsidR="00AF2361" w:rsidRDefault="00AF2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75C2" w14:textId="77777777" w:rsidR="00AF2361" w:rsidRDefault="00AF2361" w:rsidP="009C64FA">
    <w:pPr>
      <w:pStyle w:val="Header"/>
    </w:pPr>
  </w:p>
  <w:p w14:paraId="1DB78346" w14:textId="77777777" w:rsidR="00AF2361" w:rsidRPr="00393205" w:rsidRDefault="00AF2361"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EB27" w14:textId="77777777" w:rsidR="00AF2361" w:rsidRDefault="00AF2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6CC4" w14:textId="77777777" w:rsidR="00AF2361" w:rsidRDefault="00AF23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7EB4" w14:textId="77777777" w:rsidR="00AF2361" w:rsidRDefault="00AF23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5AF5" w14:textId="77777777" w:rsidR="00AF2361" w:rsidRDefault="00AF2361" w:rsidP="009C64FA">
    <w:pPr>
      <w:pStyle w:val="Header"/>
    </w:pPr>
  </w:p>
  <w:p w14:paraId="6D766DB3" w14:textId="77777777" w:rsidR="00AF2361" w:rsidRPr="00393205" w:rsidRDefault="00AF2361" w:rsidP="00393205">
    <w:pPr>
      <w:pStyle w:val="Header"/>
    </w:pPr>
  </w:p>
  <w:p w14:paraId="735B603D" w14:textId="77777777" w:rsidR="00AF2361" w:rsidRDefault="00AF23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643C"/>
    <w:lvl w:ilvl="0">
      <w:start w:val="1"/>
      <w:numFmt w:val="decimal"/>
      <w:lvlText w:val="%1."/>
      <w:lvlJc w:val="left"/>
      <w:pPr>
        <w:tabs>
          <w:tab w:val="num" w:pos="1492"/>
        </w:tabs>
        <w:ind w:left="1492" w:hanging="360"/>
      </w:pPr>
    </w:lvl>
  </w:abstractNum>
  <w:abstractNum w:abstractNumId="1">
    <w:nsid w:val="FFFFFF7D"/>
    <w:multiLevelType w:val="singleLevel"/>
    <w:tmpl w:val="E2EC2894"/>
    <w:lvl w:ilvl="0">
      <w:start w:val="1"/>
      <w:numFmt w:val="decimal"/>
      <w:lvlText w:val="%1."/>
      <w:lvlJc w:val="left"/>
      <w:pPr>
        <w:tabs>
          <w:tab w:val="num" w:pos="1209"/>
        </w:tabs>
        <w:ind w:left="1209" w:hanging="360"/>
      </w:pPr>
    </w:lvl>
  </w:abstractNum>
  <w:abstractNum w:abstractNumId="2">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EF260E8"/>
    <w:lvl w:ilvl="0">
      <w:start w:val="1"/>
      <w:numFmt w:val="decimal"/>
      <w:lvlText w:val="%1."/>
      <w:lvlJc w:val="left"/>
      <w:pPr>
        <w:tabs>
          <w:tab w:val="num" w:pos="360"/>
        </w:tabs>
        <w:ind w:left="360" w:hanging="360"/>
      </w:pPr>
    </w:lvl>
  </w:abstractNum>
  <w:abstractNum w:abstractNumId="7">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nsid w:val="0D466573"/>
    <w:multiLevelType w:val="hybridMultilevel"/>
    <w:tmpl w:val="6E309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2">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1E415AB7"/>
    <w:multiLevelType w:val="hybridMultilevel"/>
    <w:tmpl w:val="D506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FB74348"/>
    <w:multiLevelType w:val="hybridMultilevel"/>
    <w:tmpl w:val="A906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8AB2FF6"/>
    <w:multiLevelType w:val="hybridMultilevel"/>
    <w:tmpl w:val="61CA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545EC4"/>
    <w:multiLevelType w:val="multilevel"/>
    <w:tmpl w:val="872641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4B200D7"/>
    <w:multiLevelType w:val="hybridMultilevel"/>
    <w:tmpl w:val="A808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nsid w:val="7AA731D6"/>
    <w:multiLevelType w:val="hybridMultilevel"/>
    <w:tmpl w:val="B2B09112"/>
    <w:lvl w:ilvl="0" w:tplc="D50CBCAE">
      <w:start w:val="1"/>
      <w:numFmt w:val="decimal"/>
      <w:lvlText w:val="%1."/>
      <w:lvlJc w:val="left"/>
      <w:pPr>
        <w:ind w:left="1004" w:hanging="360"/>
      </w:pPr>
      <w:rPr>
        <w:rFonts w:hint="default"/>
        <w:i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0"/>
  </w:num>
  <w:num w:numId="2">
    <w:abstractNumId w:val="30"/>
  </w:num>
  <w:num w:numId="3">
    <w:abstractNumId w:val="27"/>
  </w:num>
  <w:num w:numId="4">
    <w:abstractNumId w:val="34"/>
  </w:num>
  <w:num w:numId="5">
    <w:abstractNumId w:val="15"/>
  </w:num>
  <w:num w:numId="6">
    <w:abstractNumId w:val="11"/>
  </w:num>
  <w:num w:numId="7">
    <w:abstractNumId w:val="9"/>
  </w:num>
  <w:num w:numId="8">
    <w:abstractNumId w:val="8"/>
  </w:num>
  <w:num w:numId="9">
    <w:abstractNumId w:val="31"/>
  </w:num>
  <w:num w:numId="10">
    <w:abstractNumId w:val="12"/>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6"/>
  </w:num>
  <w:num w:numId="32">
    <w:abstractNumId w:val="29"/>
  </w:num>
  <w:num w:numId="33">
    <w:abstractNumId w:val="22"/>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 w:numId="41">
    <w:abstractNumId w:val="26"/>
  </w:num>
  <w:num w:numId="42">
    <w:abstractNumId w:val="10"/>
  </w:num>
  <w:num w:numId="43">
    <w:abstractNumId w:val="35"/>
  </w:num>
  <w:num w:numId="44">
    <w:abstractNumId w:val="18"/>
  </w:num>
  <w:num w:numId="45">
    <w:abstractNumId w:val="13"/>
  </w:num>
  <w:num w:numId="46">
    <w:abstractNumId w:val="16"/>
  </w:num>
  <w:num w:numId="47">
    <w:abstractNumId w:val="9"/>
  </w:num>
  <w:num w:numId="48">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micmacher">
    <w15:presenceInfo w15:providerId="Windows Live" w15:userId="37482bd2ac937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1"/>
  <w:activeWritingStyle w:appName="MSWord" w:lang="en-AU" w:vendorID="64" w:dllVersion="0"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30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8F31DB"/>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6F42"/>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3A8"/>
    <w:rsid w:val="0004176C"/>
    <w:rsid w:val="00041797"/>
    <w:rsid w:val="00041903"/>
    <w:rsid w:val="00041C5B"/>
    <w:rsid w:val="00041D37"/>
    <w:rsid w:val="00041FBF"/>
    <w:rsid w:val="00041FFA"/>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259"/>
    <w:rsid w:val="00052630"/>
    <w:rsid w:val="00052825"/>
    <w:rsid w:val="00052C61"/>
    <w:rsid w:val="00053244"/>
    <w:rsid w:val="00053C43"/>
    <w:rsid w:val="000541DE"/>
    <w:rsid w:val="0005472E"/>
    <w:rsid w:val="000547C6"/>
    <w:rsid w:val="00054AD4"/>
    <w:rsid w:val="00055546"/>
    <w:rsid w:val="0005568C"/>
    <w:rsid w:val="000557B4"/>
    <w:rsid w:val="00055860"/>
    <w:rsid w:val="00055A82"/>
    <w:rsid w:val="00055D0B"/>
    <w:rsid w:val="000560BA"/>
    <w:rsid w:val="000570E5"/>
    <w:rsid w:val="00057EB2"/>
    <w:rsid w:val="0006013C"/>
    <w:rsid w:val="00060538"/>
    <w:rsid w:val="00060EE0"/>
    <w:rsid w:val="00060FD9"/>
    <w:rsid w:val="00061573"/>
    <w:rsid w:val="000617D7"/>
    <w:rsid w:val="000620DA"/>
    <w:rsid w:val="000626EE"/>
    <w:rsid w:val="00062985"/>
    <w:rsid w:val="00062EBD"/>
    <w:rsid w:val="00063E71"/>
    <w:rsid w:val="000640A9"/>
    <w:rsid w:val="0006422E"/>
    <w:rsid w:val="00064489"/>
    <w:rsid w:val="00065584"/>
    <w:rsid w:val="000655FD"/>
    <w:rsid w:val="00065A52"/>
    <w:rsid w:val="000660C5"/>
    <w:rsid w:val="00066ABF"/>
    <w:rsid w:val="00066F02"/>
    <w:rsid w:val="00067098"/>
    <w:rsid w:val="000672C3"/>
    <w:rsid w:val="0006742D"/>
    <w:rsid w:val="000676F8"/>
    <w:rsid w:val="00067769"/>
    <w:rsid w:val="000704F3"/>
    <w:rsid w:val="00070C97"/>
    <w:rsid w:val="0007112E"/>
    <w:rsid w:val="00071B67"/>
    <w:rsid w:val="00071CA4"/>
    <w:rsid w:val="00071DE2"/>
    <w:rsid w:val="00072074"/>
    <w:rsid w:val="00072288"/>
    <w:rsid w:val="00072733"/>
    <w:rsid w:val="00072783"/>
    <w:rsid w:val="00072A38"/>
    <w:rsid w:val="00072E02"/>
    <w:rsid w:val="00073536"/>
    <w:rsid w:val="00073956"/>
    <w:rsid w:val="00073963"/>
    <w:rsid w:val="000739CC"/>
    <w:rsid w:val="00073A9B"/>
    <w:rsid w:val="00073BBA"/>
    <w:rsid w:val="00073F07"/>
    <w:rsid w:val="00073F9C"/>
    <w:rsid w:val="000742AF"/>
    <w:rsid w:val="00074430"/>
    <w:rsid w:val="00074A1F"/>
    <w:rsid w:val="00074C2B"/>
    <w:rsid w:val="00074FA4"/>
    <w:rsid w:val="000752FC"/>
    <w:rsid w:val="000758E3"/>
    <w:rsid w:val="00076B41"/>
    <w:rsid w:val="0008006E"/>
    <w:rsid w:val="000802A9"/>
    <w:rsid w:val="0008061A"/>
    <w:rsid w:val="0008129B"/>
    <w:rsid w:val="000816AD"/>
    <w:rsid w:val="00081CCD"/>
    <w:rsid w:val="00081FE9"/>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D26"/>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C5C"/>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5AA"/>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57E"/>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2CB"/>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3ED"/>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9F0"/>
    <w:rsid w:val="00150BC2"/>
    <w:rsid w:val="00151430"/>
    <w:rsid w:val="00151C40"/>
    <w:rsid w:val="00151DB1"/>
    <w:rsid w:val="001522A3"/>
    <w:rsid w:val="0015292C"/>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CBD"/>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0F"/>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77"/>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6F"/>
    <w:rsid w:val="001A548E"/>
    <w:rsid w:val="001A551E"/>
    <w:rsid w:val="001A5625"/>
    <w:rsid w:val="001A701E"/>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2D6"/>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95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FF3"/>
    <w:rsid w:val="001E0190"/>
    <w:rsid w:val="001E0734"/>
    <w:rsid w:val="001E0ACF"/>
    <w:rsid w:val="001E0ADE"/>
    <w:rsid w:val="001E1098"/>
    <w:rsid w:val="001E1C5A"/>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A3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6D"/>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756"/>
    <w:rsid w:val="00224EDC"/>
    <w:rsid w:val="00224F1D"/>
    <w:rsid w:val="00225922"/>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2DD"/>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3F61"/>
    <w:rsid w:val="002A4235"/>
    <w:rsid w:val="002A4489"/>
    <w:rsid w:val="002A461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D41"/>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A50"/>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62"/>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1D63"/>
    <w:rsid w:val="00312073"/>
    <w:rsid w:val="00312320"/>
    <w:rsid w:val="00312916"/>
    <w:rsid w:val="00313432"/>
    <w:rsid w:val="00313587"/>
    <w:rsid w:val="003136EB"/>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2F8"/>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13"/>
    <w:rsid w:val="00354841"/>
    <w:rsid w:val="00354EFD"/>
    <w:rsid w:val="003555CC"/>
    <w:rsid w:val="003561B4"/>
    <w:rsid w:val="003574ED"/>
    <w:rsid w:val="003576A7"/>
    <w:rsid w:val="003576FA"/>
    <w:rsid w:val="0036096A"/>
    <w:rsid w:val="00360B61"/>
    <w:rsid w:val="00360F3F"/>
    <w:rsid w:val="00361287"/>
    <w:rsid w:val="0036145D"/>
    <w:rsid w:val="00361D44"/>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0CD8"/>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7CA"/>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730"/>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E7C"/>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34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75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7D3"/>
    <w:rsid w:val="004578A8"/>
    <w:rsid w:val="00457E4C"/>
    <w:rsid w:val="004606CB"/>
    <w:rsid w:val="0046109E"/>
    <w:rsid w:val="00461293"/>
    <w:rsid w:val="004613ED"/>
    <w:rsid w:val="004614C6"/>
    <w:rsid w:val="004615D2"/>
    <w:rsid w:val="00461A1D"/>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8"/>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8E8"/>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5C4"/>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B3C"/>
    <w:rsid w:val="004F35E0"/>
    <w:rsid w:val="004F3A12"/>
    <w:rsid w:val="004F3AEB"/>
    <w:rsid w:val="004F3B3A"/>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573"/>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A1"/>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572"/>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BEC"/>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2"/>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F14"/>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03"/>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CD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450"/>
    <w:rsid w:val="00631925"/>
    <w:rsid w:val="00631D9A"/>
    <w:rsid w:val="006326EA"/>
    <w:rsid w:val="006330C8"/>
    <w:rsid w:val="006331BD"/>
    <w:rsid w:val="00633361"/>
    <w:rsid w:val="00633D4A"/>
    <w:rsid w:val="00634481"/>
    <w:rsid w:val="00634813"/>
    <w:rsid w:val="00634E22"/>
    <w:rsid w:val="006357F6"/>
    <w:rsid w:val="0063581C"/>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414"/>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0E69"/>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35E"/>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2A9"/>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BE2"/>
    <w:rsid w:val="006E0F43"/>
    <w:rsid w:val="006E10BA"/>
    <w:rsid w:val="006E1305"/>
    <w:rsid w:val="006E181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E0E"/>
    <w:rsid w:val="00714FD3"/>
    <w:rsid w:val="0071530E"/>
    <w:rsid w:val="00715952"/>
    <w:rsid w:val="00715CEA"/>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D3"/>
    <w:rsid w:val="00730B2D"/>
    <w:rsid w:val="00730D0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BD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63E"/>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AC9"/>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6F7"/>
    <w:rsid w:val="00761940"/>
    <w:rsid w:val="00761AFD"/>
    <w:rsid w:val="00762267"/>
    <w:rsid w:val="0076264F"/>
    <w:rsid w:val="00762D06"/>
    <w:rsid w:val="00762D0E"/>
    <w:rsid w:val="00762F99"/>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D0"/>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9C2"/>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CDF"/>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F50"/>
    <w:rsid w:val="008130E7"/>
    <w:rsid w:val="008134CB"/>
    <w:rsid w:val="0081365B"/>
    <w:rsid w:val="00813895"/>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670"/>
    <w:rsid w:val="00821EEC"/>
    <w:rsid w:val="008226F0"/>
    <w:rsid w:val="008227BC"/>
    <w:rsid w:val="00822AEC"/>
    <w:rsid w:val="00822EB8"/>
    <w:rsid w:val="008230D6"/>
    <w:rsid w:val="00823238"/>
    <w:rsid w:val="00823550"/>
    <w:rsid w:val="008236C5"/>
    <w:rsid w:val="00823D93"/>
    <w:rsid w:val="00823F98"/>
    <w:rsid w:val="00824171"/>
    <w:rsid w:val="0082438E"/>
    <w:rsid w:val="00824EDE"/>
    <w:rsid w:val="0082545D"/>
    <w:rsid w:val="00825489"/>
    <w:rsid w:val="00825C51"/>
    <w:rsid w:val="00825D71"/>
    <w:rsid w:val="00825DF1"/>
    <w:rsid w:val="0082647E"/>
    <w:rsid w:val="0082677C"/>
    <w:rsid w:val="00826FF7"/>
    <w:rsid w:val="008271FC"/>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25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4BC"/>
    <w:rsid w:val="00860EA0"/>
    <w:rsid w:val="00860FAB"/>
    <w:rsid w:val="00861101"/>
    <w:rsid w:val="00861311"/>
    <w:rsid w:val="00861AF5"/>
    <w:rsid w:val="00861E6D"/>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2C8D"/>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4B"/>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34"/>
    <w:rsid w:val="008858A3"/>
    <w:rsid w:val="00885968"/>
    <w:rsid w:val="00885BBF"/>
    <w:rsid w:val="008861D3"/>
    <w:rsid w:val="00886BDE"/>
    <w:rsid w:val="00886E96"/>
    <w:rsid w:val="00887CC1"/>
    <w:rsid w:val="00887D0A"/>
    <w:rsid w:val="0089030D"/>
    <w:rsid w:val="0089049E"/>
    <w:rsid w:val="00890838"/>
    <w:rsid w:val="0089091A"/>
    <w:rsid w:val="00891463"/>
    <w:rsid w:val="00891CB9"/>
    <w:rsid w:val="00891CBC"/>
    <w:rsid w:val="00891FB0"/>
    <w:rsid w:val="00892051"/>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42"/>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D82"/>
    <w:rsid w:val="008B1F69"/>
    <w:rsid w:val="008B1FC0"/>
    <w:rsid w:val="008B1FE2"/>
    <w:rsid w:val="008B2035"/>
    <w:rsid w:val="008B2488"/>
    <w:rsid w:val="008B3EB8"/>
    <w:rsid w:val="008B43D4"/>
    <w:rsid w:val="008B4600"/>
    <w:rsid w:val="008B4D0A"/>
    <w:rsid w:val="008B4D8B"/>
    <w:rsid w:val="008B4FF4"/>
    <w:rsid w:val="008B5B5A"/>
    <w:rsid w:val="008B5BFA"/>
    <w:rsid w:val="008B61AB"/>
    <w:rsid w:val="008B6359"/>
    <w:rsid w:val="008B64BF"/>
    <w:rsid w:val="008B65D8"/>
    <w:rsid w:val="008B6F4B"/>
    <w:rsid w:val="008B7302"/>
    <w:rsid w:val="008B7EEF"/>
    <w:rsid w:val="008C01E9"/>
    <w:rsid w:val="008C0524"/>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01A"/>
    <w:rsid w:val="008C513F"/>
    <w:rsid w:val="008C51E3"/>
    <w:rsid w:val="008C5778"/>
    <w:rsid w:val="008C5947"/>
    <w:rsid w:val="008C5E9A"/>
    <w:rsid w:val="008C6168"/>
    <w:rsid w:val="008C650B"/>
    <w:rsid w:val="008C66C7"/>
    <w:rsid w:val="008C6BBA"/>
    <w:rsid w:val="008C6F92"/>
    <w:rsid w:val="008C7B4F"/>
    <w:rsid w:val="008C7EC0"/>
    <w:rsid w:val="008D0359"/>
    <w:rsid w:val="008D0497"/>
    <w:rsid w:val="008D0562"/>
    <w:rsid w:val="008D07B8"/>
    <w:rsid w:val="008D0A50"/>
    <w:rsid w:val="008D1098"/>
    <w:rsid w:val="008D165F"/>
    <w:rsid w:val="008D19A7"/>
    <w:rsid w:val="008D1C99"/>
    <w:rsid w:val="008D2349"/>
    <w:rsid w:val="008D26CC"/>
    <w:rsid w:val="008D2E84"/>
    <w:rsid w:val="008D30FD"/>
    <w:rsid w:val="008D3196"/>
    <w:rsid w:val="008D3406"/>
    <w:rsid w:val="008D3726"/>
    <w:rsid w:val="008D3D0F"/>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DD5"/>
    <w:rsid w:val="008E155C"/>
    <w:rsid w:val="008E1A1F"/>
    <w:rsid w:val="008E1A29"/>
    <w:rsid w:val="008E1A64"/>
    <w:rsid w:val="008E1ED6"/>
    <w:rsid w:val="008E1FE4"/>
    <w:rsid w:val="008E2797"/>
    <w:rsid w:val="008E2910"/>
    <w:rsid w:val="008E2C0F"/>
    <w:rsid w:val="008E2CCE"/>
    <w:rsid w:val="008E3389"/>
    <w:rsid w:val="008E3558"/>
    <w:rsid w:val="008E355D"/>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0DD3"/>
    <w:rsid w:val="008F10CE"/>
    <w:rsid w:val="008F15EA"/>
    <w:rsid w:val="008F16D5"/>
    <w:rsid w:val="008F27C7"/>
    <w:rsid w:val="008F286B"/>
    <w:rsid w:val="008F31DB"/>
    <w:rsid w:val="008F392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3CC4"/>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295"/>
    <w:rsid w:val="009623CA"/>
    <w:rsid w:val="0096287B"/>
    <w:rsid w:val="009628F7"/>
    <w:rsid w:val="009637FD"/>
    <w:rsid w:val="00963DD1"/>
    <w:rsid w:val="0096411E"/>
    <w:rsid w:val="0096416C"/>
    <w:rsid w:val="00964D08"/>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270"/>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942"/>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D3C"/>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4E9"/>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44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38F"/>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1FF4"/>
    <w:rsid w:val="00A124A0"/>
    <w:rsid w:val="00A128AF"/>
    <w:rsid w:val="00A12996"/>
    <w:rsid w:val="00A12A98"/>
    <w:rsid w:val="00A139AC"/>
    <w:rsid w:val="00A13CE0"/>
    <w:rsid w:val="00A1416B"/>
    <w:rsid w:val="00A1431F"/>
    <w:rsid w:val="00A149B2"/>
    <w:rsid w:val="00A14B4E"/>
    <w:rsid w:val="00A14C73"/>
    <w:rsid w:val="00A15676"/>
    <w:rsid w:val="00A159CE"/>
    <w:rsid w:val="00A16110"/>
    <w:rsid w:val="00A16714"/>
    <w:rsid w:val="00A167E7"/>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3B9"/>
    <w:rsid w:val="00A41907"/>
    <w:rsid w:val="00A41996"/>
    <w:rsid w:val="00A41AE6"/>
    <w:rsid w:val="00A41C3C"/>
    <w:rsid w:val="00A424AD"/>
    <w:rsid w:val="00A42B8E"/>
    <w:rsid w:val="00A42DF0"/>
    <w:rsid w:val="00A43557"/>
    <w:rsid w:val="00A4361D"/>
    <w:rsid w:val="00A436C4"/>
    <w:rsid w:val="00A4399E"/>
    <w:rsid w:val="00A43AC9"/>
    <w:rsid w:val="00A44135"/>
    <w:rsid w:val="00A4454A"/>
    <w:rsid w:val="00A44B11"/>
    <w:rsid w:val="00A44B1D"/>
    <w:rsid w:val="00A44E9B"/>
    <w:rsid w:val="00A45099"/>
    <w:rsid w:val="00A452C0"/>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76D"/>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840"/>
    <w:rsid w:val="00A631C8"/>
    <w:rsid w:val="00A63E8C"/>
    <w:rsid w:val="00A63EEE"/>
    <w:rsid w:val="00A64417"/>
    <w:rsid w:val="00A64C9F"/>
    <w:rsid w:val="00A653F3"/>
    <w:rsid w:val="00A6541A"/>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15"/>
    <w:rsid w:val="00A876D0"/>
    <w:rsid w:val="00A87B67"/>
    <w:rsid w:val="00A9000D"/>
    <w:rsid w:val="00A90052"/>
    <w:rsid w:val="00A901DF"/>
    <w:rsid w:val="00A906D8"/>
    <w:rsid w:val="00A907F7"/>
    <w:rsid w:val="00A909B6"/>
    <w:rsid w:val="00A90B68"/>
    <w:rsid w:val="00A90CAC"/>
    <w:rsid w:val="00A90D4E"/>
    <w:rsid w:val="00A90F91"/>
    <w:rsid w:val="00A910DA"/>
    <w:rsid w:val="00A91384"/>
    <w:rsid w:val="00A915DE"/>
    <w:rsid w:val="00A91855"/>
    <w:rsid w:val="00A919D6"/>
    <w:rsid w:val="00A91DA2"/>
    <w:rsid w:val="00A92200"/>
    <w:rsid w:val="00A93932"/>
    <w:rsid w:val="00A93E28"/>
    <w:rsid w:val="00A93F4B"/>
    <w:rsid w:val="00A93FC2"/>
    <w:rsid w:val="00A94090"/>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730"/>
    <w:rsid w:val="00AD0B66"/>
    <w:rsid w:val="00AD135F"/>
    <w:rsid w:val="00AD1831"/>
    <w:rsid w:val="00AD18EE"/>
    <w:rsid w:val="00AD2747"/>
    <w:rsid w:val="00AD3037"/>
    <w:rsid w:val="00AD3296"/>
    <w:rsid w:val="00AD33BC"/>
    <w:rsid w:val="00AD391C"/>
    <w:rsid w:val="00AD471B"/>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361"/>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DEC"/>
    <w:rsid w:val="00B65EFE"/>
    <w:rsid w:val="00B664CC"/>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0B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8A6"/>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4D6"/>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8D7"/>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B64"/>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5F14"/>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CE6"/>
    <w:rsid w:val="00BE01AD"/>
    <w:rsid w:val="00BE04A5"/>
    <w:rsid w:val="00BE0A86"/>
    <w:rsid w:val="00BE0BE3"/>
    <w:rsid w:val="00BE0BEA"/>
    <w:rsid w:val="00BE1950"/>
    <w:rsid w:val="00BE1E6A"/>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3E5"/>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A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8C7"/>
    <w:rsid w:val="00C72574"/>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A36"/>
    <w:rsid w:val="00C77B9A"/>
    <w:rsid w:val="00C80C33"/>
    <w:rsid w:val="00C80F2F"/>
    <w:rsid w:val="00C814BC"/>
    <w:rsid w:val="00C83B22"/>
    <w:rsid w:val="00C83FEB"/>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45"/>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E1A"/>
    <w:rsid w:val="00CE1F5A"/>
    <w:rsid w:val="00CE209D"/>
    <w:rsid w:val="00CE23B1"/>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AC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D7E"/>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869"/>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28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1E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688"/>
    <w:rsid w:val="00DA2779"/>
    <w:rsid w:val="00DA2A2F"/>
    <w:rsid w:val="00DA2BA1"/>
    <w:rsid w:val="00DA3404"/>
    <w:rsid w:val="00DA41DF"/>
    <w:rsid w:val="00DA42A8"/>
    <w:rsid w:val="00DA49C5"/>
    <w:rsid w:val="00DA4A20"/>
    <w:rsid w:val="00DA4F0F"/>
    <w:rsid w:val="00DA5902"/>
    <w:rsid w:val="00DA6459"/>
    <w:rsid w:val="00DA64FC"/>
    <w:rsid w:val="00DA6961"/>
    <w:rsid w:val="00DA6A1D"/>
    <w:rsid w:val="00DA6CD0"/>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A7"/>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B27"/>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903"/>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27"/>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89"/>
    <w:rsid w:val="00E764C6"/>
    <w:rsid w:val="00E76545"/>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EB3"/>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67"/>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71F"/>
    <w:rsid w:val="00EF4EFA"/>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2B5"/>
    <w:rsid w:val="00F04535"/>
    <w:rsid w:val="00F048BD"/>
    <w:rsid w:val="00F04D17"/>
    <w:rsid w:val="00F056C8"/>
    <w:rsid w:val="00F05A31"/>
    <w:rsid w:val="00F05C62"/>
    <w:rsid w:val="00F05EE8"/>
    <w:rsid w:val="00F06508"/>
    <w:rsid w:val="00F0669A"/>
    <w:rsid w:val="00F068E6"/>
    <w:rsid w:val="00F073AC"/>
    <w:rsid w:val="00F07639"/>
    <w:rsid w:val="00F076EE"/>
    <w:rsid w:val="00F078A2"/>
    <w:rsid w:val="00F078CD"/>
    <w:rsid w:val="00F07A4A"/>
    <w:rsid w:val="00F07ADB"/>
    <w:rsid w:val="00F10954"/>
    <w:rsid w:val="00F11097"/>
    <w:rsid w:val="00F11189"/>
    <w:rsid w:val="00F11349"/>
    <w:rsid w:val="00F11738"/>
    <w:rsid w:val="00F11892"/>
    <w:rsid w:val="00F1193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471"/>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105"/>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396"/>
    <w:rsid w:val="00F46526"/>
    <w:rsid w:val="00F47012"/>
    <w:rsid w:val="00F47307"/>
    <w:rsid w:val="00F4763B"/>
    <w:rsid w:val="00F477D5"/>
    <w:rsid w:val="00F47BB9"/>
    <w:rsid w:val="00F47E7E"/>
    <w:rsid w:val="00F501F3"/>
    <w:rsid w:val="00F5023D"/>
    <w:rsid w:val="00F50902"/>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09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39D"/>
    <w:rsid w:val="00F907C7"/>
    <w:rsid w:val="00F9198D"/>
    <w:rsid w:val="00F91B15"/>
    <w:rsid w:val="00F91B7E"/>
    <w:rsid w:val="00F92016"/>
    <w:rsid w:val="00F925B4"/>
    <w:rsid w:val="00F925F6"/>
    <w:rsid w:val="00F93AA3"/>
    <w:rsid w:val="00F94191"/>
    <w:rsid w:val="00F9443B"/>
    <w:rsid w:val="00F94CA5"/>
    <w:rsid w:val="00F952C5"/>
    <w:rsid w:val="00F953FE"/>
    <w:rsid w:val="00F9737D"/>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BC4"/>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18A"/>
    <w:rsid w:val="00FB23DD"/>
    <w:rsid w:val="00FB2830"/>
    <w:rsid w:val="00FB312F"/>
    <w:rsid w:val="00FB35C3"/>
    <w:rsid w:val="00FB3EC5"/>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337"/>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1BAB"/>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page;mso-position-vertical-relative:page" stroke="f">
      <v:stroke on="f"/>
      <o:colormru v:ext="edit" colors="white"/>
    </o:shapedefaults>
    <o:shapelayout v:ext="edit">
      <o:idmap v:ext="edit" data="1"/>
    </o:shapelayout>
  </w:shapeDefaults>
  <w:decimalSymbol w:val="."/>
  <w:listSeparator w:val=","/>
  <w14:docId w14:val="471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uiPriority w:val="9"/>
    <w:qFormat/>
    <w:rsid w:val="00A413B9"/>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64266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2A4619"/>
    <w:pPr>
      <w:pageBreakBefore/>
      <w:framePr w:w="11907" w:h="1701" w:hSpace="11340" w:wrap="around" w:vAnchor="page" w:hAnchor="page" w:yAlign="top"/>
      <w:spacing w:before="1300"/>
      <w:ind w:left="1134" w:right="1134"/>
    </w:pPr>
    <w:rPr>
      <w:color w:val="201547"/>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A413B9"/>
    <w:rPr>
      <w:b/>
      <w:bCs/>
      <w:iCs/>
      <w:color w:val="201547"/>
      <w:kern w:val="20"/>
      <w:sz w:val="24"/>
      <w:szCs w:val="28"/>
    </w:rPr>
  </w:style>
  <w:style w:type="character" w:customStyle="1" w:styleId="Heading1Char">
    <w:name w:val="Heading 1 Char"/>
    <w:basedOn w:val="DefaultParagraphFont"/>
    <w:link w:val="Heading1"/>
    <w:uiPriority w:val="9"/>
    <w:rsid w:val="00321955"/>
    <w:rPr>
      <w:b/>
      <w:bCs/>
      <w:color w:val="642667"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8F31DB"/>
    <w:pPr>
      <w:spacing w:after="400" w:line="240" w:lineRule="auto"/>
      <w:outlineLvl w:val="0"/>
    </w:pPr>
    <w:rPr>
      <w:rFonts w:ascii="Calibri" w:hAnsi="Calibri"/>
      <w:color w:val="201547"/>
      <w:sz w:val="40"/>
      <w:szCs w:val="24"/>
      <w:lang w:val="en-US" w:eastAsia="en-US"/>
    </w:rPr>
  </w:style>
  <w:style w:type="paragraph" w:customStyle="1" w:styleId="HB">
    <w:name w:val="_HB"/>
    <w:next w:val="Normal"/>
    <w:uiPriority w:val="2"/>
    <w:qFormat/>
    <w:rsid w:val="008F31DB"/>
    <w:pPr>
      <w:spacing w:before="180" w:after="113" w:line="300" w:lineRule="atLeast"/>
      <w:outlineLvl w:val="0"/>
    </w:pPr>
    <w:rPr>
      <w:rFonts w:ascii="Calibri" w:hAnsi="Calibri"/>
      <w:b/>
      <w:color w:val="228591"/>
      <w:sz w:val="28"/>
      <w:szCs w:val="24"/>
      <w:lang w:eastAsia="en-US"/>
    </w:rPr>
  </w:style>
  <w:style w:type="character" w:customStyle="1" w:styleId="BalloonTextChar">
    <w:name w:val="Balloon Text Char"/>
    <w:basedOn w:val="DefaultParagraphFont"/>
    <w:link w:val="BalloonText"/>
    <w:uiPriority w:val="99"/>
    <w:semiHidden/>
    <w:rsid w:val="008F31DB"/>
    <w:rPr>
      <w:rFonts w:ascii="Tahoma" w:hAnsi="Tahoma" w:cs="Tahoma"/>
      <w:sz w:val="16"/>
      <w:szCs w:val="16"/>
    </w:rPr>
  </w:style>
  <w:style w:type="paragraph" w:customStyle="1" w:styleId="zFooter">
    <w:name w:val="_zFooter"/>
    <w:uiPriority w:val="99"/>
    <w:rsid w:val="008F31DB"/>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8F31DB"/>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8F31DB"/>
    <w:rPr>
      <w:rFonts w:ascii="Calibri" w:hAnsi="Calibri"/>
      <w:color w:val="228591"/>
      <w:sz w:val="16"/>
    </w:rPr>
  </w:style>
  <w:style w:type="paragraph" w:customStyle="1" w:styleId="TOCTitle">
    <w:name w:val="_TOCTitle"/>
    <w:basedOn w:val="HA"/>
    <w:next w:val="Normal"/>
    <w:rsid w:val="008F31DB"/>
  </w:style>
  <w:style w:type="paragraph" w:customStyle="1" w:styleId="ImprintText">
    <w:name w:val="_ImprintText"/>
    <w:uiPriority w:val="9"/>
    <w:rsid w:val="008F31DB"/>
    <w:pPr>
      <w:spacing w:after="85" w:line="170" w:lineRule="atLeast"/>
    </w:pPr>
    <w:rPr>
      <w:rFonts w:ascii="Calibri" w:hAnsi="Calibri"/>
      <w:color w:val="auto"/>
      <w:sz w:val="16"/>
      <w:szCs w:val="14"/>
      <w:lang w:eastAsia="en-US"/>
    </w:rPr>
  </w:style>
  <w:style w:type="paragraph" w:customStyle="1" w:styleId="TblHd">
    <w:name w:val="_TblHd"/>
    <w:qFormat/>
    <w:rsid w:val="008F31DB"/>
    <w:pPr>
      <w:spacing w:before="60" w:after="60" w:line="230" w:lineRule="atLeast"/>
    </w:pPr>
    <w:rPr>
      <w:rFonts w:ascii="Calibri" w:hAnsi="Calibri"/>
      <w:b/>
      <w:color w:val="auto"/>
      <w:sz w:val="22"/>
      <w:szCs w:val="24"/>
      <w:lang w:eastAsia="en-US"/>
    </w:rPr>
  </w:style>
  <w:style w:type="paragraph" w:styleId="Revision">
    <w:name w:val="Revision"/>
    <w:hidden/>
    <w:uiPriority w:val="99"/>
    <w:semiHidden/>
    <w:rsid w:val="0099127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uiPriority w:val="9"/>
    <w:qFormat/>
    <w:rsid w:val="00A413B9"/>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64266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2A4619"/>
    <w:pPr>
      <w:pageBreakBefore/>
      <w:framePr w:w="11907" w:h="1701" w:hSpace="11340" w:wrap="around" w:vAnchor="page" w:hAnchor="page" w:yAlign="top"/>
      <w:spacing w:before="1300"/>
      <w:ind w:left="1134" w:right="1134"/>
    </w:pPr>
    <w:rPr>
      <w:color w:val="201547"/>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A413B9"/>
    <w:rPr>
      <w:b/>
      <w:bCs/>
      <w:iCs/>
      <w:color w:val="201547"/>
      <w:kern w:val="20"/>
      <w:sz w:val="24"/>
      <w:szCs w:val="28"/>
    </w:rPr>
  </w:style>
  <w:style w:type="character" w:customStyle="1" w:styleId="Heading1Char">
    <w:name w:val="Heading 1 Char"/>
    <w:basedOn w:val="DefaultParagraphFont"/>
    <w:link w:val="Heading1"/>
    <w:uiPriority w:val="9"/>
    <w:rsid w:val="00321955"/>
    <w:rPr>
      <w:b/>
      <w:bCs/>
      <w:color w:val="642667"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8F31DB"/>
    <w:pPr>
      <w:spacing w:after="400" w:line="240" w:lineRule="auto"/>
      <w:outlineLvl w:val="0"/>
    </w:pPr>
    <w:rPr>
      <w:rFonts w:ascii="Calibri" w:hAnsi="Calibri"/>
      <w:color w:val="201547"/>
      <w:sz w:val="40"/>
      <w:szCs w:val="24"/>
      <w:lang w:val="en-US" w:eastAsia="en-US"/>
    </w:rPr>
  </w:style>
  <w:style w:type="paragraph" w:customStyle="1" w:styleId="HB">
    <w:name w:val="_HB"/>
    <w:next w:val="Normal"/>
    <w:uiPriority w:val="2"/>
    <w:qFormat/>
    <w:rsid w:val="008F31DB"/>
    <w:pPr>
      <w:spacing w:before="180" w:after="113" w:line="300" w:lineRule="atLeast"/>
      <w:outlineLvl w:val="0"/>
    </w:pPr>
    <w:rPr>
      <w:rFonts w:ascii="Calibri" w:hAnsi="Calibri"/>
      <w:b/>
      <w:color w:val="228591"/>
      <w:sz w:val="28"/>
      <w:szCs w:val="24"/>
      <w:lang w:eastAsia="en-US"/>
    </w:rPr>
  </w:style>
  <w:style w:type="character" w:customStyle="1" w:styleId="BalloonTextChar">
    <w:name w:val="Balloon Text Char"/>
    <w:basedOn w:val="DefaultParagraphFont"/>
    <w:link w:val="BalloonText"/>
    <w:uiPriority w:val="99"/>
    <w:semiHidden/>
    <w:rsid w:val="008F31DB"/>
    <w:rPr>
      <w:rFonts w:ascii="Tahoma" w:hAnsi="Tahoma" w:cs="Tahoma"/>
      <w:sz w:val="16"/>
      <w:szCs w:val="16"/>
    </w:rPr>
  </w:style>
  <w:style w:type="paragraph" w:customStyle="1" w:styleId="zFooter">
    <w:name w:val="_zFooter"/>
    <w:uiPriority w:val="99"/>
    <w:rsid w:val="008F31DB"/>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8F31DB"/>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8F31DB"/>
    <w:rPr>
      <w:rFonts w:ascii="Calibri" w:hAnsi="Calibri"/>
      <w:color w:val="228591"/>
      <w:sz w:val="16"/>
    </w:rPr>
  </w:style>
  <w:style w:type="paragraph" w:customStyle="1" w:styleId="TOCTitle">
    <w:name w:val="_TOCTitle"/>
    <w:basedOn w:val="HA"/>
    <w:next w:val="Normal"/>
    <w:rsid w:val="008F31DB"/>
  </w:style>
  <w:style w:type="paragraph" w:customStyle="1" w:styleId="ImprintText">
    <w:name w:val="_ImprintText"/>
    <w:uiPriority w:val="9"/>
    <w:rsid w:val="008F31DB"/>
    <w:pPr>
      <w:spacing w:after="85" w:line="170" w:lineRule="atLeast"/>
    </w:pPr>
    <w:rPr>
      <w:rFonts w:ascii="Calibri" w:hAnsi="Calibri"/>
      <w:color w:val="auto"/>
      <w:sz w:val="16"/>
      <w:szCs w:val="14"/>
      <w:lang w:eastAsia="en-US"/>
    </w:rPr>
  </w:style>
  <w:style w:type="paragraph" w:customStyle="1" w:styleId="TblHd">
    <w:name w:val="_TblHd"/>
    <w:qFormat/>
    <w:rsid w:val="008F31DB"/>
    <w:pPr>
      <w:spacing w:before="60" w:after="60" w:line="230" w:lineRule="atLeast"/>
    </w:pPr>
    <w:rPr>
      <w:rFonts w:ascii="Calibri" w:hAnsi="Calibri"/>
      <w:b/>
      <w:color w:val="auto"/>
      <w:sz w:val="22"/>
      <w:szCs w:val="24"/>
      <w:lang w:eastAsia="en-US"/>
    </w:rPr>
  </w:style>
  <w:style w:type="paragraph" w:styleId="Revision">
    <w:name w:val="Revision"/>
    <w:hidden/>
    <w:uiPriority w:val="99"/>
    <w:semiHidden/>
    <w:rsid w:val="009912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5218173">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4.xm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planning.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6554-4222-4819-A43C-67CAD76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3520</Words>
  <Characters>21338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pe18</dc:creator>
  <cp:lastModifiedBy>Rodney D Wright (DELWP)</cp:lastModifiedBy>
  <cp:revision>9</cp:revision>
  <cp:lastPrinted>2017-01-30T06:03:00Z</cp:lastPrinted>
  <dcterms:created xsi:type="dcterms:W3CDTF">2017-02-21T22:26:00Z</dcterms:created>
  <dcterms:modified xsi:type="dcterms:W3CDTF">2017-02-22T00:56:00Z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