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9855"/>
      </w:tblGrid>
      <w:tr w:rsidR="00BB6A87" w:rsidRPr="004A57D8" w:rsidTr="00207A7C">
        <w:trPr>
          <w:trHeight w:hRule="exact" w:val="3558"/>
        </w:trPr>
        <w:tc>
          <w:tcPr>
            <w:tcW w:w="9855" w:type="dxa"/>
            <w:shd w:val="clear" w:color="auto" w:fill="auto"/>
          </w:tcPr>
          <w:p w:rsidR="00BB6A87" w:rsidRPr="00D00C9C" w:rsidRDefault="00D00C9C" w:rsidP="003C2D33">
            <w:pPr>
              <w:pStyle w:val="Title"/>
              <w:rPr>
                <w:sz w:val="68"/>
              </w:rPr>
            </w:pPr>
            <w:r>
              <w:rPr>
                <w:rFonts w:cs="Calibri"/>
                <w:noProof/>
                <w:lang w:eastAsia="en-AU"/>
              </w:rPr>
              <mc:AlternateContent>
                <mc:Choice Requires="wps">
                  <w:drawing>
                    <wp:anchor distT="0" distB="0" distL="114300" distR="114300" simplePos="0" relativeHeight="251659264" behindDoc="0" locked="0" layoutInCell="1" allowOverlap="1" wp14:anchorId="6BF7E395" wp14:editId="1FE2AD70">
                      <wp:simplePos x="0" y="0"/>
                      <wp:positionH relativeFrom="column">
                        <wp:posOffset>-92710</wp:posOffset>
                      </wp:positionH>
                      <wp:positionV relativeFrom="paragraph">
                        <wp:posOffset>766830</wp:posOffset>
                      </wp:positionV>
                      <wp:extent cx="6490970" cy="800735"/>
                      <wp:effectExtent l="0" t="0" r="0" b="0"/>
                      <wp:wrapNone/>
                      <wp:docPr id="5" name="Text Box 5"/>
                      <wp:cNvGraphicFramePr/>
                      <a:graphic xmlns:a="http://schemas.openxmlformats.org/drawingml/2006/main">
                        <a:graphicData uri="http://schemas.microsoft.com/office/word/2010/wordprocessingShape">
                          <wps:wsp>
                            <wps:cNvSpPr txBox="1"/>
                            <wps:spPr>
                              <a:xfrm>
                                <a:off x="0" y="0"/>
                                <a:ext cx="6490970" cy="800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3C32" w:rsidRPr="00846AED" w:rsidRDefault="00CC3C32" w:rsidP="00846AED">
                                  <w:pPr>
                                    <w:rPr>
                                      <w:rFonts w:cs="Arial"/>
                                      <w:bCs/>
                                      <w:color w:val="FFFFFF" w:themeColor="background1"/>
                                      <w:kern w:val="28"/>
                                      <w:sz w:val="42"/>
                                      <w:szCs w:val="32"/>
                                    </w:rPr>
                                  </w:pPr>
                                  <w:r>
                                    <w:rPr>
                                      <w:rFonts w:cs="Arial"/>
                                      <w:bCs/>
                                      <w:color w:val="FFFFFF" w:themeColor="background1"/>
                                      <w:kern w:val="28"/>
                                      <w:sz w:val="42"/>
                                      <w:szCs w:val="32"/>
                                    </w:rPr>
                                    <w:t>M</w:t>
                                  </w:r>
                                  <w:r w:rsidRPr="00846AED">
                                    <w:rPr>
                                      <w:rFonts w:cs="Arial"/>
                                      <w:bCs/>
                                      <w:color w:val="FFFFFF" w:themeColor="background1"/>
                                      <w:kern w:val="28"/>
                                      <w:sz w:val="42"/>
                                      <w:szCs w:val="32"/>
                                    </w:rPr>
                                    <w:t>igration histories of professionals in Bendigo, Victoria Summary of survey findings</w:t>
                                  </w:r>
                                </w:p>
                                <w:p w:rsidR="00CC3C32" w:rsidRDefault="00CC3C32" w:rsidP="00846AED">
                                  <w:pPr>
                                    <w:rPr>
                                      <w:bCs/>
                                      <w:color w:val="FFFFFF" w:themeColor="background1"/>
                                      <w:sz w:val="40"/>
                                      <w:szCs w:val="40"/>
                                    </w:rPr>
                                  </w:pPr>
                                  <w:r w:rsidRPr="00D00C9C">
                                    <w:rPr>
                                      <w:rFonts w:cs="Arial"/>
                                      <w:bCs/>
                                      <w:color w:val="FFFFFF" w:themeColor="background1"/>
                                      <w:kern w:val="28"/>
                                      <w:sz w:val="64"/>
                                      <w:szCs w:val="32"/>
                                    </w:rPr>
                                    <w:t>n histories of professionals in Bendigo, Victoria</w:t>
                                  </w:r>
                                  <w:r>
                                    <w:rPr>
                                      <w:bCs/>
                                      <w:color w:val="FFFFFF" w:themeColor="background1"/>
                                      <w:sz w:val="40"/>
                                      <w:szCs w:val="40"/>
                                    </w:rPr>
                                    <w:t xml:space="preserve"> Summary of survey findings</w:t>
                                  </w:r>
                                </w:p>
                                <w:p w:rsidR="00CC3C32" w:rsidRDefault="00CC3C32">
                                  <w:pPr>
                                    <w:rPr>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3pt;margin-top:60.4pt;width:511.1pt;height:6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" filled="f" stroked="f" strokeweight=".5pt">
                      <v:textbox>
                        <w:txbxContent>
                          <w:p w:rsidR="00CC3C32" w:rsidRPr="00846AED" w:rsidRDefault="00CC3C32" w:rsidP="00846AED">
                            <w:pPr>
                              <w:rPr>
                                <w:rFonts w:cs="Arial"/>
                                <w:bCs/>
                                <w:color w:val="FFFFFF" w:themeColor="background1"/>
                                <w:kern w:val="28"/>
                                <w:sz w:val="42"/>
                                <w:szCs w:val="32"/>
                              </w:rPr>
                            </w:pPr>
                            <w:r>
                              <w:rPr>
                                <w:rFonts w:cs="Arial"/>
                                <w:bCs/>
                                <w:color w:val="FFFFFF" w:themeColor="background1"/>
                                <w:kern w:val="28"/>
                                <w:sz w:val="42"/>
                                <w:szCs w:val="32"/>
                              </w:rPr>
                              <w:t>M</w:t>
                            </w:r>
                            <w:r w:rsidRPr="00846AED">
                              <w:rPr>
                                <w:rFonts w:cs="Arial"/>
                                <w:bCs/>
                                <w:color w:val="FFFFFF" w:themeColor="background1"/>
                                <w:kern w:val="28"/>
                                <w:sz w:val="42"/>
                                <w:szCs w:val="32"/>
                              </w:rPr>
                              <w:t>igration histories of professionals in Bendigo, Victoria Summary of survey findings</w:t>
                            </w:r>
                          </w:p>
                          <w:p w:rsidR="00CC3C32" w:rsidRDefault="00CC3C32" w:rsidP="00846AED">
                            <w:pPr>
                              <w:rPr>
                                <w:bCs/>
                                <w:color w:val="FFFFFF" w:themeColor="background1"/>
                                <w:sz w:val="40"/>
                                <w:szCs w:val="40"/>
                              </w:rPr>
                            </w:pPr>
                            <w:r w:rsidRPr="00D00C9C">
                              <w:rPr>
                                <w:rFonts w:cs="Arial"/>
                                <w:bCs/>
                                <w:color w:val="FFFFFF" w:themeColor="background1"/>
                                <w:kern w:val="28"/>
                                <w:sz w:val="64"/>
                                <w:szCs w:val="32"/>
                              </w:rPr>
                              <w:t>n histories of professionals in Bendigo, Victoria</w:t>
                            </w:r>
                            <w:r>
                              <w:rPr>
                                <w:bCs/>
                                <w:color w:val="FFFFFF" w:themeColor="background1"/>
                                <w:sz w:val="40"/>
                                <w:szCs w:val="40"/>
                              </w:rPr>
                              <w:t xml:space="preserve"> Summary of survey findings</w:t>
                            </w:r>
                          </w:p>
                          <w:p w:rsidR="00CC3C32" w:rsidRDefault="00CC3C32">
                            <w:pPr>
                              <w:rPr>
                                <w:bCs/>
                                <w:color w:val="FFFFFF" w:themeColor="background1"/>
                                <w:sz w:val="40"/>
                                <w:szCs w:val="40"/>
                              </w:rPr>
                            </w:pPr>
                          </w:p>
                        </w:txbxContent>
                      </v:textbox>
                    </v:shape>
                  </w:pict>
                </mc:Fallback>
              </mc:AlternateContent>
            </w:r>
            <w:r w:rsidRPr="00D00C9C">
              <w:rPr>
                <w:sz w:val="64"/>
              </w:rPr>
              <w:t xml:space="preserve">A </w:t>
            </w:r>
            <w:r w:rsidR="00846AED">
              <w:rPr>
                <w:sz w:val="64"/>
              </w:rPr>
              <w:t>R</w:t>
            </w:r>
            <w:r w:rsidRPr="00D00C9C">
              <w:rPr>
                <w:sz w:val="64"/>
              </w:rPr>
              <w:t xml:space="preserve">egional </w:t>
            </w:r>
            <w:r w:rsidR="00846AED">
              <w:rPr>
                <w:sz w:val="64"/>
              </w:rPr>
              <w:t>C</w:t>
            </w:r>
            <w:r w:rsidRPr="00D00C9C">
              <w:rPr>
                <w:sz w:val="64"/>
              </w:rPr>
              <w:t>areer</w:t>
            </w:r>
          </w:p>
        </w:tc>
      </w:tr>
    </w:tbl>
    <w:p w:rsidR="00BB6A87" w:rsidRPr="008B5BB5" w:rsidRDefault="00BB6A87" w:rsidP="00BB6A87"/>
    <w:tbl>
      <w:tblPr>
        <w:tblW w:w="10709" w:type="dxa"/>
        <w:tblInd w:w="-532" w:type="dxa"/>
        <w:tblLayout w:type="fixed"/>
        <w:tblLook w:val="01E0" w:firstRow="1" w:lastRow="1" w:firstColumn="1" w:lastColumn="1" w:noHBand="0" w:noVBand="0"/>
      </w:tblPr>
      <w:tblGrid>
        <w:gridCol w:w="10709"/>
      </w:tblGrid>
      <w:tr w:rsidR="00BB6A87" w:rsidRPr="00DB5624" w:rsidTr="003F5344">
        <w:trPr>
          <w:trHeight w:hRule="exact" w:val="9982"/>
        </w:trPr>
        <w:tc>
          <w:tcPr>
            <w:tcW w:w="10709" w:type="dxa"/>
            <w:shd w:val="clear" w:color="auto" w:fill="auto"/>
            <w:tcMar>
              <w:left w:w="0" w:type="dxa"/>
              <w:right w:w="0" w:type="dxa"/>
            </w:tcMar>
          </w:tcPr>
          <w:p w:rsidR="00BB6A87" w:rsidRPr="00DB5624" w:rsidRDefault="00E24FB5" w:rsidP="00207A7C">
            <w:pPr>
              <w:pStyle w:val="CertHE"/>
              <w:tabs>
                <w:tab w:val="left" w:pos="459"/>
              </w:tabs>
            </w:pPr>
            <w:r>
              <w:rPr>
                <w:noProof/>
                <w:lang w:eastAsia="en-AU"/>
              </w:rPr>
              <w:drawing>
                <wp:inline distT="0" distB="0" distL="0" distR="0">
                  <wp:extent cx="6800215" cy="4533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Stock_10473549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215" cy="4533265"/>
                          </a:xfrm>
                          <a:prstGeom prst="rect">
                            <a:avLst/>
                          </a:prstGeom>
                        </pic:spPr>
                      </pic:pic>
                    </a:graphicData>
                  </a:graphic>
                </wp:inline>
              </w:drawing>
            </w:r>
          </w:p>
        </w:tc>
      </w:tr>
    </w:tbl>
    <w:p w:rsidR="00BB6A87" w:rsidRPr="00CF2728" w:rsidRDefault="00BB6A87" w:rsidP="00DC1725"/>
    <w:p w:rsidR="00BB6A87" w:rsidRDefault="00BB6A87" w:rsidP="00DC1725">
      <w:pPr>
        <w:sectPr w:rsidR="00BB6A87" w:rsidSect="00BB6A87">
          <w:headerReference w:type="default" r:id="rId10"/>
          <w:footerReference w:type="default" r:id="rId11"/>
          <w:type w:val="continuous"/>
          <w:pgSz w:w="11907" w:h="16840" w:code="9"/>
          <w:pgMar w:top="1701" w:right="1134" w:bottom="568" w:left="1134" w:header="709" w:footer="709" w:gutter="0"/>
          <w:cols w:space="708"/>
          <w:docGrid w:linePitch="360"/>
        </w:sectPr>
      </w:pPr>
    </w:p>
    <w:p w:rsidR="00823E6F" w:rsidRDefault="00823E6F" w:rsidP="00DF217F"/>
    <w:p w:rsidR="00422EA7" w:rsidRPr="00DF217F" w:rsidRDefault="00422EA7" w:rsidP="00DF217F">
      <w:pPr>
        <w:sectPr w:rsidR="00422EA7" w:rsidRPr="00DF217F" w:rsidSect="00513E41">
          <w:footerReference w:type="even" r:id="rId12"/>
          <w:type w:val="continuous"/>
          <w:pgSz w:w="11907" w:h="16840" w:code="9"/>
          <w:pgMar w:top="1134" w:right="1134" w:bottom="426" w:left="1134" w:header="709" w:footer="567" w:gutter="0"/>
          <w:pgNumType w:start="1"/>
          <w:cols w:space="708"/>
          <w:titlePg/>
          <w:docGrid w:linePitch="360"/>
        </w:sectPr>
      </w:pPr>
    </w:p>
    <w:p w:rsidR="000F6CD2" w:rsidRDefault="000F6CD2">
      <w:r>
        <w:lastRenderedPageBreak/>
        <w:br w:type="page"/>
      </w:r>
    </w:p>
    <w:tbl>
      <w:tblPr>
        <w:tblW w:w="0" w:type="auto"/>
        <w:tblLook w:val="01E0" w:firstRow="1" w:lastRow="1" w:firstColumn="1" w:lastColumn="1" w:noHBand="0" w:noVBand="0"/>
      </w:tblPr>
      <w:tblGrid>
        <w:gridCol w:w="9855"/>
      </w:tblGrid>
      <w:tr w:rsidR="00A74AEE" w:rsidTr="00566FE3">
        <w:trPr>
          <w:trHeight w:val="13912"/>
        </w:trPr>
        <w:tc>
          <w:tcPr>
            <w:tcW w:w="9855" w:type="dxa"/>
            <w:shd w:val="clear" w:color="auto" w:fill="auto"/>
            <w:vAlign w:val="bottom"/>
          </w:tcPr>
          <w:p w:rsidR="007F7CF6" w:rsidRPr="008930E5" w:rsidRDefault="00846AED" w:rsidP="007F7CF6">
            <w:pPr>
              <w:jc w:val="both"/>
              <w:rPr>
                <w:rFonts w:asciiTheme="minorHAnsi" w:hAnsiTheme="minorHAnsi" w:cstheme="minorHAnsi"/>
                <w:bCs/>
                <w:color w:val="014F56"/>
                <w:sz w:val="46"/>
              </w:rPr>
            </w:pPr>
            <w:r>
              <w:rPr>
                <w:rFonts w:asciiTheme="minorHAnsi" w:hAnsiTheme="minorHAnsi" w:cstheme="minorHAnsi"/>
                <w:bCs/>
                <w:color w:val="014F56"/>
                <w:sz w:val="46"/>
              </w:rPr>
              <w:lastRenderedPageBreak/>
              <w:t>A R</w:t>
            </w:r>
            <w:r w:rsidR="00D00C9C">
              <w:rPr>
                <w:rFonts w:asciiTheme="minorHAnsi" w:hAnsiTheme="minorHAnsi" w:cstheme="minorHAnsi"/>
                <w:bCs/>
                <w:color w:val="014F56"/>
                <w:sz w:val="46"/>
              </w:rPr>
              <w:t xml:space="preserve">egional </w:t>
            </w:r>
            <w:r>
              <w:rPr>
                <w:rFonts w:asciiTheme="minorHAnsi" w:hAnsiTheme="minorHAnsi" w:cstheme="minorHAnsi"/>
                <w:bCs/>
                <w:color w:val="014F56"/>
                <w:sz w:val="46"/>
              </w:rPr>
              <w:t>Career</w:t>
            </w:r>
          </w:p>
          <w:p w:rsidR="00846AED" w:rsidRDefault="00846AED" w:rsidP="007F7CF6">
            <w:pPr>
              <w:rPr>
                <w:rFonts w:asciiTheme="minorHAnsi" w:hAnsiTheme="minorHAnsi" w:cstheme="minorHAnsi"/>
                <w:bCs/>
                <w:color w:val="014F56"/>
                <w:sz w:val="28"/>
              </w:rPr>
            </w:pPr>
          </w:p>
          <w:p w:rsidR="00801C7E" w:rsidRDefault="00D00C9C" w:rsidP="007F7CF6">
            <w:pPr>
              <w:rPr>
                <w:rFonts w:asciiTheme="minorHAnsi" w:hAnsiTheme="minorHAnsi" w:cstheme="minorHAnsi"/>
                <w:bCs/>
                <w:color w:val="014F56"/>
                <w:sz w:val="28"/>
              </w:rPr>
            </w:pPr>
            <w:r>
              <w:rPr>
                <w:rFonts w:asciiTheme="minorHAnsi" w:hAnsiTheme="minorHAnsi" w:cstheme="minorHAnsi"/>
                <w:bCs/>
                <w:color w:val="014F56"/>
                <w:sz w:val="28"/>
              </w:rPr>
              <w:t>Migration histories of professionals working in Bendigo, Victoria</w:t>
            </w:r>
            <w:r w:rsidR="00846AED">
              <w:rPr>
                <w:rFonts w:asciiTheme="minorHAnsi" w:hAnsiTheme="minorHAnsi" w:cstheme="minorHAnsi"/>
                <w:bCs/>
                <w:color w:val="014F56"/>
                <w:sz w:val="28"/>
              </w:rPr>
              <w:t>.</w:t>
            </w:r>
          </w:p>
          <w:p w:rsidR="00F50ECA" w:rsidRDefault="00846AED" w:rsidP="007F7CF6">
            <w:pPr>
              <w:rPr>
                <w:rFonts w:asciiTheme="minorHAnsi" w:hAnsiTheme="minorHAnsi" w:cstheme="minorHAnsi"/>
                <w:bCs/>
                <w:color w:val="014F56"/>
                <w:sz w:val="28"/>
              </w:rPr>
            </w:pPr>
            <w:r>
              <w:rPr>
                <w:rFonts w:asciiTheme="minorHAnsi" w:hAnsiTheme="minorHAnsi" w:cstheme="minorHAnsi"/>
                <w:bCs/>
                <w:color w:val="014F56"/>
                <w:sz w:val="28"/>
              </w:rPr>
              <w:t>Summary of survey findings.</w:t>
            </w:r>
          </w:p>
          <w:p w:rsidR="007F7CF6" w:rsidRDefault="007F7CF6" w:rsidP="007F7CF6">
            <w:pPr>
              <w:rPr>
                <w:rFonts w:asciiTheme="minorHAnsi" w:hAnsiTheme="minorHAnsi" w:cstheme="minorHAnsi"/>
              </w:rPr>
            </w:pPr>
          </w:p>
          <w:p w:rsidR="00800102" w:rsidRDefault="00800102" w:rsidP="007F7CF6">
            <w:pPr>
              <w:rPr>
                <w:rFonts w:asciiTheme="minorHAnsi" w:hAnsiTheme="minorHAnsi" w:cstheme="minorHAnsi"/>
              </w:rPr>
            </w:pPr>
          </w:p>
          <w:p w:rsidR="00F50ECA" w:rsidRDefault="007F7CF6" w:rsidP="007F7CF6">
            <w:pPr>
              <w:rPr>
                <w:rFonts w:asciiTheme="minorHAnsi" w:hAnsiTheme="minorHAnsi" w:cstheme="minorHAnsi"/>
                <w:sz w:val="20"/>
              </w:rPr>
            </w:pPr>
            <w:r w:rsidRPr="007F7CF6">
              <w:rPr>
                <w:rFonts w:asciiTheme="minorHAnsi" w:hAnsiTheme="minorHAnsi" w:cstheme="minorHAnsi"/>
              </w:rPr>
              <w:t xml:space="preserve">Report prepared by </w:t>
            </w:r>
            <w:r w:rsidR="00131B54">
              <w:rPr>
                <w:rFonts w:asciiTheme="minorHAnsi" w:hAnsiTheme="minorHAnsi" w:cstheme="minorHAnsi"/>
              </w:rPr>
              <w:t xml:space="preserve">Fiona McKenzie, </w:t>
            </w:r>
            <w:r w:rsidRPr="007F7CF6">
              <w:rPr>
                <w:rFonts w:asciiTheme="minorHAnsi" w:hAnsiTheme="minorHAnsi" w:cstheme="minorHAnsi"/>
              </w:rPr>
              <w:t>Forward Policy and Research Branch, Department of Environment, Land, Water and Planning (DELWP), Melbourne, Victoria.</w:t>
            </w:r>
          </w:p>
          <w:p w:rsidR="00F50ECA" w:rsidRDefault="00F50ECA" w:rsidP="00F649B6">
            <w:pPr>
              <w:autoSpaceDE w:val="0"/>
              <w:autoSpaceDN w:val="0"/>
              <w:adjustRightInd w:val="0"/>
              <w:spacing w:after="320"/>
              <w:rPr>
                <w:rFonts w:ascii="Arial" w:hAnsi="Arial" w:cs="Arial"/>
                <w:sz w:val="14"/>
                <w:szCs w:val="14"/>
              </w:rPr>
            </w:pPr>
          </w:p>
          <w:p w:rsidR="00F50ECA" w:rsidRDefault="00F50ECA" w:rsidP="00F649B6">
            <w:pPr>
              <w:autoSpaceDE w:val="0"/>
              <w:autoSpaceDN w:val="0"/>
              <w:adjustRightInd w:val="0"/>
              <w:spacing w:after="320"/>
              <w:rPr>
                <w:rFonts w:ascii="Arial" w:hAnsi="Arial" w:cs="Arial"/>
                <w:sz w:val="14"/>
                <w:szCs w:val="14"/>
              </w:rPr>
            </w:pPr>
          </w:p>
          <w:p w:rsidR="00F50ECA" w:rsidRDefault="00281AEE" w:rsidP="00281AEE">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1312" behindDoc="0" locked="0" layoutInCell="1" allowOverlap="1" wp14:anchorId="3D64F48E" wp14:editId="6506BD7B">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3">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281AEE">
              <w:rPr>
                <w:rFonts w:asciiTheme="minorHAnsi" w:eastAsiaTheme="minorHAnsi" w:hAnsiTheme="minorHAnsi" w:cstheme="minorHAnsi"/>
                <w:sz w:val="16"/>
                <w:szCs w:val="16"/>
              </w:rPr>
              <w:t>© The State of Victoria Department of Environment, Land, Water and Planning 201</w:t>
            </w:r>
            <w:r w:rsidR="00B821B9">
              <w:rPr>
                <w:rFonts w:asciiTheme="minorHAnsi" w:eastAsiaTheme="minorHAnsi" w:hAnsiTheme="minorHAnsi" w:cstheme="minorHAnsi"/>
                <w:sz w:val="16"/>
                <w:szCs w:val="16"/>
              </w:rPr>
              <w:t>6</w:t>
            </w:r>
          </w:p>
          <w:p w:rsidR="009D011B" w:rsidRDefault="009D011B" w:rsidP="00B46211">
            <w:pPr>
              <w:autoSpaceDE w:val="0"/>
              <w:autoSpaceDN w:val="0"/>
              <w:adjustRightInd w:val="0"/>
              <w:spacing w:after="120" w:line="276" w:lineRule="auto"/>
              <w:rPr>
                <w:rFonts w:asciiTheme="minorHAnsi" w:eastAsiaTheme="minorHAnsi" w:hAnsiTheme="minorHAnsi" w:cstheme="minorHAnsi"/>
                <w:sz w:val="16"/>
                <w:szCs w:val="16"/>
              </w:rPr>
            </w:pPr>
          </w:p>
          <w:p w:rsidR="00B46211" w:rsidRPr="001C0147" w:rsidRDefault="00B46211" w:rsidP="00B46211">
            <w:pPr>
              <w:autoSpaceDE w:val="0"/>
              <w:autoSpaceDN w:val="0"/>
              <w:adjustRightInd w:val="0"/>
              <w:spacing w:after="120" w:line="276" w:lineRule="auto"/>
              <w:rPr>
                <w:rFonts w:asciiTheme="minorHAnsi" w:eastAsiaTheme="minorHAnsi" w:hAnsiTheme="minorHAnsi" w:cstheme="minorHAnsi"/>
                <w:sz w:val="16"/>
                <w:szCs w:val="16"/>
              </w:rPr>
            </w:pPr>
            <w:r w:rsidRPr="00B46211">
              <w:rPr>
                <w:rFonts w:asciiTheme="minorHAnsi" w:eastAsiaTheme="minorHAnsi" w:hAnsiTheme="minorHAnsi" w:cstheme="minorHAnsi"/>
                <w:sz w:val="16"/>
                <w:szCs w:val="16"/>
              </w:rPr>
              <w:t xml:space="preserve">This work is licensed under </w:t>
            </w:r>
            <w:r w:rsidRPr="001C0147">
              <w:rPr>
                <w:rFonts w:asciiTheme="minorHAnsi" w:eastAsiaTheme="minorHAnsi" w:hAnsiTheme="minorHAnsi" w:cstheme="minorHAnsi"/>
                <w:sz w:val="16"/>
                <w:szCs w:val="16"/>
              </w:rPr>
              <w:t xml:space="preserve">a </w:t>
            </w:r>
            <w:hyperlink r:id="rId14" w:history="1">
              <w:r w:rsidRPr="001C0147">
                <w:rPr>
                  <w:rStyle w:val="Hyperlink"/>
                  <w:rFonts w:asciiTheme="minorHAnsi" w:eastAsiaTheme="minorHAnsi" w:hAnsiTheme="minorHAnsi" w:cstheme="minorHAnsi"/>
                  <w:color w:val="auto"/>
                  <w:sz w:val="16"/>
                  <w:szCs w:val="16"/>
                  <w:u w:val="none"/>
                </w:rPr>
                <w:t>Creative Commons Attribution 4.0 International licence</w:t>
              </w:r>
            </w:hyperlink>
            <w:r w:rsidRPr="001C0147">
              <w:rPr>
                <w:rFonts w:asciiTheme="minorHAnsi" w:eastAsiaTheme="minorHAnsi" w:hAnsiTheme="minorHAnsi" w:cstheme="minorHAnsi"/>
                <w:sz w:val="16"/>
                <w:szCs w:val="16"/>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5" w:history="1">
              <w:r w:rsidRPr="001C0147">
                <w:rPr>
                  <w:rStyle w:val="Hyperlink"/>
                  <w:rFonts w:asciiTheme="minorHAnsi" w:eastAsiaTheme="minorHAnsi" w:hAnsiTheme="minorHAnsi" w:cstheme="minorHAnsi"/>
                  <w:color w:val="auto"/>
                  <w:sz w:val="16"/>
                  <w:szCs w:val="16"/>
                  <w:u w:val="none"/>
                </w:rPr>
                <w:t>http://creativecommons.org/licenses/by/4.0/</w:t>
              </w:r>
            </w:hyperlink>
          </w:p>
          <w:p w:rsidR="003569C4" w:rsidRDefault="00D01FF7" w:rsidP="009D011B">
            <w:pPr>
              <w:autoSpaceDE w:val="0"/>
              <w:autoSpaceDN w:val="0"/>
              <w:adjustRightInd w:val="0"/>
              <w:spacing w:after="60" w:line="360" w:lineRule="auto"/>
              <w:rPr>
                <w:rFonts w:asciiTheme="minorHAnsi" w:eastAsiaTheme="minorHAnsi" w:hAnsiTheme="minorHAnsi" w:cstheme="minorHAnsi"/>
                <w:sz w:val="16"/>
                <w:szCs w:val="16"/>
              </w:rPr>
            </w:pPr>
            <w:r>
              <w:rPr>
                <w:rFonts w:asciiTheme="minorHAnsi" w:eastAsiaTheme="minorHAnsi" w:hAnsiTheme="minorHAnsi" w:cstheme="minorHAnsi"/>
                <w:sz w:val="16"/>
                <w:szCs w:val="16"/>
              </w:rPr>
              <w:t>Printed by Impact Digital, Brunswick.</w:t>
            </w:r>
          </w:p>
          <w:p w:rsidR="00801C7E" w:rsidRDefault="003569C4" w:rsidP="003569C4">
            <w:pPr>
              <w:autoSpaceDE w:val="0"/>
              <w:autoSpaceDN w:val="0"/>
              <w:adjustRightInd w:val="0"/>
              <w:spacing w:after="60"/>
              <w:rPr>
                <w:rFonts w:asciiTheme="minorHAnsi" w:eastAsiaTheme="minorHAnsi" w:hAnsiTheme="minorHAnsi" w:cstheme="minorHAnsi"/>
                <w:sz w:val="16"/>
                <w:szCs w:val="16"/>
              </w:rPr>
            </w:pPr>
            <w:r w:rsidRPr="003569C4">
              <w:rPr>
                <w:rFonts w:asciiTheme="minorHAnsi" w:eastAsiaTheme="minorHAnsi" w:hAnsiTheme="minorHAnsi" w:cstheme="minorHAnsi"/>
                <w:bCs/>
                <w:sz w:val="16"/>
                <w:szCs w:val="16"/>
              </w:rPr>
              <w:t>ISBN 978-1-76047-167-5 (</w:t>
            </w:r>
            <w:r w:rsidR="007C7A32">
              <w:rPr>
                <w:rFonts w:asciiTheme="minorHAnsi" w:eastAsiaTheme="minorHAnsi" w:hAnsiTheme="minorHAnsi" w:cstheme="minorHAnsi"/>
                <w:bCs/>
                <w:sz w:val="16"/>
                <w:szCs w:val="16"/>
              </w:rPr>
              <w:t>p</w:t>
            </w:r>
            <w:r w:rsidRPr="003569C4">
              <w:rPr>
                <w:rFonts w:asciiTheme="minorHAnsi" w:eastAsiaTheme="minorHAnsi" w:hAnsiTheme="minorHAnsi" w:cstheme="minorHAnsi"/>
                <w:bCs/>
                <w:sz w:val="16"/>
                <w:szCs w:val="16"/>
              </w:rPr>
              <w:t>rint)</w:t>
            </w:r>
            <w:r>
              <w:rPr>
                <w:rFonts w:asciiTheme="minorHAnsi" w:eastAsiaTheme="minorHAnsi" w:hAnsiTheme="minorHAnsi" w:cstheme="minorHAnsi"/>
                <w:bCs/>
                <w:sz w:val="16"/>
                <w:szCs w:val="16"/>
              </w:rPr>
              <w:br/>
            </w:r>
            <w:r w:rsidR="00485FF4" w:rsidRPr="00485FF4">
              <w:rPr>
                <w:rFonts w:asciiTheme="minorHAnsi" w:eastAsiaTheme="minorHAnsi" w:hAnsiTheme="minorHAnsi" w:cstheme="minorHAnsi"/>
                <w:sz w:val="16"/>
                <w:szCs w:val="16"/>
              </w:rPr>
              <w:t>ISBN 978-1-76047-144-6 (pdf/online)</w:t>
            </w:r>
          </w:p>
          <w:p w:rsidR="003569C4" w:rsidRDefault="003569C4" w:rsidP="003569C4">
            <w:pPr>
              <w:autoSpaceDE w:val="0"/>
              <w:autoSpaceDN w:val="0"/>
              <w:adjustRightInd w:val="0"/>
              <w:spacing w:after="60"/>
              <w:rPr>
                <w:rFonts w:asciiTheme="minorHAnsi" w:eastAsiaTheme="minorHAnsi" w:hAnsiTheme="minorHAnsi" w:cstheme="minorHAnsi"/>
                <w:sz w:val="16"/>
                <w:szCs w:val="16"/>
              </w:rPr>
            </w:pPr>
          </w:p>
          <w:p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rsidR="00A74AEE" w:rsidRDefault="00281AEE" w:rsidP="00281AEE">
            <w:pPr>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9D011B" w:rsidRDefault="009D011B" w:rsidP="00281AEE">
            <w:pPr>
              <w:rPr>
                <w:rFonts w:asciiTheme="minorHAnsi" w:eastAsia="Calibri" w:hAnsiTheme="minorHAnsi" w:cstheme="minorHAnsi"/>
                <w:color w:val="000000"/>
                <w:sz w:val="16"/>
                <w:szCs w:val="16"/>
              </w:rPr>
            </w:pPr>
          </w:p>
          <w:p w:rsidR="001C0147" w:rsidRDefault="001C0147" w:rsidP="001C0147">
            <w:pPr>
              <w:pStyle w:val="ImprintText"/>
              <w:rPr>
                <w:sz w:val="28"/>
                <w:szCs w:val="28"/>
              </w:rPr>
            </w:pPr>
            <w:r w:rsidRPr="00750DFC">
              <w:rPr>
                <w:b/>
                <w:bCs/>
                <w:sz w:val="28"/>
                <w:szCs w:val="28"/>
              </w:rPr>
              <w:t>Accessibility</w:t>
            </w:r>
          </w:p>
          <w:p w:rsidR="001C0147" w:rsidRPr="009730D5" w:rsidRDefault="001C0147" w:rsidP="007F7CF6">
            <w:pPr>
              <w:rPr>
                <w:sz w:val="14"/>
                <w:szCs w:val="14"/>
              </w:rPr>
            </w:pPr>
            <w:r w:rsidRPr="00BE2F5F">
              <w:rPr>
                <w:sz w:val="28"/>
                <w:szCs w:val="28"/>
              </w:rPr>
              <w:t xml:space="preserve">If you would like to receive this publication in an alternative format, please telephone DELWP Customer Service Centre 136 186, email </w:t>
            </w:r>
            <w:hyperlink r:id="rId16" w:history="1">
              <w:r w:rsidRPr="00BE2F5F">
                <w:rPr>
                  <w:sz w:val="28"/>
                  <w:szCs w:val="28"/>
                </w:rPr>
                <w:t>customer.service@delwp.vic.gov.au</w:t>
              </w:r>
            </w:hyperlink>
            <w:r w:rsidRPr="00BE2F5F">
              <w:rPr>
                <w:sz w:val="28"/>
                <w:szCs w:val="28"/>
              </w:rPr>
              <w:t xml:space="preserve">, via the National Relay Service on 133 677 </w:t>
            </w:r>
            <w:hyperlink r:id="rId17" w:history="1">
              <w:r w:rsidRPr="00BE2F5F">
                <w:rPr>
                  <w:sz w:val="28"/>
                  <w:szCs w:val="28"/>
                </w:rPr>
                <w:t>www.relayservice.com.au</w:t>
              </w:r>
            </w:hyperlink>
            <w:r w:rsidRPr="00BE2F5F">
              <w:rPr>
                <w:sz w:val="28"/>
                <w:szCs w:val="28"/>
              </w:rPr>
              <w:t xml:space="preserve">. This document is also available on the internet at </w:t>
            </w:r>
            <w:hyperlink r:id="rId18" w:history="1">
              <w:r w:rsidRPr="00BE2F5F">
                <w:rPr>
                  <w:sz w:val="28"/>
                  <w:szCs w:val="28"/>
                </w:rPr>
                <w:t>www.delwp.vic.gov.au</w:t>
              </w:r>
            </w:hyperlink>
          </w:p>
        </w:tc>
      </w:tr>
    </w:tbl>
    <w:p w:rsidR="004536DF" w:rsidRDefault="004536DF" w:rsidP="004536DF"/>
    <w:p w:rsidR="00422EA7" w:rsidRDefault="00422EA7" w:rsidP="004536DF">
      <w:pPr>
        <w:pStyle w:val="TOCTitle"/>
        <w:sectPr w:rsidR="00422EA7" w:rsidSect="00A74AEE">
          <w:headerReference w:type="default" r:id="rId19"/>
          <w:footerReference w:type="default" r:id="rId20"/>
          <w:type w:val="continuous"/>
          <w:pgSz w:w="11907" w:h="16840" w:code="9"/>
          <w:pgMar w:top="1134" w:right="1134" w:bottom="425" w:left="1134" w:header="709" w:footer="567" w:gutter="0"/>
          <w:pgNumType w:start="1"/>
          <w:cols w:space="708"/>
          <w:formProt w:val="0"/>
          <w:titlePg/>
          <w:docGrid w:linePitch="360"/>
        </w:sectPr>
      </w:pPr>
    </w:p>
    <w:p w:rsidR="00E66E62" w:rsidRDefault="00E66E62">
      <w:pPr>
        <w:rPr>
          <w:rFonts w:cs="Arial"/>
          <w:color w:val="228591"/>
          <w:sz w:val="40"/>
          <w:lang w:val="en-US"/>
        </w:rPr>
      </w:pPr>
      <w:r>
        <w:lastRenderedPageBreak/>
        <w:br w:type="page"/>
      </w:r>
    </w:p>
    <w:p w:rsidR="004578FA" w:rsidRPr="003442F7" w:rsidRDefault="004578FA" w:rsidP="004536DF">
      <w:pPr>
        <w:pStyle w:val="TOCTitle"/>
      </w:pPr>
      <w:r w:rsidRPr="00040071">
        <w:lastRenderedPageBreak/>
        <w:t>C</w:t>
      </w:r>
      <w:r w:rsidR="00B025B6" w:rsidRPr="00040071">
        <w:t>ontents</w:t>
      </w:r>
    </w:p>
    <w:p w:rsidR="00D7453D" w:rsidRPr="005D1F57" w:rsidRDefault="00D7453D" w:rsidP="004E3EA7">
      <w:pPr>
        <w:pStyle w:val="HC"/>
        <w:ind w:left="9360" w:hanging="9360"/>
        <w:jc w:val="both"/>
        <w:rPr>
          <w:b w:val="0"/>
          <w:noProof/>
          <w:sz w:val="22"/>
        </w:rPr>
      </w:pPr>
      <w:r w:rsidRPr="005D1F57">
        <w:rPr>
          <w:b w:val="0"/>
          <w:noProof/>
          <w:sz w:val="22"/>
        </w:rPr>
        <w:t>List of Figures</w:t>
      </w:r>
      <w:r w:rsidR="005B6C08" w:rsidRPr="005D1F57">
        <w:rPr>
          <w:b w:val="0"/>
          <w:noProof/>
          <w:sz w:val="22"/>
        </w:rPr>
        <w:tab/>
      </w:r>
      <w:r w:rsidR="00FE2DB9">
        <w:rPr>
          <w:b w:val="0"/>
          <w:noProof/>
          <w:sz w:val="22"/>
        </w:rPr>
        <w:t xml:space="preserve"> </w:t>
      </w:r>
      <w:r w:rsidR="004E3EA7" w:rsidRPr="005D1F57">
        <w:rPr>
          <w:b w:val="0"/>
          <w:noProof/>
          <w:sz w:val="22"/>
        </w:rPr>
        <w:t>ii</w:t>
      </w:r>
      <w:r w:rsidR="00F71E9A">
        <w:rPr>
          <w:b w:val="0"/>
          <w:noProof/>
          <w:sz w:val="22"/>
        </w:rPr>
        <w:t>i</w:t>
      </w:r>
    </w:p>
    <w:p w:rsidR="00D7453D" w:rsidRPr="005D1F57" w:rsidRDefault="00D7453D" w:rsidP="005B6C08">
      <w:pPr>
        <w:pStyle w:val="HC"/>
        <w:ind w:left="9360" w:hanging="9360"/>
        <w:rPr>
          <w:b w:val="0"/>
          <w:noProof/>
          <w:sz w:val="22"/>
        </w:rPr>
      </w:pPr>
      <w:r w:rsidRPr="005D1F57">
        <w:rPr>
          <w:b w:val="0"/>
          <w:noProof/>
          <w:sz w:val="22"/>
        </w:rPr>
        <w:t>List of Tables</w:t>
      </w:r>
      <w:r w:rsidR="005B6C08" w:rsidRPr="005D1F57">
        <w:rPr>
          <w:b w:val="0"/>
          <w:noProof/>
          <w:sz w:val="22"/>
        </w:rPr>
        <w:tab/>
      </w:r>
      <w:r w:rsidR="00FE2DB9">
        <w:rPr>
          <w:b w:val="0"/>
          <w:noProof/>
          <w:sz w:val="22"/>
        </w:rPr>
        <w:t xml:space="preserve"> </w:t>
      </w:r>
      <w:r w:rsidR="00223F32" w:rsidRPr="005D1F57">
        <w:rPr>
          <w:b w:val="0"/>
          <w:noProof/>
          <w:sz w:val="22"/>
        </w:rPr>
        <w:t>i</w:t>
      </w:r>
      <w:r w:rsidR="004E3EA7" w:rsidRPr="005D1F57">
        <w:rPr>
          <w:b w:val="0"/>
          <w:noProof/>
          <w:sz w:val="22"/>
        </w:rPr>
        <w:t>i</w:t>
      </w:r>
      <w:r w:rsidR="00F71E9A">
        <w:rPr>
          <w:b w:val="0"/>
          <w:noProof/>
          <w:sz w:val="22"/>
        </w:rPr>
        <w:t>i</w:t>
      </w:r>
    </w:p>
    <w:p w:rsidR="00F50ECA" w:rsidRDefault="00097103" w:rsidP="005B6C08">
      <w:pPr>
        <w:pStyle w:val="HC"/>
        <w:ind w:left="9360" w:hanging="9360"/>
        <w:rPr>
          <w:b w:val="0"/>
          <w:noProof/>
          <w:sz w:val="22"/>
        </w:rPr>
      </w:pPr>
      <w:r w:rsidRPr="005D1F57">
        <w:rPr>
          <w:b w:val="0"/>
          <w:noProof/>
          <w:sz w:val="22"/>
        </w:rPr>
        <w:t>Summary of Key Findings</w:t>
      </w:r>
      <w:r w:rsidR="005B6C08" w:rsidRPr="005D1F57">
        <w:rPr>
          <w:b w:val="0"/>
          <w:noProof/>
          <w:sz w:val="22"/>
        </w:rPr>
        <w:tab/>
      </w:r>
      <w:r w:rsidR="00801C7E">
        <w:rPr>
          <w:b w:val="0"/>
          <w:noProof/>
          <w:sz w:val="22"/>
        </w:rPr>
        <w:t xml:space="preserve"> </w:t>
      </w:r>
      <w:r w:rsidR="004E3EA7" w:rsidRPr="005D1F57">
        <w:rPr>
          <w:b w:val="0"/>
          <w:noProof/>
          <w:sz w:val="22"/>
        </w:rPr>
        <w:t>i</w:t>
      </w:r>
      <w:r w:rsidR="00F71E9A">
        <w:rPr>
          <w:b w:val="0"/>
          <w:noProof/>
          <w:sz w:val="22"/>
        </w:rPr>
        <w:t>v</w:t>
      </w:r>
    </w:p>
    <w:p w:rsidR="002F5B92" w:rsidRPr="002F5B92" w:rsidRDefault="002F5B92" w:rsidP="002F5B92"/>
    <w:p w:rsidR="00507F90" w:rsidRDefault="00902037" w:rsidP="005D1F57">
      <w:pPr>
        <w:pStyle w:val="TOC1"/>
      </w:pPr>
      <w:r>
        <w:rPr>
          <w:bCs/>
          <w:lang w:val="en-AU"/>
        </w:rPr>
        <w:t xml:space="preserve">1 </w:t>
      </w:r>
      <w:r w:rsidR="00D7453D" w:rsidRPr="00D7453D">
        <w:rPr>
          <w:bCs/>
          <w:lang w:val="en-AU"/>
        </w:rPr>
        <w:t>Introduction</w:t>
      </w:r>
      <w:r w:rsidR="00D7453D" w:rsidRPr="00D7453D">
        <w:rPr>
          <w:lang w:val="en-AU"/>
        </w:rPr>
        <w:t xml:space="preserve"> </w:t>
      </w:r>
      <w:r w:rsidR="00A15796">
        <w:fldChar w:fldCharType="begin"/>
      </w:r>
      <w:r w:rsidR="00801A56">
        <w:instrText xml:space="preserve"> TOC \h \z \t "_HA,1,</w:instrText>
      </w:r>
      <w:r w:rsidR="00A15796">
        <w:instrText xml:space="preserve">_HB,2" </w:instrText>
      </w:r>
      <w:r w:rsidR="00A15796">
        <w:fldChar w:fldCharType="separate"/>
      </w:r>
      <w:r w:rsidR="004E3EA7">
        <w:tab/>
        <w:t>1</w:t>
      </w:r>
      <w:r w:rsidR="00A15796">
        <w:fldChar w:fldCharType="end"/>
      </w:r>
    </w:p>
    <w:p w:rsidR="00D7453D" w:rsidRPr="00B06452" w:rsidRDefault="005D1F57" w:rsidP="00D7453D">
      <w:pPr>
        <w:pStyle w:val="TOC1"/>
      </w:pPr>
      <w:r>
        <w:t>2</w:t>
      </w:r>
      <w:r w:rsidR="00902037">
        <w:t xml:space="preserve"> </w:t>
      </w:r>
      <w:r>
        <w:t>The Bendigo Survey</w:t>
      </w:r>
      <w:r w:rsidR="00D7453D">
        <w:fldChar w:fldCharType="begin"/>
      </w:r>
      <w:r w:rsidR="00D7453D">
        <w:instrText xml:space="preserve"> TOC \h \z \t "_HA,1,_HB,2" </w:instrText>
      </w:r>
      <w:r w:rsidR="00D7453D">
        <w:fldChar w:fldCharType="separate"/>
      </w:r>
      <w:hyperlink w:anchor="_Toc358825451" w:history="1">
        <w:r w:rsidR="00D7453D" w:rsidRPr="00B06452">
          <w:rPr>
            <w:webHidden/>
          </w:rPr>
          <w:tab/>
        </w:r>
        <w:r w:rsidR="00E85945">
          <w:rPr>
            <w:webHidden/>
          </w:rPr>
          <w:t>3</w:t>
        </w:r>
      </w:hyperlink>
    </w:p>
    <w:p w:rsidR="00D7453D" w:rsidRPr="00014002" w:rsidRDefault="005D1F57" w:rsidP="00536BA8">
      <w:pPr>
        <w:pStyle w:val="TOC2"/>
        <w:rPr>
          <w:szCs w:val="22"/>
          <w:lang w:eastAsia="en-AU"/>
        </w:rPr>
      </w:pPr>
      <w:r>
        <w:t>2.</w:t>
      </w:r>
      <w:r w:rsidR="00902037">
        <w:t xml:space="preserve">1 </w:t>
      </w:r>
      <w:r w:rsidR="00D7453D">
        <w:t xml:space="preserve">The </w:t>
      </w:r>
      <w:r>
        <w:t>project</w:t>
      </w:r>
      <w:r w:rsidR="00E85945">
        <w:tab/>
        <w:t>3</w:t>
      </w:r>
    </w:p>
    <w:p w:rsidR="00D7453D" w:rsidRPr="00014002" w:rsidRDefault="005D1F57" w:rsidP="00536BA8">
      <w:pPr>
        <w:pStyle w:val="TOC2"/>
        <w:rPr>
          <w:szCs w:val="22"/>
          <w:lang w:eastAsia="en-AU"/>
        </w:rPr>
      </w:pPr>
      <w:r>
        <w:t>2.</w:t>
      </w:r>
      <w:r w:rsidR="00902037">
        <w:t xml:space="preserve">2 </w:t>
      </w:r>
      <w:r>
        <w:t>Research method</w:t>
      </w:r>
      <w:r w:rsidR="00E85945">
        <w:tab/>
        <w:t>3</w:t>
      </w:r>
    </w:p>
    <w:p w:rsidR="00D7453D" w:rsidRDefault="005D1F57" w:rsidP="00536BA8">
      <w:pPr>
        <w:pStyle w:val="TOC2"/>
        <w:rPr>
          <w:lang w:val="en-US"/>
        </w:rPr>
      </w:pPr>
      <w:r>
        <w:t>2.</w:t>
      </w:r>
      <w:r w:rsidR="00902037">
        <w:t xml:space="preserve">3 </w:t>
      </w:r>
      <w:r w:rsidR="00F71E9A">
        <w:t xml:space="preserve">Sample </w:t>
      </w:r>
      <w:r>
        <w:t>characteristics</w:t>
      </w:r>
      <w:r w:rsidR="00D7453D">
        <w:rPr>
          <w:lang w:val="en-US"/>
        </w:rPr>
        <w:fldChar w:fldCharType="end"/>
      </w:r>
      <w:r w:rsidR="00E85945">
        <w:rPr>
          <w:lang w:val="en-US"/>
        </w:rPr>
        <w:tab/>
        <w:t>3</w:t>
      </w:r>
    </w:p>
    <w:p w:rsidR="00D7453D" w:rsidRPr="00D7453D" w:rsidRDefault="005D1F57" w:rsidP="00D7453D">
      <w:pPr>
        <w:pStyle w:val="TOC1"/>
      </w:pPr>
      <w:r>
        <w:t>3</w:t>
      </w:r>
      <w:r w:rsidR="00902037">
        <w:t xml:space="preserve"> </w:t>
      </w:r>
      <w:r>
        <w:t>Survey Findings</w:t>
      </w:r>
      <w:r w:rsidR="00D7453D">
        <w:fldChar w:fldCharType="begin"/>
      </w:r>
      <w:r w:rsidR="00D7453D">
        <w:instrText xml:space="preserve"> TOC \h \z \t "_HA,1,_HB,2" </w:instrText>
      </w:r>
      <w:r w:rsidR="00D7453D">
        <w:fldChar w:fldCharType="separate"/>
      </w:r>
      <w:hyperlink w:anchor="_Toc358825451" w:history="1">
        <w:r w:rsidR="00D7453D" w:rsidRPr="00D7453D">
          <w:rPr>
            <w:webHidden/>
          </w:rPr>
          <w:tab/>
        </w:r>
        <w:r w:rsidR="0098223D">
          <w:rPr>
            <w:webHidden/>
          </w:rPr>
          <w:t>5</w:t>
        </w:r>
      </w:hyperlink>
    </w:p>
    <w:p w:rsidR="005D1F57" w:rsidRPr="00014002" w:rsidRDefault="00D7453D" w:rsidP="005D1F57">
      <w:pPr>
        <w:pStyle w:val="TOC2"/>
        <w:rPr>
          <w:szCs w:val="22"/>
          <w:lang w:eastAsia="en-AU"/>
        </w:rPr>
      </w:pPr>
      <w:r>
        <w:rPr>
          <w:lang w:val="en-US"/>
        </w:rPr>
        <w:fldChar w:fldCharType="end"/>
      </w:r>
      <w:r w:rsidR="005D1F57">
        <w:rPr>
          <w:lang w:val="en-US"/>
        </w:rPr>
        <w:t>3</w:t>
      </w:r>
      <w:r w:rsidR="005D1F57">
        <w:t xml:space="preserve">.1 </w:t>
      </w:r>
      <w:r w:rsidR="005D1F57" w:rsidRPr="00F50ECA">
        <w:t>Locational backgrounds of the respondents</w:t>
      </w:r>
      <w:r w:rsidR="005D1F57">
        <w:tab/>
      </w:r>
      <w:r w:rsidR="0098223D">
        <w:t>5</w:t>
      </w:r>
    </w:p>
    <w:p w:rsidR="005D1F57" w:rsidRPr="00014002" w:rsidRDefault="005D1F57" w:rsidP="005D1F57">
      <w:pPr>
        <w:pStyle w:val="TOC2"/>
        <w:rPr>
          <w:szCs w:val="22"/>
          <w:lang w:eastAsia="en-AU"/>
        </w:rPr>
      </w:pPr>
      <w:r>
        <w:t xml:space="preserve">3.2 </w:t>
      </w:r>
      <w:r w:rsidRPr="00F50ECA">
        <w:t xml:space="preserve">Locational </w:t>
      </w:r>
      <w:r>
        <w:t xml:space="preserve">histories </w:t>
      </w:r>
      <w:r w:rsidRPr="00F50ECA">
        <w:t>of the respondents</w:t>
      </w:r>
      <w:r>
        <w:tab/>
      </w:r>
      <w:r w:rsidR="0098223D">
        <w:t>5</w:t>
      </w:r>
    </w:p>
    <w:p w:rsidR="005D1F57" w:rsidRPr="00014002" w:rsidRDefault="005D1F57" w:rsidP="005D1F57">
      <w:pPr>
        <w:pStyle w:val="TOC2"/>
        <w:rPr>
          <w:szCs w:val="22"/>
          <w:lang w:eastAsia="en-AU"/>
        </w:rPr>
      </w:pPr>
      <w:r>
        <w:t>3.3 Workplace role and l</w:t>
      </w:r>
      <w:r w:rsidRPr="00F50ECA">
        <w:t>ocational background</w:t>
      </w:r>
      <w:r>
        <w:tab/>
      </w:r>
      <w:r w:rsidR="0098223D">
        <w:t>8</w:t>
      </w:r>
    </w:p>
    <w:p w:rsidR="005D1F57" w:rsidRDefault="005D1F57" w:rsidP="005D1F57">
      <w:pPr>
        <w:pStyle w:val="TOC2"/>
      </w:pPr>
      <w:r>
        <w:t>3.4 Reasons for moving to Bendigo</w:t>
      </w:r>
      <w:r>
        <w:tab/>
      </w:r>
      <w:r w:rsidR="0098223D">
        <w:t>8</w:t>
      </w:r>
    </w:p>
    <w:p w:rsidR="005D1F57" w:rsidRPr="00014002" w:rsidRDefault="005D1F57" w:rsidP="005D1F57">
      <w:pPr>
        <w:pStyle w:val="TOC2"/>
        <w:rPr>
          <w:szCs w:val="22"/>
          <w:lang w:eastAsia="en-AU"/>
        </w:rPr>
      </w:pPr>
      <w:r>
        <w:t xml:space="preserve">3.5 </w:t>
      </w:r>
      <w:r w:rsidRPr="00F50ECA">
        <w:t>Reported advantages of living in Bendigo</w:t>
      </w:r>
      <w:r>
        <w:tab/>
      </w:r>
      <w:r w:rsidR="0098223D">
        <w:t>10</w:t>
      </w:r>
    </w:p>
    <w:p w:rsidR="005D1F57" w:rsidRPr="00014002" w:rsidRDefault="005D1F57" w:rsidP="005D1F57">
      <w:pPr>
        <w:pStyle w:val="TOC2"/>
        <w:rPr>
          <w:szCs w:val="22"/>
          <w:lang w:eastAsia="en-AU"/>
        </w:rPr>
      </w:pPr>
      <w:r>
        <w:t xml:space="preserve">3.6 </w:t>
      </w:r>
      <w:r w:rsidRPr="00F50ECA">
        <w:t xml:space="preserve">Reported </w:t>
      </w:r>
      <w:r>
        <w:t>dis</w:t>
      </w:r>
      <w:r w:rsidRPr="00F50ECA">
        <w:t>advantages of living in Bendigo</w:t>
      </w:r>
      <w:r>
        <w:tab/>
      </w:r>
      <w:r w:rsidR="0098223D">
        <w:t>11</w:t>
      </w:r>
    </w:p>
    <w:p w:rsidR="005D1F57" w:rsidRPr="00014002" w:rsidRDefault="005D1F57" w:rsidP="005D1F57">
      <w:pPr>
        <w:pStyle w:val="TOC2"/>
        <w:rPr>
          <w:szCs w:val="22"/>
          <w:lang w:eastAsia="en-AU"/>
        </w:rPr>
      </w:pPr>
      <w:r>
        <w:t>3.7 Future migration intentions</w:t>
      </w:r>
      <w:r>
        <w:tab/>
      </w:r>
      <w:r w:rsidR="0098223D">
        <w:t>12</w:t>
      </w:r>
    </w:p>
    <w:p w:rsidR="0098223D" w:rsidRPr="00D7453D" w:rsidRDefault="0098223D" w:rsidP="0098223D">
      <w:pPr>
        <w:pStyle w:val="TOC1"/>
      </w:pPr>
      <w:r>
        <w:t>4 Policy Implications</w:t>
      </w:r>
      <w:r>
        <w:fldChar w:fldCharType="begin"/>
      </w:r>
      <w:r>
        <w:instrText xml:space="preserve"> TOC \h \z \t "_HA,1,_HB,2" </w:instrText>
      </w:r>
      <w:r>
        <w:fldChar w:fldCharType="separate"/>
      </w:r>
      <w:hyperlink w:anchor="_Toc358825451" w:history="1">
        <w:r w:rsidRPr="00D7453D">
          <w:rPr>
            <w:webHidden/>
          </w:rPr>
          <w:tab/>
        </w:r>
        <w:r>
          <w:rPr>
            <w:webHidden/>
          </w:rPr>
          <w:t>15</w:t>
        </w:r>
      </w:hyperlink>
    </w:p>
    <w:p w:rsidR="005D1F57" w:rsidRPr="005D1F57" w:rsidRDefault="0098223D" w:rsidP="0098223D">
      <w:r>
        <w:rPr>
          <w:lang w:val="en-US"/>
        </w:rPr>
        <w:fldChar w:fldCharType="end"/>
      </w:r>
    </w:p>
    <w:p w:rsidR="0098223D" w:rsidRPr="005D1F57" w:rsidRDefault="0098223D" w:rsidP="0098223D">
      <w:pPr>
        <w:pStyle w:val="HC"/>
        <w:ind w:left="9360" w:hanging="9360"/>
        <w:jc w:val="both"/>
        <w:rPr>
          <w:b w:val="0"/>
          <w:noProof/>
          <w:sz w:val="22"/>
        </w:rPr>
      </w:pPr>
      <w:r>
        <w:rPr>
          <w:b w:val="0"/>
          <w:noProof/>
          <w:sz w:val="22"/>
        </w:rPr>
        <w:t>References</w:t>
      </w:r>
      <w:r w:rsidRPr="005D1F57">
        <w:rPr>
          <w:b w:val="0"/>
          <w:noProof/>
          <w:sz w:val="22"/>
        </w:rPr>
        <w:tab/>
      </w:r>
      <w:r>
        <w:rPr>
          <w:b w:val="0"/>
          <w:noProof/>
          <w:sz w:val="22"/>
        </w:rPr>
        <w:t xml:space="preserve"> 16</w:t>
      </w:r>
    </w:p>
    <w:p w:rsidR="0098223D" w:rsidRPr="005D1F57" w:rsidRDefault="0098223D" w:rsidP="0098223D">
      <w:pPr>
        <w:pStyle w:val="HC"/>
        <w:ind w:left="9360" w:hanging="9360"/>
        <w:rPr>
          <w:b w:val="0"/>
          <w:noProof/>
          <w:sz w:val="22"/>
        </w:rPr>
      </w:pPr>
      <w:r>
        <w:rPr>
          <w:b w:val="0"/>
          <w:noProof/>
          <w:sz w:val="22"/>
        </w:rPr>
        <w:t xml:space="preserve">Appendix: Detailed </w:t>
      </w:r>
      <w:r w:rsidR="005F178A">
        <w:rPr>
          <w:b w:val="0"/>
          <w:noProof/>
          <w:sz w:val="22"/>
        </w:rPr>
        <w:t>Survey Results</w:t>
      </w:r>
      <w:r w:rsidRPr="005D1F57">
        <w:rPr>
          <w:b w:val="0"/>
          <w:noProof/>
          <w:sz w:val="22"/>
        </w:rPr>
        <w:tab/>
        <w:t xml:space="preserve"> </w:t>
      </w:r>
      <w:r w:rsidR="005F178A">
        <w:rPr>
          <w:b w:val="0"/>
          <w:noProof/>
          <w:sz w:val="22"/>
        </w:rPr>
        <w:t>1</w:t>
      </w:r>
      <w:r w:rsidR="00F708C3">
        <w:rPr>
          <w:b w:val="0"/>
          <w:noProof/>
          <w:sz w:val="22"/>
        </w:rPr>
        <w:t>7</w:t>
      </w:r>
    </w:p>
    <w:p w:rsidR="005D1F57" w:rsidRDefault="005D1F57" w:rsidP="005D1F57">
      <w:pPr>
        <w:spacing w:after="120"/>
        <w:ind w:right="-188"/>
      </w:pPr>
    </w:p>
    <w:p w:rsidR="005D1F57" w:rsidRPr="005D1F57" w:rsidRDefault="005D1F57" w:rsidP="005D1F57"/>
    <w:p w:rsidR="00536BA8" w:rsidRDefault="00536BA8">
      <w:pPr>
        <w:rPr>
          <w:lang w:val="en-US"/>
        </w:rPr>
      </w:pPr>
      <w:r>
        <w:rPr>
          <w:lang w:val="en-US"/>
        </w:rPr>
        <w:br w:type="page"/>
      </w:r>
    </w:p>
    <w:p w:rsidR="00536BA8" w:rsidRPr="003442F7" w:rsidRDefault="00536BA8" w:rsidP="00536BA8">
      <w:pPr>
        <w:pStyle w:val="TOCTitle"/>
      </w:pPr>
      <w:r>
        <w:lastRenderedPageBreak/>
        <w:t>List of Figures</w:t>
      </w:r>
    </w:p>
    <w:p w:rsidR="005D1F57" w:rsidRPr="005D1F57" w:rsidRDefault="005D1F57" w:rsidP="000D7D7C">
      <w:pPr>
        <w:pStyle w:val="Tabletitle0"/>
        <w:tabs>
          <w:tab w:val="left" w:pos="9214"/>
        </w:tabs>
        <w:ind w:left="284" w:hanging="284"/>
        <w:rPr>
          <w:b w:val="0"/>
          <w:color w:val="auto"/>
        </w:rPr>
      </w:pPr>
      <w:r w:rsidRPr="005D1F57">
        <w:rPr>
          <w:b w:val="0"/>
          <w:color w:val="auto"/>
        </w:rPr>
        <w:t>1</w:t>
      </w:r>
      <w:r w:rsidRPr="005D1F57">
        <w:rPr>
          <w:b w:val="0"/>
          <w:color w:val="auto"/>
        </w:rPr>
        <w:tab/>
        <w:t>Age profile of respondents from survey samples (2015) and for the LGA of Bendigo (2011)</w:t>
      </w:r>
      <w:r w:rsidRPr="005D1F57">
        <w:rPr>
          <w:b w:val="0"/>
          <w:color w:val="auto"/>
        </w:rPr>
        <w:tab/>
      </w:r>
      <w:r w:rsidR="000D7D7C">
        <w:rPr>
          <w:b w:val="0"/>
          <w:color w:val="auto"/>
        </w:rPr>
        <w:t>4</w:t>
      </w:r>
    </w:p>
    <w:p w:rsidR="005D1F57" w:rsidRPr="005D1F57" w:rsidRDefault="005D1F57" w:rsidP="000D7D7C">
      <w:pPr>
        <w:pStyle w:val="Tabletitle0"/>
        <w:tabs>
          <w:tab w:val="left" w:pos="9214"/>
        </w:tabs>
        <w:ind w:left="284" w:hanging="284"/>
        <w:rPr>
          <w:b w:val="0"/>
          <w:color w:val="auto"/>
        </w:rPr>
      </w:pPr>
      <w:r w:rsidRPr="005D1F57">
        <w:rPr>
          <w:b w:val="0"/>
          <w:color w:val="auto"/>
        </w:rPr>
        <w:t>2</w:t>
      </w:r>
      <w:r w:rsidRPr="005D1F57">
        <w:rPr>
          <w:b w:val="0"/>
          <w:color w:val="auto"/>
        </w:rPr>
        <w:tab/>
        <w:t>Locations of respondents at key life stages, combined Bendigo sample</w:t>
      </w:r>
      <w:r w:rsidRPr="005D1F57">
        <w:rPr>
          <w:b w:val="0"/>
          <w:color w:val="auto"/>
        </w:rPr>
        <w:tab/>
      </w:r>
      <w:r w:rsidR="000D7D7C">
        <w:rPr>
          <w:b w:val="0"/>
          <w:color w:val="auto"/>
        </w:rPr>
        <w:t>6</w:t>
      </w:r>
    </w:p>
    <w:p w:rsidR="005D1F57" w:rsidRPr="005D1F57" w:rsidRDefault="005D1F57" w:rsidP="000D7D7C">
      <w:pPr>
        <w:pStyle w:val="Tabletitle0"/>
        <w:tabs>
          <w:tab w:val="left" w:pos="9214"/>
        </w:tabs>
        <w:ind w:left="284" w:hanging="284"/>
        <w:rPr>
          <w:b w:val="0"/>
          <w:color w:val="auto"/>
        </w:rPr>
      </w:pPr>
      <w:r w:rsidRPr="005D1F57">
        <w:rPr>
          <w:b w:val="0"/>
          <w:color w:val="auto"/>
        </w:rPr>
        <w:t>3</w:t>
      </w:r>
      <w:r w:rsidRPr="005D1F57">
        <w:rPr>
          <w:b w:val="0"/>
          <w:color w:val="auto"/>
        </w:rPr>
        <w:tab/>
        <w:t>Simplified migration histories, Bank, Hospital and Council samples</w:t>
      </w:r>
      <w:r w:rsidRPr="005D1F57">
        <w:rPr>
          <w:b w:val="0"/>
          <w:color w:val="auto"/>
        </w:rPr>
        <w:tab/>
      </w:r>
      <w:r w:rsidR="000D7D7C">
        <w:rPr>
          <w:b w:val="0"/>
          <w:color w:val="auto"/>
        </w:rPr>
        <w:t>7</w:t>
      </w:r>
    </w:p>
    <w:p w:rsidR="005D1F57" w:rsidRPr="005D1F57" w:rsidRDefault="005D1F57" w:rsidP="000D7D7C">
      <w:pPr>
        <w:pStyle w:val="TableTitle"/>
        <w:tabs>
          <w:tab w:val="left" w:pos="9214"/>
        </w:tabs>
        <w:ind w:left="284" w:hanging="284"/>
        <w:rPr>
          <w:b w:val="0"/>
          <w:color w:val="auto"/>
        </w:rPr>
      </w:pPr>
      <w:r w:rsidRPr="005D1F57">
        <w:rPr>
          <w:b w:val="0"/>
          <w:color w:val="auto"/>
        </w:rPr>
        <w:t>4</w:t>
      </w:r>
      <w:r w:rsidRPr="005D1F57">
        <w:rPr>
          <w:b w:val="0"/>
          <w:color w:val="auto"/>
        </w:rPr>
        <w:tab/>
        <w:t xml:space="preserve">Location while obtaining highest educational qualification for those holding a </w:t>
      </w:r>
      <w:r w:rsidRPr="005D1F57">
        <w:rPr>
          <w:b w:val="0"/>
          <w:color w:val="auto"/>
        </w:rPr>
        <w:br/>
        <w:t>management role, Bank, Hospital and Council samples</w:t>
      </w:r>
      <w:r w:rsidRPr="005D1F57">
        <w:rPr>
          <w:b w:val="0"/>
          <w:color w:val="auto"/>
        </w:rPr>
        <w:tab/>
      </w:r>
      <w:r w:rsidR="000D7D7C">
        <w:rPr>
          <w:b w:val="0"/>
          <w:color w:val="auto"/>
        </w:rPr>
        <w:t>8</w:t>
      </w:r>
    </w:p>
    <w:p w:rsidR="005D1F57" w:rsidRPr="005D1F57" w:rsidRDefault="005D1F57" w:rsidP="000D7D7C">
      <w:pPr>
        <w:pStyle w:val="TableTitle"/>
        <w:tabs>
          <w:tab w:val="left" w:pos="9214"/>
        </w:tabs>
        <w:spacing w:line="240" w:lineRule="auto"/>
        <w:ind w:left="284" w:hanging="284"/>
        <w:rPr>
          <w:b w:val="0"/>
          <w:color w:val="auto"/>
        </w:rPr>
      </w:pPr>
      <w:r w:rsidRPr="005D1F57">
        <w:rPr>
          <w:b w:val="0"/>
          <w:color w:val="auto"/>
        </w:rPr>
        <w:t>5</w:t>
      </w:r>
      <w:r w:rsidRPr="005D1F57">
        <w:rPr>
          <w:b w:val="0"/>
          <w:color w:val="auto"/>
        </w:rPr>
        <w:tab/>
        <w:t>Reasons for moving to Bendigo by prior location, combined sample</w:t>
      </w:r>
      <w:r w:rsidRPr="005D1F57">
        <w:rPr>
          <w:b w:val="0"/>
          <w:color w:val="auto"/>
        </w:rPr>
        <w:tab/>
      </w:r>
      <w:r w:rsidR="000D7D7C">
        <w:rPr>
          <w:b w:val="0"/>
          <w:color w:val="auto"/>
        </w:rPr>
        <w:t>9</w:t>
      </w:r>
    </w:p>
    <w:p w:rsidR="005D1F57" w:rsidRPr="005D1F57" w:rsidRDefault="005D1F57" w:rsidP="000D7D7C">
      <w:pPr>
        <w:pStyle w:val="TableTitle"/>
        <w:tabs>
          <w:tab w:val="left" w:pos="9214"/>
        </w:tabs>
        <w:spacing w:line="240" w:lineRule="auto"/>
        <w:ind w:left="284" w:hanging="284"/>
        <w:rPr>
          <w:b w:val="0"/>
          <w:color w:val="auto"/>
        </w:rPr>
      </w:pPr>
      <w:r w:rsidRPr="005D1F57">
        <w:rPr>
          <w:b w:val="0"/>
          <w:color w:val="auto"/>
        </w:rPr>
        <w:t>6</w:t>
      </w:r>
      <w:r w:rsidRPr="005D1F57">
        <w:rPr>
          <w:b w:val="0"/>
          <w:color w:val="auto"/>
        </w:rPr>
        <w:tab/>
        <w:t xml:space="preserve">Intention to leave Bendigo in next two years, respondents as a proportion of </w:t>
      </w:r>
      <w:r w:rsidRPr="005D1F57">
        <w:rPr>
          <w:b w:val="0"/>
          <w:color w:val="auto"/>
        </w:rPr>
        <w:br/>
        <w:t>total Bank, Hospital and Council samples</w:t>
      </w:r>
      <w:r w:rsidRPr="005D1F57">
        <w:rPr>
          <w:b w:val="0"/>
          <w:color w:val="auto"/>
        </w:rPr>
        <w:tab/>
      </w:r>
      <w:r w:rsidR="000D7D7C">
        <w:rPr>
          <w:b w:val="0"/>
          <w:color w:val="auto"/>
        </w:rPr>
        <w:t>12</w:t>
      </w:r>
    </w:p>
    <w:p w:rsidR="005D1F57" w:rsidRPr="005D1F57" w:rsidRDefault="005D1F57" w:rsidP="000D7D7C">
      <w:pPr>
        <w:tabs>
          <w:tab w:val="left" w:pos="9214"/>
        </w:tabs>
        <w:spacing w:after="120"/>
        <w:ind w:left="284" w:hanging="284"/>
      </w:pPr>
      <w:r w:rsidRPr="005D1F57">
        <w:t>7</w:t>
      </w:r>
      <w:r w:rsidRPr="005D1F57">
        <w:tab/>
        <w:t>Intention to leave Bendigo in next two years by age group, combined sample</w:t>
      </w:r>
      <w:r w:rsidRPr="005D1F57">
        <w:tab/>
      </w:r>
      <w:r w:rsidR="000D7D7C">
        <w:t>13</w:t>
      </w:r>
    </w:p>
    <w:p w:rsidR="00223F32" w:rsidRPr="005B6C08" w:rsidRDefault="00223F32" w:rsidP="00223F32">
      <w:pPr>
        <w:tabs>
          <w:tab w:val="left" w:pos="9214"/>
        </w:tabs>
        <w:ind w:left="426" w:hanging="426"/>
        <w:rPr>
          <w:sz w:val="20"/>
          <w:lang w:val="en-US"/>
        </w:rPr>
      </w:pPr>
    </w:p>
    <w:p w:rsidR="00902037" w:rsidRDefault="00902037" w:rsidP="00223F32">
      <w:pPr>
        <w:tabs>
          <w:tab w:val="left" w:pos="9214"/>
        </w:tabs>
        <w:ind w:left="426" w:hanging="426"/>
        <w:rPr>
          <w:lang w:val="en-US"/>
        </w:rPr>
      </w:pPr>
    </w:p>
    <w:p w:rsidR="00536BA8" w:rsidRPr="003442F7" w:rsidRDefault="00536BA8" w:rsidP="000E0D72">
      <w:pPr>
        <w:pStyle w:val="TOCTitle"/>
        <w:ind w:left="426" w:hanging="426"/>
      </w:pPr>
      <w:r>
        <w:t>List of Tables</w:t>
      </w:r>
    </w:p>
    <w:p w:rsidR="005B6C08" w:rsidRPr="005D1F57" w:rsidRDefault="00097103" w:rsidP="000D7D7C">
      <w:pPr>
        <w:tabs>
          <w:tab w:val="left" w:pos="9214"/>
        </w:tabs>
        <w:spacing w:after="60"/>
        <w:ind w:left="284" w:hanging="284"/>
      </w:pPr>
      <w:r w:rsidRPr="005D1F57">
        <w:t>1</w:t>
      </w:r>
      <w:r w:rsidR="00223F32" w:rsidRPr="005D1F57">
        <w:tab/>
        <w:t>Birthplace of respondents, Bank, Hospital and Council samples</w:t>
      </w:r>
      <w:r w:rsidR="00223F32" w:rsidRPr="005D1F57">
        <w:tab/>
      </w:r>
      <w:r w:rsidR="000D7D7C">
        <w:t>5</w:t>
      </w:r>
    </w:p>
    <w:p w:rsidR="005B6C08" w:rsidRPr="005D1F57" w:rsidRDefault="00097103" w:rsidP="000D7D7C">
      <w:pPr>
        <w:tabs>
          <w:tab w:val="left" w:pos="9214"/>
        </w:tabs>
        <w:spacing w:after="60"/>
        <w:ind w:left="284" w:hanging="284"/>
      </w:pPr>
      <w:r w:rsidRPr="005D1F57">
        <w:t>2</w:t>
      </w:r>
      <w:r w:rsidR="00223F32" w:rsidRPr="005D1F57">
        <w:tab/>
        <w:t>Reasons for moving to Bendigo – Bank, Hospital, Council and combined samples</w:t>
      </w:r>
      <w:r w:rsidR="00223F32" w:rsidRPr="005D1F57">
        <w:tab/>
      </w:r>
      <w:r w:rsidR="000D7D7C">
        <w:t>9</w:t>
      </w:r>
    </w:p>
    <w:p w:rsidR="005B6C08" w:rsidRPr="005D1F57" w:rsidRDefault="00097103" w:rsidP="000D7D7C">
      <w:pPr>
        <w:tabs>
          <w:tab w:val="left" w:pos="9214"/>
        </w:tabs>
        <w:spacing w:after="60"/>
        <w:ind w:left="284" w:hanging="284"/>
      </w:pPr>
      <w:r w:rsidRPr="005D1F57">
        <w:t>3</w:t>
      </w:r>
      <w:r w:rsidR="00223F32" w:rsidRPr="005D1F57">
        <w:tab/>
        <w:t>Advantages of living in Bendigo, as reported by respondents</w:t>
      </w:r>
      <w:r w:rsidR="00223F32" w:rsidRPr="005D1F57">
        <w:tab/>
      </w:r>
      <w:r w:rsidR="000D7D7C">
        <w:t>10</w:t>
      </w:r>
    </w:p>
    <w:p w:rsidR="00223F32" w:rsidRPr="005D1F57" w:rsidRDefault="00097103" w:rsidP="000D7D7C">
      <w:pPr>
        <w:tabs>
          <w:tab w:val="left" w:pos="9214"/>
        </w:tabs>
        <w:spacing w:after="60"/>
        <w:ind w:left="284" w:hanging="284"/>
      </w:pPr>
      <w:r w:rsidRPr="005D1F57">
        <w:t>4</w:t>
      </w:r>
      <w:r w:rsidR="00223F32" w:rsidRPr="005D1F57">
        <w:tab/>
        <w:t>Disadvantages of living in Bendigo, as reported by respondents</w:t>
      </w:r>
      <w:r w:rsidR="00223F32" w:rsidRPr="005D1F57">
        <w:tab/>
      </w:r>
      <w:r w:rsidR="000D7D7C">
        <w:t>12</w:t>
      </w:r>
    </w:p>
    <w:p w:rsidR="00223F32" w:rsidRDefault="00223F32" w:rsidP="00223F32">
      <w:pPr>
        <w:tabs>
          <w:tab w:val="left" w:pos="9214"/>
        </w:tabs>
        <w:spacing w:after="60"/>
        <w:ind w:left="426" w:hanging="426"/>
      </w:pPr>
    </w:p>
    <w:p w:rsidR="00F50ECA" w:rsidRDefault="00F50ECA" w:rsidP="000E0D72">
      <w:pPr>
        <w:spacing w:after="60"/>
        <w:ind w:left="426" w:hanging="426"/>
        <w:rPr>
          <w:lang w:val="en-US"/>
        </w:rPr>
      </w:pPr>
    </w:p>
    <w:p w:rsidR="00B3061B" w:rsidRDefault="00B3061B" w:rsidP="000E0D72">
      <w:pPr>
        <w:pStyle w:val="TOC1"/>
        <w:ind w:left="426" w:hanging="426"/>
        <w:sectPr w:rsidR="00B3061B" w:rsidSect="005B6C08">
          <w:headerReference w:type="first" r:id="rId21"/>
          <w:footerReference w:type="first" r:id="rId22"/>
          <w:pgSz w:w="11907" w:h="16840" w:code="9"/>
          <w:pgMar w:top="1134" w:right="1134" w:bottom="425" w:left="1134" w:header="709" w:footer="567" w:gutter="0"/>
          <w:pgNumType w:fmt="lowerRoman" w:start="1"/>
          <w:cols w:space="708"/>
          <w:formProt w:val="0"/>
          <w:titlePg/>
          <w:docGrid w:linePitch="360"/>
        </w:sectPr>
      </w:pPr>
    </w:p>
    <w:p w:rsidR="00EC46D9" w:rsidRDefault="007F7CF6" w:rsidP="009E7DEB">
      <w:pPr>
        <w:pStyle w:val="HeadingA"/>
        <w:sectPr w:rsidR="00EC46D9" w:rsidSect="00EC46D9">
          <w:headerReference w:type="default" r:id="rId23"/>
          <w:footerReference w:type="even" r:id="rId24"/>
          <w:pgSz w:w="11906" w:h="16838"/>
          <w:pgMar w:top="1440" w:right="1440" w:bottom="1440" w:left="1440" w:header="708" w:footer="708" w:gutter="0"/>
          <w:pgNumType w:fmt="lowerRoman"/>
          <w:cols w:num="2" w:space="708"/>
          <w:docGrid w:linePitch="360"/>
        </w:sectPr>
      </w:pPr>
      <w:bookmarkStart w:id="0" w:name="_Toc358825451"/>
      <w:r w:rsidRPr="007F7CF6">
        <w:lastRenderedPageBreak/>
        <w:t xml:space="preserve">Summary </w:t>
      </w:r>
      <w:bookmarkEnd w:id="0"/>
      <w:r w:rsidR="005D1F57">
        <w:t>of Key Findings</w:t>
      </w:r>
    </w:p>
    <w:p w:rsidR="007C5478" w:rsidRPr="007C5478" w:rsidRDefault="007C5478" w:rsidP="007C5478">
      <w:pPr>
        <w:pStyle w:val="DELWPbodytext"/>
        <w:spacing w:afterLines="100" w:after="240"/>
      </w:pPr>
      <w:r w:rsidRPr="007C5478">
        <w:lastRenderedPageBreak/>
        <w:t xml:space="preserve">Young people have often seen moving to </w:t>
      </w:r>
      <w:r w:rsidR="003D5269">
        <w:t xml:space="preserve">a </w:t>
      </w:r>
      <w:r w:rsidRPr="007C5478">
        <w:t xml:space="preserve">capital city as a rite of passage, to expand their life experience, pursue educational and employment opportunities or simply to enjoy the attractions of living in a big city.  However, regional Victoria offers an array of lifestyle and employment opportunities for people of all ages, cultures and backgrounds – and many are returning. </w:t>
      </w:r>
    </w:p>
    <w:p w:rsidR="007C5478" w:rsidRPr="007C5478" w:rsidRDefault="007C5478" w:rsidP="007C5478">
      <w:pPr>
        <w:pStyle w:val="DELWPbodytext"/>
        <w:spacing w:afterLines="100" w:after="240"/>
      </w:pPr>
      <w:r w:rsidRPr="007C5478">
        <w:t>Around a third of young people who leave to work in a capital city like Melbourne will return to rural cities or regional areas before the age of 24 and many others in later years, recognising the importance of family ties and lifestyle benefits and attracted by growing employment opportunities and lifestyle benefits.</w:t>
      </w:r>
    </w:p>
    <w:p w:rsidR="007C5478" w:rsidRPr="007C5478" w:rsidRDefault="007C5478" w:rsidP="007C5478">
      <w:pPr>
        <w:pStyle w:val="DELWPbodytext"/>
        <w:spacing w:afterLines="100" w:after="240"/>
      </w:pPr>
      <w:r w:rsidRPr="007C5478">
        <w:t xml:space="preserve">The exodus of young adults is concerning as their loss has critical implications for regional areas. Young adults are important – in economic terms they contribute skills and energy to a region and are an important part of the social fabric of any community. In population terms, they are a significant part of any community’s growth prospects as many will have children contributing to the next generation of that community. </w:t>
      </w:r>
    </w:p>
    <w:p w:rsidR="007C5478" w:rsidRPr="007C5478" w:rsidRDefault="007C5478" w:rsidP="007C5478">
      <w:pPr>
        <w:pStyle w:val="DELWPbodytext"/>
        <w:spacing w:afterLines="100" w:after="240"/>
      </w:pPr>
      <w:r w:rsidRPr="007C5478">
        <w:t xml:space="preserve">There has been a lot of focus on population loss in regional areas but less research attention has been paid to the people who stay in, or move to, places like Bendigo. The research report </w:t>
      </w:r>
      <w:r w:rsidRPr="007C5478">
        <w:rPr>
          <w:i/>
        </w:rPr>
        <w:t xml:space="preserve">A Regional Career, </w:t>
      </w:r>
      <w:r w:rsidRPr="007C5478">
        <w:t xml:space="preserve">produced by the Department of Environment, </w:t>
      </w:r>
      <w:r w:rsidR="003D5269" w:rsidRPr="007C5478">
        <w:t>Land</w:t>
      </w:r>
      <w:r w:rsidR="003D5269">
        <w:t>,</w:t>
      </w:r>
      <w:r w:rsidR="003D5269" w:rsidRPr="007C5478">
        <w:t xml:space="preserve"> </w:t>
      </w:r>
      <w:r w:rsidRPr="007C5478">
        <w:t>Water and Planning (DELWP) is an important first step in filling this information gap.</w:t>
      </w:r>
    </w:p>
    <w:p w:rsidR="007C5478" w:rsidRPr="007C5478" w:rsidRDefault="007C5478" w:rsidP="007C5478">
      <w:pPr>
        <w:pStyle w:val="DELWPbodytext"/>
        <w:spacing w:afterLines="100" w:after="240"/>
      </w:pPr>
      <w:r w:rsidRPr="007C5478">
        <w:t xml:space="preserve">The report focuses on three groups of professional workers who call Bendigo home. The focus on this group is due to the fact that these people often </w:t>
      </w:r>
      <w:r w:rsidRPr="007C5478">
        <w:rPr>
          <w:i/>
        </w:rPr>
        <w:t>have</w:t>
      </w:r>
      <w:r w:rsidRPr="007C5478">
        <w:t xml:space="preserve"> to leave regional areas to gain higher educational training in capital cities like Melbourne.  The danger is though, they can be difficult to attract back to regional areas because of the depth of </w:t>
      </w:r>
      <w:r w:rsidRPr="007C5478">
        <w:lastRenderedPageBreak/>
        <w:t>professional networks and career advancement opportunities that are offered in large cities. By better understanding the professional needs of these workers, government can determine the factors that create effective population strategies to attract and retain people to regional areas.</w:t>
      </w:r>
    </w:p>
    <w:p w:rsidR="007C5478" w:rsidRPr="007C5478" w:rsidRDefault="007C5478" w:rsidP="007C5478">
      <w:pPr>
        <w:pStyle w:val="DELWPbodytext"/>
        <w:spacing w:afterLines="100" w:after="240"/>
      </w:pPr>
      <w:r w:rsidRPr="007C5478">
        <w:t>The findings presented in this report are the result of a survey of three different workplaces: Bendigo Bank; Bendigo Hospital, and the Greater Bendigo Council. More than 700 respondents took part in the survey, providing information on where they were born, where they were educated and the reasons why they chose to live and work in Bendigo.</w:t>
      </w:r>
    </w:p>
    <w:p w:rsidR="007C5478" w:rsidRPr="007C5478" w:rsidRDefault="007C5478" w:rsidP="007C5478">
      <w:pPr>
        <w:pStyle w:val="DELWPbodytext"/>
        <w:spacing w:afterLines="100" w:after="240"/>
      </w:pPr>
      <w:r w:rsidRPr="007C5478">
        <w:t>Overall, two thirds of these respondents had been born in either Bendigo or other parts of regional Victoria. People who had moved to Bendigo from elsewhere generally did so for family reasons. In fact nearly 40 percent reported this as their reason for moving. This included those wanting to be closer to family members, having a good place to raise children, and those wanting to return to their place of birth. This highlights the importance of having a connection to a place when making a major decision like moving home. It also suggests that the most effective regional attraction policies should target those who have previously lived in regional areas.</w:t>
      </w:r>
    </w:p>
    <w:p w:rsidR="007C5478" w:rsidRPr="007C5478" w:rsidRDefault="007C5478" w:rsidP="007C5478">
      <w:pPr>
        <w:pStyle w:val="DELWPbodytext"/>
        <w:spacing w:afterLines="100" w:after="240"/>
      </w:pPr>
      <w:r w:rsidRPr="007C5478">
        <w:t>The survey also showed that nearly 20 per cent of respondents had originated in Melbourne. What were their reasons for being attracted to a regional location like Bendigo?</w:t>
      </w:r>
    </w:p>
    <w:p w:rsidR="007C5478" w:rsidRPr="007C5478" w:rsidRDefault="007C5478" w:rsidP="007C5478">
      <w:pPr>
        <w:pStyle w:val="DELWPbodytext"/>
        <w:spacing w:afterLines="100" w:after="240"/>
      </w:pPr>
      <w:r w:rsidRPr="007C5478">
        <w:t xml:space="preserve">A key factor was the job they currently held. Those based in Melbourne were less likely to move for general employment opportunities, but where a specific role matched their requirements, the move became more attractive. For regional employers, this </w:t>
      </w:r>
      <w:r w:rsidRPr="007C5478">
        <w:lastRenderedPageBreak/>
        <w:t xml:space="preserve">suggests that targeted recruitment would be beneficial. </w:t>
      </w:r>
    </w:p>
    <w:p w:rsidR="007C5478" w:rsidRPr="007C5478" w:rsidRDefault="007C5478" w:rsidP="007C5478">
      <w:pPr>
        <w:pStyle w:val="DELWPbodytext"/>
        <w:spacing w:afterLines="100" w:after="240"/>
        <w:rPr>
          <w:spacing w:val="-2"/>
        </w:rPr>
      </w:pPr>
      <w:r w:rsidRPr="007C5478">
        <w:rPr>
          <w:spacing w:val="-2"/>
        </w:rPr>
        <w:t xml:space="preserve">Importantly though, many of the Melbourne-born respondents had made the move to regional Victoria in the </w:t>
      </w:r>
      <w:r w:rsidRPr="007C5478">
        <w:rPr>
          <w:i/>
          <w:spacing w:val="-2"/>
        </w:rPr>
        <w:t>later stages</w:t>
      </w:r>
      <w:r w:rsidRPr="007C5478">
        <w:rPr>
          <w:spacing w:val="-2"/>
        </w:rPr>
        <w:t xml:space="preserve"> of their career. It may be that younger professionals are attracted by the many career advancement opportunities in a major city like Melbourne, but workers in their 40s or 50s may be motivated by a range of other factors such as seeking a balance of lifestyle and career. This finding is useful in developing target</w:t>
      </w:r>
      <w:r w:rsidR="003D5269">
        <w:rPr>
          <w:spacing w:val="-2"/>
        </w:rPr>
        <w:t>ed</w:t>
      </w:r>
      <w:r w:rsidRPr="007C5478">
        <w:rPr>
          <w:spacing w:val="-2"/>
        </w:rPr>
        <w:t xml:space="preserve"> attraction strategies towards those with a greater likelihood of making a regional move.</w:t>
      </w:r>
    </w:p>
    <w:p w:rsidR="007C5478" w:rsidRPr="007C5478" w:rsidRDefault="007C5478" w:rsidP="007C5478">
      <w:pPr>
        <w:pStyle w:val="DELWPbodytext"/>
        <w:spacing w:afterLines="100" w:after="240"/>
        <w:rPr>
          <w:i/>
        </w:rPr>
      </w:pPr>
      <w:r w:rsidRPr="007C5478">
        <w:t>Interestingly, professional skills development is occurring effectively within regions and is not dependent on migration (temporarily or permanently) to a metropolitan area. Even respondents with senior management roles are well represented by people with regional backgrounds. The assumption that more senior roles require higher levels of education and experience may be true, but the degree to which these opportunities are only found metropolitan areas is challenged by the findings of this work.</w:t>
      </w:r>
      <w:r w:rsidRPr="007C5478">
        <w:rPr>
          <w:i/>
        </w:rPr>
        <w:t xml:space="preserve"> </w:t>
      </w:r>
    </w:p>
    <w:p w:rsidR="007C5478" w:rsidRPr="007C5478" w:rsidRDefault="007C5478" w:rsidP="007C5478">
      <w:pPr>
        <w:pStyle w:val="DELWPbodytext"/>
        <w:spacing w:afterLines="100" w:after="240"/>
      </w:pPr>
      <w:r w:rsidRPr="007C5478">
        <w:t>The high proportion of senior employees at Bendigo Bank who had come from regional backgrounds showed that, even for globally-connected professions like financial services, a metropolitan education is not essential. Although Melbourne becomes more important as a location during the attainment of higher qualifications, it is not more prominent than Bendigo for any of the organisations. This suggests that the local education and training sectors are able to deliver a high standard of qualifications and skill development to the regional population.</w:t>
      </w:r>
    </w:p>
    <w:p w:rsidR="007C5478" w:rsidRPr="007C5478" w:rsidRDefault="007C5478" w:rsidP="007C5478">
      <w:pPr>
        <w:pStyle w:val="DELWPbodytext"/>
        <w:spacing w:afterLines="100" w:after="240"/>
      </w:pPr>
      <w:r w:rsidRPr="007C5478">
        <w:t xml:space="preserve">In the case of the Bendigo Bank, the organisation itself played an important role in the professional development of their staff. Scholarships, internships and partnerships with local education providers forms an important part of the company’s culture. This benefits the bank, in terms of overcoming skills shortages, but it also benefits employees </w:t>
      </w:r>
      <w:r w:rsidRPr="007C5478">
        <w:lastRenderedPageBreak/>
        <w:t>through sponsorship of their education locally; and local service providers through the purchase of education and training services within the regional city.</w:t>
      </w:r>
    </w:p>
    <w:p w:rsidR="007C5478" w:rsidRPr="007C5478" w:rsidRDefault="007C5478" w:rsidP="007C5478">
      <w:pPr>
        <w:pStyle w:val="DELWPbodytext"/>
        <w:spacing w:afterLines="100" w:after="240"/>
      </w:pPr>
      <w:r w:rsidRPr="007C5478">
        <w:t xml:space="preserve">General accessibility, proximity to work and ease of travel are seen as some of the positive aspects of living in Bendigo. Many respondents highlighted the quality and availability of services and facilities as key advantages. Although amenity and lifestyle were not strong </w:t>
      </w:r>
      <w:r w:rsidRPr="007C5478">
        <w:rPr>
          <w:i/>
        </w:rPr>
        <w:t>drivers</w:t>
      </w:r>
      <w:r w:rsidRPr="007C5478">
        <w:t xml:space="preserve"> of migration, they were listed by many as an </w:t>
      </w:r>
      <w:r w:rsidRPr="007C5478">
        <w:rPr>
          <w:i/>
        </w:rPr>
        <w:t>advantage</w:t>
      </w:r>
      <w:r w:rsidRPr="007C5478">
        <w:t xml:space="preserve">. This highlights an important point – drivers of migration, such as employment and family, are not the same as locational advantages such as physical amenity. Many attraction strategies focus on the physical amenity of regional areas but professional workers, especially younger ones, are more likely to be driven by job and career considerations. </w:t>
      </w:r>
    </w:p>
    <w:p w:rsidR="007C5478" w:rsidRPr="007C5478" w:rsidRDefault="007C5478" w:rsidP="007C5478">
      <w:pPr>
        <w:pStyle w:val="DELWPbodytext"/>
        <w:spacing w:afterLines="100" w:after="240"/>
        <w:rPr>
          <w:spacing w:val="-2"/>
        </w:rPr>
      </w:pPr>
      <w:r w:rsidRPr="007C5478">
        <w:rPr>
          <w:spacing w:val="-2"/>
        </w:rPr>
        <w:t>Some of the disadvantages of living in Bendigo included lower pay in regional areas compared to metropolitan roles and limited local job opportunities in specialist fields. And although we tend to think of physical amenity as a major advantage of living in a regional location it seems that is only in the eye of the beholder – just over 10% of responses identified the natural environment of the region as a disadvantage, specifically issues related to water or, more accurately, the lack of it.</w:t>
      </w:r>
    </w:p>
    <w:p w:rsidR="007C5478" w:rsidRPr="007C5478" w:rsidRDefault="007C5478" w:rsidP="007C5478">
      <w:pPr>
        <w:pStyle w:val="DELWPbodytext"/>
        <w:spacing w:afterLines="100" w:after="240"/>
        <w:rPr>
          <w:color w:val="000000"/>
          <w:lang w:eastAsia="en-AU"/>
        </w:rPr>
      </w:pPr>
      <w:r w:rsidRPr="007C5478">
        <w:t xml:space="preserve">Around 85 percent of respondents had no intention to move away from Bendigo in the near future. </w:t>
      </w:r>
      <w:r w:rsidRPr="007C5478">
        <w:rPr>
          <w:color w:val="000000"/>
          <w:lang w:eastAsia="en-AU"/>
        </w:rPr>
        <w:t xml:space="preserve">Younger age groups are more likely to move from Bendigo in the coming few years and most of those were considering a move to Melbourne. </w:t>
      </w:r>
    </w:p>
    <w:p w:rsidR="003F28B2" w:rsidRDefault="003F28B2" w:rsidP="003F28B2">
      <w:pPr>
        <w:pStyle w:val="DELWPbodytext"/>
        <w:spacing w:afterLines="100" w:after="240"/>
        <w:rPr>
          <w:color w:val="000000"/>
          <w:lang w:eastAsia="en-AU"/>
        </w:rPr>
      </w:pPr>
      <w:r>
        <w:rPr>
          <w:color w:val="000000"/>
          <w:lang w:eastAsia="en-AU"/>
        </w:rPr>
        <w:t>The study provides a valuable insight into the motivation behind skilled workers moving to regional Victoria and will be a great tool for those seeking to grow and develop those communities.</w:t>
      </w:r>
    </w:p>
    <w:p w:rsidR="00D22218" w:rsidRDefault="00D22218" w:rsidP="00942323">
      <w:pPr>
        <w:pStyle w:val="DELWPbodytext"/>
        <w:spacing w:afterLines="100" w:after="240"/>
      </w:pPr>
    </w:p>
    <w:p w:rsidR="00800102" w:rsidRDefault="00800102" w:rsidP="009E7DEB">
      <w:pPr>
        <w:sectPr w:rsidR="00800102" w:rsidSect="00EC46D9">
          <w:type w:val="continuous"/>
          <w:pgSz w:w="11906" w:h="16838"/>
          <w:pgMar w:top="1440" w:right="1440" w:bottom="1440" w:left="1440" w:header="708" w:footer="708" w:gutter="0"/>
          <w:pgNumType w:fmt="lowerRoman"/>
          <w:cols w:num="2" w:space="708"/>
          <w:docGrid w:linePitch="360"/>
        </w:sectPr>
      </w:pPr>
    </w:p>
    <w:p w:rsidR="00EC46D9" w:rsidRDefault="00392F99" w:rsidP="00F50ECA">
      <w:pPr>
        <w:pStyle w:val="HA"/>
        <w:sectPr w:rsidR="00EC46D9" w:rsidSect="00EC46D9">
          <w:headerReference w:type="default" r:id="rId25"/>
          <w:footerReference w:type="default" r:id="rId26"/>
          <w:pgSz w:w="11906" w:h="16838" w:code="9"/>
          <w:pgMar w:top="1440" w:right="1440" w:bottom="1440" w:left="1440" w:header="709" w:footer="709" w:gutter="0"/>
          <w:pgNumType w:start="1"/>
          <w:cols w:num="2" w:space="708"/>
          <w:docGrid w:linePitch="360"/>
        </w:sectPr>
      </w:pPr>
      <w:r>
        <w:lastRenderedPageBreak/>
        <w:t xml:space="preserve">Chapter </w:t>
      </w:r>
      <w:r w:rsidR="00C4279C">
        <w:t xml:space="preserve">1. </w:t>
      </w:r>
      <w:r w:rsidR="00F50ECA" w:rsidRPr="00F50ECA">
        <w:t>Introduction</w:t>
      </w:r>
    </w:p>
    <w:p w:rsidR="001624B0" w:rsidRPr="001624B0" w:rsidRDefault="00F50ECA" w:rsidP="001624B0">
      <w:pPr>
        <w:pStyle w:val="DELWPbodytext"/>
      </w:pPr>
      <w:r w:rsidRPr="00F50ECA">
        <w:lastRenderedPageBreak/>
        <w:t xml:space="preserve">The retention and attraction of young adults to regional areas is central to the aspirations of many communities across Australia. </w:t>
      </w:r>
      <w:r w:rsidR="00145283">
        <w:t>However</w:t>
      </w:r>
      <w:r w:rsidRPr="00F50ECA">
        <w:t>, information a</w:t>
      </w:r>
      <w:r w:rsidR="001624B0">
        <w:t>b</w:t>
      </w:r>
      <w:r w:rsidRPr="00F50ECA">
        <w:t xml:space="preserve">out the dynamics </w:t>
      </w:r>
      <w:r w:rsidR="00425621">
        <w:t xml:space="preserve">of </w:t>
      </w:r>
      <w:r w:rsidR="00425621" w:rsidRPr="00425621">
        <w:t xml:space="preserve">skill creation </w:t>
      </w:r>
      <w:r w:rsidR="004E38AE">
        <w:t>and</w:t>
      </w:r>
      <w:r w:rsidR="00425621">
        <w:t xml:space="preserve"> its</w:t>
      </w:r>
      <w:r w:rsidR="004E38AE">
        <w:t xml:space="preserve"> relationship </w:t>
      </w:r>
      <w:r w:rsidR="00425621">
        <w:t xml:space="preserve">with </w:t>
      </w:r>
      <w:r w:rsidRPr="00F50ECA">
        <w:t xml:space="preserve">migration is often lacking. </w:t>
      </w:r>
      <w:r w:rsidR="001624B0" w:rsidRPr="001624B0">
        <w:t xml:space="preserve">In Victoria, as in other States, there </w:t>
      </w:r>
      <w:r w:rsidR="00145283">
        <w:t xml:space="preserve">is a </w:t>
      </w:r>
      <w:r w:rsidR="001624B0" w:rsidRPr="001624B0">
        <w:t>long-standing population trend of young adults leaving non-metropolitan areas to seek educational and employment opportunities in capital cities</w:t>
      </w:r>
      <w:r w:rsidR="00045E26">
        <w:t xml:space="preserve"> (McKenzie 2010</w:t>
      </w:r>
      <w:r w:rsidR="00664FE7">
        <w:t>)</w:t>
      </w:r>
      <w:r w:rsidR="001624B0" w:rsidRPr="001624B0">
        <w:t xml:space="preserve">. This has raised concern because regional areas are seen as losing a key part of </w:t>
      </w:r>
      <w:r w:rsidR="00145283">
        <w:t xml:space="preserve">their </w:t>
      </w:r>
      <w:r w:rsidR="001624B0" w:rsidRPr="001624B0">
        <w:t>population. Young adults are important economically</w:t>
      </w:r>
      <w:r w:rsidR="00E17C94">
        <w:t>,</w:t>
      </w:r>
      <w:r w:rsidR="001624B0" w:rsidRPr="001624B0">
        <w:t xml:space="preserve"> in terms of the skills they can contribute to an economy (human capital)</w:t>
      </w:r>
      <w:r w:rsidR="00E17C94">
        <w:t>,</w:t>
      </w:r>
      <w:r w:rsidR="001624B0" w:rsidRPr="001624B0">
        <w:t xml:space="preserve"> and demographically</w:t>
      </w:r>
      <w:r w:rsidR="00E17C94">
        <w:t>,</w:t>
      </w:r>
      <w:r w:rsidR="001624B0" w:rsidRPr="001624B0">
        <w:t xml:space="preserve"> in terms of their age group being likely to </w:t>
      </w:r>
      <w:r w:rsidR="00145283">
        <w:t xml:space="preserve">have </w:t>
      </w:r>
      <w:r w:rsidR="001624B0" w:rsidRPr="001624B0">
        <w:t>children</w:t>
      </w:r>
      <w:r w:rsidR="00E17C94">
        <w:t xml:space="preserve"> thus </w:t>
      </w:r>
      <w:r w:rsidR="00145283">
        <w:t xml:space="preserve">creating </w:t>
      </w:r>
      <w:r w:rsidR="001624B0" w:rsidRPr="001624B0">
        <w:t>the next generation.</w:t>
      </w:r>
    </w:p>
    <w:p w:rsidR="00801C7E" w:rsidRDefault="00812E3E" w:rsidP="00812E3E">
      <w:pPr>
        <w:pStyle w:val="DELWPbodytext"/>
        <w:rPr>
          <w:lang w:val="en-GB"/>
        </w:rPr>
      </w:pPr>
      <w:r w:rsidRPr="00F50ECA">
        <w:t>The stages of higher education and early career development are significant in economic terms because they represent a key period of human capital accumulation for individuals. And hence, where those individuals end up in a spatial sense has implications for the economic gains of city and country areas. The movement of young adults is important for economic growth and regional development (</w:t>
      </w:r>
      <w:proofErr w:type="spellStart"/>
      <w:r w:rsidRPr="00F50ECA">
        <w:t>Romer</w:t>
      </w:r>
      <w:proofErr w:type="spellEnd"/>
      <w:r w:rsidRPr="00F50ECA">
        <w:t xml:space="preserve"> 1986; </w:t>
      </w:r>
      <w:proofErr w:type="spellStart"/>
      <w:r w:rsidRPr="00F50ECA">
        <w:t>Barro</w:t>
      </w:r>
      <w:proofErr w:type="spellEnd"/>
      <w:r w:rsidRPr="00F50ECA">
        <w:t xml:space="preserve"> 1992). The movement of this large, highly mobile population group </w:t>
      </w:r>
      <w:r w:rsidR="004E38AE">
        <w:t xml:space="preserve">therefore </w:t>
      </w:r>
      <w:r w:rsidRPr="00F50ECA">
        <w:t xml:space="preserve">results in a transfer of skills, knowledge and labour. </w:t>
      </w:r>
      <w:r w:rsidRPr="00F50ECA">
        <w:rPr>
          <w:lang w:val="en-GB"/>
        </w:rPr>
        <w:t>The spatial outcomes of population flows can lead to gains and losses for</w:t>
      </w:r>
      <w:r w:rsidR="00801C7E">
        <w:rPr>
          <w:lang w:val="en-GB"/>
        </w:rPr>
        <w:t xml:space="preserve"> </w:t>
      </w:r>
      <w:r w:rsidRPr="00F50ECA">
        <w:rPr>
          <w:lang w:val="en-GB"/>
        </w:rPr>
        <w:t>regions which, in turn</w:t>
      </w:r>
      <w:r w:rsidR="00E17C94">
        <w:rPr>
          <w:lang w:val="en-GB"/>
        </w:rPr>
        <w:t>,</w:t>
      </w:r>
      <w:r w:rsidRPr="00F50ECA">
        <w:rPr>
          <w:lang w:val="en-GB"/>
        </w:rPr>
        <w:t xml:space="preserve"> can affect levels of economic and population growth.</w:t>
      </w:r>
    </w:p>
    <w:p w:rsidR="00801C7E" w:rsidRDefault="00812E3E" w:rsidP="00812E3E">
      <w:pPr>
        <w:pStyle w:val="DELWPbodytext"/>
      </w:pPr>
      <w:r w:rsidRPr="00F50ECA">
        <w:t xml:space="preserve">Net flows from rural and remote communities into metropolitan areas of Australia reinforces concentration of economic activity and a relatively young metropolitan labour force. At the same time, it has led to a gradual ageing of the population structure and an erosion of the local stock of human capital in many rural communities, placing constraints for local development (Hogan </w:t>
      </w:r>
      <w:r w:rsidR="00664FE7">
        <w:t xml:space="preserve">&amp; </w:t>
      </w:r>
      <w:r w:rsidRPr="00F50ECA">
        <w:t xml:space="preserve">Young 2013). To enhance their social fabric and economic </w:t>
      </w:r>
      <w:r w:rsidRPr="00F50ECA">
        <w:lastRenderedPageBreak/>
        <w:t>performance, rural communities often seek to develop policies for improving the attraction and retention rates of young and educated population</w:t>
      </w:r>
      <w:r w:rsidR="00056C4A">
        <w:t>s</w:t>
      </w:r>
      <w:r w:rsidRPr="00F50ECA">
        <w:t xml:space="preserve"> (Corcoran et. al. 2010). A comprehensive understanding of the complex blend of forces underpinning the migration patterns of young adults and their change over time is therefore a critical component for regional policy development.</w:t>
      </w:r>
    </w:p>
    <w:p w:rsidR="001624B0" w:rsidRPr="001624B0" w:rsidRDefault="004E38AE" w:rsidP="001624B0">
      <w:pPr>
        <w:pStyle w:val="DELWPbodytext"/>
      </w:pPr>
      <w:r>
        <w:t>A</w:t>
      </w:r>
      <w:r w:rsidR="00C2496E">
        <w:t>lthough</w:t>
      </w:r>
      <w:r>
        <w:t xml:space="preserve"> </w:t>
      </w:r>
      <w:r w:rsidR="00056C4A">
        <w:t>r</w:t>
      </w:r>
      <w:r w:rsidR="00056C4A" w:rsidRPr="001624B0">
        <w:t>egional Victoria</w:t>
      </w:r>
      <w:r w:rsidR="00056C4A">
        <w:t xml:space="preserve"> </w:t>
      </w:r>
      <w:r>
        <w:t xml:space="preserve">loses young adults, </w:t>
      </w:r>
      <w:r w:rsidR="00056C4A">
        <w:t>it</w:t>
      </w:r>
      <w:r>
        <w:t xml:space="preserve"> nonetheless</w:t>
      </w:r>
      <w:r w:rsidR="001624B0" w:rsidRPr="001624B0">
        <w:t xml:space="preserve"> has net gains in other age groups. Some of the gain in people aged 25 years and over may be return migrants who trained or worked in Melbourne then returned to a non-metropolitan location. Or they may be people moving from the city to seek a regional lifestyle.</w:t>
      </w:r>
    </w:p>
    <w:p w:rsidR="00F50ECA" w:rsidRDefault="001624B0" w:rsidP="00F50ECA">
      <w:pPr>
        <w:pStyle w:val="DELWPbodytext"/>
      </w:pPr>
      <w:r w:rsidRPr="001624B0">
        <w:t xml:space="preserve">The lack of information about the human capital implications of migration between regional and metropolitan areas of Victoria led to this research being undertaken. The survey upon which this report is based was undertaken as part of a larger study – an </w:t>
      </w:r>
      <w:r w:rsidRPr="001624B0">
        <w:rPr>
          <w:bCs/>
        </w:rPr>
        <w:t>A</w:t>
      </w:r>
      <w:r w:rsidR="00664FE7">
        <w:rPr>
          <w:bCs/>
        </w:rPr>
        <w:t>ustralian Research Council (AR</w:t>
      </w:r>
      <w:r w:rsidRPr="001624B0">
        <w:rPr>
          <w:bCs/>
        </w:rPr>
        <w:t>C</w:t>
      </w:r>
      <w:r w:rsidR="00664FE7">
        <w:rPr>
          <w:bCs/>
        </w:rPr>
        <w:t>)</w:t>
      </w:r>
      <w:r w:rsidRPr="001624B0">
        <w:rPr>
          <w:bCs/>
        </w:rPr>
        <w:t xml:space="preserve"> Linkage Project</w:t>
      </w:r>
      <w:r w:rsidRPr="001624B0">
        <w:rPr>
          <w:bCs/>
          <w:vertAlign w:val="superscript"/>
        </w:rPr>
        <w:footnoteReference w:id="1"/>
      </w:r>
      <w:r w:rsidRPr="001624B0">
        <w:rPr>
          <w:bCs/>
        </w:rPr>
        <w:t xml:space="preserve"> </w:t>
      </w:r>
      <w:r w:rsidR="0058018B" w:rsidRPr="001624B0">
        <w:t xml:space="preserve">– </w:t>
      </w:r>
      <w:r w:rsidRPr="001624B0">
        <w:rPr>
          <w:bCs/>
        </w:rPr>
        <w:t xml:space="preserve">which examined the spatial dimensions of educational and post-educational pathways. </w:t>
      </w:r>
      <w:r w:rsidRPr="001624B0">
        <w:t>A combination of longitudinal and survey-based data sources was used to gain insights into migration pathways and potential return migration. The findings from this research are important for policy makers who deal with population and attraction strategies – either at local or state government level. These decisions makers form the audience for this report.</w:t>
      </w:r>
    </w:p>
    <w:p w:rsidR="00812E3E" w:rsidRPr="00F50ECA" w:rsidRDefault="00812E3E" w:rsidP="00F50ECA">
      <w:pPr>
        <w:pStyle w:val="DELWPbodytext"/>
        <w:sectPr w:rsidR="00812E3E" w:rsidRPr="00F50ECA" w:rsidSect="00EC46D9">
          <w:type w:val="continuous"/>
          <w:pgSz w:w="11906" w:h="16838" w:code="9"/>
          <w:pgMar w:top="1440" w:right="1440" w:bottom="1440" w:left="1440" w:header="709" w:footer="709" w:gutter="0"/>
          <w:pgNumType w:start="1"/>
          <w:cols w:num="2" w:space="708"/>
          <w:docGrid w:linePitch="360"/>
        </w:sectPr>
      </w:pPr>
    </w:p>
    <w:p w:rsidR="0098223D" w:rsidRDefault="0098223D" w:rsidP="0066692C">
      <w:pPr>
        <w:pStyle w:val="HeadingA"/>
        <w:sectPr w:rsidR="0098223D" w:rsidSect="00257DB0">
          <w:headerReference w:type="default" r:id="rId27"/>
          <w:pgSz w:w="11906" w:h="16838"/>
          <w:pgMar w:top="1440" w:right="1440" w:bottom="1440" w:left="1440" w:header="708" w:footer="708" w:gutter="0"/>
          <w:cols w:space="708"/>
          <w:docGrid w:linePitch="360"/>
        </w:sectPr>
      </w:pPr>
    </w:p>
    <w:p w:rsidR="00EC46D9" w:rsidRDefault="00F50ECA" w:rsidP="0066692C">
      <w:pPr>
        <w:pStyle w:val="HeadingA"/>
      </w:pPr>
      <w:r w:rsidRPr="00F50ECA">
        <w:lastRenderedPageBreak/>
        <w:t xml:space="preserve">Chapter </w:t>
      </w:r>
      <w:r w:rsidR="00097103">
        <w:t>2</w:t>
      </w:r>
      <w:r w:rsidRPr="00F50ECA">
        <w:t xml:space="preserve">: </w:t>
      </w:r>
      <w:r w:rsidR="00097103">
        <w:t>The Bendigo Survey</w:t>
      </w:r>
    </w:p>
    <w:p w:rsidR="00EC46D9" w:rsidRDefault="00EC46D9" w:rsidP="0066692C">
      <w:pPr>
        <w:pStyle w:val="HeadingA"/>
        <w:sectPr w:rsidR="00EC46D9" w:rsidSect="00EC46D9">
          <w:headerReference w:type="default" r:id="rId28"/>
          <w:pgSz w:w="11906" w:h="16838"/>
          <w:pgMar w:top="1440" w:right="1440" w:bottom="1440" w:left="1440" w:header="708" w:footer="708" w:gutter="0"/>
          <w:cols w:space="708"/>
          <w:docGrid w:linePitch="360"/>
        </w:sectPr>
      </w:pPr>
    </w:p>
    <w:p w:rsidR="00013A7D" w:rsidRPr="00F50ECA" w:rsidRDefault="00013A7D" w:rsidP="00F71E9A">
      <w:pPr>
        <w:pStyle w:val="HB"/>
        <w:spacing w:before="0"/>
      </w:pPr>
      <w:r>
        <w:lastRenderedPageBreak/>
        <w:t xml:space="preserve">2.1 </w:t>
      </w:r>
      <w:r w:rsidR="000374FB">
        <w:tab/>
      </w:r>
      <w:r w:rsidRPr="00F50ECA">
        <w:t>The project</w:t>
      </w:r>
    </w:p>
    <w:p w:rsidR="00801C7E" w:rsidRDefault="00013A7D" w:rsidP="00013A7D">
      <w:pPr>
        <w:pStyle w:val="DELWPbodytext"/>
      </w:pPr>
      <w:r w:rsidRPr="009E7DEB">
        <w:rPr>
          <w:lang w:val="en-GB"/>
        </w:rPr>
        <w:t xml:space="preserve">For many secondary school students in regional Australia, the decision to continue studies beyond Year 12 means making a decision about moving to a new location – either to a regional city or to a capital city. </w:t>
      </w:r>
      <w:r w:rsidRPr="009E7DEB">
        <w:t xml:space="preserve">Analysis of the Longitudinal Survey of Australian Youth (LSAY) data suggests that, of those who moved to a metropolitan area after leaving school, 29 </w:t>
      </w:r>
      <w:r>
        <w:t>per cent</w:t>
      </w:r>
      <w:r w:rsidRPr="009E7DEB">
        <w:t xml:space="preserve"> had made a return move to a regional area by the age of 23.</w:t>
      </w:r>
      <w:r>
        <w:t xml:space="preserve"> I</w:t>
      </w:r>
      <w:r w:rsidRPr="009E7DEB">
        <w:t>t is not clear whether such return migration continues for people through their twenties or thirties or whether it reflects a pattern of ‘early return or no return’.</w:t>
      </w:r>
    </w:p>
    <w:p w:rsidR="00801C7E" w:rsidRDefault="00013A7D" w:rsidP="00013A7D">
      <w:pPr>
        <w:pStyle w:val="DELWPbodytext"/>
      </w:pPr>
      <w:r>
        <w:t xml:space="preserve">Because it is difficult to track the movements of individuals beyond their early 20s, a </w:t>
      </w:r>
      <w:r w:rsidRPr="009E7DEB">
        <w:t xml:space="preserve">retrospective approach </w:t>
      </w:r>
      <w:r>
        <w:t xml:space="preserve">was taken in order to understand the potential pathways of people with high levels of </w:t>
      </w:r>
      <w:r w:rsidRPr="009E7DEB">
        <w:t xml:space="preserve">human capital </w:t>
      </w:r>
      <w:r>
        <w:t>– that is, those with accumulated education and training.</w:t>
      </w:r>
      <w:r w:rsidRPr="009E7DEB">
        <w:t xml:space="preserve"> </w:t>
      </w:r>
      <w:r>
        <w:t>In the regional city of Bendigo, three workplaces with high numbers of professional occupations were selected for survey: Bendigo Bank; Bendigo Health, and the City of Greater Bendigo.</w:t>
      </w:r>
      <w:r w:rsidRPr="008B4C3C">
        <w:t xml:space="preserve"> </w:t>
      </w:r>
      <w:r w:rsidR="00225AA9">
        <w:t>The survey enable</w:t>
      </w:r>
      <w:r w:rsidR="00D842A9">
        <w:t>d</w:t>
      </w:r>
      <w:r w:rsidR="00225AA9">
        <w:t xml:space="preserve"> </w:t>
      </w:r>
      <w:r w:rsidRPr="008B4C3C">
        <w:t xml:space="preserve">the pathways of those who end up living in regional areas </w:t>
      </w:r>
      <w:r w:rsidR="00225AA9">
        <w:t>to</w:t>
      </w:r>
      <w:r w:rsidRPr="008B4C3C">
        <w:t xml:space="preserve"> be tracked over a longer period. The significance of capital cities in human capital development for a regional workforce can </w:t>
      </w:r>
      <w:r>
        <w:t xml:space="preserve">also </w:t>
      </w:r>
      <w:r w:rsidRPr="008B4C3C">
        <w:t xml:space="preserve">be </w:t>
      </w:r>
      <w:r>
        <w:t>explored</w:t>
      </w:r>
      <w:r w:rsidRPr="008B4C3C">
        <w:t>.</w:t>
      </w:r>
    </w:p>
    <w:p w:rsidR="00F50ECA" w:rsidRPr="00F50ECA" w:rsidRDefault="00097103" w:rsidP="0066692C">
      <w:pPr>
        <w:pStyle w:val="HeadingB"/>
      </w:pPr>
      <w:r>
        <w:t>2.</w:t>
      </w:r>
      <w:r w:rsidR="00013A7D">
        <w:t>2</w:t>
      </w:r>
      <w:r>
        <w:t xml:space="preserve"> </w:t>
      </w:r>
      <w:r w:rsidR="000374FB">
        <w:tab/>
      </w:r>
      <w:r>
        <w:t>Research method</w:t>
      </w:r>
    </w:p>
    <w:p w:rsidR="00D842A9" w:rsidRDefault="00FB2531" w:rsidP="00D842A9">
      <w:pPr>
        <w:spacing w:after="120"/>
      </w:pPr>
      <w:r>
        <w:t xml:space="preserve">A sample of professional workers in a regional location was sought for this survey. As Latrobe University Bendigo was represented on the ARC Linkage Research team, </w:t>
      </w:r>
      <w:r w:rsidR="00D842A9">
        <w:t xml:space="preserve">Bendigo was selected as the location for research with three organisations identified as potential sources for survey samples: </w:t>
      </w:r>
      <w:r>
        <w:t xml:space="preserve">the Bendigo Bank, </w:t>
      </w:r>
      <w:r>
        <w:lastRenderedPageBreak/>
        <w:t>Bendigo Health and the City of Greater Bendigo.</w:t>
      </w:r>
      <w:r w:rsidR="00D842A9">
        <w:t xml:space="preserve"> </w:t>
      </w:r>
    </w:p>
    <w:p w:rsidR="00D842A9" w:rsidRPr="008B4C3C" w:rsidRDefault="00D842A9" w:rsidP="00D842A9">
      <w:pPr>
        <w:spacing w:after="120"/>
      </w:pPr>
      <w:r w:rsidRPr="008B4C3C">
        <w:t>A total of 734 respondents took part in the surveys: 440 from Bendigo Bank; 119 from Bendigo Health (Hospital) and 175 from the City of Greater Bendigo (Council).</w:t>
      </w:r>
      <w:r>
        <w:t xml:space="preserve"> The surveys were undertaken in June and September 2015 via a web-based survey tool.</w:t>
      </w:r>
    </w:p>
    <w:p w:rsidR="00801C7E" w:rsidRDefault="00FB2531" w:rsidP="00FB2531">
      <w:pPr>
        <w:spacing w:after="120"/>
      </w:pPr>
      <w:r>
        <w:t xml:space="preserve">The survey aimed to collect information about the spatial histories of people currently working in a regional location to see whether there were typical patterns of migration for education and employment between regional and metropolitan locations. The web-based survey was conducted at Bendigo Bank over two weeks in February 2015 and concurrently at the </w:t>
      </w:r>
      <w:r w:rsidR="00225AA9">
        <w:t>H</w:t>
      </w:r>
      <w:r>
        <w:t xml:space="preserve">ospital and </w:t>
      </w:r>
      <w:r w:rsidR="00225AA9">
        <w:t>C</w:t>
      </w:r>
      <w:r>
        <w:t>ouncil in November 2015. Key questions included:</w:t>
      </w:r>
    </w:p>
    <w:p w:rsidR="00801C7E" w:rsidRDefault="00FB2531" w:rsidP="00B23AA8">
      <w:pPr>
        <w:pStyle w:val="ListParagraph"/>
        <w:numPr>
          <w:ilvl w:val="0"/>
          <w:numId w:val="23"/>
        </w:numPr>
        <w:spacing w:after="120"/>
      </w:pPr>
      <w:r>
        <w:t>Did workers originate from the local area?</w:t>
      </w:r>
    </w:p>
    <w:p w:rsidR="00FB2531" w:rsidRDefault="00FB2531" w:rsidP="00B23AA8">
      <w:pPr>
        <w:pStyle w:val="ListParagraph"/>
        <w:numPr>
          <w:ilvl w:val="0"/>
          <w:numId w:val="23"/>
        </w:numPr>
        <w:spacing w:after="120"/>
      </w:pPr>
      <w:r>
        <w:t>Did they train in the local area or did they train elsewhere and return?</w:t>
      </w:r>
    </w:p>
    <w:p w:rsidR="00FB2531" w:rsidRDefault="00FB2531" w:rsidP="00B23AA8">
      <w:pPr>
        <w:pStyle w:val="ListParagraph"/>
        <w:numPr>
          <w:ilvl w:val="0"/>
          <w:numId w:val="23"/>
        </w:numPr>
        <w:spacing w:after="120"/>
      </w:pPr>
      <w:r>
        <w:t>What have been the motivations for various migration decisions?</w:t>
      </w:r>
    </w:p>
    <w:p w:rsidR="005B6C08" w:rsidRDefault="005B6C08" w:rsidP="005B6C08">
      <w:pPr>
        <w:pStyle w:val="ListParagraph"/>
        <w:spacing w:after="120" w:line="240" w:lineRule="auto"/>
        <w:ind w:left="360"/>
      </w:pPr>
    </w:p>
    <w:p w:rsidR="00801C7E" w:rsidRDefault="00097103" w:rsidP="00EC46D9">
      <w:pPr>
        <w:pStyle w:val="HeadingB"/>
        <w:ind w:left="720" w:hanging="720"/>
      </w:pPr>
      <w:r>
        <w:t>2.</w:t>
      </w:r>
      <w:r w:rsidR="00013A7D">
        <w:t>3</w:t>
      </w:r>
      <w:r w:rsidR="000374FB">
        <w:tab/>
      </w:r>
      <w:r w:rsidR="00F71E9A">
        <w:t>S</w:t>
      </w:r>
      <w:r w:rsidR="00F71E9A" w:rsidRPr="00F50ECA">
        <w:t xml:space="preserve">ample </w:t>
      </w:r>
      <w:r w:rsidRPr="00F50ECA">
        <w:t>characteristics</w:t>
      </w:r>
    </w:p>
    <w:p w:rsidR="00EC46D9" w:rsidRDefault="00FB2531" w:rsidP="00FB2531">
      <w:pPr>
        <w:spacing w:after="120"/>
      </w:pPr>
      <w:r>
        <w:t xml:space="preserve">In </w:t>
      </w:r>
      <w:r w:rsidR="00D842A9">
        <w:t xml:space="preserve">the combined </w:t>
      </w:r>
      <w:r>
        <w:t>three samples</w:t>
      </w:r>
      <w:r w:rsidR="00D842A9">
        <w:t>(n=734)</w:t>
      </w:r>
      <w:r>
        <w:t xml:space="preserve">, female respondents </w:t>
      </w:r>
      <w:r w:rsidR="00097103">
        <w:t xml:space="preserve">(62%) </w:t>
      </w:r>
      <w:r>
        <w:t>outnumbered male</w:t>
      </w:r>
      <w:r w:rsidR="00097103">
        <w:t xml:space="preserve"> (38%)</w:t>
      </w:r>
      <w:r w:rsidR="00B23AA8">
        <w:t>.</w:t>
      </w:r>
      <w:r>
        <w:t xml:space="preserve"> The age profile of </w:t>
      </w:r>
      <w:r w:rsidR="00D842A9">
        <w:t xml:space="preserve">the samples from each of the </w:t>
      </w:r>
      <w:r>
        <w:t xml:space="preserve">three </w:t>
      </w:r>
      <w:r w:rsidR="00D842A9">
        <w:t xml:space="preserve">organisations </w:t>
      </w:r>
      <w:r>
        <w:t xml:space="preserve">is shown in Figure </w:t>
      </w:r>
      <w:r w:rsidR="00E175AF">
        <w:t>1</w:t>
      </w:r>
      <w:r w:rsidR="00D842A9">
        <w:t xml:space="preserve"> and compared to the profile for the Bendigo municipality as a whole</w:t>
      </w:r>
      <w:r>
        <w:t>. Compared to the wider working age population of Bendigo, the sample has fewer workers aged 55 plus and fewer younger than 25. The Bank sample has a younger profile than the Hospital or Council.</w:t>
      </w:r>
    </w:p>
    <w:p w:rsidR="00D23981" w:rsidRDefault="00D23981" w:rsidP="00FB2531">
      <w:pPr>
        <w:spacing w:after="120"/>
      </w:pPr>
    </w:p>
    <w:p w:rsidR="00D23981" w:rsidRDefault="00D23981" w:rsidP="00FB2531">
      <w:pPr>
        <w:spacing w:after="120"/>
        <w:sectPr w:rsidR="00D23981" w:rsidSect="00EC46D9">
          <w:type w:val="continuous"/>
          <w:pgSz w:w="11906" w:h="16838"/>
          <w:pgMar w:top="1440" w:right="1440" w:bottom="1440" w:left="1440" w:header="708" w:footer="708" w:gutter="0"/>
          <w:cols w:num="2" w:space="708"/>
          <w:docGrid w:linePitch="360"/>
        </w:sectPr>
      </w:pPr>
    </w:p>
    <w:p w:rsidR="00D842A9" w:rsidRDefault="00D842A9">
      <w:pPr>
        <w:rPr>
          <w:rFonts w:cs="Arial"/>
          <w:b/>
          <w:color w:val="404040"/>
          <w:szCs w:val="18"/>
        </w:rPr>
      </w:pPr>
      <w:r>
        <w:lastRenderedPageBreak/>
        <w:br w:type="page"/>
      </w:r>
    </w:p>
    <w:p w:rsidR="00F50ECA" w:rsidRPr="00F50ECA" w:rsidRDefault="00F50ECA" w:rsidP="005B04AD">
      <w:pPr>
        <w:pStyle w:val="Tabletitle0"/>
      </w:pPr>
      <w:r w:rsidRPr="00F50ECA">
        <w:lastRenderedPageBreak/>
        <w:t xml:space="preserve">Figure 1: </w:t>
      </w:r>
      <w:r w:rsidR="00553895" w:rsidRPr="0091068D">
        <w:t xml:space="preserve">Age profile of respondents from </w:t>
      </w:r>
      <w:r w:rsidR="00097103">
        <w:t xml:space="preserve">survey </w:t>
      </w:r>
      <w:r w:rsidR="00553895" w:rsidRPr="0091068D">
        <w:t xml:space="preserve">samples </w:t>
      </w:r>
      <w:r w:rsidR="00097103">
        <w:t>(</w:t>
      </w:r>
      <w:r w:rsidR="00553895" w:rsidRPr="0091068D">
        <w:t>2015</w:t>
      </w:r>
      <w:r w:rsidR="00097103">
        <w:t>)</w:t>
      </w:r>
      <w:r w:rsidR="00553895" w:rsidRPr="0091068D">
        <w:t xml:space="preserve"> and for the LGA</w:t>
      </w:r>
      <w:r w:rsidR="00097103">
        <w:t xml:space="preserve"> </w:t>
      </w:r>
      <w:r w:rsidR="00553895" w:rsidRPr="0091068D">
        <w:t xml:space="preserve">of Bendigo </w:t>
      </w:r>
      <w:r w:rsidR="00097103">
        <w:t>(</w:t>
      </w:r>
      <w:r w:rsidR="00553895" w:rsidRPr="0091068D">
        <w:t>2011</w:t>
      </w:r>
      <w:r w:rsidR="00097103">
        <w:t>)</w:t>
      </w:r>
    </w:p>
    <w:p w:rsidR="00F50ECA" w:rsidRPr="00F50ECA" w:rsidRDefault="00553895" w:rsidP="00F50ECA">
      <w:pPr>
        <w:pStyle w:val="DELWPbodytext"/>
      </w:pPr>
      <w:r>
        <w:rPr>
          <w:noProof/>
          <w:lang w:eastAsia="en-AU"/>
        </w:rPr>
        <w:drawing>
          <wp:inline distT="0" distB="0" distL="0" distR="0" wp14:anchorId="2A16ECFA" wp14:editId="4C8DF641">
            <wp:extent cx="3600000" cy="2893463"/>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2893463"/>
                    </a:xfrm>
                    <a:prstGeom prst="rect">
                      <a:avLst/>
                    </a:prstGeom>
                    <a:noFill/>
                    <a:ln>
                      <a:noFill/>
                    </a:ln>
                  </pic:spPr>
                </pic:pic>
              </a:graphicData>
            </a:graphic>
          </wp:inline>
        </w:drawing>
      </w:r>
    </w:p>
    <w:p w:rsidR="004E3EA7" w:rsidRDefault="004E3EA7" w:rsidP="00E175AF">
      <w:pPr>
        <w:pStyle w:val="SourceDELWP"/>
        <w:spacing w:before="0" w:after="0" w:line="240" w:lineRule="auto"/>
      </w:pPr>
      <w:r w:rsidRPr="002A32B9">
        <w:t>Source</w:t>
      </w:r>
      <w:r>
        <w:t>s</w:t>
      </w:r>
      <w:r w:rsidRPr="002A32B9">
        <w:t>: Bendigo Bank</w:t>
      </w:r>
      <w:r>
        <w:t>,</w:t>
      </w:r>
      <w:r w:rsidRPr="002A32B9">
        <w:t xml:space="preserve"> H</w:t>
      </w:r>
      <w:r>
        <w:t xml:space="preserve">ospital and </w:t>
      </w:r>
      <w:r w:rsidRPr="002A32B9">
        <w:t xml:space="preserve">Council </w:t>
      </w:r>
      <w:r>
        <w:t>S</w:t>
      </w:r>
      <w:r w:rsidRPr="002A32B9">
        <w:t>urvey</w:t>
      </w:r>
      <w:r>
        <w:t>s 2015</w:t>
      </w:r>
    </w:p>
    <w:p w:rsidR="00013A7D" w:rsidRDefault="00013A7D" w:rsidP="00E175AF">
      <w:pPr>
        <w:pStyle w:val="SourceDELWP"/>
        <w:spacing w:before="0" w:after="0" w:line="240" w:lineRule="auto"/>
        <w:sectPr w:rsidR="00013A7D" w:rsidSect="00EC46D9">
          <w:type w:val="continuous"/>
          <w:pgSz w:w="11906" w:h="16838"/>
          <w:pgMar w:top="1440" w:right="1440" w:bottom="1440" w:left="1440" w:header="708" w:footer="708" w:gutter="0"/>
          <w:cols w:space="708"/>
          <w:docGrid w:linePitch="360"/>
        </w:sectPr>
      </w:pPr>
    </w:p>
    <w:p w:rsidR="00EC46D9" w:rsidRDefault="00013A7D" w:rsidP="00013A7D">
      <w:pPr>
        <w:pStyle w:val="HeadingA"/>
        <w:sectPr w:rsidR="00EC46D9" w:rsidSect="00257DB0">
          <w:headerReference w:type="default" r:id="rId30"/>
          <w:pgSz w:w="11906" w:h="16838"/>
          <w:pgMar w:top="1440" w:right="1440" w:bottom="1440" w:left="1440" w:header="708" w:footer="708" w:gutter="0"/>
          <w:cols w:space="708"/>
          <w:docGrid w:linePitch="360"/>
        </w:sectPr>
      </w:pPr>
      <w:r w:rsidRPr="00F50ECA">
        <w:lastRenderedPageBreak/>
        <w:t xml:space="preserve">Chapter </w:t>
      </w:r>
      <w:r>
        <w:t>3</w:t>
      </w:r>
      <w:r w:rsidRPr="00F50ECA">
        <w:t xml:space="preserve">: </w:t>
      </w:r>
      <w:r>
        <w:t>Survey Findings</w:t>
      </w:r>
    </w:p>
    <w:p w:rsidR="00F50ECA" w:rsidRPr="00F50ECA" w:rsidRDefault="00F50ECA" w:rsidP="00EC46D9">
      <w:pPr>
        <w:pStyle w:val="HeadingB"/>
        <w:ind w:left="720" w:hanging="720"/>
      </w:pPr>
      <w:r w:rsidRPr="00F50ECA">
        <w:lastRenderedPageBreak/>
        <w:t>3</w:t>
      </w:r>
      <w:r w:rsidR="00013A7D">
        <w:t>.1</w:t>
      </w:r>
      <w:r w:rsidRPr="00F50ECA">
        <w:tab/>
      </w:r>
      <w:r w:rsidR="00013A7D" w:rsidRPr="00F50ECA">
        <w:t>Locational backgrounds of the respondents</w:t>
      </w:r>
    </w:p>
    <w:p w:rsidR="00553895" w:rsidRDefault="00553895" w:rsidP="00E64CCC">
      <w:pPr>
        <w:spacing w:before="120" w:after="120"/>
        <w:ind w:right="-188"/>
      </w:pPr>
      <w:r>
        <w:t>When the survey sample is considered as a whole, around a third of respondents were born in Bendigo (32.5%), a third in other parts of regional Victoria (32%) and 19</w:t>
      </w:r>
      <w:r w:rsidR="003D5269">
        <w:t xml:space="preserve"> per cent</w:t>
      </w:r>
      <w:r>
        <w:t xml:space="preserve"> in Melbourne. Other capital cities and interstate regional areas each accounted for less than 5 per cent of the sample while overseas born made up 8 per cent. All regional </w:t>
      </w:r>
      <w:r w:rsidR="00734C03">
        <w:t xml:space="preserve">locations </w:t>
      </w:r>
      <w:r>
        <w:t xml:space="preserve">(Bendigo, </w:t>
      </w:r>
      <w:r w:rsidR="00E64CCC">
        <w:t>R</w:t>
      </w:r>
      <w:r>
        <w:t xml:space="preserve">egional Victoria and </w:t>
      </w:r>
      <w:r w:rsidR="00E64CCC">
        <w:t>R</w:t>
      </w:r>
      <w:r>
        <w:t>egional</w:t>
      </w:r>
      <w:r w:rsidR="00E64CCC">
        <w:t>-Interstate</w:t>
      </w:r>
      <w:r>
        <w:t>) amounted to 69 per cent of the combined sample.</w:t>
      </w:r>
    </w:p>
    <w:p w:rsidR="00013A7D" w:rsidRPr="00E175AF" w:rsidRDefault="00013A7D" w:rsidP="00E64CCC">
      <w:pPr>
        <w:pStyle w:val="SourceDELWP"/>
        <w:spacing w:line="240" w:lineRule="auto"/>
        <w:rPr>
          <w:b w:val="0"/>
          <w:color w:val="auto"/>
          <w:sz w:val="22"/>
        </w:rPr>
      </w:pPr>
      <w:r w:rsidRPr="00E175AF">
        <w:rPr>
          <w:b w:val="0"/>
          <w:color w:val="auto"/>
          <w:sz w:val="22"/>
        </w:rPr>
        <w:lastRenderedPageBreak/>
        <w:t xml:space="preserve">When the three organisations are compared, there is a notable dominance of the Bendigo-born at the Bank with 39 per cent of respondents being in this category compared to 26 per cent at the Council and only 19 per cent at the hospital (table </w:t>
      </w:r>
      <w:r>
        <w:rPr>
          <w:b w:val="0"/>
          <w:color w:val="auto"/>
          <w:sz w:val="22"/>
        </w:rPr>
        <w:t>1</w:t>
      </w:r>
      <w:r w:rsidRPr="00E175AF">
        <w:rPr>
          <w:b w:val="0"/>
          <w:color w:val="auto"/>
          <w:sz w:val="22"/>
        </w:rPr>
        <w:t>). The Hospital shows a larger share originating from Melbourne (30%), however, it also has the highest proportion for those born in regional Victoria (38% compared to 31% at both the Bank and the Council).</w:t>
      </w:r>
    </w:p>
    <w:p w:rsidR="00EC46D9" w:rsidRDefault="00EC46D9" w:rsidP="00E64CCC">
      <w:pPr>
        <w:spacing w:before="120" w:after="120"/>
        <w:ind w:right="-188"/>
        <w:sectPr w:rsidR="00EC46D9" w:rsidSect="00EC46D9">
          <w:type w:val="continuous"/>
          <w:pgSz w:w="11906" w:h="16838"/>
          <w:pgMar w:top="1440" w:right="1440" w:bottom="1440" w:left="1440" w:header="708" w:footer="708" w:gutter="0"/>
          <w:cols w:num="2" w:space="708"/>
          <w:docGrid w:linePitch="360"/>
        </w:sectPr>
      </w:pPr>
    </w:p>
    <w:p w:rsidR="00013A7D" w:rsidRPr="003D5269" w:rsidRDefault="00013A7D" w:rsidP="00E64CCC">
      <w:pPr>
        <w:spacing w:before="120" w:after="120"/>
        <w:ind w:right="-188"/>
        <w:rPr>
          <w:sz w:val="8"/>
        </w:rPr>
      </w:pPr>
    </w:p>
    <w:p w:rsidR="00F50ECA" w:rsidRPr="002A32B9" w:rsidRDefault="00F50ECA" w:rsidP="005B04AD">
      <w:pPr>
        <w:pStyle w:val="Tabletitle0"/>
      </w:pPr>
      <w:r w:rsidRPr="002A32B9">
        <w:t xml:space="preserve">Table </w:t>
      </w:r>
      <w:r w:rsidR="00013A7D">
        <w:t>1</w:t>
      </w:r>
      <w:r w:rsidRPr="002A32B9">
        <w:t>: Birthplace of respondents</w:t>
      </w:r>
      <w:r w:rsidR="002A32B9" w:rsidRPr="002A32B9">
        <w:t>, Bank, Hospital and Council samples</w:t>
      </w:r>
    </w:p>
    <w:tbl>
      <w:tblPr>
        <w:tblStyle w:val="DELWPTable"/>
        <w:tblW w:w="9600" w:type="dxa"/>
        <w:tblLook w:val="04A0" w:firstRow="1" w:lastRow="0" w:firstColumn="1" w:lastColumn="0" w:noHBand="0" w:noVBand="1"/>
      </w:tblPr>
      <w:tblGrid>
        <w:gridCol w:w="4080"/>
        <w:gridCol w:w="1840"/>
        <w:gridCol w:w="1840"/>
        <w:gridCol w:w="1840"/>
      </w:tblGrid>
      <w:tr w:rsidR="00553895" w:rsidRPr="004E3EA7" w:rsidTr="002A32B9">
        <w:trPr>
          <w:cnfStyle w:val="100000000000" w:firstRow="1" w:lastRow="0" w:firstColumn="0" w:lastColumn="0" w:oddVBand="0" w:evenVBand="0" w:oddHBand="0" w:evenHBand="0" w:firstRowFirstColumn="0" w:firstRowLastColumn="0" w:lastRowFirstColumn="0" w:lastRowLastColumn="0"/>
          <w:trHeight w:val="318"/>
        </w:trPr>
        <w:tc>
          <w:tcPr>
            <w:tcW w:w="4080" w:type="dxa"/>
          </w:tcPr>
          <w:p w:rsidR="00553895" w:rsidRPr="004E3EA7" w:rsidRDefault="00553895" w:rsidP="004E3EA7">
            <w:pPr>
              <w:pStyle w:val="DELWPbodytext"/>
              <w:rPr>
                <w:b/>
                <w:color w:val="FFFFFF" w:themeColor="background1"/>
                <w:sz w:val="20"/>
              </w:rPr>
            </w:pPr>
          </w:p>
        </w:tc>
        <w:tc>
          <w:tcPr>
            <w:tcW w:w="1840" w:type="dxa"/>
            <w:noWrap/>
          </w:tcPr>
          <w:p w:rsidR="00553895" w:rsidRPr="004E3EA7" w:rsidRDefault="00553895" w:rsidP="00553895">
            <w:pPr>
              <w:pStyle w:val="DELWPbodytext"/>
              <w:jc w:val="center"/>
              <w:rPr>
                <w:b/>
                <w:color w:val="FFFFFF" w:themeColor="background1"/>
                <w:sz w:val="20"/>
              </w:rPr>
            </w:pPr>
            <w:r w:rsidRPr="004E3EA7">
              <w:rPr>
                <w:b/>
                <w:color w:val="FFFFFF" w:themeColor="background1"/>
                <w:sz w:val="20"/>
              </w:rPr>
              <w:t>BANK</w:t>
            </w:r>
          </w:p>
        </w:tc>
        <w:tc>
          <w:tcPr>
            <w:tcW w:w="1840" w:type="dxa"/>
          </w:tcPr>
          <w:p w:rsidR="00553895" w:rsidRPr="004E3EA7" w:rsidRDefault="00553895" w:rsidP="00553895">
            <w:pPr>
              <w:pStyle w:val="DELWPbodytext"/>
              <w:jc w:val="center"/>
              <w:rPr>
                <w:b/>
                <w:color w:val="FFFFFF" w:themeColor="background1"/>
                <w:sz w:val="20"/>
              </w:rPr>
            </w:pPr>
            <w:r w:rsidRPr="004E3EA7">
              <w:rPr>
                <w:b/>
                <w:color w:val="FFFFFF" w:themeColor="background1"/>
                <w:sz w:val="20"/>
              </w:rPr>
              <w:t>HOSPITAL</w:t>
            </w:r>
          </w:p>
        </w:tc>
        <w:tc>
          <w:tcPr>
            <w:tcW w:w="1840" w:type="dxa"/>
          </w:tcPr>
          <w:p w:rsidR="00553895" w:rsidRPr="004E3EA7" w:rsidRDefault="00553895" w:rsidP="00553895">
            <w:pPr>
              <w:pStyle w:val="DELWPbodytext"/>
              <w:jc w:val="center"/>
              <w:rPr>
                <w:b/>
                <w:color w:val="FFFFFF" w:themeColor="background1"/>
                <w:sz w:val="20"/>
              </w:rPr>
            </w:pPr>
            <w:r w:rsidRPr="004E3EA7">
              <w:rPr>
                <w:b/>
                <w:color w:val="FFFFFF" w:themeColor="background1"/>
                <w:sz w:val="20"/>
              </w:rPr>
              <w:t>COUNCIL</w:t>
            </w:r>
          </w:p>
        </w:tc>
      </w:tr>
    </w:tbl>
    <w:p w:rsidR="00553895" w:rsidRPr="00553895" w:rsidRDefault="00553895" w:rsidP="00553895">
      <w:pPr>
        <w:pStyle w:val="Tabletitle0"/>
        <w:spacing w:after="0" w:line="240" w:lineRule="auto"/>
        <w:rPr>
          <w:sz w:val="2"/>
        </w:rPr>
      </w:pPr>
    </w:p>
    <w:tbl>
      <w:tblPr>
        <w:tblStyle w:val="DELWPTable"/>
        <w:tblW w:w="9600" w:type="dxa"/>
        <w:tblLook w:val="04A0" w:firstRow="1" w:lastRow="0" w:firstColumn="1" w:lastColumn="0" w:noHBand="0" w:noVBand="1"/>
      </w:tblPr>
      <w:tblGrid>
        <w:gridCol w:w="4080"/>
        <w:gridCol w:w="920"/>
        <w:gridCol w:w="920"/>
        <w:gridCol w:w="920"/>
        <w:gridCol w:w="920"/>
        <w:gridCol w:w="920"/>
        <w:gridCol w:w="920"/>
      </w:tblGrid>
      <w:tr w:rsidR="00553895" w:rsidRPr="004E3EA7" w:rsidTr="002A32B9">
        <w:trPr>
          <w:cnfStyle w:val="100000000000" w:firstRow="1" w:lastRow="0" w:firstColumn="0" w:lastColumn="0" w:oddVBand="0" w:evenVBand="0" w:oddHBand="0" w:evenHBand="0" w:firstRowFirstColumn="0" w:firstRowLastColumn="0" w:lastRowFirstColumn="0" w:lastRowLastColumn="0"/>
          <w:trHeight w:val="255"/>
        </w:trPr>
        <w:tc>
          <w:tcPr>
            <w:tcW w:w="4080" w:type="dxa"/>
            <w:tcBorders>
              <w:right w:val="single" w:sz="4" w:space="0" w:color="auto"/>
            </w:tcBorders>
          </w:tcPr>
          <w:p w:rsidR="00553895" w:rsidRPr="004E3EA7" w:rsidRDefault="002A32B9" w:rsidP="00F50ECA">
            <w:pPr>
              <w:pStyle w:val="DELWPbodytext"/>
              <w:rPr>
                <w:b/>
                <w:color w:val="FFFFFF" w:themeColor="background1"/>
                <w:sz w:val="20"/>
              </w:rPr>
            </w:pPr>
            <w:r w:rsidRPr="004E3EA7">
              <w:rPr>
                <w:b/>
                <w:color w:val="FFFFFF" w:themeColor="background1"/>
                <w:sz w:val="20"/>
              </w:rPr>
              <w:t>Where were you born?</w:t>
            </w:r>
          </w:p>
        </w:tc>
        <w:tc>
          <w:tcPr>
            <w:tcW w:w="920" w:type="dxa"/>
            <w:tcBorders>
              <w:top w:val="nil"/>
              <w:left w:val="single" w:sz="4" w:space="0" w:color="auto"/>
            </w:tcBorders>
            <w:noWrap/>
          </w:tcPr>
          <w:p w:rsidR="00553895" w:rsidRPr="004E3EA7" w:rsidRDefault="00553895" w:rsidP="00553895">
            <w:pPr>
              <w:pStyle w:val="DELWPbodytext"/>
              <w:jc w:val="center"/>
              <w:rPr>
                <w:b/>
                <w:color w:val="FFFFFF" w:themeColor="background1"/>
                <w:sz w:val="20"/>
              </w:rPr>
            </w:pPr>
            <w:r w:rsidRPr="004E3EA7">
              <w:rPr>
                <w:b/>
                <w:color w:val="FFFFFF" w:themeColor="background1"/>
                <w:sz w:val="20"/>
              </w:rPr>
              <w:t>No</w:t>
            </w:r>
          </w:p>
        </w:tc>
        <w:tc>
          <w:tcPr>
            <w:tcW w:w="920" w:type="dxa"/>
            <w:tcBorders>
              <w:right w:val="single" w:sz="4" w:space="0" w:color="auto"/>
            </w:tcBorders>
            <w:noWrap/>
          </w:tcPr>
          <w:p w:rsidR="00553895" w:rsidRPr="004E3EA7" w:rsidRDefault="00553895" w:rsidP="00553895">
            <w:pPr>
              <w:pStyle w:val="DELWPbodytext"/>
              <w:jc w:val="center"/>
              <w:rPr>
                <w:b/>
                <w:color w:val="FFFFFF" w:themeColor="background1"/>
                <w:sz w:val="20"/>
              </w:rPr>
            </w:pPr>
            <w:r w:rsidRPr="004E3EA7">
              <w:rPr>
                <w:b/>
                <w:color w:val="FFFFFF" w:themeColor="background1"/>
                <w:sz w:val="20"/>
              </w:rPr>
              <w:t>%</w:t>
            </w:r>
          </w:p>
        </w:tc>
        <w:tc>
          <w:tcPr>
            <w:tcW w:w="920" w:type="dxa"/>
            <w:tcBorders>
              <w:top w:val="nil"/>
              <w:left w:val="single" w:sz="4" w:space="0" w:color="auto"/>
            </w:tcBorders>
          </w:tcPr>
          <w:p w:rsidR="00553895" w:rsidRPr="004E3EA7" w:rsidRDefault="00553895" w:rsidP="004E3EA7">
            <w:pPr>
              <w:pStyle w:val="DELWPbodytext"/>
              <w:jc w:val="center"/>
              <w:rPr>
                <w:b/>
                <w:color w:val="FFFFFF" w:themeColor="background1"/>
                <w:sz w:val="20"/>
              </w:rPr>
            </w:pPr>
            <w:r w:rsidRPr="004E3EA7">
              <w:rPr>
                <w:b/>
                <w:color w:val="FFFFFF" w:themeColor="background1"/>
                <w:sz w:val="20"/>
              </w:rPr>
              <w:t>No</w:t>
            </w:r>
          </w:p>
        </w:tc>
        <w:tc>
          <w:tcPr>
            <w:tcW w:w="920" w:type="dxa"/>
            <w:tcBorders>
              <w:right w:val="single" w:sz="4" w:space="0" w:color="auto"/>
            </w:tcBorders>
          </w:tcPr>
          <w:p w:rsidR="00553895" w:rsidRPr="004E3EA7" w:rsidRDefault="00553895" w:rsidP="004E3EA7">
            <w:pPr>
              <w:pStyle w:val="DELWPbodytext"/>
              <w:jc w:val="center"/>
              <w:rPr>
                <w:b/>
                <w:color w:val="FFFFFF" w:themeColor="background1"/>
                <w:sz w:val="20"/>
              </w:rPr>
            </w:pPr>
            <w:r w:rsidRPr="004E3EA7">
              <w:rPr>
                <w:b/>
                <w:color w:val="FFFFFF" w:themeColor="background1"/>
                <w:sz w:val="20"/>
              </w:rPr>
              <w:t>%</w:t>
            </w:r>
          </w:p>
        </w:tc>
        <w:tc>
          <w:tcPr>
            <w:tcW w:w="920" w:type="dxa"/>
            <w:tcBorders>
              <w:top w:val="nil"/>
              <w:left w:val="single" w:sz="4" w:space="0" w:color="auto"/>
            </w:tcBorders>
          </w:tcPr>
          <w:p w:rsidR="00553895" w:rsidRPr="004E3EA7" w:rsidRDefault="00553895" w:rsidP="004E3EA7">
            <w:pPr>
              <w:pStyle w:val="DELWPbodytext"/>
              <w:jc w:val="center"/>
              <w:rPr>
                <w:b/>
                <w:color w:val="FFFFFF" w:themeColor="background1"/>
                <w:sz w:val="20"/>
              </w:rPr>
            </w:pPr>
            <w:r w:rsidRPr="004E3EA7">
              <w:rPr>
                <w:b/>
                <w:color w:val="FFFFFF" w:themeColor="background1"/>
                <w:sz w:val="20"/>
              </w:rPr>
              <w:t>No</w:t>
            </w:r>
          </w:p>
        </w:tc>
        <w:tc>
          <w:tcPr>
            <w:tcW w:w="920" w:type="dxa"/>
          </w:tcPr>
          <w:p w:rsidR="00553895" w:rsidRPr="004E3EA7" w:rsidRDefault="00553895" w:rsidP="004E3EA7">
            <w:pPr>
              <w:pStyle w:val="DELWPbodytext"/>
              <w:jc w:val="center"/>
              <w:rPr>
                <w:b/>
                <w:color w:val="FFFFFF" w:themeColor="background1"/>
                <w:sz w:val="20"/>
              </w:rPr>
            </w:pPr>
            <w:r w:rsidRPr="004E3EA7">
              <w:rPr>
                <w:b/>
                <w:color w:val="FFFFFF" w:themeColor="background1"/>
                <w:sz w:val="20"/>
              </w:rPr>
              <w:t>%</w:t>
            </w:r>
          </w:p>
        </w:tc>
      </w:tr>
      <w:tr w:rsidR="00553895" w:rsidRPr="004E3EA7" w:rsidTr="002A32B9">
        <w:trPr>
          <w:trHeight w:val="255"/>
        </w:trPr>
        <w:tc>
          <w:tcPr>
            <w:tcW w:w="4080" w:type="dxa"/>
            <w:tcBorders>
              <w:right w:val="single" w:sz="4" w:space="0" w:color="auto"/>
            </w:tcBorders>
            <w:hideMark/>
          </w:tcPr>
          <w:p w:rsidR="00553895" w:rsidRPr="004E3EA7" w:rsidRDefault="00553895" w:rsidP="00E175AF">
            <w:pPr>
              <w:pStyle w:val="DELWPbodytext"/>
              <w:spacing w:afterLines="0" w:after="0" w:line="240" w:lineRule="auto"/>
              <w:rPr>
                <w:sz w:val="20"/>
              </w:rPr>
            </w:pPr>
            <w:r w:rsidRPr="004E3EA7">
              <w:rPr>
                <w:sz w:val="20"/>
              </w:rPr>
              <w:t>Bendigo</w:t>
            </w:r>
          </w:p>
        </w:tc>
        <w:tc>
          <w:tcPr>
            <w:tcW w:w="920" w:type="dxa"/>
            <w:tcBorders>
              <w:top w:val="single" w:sz="4" w:space="0" w:color="228591"/>
              <w:left w:val="single" w:sz="4" w:space="0" w:color="auto"/>
            </w:tcBorders>
            <w:noWrap/>
          </w:tcPr>
          <w:p w:rsidR="00553895" w:rsidRPr="004E3EA7" w:rsidRDefault="004C76F0" w:rsidP="00E175AF">
            <w:pPr>
              <w:pStyle w:val="DELWPbodytext"/>
              <w:spacing w:afterLines="0" w:after="0" w:line="240" w:lineRule="auto"/>
              <w:jc w:val="center"/>
              <w:rPr>
                <w:sz w:val="20"/>
              </w:rPr>
            </w:pPr>
            <w:r w:rsidRPr="004E3EA7">
              <w:rPr>
                <w:sz w:val="20"/>
              </w:rPr>
              <w:t>171</w:t>
            </w:r>
          </w:p>
        </w:tc>
        <w:tc>
          <w:tcPr>
            <w:tcW w:w="920" w:type="dxa"/>
            <w:tcBorders>
              <w:right w:val="single" w:sz="4" w:space="0" w:color="auto"/>
            </w:tcBorders>
            <w:noWrap/>
          </w:tcPr>
          <w:p w:rsidR="00553895" w:rsidRPr="004E3EA7" w:rsidRDefault="00553895" w:rsidP="00E175AF">
            <w:pPr>
              <w:pStyle w:val="DELWPbodytext"/>
              <w:spacing w:afterLines="0" w:after="0" w:line="240" w:lineRule="auto"/>
              <w:jc w:val="center"/>
              <w:rPr>
                <w:sz w:val="20"/>
              </w:rPr>
            </w:pPr>
            <w:r w:rsidRPr="004E3EA7">
              <w:rPr>
                <w:sz w:val="20"/>
              </w:rPr>
              <w:t>39</w:t>
            </w:r>
          </w:p>
        </w:tc>
        <w:tc>
          <w:tcPr>
            <w:tcW w:w="920" w:type="dxa"/>
            <w:tcBorders>
              <w:top w:val="single" w:sz="4" w:space="0" w:color="228591"/>
              <w:left w:val="single" w:sz="4" w:space="0" w:color="auto"/>
            </w:tcBorders>
          </w:tcPr>
          <w:p w:rsidR="00553895" w:rsidRPr="004E3EA7" w:rsidRDefault="004C76F0" w:rsidP="00E175AF">
            <w:pPr>
              <w:pStyle w:val="DELWPbodytext"/>
              <w:spacing w:afterLines="0" w:after="0" w:line="240" w:lineRule="auto"/>
              <w:jc w:val="center"/>
              <w:rPr>
                <w:sz w:val="20"/>
              </w:rPr>
            </w:pPr>
            <w:r w:rsidRPr="004E3EA7">
              <w:rPr>
                <w:sz w:val="20"/>
              </w:rPr>
              <w:t>22</w:t>
            </w:r>
          </w:p>
        </w:tc>
        <w:tc>
          <w:tcPr>
            <w:tcW w:w="920" w:type="dxa"/>
            <w:tcBorders>
              <w:right w:val="single" w:sz="4" w:space="0" w:color="auto"/>
            </w:tcBorders>
          </w:tcPr>
          <w:p w:rsidR="00553895" w:rsidRPr="004E3EA7" w:rsidRDefault="00553895" w:rsidP="00E175AF">
            <w:pPr>
              <w:pStyle w:val="DELWPbodytext"/>
              <w:spacing w:afterLines="0" w:after="0" w:line="240" w:lineRule="auto"/>
              <w:jc w:val="center"/>
              <w:rPr>
                <w:sz w:val="20"/>
              </w:rPr>
            </w:pPr>
            <w:r w:rsidRPr="004E3EA7">
              <w:rPr>
                <w:sz w:val="20"/>
              </w:rPr>
              <w:t>19</w:t>
            </w:r>
          </w:p>
        </w:tc>
        <w:tc>
          <w:tcPr>
            <w:tcW w:w="920" w:type="dxa"/>
            <w:tcBorders>
              <w:top w:val="single" w:sz="4" w:space="0" w:color="228591"/>
              <w:left w:val="single" w:sz="4" w:space="0" w:color="auto"/>
            </w:tcBorders>
          </w:tcPr>
          <w:p w:rsidR="00553895" w:rsidRPr="004E3EA7" w:rsidRDefault="00C85338" w:rsidP="00E175AF">
            <w:pPr>
              <w:pStyle w:val="DELWPbodytext"/>
              <w:spacing w:afterLines="0" w:after="0" w:line="240" w:lineRule="auto"/>
              <w:jc w:val="center"/>
              <w:rPr>
                <w:sz w:val="20"/>
              </w:rPr>
            </w:pPr>
            <w:r w:rsidRPr="004E3EA7">
              <w:rPr>
                <w:sz w:val="20"/>
              </w:rPr>
              <w:t>45</w:t>
            </w:r>
          </w:p>
        </w:tc>
        <w:tc>
          <w:tcPr>
            <w:tcW w:w="920" w:type="dxa"/>
          </w:tcPr>
          <w:p w:rsidR="00553895" w:rsidRPr="004E3EA7" w:rsidRDefault="004C76F0" w:rsidP="00E175AF">
            <w:pPr>
              <w:pStyle w:val="DELWPbodytext"/>
              <w:spacing w:afterLines="0" w:after="0" w:line="240" w:lineRule="auto"/>
              <w:jc w:val="center"/>
              <w:rPr>
                <w:sz w:val="20"/>
              </w:rPr>
            </w:pPr>
            <w:r w:rsidRPr="004E3EA7">
              <w:rPr>
                <w:sz w:val="20"/>
              </w:rPr>
              <w:t>26</w:t>
            </w:r>
          </w:p>
        </w:tc>
      </w:tr>
      <w:tr w:rsidR="00553895" w:rsidRPr="004E3EA7" w:rsidTr="002A32B9">
        <w:trPr>
          <w:trHeight w:val="255"/>
        </w:trPr>
        <w:tc>
          <w:tcPr>
            <w:tcW w:w="4080" w:type="dxa"/>
            <w:tcBorders>
              <w:right w:val="single" w:sz="4" w:space="0" w:color="auto"/>
            </w:tcBorders>
            <w:hideMark/>
          </w:tcPr>
          <w:p w:rsidR="00553895" w:rsidRPr="004E3EA7" w:rsidRDefault="00553895" w:rsidP="00E175AF">
            <w:pPr>
              <w:pStyle w:val="DELWPbodytext"/>
              <w:spacing w:afterLines="0" w:after="0" w:line="240" w:lineRule="auto"/>
              <w:rPr>
                <w:sz w:val="20"/>
              </w:rPr>
            </w:pPr>
            <w:r w:rsidRPr="004E3EA7">
              <w:rPr>
                <w:sz w:val="20"/>
              </w:rPr>
              <w:t>Melbourne</w:t>
            </w:r>
          </w:p>
        </w:tc>
        <w:tc>
          <w:tcPr>
            <w:tcW w:w="920" w:type="dxa"/>
            <w:tcBorders>
              <w:top w:val="single" w:sz="4" w:space="0" w:color="228591"/>
              <w:left w:val="single" w:sz="4" w:space="0" w:color="auto"/>
            </w:tcBorders>
            <w:noWrap/>
          </w:tcPr>
          <w:p w:rsidR="00553895" w:rsidRPr="004E3EA7" w:rsidRDefault="004C76F0" w:rsidP="00E175AF">
            <w:pPr>
              <w:pStyle w:val="DELWPbodytext"/>
              <w:spacing w:afterLines="0" w:after="0" w:line="240" w:lineRule="auto"/>
              <w:jc w:val="center"/>
              <w:rPr>
                <w:sz w:val="20"/>
              </w:rPr>
            </w:pPr>
            <w:r w:rsidRPr="004E3EA7">
              <w:rPr>
                <w:sz w:val="20"/>
              </w:rPr>
              <w:t>70</w:t>
            </w:r>
          </w:p>
        </w:tc>
        <w:tc>
          <w:tcPr>
            <w:tcW w:w="920" w:type="dxa"/>
            <w:tcBorders>
              <w:right w:val="single" w:sz="4" w:space="0" w:color="auto"/>
            </w:tcBorders>
            <w:noWrap/>
          </w:tcPr>
          <w:p w:rsidR="00553895" w:rsidRPr="004E3EA7" w:rsidRDefault="00553895" w:rsidP="00E175AF">
            <w:pPr>
              <w:pStyle w:val="DELWPbodytext"/>
              <w:spacing w:afterLines="0" w:after="0" w:line="240" w:lineRule="auto"/>
              <w:jc w:val="center"/>
              <w:rPr>
                <w:sz w:val="20"/>
              </w:rPr>
            </w:pPr>
            <w:r w:rsidRPr="004E3EA7">
              <w:rPr>
                <w:sz w:val="20"/>
              </w:rPr>
              <w:t>16</w:t>
            </w:r>
          </w:p>
        </w:tc>
        <w:tc>
          <w:tcPr>
            <w:tcW w:w="920" w:type="dxa"/>
            <w:tcBorders>
              <w:top w:val="single" w:sz="4" w:space="0" w:color="228591"/>
              <w:left w:val="single" w:sz="4" w:space="0" w:color="auto"/>
            </w:tcBorders>
          </w:tcPr>
          <w:p w:rsidR="00553895" w:rsidRPr="004E3EA7" w:rsidRDefault="004C76F0" w:rsidP="00E175AF">
            <w:pPr>
              <w:pStyle w:val="DELWPbodytext"/>
              <w:spacing w:afterLines="0" w:after="0" w:line="240" w:lineRule="auto"/>
              <w:jc w:val="center"/>
              <w:rPr>
                <w:sz w:val="20"/>
              </w:rPr>
            </w:pPr>
            <w:r w:rsidRPr="004E3EA7">
              <w:rPr>
                <w:sz w:val="20"/>
              </w:rPr>
              <w:t>35</w:t>
            </w:r>
          </w:p>
        </w:tc>
        <w:tc>
          <w:tcPr>
            <w:tcW w:w="920" w:type="dxa"/>
            <w:tcBorders>
              <w:right w:val="single" w:sz="4" w:space="0" w:color="auto"/>
            </w:tcBorders>
          </w:tcPr>
          <w:p w:rsidR="00553895" w:rsidRPr="004E3EA7" w:rsidRDefault="00553895" w:rsidP="00E175AF">
            <w:pPr>
              <w:pStyle w:val="DELWPbodytext"/>
              <w:spacing w:afterLines="0" w:after="0" w:line="240" w:lineRule="auto"/>
              <w:jc w:val="center"/>
              <w:rPr>
                <w:sz w:val="20"/>
              </w:rPr>
            </w:pPr>
            <w:r w:rsidRPr="004E3EA7">
              <w:rPr>
                <w:sz w:val="20"/>
              </w:rPr>
              <w:t>30</w:t>
            </w:r>
          </w:p>
        </w:tc>
        <w:tc>
          <w:tcPr>
            <w:tcW w:w="920" w:type="dxa"/>
            <w:tcBorders>
              <w:top w:val="single" w:sz="4" w:space="0" w:color="228591"/>
              <w:left w:val="single" w:sz="4" w:space="0" w:color="auto"/>
            </w:tcBorders>
          </w:tcPr>
          <w:p w:rsidR="00553895" w:rsidRPr="004E3EA7" w:rsidRDefault="00C85338" w:rsidP="00E175AF">
            <w:pPr>
              <w:pStyle w:val="DELWPbodytext"/>
              <w:spacing w:afterLines="0" w:after="0" w:line="240" w:lineRule="auto"/>
              <w:jc w:val="center"/>
              <w:rPr>
                <w:sz w:val="20"/>
              </w:rPr>
            </w:pPr>
            <w:r w:rsidRPr="004E3EA7">
              <w:rPr>
                <w:sz w:val="20"/>
              </w:rPr>
              <w:t>34</w:t>
            </w:r>
          </w:p>
        </w:tc>
        <w:tc>
          <w:tcPr>
            <w:tcW w:w="920" w:type="dxa"/>
          </w:tcPr>
          <w:p w:rsidR="00553895" w:rsidRPr="004E3EA7" w:rsidRDefault="004C76F0" w:rsidP="00E175AF">
            <w:pPr>
              <w:pStyle w:val="DELWPbodytext"/>
              <w:spacing w:afterLines="0" w:after="0" w:line="240" w:lineRule="auto"/>
              <w:jc w:val="center"/>
              <w:rPr>
                <w:sz w:val="20"/>
              </w:rPr>
            </w:pPr>
            <w:r w:rsidRPr="004E3EA7">
              <w:rPr>
                <w:sz w:val="20"/>
              </w:rPr>
              <w:t>19</w:t>
            </w:r>
          </w:p>
        </w:tc>
      </w:tr>
      <w:tr w:rsidR="00553895" w:rsidRPr="004E3EA7" w:rsidTr="002A32B9">
        <w:trPr>
          <w:trHeight w:val="255"/>
        </w:trPr>
        <w:tc>
          <w:tcPr>
            <w:tcW w:w="4080" w:type="dxa"/>
            <w:tcBorders>
              <w:right w:val="single" w:sz="4" w:space="0" w:color="auto"/>
            </w:tcBorders>
            <w:hideMark/>
          </w:tcPr>
          <w:p w:rsidR="00553895" w:rsidRPr="004E3EA7" w:rsidRDefault="00553895" w:rsidP="00E175AF">
            <w:pPr>
              <w:pStyle w:val="DELWPbodytext"/>
              <w:spacing w:afterLines="0" w:after="0" w:line="240" w:lineRule="auto"/>
              <w:rPr>
                <w:sz w:val="20"/>
              </w:rPr>
            </w:pPr>
            <w:r w:rsidRPr="004E3EA7">
              <w:rPr>
                <w:sz w:val="20"/>
              </w:rPr>
              <w:t xml:space="preserve">Capital </w:t>
            </w:r>
            <w:r w:rsidR="004C76F0" w:rsidRPr="004E3EA7">
              <w:rPr>
                <w:sz w:val="20"/>
              </w:rPr>
              <w:t>C</w:t>
            </w:r>
            <w:r w:rsidRPr="004E3EA7">
              <w:rPr>
                <w:sz w:val="20"/>
              </w:rPr>
              <w:t>ity – Interstate</w:t>
            </w:r>
          </w:p>
        </w:tc>
        <w:tc>
          <w:tcPr>
            <w:tcW w:w="920" w:type="dxa"/>
            <w:tcBorders>
              <w:top w:val="single" w:sz="4" w:space="0" w:color="228591"/>
              <w:left w:val="single" w:sz="4" w:space="0" w:color="auto"/>
            </w:tcBorders>
            <w:noWrap/>
          </w:tcPr>
          <w:p w:rsidR="00553895" w:rsidRPr="004E3EA7" w:rsidRDefault="004C76F0" w:rsidP="00E175AF">
            <w:pPr>
              <w:pStyle w:val="DELWPbodytext"/>
              <w:spacing w:afterLines="0" w:after="0" w:line="240" w:lineRule="auto"/>
              <w:jc w:val="center"/>
              <w:rPr>
                <w:sz w:val="20"/>
              </w:rPr>
            </w:pPr>
            <w:r w:rsidRPr="004E3EA7">
              <w:rPr>
                <w:sz w:val="20"/>
              </w:rPr>
              <w:t>11</w:t>
            </w:r>
          </w:p>
        </w:tc>
        <w:tc>
          <w:tcPr>
            <w:tcW w:w="920" w:type="dxa"/>
            <w:tcBorders>
              <w:right w:val="single" w:sz="4" w:space="0" w:color="auto"/>
            </w:tcBorders>
            <w:noWrap/>
          </w:tcPr>
          <w:p w:rsidR="00553895" w:rsidRPr="004E3EA7" w:rsidRDefault="00553895" w:rsidP="00E175AF">
            <w:pPr>
              <w:pStyle w:val="DELWPbodytext"/>
              <w:spacing w:afterLines="0" w:after="0" w:line="240" w:lineRule="auto"/>
              <w:jc w:val="center"/>
              <w:rPr>
                <w:sz w:val="20"/>
              </w:rPr>
            </w:pPr>
            <w:r w:rsidRPr="004E3EA7">
              <w:rPr>
                <w:sz w:val="20"/>
              </w:rPr>
              <w:t>2</w:t>
            </w:r>
          </w:p>
        </w:tc>
        <w:tc>
          <w:tcPr>
            <w:tcW w:w="920" w:type="dxa"/>
            <w:tcBorders>
              <w:top w:val="single" w:sz="4" w:space="0" w:color="228591"/>
              <w:left w:val="single" w:sz="4" w:space="0" w:color="auto"/>
            </w:tcBorders>
          </w:tcPr>
          <w:p w:rsidR="00553895" w:rsidRPr="004E3EA7" w:rsidRDefault="004C76F0" w:rsidP="00E175AF">
            <w:pPr>
              <w:pStyle w:val="DELWPbodytext"/>
              <w:spacing w:afterLines="0" w:after="0" w:line="240" w:lineRule="auto"/>
              <w:jc w:val="center"/>
              <w:rPr>
                <w:sz w:val="20"/>
              </w:rPr>
            </w:pPr>
            <w:r w:rsidRPr="004E3EA7">
              <w:rPr>
                <w:sz w:val="20"/>
              </w:rPr>
              <w:t>5</w:t>
            </w:r>
          </w:p>
        </w:tc>
        <w:tc>
          <w:tcPr>
            <w:tcW w:w="920" w:type="dxa"/>
            <w:tcBorders>
              <w:right w:val="single" w:sz="4" w:space="0" w:color="auto"/>
            </w:tcBorders>
          </w:tcPr>
          <w:p w:rsidR="00553895" w:rsidRPr="004E3EA7" w:rsidRDefault="00553895" w:rsidP="00E175AF">
            <w:pPr>
              <w:pStyle w:val="DELWPbodytext"/>
              <w:spacing w:afterLines="0" w:after="0" w:line="240" w:lineRule="auto"/>
              <w:jc w:val="center"/>
              <w:rPr>
                <w:sz w:val="20"/>
              </w:rPr>
            </w:pPr>
            <w:r w:rsidRPr="004E3EA7">
              <w:rPr>
                <w:sz w:val="20"/>
              </w:rPr>
              <w:t>4</w:t>
            </w:r>
          </w:p>
        </w:tc>
        <w:tc>
          <w:tcPr>
            <w:tcW w:w="920" w:type="dxa"/>
            <w:tcBorders>
              <w:top w:val="single" w:sz="4" w:space="0" w:color="228591"/>
              <w:left w:val="single" w:sz="4" w:space="0" w:color="auto"/>
            </w:tcBorders>
          </w:tcPr>
          <w:p w:rsidR="00553895" w:rsidRPr="004E3EA7" w:rsidRDefault="00C85338" w:rsidP="00E175AF">
            <w:pPr>
              <w:pStyle w:val="DELWPbodytext"/>
              <w:spacing w:afterLines="0" w:after="0" w:line="240" w:lineRule="auto"/>
              <w:jc w:val="center"/>
              <w:rPr>
                <w:sz w:val="20"/>
              </w:rPr>
            </w:pPr>
            <w:r w:rsidRPr="004E3EA7">
              <w:rPr>
                <w:sz w:val="20"/>
              </w:rPr>
              <w:t>14</w:t>
            </w:r>
          </w:p>
        </w:tc>
        <w:tc>
          <w:tcPr>
            <w:tcW w:w="920" w:type="dxa"/>
          </w:tcPr>
          <w:p w:rsidR="00553895" w:rsidRPr="004E3EA7" w:rsidRDefault="004C76F0" w:rsidP="00E175AF">
            <w:pPr>
              <w:pStyle w:val="DELWPbodytext"/>
              <w:spacing w:afterLines="0" w:after="0" w:line="240" w:lineRule="auto"/>
              <w:jc w:val="center"/>
              <w:rPr>
                <w:sz w:val="20"/>
              </w:rPr>
            </w:pPr>
            <w:r w:rsidRPr="004E3EA7">
              <w:rPr>
                <w:sz w:val="20"/>
              </w:rPr>
              <w:t>8</w:t>
            </w:r>
          </w:p>
        </w:tc>
      </w:tr>
      <w:tr w:rsidR="00553895" w:rsidRPr="004E3EA7" w:rsidTr="002A32B9">
        <w:trPr>
          <w:trHeight w:val="255"/>
        </w:trPr>
        <w:tc>
          <w:tcPr>
            <w:tcW w:w="4080" w:type="dxa"/>
            <w:tcBorders>
              <w:right w:val="single" w:sz="4" w:space="0" w:color="auto"/>
            </w:tcBorders>
            <w:hideMark/>
          </w:tcPr>
          <w:p w:rsidR="00553895" w:rsidRPr="004E3EA7" w:rsidRDefault="00553895" w:rsidP="00E175AF">
            <w:pPr>
              <w:pStyle w:val="DELWPbodytext"/>
              <w:spacing w:afterLines="0" w:after="0" w:line="240" w:lineRule="auto"/>
              <w:rPr>
                <w:sz w:val="20"/>
              </w:rPr>
            </w:pPr>
            <w:r w:rsidRPr="004E3EA7">
              <w:rPr>
                <w:sz w:val="20"/>
              </w:rPr>
              <w:t>Regional Victoria (excl. Bendigo)</w:t>
            </w:r>
          </w:p>
        </w:tc>
        <w:tc>
          <w:tcPr>
            <w:tcW w:w="920" w:type="dxa"/>
            <w:tcBorders>
              <w:top w:val="single" w:sz="4" w:space="0" w:color="228591"/>
              <w:left w:val="single" w:sz="4" w:space="0" w:color="auto"/>
            </w:tcBorders>
            <w:noWrap/>
          </w:tcPr>
          <w:p w:rsidR="00553895" w:rsidRPr="004E3EA7" w:rsidRDefault="004C76F0" w:rsidP="00E175AF">
            <w:pPr>
              <w:pStyle w:val="DELWPbodytext"/>
              <w:spacing w:afterLines="0" w:after="0" w:line="240" w:lineRule="auto"/>
              <w:jc w:val="center"/>
              <w:rPr>
                <w:sz w:val="20"/>
              </w:rPr>
            </w:pPr>
            <w:r w:rsidRPr="004E3EA7">
              <w:rPr>
                <w:sz w:val="20"/>
              </w:rPr>
              <w:t>134</w:t>
            </w:r>
          </w:p>
        </w:tc>
        <w:tc>
          <w:tcPr>
            <w:tcW w:w="920" w:type="dxa"/>
            <w:tcBorders>
              <w:right w:val="single" w:sz="4" w:space="0" w:color="auto"/>
            </w:tcBorders>
            <w:noWrap/>
          </w:tcPr>
          <w:p w:rsidR="00553895" w:rsidRPr="004E3EA7" w:rsidRDefault="00553895" w:rsidP="00E175AF">
            <w:pPr>
              <w:pStyle w:val="DELWPbodytext"/>
              <w:spacing w:afterLines="0" w:after="0" w:line="240" w:lineRule="auto"/>
              <w:jc w:val="center"/>
              <w:rPr>
                <w:sz w:val="20"/>
              </w:rPr>
            </w:pPr>
            <w:r w:rsidRPr="004E3EA7">
              <w:rPr>
                <w:sz w:val="20"/>
              </w:rPr>
              <w:t>31</w:t>
            </w:r>
          </w:p>
        </w:tc>
        <w:tc>
          <w:tcPr>
            <w:tcW w:w="920" w:type="dxa"/>
            <w:tcBorders>
              <w:top w:val="single" w:sz="4" w:space="0" w:color="228591"/>
              <w:left w:val="single" w:sz="4" w:space="0" w:color="auto"/>
            </w:tcBorders>
          </w:tcPr>
          <w:p w:rsidR="00553895" w:rsidRPr="004E3EA7" w:rsidRDefault="004C76F0" w:rsidP="00E175AF">
            <w:pPr>
              <w:pStyle w:val="DELWPbodytext"/>
              <w:spacing w:afterLines="0" w:after="0" w:line="240" w:lineRule="auto"/>
              <w:jc w:val="center"/>
              <w:rPr>
                <w:sz w:val="20"/>
              </w:rPr>
            </w:pPr>
            <w:r w:rsidRPr="004E3EA7">
              <w:rPr>
                <w:sz w:val="20"/>
              </w:rPr>
              <w:t>45</w:t>
            </w:r>
          </w:p>
        </w:tc>
        <w:tc>
          <w:tcPr>
            <w:tcW w:w="920" w:type="dxa"/>
            <w:tcBorders>
              <w:right w:val="single" w:sz="4" w:space="0" w:color="auto"/>
            </w:tcBorders>
          </w:tcPr>
          <w:p w:rsidR="00553895" w:rsidRPr="004E3EA7" w:rsidRDefault="00553895" w:rsidP="00E175AF">
            <w:pPr>
              <w:pStyle w:val="DELWPbodytext"/>
              <w:spacing w:afterLines="0" w:after="0" w:line="240" w:lineRule="auto"/>
              <w:jc w:val="center"/>
              <w:rPr>
                <w:sz w:val="20"/>
              </w:rPr>
            </w:pPr>
            <w:r w:rsidRPr="004E3EA7">
              <w:rPr>
                <w:sz w:val="20"/>
              </w:rPr>
              <w:t>38</w:t>
            </w:r>
          </w:p>
        </w:tc>
        <w:tc>
          <w:tcPr>
            <w:tcW w:w="920" w:type="dxa"/>
            <w:tcBorders>
              <w:top w:val="single" w:sz="4" w:space="0" w:color="228591"/>
              <w:left w:val="single" w:sz="4" w:space="0" w:color="auto"/>
            </w:tcBorders>
          </w:tcPr>
          <w:p w:rsidR="00553895" w:rsidRPr="004E3EA7" w:rsidRDefault="00C85338" w:rsidP="00E175AF">
            <w:pPr>
              <w:pStyle w:val="DELWPbodytext"/>
              <w:spacing w:afterLines="0" w:after="0" w:line="240" w:lineRule="auto"/>
              <w:jc w:val="center"/>
              <w:rPr>
                <w:sz w:val="20"/>
              </w:rPr>
            </w:pPr>
            <w:r w:rsidRPr="004E3EA7">
              <w:rPr>
                <w:sz w:val="20"/>
              </w:rPr>
              <w:t>54</w:t>
            </w:r>
          </w:p>
        </w:tc>
        <w:tc>
          <w:tcPr>
            <w:tcW w:w="920" w:type="dxa"/>
          </w:tcPr>
          <w:p w:rsidR="00553895" w:rsidRPr="004E3EA7" w:rsidRDefault="004C76F0" w:rsidP="00E175AF">
            <w:pPr>
              <w:pStyle w:val="DELWPbodytext"/>
              <w:spacing w:afterLines="0" w:after="0" w:line="240" w:lineRule="auto"/>
              <w:jc w:val="center"/>
              <w:rPr>
                <w:sz w:val="20"/>
              </w:rPr>
            </w:pPr>
            <w:r w:rsidRPr="004E3EA7">
              <w:rPr>
                <w:sz w:val="20"/>
              </w:rPr>
              <w:t>31</w:t>
            </w:r>
          </w:p>
        </w:tc>
      </w:tr>
      <w:tr w:rsidR="00553895" w:rsidRPr="004E3EA7" w:rsidTr="002A32B9">
        <w:trPr>
          <w:trHeight w:val="255"/>
        </w:trPr>
        <w:tc>
          <w:tcPr>
            <w:tcW w:w="4080" w:type="dxa"/>
            <w:tcBorders>
              <w:right w:val="single" w:sz="4" w:space="0" w:color="auto"/>
            </w:tcBorders>
            <w:hideMark/>
          </w:tcPr>
          <w:p w:rsidR="00553895" w:rsidRPr="004E3EA7" w:rsidRDefault="00553895" w:rsidP="00E175AF">
            <w:pPr>
              <w:pStyle w:val="DELWPbodytext"/>
              <w:spacing w:afterLines="0" w:after="0" w:line="240" w:lineRule="auto"/>
              <w:rPr>
                <w:sz w:val="20"/>
              </w:rPr>
            </w:pPr>
            <w:r w:rsidRPr="004E3EA7">
              <w:rPr>
                <w:sz w:val="20"/>
              </w:rPr>
              <w:t>Regional – Interstate</w:t>
            </w:r>
          </w:p>
        </w:tc>
        <w:tc>
          <w:tcPr>
            <w:tcW w:w="920" w:type="dxa"/>
            <w:tcBorders>
              <w:top w:val="single" w:sz="4" w:space="0" w:color="228591"/>
              <w:left w:val="single" w:sz="4" w:space="0" w:color="auto"/>
            </w:tcBorders>
            <w:noWrap/>
          </w:tcPr>
          <w:p w:rsidR="00553895" w:rsidRPr="004E3EA7" w:rsidRDefault="004C76F0" w:rsidP="00E175AF">
            <w:pPr>
              <w:pStyle w:val="DELWPbodytext"/>
              <w:spacing w:afterLines="0" w:after="0" w:line="240" w:lineRule="auto"/>
              <w:jc w:val="center"/>
              <w:rPr>
                <w:sz w:val="20"/>
              </w:rPr>
            </w:pPr>
            <w:r w:rsidRPr="004E3EA7">
              <w:rPr>
                <w:sz w:val="20"/>
              </w:rPr>
              <w:t>21</w:t>
            </w:r>
          </w:p>
        </w:tc>
        <w:tc>
          <w:tcPr>
            <w:tcW w:w="920" w:type="dxa"/>
            <w:tcBorders>
              <w:right w:val="single" w:sz="4" w:space="0" w:color="auto"/>
            </w:tcBorders>
            <w:noWrap/>
          </w:tcPr>
          <w:p w:rsidR="00553895" w:rsidRPr="004E3EA7" w:rsidRDefault="00553895" w:rsidP="00E175AF">
            <w:pPr>
              <w:pStyle w:val="DELWPbodytext"/>
              <w:spacing w:afterLines="0" w:after="0" w:line="240" w:lineRule="auto"/>
              <w:jc w:val="center"/>
              <w:rPr>
                <w:sz w:val="20"/>
              </w:rPr>
            </w:pPr>
            <w:r w:rsidRPr="004E3EA7">
              <w:rPr>
                <w:sz w:val="20"/>
              </w:rPr>
              <w:t>5</w:t>
            </w:r>
          </w:p>
        </w:tc>
        <w:tc>
          <w:tcPr>
            <w:tcW w:w="920" w:type="dxa"/>
            <w:tcBorders>
              <w:top w:val="single" w:sz="4" w:space="0" w:color="228591"/>
              <w:left w:val="single" w:sz="4" w:space="0" w:color="auto"/>
            </w:tcBorders>
          </w:tcPr>
          <w:p w:rsidR="00553895" w:rsidRPr="004E3EA7" w:rsidRDefault="004C76F0" w:rsidP="00E175AF">
            <w:pPr>
              <w:pStyle w:val="DELWPbodytext"/>
              <w:spacing w:afterLines="0" w:after="0" w:line="240" w:lineRule="auto"/>
              <w:jc w:val="center"/>
              <w:rPr>
                <w:sz w:val="20"/>
              </w:rPr>
            </w:pPr>
            <w:r w:rsidRPr="004E3EA7">
              <w:rPr>
                <w:sz w:val="20"/>
              </w:rPr>
              <w:t>4</w:t>
            </w:r>
          </w:p>
        </w:tc>
        <w:tc>
          <w:tcPr>
            <w:tcW w:w="920" w:type="dxa"/>
            <w:tcBorders>
              <w:right w:val="single" w:sz="4" w:space="0" w:color="auto"/>
            </w:tcBorders>
          </w:tcPr>
          <w:p w:rsidR="00553895" w:rsidRPr="004E3EA7" w:rsidRDefault="00553895" w:rsidP="00E175AF">
            <w:pPr>
              <w:pStyle w:val="DELWPbodytext"/>
              <w:spacing w:afterLines="0" w:after="0" w:line="240" w:lineRule="auto"/>
              <w:jc w:val="center"/>
              <w:rPr>
                <w:sz w:val="20"/>
              </w:rPr>
            </w:pPr>
            <w:r w:rsidRPr="004E3EA7">
              <w:rPr>
                <w:sz w:val="20"/>
              </w:rPr>
              <w:t>3</w:t>
            </w:r>
          </w:p>
        </w:tc>
        <w:tc>
          <w:tcPr>
            <w:tcW w:w="920" w:type="dxa"/>
            <w:tcBorders>
              <w:top w:val="single" w:sz="4" w:space="0" w:color="228591"/>
              <w:left w:val="single" w:sz="4" w:space="0" w:color="auto"/>
            </w:tcBorders>
          </w:tcPr>
          <w:p w:rsidR="00553895" w:rsidRPr="004E3EA7" w:rsidRDefault="00C85338" w:rsidP="00E175AF">
            <w:pPr>
              <w:pStyle w:val="DELWPbodytext"/>
              <w:spacing w:afterLines="0" w:after="0" w:line="240" w:lineRule="auto"/>
              <w:jc w:val="center"/>
              <w:rPr>
                <w:sz w:val="20"/>
              </w:rPr>
            </w:pPr>
            <w:r w:rsidRPr="004E3EA7">
              <w:rPr>
                <w:sz w:val="20"/>
              </w:rPr>
              <w:t>10</w:t>
            </w:r>
          </w:p>
        </w:tc>
        <w:tc>
          <w:tcPr>
            <w:tcW w:w="920" w:type="dxa"/>
          </w:tcPr>
          <w:p w:rsidR="00553895" w:rsidRPr="004E3EA7" w:rsidRDefault="004C76F0" w:rsidP="00E175AF">
            <w:pPr>
              <w:pStyle w:val="DELWPbodytext"/>
              <w:spacing w:afterLines="0" w:after="0" w:line="240" w:lineRule="auto"/>
              <w:jc w:val="center"/>
              <w:rPr>
                <w:sz w:val="20"/>
              </w:rPr>
            </w:pPr>
            <w:r w:rsidRPr="004E3EA7">
              <w:rPr>
                <w:sz w:val="20"/>
              </w:rPr>
              <w:t>6</w:t>
            </w:r>
          </w:p>
        </w:tc>
      </w:tr>
      <w:tr w:rsidR="00553895" w:rsidRPr="004E3EA7" w:rsidTr="002A32B9">
        <w:trPr>
          <w:trHeight w:val="255"/>
        </w:trPr>
        <w:tc>
          <w:tcPr>
            <w:tcW w:w="4080" w:type="dxa"/>
            <w:tcBorders>
              <w:right w:val="single" w:sz="4" w:space="0" w:color="auto"/>
            </w:tcBorders>
            <w:hideMark/>
          </w:tcPr>
          <w:p w:rsidR="00553895" w:rsidRPr="004E3EA7" w:rsidRDefault="00553895" w:rsidP="00E175AF">
            <w:pPr>
              <w:pStyle w:val="DELWPbodytext"/>
              <w:spacing w:afterLines="0" w:after="0" w:line="240" w:lineRule="auto"/>
              <w:rPr>
                <w:sz w:val="20"/>
              </w:rPr>
            </w:pPr>
            <w:r w:rsidRPr="004E3EA7">
              <w:rPr>
                <w:sz w:val="20"/>
              </w:rPr>
              <w:t>Overseas</w:t>
            </w:r>
          </w:p>
        </w:tc>
        <w:tc>
          <w:tcPr>
            <w:tcW w:w="920" w:type="dxa"/>
            <w:tcBorders>
              <w:top w:val="single" w:sz="4" w:space="0" w:color="228591"/>
              <w:left w:val="single" w:sz="4" w:space="0" w:color="auto"/>
            </w:tcBorders>
            <w:noWrap/>
          </w:tcPr>
          <w:p w:rsidR="00553895" w:rsidRPr="004E3EA7" w:rsidRDefault="004C76F0" w:rsidP="00E175AF">
            <w:pPr>
              <w:pStyle w:val="DELWPbodytext"/>
              <w:spacing w:afterLines="0" w:after="0" w:line="240" w:lineRule="auto"/>
              <w:jc w:val="center"/>
              <w:rPr>
                <w:sz w:val="20"/>
              </w:rPr>
            </w:pPr>
            <w:r w:rsidRPr="004E3EA7">
              <w:rPr>
                <w:sz w:val="20"/>
              </w:rPr>
              <w:t>32</w:t>
            </w:r>
          </w:p>
        </w:tc>
        <w:tc>
          <w:tcPr>
            <w:tcW w:w="920" w:type="dxa"/>
            <w:tcBorders>
              <w:right w:val="single" w:sz="4" w:space="0" w:color="auto"/>
            </w:tcBorders>
            <w:noWrap/>
          </w:tcPr>
          <w:p w:rsidR="00553895" w:rsidRPr="004E3EA7" w:rsidRDefault="00553895" w:rsidP="00E175AF">
            <w:pPr>
              <w:pStyle w:val="DELWPbodytext"/>
              <w:spacing w:afterLines="0" w:after="0" w:line="240" w:lineRule="auto"/>
              <w:jc w:val="center"/>
              <w:rPr>
                <w:sz w:val="20"/>
              </w:rPr>
            </w:pPr>
            <w:r w:rsidRPr="004E3EA7">
              <w:rPr>
                <w:sz w:val="20"/>
              </w:rPr>
              <w:t>7</w:t>
            </w:r>
          </w:p>
        </w:tc>
        <w:tc>
          <w:tcPr>
            <w:tcW w:w="920" w:type="dxa"/>
            <w:tcBorders>
              <w:top w:val="single" w:sz="4" w:space="0" w:color="228591"/>
              <w:left w:val="single" w:sz="4" w:space="0" w:color="auto"/>
            </w:tcBorders>
          </w:tcPr>
          <w:p w:rsidR="00553895" w:rsidRPr="004E3EA7" w:rsidRDefault="004C76F0" w:rsidP="00E175AF">
            <w:pPr>
              <w:pStyle w:val="DELWPbodytext"/>
              <w:spacing w:afterLines="0" w:after="0" w:line="240" w:lineRule="auto"/>
              <w:jc w:val="center"/>
              <w:rPr>
                <w:sz w:val="20"/>
              </w:rPr>
            </w:pPr>
            <w:r w:rsidRPr="004E3EA7">
              <w:rPr>
                <w:sz w:val="20"/>
              </w:rPr>
              <w:t>7</w:t>
            </w:r>
          </w:p>
        </w:tc>
        <w:tc>
          <w:tcPr>
            <w:tcW w:w="920" w:type="dxa"/>
            <w:tcBorders>
              <w:right w:val="single" w:sz="4" w:space="0" w:color="auto"/>
            </w:tcBorders>
          </w:tcPr>
          <w:p w:rsidR="00553895" w:rsidRPr="004E3EA7" w:rsidRDefault="00553895" w:rsidP="00E175AF">
            <w:pPr>
              <w:pStyle w:val="DELWPbodytext"/>
              <w:spacing w:afterLines="0" w:after="0" w:line="240" w:lineRule="auto"/>
              <w:jc w:val="center"/>
              <w:rPr>
                <w:sz w:val="20"/>
              </w:rPr>
            </w:pPr>
            <w:r w:rsidRPr="004E3EA7">
              <w:rPr>
                <w:sz w:val="20"/>
              </w:rPr>
              <w:t>6</w:t>
            </w:r>
          </w:p>
        </w:tc>
        <w:tc>
          <w:tcPr>
            <w:tcW w:w="920" w:type="dxa"/>
            <w:tcBorders>
              <w:top w:val="single" w:sz="4" w:space="0" w:color="228591"/>
              <w:left w:val="single" w:sz="4" w:space="0" w:color="auto"/>
            </w:tcBorders>
          </w:tcPr>
          <w:p w:rsidR="00553895" w:rsidRPr="004E3EA7" w:rsidRDefault="00C85338" w:rsidP="00E175AF">
            <w:pPr>
              <w:pStyle w:val="DELWPbodytext"/>
              <w:spacing w:afterLines="0" w:after="0" w:line="240" w:lineRule="auto"/>
              <w:jc w:val="center"/>
              <w:rPr>
                <w:sz w:val="20"/>
              </w:rPr>
            </w:pPr>
            <w:r w:rsidRPr="004E3EA7">
              <w:rPr>
                <w:sz w:val="20"/>
              </w:rPr>
              <w:t>18</w:t>
            </w:r>
          </w:p>
        </w:tc>
        <w:tc>
          <w:tcPr>
            <w:tcW w:w="920" w:type="dxa"/>
          </w:tcPr>
          <w:p w:rsidR="00553895" w:rsidRPr="004E3EA7" w:rsidRDefault="004C76F0" w:rsidP="00E175AF">
            <w:pPr>
              <w:pStyle w:val="DELWPbodytext"/>
              <w:spacing w:afterLines="0" w:after="0" w:line="240" w:lineRule="auto"/>
              <w:jc w:val="center"/>
              <w:rPr>
                <w:sz w:val="20"/>
              </w:rPr>
            </w:pPr>
            <w:r w:rsidRPr="004E3EA7">
              <w:rPr>
                <w:sz w:val="20"/>
              </w:rPr>
              <w:t>10</w:t>
            </w:r>
          </w:p>
        </w:tc>
      </w:tr>
      <w:tr w:rsidR="00553895" w:rsidRPr="004E3EA7" w:rsidTr="002A32B9">
        <w:trPr>
          <w:trHeight w:val="255"/>
        </w:trPr>
        <w:tc>
          <w:tcPr>
            <w:tcW w:w="4080" w:type="dxa"/>
            <w:tcBorders>
              <w:right w:val="single" w:sz="4" w:space="0" w:color="auto"/>
            </w:tcBorders>
            <w:hideMark/>
          </w:tcPr>
          <w:p w:rsidR="00553895" w:rsidRPr="004E3EA7" w:rsidRDefault="00553895" w:rsidP="00E175AF">
            <w:pPr>
              <w:pStyle w:val="DELWPbodytext"/>
              <w:spacing w:afterLines="0" w:after="0" w:line="240" w:lineRule="auto"/>
              <w:rPr>
                <w:sz w:val="20"/>
              </w:rPr>
            </w:pPr>
            <w:r w:rsidRPr="004E3EA7">
              <w:rPr>
                <w:sz w:val="20"/>
              </w:rPr>
              <w:t>TOTAL</w:t>
            </w:r>
          </w:p>
        </w:tc>
        <w:tc>
          <w:tcPr>
            <w:tcW w:w="920" w:type="dxa"/>
            <w:tcBorders>
              <w:top w:val="single" w:sz="4" w:space="0" w:color="228591"/>
              <w:left w:val="single" w:sz="4" w:space="0" w:color="auto"/>
            </w:tcBorders>
            <w:noWrap/>
          </w:tcPr>
          <w:p w:rsidR="00553895" w:rsidRPr="004E3EA7" w:rsidRDefault="004C76F0" w:rsidP="00E175AF">
            <w:pPr>
              <w:pStyle w:val="DELWPbodytext"/>
              <w:spacing w:afterLines="0" w:after="0" w:line="240" w:lineRule="auto"/>
              <w:jc w:val="center"/>
              <w:rPr>
                <w:sz w:val="20"/>
              </w:rPr>
            </w:pPr>
            <w:r w:rsidRPr="004E3EA7">
              <w:rPr>
                <w:sz w:val="20"/>
              </w:rPr>
              <w:t>4</w:t>
            </w:r>
            <w:r w:rsidR="00C85338" w:rsidRPr="004E3EA7">
              <w:rPr>
                <w:sz w:val="20"/>
              </w:rPr>
              <w:t>39</w:t>
            </w:r>
          </w:p>
        </w:tc>
        <w:tc>
          <w:tcPr>
            <w:tcW w:w="920" w:type="dxa"/>
            <w:tcBorders>
              <w:right w:val="single" w:sz="4" w:space="0" w:color="auto"/>
            </w:tcBorders>
            <w:noWrap/>
          </w:tcPr>
          <w:p w:rsidR="00553895" w:rsidRPr="004E3EA7" w:rsidRDefault="00C85338" w:rsidP="00E175AF">
            <w:pPr>
              <w:pStyle w:val="DELWPbodytext"/>
              <w:spacing w:afterLines="0" w:after="0" w:line="240" w:lineRule="auto"/>
              <w:jc w:val="center"/>
              <w:rPr>
                <w:sz w:val="20"/>
              </w:rPr>
            </w:pPr>
            <w:r w:rsidRPr="004E3EA7">
              <w:rPr>
                <w:sz w:val="20"/>
              </w:rPr>
              <w:t>100</w:t>
            </w:r>
          </w:p>
        </w:tc>
        <w:tc>
          <w:tcPr>
            <w:tcW w:w="920" w:type="dxa"/>
            <w:tcBorders>
              <w:top w:val="single" w:sz="4" w:space="0" w:color="228591"/>
              <w:left w:val="single" w:sz="4" w:space="0" w:color="auto"/>
            </w:tcBorders>
          </w:tcPr>
          <w:p w:rsidR="00553895" w:rsidRPr="004E3EA7" w:rsidRDefault="004C76F0" w:rsidP="00E175AF">
            <w:pPr>
              <w:pStyle w:val="DELWPbodytext"/>
              <w:spacing w:afterLines="0" w:after="0" w:line="240" w:lineRule="auto"/>
              <w:jc w:val="center"/>
              <w:rPr>
                <w:sz w:val="20"/>
              </w:rPr>
            </w:pPr>
            <w:r w:rsidRPr="004E3EA7">
              <w:rPr>
                <w:sz w:val="20"/>
              </w:rPr>
              <w:t>11</w:t>
            </w:r>
            <w:r w:rsidR="00C85338" w:rsidRPr="004E3EA7">
              <w:rPr>
                <w:sz w:val="20"/>
              </w:rPr>
              <w:t>8</w:t>
            </w:r>
          </w:p>
        </w:tc>
        <w:tc>
          <w:tcPr>
            <w:tcW w:w="920" w:type="dxa"/>
            <w:tcBorders>
              <w:right w:val="single" w:sz="4" w:space="0" w:color="auto"/>
            </w:tcBorders>
          </w:tcPr>
          <w:p w:rsidR="00553895" w:rsidRPr="004E3EA7" w:rsidRDefault="002A32B9" w:rsidP="00E175AF">
            <w:pPr>
              <w:pStyle w:val="DELWPbodytext"/>
              <w:spacing w:afterLines="0" w:after="0" w:line="240" w:lineRule="auto"/>
              <w:jc w:val="center"/>
              <w:rPr>
                <w:sz w:val="20"/>
              </w:rPr>
            </w:pPr>
            <w:r w:rsidRPr="004E3EA7">
              <w:rPr>
                <w:sz w:val="20"/>
              </w:rPr>
              <w:t>100</w:t>
            </w:r>
          </w:p>
        </w:tc>
        <w:tc>
          <w:tcPr>
            <w:tcW w:w="920" w:type="dxa"/>
            <w:tcBorders>
              <w:top w:val="single" w:sz="4" w:space="0" w:color="228591"/>
              <w:left w:val="single" w:sz="4" w:space="0" w:color="auto"/>
            </w:tcBorders>
          </w:tcPr>
          <w:p w:rsidR="00553895" w:rsidRPr="004E3EA7" w:rsidRDefault="00C85338" w:rsidP="00E175AF">
            <w:pPr>
              <w:pStyle w:val="DELWPbodytext"/>
              <w:spacing w:afterLines="0" w:after="0" w:line="240" w:lineRule="auto"/>
              <w:jc w:val="center"/>
              <w:rPr>
                <w:sz w:val="20"/>
              </w:rPr>
            </w:pPr>
            <w:r w:rsidRPr="004E3EA7">
              <w:rPr>
                <w:sz w:val="20"/>
              </w:rPr>
              <w:t>175</w:t>
            </w:r>
          </w:p>
        </w:tc>
        <w:tc>
          <w:tcPr>
            <w:tcW w:w="920" w:type="dxa"/>
          </w:tcPr>
          <w:p w:rsidR="00553895" w:rsidRPr="004E3EA7" w:rsidRDefault="002A32B9" w:rsidP="00E175AF">
            <w:pPr>
              <w:pStyle w:val="DELWPbodytext"/>
              <w:spacing w:afterLines="0" w:after="0" w:line="240" w:lineRule="auto"/>
              <w:jc w:val="center"/>
              <w:rPr>
                <w:sz w:val="20"/>
              </w:rPr>
            </w:pPr>
            <w:r w:rsidRPr="004E3EA7">
              <w:rPr>
                <w:sz w:val="20"/>
              </w:rPr>
              <w:t>100</w:t>
            </w:r>
          </w:p>
        </w:tc>
      </w:tr>
    </w:tbl>
    <w:p w:rsidR="004C76F0" w:rsidRDefault="00F50ECA" w:rsidP="00BA6A23">
      <w:pPr>
        <w:pStyle w:val="SourceDELWP"/>
      </w:pPr>
      <w:r w:rsidRPr="002A32B9">
        <w:t>Source</w:t>
      </w:r>
      <w:r w:rsidR="002A32B9">
        <w:t>s</w:t>
      </w:r>
      <w:r w:rsidRPr="002A32B9">
        <w:t xml:space="preserve">: </w:t>
      </w:r>
      <w:r w:rsidR="002A32B9" w:rsidRPr="002A32B9">
        <w:t>Bendigo Bank</w:t>
      </w:r>
      <w:r w:rsidR="00BB0B9C">
        <w:t>,</w:t>
      </w:r>
      <w:r w:rsidR="002A32B9" w:rsidRPr="002A32B9">
        <w:t xml:space="preserve"> H</w:t>
      </w:r>
      <w:r w:rsidR="002A32B9">
        <w:t xml:space="preserve">ospital </w:t>
      </w:r>
      <w:r w:rsidR="00BB0B9C">
        <w:t xml:space="preserve">and </w:t>
      </w:r>
      <w:r w:rsidR="002A32B9" w:rsidRPr="002A32B9">
        <w:t xml:space="preserve">Council </w:t>
      </w:r>
      <w:r w:rsidR="002A32B9">
        <w:t>S</w:t>
      </w:r>
      <w:r w:rsidR="002A32B9" w:rsidRPr="002A32B9">
        <w:t>urvey</w:t>
      </w:r>
      <w:r w:rsidR="00BB0B9C">
        <w:t>s</w:t>
      </w:r>
      <w:r w:rsidR="002A32B9">
        <w:t xml:space="preserve"> 2015</w:t>
      </w:r>
    </w:p>
    <w:p w:rsidR="00EC46D9" w:rsidRPr="002A32B9" w:rsidRDefault="00EC46D9" w:rsidP="00BA6A23">
      <w:pPr>
        <w:pStyle w:val="SourceDELWP"/>
      </w:pPr>
    </w:p>
    <w:p w:rsidR="00EC46D9" w:rsidRDefault="00EC46D9" w:rsidP="00A827BC">
      <w:pPr>
        <w:pStyle w:val="SourceDELWP"/>
        <w:sectPr w:rsidR="00EC46D9" w:rsidSect="00EC46D9">
          <w:type w:val="continuous"/>
          <w:pgSz w:w="11906" w:h="16838"/>
          <w:pgMar w:top="1440" w:right="1440" w:bottom="1440" w:left="1440" w:header="708" w:footer="708" w:gutter="0"/>
          <w:cols w:space="708"/>
          <w:docGrid w:linePitch="360"/>
        </w:sectPr>
      </w:pPr>
    </w:p>
    <w:p w:rsidR="00013A7D" w:rsidRPr="00F50ECA" w:rsidRDefault="00013A7D" w:rsidP="00D23981">
      <w:pPr>
        <w:pStyle w:val="HeadingB"/>
        <w:spacing w:before="0"/>
        <w:ind w:left="720" w:hanging="720"/>
      </w:pPr>
      <w:r w:rsidRPr="00F50ECA">
        <w:lastRenderedPageBreak/>
        <w:t>3</w:t>
      </w:r>
      <w:r>
        <w:t>.2</w:t>
      </w:r>
      <w:r w:rsidRPr="00F50ECA">
        <w:tab/>
        <w:t xml:space="preserve">Locational </w:t>
      </w:r>
      <w:r>
        <w:t xml:space="preserve">histories </w:t>
      </w:r>
      <w:r w:rsidRPr="00F50ECA">
        <w:t>of the respondents</w:t>
      </w:r>
    </w:p>
    <w:p w:rsidR="00F50ECA" w:rsidRDefault="00F50ECA" w:rsidP="00BA6A23">
      <w:pPr>
        <w:pStyle w:val="DELWPbodytext"/>
        <w:spacing w:afterLines="50" w:after="120"/>
      </w:pPr>
      <w:r w:rsidRPr="00F50ECA">
        <w:t>The survey gathered information on migration histories, not just birthplace. The key stages of life for which locational information was asked included:</w:t>
      </w:r>
    </w:p>
    <w:p w:rsidR="00F50ECA" w:rsidRPr="00F50ECA" w:rsidRDefault="00E175AF" w:rsidP="00D23981">
      <w:pPr>
        <w:pStyle w:val="DELWPbodytext"/>
        <w:numPr>
          <w:ilvl w:val="0"/>
          <w:numId w:val="19"/>
        </w:numPr>
        <w:spacing w:afterLines="0" w:after="0" w:line="240" w:lineRule="auto"/>
        <w:ind w:left="357" w:hanging="357"/>
      </w:pPr>
      <w:r>
        <w:t>u</w:t>
      </w:r>
      <w:r w:rsidR="00F50ECA" w:rsidRPr="00F50ECA">
        <w:t>p until the age of 15;</w:t>
      </w:r>
    </w:p>
    <w:p w:rsidR="00F50ECA" w:rsidRPr="00F50ECA" w:rsidRDefault="00E64CCC" w:rsidP="00D23981">
      <w:pPr>
        <w:pStyle w:val="DELWPbodytext"/>
        <w:numPr>
          <w:ilvl w:val="0"/>
          <w:numId w:val="19"/>
        </w:numPr>
        <w:spacing w:afterLines="0" w:after="0" w:line="240" w:lineRule="auto"/>
        <w:ind w:left="357" w:hanging="357"/>
      </w:pPr>
      <w:r>
        <w:t xml:space="preserve">the </w:t>
      </w:r>
      <w:r w:rsidR="00E175AF">
        <w:t>p</w:t>
      </w:r>
      <w:r w:rsidR="00F50ECA" w:rsidRPr="00F50ECA">
        <w:t>eriod of secondary schooling; and,</w:t>
      </w:r>
    </w:p>
    <w:p w:rsidR="00F50ECA" w:rsidRDefault="00E64CCC" w:rsidP="00D23981">
      <w:pPr>
        <w:pStyle w:val="DELWPbodytext"/>
        <w:numPr>
          <w:ilvl w:val="0"/>
          <w:numId w:val="19"/>
        </w:numPr>
        <w:spacing w:line="240" w:lineRule="auto"/>
        <w:ind w:left="363"/>
      </w:pPr>
      <w:r>
        <w:t xml:space="preserve">the </w:t>
      </w:r>
      <w:r w:rsidR="00E175AF">
        <w:t>p</w:t>
      </w:r>
      <w:r w:rsidR="00F50ECA" w:rsidRPr="00F50ECA">
        <w:t>eriod of post-school education and training.</w:t>
      </w:r>
    </w:p>
    <w:p w:rsidR="00BB0B9C" w:rsidRDefault="00BB0B9C" w:rsidP="005B04AD">
      <w:pPr>
        <w:pStyle w:val="Tabletitle0"/>
        <w:rPr>
          <w:rFonts w:asciiTheme="minorHAnsi" w:hAnsiTheme="minorHAnsi" w:cstheme="minorHAnsi"/>
          <w:b w:val="0"/>
          <w:color w:val="auto"/>
          <w:szCs w:val="22"/>
        </w:rPr>
      </w:pPr>
      <w:r w:rsidRPr="00BB0B9C">
        <w:rPr>
          <w:rFonts w:asciiTheme="minorHAnsi" w:hAnsiTheme="minorHAnsi" w:cstheme="minorHAnsi"/>
          <w:b w:val="0"/>
          <w:color w:val="auto"/>
          <w:szCs w:val="22"/>
        </w:rPr>
        <w:t xml:space="preserve">A summary of findings </w:t>
      </w:r>
      <w:r>
        <w:rPr>
          <w:rFonts w:asciiTheme="minorHAnsi" w:hAnsiTheme="minorHAnsi" w:cstheme="minorHAnsi"/>
          <w:b w:val="0"/>
          <w:color w:val="auto"/>
          <w:szCs w:val="22"/>
        </w:rPr>
        <w:t>is</w:t>
      </w:r>
      <w:r w:rsidRPr="00BB0B9C">
        <w:rPr>
          <w:rFonts w:asciiTheme="minorHAnsi" w:hAnsiTheme="minorHAnsi" w:cstheme="minorHAnsi"/>
          <w:b w:val="0"/>
          <w:color w:val="auto"/>
          <w:szCs w:val="22"/>
        </w:rPr>
        <w:t xml:space="preserve"> shown in </w:t>
      </w:r>
      <w:r w:rsidR="00E64CCC">
        <w:rPr>
          <w:rFonts w:asciiTheme="minorHAnsi" w:hAnsiTheme="minorHAnsi" w:cstheme="minorHAnsi"/>
          <w:b w:val="0"/>
          <w:color w:val="auto"/>
          <w:szCs w:val="22"/>
        </w:rPr>
        <w:t>f</w:t>
      </w:r>
      <w:r w:rsidRPr="00BB0B9C">
        <w:rPr>
          <w:rFonts w:asciiTheme="minorHAnsi" w:hAnsiTheme="minorHAnsi" w:cstheme="minorHAnsi"/>
          <w:b w:val="0"/>
          <w:color w:val="auto"/>
          <w:szCs w:val="22"/>
        </w:rPr>
        <w:t xml:space="preserve">igure </w:t>
      </w:r>
      <w:r w:rsidR="00420F4A">
        <w:rPr>
          <w:rFonts w:asciiTheme="minorHAnsi" w:hAnsiTheme="minorHAnsi" w:cstheme="minorHAnsi"/>
          <w:b w:val="0"/>
          <w:color w:val="auto"/>
          <w:szCs w:val="22"/>
        </w:rPr>
        <w:t>2</w:t>
      </w:r>
      <w:r w:rsidRPr="00BB0B9C">
        <w:rPr>
          <w:rFonts w:asciiTheme="minorHAnsi" w:hAnsiTheme="minorHAnsi" w:cstheme="minorHAnsi"/>
          <w:b w:val="0"/>
          <w:color w:val="auto"/>
          <w:szCs w:val="22"/>
        </w:rPr>
        <w:t xml:space="preserve">. The chart shows the location of respondents at time of birth and at the three stages listed </w:t>
      </w:r>
      <w:r w:rsidR="00D23981">
        <w:rPr>
          <w:rFonts w:asciiTheme="minorHAnsi" w:hAnsiTheme="minorHAnsi" w:cstheme="minorHAnsi"/>
          <w:b w:val="0"/>
          <w:color w:val="auto"/>
          <w:szCs w:val="22"/>
        </w:rPr>
        <w:t>previously</w:t>
      </w:r>
      <w:r w:rsidRPr="00BB0B9C">
        <w:rPr>
          <w:rFonts w:asciiTheme="minorHAnsi" w:hAnsiTheme="minorHAnsi" w:cstheme="minorHAnsi"/>
          <w:b w:val="0"/>
          <w:color w:val="auto"/>
          <w:szCs w:val="22"/>
        </w:rPr>
        <w:t xml:space="preserve">. Bendigo becomes increasingly represented as the location for employees as </w:t>
      </w:r>
      <w:r w:rsidRPr="00BB0B9C">
        <w:rPr>
          <w:rFonts w:asciiTheme="minorHAnsi" w:hAnsiTheme="minorHAnsi" w:cstheme="minorHAnsi"/>
          <w:b w:val="0"/>
          <w:color w:val="auto"/>
          <w:szCs w:val="22"/>
        </w:rPr>
        <w:lastRenderedPageBreak/>
        <w:t xml:space="preserve">they moved through primary, secondary and tertiary schooling while regional Victoria becomes less prominent </w:t>
      </w:r>
      <w:r w:rsidR="00761A8B">
        <w:rPr>
          <w:rFonts w:asciiTheme="minorHAnsi" w:hAnsiTheme="minorHAnsi" w:cstheme="minorHAnsi"/>
          <w:b w:val="0"/>
          <w:color w:val="auto"/>
          <w:szCs w:val="22"/>
        </w:rPr>
        <w:t>during post-school stages</w:t>
      </w:r>
      <w:r w:rsidRPr="00BB0B9C">
        <w:rPr>
          <w:rFonts w:asciiTheme="minorHAnsi" w:hAnsiTheme="minorHAnsi" w:cstheme="minorHAnsi"/>
          <w:b w:val="0"/>
          <w:color w:val="auto"/>
          <w:szCs w:val="22"/>
        </w:rPr>
        <w:t>. This aligns with our understanding of aggregate migration moves of young people from rural areas to larger regional centres to access educational opportunities. The pattern holds for each of the organisations although the Bank starts with a higher base of Bendigo-born respondents and maintains a higher proportion of Bendigo</w:t>
      </w:r>
      <w:r w:rsidR="00E64CCC">
        <w:rPr>
          <w:rFonts w:asciiTheme="minorHAnsi" w:hAnsiTheme="minorHAnsi" w:cstheme="minorHAnsi"/>
          <w:b w:val="0"/>
          <w:color w:val="auto"/>
          <w:szCs w:val="22"/>
        </w:rPr>
        <w:t>-</w:t>
      </w:r>
      <w:r w:rsidR="00761A8B">
        <w:rPr>
          <w:rFonts w:asciiTheme="minorHAnsi" w:hAnsiTheme="minorHAnsi" w:cstheme="minorHAnsi"/>
          <w:b w:val="0"/>
          <w:color w:val="auto"/>
          <w:szCs w:val="22"/>
        </w:rPr>
        <w:t>based respondents</w:t>
      </w:r>
      <w:r w:rsidR="00761A8B" w:rsidRPr="00BB0B9C">
        <w:rPr>
          <w:rFonts w:asciiTheme="minorHAnsi" w:hAnsiTheme="minorHAnsi" w:cstheme="minorHAnsi"/>
          <w:b w:val="0"/>
          <w:color w:val="auto"/>
          <w:szCs w:val="22"/>
        </w:rPr>
        <w:t xml:space="preserve"> </w:t>
      </w:r>
      <w:r w:rsidRPr="00BB0B9C">
        <w:rPr>
          <w:rFonts w:asciiTheme="minorHAnsi" w:hAnsiTheme="minorHAnsi" w:cstheme="minorHAnsi"/>
          <w:b w:val="0"/>
          <w:color w:val="auto"/>
          <w:szCs w:val="22"/>
        </w:rPr>
        <w:t>at each of the subsequent life stages. While overseas is a birthplace of some, there appears to be relatively little influence of overseas experience or training in any of the three organisations.</w:t>
      </w:r>
    </w:p>
    <w:p w:rsidR="00BB0B9C" w:rsidRDefault="00BB0B9C" w:rsidP="005B04AD">
      <w:pPr>
        <w:pStyle w:val="Tabletitle0"/>
        <w:rPr>
          <w:rFonts w:asciiTheme="minorHAnsi" w:hAnsiTheme="minorHAnsi" w:cstheme="minorHAnsi"/>
          <w:b w:val="0"/>
          <w:color w:val="auto"/>
          <w:szCs w:val="22"/>
        </w:rPr>
      </w:pPr>
    </w:p>
    <w:p w:rsidR="00EC46D9" w:rsidRDefault="00EC46D9" w:rsidP="00BB0B9C">
      <w:pPr>
        <w:pStyle w:val="Tabletitle0"/>
        <w:sectPr w:rsidR="00EC46D9" w:rsidSect="00EC46D9">
          <w:type w:val="continuous"/>
          <w:pgSz w:w="11906" w:h="16838"/>
          <w:pgMar w:top="1440" w:right="1440" w:bottom="1440" w:left="1440" w:header="708" w:footer="708" w:gutter="0"/>
          <w:cols w:num="2" w:space="708"/>
          <w:docGrid w:linePitch="360"/>
        </w:sectPr>
      </w:pPr>
    </w:p>
    <w:p w:rsidR="00BB0B9C" w:rsidRDefault="00BB0B9C" w:rsidP="00BB0B9C">
      <w:pPr>
        <w:pStyle w:val="Tabletitle0"/>
      </w:pPr>
      <w:r w:rsidRPr="00BB0B9C">
        <w:lastRenderedPageBreak/>
        <w:t xml:space="preserve">Figure </w:t>
      </w:r>
      <w:r w:rsidR="00420F4A">
        <w:t>2</w:t>
      </w:r>
      <w:r w:rsidRPr="00BB0B9C">
        <w:t xml:space="preserve">: Locations of respondents at key life stages, </w:t>
      </w:r>
      <w:r>
        <w:t xml:space="preserve">combined Bendigo </w:t>
      </w:r>
      <w:r w:rsidRPr="00BB0B9C">
        <w:t>sample</w:t>
      </w:r>
    </w:p>
    <w:p w:rsidR="00EC46D9" w:rsidRDefault="00EC46D9" w:rsidP="00BB0B9C">
      <w:pPr>
        <w:pStyle w:val="Tabletitle0"/>
        <w:tabs>
          <w:tab w:val="left" w:pos="1333"/>
        </w:tabs>
        <w:rPr>
          <w:rFonts w:asciiTheme="minorHAnsi" w:hAnsiTheme="minorHAnsi" w:cstheme="minorHAnsi"/>
          <w:b w:val="0"/>
          <w:color w:val="auto"/>
          <w:szCs w:val="22"/>
        </w:rPr>
      </w:pPr>
      <w:r>
        <w:rPr>
          <w:noProof/>
          <w:lang w:eastAsia="en-AU"/>
        </w:rPr>
        <w:drawing>
          <wp:inline distT="0" distB="0" distL="0" distR="0" wp14:anchorId="23F85F92" wp14:editId="0A7724DB">
            <wp:extent cx="3602990" cy="2865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2990" cy="2865755"/>
                    </a:xfrm>
                    <a:prstGeom prst="rect">
                      <a:avLst/>
                    </a:prstGeom>
                    <a:noFill/>
                    <a:ln>
                      <a:noFill/>
                    </a:ln>
                  </pic:spPr>
                </pic:pic>
              </a:graphicData>
            </a:graphic>
          </wp:inline>
        </w:drawing>
      </w:r>
    </w:p>
    <w:p w:rsidR="00EC46D9" w:rsidRDefault="00EC46D9" w:rsidP="00EC46D9">
      <w:pPr>
        <w:pStyle w:val="SourceDELWP"/>
      </w:pPr>
      <w:r w:rsidRPr="002A32B9">
        <w:t>Source</w:t>
      </w:r>
      <w:r>
        <w:t>s</w:t>
      </w:r>
      <w:r w:rsidRPr="002A32B9">
        <w:t>: Bendigo Bank</w:t>
      </w:r>
      <w:r>
        <w:t>,</w:t>
      </w:r>
      <w:r w:rsidRPr="002A32B9">
        <w:t xml:space="preserve"> H</w:t>
      </w:r>
      <w:r>
        <w:t xml:space="preserve">ospital and </w:t>
      </w:r>
      <w:r w:rsidRPr="002A32B9">
        <w:t xml:space="preserve">Council </w:t>
      </w:r>
      <w:r>
        <w:t>S</w:t>
      </w:r>
      <w:r w:rsidRPr="002A32B9">
        <w:t>urvey</w:t>
      </w:r>
      <w:r>
        <w:t>s 2015</w:t>
      </w:r>
    </w:p>
    <w:p w:rsidR="00EC46D9" w:rsidRDefault="00EC46D9" w:rsidP="00EC46D9">
      <w:pPr>
        <w:pStyle w:val="SourceDELWP"/>
      </w:pPr>
    </w:p>
    <w:p w:rsidR="00EC46D9" w:rsidRDefault="00EC46D9" w:rsidP="00EC46D9">
      <w:pPr>
        <w:pStyle w:val="SourceDELWP"/>
        <w:rPr>
          <w:rFonts w:asciiTheme="minorHAnsi" w:hAnsiTheme="minorHAnsi" w:cstheme="minorHAnsi"/>
          <w:b w:val="0"/>
          <w:color w:val="auto"/>
          <w:szCs w:val="22"/>
        </w:rPr>
        <w:sectPr w:rsidR="00EC46D9" w:rsidSect="00EC46D9">
          <w:type w:val="continuous"/>
          <w:pgSz w:w="11906" w:h="16838"/>
          <w:pgMar w:top="1440" w:right="1440" w:bottom="1440" w:left="1440" w:header="708" w:footer="708" w:gutter="0"/>
          <w:cols w:space="708"/>
          <w:docGrid w:linePitch="360"/>
        </w:sectPr>
      </w:pPr>
    </w:p>
    <w:p w:rsidR="00801C7E" w:rsidRDefault="00BB0B9C" w:rsidP="00BB0B9C">
      <w:pPr>
        <w:spacing w:after="120"/>
      </w:pPr>
      <w:r>
        <w:lastRenderedPageBreak/>
        <w:t>Although Melbourne becomes more important as a location during the attainment of higher qualifications, it is not of greater prominence than Bendigo for any of the organisations. This suggests that the local education and training sectors are playing an important role in delivering services to local businesses</w:t>
      </w:r>
      <w:r w:rsidR="00D2183A">
        <w:t xml:space="preserve"> to facilitate human capital accumulation</w:t>
      </w:r>
      <w:r>
        <w:t>.</w:t>
      </w:r>
    </w:p>
    <w:p w:rsidR="005B11C2" w:rsidRDefault="00420F4A" w:rsidP="005B11C2">
      <w:pPr>
        <w:spacing w:after="120"/>
      </w:pPr>
      <w:r>
        <w:t xml:space="preserve">Where respondents answered all of the </w:t>
      </w:r>
      <w:r w:rsidR="00E64CCC">
        <w:t>four</w:t>
      </w:r>
      <w:r>
        <w:t xml:space="preserve"> locational questions, </w:t>
      </w:r>
      <w:r w:rsidR="005B11C2">
        <w:t>longitudinal locational pattern</w:t>
      </w:r>
      <w:r>
        <w:t xml:space="preserve">s were able to be analysed. </w:t>
      </w:r>
      <w:r w:rsidR="005B11C2">
        <w:t xml:space="preserve">Sixty-five combinations were identified from a simplified location categorisation: Bendigo </w:t>
      </w:r>
      <w:r w:rsidR="005B11C2">
        <w:lastRenderedPageBreak/>
        <w:t xml:space="preserve">(B); other regional (R); metropolitan (M) and overseas (O). For example, a pattern of </w:t>
      </w:r>
      <w:r w:rsidR="005B6C08">
        <w:t>‘</w:t>
      </w:r>
      <w:r w:rsidR="005B11C2">
        <w:t>MRBB</w:t>
      </w:r>
      <w:r w:rsidR="005B6C08">
        <w:t>’</w:t>
      </w:r>
      <w:r w:rsidR="005B11C2">
        <w:t xml:space="preserve"> would indicate a respondent who had been born in Melbourne, spent their childhood mostly in a regional location but secondary school and gaining post-school qualifications in Bendigo. A pattern of MMMM would be someone who had spent all of these points of time in Melbourne and was now in Bendigo as part of the organisation being surveyed. </w:t>
      </w:r>
      <w:r>
        <w:t>The most common m</w:t>
      </w:r>
      <w:r w:rsidR="005B11C2">
        <w:t xml:space="preserve">igration history patterns are shown in figure </w:t>
      </w:r>
      <w:r>
        <w:t>3</w:t>
      </w:r>
      <w:r w:rsidR="005B11C2">
        <w:t xml:space="preserve">. </w:t>
      </w:r>
      <w:r>
        <w:t>These nine patterns represent 71 per cent of the total sample of 639 useable responses.</w:t>
      </w:r>
    </w:p>
    <w:p w:rsidR="00EC46D9" w:rsidRDefault="00EC46D9" w:rsidP="005B11C2">
      <w:pPr>
        <w:spacing w:after="120"/>
        <w:rPr>
          <w:sz w:val="20"/>
        </w:rPr>
        <w:sectPr w:rsidR="00EC46D9" w:rsidSect="00EC46D9">
          <w:type w:val="continuous"/>
          <w:pgSz w:w="11906" w:h="16838"/>
          <w:pgMar w:top="1440" w:right="1440" w:bottom="1440" w:left="1440" w:header="708" w:footer="708" w:gutter="0"/>
          <w:cols w:num="2" w:space="708"/>
          <w:docGrid w:linePitch="360"/>
        </w:sectPr>
      </w:pPr>
    </w:p>
    <w:p w:rsidR="00D41508" w:rsidRPr="00A86190" w:rsidRDefault="00D41508" w:rsidP="005B11C2">
      <w:pPr>
        <w:spacing w:after="120"/>
        <w:rPr>
          <w:sz w:val="20"/>
        </w:rPr>
      </w:pPr>
    </w:p>
    <w:p w:rsidR="00013A7D" w:rsidRDefault="00013A7D">
      <w:r>
        <w:br w:type="page"/>
      </w:r>
    </w:p>
    <w:p w:rsidR="005C7E23" w:rsidRDefault="005C7E23">
      <w:pPr>
        <w:rPr>
          <w:rFonts w:cs="Arial"/>
          <w:b/>
          <w:color w:val="404040"/>
          <w:szCs w:val="18"/>
        </w:rPr>
      </w:pPr>
    </w:p>
    <w:p w:rsidR="00EC46D9" w:rsidRDefault="00EC46D9" w:rsidP="005B04AD">
      <w:pPr>
        <w:pStyle w:val="TableTitle"/>
        <w:sectPr w:rsidR="00EC46D9" w:rsidSect="00EC46D9">
          <w:type w:val="continuous"/>
          <w:pgSz w:w="11906" w:h="16838"/>
          <w:pgMar w:top="1440" w:right="1440" w:bottom="1440" w:left="1440" w:header="708" w:footer="708" w:gutter="0"/>
          <w:cols w:num="2" w:space="708"/>
          <w:docGrid w:linePitch="360"/>
        </w:sectPr>
      </w:pPr>
    </w:p>
    <w:p w:rsidR="00F50ECA" w:rsidRPr="00F50ECA" w:rsidRDefault="00F50ECA" w:rsidP="005B04AD">
      <w:pPr>
        <w:pStyle w:val="TableTitle"/>
      </w:pPr>
      <w:r w:rsidRPr="00F50ECA">
        <w:lastRenderedPageBreak/>
        <w:t xml:space="preserve">Figure </w:t>
      </w:r>
      <w:r w:rsidR="00420F4A">
        <w:t>3</w:t>
      </w:r>
      <w:r w:rsidRPr="00F50ECA">
        <w:t>: Simplified migration histories</w:t>
      </w:r>
      <w:r w:rsidR="00BB0B9C">
        <w:t>, Bank, Hospit</w:t>
      </w:r>
      <w:bookmarkStart w:id="1" w:name="_GoBack"/>
      <w:bookmarkEnd w:id="1"/>
      <w:r w:rsidR="00BB0B9C">
        <w:t>al and Council samples</w:t>
      </w:r>
    </w:p>
    <w:p w:rsidR="00F50ECA" w:rsidRPr="00F50ECA" w:rsidRDefault="005B11C2" w:rsidP="00F50ECA">
      <w:pPr>
        <w:pStyle w:val="DELWPbodytext"/>
      </w:pPr>
      <w:r w:rsidRPr="005B11C2">
        <w:rPr>
          <w:noProof/>
          <w:lang w:eastAsia="en-AU"/>
        </w:rPr>
        <w:drawing>
          <wp:inline distT="0" distB="0" distL="0" distR="0" wp14:anchorId="7148E150" wp14:editId="13F89DB8">
            <wp:extent cx="3074796" cy="353963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77997" cy="3543316"/>
                    </a:xfrm>
                    <a:prstGeom prst="rect">
                      <a:avLst/>
                    </a:prstGeom>
                  </pic:spPr>
                </pic:pic>
              </a:graphicData>
            </a:graphic>
          </wp:inline>
        </w:drawing>
      </w:r>
    </w:p>
    <w:p w:rsidR="005B11C2" w:rsidRPr="002A32B9" w:rsidRDefault="005B11C2" w:rsidP="005B11C2">
      <w:pPr>
        <w:pStyle w:val="SourceDELWP"/>
      </w:pPr>
      <w:r w:rsidRPr="002A32B9">
        <w:t>Source</w:t>
      </w:r>
      <w:r>
        <w:t>s</w:t>
      </w:r>
      <w:r w:rsidRPr="002A32B9">
        <w:t>: Bendigo Bank</w:t>
      </w:r>
      <w:r>
        <w:t>,</w:t>
      </w:r>
      <w:r w:rsidRPr="002A32B9">
        <w:t xml:space="preserve"> H</w:t>
      </w:r>
      <w:r>
        <w:t xml:space="preserve">ospital and </w:t>
      </w:r>
      <w:r w:rsidRPr="002A32B9">
        <w:t xml:space="preserve">Council </w:t>
      </w:r>
      <w:r>
        <w:t>S</w:t>
      </w:r>
      <w:r w:rsidRPr="002A32B9">
        <w:t>urvey</w:t>
      </w:r>
      <w:r>
        <w:t>s 2015</w:t>
      </w:r>
    </w:p>
    <w:p w:rsidR="00A827BC" w:rsidRDefault="00A827BC" w:rsidP="00A827BC">
      <w:pPr>
        <w:pStyle w:val="SourceDELWP"/>
      </w:pPr>
    </w:p>
    <w:p w:rsidR="005C7E23" w:rsidRDefault="005C7E23" w:rsidP="00A827BC">
      <w:pPr>
        <w:pStyle w:val="SourceDELWP"/>
        <w:sectPr w:rsidR="005C7E23" w:rsidSect="00364027">
          <w:type w:val="continuous"/>
          <w:pgSz w:w="11906" w:h="16838"/>
          <w:pgMar w:top="1440" w:right="1440" w:bottom="1440" w:left="1440" w:header="708" w:footer="708" w:gutter="0"/>
          <w:cols w:space="708"/>
          <w:docGrid w:linePitch="360"/>
        </w:sectPr>
      </w:pPr>
    </w:p>
    <w:p w:rsidR="00801C7E" w:rsidRDefault="005B11C2" w:rsidP="005B11C2">
      <w:pPr>
        <w:spacing w:after="120"/>
      </w:pPr>
      <w:r>
        <w:lastRenderedPageBreak/>
        <w:t xml:space="preserve">The dominance of the ‘Bendigo only’ pattern can be seen with 144 of the 639 usable responses being in this category. The Bank showed the highest proportion with this pattern (29.4%). A number of categories accounted for 10-14% of respondents in the three organisations. RRRB was relatively common in all organisations and accounted for 10.6% of the combined sample. This suggests that Bendigo is drawing from rural areas and other regional centres, mostly within Victoria. The appearance of MMMM (10% of total sample) and RRRR (8.3% of total sample) is of interest because, like the BBBB pattern, it suggests that non-migration is a common pattern. The anchors of family and friends </w:t>
      </w:r>
      <w:r w:rsidR="00E64CCC">
        <w:t>are</w:t>
      </w:r>
      <w:r>
        <w:t xml:space="preserve"> likely to be a reason for this.</w:t>
      </w:r>
    </w:p>
    <w:p w:rsidR="00E64CCC" w:rsidRDefault="005B11C2" w:rsidP="005B11C2">
      <w:pPr>
        <w:spacing w:after="120"/>
      </w:pPr>
      <w:r>
        <w:t xml:space="preserve">Evidence of returnee migration can be seen in regional-metro-regional type patterns, for example the patterns of BBBM and RRRM. </w:t>
      </w:r>
      <w:r>
        <w:lastRenderedPageBreak/>
        <w:t xml:space="preserve">The latter pattern shows a return to the regional centre of Bendigo rather than a return to regional area of origin, a pattern noted earlier from previous qualitative research. </w:t>
      </w:r>
    </w:p>
    <w:p w:rsidR="004F13A2" w:rsidRDefault="005B11C2" w:rsidP="00E64CCC">
      <w:pPr>
        <w:spacing w:after="120"/>
      </w:pPr>
      <w:r>
        <w:t>There is an important caveat to the data on these returnees. The survey questions asked respondents to state where they had attained their highest level of qualification.</w:t>
      </w:r>
      <w:r w:rsidR="00E64CCC">
        <w:t xml:space="preserve"> </w:t>
      </w:r>
      <w:r w:rsidR="00F94CDA">
        <w:t xml:space="preserve">The 24 respondents showing the BBBM pattern had attained their highest qualification in Melbourne, however cross tabulation of their response with an earlier question </w:t>
      </w:r>
      <w:r w:rsidR="005B6C08">
        <w:t>‘</w:t>
      </w:r>
      <w:r w:rsidR="00F94CDA">
        <w:t>After the age of 15, have you lived outside the City of Greater Bendigo?</w:t>
      </w:r>
      <w:r w:rsidR="005B6C08">
        <w:t>’</w:t>
      </w:r>
      <w:r w:rsidR="00F94CDA">
        <w:t xml:space="preserve"> reveals </w:t>
      </w:r>
      <w:r w:rsidR="00D23981">
        <w:t>eight</w:t>
      </w:r>
      <w:r w:rsidR="00F94CDA">
        <w:t xml:space="preserve"> respondents who had not lived outside Bendigo after age 15 but had a post-school qualification from Melbourne, presumably through distance education or commuting.</w:t>
      </w:r>
    </w:p>
    <w:p w:rsidR="00D23981" w:rsidRDefault="00D23981">
      <w:pPr>
        <w:rPr>
          <w:rFonts w:cs="Arial"/>
          <w:b/>
          <w:sz w:val="24"/>
        </w:rPr>
        <w:sectPr w:rsidR="00D23981" w:rsidSect="00EC46D9">
          <w:type w:val="continuous"/>
          <w:pgSz w:w="11906" w:h="16838"/>
          <w:pgMar w:top="1440" w:right="1440" w:bottom="1440" w:left="1440" w:header="708" w:footer="708" w:gutter="0"/>
          <w:cols w:num="2" w:space="708"/>
          <w:docGrid w:linePitch="360"/>
        </w:sectPr>
      </w:pPr>
    </w:p>
    <w:p w:rsidR="00D23981" w:rsidRDefault="00D23981">
      <w:pPr>
        <w:rPr>
          <w:rFonts w:cs="Arial"/>
          <w:b/>
          <w:sz w:val="24"/>
        </w:rPr>
      </w:pPr>
      <w:r>
        <w:rPr>
          <w:rFonts w:cs="Arial"/>
          <w:b/>
          <w:sz w:val="24"/>
        </w:rPr>
        <w:lastRenderedPageBreak/>
        <w:br w:type="page"/>
      </w:r>
    </w:p>
    <w:p w:rsidR="00013A7D" w:rsidRPr="00F50ECA" w:rsidRDefault="00013A7D" w:rsidP="00D23981">
      <w:pPr>
        <w:pStyle w:val="HeadingB"/>
        <w:spacing w:before="0"/>
        <w:ind w:left="720" w:hanging="720"/>
      </w:pPr>
      <w:r w:rsidRPr="00F50ECA">
        <w:lastRenderedPageBreak/>
        <w:t>3</w:t>
      </w:r>
      <w:r>
        <w:t>.3</w:t>
      </w:r>
      <w:r w:rsidRPr="00F50ECA">
        <w:tab/>
      </w:r>
      <w:r>
        <w:t>Workplace role and l</w:t>
      </w:r>
      <w:r w:rsidRPr="00F50ECA">
        <w:t>ocational background</w:t>
      </w:r>
    </w:p>
    <w:p w:rsidR="00801C7E" w:rsidRDefault="005D2354" w:rsidP="00892A8D">
      <w:pPr>
        <w:spacing w:before="120" w:after="120"/>
        <w:ind w:right="-187"/>
        <w:rPr>
          <w:lang w:val="en-US"/>
        </w:rPr>
      </w:pPr>
      <w:r>
        <w:rPr>
          <w:lang w:val="en-US"/>
        </w:rPr>
        <w:t xml:space="preserve">Melbourne, like other metropolitan </w:t>
      </w:r>
      <w:proofErr w:type="spellStart"/>
      <w:r>
        <w:rPr>
          <w:lang w:val="en-US"/>
        </w:rPr>
        <w:t>centres</w:t>
      </w:r>
      <w:proofErr w:type="spellEnd"/>
      <w:r w:rsidR="00892A8D">
        <w:rPr>
          <w:lang w:val="en-US"/>
        </w:rPr>
        <w:t>,</w:t>
      </w:r>
      <w:r>
        <w:rPr>
          <w:lang w:val="en-US"/>
        </w:rPr>
        <w:t xml:space="preserve"> </w:t>
      </w:r>
      <w:r w:rsidR="00892A8D">
        <w:rPr>
          <w:lang w:val="en-US"/>
        </w:rPr>
        <w:t xml:space="preserve">provides an array of </w:t>
      </w:r>
      <w:r w:rsidR="00B05E91">
        <w:rPr>
          <w:lang w:val="en-US"/>
        </w:rPr>
        <w:t>educational and employment opportunities</w:t>
      </w:r>
      <w:r w:rsidR="00892A8D">
        <w:rPr>
          <w:lang w:val="en-US"/>
        </w:rPr>
        <w:t>,</w:t>
      </w:r>
      <w:r w:rsidR="00B05E91">
        <w:rPr>
          <w:lang w:val="en-US"/>
        </w:rPr>
        <w:t xml:space="preserve"> especially for </w:t>
      </w:r>
      <w:r>
        <w:rPr>
          <w:lang w:val="en-US"/>
        </w:rPr>
        <w:t xml:space="preserve">specialist and professional training and </w:t>
      </w:r>
      <w:r w:rsidR="00B05E91">
        <w:rPr>
          <w:lang w:val="en-US"/>
        </w:rPr>
        <w:t xml:space="preserve">senior management roles. For this reason it might be expected that regional </w:t>
      </w:r>
      <w:proofErr w:type="spellStart"/>
      <w:r w:rsidR="00B05E91">
        <w:rPr>
          <w:lang w:val="en-US"/>
        </w:rPr>
        <w:t>centres</w:t>
      </w:r>
      <w:proofErr w:type="spellEnd"/>
      <w:r w:rsidR="00B05E91">
        <w:rPr>
          <w:lang w:val="en-US"/>
        </w:rPr>
        <w:t xml:space="preserve"> would need to source </w:t>
      </w:r>
      <w:r>
        <w:rPr>
          <w:lang w:val="en-US"/>
        </w:rPr>
        <w:t xml:space="preserve">highly skilled staff </w:t>
      </w:r>
      <w:r w:rsidR="00B05E91">
        <w:rPr>
          <w:lang w:val="en-US"/>
        </w:rPr>
        <w:t>from larger cities. However, the survey data do not support this assumption.</w:t>
      </w:r>
    </w:p>
    <w:p w:rsidR="005A540A" w:rsidRDefault="00A86190" w:rsidP="00892A8D">
      <w:pPr>
        <w:spacing w:before="120" w:after="120"/>
        <w:ind w:right="-187"/>
      </w:pPr>
      <w:r>
        <w:t xml:space="preserve">In </w:t>
      </w:r>
      <w:r w:rsidR="005A540A">
        <w:t xml:space="preserve">the combined sample, </w:t>
      </w:r>
      <w:r w:rsidR="00892A8D">
        <w:t xml:space="preserve">44 per cent </w:t>
      </w:r>
      <w:r w:rsidR="005A540A">
        <w:t xml:space="preserve">of those </w:t>
      </w:r>
      <w:r>
        <w:t xml:space="preserve">with </w:t>
      </w:r>
      <w:r w:rsidR="005A540A">
        <w:t>management roles had gained their highest qualification in Bendigo</w:t>
      </w:r>
      <w:r>
        <w:t>. A</w:t>
      </w:r>
      <w:r w:rsidR="005D2354">
        <w:t xml:space="preserve"> further </w:t>
      </w:r>
      <w:r w:rsidR="005A540A">
        <w:t>19 per</w:t>
      </w:r>
      <w:r w:rsidR="005D2354">
        <w:t xml:space="preserve"> </w:t>
      </w:r>
      <w:r w:rsidR="005A540A">
        <w:t xml:space="preserve">cent </w:t>
      </w:r>
      <w:r>
        <w:t xml:space="preserve">had gained their highest qualifications while </w:t>
      </w:r>
      <w:r w:rsidR="005A540A">
        <w:t>in other regional location</w:t>
      </w:r>
      <w:r w:rsidR="005D2354">
        <w:t>s</w:t>
      </w:r>
      <w:r>
        <w:t xml:space="preserve"> and 35 </w:t>
      </w:r>
      <w:r w:rsidR="005A540A">
        <w:t xml:space="preserve">per cent </w:t>
      </w:r>
      <w:r>
        <w:t xml:space="preserve">while </w:t>
      </w:r>
      <w:r w:rsidR="005D2354">
        <w:t>in Melbourne or other capital cities</w:t>
      </w:r>
      <w:r w:rsidR="005A540A">
        <w:t xml:space="preserve">. Thus 63 per </w:t>
      </w:r>
      <w:r w:rsidR="005A540A">
        <w:lastRenderedPageBreak/>
        <w:t>cent of those in management roles had gained their highest qualification while living in a non-metropolitan location.</w:t>
      </w:r>
    </w:p>
    <w:p w:rsidR="00801C7E" w:rsidRDefault="00D5067A" w:rsidP="00E64CCC">
      <w:pPr>
        <w:spacing w:before="120" w:after="120"/>
        <w:ind w:right="-187"/>
      </w:pPr>
      <w:r>
        <w:rPr>
          <w:lang w:val="en-US"/>
        </w:rPr>
        <w:t xml:space="preserve">There is some variation between the three workforce samples with the Bank having a high proportion of managers who had trained in </w:t>
      </w:r>
      <w:proofErr w:type="spellStart"/>
      <w:r>
        <w:rPr>
          <w:lang w:val="en-US"/>
        </w:rPr>
        <w:t>Bendigo</w:t>
      </w:r>
      <w:proofErr w:type="spellEnd"/>
      <w:r>
        <w:rPr>
          <w:lang w:val="en-US"/>
        </w:rPr>
        <w:t xml:space="preserve"> (50%) and other regional (19%) areas </w:t>
      </w:r>
      <w:r>
        <w:t xml:space="preserve">(figure </w:t>
      </w:r>
      <w:r w:rsidR="00013A7D">
        <w:t>4</w:t>
      </w:r>
      <w:r>
        <w:t xml:space="preserve">). The council sample had the highest proportion of managers who had been in metropolitan locations while gaining qualifications (52%) while the hospital had a relatively even representation between Bendigo (42%) and metropolitan (38%). </w:t>
      </w:r>
      <w:r w:rsidRPr="00E117EF">
        <w:t>The assumption that more senior roles require higher levels of education and experience may hold, but the degree to which these skills need to be acquired and u</w:t>
      </w:r>
      <w:r>
        <w:t xml:space="preserve">tilised </w:t>
      </w:r>
      <w:r w:rsidRPr="00E117EF">
        <w:t>only in metropolitan areas is challenged by the findings.</w:t>
      </w:r>
    </w:p>
    <w:p w:rsidR="00364027" w:rsidRDefault="00364027" w:rsidP="00E64CCC">
      <w:pPr>
        <w:spacing w:before="120" w:after="120"/>
        <w:ind w:right="-187"/>
        <w:sectPr w:rsidR="00364027" w:rsidSect="00EC46D9">
          <w:type w:val="continuous"/>
          <w:pgSz w:w="11906" w:h="16838"/>
          <w:pgMar w:top="1440" w:right="1440" w:bottom="1440" w:left="1440" w:header="708" w:footer="708" w:gutter="0"/>
          <w:cols w:num="2" w:space="708"/>
          <w:docGrid w:linePitch="360"/>
        </w:sectPr>
      </w:pPr>
    </w:p>
    <w:p w:rsidR="00E64CCC" w:rsidRDefault="00E64CCC" w:rsidP="00E64CCC">
      <w:pPr>
        <w:spacing w:before="120" w:after="120"/>
        <w:ind w:right="-187"/>
      </w:pPr>
    </w:p>
    <w:p w:rsidR="00300EAD" w:rsidRDefault="00892A8D" w:rsidP="00892A8D">
      <w:pPr>
        <w:pStyle w:val="Tabletitle0"/>
      </w:pPr>
      <w:r w:rsidRPr="00F50ECA">
        <w:t xml:space="preserve">Figure </w:t>
      </w:r>
      <w:r w:rsidR="00420F4A">
        <w:t>4</w:t>
      </w:r>
      <w:r w:rsidRPr="00F50ECA">
        <w:t xml:space="preserve">: </w:t>
      </w:r>
      <w:r>
        <w:t xml:space="preserve">Location while obtaining highest educational qualification for </w:t>
      </w:r>
      <w:r w:rsidR="003E6A45">
        <w:br/>
      </w:r>
      <w:r>
        <w:t xml:space="preserve">those holding a management </w:t>
      </w:r>
      <w:r w:rsidRPr="00F50ECA">
        <w:t>role</w:t>
      </w:r>
      <w:r>
        <w:t xml:space="preserve">, </w:t>
      </w:r>
      <w:r w:rsidRPr="002A32B9">
        <w:t>Bank, Hospital and Council samples</w:t>
      </w:r>
    </w:p>
    <w:p w:rsidR="005A540A" w:rsidRDefault="00A86190" w:rsidP="00E175AF">
      <w:pPr>
        <w:spacing w:after="120"/>
        <w:ind w:right="-188"/>
      </w:pPr>
      <w:r w:rsidRPr="00A86190">
        <w:rPr>
          <w:noProof/>
          <w:lang w:eastAsia="en-AU"/>
        </w:rPr>
        <w:drawing>
          <wp:inline distT="0" distB="0" distL="0" distR="0" wp14:anchorId="0A2C9E85" wp14:editId="6CCA13C7">
            <wp:extent cx="4320000" cy="2717077"/>
            <wp:effectExtent l="0" t="0" r="444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20000" cy="2717077"/>
                    </a:xfrm>
                    <a:prstGeom prst="rect">
                      <a:avLst/>
                    </a:prstGeom>
                  </pic:spPr>
                </pic:pic>
              </a:graphicData>
            </a:graphic>
          </wp:inline>
        </w:drawing>
      </w:r>
    </w:p>
    <w:p w:rsidR="00013A7D" w:rsidRDefault="00892A8D" w:rsidP="006F39C5">
      <w:pPr>
        <w:pStyle w:val="SourceDELWP"/>
      </w:pPr>
      <w:r w:rsidRPr="002A32B9">
        <w:t>Source</w:t>
      </w:r>
      <w:r>
        <w:t>s</w:t>
      </w:r>
      <w:r w:rsidRPr="002A32B9">
        <w:t>: Bendigo Bank</w:t>
      </w:r>
      <w:r>
        <w:t>,</w:t>
      </w:r>
      <w:r w:rsidRPr="002A32B9">
        <w:t xml:space="preserve"> H</w:t>
      </w:r>
      <w:r>
        <w:t xml:space="preserve">ospital and </w:t>
      </w:r>
      <w:r w:rsidRPr="002A32B9">
        <w:t xml:space="preserve">Council </w:t>
      </w:r>
      <w:r>
        <w:t>S</w:t>
      </w:r>
      <w:r w:rsidRPr="002A32B9">
        <w:t>urvey</w:t>
      </w:r>
      <w:r>
        <w:t>s 2015</w:t>
      </w:r>
    </w:p>
    <w:p w:rsidR="00364027" w:rsidRDefault="00364027" w:rsidP="006F39C5">
      <w:pPr>
        <w:pStyle w:val="SourceDELWP"/>
      </w:pPr>
    </w:p>
    <w:p w:rsidR="00364027" w:rsidRDefault="00364027" w:rsidP="006F39C5">
      <w:pPr>
        <w:pStyle w:val="SourceDELWP"/>
        <w:rPr>
          <w:b w:val="0"/>
          <w:sz w:val="24"/>
        </w:rPr>
        <w:sectPr w:rsidR="00364027" w:rsidSect="00364027">
          <w:type w:val="continuous"/>
          <w:pgSz w:w="11906" w:h="16838"/>
          <w:pgMar w:top="1440" w:right="1440" w:bottom="1440" w:left="1440" w:header="708" w:footer="708" w:gutter="0"/>
          <w:cols w:space="708"/>
          <w:docGrid w:linePitch="360"/>
        </w:sectPr>
      </w:pPr>
    </w:p>
    <w:p w:rsidR="00013A7D" w:rsidRPr="00F50ECA" w:rsidRDefault="00013A7D" w:rsidP="00D23981">
      <w:pPr>
        <w:pStyle w:val="HeadingB"/>
        <w:spacing w:before="0"/>
        <w:ind w:left="720" w:hanging="720"/>
      </w:pPr>
      <w:r w:rsidRPr="00F50ECA">
        <w:lastRenderedPageBreak/>
        <w:t>3</w:t>
      </w:r>
      <w:r>
        <w:t>.4</w:t>
      </w:r>
      <w:r w:rsidRPr="00F50ECA">
        <w:tab/>
      </w:r>
      <w:r>
        <w:t>Reasons for moving to Bendigo</w:t>
      </w:r>
    </w:p>
    <w:p w:rsidR="00F94CDA" w:rsidRDefault="00F94CDA" w:rsidP="00D41508">
      <w:pPr>
        <w:spacing w:after="120"/>
      </w:pPr>
      <w:r>
        <w:t xml:space="preserve">The respondents who had moved to Bendigo at some point in their lives were asked about their reasons for making the move – up to 3 reasons could be selected from a list of 8 options. A number of these options related to family and employment and have therefore </w:t>
      </w:r>
      <w:r>
        <w:lastRenderedPageBreak/>
        <w:t>been combi</w:t>
      </w:r>
      <w:r w:rsidR="00013A7D">
        <w:t>ned in table 2</w:t>
      </w:r>
      <w:r>
        <w:t xml:space="preserve">. </w:t>
      </w:r>
      <w:r w:rsidR="00483C85">
        <w:t xml:space="preserve">The table </w:t>
      </w:r>
      <w:r>
        <w:t>reveals the dominance of family and employment reasons which account for 39 and 31 per</w:t>
      </w:r>
      <w:r w:rsidR="00AC504C">
        <w:t xml:space="preserve"> </w:t>
      </w:r>
      <w:r>
        <w:t xml:space="preserve">cent of responses </w:t>
      </w:r>
      <w:r w:rsidR="00A05C25">
        <w:t xml:space="preserve">respectively </w:t>
      </w:r>
      <w:r>
        <w:t xml:space="preserve">in the combined sample. There is a large gap to education and training (12%) and </w:t>
      </w:r>
      <w:r w:rsidR="00483C85">
        <w:t>a</w:t>
      </w:r>
      <w:r>
        <w:t>menity reasons (10%). Housing choice and affordability form only 5 per cent of all responses.</w:t>
      </w:r>
    </w:p>
    <w:p w:rsidR="00364027" w:rsidRDefault="00364027" w:rsidP="00D41508">
      <w:pPr>
        <w:pStyle w:val="DELWPbodytext"/>
        <w:spacing w:line="240" w:lineRule="auto"/>
        <w:sectPr w:rsidR="00364027" w:rsidSect="00364027">
          <w:type w:val="continuous"/>
          <w:pgSz w:w="11906" w:h="16838"/>
          <w:pgMar w:top="1440" w:right="1440" w:bottom="1440" w:left="1440" w:header="708" w:footer="708" w:gutter="0"/>
          <w:cols w:num="2" w:space="708"/>
          <w:docGrid w:linePitch="360"/>
        </w:sectPr>
      </w:pPr>
    </w:p>
    <w:p w:rsidR="00364027" w:rsidRDefault="00364027">
      <w:pPr>
        <w:rPr>
          <w:rFonts w:cs="Arial"/>
          <w:b/>
          <w:color w:val="404040"/>
          <w:szCs w:val="18"/>
        </w:rPr>
      </w:pPr>
    </w:p>
    <w:p w:rsidR="00256EAC" w:rsidRPr="002A32B9" w:rsidRDefault="00F94CDA" w:rsidP="00045E26">
      <w:pPr>
        <w:pStyle w:val="TableTitle"/>
        <w:spacing w:line="240" w:lineRule="auto"/>
      </w:pPr>
      <w:r w:rsidRPr="00256EAC">
        <w:lastRenderedPageBreak/>
        <w:t xml:space="preserve">Table </w:t>
      </w:r>
      <w:r w:rsidR="00013A7D">
        <w:t>2</w:t>
      </w:r>
      <w:r w:rsidR="00F50ECA" w:rsidRPr="00256EAC">
        <w:t xml:space="preserve">: Reasons for moving to Bendigo </w:t>
      </w:r>
      <w:r w:rsidRPr="00256EAC">
        <w:t>– Bank, Hospital, Council and combined samples</w:t>
      </w:r>
    </w:p>
    <w:tbl>
      <w:tblPr>
        <w:tblStyle w:val="DELWPTable"/>
        <w:tblW w:w="9498" w:type="dxa"/>
        <w:tblLayout w:type="fixed"/>
        <w:tblLook w:val="04A0" w:firstRow="1" w:lastRow="0" w:firstColumn="1" w:lastColumn="0" w:noHBand="0" w:noVBand="1"/>
      </w:tblPr>
      <w:tblGrid>
        <w:gridCol w:w="2694"/>
        <w:gridCol w:w="850"/>
        <w:gridCol w:w="851"/>
        <w:gridCol w:w="850"/>
        <w:gridCol w:w="851"/>
        <w:gridCol w:w="850"/>
        <w:gridCol w:w="851"/>
        <w:gridCol w:w="850"/>
        <w:gridCol w:w="851"/>
      </w:tblGrid>
      <w:tr w:rsidR="005D7CB2" w:rsidRPr="005D7CB2" w:rsidTr="005D7CB2">
        <w:trPr>
          <w:cnfStyle w:val="100000000000" w:firstRow="1" w:lastRow="0" w:firstColumn="0" w:lastColumn="0" w:oddVBand="0" w:evenVBand="0" w:oddHBand="0" w:evenHBand="0" w:firstRowFirstColumn="0" w:firstRowLastColumn="0" w:lastRowFirstColumn="0" w:lastRowLastColumn="0"/>
          <w:trHeight w:val="341"/>
        </w:trPr>
        <w:tc>
          <w:tcPr>
            <w:tcW w:w="2694" w:type="dxa"/>
            <w:tcBorders>
              <w:right w:val="single" w:sz="4" w:space="0" w:color="auto"/>
            </w:tcBorders>
            <w:vAlign w:val="center"/>
          </w:tcPr>
          <w:p w:rsidR="00B805D7" w:rsidRPr="005D7CB2" w:rsidRDefault="00B805D7" w:rsidP="005D7CB2">
            <w:pPr>
              <w:pStyle w:val="DELWPbodytext"/>
              <w:spacing w:before="120" w:afterLines="0" w:after="120" w:line="240" w:lineRule="auto"/>
              <w:jc w:val="center"/>
              <w:rPr>
                <w:b/>
                <w:color w:val="FFFFFF" w:themeColor="background1"/>
              </w:rPr>
            </w:pPr>
          </w:p>
        </w:tc>
        <w:tc>
          <w:tcPr>
            <w:tcW w:w="1701" w:type="dxa"/>
            <w:gridSpan w:val="2"/>
            <w:tcBorders>
              <w:top w:val="nil"/>
              <w:left w:val="single" w:sz="4" w:space="0" w:color="auto"/>
              <w:right w:val="single" w:sz="4" w:space="0" w:color="auto"/>
            </w:tcBorders>
            <w:noWrap/>
            <w:vAlign w:val="center"/>
          </w:tcPr>
          <w:p w:rsidR="00B805D7" w:rsidRPr="005D7CB2" w:rsidRDefault="00B805D7" w:rsidP="005D7CB2">
            <w:pPr>
              <w:pStyle w:val="DELWPbodytext"/>
              <w:spacing w:before="120" w:afterLines="0" w:after="120" w:line="240" w:lineRule="auto"/>
              <w:jc w:val="center"/>
              <w:rPr>
                <w:b/>
                <w:color w:val="FFFFFF" w:themeColor="background1"/>
              </w:rPr>
            </w:pPr>
            <w:r w:rsidRPr="005D7CB2">
              <w:rPr>
                <w:b/>
                <w:color w:val="FFFFFF" w:themeColor="background1"/>
              </w:rPr>
              <w:t>BANK</w:t>
            </w:r>
          </w:p>
        </w:tc>
        <w:tc>
          <w:tcPr>
            <w:tcW w:w="1701" w:type="dxa"/>
            <w:gridSpan w:val="2"/>
            <w:tcBorders>
              <w:top w:val="nil"/>
              <w:left w:val="single" w:sz="4" w:space="0" w:color="auto"/>
              <w:right w:val="single" w:sz="4" w:space="0" w:color="auto"/>
            </w:tcBorders>
            <w:vAlign w:val="center"/>
          </w:tcPr>
          <w:p w:rsidR="00B805D7" w:rsidRPr="005D7CB2" w:rsidRDefault="00B805D7" w:rsidP="005D7CB2">
            <w:pPr>
              <w:pStyle w:val="DELWPbodytext"/>
              <w:spacing w:before="120" w:afterLines="0" w:after="120" w:line="240" w:lineRule="auto"/>
              <w:jc w:val="center"/>
              <w:rPr>
                <w:b/>
                <w:color w:val="FFFFFF" w:themeColor="background1"/>
              </w:rPr>
            </w:pPr>
            <w:r w:rsidRPr="005D7CB2">
              <w:rPr>
                <w:b/>
                <w:color w:val="FFFFFF" w:themeColor="background1"/>
              </w:rPr>
              <w:t>HOSPITAL</w:t>
            </w:r>
          </w:p>
        </w:tc>
        <w:tc>
          <w:tcPr>
            <w:tcW w:w="1701" w:type="dxa"/>
            <w:gridSpan w:val="2"/>
            <w:tcBorders>
              <w:top w:val="nil"/>
              <w:left w:val="single" w:sz="4" w:space="0" w:color="auto"/>
              <w:right w:val="single" w:sz="4" w:space="0" w:color="auto"/>
            </w:tcBorders>
            <w:vAlign w:val="center"/>
          </w:tcPr>
          <w:p w:rsidR="00B805D7" w:rsidRPr="005D7CB2" w:rsidRDefault="00B805D7" w:rsidP="005D7CB2">
            <w:pPr>
              <w:pStyle w:val="DELWPbodytext"/>
              <w:spacing w:before="120" w:afterLines="0" w:after="120" w:line="240" w:lineRule="auto"/>
              <w:jc w:val="center"/>
              <w:rPr>
                <w:b/>
                <w:color w:val="FFFFFF" w:themeColor="background1"/>
              </w:rPr>
            </w:pPr>
            <w:r w:rsidRPr="005D7CB2">
              <w:rPr>
                <w:b/>
                <w:color w:val="FFFFFF" w:themeColor="background1"/>
              </w:rPr>
              <w:t>COUNCIL</w:t>
            </w:r>
          </w:p>
        </w:tc>
        <w:tc>
          <w:tcPr>
            <w:tcW w:w="1701" w:type="dxa"/>
            <w:gridSpan w:val="2"/>
            <w:tcBorders>
              <w:top w:val="nil"/>
              <w:left w:val="single" w:sz="4" w:space="0" w:color="auto"/>
            </w:tcBorders>
            <w:vAlign w:val="center"/>
          </w:tcPr>
          <w:p w:rsidR="00B805D7" w:rsidRPr="005D7CB2" w:rsidRDefault="00B805D7" w:rsidP="005D7CB2">
            <w:pPr>
              <w:pStyle w:val="DELWPbodytext"/>
              <w:spacing w:before="120" w:afterLines="0" w:after="120" w:line="240" w:lineRule="auto"/>
              <w:jc w:val="center"/>
              <w:rPr>
                <w:b/>
                <w:color w:val="FFFFFF" w:themeColor="background1"/>
              </w:rPr>
            </w:pPr>
            <w:r w:rsidRPr="005D7CB2">
              <w:rPr>
                <w:b/>
                <w:color w:val="FFFFFF" w:themeColor="background1"/>
              </w:rPr>
              <w:t>TOTAL</w:t>
            </w:r>
          </w:p>
        </w:tc>
      </w:tr>
      <w:tr w:rsidR="005D7CB2" w:rsidRPr="005D7CB2" w:rsidTr="005D7CB2">
        <w:trPr>
          <w:trHeight w:val="255"/>
        </w:trPr>
        <w:tc>
          <w:tcPr>
            <w:tcW w:w="2694" w:type="dxa"/>
            <w:tcBorders>
              <w:right w:val="single" w:sz="4" w:space="0" w:color="auto"/>
            </w:tcBorders>
            <w:shd w:val="clear" w:color="auto" w:fill="01838F"/>
          </w:tcPr>
          <w:p w:rsidR="00B805D7" w:rsidRPr="005D7CB2" w:rsidRDefault="00B805D7" w:rsidP="00045E26">
            <w:pPr>
              <w:pStyle w:val="DELWPbodytext"/>
              <w:spacing w:afterLines="0" w:after="120" w:line="240" w:lineRule="auto"/>
              <w:rPr>
                <w:b/>
                <w:color w:val="FFFFFF" w:themeColor="background1"/>
              </w:rPr>
            </w:pPr>
            <w:r w:rsidRPr="005D7CB2">
              <w:rPr>
                <w:b/>
                <w:color w:val="FFFFFF" w:themeColor="background1"/>
              </w:rPr>
              <w:t>R</w:t>
            </w:r>
            <w:r w:rsidR="005D7CB2">
              <w:rPr>
                <w:b/>
                <w:color w:val="FFFFFF" w:themeColor="background1"/>
              </w:rPr>
              <w:t>EASON FOR MOVING</w:t>
            </w:r>
          </w:p>
        </w:tc>
        <w:tc>
          <w:tcPr>
            <w:tcW w:w="850" w:type="dxa"/>
            <w:tcBorders>
              <w:top w:val="nil"/>
              <w:left w:val="single" w:sz="4" w:space="0" w:color="auto"/>
            </w:tcBorders>
            <w:shd w:val="clear" w:color="auto" w:fill="01838F"/>
            <w:noWrap/>
          </w:tcPr>
          <w:p w:rsidR="00B805D7" w:rsidRPr="00045E26" w:rsidRDefault="00B805D7" w:rsidP="00045E26">
            <w:pPr>
              <w:pStyle w:val="DELWPbodytext"/>
              <w:spacing w:afterLines="0" w:after="120" w:line="240" w:lineRule="auto"/>
              <w:jc w:val="center"/>
              <w:rPr>
                <w:color w:val="FFFFFF" w:themeColor="background1"/>
                <w:sz w:val="20"/>
              </w:rPr>
            </w:pPr>
            <w:r w:rsidRPr="00045E26">
              <w:rPr>
                <w:color w:val="FFFFFF" w:themeColor="background1"/>
                <w:sz w:val="20"/>
              </w:rPr>
              <w:t>No</w:t>
            </w:r>
          </w:p>
        </w:tc>
        <w:tc>
          <w:tcPr>
            <w:tcW w:w="851" w:type="dxa"/>
            <w:tcBorders>
              <w:right w:val="single" w:sz="4" w:space="0" w:color="auto"/>
            </w:tcBorders>
            <w:shd w:val="clear" w:color="auto" w:fill="01838F"/>
            <w:noWrap/>
          </w:tcPr>
          <w:p w:rsidR="00B805D7" w:rsidRPr="00045E26" w:rsidRDefault="00B805D7" w:rsidP="00045E26">
            <w:pPr>
              <w:pStyle w:val="DELWPbodytext"/>
              <w:spacing w:afterLines="0" w:after="120" w:line="240" w:lineRule="auto"/>
              <w:jc w:val="center"/>
              <w:rPr>
                <w:color w:val="FFFFFF" w:themeColor="background1"/>
                <w:sz w:val="20"/>
              </w:rPr>
            </w:pPr>
            <w:r w:rsidRPr="00045E26">
              <w:rPr>
                <w:color w:val="FFFFFF" w:themeColor="background1"/>
                <w:sz w:val="20"/>
              </w:rPr>
              <w:t>%</w:t>
            </w:r>
          </w:p>
        </w:tc>
        <w:tc>
          <w:tcPr>
            <w:tcW w:w="850" w:type="dxa"/>
            <w:tcBorders>
              <w:top w:val="nil"/>
              <w:left w:val="single" w:sz="4" w:space="0" w:color="auto"/>
            </w:tcBorders>
            <w:shd w:val="clear" w:color="auto" w:fill="01838F"/>
          </w:tcPr>
          <w:p w:rsidR="00B805D7" w:rsidRPr="00045E26" w:rsidRDefault="00B805D7" w:rsidP="00045E26">
            <w:pPr>
              <w:pStyle w:val="DELWPbodytext"/>
              <w:spacing w:afterLines="0" w:after="120" w:line="240" w:lineRule="auto"/>
              <w:jc w:val="center"/>
              <w:rPr>
                <w:color w:val="FFFFFF" w:themeColor="background1"/>
                <w:sz w:val="20"/>
              </w:rPr>
            </w:pPr>
            <w:r w:rsidRPr="00045E26">
              <w:rPr>
                <w:color w:val="FFFFFF" w:themeColor="background1"/>
                <w:sz w:val="20"/>
              </w:rPr>
              <w:t>No</w:t>
            </w:r>
          </w:p>
        </w:tc>
        <w:tc>
          <w:tcPr>
            <w:tcW w:w="851" w:type="dxa"/>
            <w:tcBorders>
              <w:top w:val="single" w:sz="4" w:space="0" w:color="228591"/>
              <w:right w:val="single" w:sz="4" w:space="0" w:color="auto"/>
            </w:tcBorders>
            <w:shd w:val="clear" w:color="auto" w:fill="01838F"/>
          </w:tcPr>
          <w:p w:rsidR="00B805D7" w:rsidRPr="00045E26" w:rsidRDefault="00B805D7" w:rsidP="00045E26">
            <w:pPr>
              <w:pStyle w:val="DELWPbodytext"/>
              <w:spacing w:afterLines="0" w:after="120" w:line="240" w:lineRule="auto"/>
              <w:jc w:val="center"/>
              <w:rPr>
                <w:color w:val="FFFFFF" w:themeColor="background1"/>
                <w:sz w:val="20"/>
              </w:rPr>
            </w:pPr>
            <w:r w:rsidRPr="00045E26">
              <w:rPr>
                <w:color w:val="FFFFFF" w:themeColor="background1"/>
                <w:sz w:val="20"/>
              </w:rPr>
              <w:t>No</w:t>
            </w:r>
          </w:p>
        </w:tc>
        <w:tc>
          <w:tcPr>
            <w:tcW w:w="850" w:type="dxa"/>
            <w:tcBorders>
              <w:top w:val="nil"/>
              <w:left w:val="single" w:sz="4" w:space="0" w:color="auto"/>
            </w:tcBorders>
            <w:shd w:val="clear" w:color="auto" w:fill="01838F"/>
          </w:tcPr>
          <w:p w:rsidR="00B805D7" w:rsidRPr="00045E26" w:rsidRDefault="00B805D7" w:rsidP="00045E26">
            <w:pPr>
              <w:pStyle w:val="DELWPbodytext"/>
              <w:spacing w:afterLines="0" w:after="120" w:line="240" w:lineRule="auto"/>
              <w:jc w:val="center"/>
              <w:rPr>
                <w:color w:val="FFFFFF" w:themeColor="background1"/>
                <w:sz w:val="20"/>
              </w:rPr>
            </w:pPr>
            <w:r w:rsidRPr="00045E26">
              <w:rPr>
                <w:color w:val="FFFFFF" w:themeColor="background1"/>
                <w:sz w:val="20"/>
              </w:rPr>
              <w:t>%</w:t>
            </w:r>
          </w:p>
        </w:tc>
        <w:tc>
          <w:tcPr>
            <w:tcW w:w="851" w:type="dxa"/>
            <w:tcBorders>
              <w:right w:val="single" w:sz="4" w:space="0" w:color="auto"/>
            </w:tcBorders>
            <w:shd w:val="clear" w:color="auto" w:fill="01838F"/>
          </w:tcPr>
          <w:p w:rsidR="00B805D7" w:rsidRPr="00045E26" w:rsidRDefault="00B805D7" w:rsidP="00045E26">
            <w:pPr>
              <w:pStyle w:val="DELWPbodytext"/>
              <w:spacing w:afterLines="0" w:after="120" w:line="240" w:lineRule="auto"/>
              <w:jc w:val="center"/>
              <w:rPr>
                <w:color w:val="FFFFFF" w:themeColor="background1"/>
                <w:sz w:val="20"/>
              </w:rPr>
            </w:pPr>
            <w:r w:rsidRPr="00045E26">
              <w:rPr>
                <w:color w:val="FFFFFF" w:themeColor="background1"/>
                <w:sz w:val="20"/>
              </w:rPr>
              <w:t>%</w:t>
            </w:r>
          </w:p>
        </w:tc>
        <w:tc>
          <w:tcPr>
            <w:tcW w:w="850" w:type="dxa"/>
            <w:tcBorders>
              <w:top w:val="nil"/>
              <w:left w:val="single" w:sz="4" w:space="0" w:color="auto"/>
            </w:tcBorders>
            <w:shd w:val="clear" w:color="auto" w:fill="01838F"/>
          </w:tcPr>
          <w:p w:rsidR="00B805D7" w:rsidRPr="00045E26" w:rsidRDefault="00B805D7" w:rsidP="00045E26">
            <w:pPr>
              <w:pStyle w:val="DELWPbodytext"/>
              <w:spacing w:afterLines="0" w:after="120" w:line="240" w:lineRule="auto"/>
              <w:jc w:val="center"/>
              <w:rPr>
                <w:color w:val="FFFFFF" w:themeColor="background1"/>
                <w:sz w:val="20"/>
              </w:rPr>
            </w:pPr>
            <w:r w:rsidRPr="00045E26">
              <w:rPr>
                <w:color w:val="FFFFFF" w:themeColor="background1"/>
                <w:sz w:val="20"/>
              </w:rPr>
              <w:t>No</w:t>
            </w:r>
          </w:p>
        </w:tc>
        <w:tc>
          <w:tcPr>
            <w:tcW w:w="851" w:type="dxa"/>
            <w:shd w:val="clear" w:color="auto" w:fill="01838F"/>
          </w:tcPr>
          <w:p w:rsidR="00B805D7" w:rsidRPr="00045E26" w:rsidRDefault="00B805D7" w:rsidP="00045E26">
            <w:pPr>
              <w:pStyle w:val="DELWPbodytext"/>
              <w:spacing w:afterLines="0" w:after="120" w:line="240" w:lineRule="auto"/>
              <w:jc w:val="center"/>
              <w:rPr>
                <w:color w:val="FFFFFF" w:themeColor="background1"/>
                <w:sz w:val="20"/>
              </w:rPr>
            </w:pPr>
            <w:r w:rsidRPr="00045E26">
              <w:rPr>
                <w:color w:val="FFFFFF" w:themeColor="background1"/>
                <w:sz w:val="20"/>
              </w:rPr>
              <w:t>%</w:t>
            </w:r>
          </w:p>
        </w:tc>
      </w:tr>
      <w:tr w:rsidR="00B805D7" w:rsidRPr="004E3EA7" w:rsidTr="005D7CB2">
        <w:trPr>
          <w:trHeight w:val="255"/>
        </w:trPr>
        <w:tc>
          <w:tcPr>
            <w:tcW w:w="2694" w:type="dxa"/>
            <w:tcBorders>
              <w:right w:val="single" w:sz="4" w:space="0" w:color="auto"/>
            </w:tcBorders>
            <w:hideMark/>
          </w:tcPr>
          <w:p w:rsidR="00B805D7" w:rsidRPr="004E3EA7" w:rsidRDefault="00B805D7" w:rsidP="000D2EED">
            <w:pPr>
              <w:pStyle w:val="DELWPbodytext"/>
              <w:spacing w:afterLines="0" w:after="0" w:line="240" w:lineRule="auto"/>
              <w:rPr>
                <w:sz w:val="20"/>
              </w:rPr>
            </w:pPr>
            <w:r>
              <w:rPr>
                <w:sz w:val="20"/>
              </w:rPr>
              <w:t>Family-related*</w:t>
            </w:r>
          </w:p>
        </w:tc>
        <w:tc>
          <w:tcPr>
            <w:tcW w:w="850" w:type="dxa"/>
            <w:tcBorders>
              <w:top w:val="single" w:sz="4" w:space="0" w:color="228591"/>
              <w:left w:val="single" w:sz="4" w:space="0" w:color="auto"/>
            </w:tcBorders>
            <w:noWrap/>
          </w:tcPr>
          <w:p w:rsidR="00B805D7" w:rsidRPr="004E3EA7" w:rsidRDefault="005D7CB2" w:rsidP="000D2EED">
            <w:pPr>
              <w:pStyle w:val="DELWPbodytext"/>
              <w:spacing w:afterLines="0" w:after="0" w:line="240" w:lineRule="auto"/>
              <w:jc w:val="center"/>
              <w:rPr>
                <w:sz w:val="20"/>
              </w:rPr>
            </w:pPr>
            <w:r>
              <w:rPr>
                <w:sz w:val="20"/>
              </w:rPr>
              <w:t>103</w:t>
            </w:r>
          </w:p>
        </w:tc>
        <w:tc>
          <w:tcPr>
            <w:tcW w:w="851" w:type="dxa"/>
            <w:tcBorders>
              <w:right w:val="single" w:sz="4" w:space="0" w:color="auto"/>
            </w:tcBorders>
            <w:noWrap/>
          </w:tcPr>
          <w:p w:rsidR="00B805D7" w:rsidRPr="004E3EA7" w:rsidRDefault="00045E26" w:rsidP="000D2EED">
            <w:pPr>
              <w:pStyle w:val="DELWPbodytext"/>
              <w:spacing w:afterLines="0" w:after="0" w:line="240" w:lineRule="auto"/>
              <w:jc w:val="center"/>
              <w:rPr>
                <w:sz w:val="20"/>
              </w:rPr>
            </w:pPr>
            <w:r>
              <w:rPr>
                <w:sz w:val="20"/>
              </w:rPr>
              <w:t>44</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42</w:t>
            </w:r>
          </w:p>
        </w:tc>
        <w:tc>
          <w:tcPr>
            <w:tcW w:w="851" w:type="dxa"/>
            <w:tcBorders>
              <w:top w:val="single" w:sz="4" w:space="0" w:color="228591"/>
              <w:right w:val="single" w:sz="4" w:space="0" w:color="auto"/>
            </w:tcBorders>
          </w:tcPr>
          <w:p w:rsidR="00B805D7" w:rsidRPr="004E3EA7" w:rsidRDefault="00045E26" w:rsidP="000D2EED">
            <w:pPr>
              <w:pStyle w:val="DELWPbodytext"/>
              <w:spacing w:afterLines="0" w:after="0" w:line="240" w:lineRule="auto"/>
              <w:jc w:val="center"/>
              <w:rPr>
                <w:sz w:val="20"/>
              </w:rPr>
            </w:pPr>
            <w:r>
              <w:rPr>
                <w:sz w:val="20"/>
              </w:rPr>
              <w:t>34</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60</w:t>
            </w:r>
          </w:p>
        </w:tc>
        <w:tc>
          <w:tcPr>
            <w:tcW w:w="851" w:type="dxa"/>
            <w:tcBorders>
              <w:right w:val="single" w:sz="4" w:space="0" w:color="auto"/>
            </w:tcBorders>
          </w:tcPr>
          <w:p w:rsidR="00B805D7" w:rsidRPr="004E3EA7" w:rsidRDefault="00045E26" w:rsidP="000D2EED">
            <w:pPr>
              <w:pStyle w:val="DELWPbodytext"/>
              <w:spacing w:afterLines="0" w:after="0" w:line="240" w:lineRule="auto"/>
              <w:jc w:val="center"/>
              <w:rPr>
                <w:sz w:val="20"/>
              </w:rPr>
            </w:pPr>
            <w:r>
              <w:rPr>
                <w:sz w:val="20"/>
              </w:rPr>
              <w:t>35</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205</w:t>
            </w:r>
          </w:p>
        </w:tc>
        <w:tc>
          <w:tcPr>
            <w:tcW w:w="851" w:type="dxa"/>
          </w:tcPr>
          <w:p w:rsidR="00B805D7" w:rsidRPr="004E3EA7" w:rsidRDefault="00045E26" w:rsidP="000D2EED">
            <w:pPr>
              <w:pStyle w:val="DELWPbodytext"/>
              <w:spacing w:afterLines="0" w:after="0" w:line="240" w:lineRule="auto"/>
              <w:jc w:val="center"/>
              <w:rPr>
                <w:sz w:val="20"/>
              </w:rPr>
            </w:pPr>
            <w:r>
              <w:rPr>
                <w:sz w:val="20"/>
              </w:rPr>
              <w:t>39</w:t>
            </w:r>
          </w:p>
        </w:tc>
      </w:tr>
      <w:tr w:rsidR="00B805D7" w:rsidRPr="004E3EA7" w:rsidTr="005D7CB2">
        <w:trPr>
          <w:trHeight w:val="255"/>
        </w:trPr>
        <w:tc>
          <w:tcPr>
            <w:tcW w:w="2694" w:type="dxa"/>
            <w:tcBorders>
              <w:right w:val="single" w:sz="4" w:space="0" w:color="auto"/>
            </w:tcBorders>
            <w:hideMark/>
          </w:tcPr>
          <w:p w:rsidR="00B805D7" w:rsidRPr="004E3EA7" w:rsidRDefault="00B805D7" w:rsidP="000D2EED">
            <w:pPr>
              <w:pStyle w:val="DELWPbodytext"/>
              <w:spacing w:afterLines="0" w:after="0" w:line="240" w:lineRule="auto"/>
              <w:rPr>
                <w:sz w:val="20"/>
              </w:rPr>
            </w:pPr>
            <w:r>
              <w:rPr>
                <w:sz w:val="20"/>
              </w:rPr>
              <w:t>Employment-related**</w:t>
            </w:r>
          </w:p>
        </w:tc>
        <w:tc>
          <w:tcPr>
            <w:tcW w:w="850" w:type="dxa"/>
            <w:tcBorders>
              <w:top w:val="single" w:sz="4" w:space="0" w:color="228591"/>
              <w:left w:val="single" w:sz="4" w:space="0" w:color="auto"/>
            </w:tcBorders>
            <w:noWrap/>
          </w:tcPr>
          <w:p w:rsidR="00B805D7" w:rsidRPr="004E3EA7" w:rsidRDefault="005D7CB2" w:rsidP="000D2EED">
            <w:pPr>
              <w:pStyle w:val="DELWPbodytext"/>
              <w:spacing w:afterLines="0" w:after="0" w:line="240" w:lineRule="auto"/>
              <w:jc w:val="center"/>
              <w:rPr>
                <w:sz w:val="20"/>
              </w:rPr>
            </w:pPr>
            <w:r>
              <w:rPr>
                <w:sz w:val="20"/>
              </w:rPr>
              <w:t>74</w:t>
            </w:r>
          </w:p>
        </w:tc>
        <w:tc>
          <w:tcPr>
            <w:tcW w:w="851" w:type="dxa"/>
            <w:tcBorders>
              <w:right w:val="single" w:sz="4" w:space="0" w:color="auto"/>
            </w:tcBorders>
            <w:noWrap/>
          </w:tcPr>
          <w:p w:rsidR="00B805D7" w:rsidRPr="004E3EA7" w:rsidRDefault="00045E26" w:rsidP="000D2EED">
            <w:pPr>
              <w:pStyle w:val="DELWPbodytext"/>
              <w:spacing w:afterLines="0" w:after="0" w:line="240" w:lineRule="auto"/>
              <w:jc w:val="center"/>
              <w:rPr>
                <w:sz w:val="20"/>
              </w:rPr>
            </w:pPr>
            <w:r>
              <w:rPr>
                <w:sz w:val="20"/>
              </w:rPr>
              <w:t>32</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37</w:t>
            </w:r>
          </w:p>
        </w:tc>
        <w:tc>
          <w:tcPr>
            <w:tcW w:w="851" w:type="dxa"/>
            <w:tcBorders>
              <w:top w:val="single" w:sz="4" w:space="0" w:color="228591"/>
              <w:right w:val="single" w:sz="4" w:space="0" w:color="auto"/>
            </w:tcBorders>
          </w:tcPr>
          <w:p w:rsidR="00B805D7" w:rsidRPr="004E3EA7" w:rsidRDefault="00045E26" w:rsidP="000D2EED">
            <w:pPr>
              <w:pStyle w:val="DELWPbodytext"/>
              <w:spacing w:afterLines="0" w:after="0" w:line="240" w:lineRule="auto"/>
              <w:jc w:val="center"/>
              <w:rPr>
                <w:sz w:val="20"/>
              </w:rPr>
            </w:pPr>
            <w:r>
              <w:rPr>
                <w:sz w:val="20"/>
              </w:rPr>
              <w:t>30</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52</w:t>
            </w:r>
          </w:p>
        </w:tc>
        <w:tc>
          <w:tcPr>
            <w:tcW w:w="851" w:type="dxa"/>
            <w:tcBorders>
              <w:right w:val="single" w:sz="4" w:space="0" w:color="auto"/>
            </w:tcBorders>
          </w:tcPr>
          <w:p w:rsidR="00B805D7" w:rsidRPr="004E3EA7" w:rsidRDefault="00045E26" w:rsidP="000D2EED">
            <w:pPr>
              <w:pStyle w:val="DELWPbodytext"/>
              <w:spacing w:afterLines="0" w:after="0" w:line="240" w:lineRule="auto"/>
              <w:jc w:val="center"/>
              <w:rPr>
                <w:sz w:val="20"/>
              </w:rPr>
            </w:pPr>
            <w:r>
              <w:rPr>
                <w:sz w:val="20"/>
              </w:rPr>
              <w:t>30</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163</w:t>
            </w:r>
          </w:p>
        </w:tc>
        <w:tc>
          <w:tcPr>
            <w:tcW w:w="851" w:type="dxa"/>
          </w:tcPr>
          <w:p w:rsidR="00B805D7" w:rsidRPr="004E3EA7" w:rsidRDefault="00045E26" w:rsidP="000D2EED">
            <w:pPr>
              <w:pStyle w:val="DELWPbodytext"/>
              <w:spacing w:afterLines="0" w:after="0" w:line="240" w:lineRule="auto"/>
              <w:jc w:val="center"/>
              <w:rPr>
                <w:sz w:val="20"/>
              </w:rPr>
            </w:pPr>
            <w:r>
              <w:rPr>
                <w:sz w:val="20"/>
              </w:rPr>
              <w:t>31</w:t>
            </w:r>
          </w:p>
        </w:tc>
      </w:tr>
      <w:tr w:rsidR="00B805D7" w:rsidRPr="004E3EA7" w:rsidTr="005D7CB2">
        <w:trPr>
          <w:trHeight w:val="255"/>
        </w:trPr>
        <w:tc>
          <w:tcPr>
            <w:tcW w:w="2694" w:type="dxa"/>
            <w:tcBorders>
              <w:right w:val="single" w:sz="4" w:space="0" w:color="auto"/>
            </w:tcBorders>
          </w:tcPr>
          <w:p w:rsidR="00B805D7" w:rsidRPr="004E3EA7" w:rsidRDefault="00B805D7" w:rsidP="000D2EED">
            <w:pPr>
              <w:pStyle w:val="DELWPbodytext"/>
              <w:spacing w:afterLines="0" w:after="0" w:line="240" w:lineRule="auto"/>
              <w:rPr>
                <w:sz w:val="20"/>
              </w:rPr>
            </w:pPr>
            <w:r>
              <w:rPr>
                <w:sz w:val="20"/>
              </w:rPr>
              <w:t>Education / training</w:t>
            </w:r>
          </w:p>
        </w:tc>
        <w:tc>
          <w:tcPr>
            <w:tcW w:w="850" w:type="dxa"/>
            <w:tcBorders>
              <w:top w:val="single" w:sz="4" w:space="0" w:color="228591"/>
              <w:left w:val="single" w:sz="4" w:space="0" w:color="auto"/>
            </w:tcBorders>
            <w:noWrap/>
          </w:tcPr>
          <w:p w:rsidR="00B805D7" w:rsidRPr="004E3EA7" w:rsidRDefault="005D7CB2" w:rsidP="000D2EED">
            <w:pPr>
              <w:pStyle w:val="DELWPbodytext"/>
              <w:spacing w:afterLines="0" w:after="0" w:line="240" w:lineRule="auto"/>
              <w:jc w:val="center"/>
              <w:rPr>
                <w:sz w:val="20"/>
              </w:rPr>
            </w:pPr>
            <w:r>
              <w:rPr>
                <w:sz w:val="20"/>
              </w:rPr>
              <w:t>37</w:t>
            </w:r>
          </w:p>
        </w:tc>
        <w:tc>
          <w:tcPr>
            <w:tcW w:w="851" w:type="dxa"/>
            <w:tcBorders>
              <w:right w:val="single" w:sz="4" w:space="0" w:color="auto"/>
            </w:tcBorders>
            <w:noWrap/>
          </w:tcPr>
          <w:p w:rsidR="00B805D7" w:rsidRPr="004E3EA7" w:rsidRDefault="00045E26" w:rsidP="000D2EED">
            <w:pPr>
              <w:pStyle w:val="DELWPbodytext"/>
              <w:spacing w:afterLines="0" w:after="0" w:line="240" w:lineRule="auto"/>
              <w:jc w:val="center"/>
              <w:rPr>
                <w:sz w:val="20"/>
              </w:rPr>
            </w:pPr>
            <w:r>
              <w:rPr>
                <w:sz w:val="20"/>
              </w:rPr>
              <w:t>16</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10</w:t>
            </w:r>
          </w:p>
        </w:tc>
        <w:tc>
          <w:tcPr>
            <w:tcW w:w="851" w:type="dxa"/>
            <w:tcBorders>
              <w:top w:val="single" w:sz="4" w:space="0" w:color="228591"/>
              <w:right w:val="single" w:sz="4" w:space="0" w:color="auto"/>
            </w:tcBorders>
          </w:tcPr>
          <w:p w:rsidR="00B805D7" w:rsidRPr="004E3EA7" w:rsidRDefault="00045E26" w:rsidP="000D2EED">
            <w:pPr>
              <w:pStyle w:val="DELWPbodytext"/>
              <w:spacing w:afterLines="0" w:after="0" w:line="240" w:lineRule="auto"/>
              <w:jc w:val="center"/>
              <w:rPr>
                <w:sz w:val="20"/>
              </w:rPr>
            </w:pPr>
            <w:r>
              <w:rPr>
                <w:sz w:val="20"/>
              </w:rPr>
              <w:t>8</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14</w:t>
            </w:r>
          </w:p>
        </w:tc>
        <w:tc>
          <w:tcPr>
            <w:tcW w:w="851" w:type="dxa"/>
            <w:tcBorders>
              <w:right w:val="single" w:sz="4" w:space="0" w:color="auto"/>
            </w:tcBorders>
          </w:tcPr>
          <w:p w:rsidR="00B805D7" w:rsidRPr="004E3EA7" w:rsidRDefault="00045E26" w:rsidP="000D2EED">
            <w:pPr>
              <w:pStyle w:val="DELWPbodytext"/>
              <w:spacing w:afterLines="0" w:after="0" w:line="240" w:lineRule="auto"/>
              <w:jc w:val="center"/>
              <w:rPr>
                <w:sz w:val="20"/>
              </w:rPr>
            </w:pPr>
            <w:r>
              <w:rPr>
                <w:sz w:val="20"/>
              </w:rPr>
              <w:t>8</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61</w:t>
            </w:r>
          </w:p>
        </w:tc>
        <w:tc>
          <w:tcPr>
            <w:tcW w:w="851" w:type="dxa"/>
          </w:tcPr>
          <w:p w:rsidR="00B805D7" w:rsidRPr="004E3EA7" w:rsidRDefault="00045E26" w:rsidP="000D2EED">
            <w:pPr>
              <w:pStyle w:val="DELWPbodytext"/>
              <w:spacing w:afterLines="0" w:after="0" w:line="240" w:lineRule="auto"/>
              <w:jc w:val="center"/>
              <w:rPr>
                <w:sz w:val="20"/>
              </w:rPr>
            </w:pPr>
            <w:r>
              <w:rPr>
                <w:sz w:val="20"/>
              </w:rPr>
              <w:t>12</w:t>
            </w:r>
          </w:p>
        </w:tc>
      </w:tr>
      <w:tr w:rsidR="00B805D7" w:rsidRPr="004E3EA7" w:rsidTr="005D7CB2">
        <w:trPr>
          <w:trHeight w:val="255"/>
        </w:trPr>
        <w:tc>
          <w:tcPr>
            <w:tcW w:w="2694" w:type="dxa"/>
            <w:tcBorders>
              <w:right w:val="single" w:sz="4" w:space="0" w:color="auto"/>
            </w:tcBorders>
          </w:tcPr>
          <w:p w:rsidR="00B805D7" w:rsidRPr="004E3EA7" w:rsidRDefault="00B805D7" w:rsidP="000D2EED">
            <w:pPr>
              <w:pStyle w:val="DELWPbodytext"/>
              <w:spacing w:afterLines="0" w:after="0" w:line="240" w:lineRule="auto"/>
              <w:rPr>
                <w:sz w:val="20"/>
              </w:rPr>
            </w:pPr>
            <w:r>
              <w:rPr>
                <w:sz w:val="20"/>
              </w:rPr>
              <w:t>Amenity / lifestyle reasons</w:t>
            </w:r>
          </w:p>
        </w:tc>
        <w:tc>
          <w:tcPr>
            <w:tcW w:w="850" w:type="dxa"/>
            <w:tcBorders>
              <w:top w:val="single" w:sz="4" w:space="0" w:color="228591"/>
              <w:left w:val="single" w:sz="4" w:space="0" w:color="auto"/>
            </w:tcBorders>
            <w:noWrap/>
          </w:tcPr>
          <w:p w:rsidR="00B805D7" w:rsidRPr="004E3EA7" w:rsidRDefault="005D7CB2" w:rsidP="000D2EED">
            <w:pPr>
              <w:pStyle w:val="DELWPbodytext"/>
              <w:spacing w:afterLines="0" w:after="0" w:line="240" w:lineRule="auto"/>
              <w:jc w:val="center"/>
              <w:rPr>
                <w:sz w:val="20"/>
              </w:rPr>
            </w:pPr>
            <w:r>
              <w:rPr>
                <w:sz w:val="20"/>
              </w:rPr>
              <w:t>9</w:t>
            </w:r>
          </w:p>
        </w:tc>
        <w:tc>
          <w:tcPr>
            <w:tcW w:w="851" w:type="dxa"/>
            <w:tcBorders>
              <w:right w:val="single" w:sz="4" w:space="0" w:color="auto"/>
            </w:tcBorders>
            <w:noWrap/>
          </w:tcPr>
          <w:p w:rsidR="00B805D7" w:rsidRPr="004E3EA7" w:rsidRDefault="00045E26" w:rsidP="000D2EED">
            <w:pPr>
              <w:pStyle w:val="DELWPbodytext"/>
              <w:spacing w:afterLines="0" w:after="0" w:line="240" w:lineRule="auto"/>
              <w:jc w:val="center"/>
              <w:rPr>
                <w:sz w:val="20"/>
              </w:rPr>
            </w:pPr>
            <w:r>
              <w:rPr>
                <w:sz w:val="20"/>
              </w:rPr>
              <w:t>4</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20</w:t>
            </w:r>
          </w:p>
        </w:tc>
        <w:tc>
          <w:tcPr>
            <w:tcW w:w="851" w:type="dxa"/>
            <w:tcBorders>
              <w:top w:val="single" w:sz="4" w:space="0" w:color="228591"/>
              <w:right w:val="single" w:sz="4" w:space="0" w:color="auto"/>
            </w:tcBorders>
          </w:tcPr>
          <w:p w:rsidR="00B805D7" w:rsidRPr="004E3EA7" w:rsidRDefault="00045E26" w:rsidP="000D2EED">
            <w:pPr>
              <w:pStyle w:val="DELWPbodytext"/>
              <w:spacing w:afterLines="0" w:after="0" w:line="240" w:lineRule="auto"/>
              <w:jc w:val="center"/>
              <w:rPr>
                <w:sz w:val="20"/>
              </w:rPr>
            </w:pPr>
            <w:r>
              <w:rPr>
                <w:sz w:val="20"/>
              </w:rPr>
              <w:t>16</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22</w:t>
            </w:r>
          </w:p>
        </w:tc>
        <w:tc>
          <w:tcPr>
            <w:tcW w:w="851" w:type="dxa"/>
            <w:tcBorders>
              <w:right w:val="single" w:sz="4" w:space="0" w:color="auto"/>
            </w:tcBorders>
          </w:tcPr>
          <w:p w:rsidR="00B805D7" w:rsidRPr="004E3EA7" w:rsidRDefault="00045E26" w:rsidP="000D2EED">
            <w:pPr>
              <w:pStyle w:val="DELWPbodytext"/>
              <w:spacing w:afterLines="0" w:after="0" w:line="240" w:lineRule="auto"/>
              <w:jc w:val="center"/>
              <w:rPr>
                <w:sz w:val="20"/>
              </w:rPr>
            </w:pPr>
            <w:r>
              <w:rPr>
                <w:sz w:val="20"/>
              </w:rPr>
              <w:t>13</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51</w:t>
            </w:r>
          </w:p>
        </w:tc>
        <w:tc>
          <w:tcPr>
            <w:tcW w:w="851" w:type="dxa"/>
          </w:tcPr>
          <w:p w:rsidR="00B805D7" w:rsidRPr="004E3EA7" w:rsidRDefault="00045E26" w:rsidP="000D2EED">
            <w:pPr>
              <w:pStyle w:val="DELWPbodytext"/>
              <w:spacing w:afterLines="0" w:after="0" w:line="240" w:lineRule="auto"/>
              <w:jc w:val="center"/>
              <w:rPr>
                <w:sz w:val="20"/>
              </w:rPr>
            </w:pPr>
            <w:r>
              <w:rPr>
                <w:sz w:val="20"/>
              </w:rPr>
              <w:t>10</w:t>
            </w:r>
          </w:p>
        </w:tc>
      </w:tr>
      <w:tr w:rsidR="00B805D7" w:rsidRPr="004E3EA7" w:rsidTr="005D7CB2">
        <w:trPr>
          <w:trHeight w:val="255"/>
        </w:trPr>
        <w:tc>
          <w:tcPr>
            <w:tcW w:w="2694" w:type="dxa"/>
            <w:tcBorders>
              <w:right w:val="single" w:sz="4" w:space="0" w:color="auto"/>
            </w:tcBorders>
          </w:tcPr>
          <w:p w:rsidR="00B805D7" w:rsidRPr="004E3EA7" w:rsidRDefault="00B805D7" w:rsidP="000D2EED">
            <w:pPr>
              <w:pStyle w:val="DELWPbodytext"/>
              <w:spacing w:afterLines="0" w:after="0" w:line="240" w:lineRule="auto"/>
              <w:rPr>
                <w:sz w:val="20"/>
              </w:rPr>
            </w:pPr>
            <w:r>
              <w:rPr>
                <w:sz w:val="20"/>
              </w:rPr>
              <w:t>Housing choice / affordability</w:t>
            </w:r>
          </w:p>
        </w:tc>
        <w:tc>
          <w:tcPr>
            <w:tcW w:w="850" w:type="dxa"/>
            <w:tcBorders>
              <w:top w:val="single" w:sz="4" w:space="0" w:color="228591"/>
              <w:left w:val="single" w:sz="4" w:space="0" w:color="auto"/>
            </w:tcBorders>
            <w:noWrap/>
          </w:tcPr>
          <w:p w:rsidR="00B805D7" w:rsidRPr="004E3EA7" w:rsidRDefault="005D7CB2" w:rsidP="000D2EED">
            <w:pPr>
              <w:pStyle w:val="DELWPbodytext"/>
              <w:spacing w:afterLines="0" w:after="0" w:line="240" w:lineRule="auto"/>
              <w:jc w:val="center"/>
              <w:rPr>
                <w:sz w:val="20"/>
              </w:rPr>
            </w:pPr>
            <w:r>
              <w:rPr>
                <w:sz w:val="20"/>
              </w:rPr>
              <w:t>1</w:t>
            </w:r>
          </w:p>
        </w:tc>
        <w:tc>
          <w:tcPr>
            <w:tcW w:w="851" w:type="dxa"/>
            <w:tcBorders>
              <w:right w:val="single" w:sz="4" w:space="0" w:color="auto"/>
            </w:tcBorders>
            <w:noWrap/>
          </w:tcPr>
          <w:p w:rsidR="00B805D7" w:rsidRPr="004E3EA7" w:rsidRDefault="00045E26" w:rsidP="000D2EED">
            <w:pPr>
              <w:pStyle w:val="DELWPbodytext"/>
              <w:spacing w:afterLines="0" w:after="0" w:line="240" w:lineRule="auto"/>
              <w:jc w:val="center"/>
              <w:rPr>
                <w:sz w:val="20"/>
              </w:rPr>
            </w:pPr>
            <w:r>
              <w:rPr>
                <w:sz w:val="20"/>
              </w:rPr>
              <w:t>&lt;1</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10</w:t>
            </w:r>
          </w:p>
        </w:tc>
        <w:tc>
          <w:tcPr>
            <w:tcW w:w="851" w:type="dxa"/>
            <w:tcBorders>
              <w:top w:val="single" w:sz="4" w:space="0" w:color="228591"/>
              <w:right w:val="single" w:sz="4" w:space="0" w:color="auto"/>
            </w:tcBorders>
          </w:tcPr>
          <w:p w:rsidR="00B805D7" w:rsidRPr="004E3EA7" w:rsidRDefault="00045E26" w:rsidP="000D2EED">
            <w:pPr>
              <w:pStyle w:val="DELWPbodytext"/>
              <w:spacing w:afterLines="0" w:after="0" w:line="240" w:lineRule="auto"/>
              <w:jc w:val="center"/>
              <w:rPr>
                <w:sz w:val="20"/>
              </w:rPr>
            </w:pPr>
            <w:r>
              <w:rPr>
                <w:sz w:val="20"/>
              </w:rPr>
              <w:t>8</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15</w:t>
            </w:r>
          </w:p>
        </w:tc>
        <w:tc>
          <w:tcPr>
            <w:tcW w:w="851" w:type="dxa"/>
            <w:tcBorders>
              <w:right w:val="single" w:sz="4" w:space="0" w:color="auto"/>
            </w:tcBorders>
          </w:tcPr>
          <w:p w:rsidR="00B805D7" w:rsidRPr="004E3EA7" w:rsidRDefault="00045E26" w:rsidP="000D2EED">
            <w:pPr>
              <w:pStyle w:val="DELWPbodytext"/>
              <w:spacing w:afterLines="0" w:after="0" w:line="240" w:lineRule="auto"/>
              <w:jc w:val="center"/>
              <w:rPr>
                <w:sz w:val="20"/>
              </w:rPr>
            </w:pPr>
            <w:r>
              <w:rPr>
                <w:sz w:val="20"/>
              </w:rPr>
              <w:t>9</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26</w:t>
            </w:r>
          </w:p>
        </w:tc>
        <w:tc>
          <w:tcPr>
            <w:tcW w:w="851" w:type="dxa"/>
          </w:tcPr>
          <w:p w:rsidR="00B805D7" w:rsidRPr="004E3EA7" w:rsidRDefault="00045E26" w:rsidP="000D2EED">
            <w:pPr>
              <w:pStyle w:val="DELWPbodytext"/>
              <w:spacing w:afterLines="0" w:after="0" w:line="240" w:lineRule="auto"/>
              <w:jc w:val="center"/>
              <w:rPr>
                <w:sz w:val="20"/>
              </w:rPr>
            </w:pPr>
            <w:r>
              <w:rPr>
                <w:sz w:val="20"/>
              </w:rPr>
              <w:t>5</w:t>
            </w:r>
          </w:p>
        </w:tc>
      </w:tr>
      <w:tr w:rsidR="00B805D7" w:rsidRPr="004E3EA7" w:rsidTr="005D7CB2">
        <w:trPr>
          <w:trHeight w:val="255"/>
        </w:trPr>
        <w:tc>
          <w:tcPr>
            <w:tcW w:w="2694" w:type="dxa"/>
            <w:tcBorders>
              <w:right w:val="single" w:sz="4" w:space="0" w:color="auto"/>
            </w:tcBorders>
          </w:tcPr>
          <w:p w:rsidR="00B805D7" w:rsidRPr="004E3EA7" w:rsidRDefault="005D7CB2" w:rsidP="005D7CB2">
            <w:pPr>
              <w:pStyle w:val="DELWPbodytext"/>
              <w:spacing w:afterLines="0" w:after="0" w:line="240" w:lineRule="auto"/>
              <w:rPr>
                <w:sz w:val="20"/>
              </w:rPr>
            </w:pPr>
            <w:r>
              <w:rPr>
                <w:sz w:val="20"/>
              </w:rPr>
              <w:t>Other</w:t>
            </w:r>
          </w:p>
        </w:tc>
        <w:tc>
          <w:tcPr>
            <w:tcW w:w="850" w:type="dxa"/>
            <w:tcBorders>
              <w:top w:val="single" w:sz="4" w:space="0" w:color="228591"/>
              <w:left w:val="single" w:sz="4" w:space="0" w:color="auto"/>
            </w:tcBorders>
            <w:noWrap/>
          </w:tcPr>
          <w:p w:rsidR="00B805D7" w:rsidRPr="004E3EA7" w:rsidRDefault="005D7CB2" w:rsidP="000D2EED">
            <w:pPr>
              <w:pStyle w:val="DELWPbodytext"/>
              <w:spacing w:afterLines="0" w:after="0" w:line="240" w:lineRule="auto"/>
              <w:jc w:val="center"/>
              <w:rPr>
                <w:sz w:val="20"/>
              </w:rPr>
            </w:pPr>
            <w:r>
              <w:rPr>
                <w:sz w:val="20"/>
              </w:rPr>
              <w:t>9</w:t>
            </w:r>
          </w:p>
        </w:tc>
        <w:tc>
          <w:tcPr>
            <w:tcW w:w="851" w:type="dxa"/>
            <w:tcBorders>
              <w:right w:val="single" w:sz="4" w:space="0" w:color="auto"/>
            </w:tcBorders>
            <w:noWrap/>
          </w:tcPr>
          <w:p w:rsidR="00B805D7" w:rsidRPr="004E3EA7" w:rsidRDefault="00045E26" w:rsidP="000D2EED">
            <w:pPr>
              <w:pStyle w:val="DELWPbodytext"/>
              <w:spacing w:afterLines="0" w:after="0" w:line="240" w:lineRule="auto"/>
              <w:jc w:val="center"/>
              <w:rPr>
                <w:sz w:val="20"/>
              </w:rPr>
            </w:pPr>
            <w:r>
              <w:rPr>
                <w:sz w:val="20"/>
              </w:rPr>
              <w:t>4</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4</w:t>
            </w:r>
          </w:p>
        </w:tc>
        <w:tc>
          <w:tcPr>
            <w:tcW w:w="851" w:type="dxa"/>
            <w:tcBorders>
              <w:top w:val="single" w:sz="4" w:space="0" w:color="228591"/>
              <w:right w:val="single" w:sz="4" w:space="0" w:color="auto"/>
            </w:tcBorders>
          </w:tcPr>
          <w:p w:rsidR="00B805D7" w:rsidRPr="004E3EA7" w:rsidRDefault="00045E26" w:rsidP="000D2EED">
            <w:pPr>
              <w:pStyle w:val="DELWPbodytext"/>
              <w:spacing w:afterLines="0" w:after="0" w:line="240" w:lineRule="auto"/>
              <w:jc w:val="center"/>
              <w:rPr>
                <w:sz w:val="20"/>
              </w:rPr>
            </w:pPr>
            <w:r>
              <w:rPr>
                <w:sz w:val="20"/>
              </w:rPr>
              <w:t>3</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8</w:t>
            </w:r>
          </w:p>
        </w:tc>
        <w:tc>
          <w:tcPr>
            <w:tcW w:w="851" w:type="dxa"/>
            <w:tcBorders>
              <w:right w:val="single" w:sz="4" w:space="0" w:color="auto"/>
            </w:tcBorders>
          </w:tcPr>
          <w:p w:rsidR="00B805D7" w:rsidRPr="004E3EA7" w:rsidRDefault="00045E26" w:rsidP="000D2EED">
            <w:pPr>
              <w:pStyle w:val="DELWPbodytext"/>
              <w:spacing w:afterLines="0" w:after="0" w:line="240" w:lineRule="auto"/>
              <w:jc w:val="center"/>
              <w:rPr>
                <w:sz w:val="20"/>
              </w:rPr>
            </w:pPr>
            <w:r>
              <w:rPr>
                <w:sz w:val="20"/>
              </w:rPr>
              <w:t>5</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21</w:t>
            </w:r>
          </w:p>
        </w:tc>
        <w:tc>
          <w:tcPr>
            <w:tcW w:w="851" w:type="dxa"/>
          </w:tcPr>
          <w:p w:rsidR="00B805D7" w:rsidRPr="004E3EA7" w:rsidRDefault="00045E26" w:rsidP="000D2EED">
            <w:pPr>
              <w:pStyle w:val="DELWPbodytext"/>
              <w:spacing w:afterLines="0" w:after="0" w:line="240" w:lineRule="auto"/>
              <w:jc w:val="center"/>
              <w:rPr>
                <w:sz w:val="20"/>
              </w:rPr>
            </w:pPr>
            <w:r>
              <w:rPr>
                <w:sz w:val="20"/>
              </w:rPr>
              <w:t>4</w:t>
            </w:r>
          </w:p>
        </w:tc>
      </w:tr>
      <w:tr w:rsidR="00B805D7" w:rsidRPr="004E3EA7" w:rsidTr="005D7CB2">
        <w:trPr>
          <w:trHeight w:val="255"/>
        </w:trPr>
        <w:tc>
          <w:tcPr>
            <w:tcW w:w="2694" w:type="dxa"/>
            <w:tcBorders>
              <w:right w:val="single" w:sz="4" w:space="0" w:color="auto"/>
            </w:tcBorders>
            <w:hideMark/>
          </w:tcPr>
          <w:p w:rsidR="00B805D7" w:rsidRPr="004E3EA7" w:rsidRDefault="00B805D7" w:rsidP="000D2EED">
            <w:pPr>
              <w:pStyle w:val="DELWPbodytext"/>
              <w:spacing w:afterLines="0" w:after="0" w:line="240" w:lineRule="auto"/>
              <w:rPr>
                <w:sz w:val="20"/>
              </w:rPr>
            </w:pPr>
            <w:r w:rsidRPr="004E3EA7">
              <w:rPr>
                <w:sz w:val="20"/>
              </w:rPr>
              <w:t>TOTAL</w:t>
            </w:r>
          </w:p>
        </w:tc>
        <w:tc>
          <w:tcPr>
            <w:tcW w:w="850" w:type="dxa"/>
            <w:tcBorders>
              <w:top w:val="single" w:sz="4" w:space="0" w:color="228591"/>
              <w:left w:val="single" w:sz="4" w:space="0" w:color="auto"/>
            </w:tcBorders>
            <w:noWrap/>
          </w:tcPr>
          <w:p w:rsidR="00B805D7" w:rsidRPr="004E3EA7" w:rsidRDefault="005D7CB2" w:rsidP="000D2EED">
            <w:pPr>
              <w:pStyle w:val="DELWPbodytext"/>
              <w:spacing w:afterLines="0" w:after="0" w:line="240" w:lineRule="auto"/>
              <w:jc w:val="center"/>
              <w:rPr>
                <w:sz w:val="20"/>
              </w:rPr>
            </w:pPr>
            <w:r>
              <w:rPr>
                <w:sz w:val="20"/>
              </w:rPr>
              <w:t>233</w:t>
            </w:r>
          </w:p>
        </w:tc>
        <w:tc>
          <w:tcPr>
            <w:tcW w:w="851" w:type="dxa"/>
            <w:tcBorders>
              <w:right w:val="single" w:sz="4" w:space="0" w:color="auto"/>
            </w:tcBorders>
            <w:noWrap/>
          </w:tcPr>
          <w:p w:rsidR="00B805D7" w:rsidRPr="004E3EA7" w:rsidRDefault="00045E26" w:rsidP="000D2EED">
            <w:pPr>
              <w:pStyle w:val="DELWPbodytext"/>
              <w:spacing w:afterLines="0" w:after="0" w:line="240" w:lineRule="auto"/>
              <w:jc w:val="center"/>
              <w:rPr>
                <w:sz w:val="20"/>
              </w:rPr>
            </w:pPr>
            <w:r>
              <w:rPr>
                <w:sz w:val="20"/>
              </w:rPr>
              <w:t>100</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123</w:t>
            </w:r>
          </w:p>
        </w:tc>
        <w:tc>
          <w:tcPr>
            <w:tcW w:w="851" w:type="dxa"/>
            <w:tcBorders>
              <w:top w:val="single" w:sz="4" w:space="0" w:color="228591"/>
              <w:right w:val="single" w:sz="4" w:space="0" w:color="auto"/>
            </w:tcBorders>
          </w:tcPr>
          <w:p w:rsidR="00B805D7" w:rsidRPr="004E3EA7" w:rsidRDefault="00045E26" w:rsidP="00045E26">
            <w:pPr>
              <w:pStyle w:val="DELWPbodytext"/>
              <w:spacing w:afterLines="0" w:after="0" w:line="240" w:lineRule="auto"/>
              <w:jc w:val="center"/>
              <w:rPr>
                <w:sz w:val="20"/>
              </w:rPr>
            </w:pPr>
            <w:r>
              <w:rPr>
                <w:sz w:val="20"/>
              </w:rPr>
              <w:t>100</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171</w:t>
            </w:r>
          </w:p>
        </w:tc>
        <w:tc>
          <w:tcPr>
            <w:tcW w:w="851" w:type="dxa"/>
            <w:tcBorders>
              <w:right w:val="single" w:sz="4" w:space="0" w:color="auto"/>
            </w:tcBorders>
          </w:tcPr>
          <w:p w:rsidR="00B805D7" w:rsidRPr="004E3EA7" w:rsidRDefault="00045E26" w:rsidP="000D2EED">
            <w:pPr>
              <w:pStyle w:val="DELWPbodytext"/>
              <w:spacing w:afterLines="0" w:after="0" w:line="240" w:lineRule="auto"/>
              <w:jc w:val="center"/>
              <w:rPr>
                <w:sz w:val="20"/>
              </w:rPr>
            </w:pPr>
            <w:r>
              <w:rPr>
                <w:sz w:val="20"/>
              </w:rPr>
              <w:t>100</w:t>
            </w:r>
          </w:p>
        </w:tc>
        <w:tc>
          <w:tcPr>
            <w:tcW w:w="850" w:type="dxa"/>
            <w:tcBorders>
              <w:top w:val="single" w:sz="4" w:space="0" w:color="228591"/>
              <w:left w:val="single" w:sz="4" w:space="0" w:color="auto"/>
            </w:tcBorders>
          </w:tcPr>
          <w:p w:rsidR="00B805D7" w:rsidRPr="004E3EA7" w:rsidRDefault="00045E26" w:rsidP="000D2EED">
            <w:pPr>
              <w:pStyle w:val="DELWPbodytext"/>
              <w:spacing w:afterLines="0" w:after="0" w:line="240" w:lineRule="auto"/>
              <w:jc w:val="center"/>
              <w:rPr>
                <w:sz w:val="20"/>
              </w:rPr>
            </w:pPr>
            <w:r>
              <w:rPr>
                <w:sz w:val="20"/>
              </w:rPr>
              <w:t>527</w:t>
            </w:r>
          </w:p>
        </w:tc>
        <w:tc>
          <w:tcPr>
            <w:tcW w:w="851" w:type="dxa"/>
          </w:tcPr>
          <w:p w:rsidR="00B805D7" w:rsidRPr="004E3EA7" w:rsidRDefault="00045E26" w:rsidP="000D2EED">
            <w:pPr>
              <w:pStyle w:val="DELWPbodytext"/>
              <w:spacing w:afterLines="0" w:after="0" w:line="240" w:lineRule="auto"/>
              <w:jc w:val="center"/>
              <w:rPr>
                <w:sz w:val="20"/>
              </w:rPr>
            </w:pPr>
            <w:r>
              <w:rPr>
                <w:sz w:val="20"/>
              </w:rPr>
              <w:t>100</w:t>
            </w:r>
          </w:p>
        </w:tc>
      </w:tr>
    </w:tbl>
    <w:p w:rsidR="005D7CB2" w:rsidRDefault="005D7CB2" w:rsidP="00D41508">
      <w:pPr>
        <w:pStyle w:val="SourceDELWP"/>
        <w:spacing w:line="240" w:lineRule="auto"/>
        <w:rPr>
          <w:b w:val="0"/>
          <w:i/>
        </w:rPr>
      </w:pPr>
      <w:r w:rsidRPr="005D7CB2">
        <w:rPr>
          <w:b w:val="0"/>
          <w:i/>
        </w:rPr>
        <w:t>*</w:t>
      </w:r>
      <w:r w:rsidR="00FE2DB9">
        <w:rPr>
          <w:b w:val="0"/>
          <w:i/>
        </w:rPr>
        <w:t xml:space="preserve"> </w:t>
      </w:r>
      <w:r w:rsidRPr="005D7CB2">
        <w:rPr>
          <w:b w:val="0"/>
          <w:i/>
        </w:rPr>
        <w:t>includes: family reasons; follow spouse or partner; return to region of birth</w:t>
      </w:r>
      <w:r>
        <w:rPr>
          <w:b w:val="0"/>
          <w:i/>
        </w:rPr>
        <w:br/>
        <w:t>**</w:t>
      </w:r>
      <w:r w:rsidR="00801C7E">
        <w:rPr>
          <w:b w:val="0"/>
          <w:i/>
        </w:rPr>
        <w:t xml:space="preserve"> </w:t>
      </w:r>
      <w:r>
        <w:rPr>
          <w:b w:val="0"/>
          <w:i/>
        </w:rPr>
        <w:t>includes: join current organisation; employment (other than current)</w:t>
      </w:r>
    </w:p>
    <w:p w:rsidR="004F13A2" w:rsidRDefault="005D7CB2" w:rsidP="00D41508">
      <w:pPr>
        <w:pStyle w:val="SourceDELWP"/>
        <w:spacing w:line="240" w:lineRule="auto"/>
      </w:pPr>
      <w:r w:rsidRPr="002A32B9">
        <w:t>Source</w:t>
      </w:r>
      <w:r>
        <w:t>s</w:t>
      </w:r>
      <w:r w:rsidRPr="002A32B9">
        <w:t>: Bendigo Bank</w:t>
      </w:r>
      <w:r>
        <w:t>,</w:t>
      </w:r>
      <w:r w:rsidRPr="002A32B9">
        <w:t xml:space="preserve"> H</w:t>
      </w:r>
      <w:r>
        <w:t xml:space="preserve">ospital and </w:t>
      </w:r>
      <w:r w:rsidRPr="002A32B9">
        <w:t xml:space="preserve">Council </w:t>
      </w:r>
      <w:r>
        <w:t>S</w:t>
      </w:r>
      <w:r w:rsidRPr="002A32B9">
        <w:t>urvey</w:t>
      </w:r>
      <w:r>
        <w:t>s 2015</w:t>
      </w:r>
    </w:p>
    <w:p w:rsidR="00364027" w:rsidRDefault="00364027" w:rsidP="00D41508">
      <w:pPr>
        <w:pStyle w:val="SourceDELWP"/>
        <w:spacing w:line="240" w:lineRule="auto"/>
      </w:pPr>
    </w:p>
    <w:p w:rsidR="00364027" w:rsidRDefault="00364027" w:rsidP="00D41508">
      <w:pPr>
        <w:pStyle w:val="SourceDELWP"/>
        <w:spacing w:line="240" w:lineRule="auto"/>
        <w:sectPr w:rsidR="00364027" w:rsidSect="00364027">
          <w:type w:val="continuous"/>
          <w:pgSz w:w="11906" w:h="16838"/>
          <w:pgMar w:top="1440" w:right="1440" w:bottom="1440" w:left="1440" w:header="708" w:footer="708" w:gutter="0"/>
          <w:cols w:space="708"/>
          <w:docGrid w:linePitch="360"/>
        </w:sectPr>
      </w:pPr>
    </w:p>
    <w:p w:rsidR="00483C85" w:rsidRDefault="00483C85" w:rsidP="00D41508">
      <w:pPr>
        <w:spacing w:after="120"/>
        <w:ind w:right="-188"/>
      </w:pPr>
      <w:r>
        <w:lastRenderedPageBreak/>
        <w:t xml:space="preserve">An examination of responses based on the location prior to moving to Bendigo reveals the degree to which metropolitan and regional in-movers reported different reasons for moving. </w:t>
      </w:r>
      <w:r w:rsidR="00256EAC">
        <w:t>F</w:t>
      </w:r>
      <w:r>
        <w:t xml:space="preserve">igure 5 presents these data with the Metropolitan category comprising Melbourne </w:t>
      </w:r>
      <w:r>
        <w:lastRenderedPageBreak/>
        <w:t>and other capital cities and the Regional category including both regional Victoria and other regional Australia. Respondents who moved from overseas have been excluded due to small numbers.</w:t>
      </w:r>
    </w:p>
    <w:p w:rsidR="00364027" w:rsidRDefault="00364027" w:rsidP="00D41508">
      <w:pPr>
        <w:spacing w:after="120"/>
        <w:ind w:right="-188"/>
      </w:pPr>
    </w:p>
    <w:p w:rsidR="00364027" w:rsidRDefault="00364027" w:rsidP="00D41508">
      <w:pPr>
        <w:spacing w:after="120"/>
        <w:ind w:right="-188"/>
        <w:sectPr w:rsidR="00364027" w:rsidSect="00364027">
          <w:type w:val="continuous"/>
          <w:pgSz w:w="11906" w:h="16838"/>
          <w:pgMar w:top="1440" w:right="1440" w:bottom="1440" w:left="1440" w:header="708" w:footer="708" w:gutter="0"/>
          <w:cols w:num="2" w:space="708"/>
          <w:docGrid w:linePitch="360"/>
        </w:sectPr>
      </w:pPr>
    </w:p>
    <w:p w:rsidR="00256EAC" w:rsidRDefault="00256EAC" w:rsidP="00D41508">
      <w:pPr>
        <w:spacing w:after="120"/>
        <w:ind w:right="-188"/>
      </w:pPr>
    </w:p>
    <w:p w:rsidR="00256EAC" w:rsidRPr="00F50ECA" w:rsidRDefault="00256EAC" w:rsidP="00D41508">
      <w:pPr>
        <w:pStyle w:val="TableTitle"/>
        <w:spacing w:line="240" w:lineRule="auto"/>
      </w:pPr>
      <w:r>
        <w:t xml:space="preserve">Figure </w:t>
      </w:r>
      <w:r w:rsidR="00013A7D">
        <w:t>5</w:t>
      </w:r>
      <w:r w:rsidRPr="00F50ECA">
        <w:t>: Reasons for moving to Bendigo by prior location</w:t>
      </w:r>
      <w:r w:rsidR="00A05C25">
        <w:t>, combined sample</w:t>
      </w:r>
    </w:p>
    <w:p w:rsidR="00483C85" w:rsidRDefault="00256EAC" w:rsidP="00D41508">
      <w:pPr>
        <w:spacing w:after="120"/>
        <w:ind w:right="-188"/>
      </w:pPr>
      <w:r w:rsidRPr="00256EAC">
        <w:rPr>
          <w:noProof/>
          <w:lang w:eastAsia="en-AU"/>
        </w:rPr>
        <w:drawing>
          <wp:inline distT="0" distB="0" distL="0" distR="0" wp14:anchorId="253D504F" wp14:editId="3C3EBFF0">
            <wp:extent cx="4321004" cy="326003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2821"/>
                    <a:stretch/>
                  </pic:blipFill>
                  <pic:spPr bwMode="auto">
                    <a:xfrm>
                      <a:off x="0" y="0"/>
                      <a:ext cx="4320000" cy="3259277"/>
                    </a:xfrm>
                    <a:prstGeom prst="rect">
                      <a:avLst/>
                    </a:prstGeom>
                    <a:ln>
                      <a:noFill/>
                    </a:ln>
                    <a:extLst>
                      <a:ext uri="{53640926-AAD7-44D8-BBD7-CCE9431645EC}">
                        <a14:shadowObscured xmlns:a14="http://schemas.microsoft.com/office/drawing/2010/main"/>
                      </a:ext>
                    </a:extLst>
                  </pic:spPr>
                </pic:pic>
              </a:graphicData>
            </a:graphic>
          </wp:inline>
        </w:drawing>
      </w:r>
    </w:p>
    <w:p w:rsidR="00256EAC" w:rsidRDefault="00256EAC" w:rsidP="00D41508">
      <w:pPr>
        <w:pStyle w:val="SourceDELWP"/>
        <w:spacing w:line="240" w:lineRule="auto"/>
      </w:pPr>
      <w:r w:rsidRPr="002A32B9">
        <w:t>Source</w:t>
      </w:r>
      <w:r>
        <w:t>s</w:t>
      </w:r>
      <w:r w:rsidRPr="002A32B9">
        <w:t>: Bendigo Bank</w:t>
      </w:r>
      <w:r>
        <w:t>,</w:t>
      </w:r>
      <w:r w:rsidRPr="002A32B9">
        <w:t xml:space="preserve"> H</w:t>
      </w:r>
      <w:r>
        <w:t xml:space="preserve">ospital and </w:t>
      </w:r>
      <w:r w:rsidRPr="002A32B9">
        <w:t xml:space="preserve">Council </w:t>
      </w:r>
      <w:r>
        <w:t>S</w:t>
      </w:r>
      <w:r w:rsidRPr="002A32B9">
        <w:t>urvey</w:t>
      </w:r>
      <w:r>
        <w:t>s 2015</w:t>
      </w:r>
    </w:p>
    <w:p w:rsidR="00364027" w:rsidRPr="002A32B9" w:rsidRDefault="00364027" w:rsidP="00D41508">
      <w:pPr>
        <w:pStyle w:val="SourceDELWP"/>
        <w:spacing w:line="240" w:lineRule="auto"/>
      </w:pPr>
    </w:p>
    <w:p w:rsidR="00364027" w:rsidRDefault="00364027" w:rsidP="00D41508">
      <w:pPr>
        <w:spacing w:after="120"/>
        <w:ind w:right="-188"/>
        <w:sectPr w:rsidR="00364027" w:rsidSect="00364027">
          <w:type w:val="continuous"/>
          <w:pgSz w:w="11906" w:h="16838"/>
          <w:pgMar w:top="1440" w:right="1440" w:bottom="1440" w:left="1440" w:header="708" w:footer="708" w:gutter="0"/>
          <w:cols w:space="708"/>
          <w:docGrid w:linePitch="360"/>
        </w:sectPr>
      </w:pPr>
    </w:p>
    <w:p w:rsidR="00483C85" w:rsidRDefault="00483C85" w:rsidP="00D41508">
      <w:pPr>
        <w:spacing w:after="120"/>
        <w:ind w:right="-188"/>
      </w:pPr>
    </w:p>
    <w:p w:rsidR="00D23981" w:rsidRDefault="00D23981">
      <w:r>
        <w:br w:type="page"/>
      </w:r>
    </w:p>
    <w:p w:rsidR="00801C7E" w:rsidRDefault="00483C85" w:rsidP="00D41508">
      <w:pPr>
        <w:spacing w:after="120"/>
        <w:ind w:right="-188"/>
      </w:pPr>
      <w:r>
        <w:lastRenderedPageBreak/>
        <w:t xml:space="preserve">Family is </w:t>
      </w:r>
      <w:r w:rsidR="00A05C25">
        <w:t xml:space="preserve">a </w:t>
      </w:r>
      <w:r>
        <w:t>major reason for moving</w:t>
      </w:r>
      <w:r w:rsidR="00A05C25">
        <w:t>, irrespective of whether respondents came from regional or metropolitan backgrounds</w:t>
      </w:r>
      <w:r>
        <w:t xml:space="preserve">. </w:t>
      </w:r>
      <w:r w:rsidR="00197814">
        <w:t xml:space="preserve">Moving for the specific job was more significant for those moving from metropolitan areas, than regional areas. Many of those moving from regional areas had come to Bendigo seeking broader employment opportunities. This makes sense in terms of a regional centre like Bendigo offering a range of employment opportunities to people from smaller regional centres or rural areas. It also highlights the importance of specific job opportunities for metropolitan migrants. Those moving from metropolitan areas were also more likely to select ‘return to region of birth’, </w:t>
      </w:r>
      <w:r w:rsidR="00197814">
        <w:lastRenderedPageBreak/>
        <w:t>‘amenity/lifestyle’ or ‘housing choice and affordability’ as reasons for moving than those from regional backgrounds.</w:t>
      </w:r>
    </w:p>
    <w:p w:rsidR="009E2DB6" w:rsidRPr="00F50ECA" w:rsidRDefault="009E2DB6" w:rsidP="00364027">
      <w:pPr>
        <w:pStyle w:val="HeadingB"/>
        <w:ind w:left="720" w:hanging="720"/>
      </w:pPr>
      <w:r w:rsidRPr="00F50ECA">
        <w:t>3</w:t>
      </w:r>
      <w:r>
        <w:t>.5</w:t>
      </w:r>
      <w:r w:rsidRPr="00F50ECA">
        <w:tab/>
        <w:t>Reported advantages of living in Bendigo</w:t>
      </w:r>
    </w:p>
    <w:p w:rsidR="00D23981" w:rsidRDefault="00256EAC" w:rsidP="00D41508">
      <w:pPr>
        <w:spacing w:after="120"/>
      </w:pPr>
      <w:r>
        <w:t xml:space="preserve">The survey offered open-ended questions about the advantages and disadvantages of living in Bendigo. Up to three items could be recorded and these were then </w:t>
      </w:r>
      <w:r w:rsidR="000F47DD">
        <w:t>grouped</w:t>
      </w:r>
      <w:r>
        <w:t xml:space="preserve"> into broad categories for ease of analysis. Table </w:t>
      </w:r>
      <w:r w:rsidR="009E2DB6">
        <w:t>3</w:t>
      </w:r>
      <w:r>
        <w:t xml:space="preserve"> shows results for the combined sample in terms of reported advantages. </w:t>
      </w:r>
    </w:p>
    <w:p w:rsidR="00364027" w:rsidRDefault="00364027" w:rsidP="00D41508">
      <w:pPr>
        <w:pStyle w:val="Tabletitle0"/>
        <w:spacing w:line="240" w:lineRule="auto"/>
        <w:sectPr w:rsidR="00364027" w:rsidSect="00364027">
          <w:type w:val="continuous"/>
          <w:pgSz w:w="11906" w:h="16838"/>
          <w:pgMar w:top="1440" w:right="1440" w:bottom="1440" w:left="1440" w:header="708" w:footer="708" w:gutter="0"/>
          <w:cols w:num="2" w:space="708"/>
          <w:docGrid w:linePitch="360"/>
        </w:sectPr>
      </w:pPr>
    </w:p>
    <w:p w:rsidR="00D23981" w:rsidRDefault="00D23981" w:rsidP="00D41508">
      <w:pPr>
        <w:pStyle w:val="Tabletitle0"/>
        <w:spacing w:line="240" w:lineRule="auto"/>
      </w:pPr>
    </w:p>
    <w:p w:rsidR="00F50ECA" w:rsidRDefault="00F50ECA" w:rsidP="00D41508">
      <w:pPr>
        <w:pStyle w:val="Tabletitle0"/>
        <w:spacing w:line="240" w:lineRule="auto"/>
      </w:pPr>
      <w:r w:rsidRPr="00F50ECA">
        <w:t xml:space="preserve">Table </w:t>
      </w:r>
      <w:r w:rsidR="009E2DB6">
        <w:t>3</w:t>
      </w:r>
      <w:r w:rsidRPr="00F50ECA">
        <w:t>: Advantages of living in Bendigo, as reported by respondents</w:t>
      </w:r>
    </w:p>
    <w:tbl>
      <w:tblPr>
        <w:tblStyle w:val="DELWPTable"/>
        <w:tblW w:w="9180" w:type="dxa"/>
        <w:tblLayout w:type="fixed"/>
        <w:tblLook w:val="04A0" w:firstRow="1" w:lastRow="0" w:firstColumn="1" w:lastColumn="0" w:noHBand="0" w:noVBand="1"/>
      </w:tblPr>
      <w:tblGrid>
        <w:gridCol w:w="2502"/>
        <w:gridCol w:w="4410"/>
        <w:gridCol w:w="1134"/>
        <w:gridCol w:w="1134"/>
      </w:tblGrid>
      <w:tr w:rsidR="004F13A2" w:rsidRPr="004F13A2" w:rsidTr="004F13A2">
        <w:trPr>
          <w:cnfStyle w:val="100000000000" w:firstRow="1" w:lastRow="0" w:firstColumn="0" w:lastColumn="0" w:oddVBand="0" w:evenVBand="0" w:oddHBand="0" w:evenHBand="0" w:firstRowFirstColumn="0" w:firstRowLastColumn="0" w:lastRowFirstColumn="0" w:lastRowLastColumn="0"/>
        </w:trPr>
        <w:tc>
          <w:tcPr>
            <w:tcW w:w="2502" w:type="dxa"/>
          </w:tcPr>
          <w:p w:rsidR="00F50ECA" w:rsidRPr="004F13A2" w:rsidRDefault="000F47DD" w:rsidP="00D41508">
            <w:pPr>
              <w:pStyle w:val="DELWPbodytext"/>
              <w:spacing w:afterLines="50" w:after="120" w:line="240" w:lineRule="auto"/>
              <w:rPr>
                <w:rFonts w:cs="Times New Roman"/>
                <w:b/>
                <w:color w:val="FFFFFF" w:themeColor="background1"/>
              </w:rPr>
            </w:pPr>
            <w:r>
              <w:rPr>
                <w:rFonts w:cs="Times New Roman"/>
                <w:b/>
                <w:color w:val="FFFFFF" w:themeColor="background1"/>
              </w:rPr>
              <w:t>Theme</w:t>
            </w:r>
          </w:p>
        </w:tc>
        <w:tc>
          <w:tcPr>
            <w:tcW w:w="4410" w:type="dxa"/>
          </w:tcPr>
          <w:p w:rsidR="00F50ECA" w:rsidRPr="004F13A2" w:rsidRDefault="000F47DD" w:rsidP="00D41508">
            <w:pPr>
              <w:pStyle w:val="DELWPbodytext"/>
              <w:spacing w:afterLines="50" w:after="120" w:line="240" w:lineRule="auto"/>
              <w:rPr>
                <w:rFonts w:cs="Times New Roman"/>
                <w:b/>
                <w:color w:val="FFFFFF" w:themeColor="background1"/>
              </w:rPr>
            </w:pPr>
            <w:r w:rsidRPr="000F47DD">
              <w:rPr>
                <w:rFonts w:cs="Times New Roman"/>
                <w:b/>
                <w:color w:val="FFFFFF" w:themeColor="background1"/>
              </w:rPr>
              <w:t>Examples</w:t>
            </w:r>
          </w:p>
        </w:tc>
        <w:tc>
          <w:tcPr>
            <w:tcW w:w="1134" w:type="dxa"/>
          </w:tcPr>
          <w:p w:rsidR="00F50ECA" w:rsidRPr="004F13A2" w:rsidRDefault="000F47DD" w:rsidP="000F47DD">
            <w:pPr>
              <w:pStyle w:val="DELWPbodytext"/>
              <w:spacing w:afterLines="50" w:after="120" w:line="240" w:lineRule="auto"/>
              <w:jc w:val="center"/>
              <w:rPr>
                <w:rFonts w:cs="Times New Roman"/>
                <w:b/>
                <w:color w:val="FFFFFF" w:themeColor="background1"/>
              </w:rPr>
            </w:pPr>
            <w:r w:rsidRPr="000F47DD">
              <w:rPr>
                <w:rFonts w:cs="Times New Roman"/>
                <w:b/>
                <w:color w:val="FFFFFF" w:themeColor="background1"/>
              </w:rPr>
              <w:t>No. of responses</w:t>
            </w:r>
          </w:p>
        </w:tc>
        <w:tc>
          <w:tcPr>
            <w:tcW w:w="1134" w:type="dxa"/>
          </w:tcPr>
          <w:p w:rsidR="00F50ECA" w:rsidRPr="004F13A2" w:rsidRDefault="000F47DD" w:rsidP="000F47DD">
            <w:pPr>
              <w:pStyle w:val="DELWPbodytext"/>
              <w:spacing w:afterLines="50" w:after="120" w:line="240" w:lineRule="auto"/>
              <w:jc w:val="center"/>
              <w:rPr>
                <w:rFonts w:cs="Times New Roman"/>
                <w:b/>
                <w:color w:val="FFFFFF" w:themeColor="background1"/>
              </w:rPr>
            </w:pPr>
            <w:r w:rsidRPr="000F47DD">
              <w:rPr>
                <w:rFonts w:cs="Times New Roman"/>
                <w:b/>
                <w:color w:val="FFFFFF" w:themeColor="background1"/>
              </w:rPr>
              <w:t>%</w:t>
            </w:r>
          </w:p>
        </w:tc>
      </w:tr>
      <w:tr w:rsidR="00F50ECA" w:rsidRPr="000F47DD" w:rsidTr="004F13A2">
        <w:tc>
          <w:tcPr>
            <w:tcW w:w="2502" w:type="dxa"/>
          </w:tcPr>
          <w:p w:rsidR="00F50ECA" w:rsidRPr="000F47DD" w:rsidRDefault="000F47DD" w:rsidP="00D41508">
            <w:pPr>
              <w:pStyle w:val="DELWPbodytext"/>
              <w:spacing w:afterLines="50" w:after="120" w:line="240" w:lineRule="auto"/>
              <w:rPr>
                <w:rFonts w:cs="Times New Roman"/>
                <w:sz w:val="20"/>
                <w:szCs w:val="20"/>
              </w:rPr>
            </w:pPr>
            <w:r w:rsidRPr="000F47DD">
              <w:rPr>
                <w:sz w:val="20"/>
                <w:szCs w:val="20"/>
              </w:rPr>
              <w:t>Lifestyle</w:t>
            </w:r>
          </w:p>
        </w:tc>
        <w:tc>
          <w:tcPr>
            <w:tcW w:w="4410" w:type="dxa"/>
          </w:tcPr>
          <w:p w:rsidR="00F50ECA" w:rsidRPr="000F47DD" w:rsidRDefault="000F47DD" w:rsidP="00D41508">
            <w:pPr>
              <w:pStyle w:val="DELWPbodytext"/>
              <w:spacing w:afterLines="50" w:after="120" w:line="240" w:lineRule="auto"/>
              <w:rPr>
                <w:rFonts w:cs="Times New Roman"/>
                <w:sz w:val="20"/>
                <w:szCs w:val="20"/>
              </w:rPr>
            </w:pPr>
            <w:r w:rsidRPr="000F47DD">
              <w:rPr>
                <w:rFonts w:cs="Times New Roman"/>
                <w:i/>
                <w:sz w:val="20"/>
                <w:szCs w:val="20"/>
              </w:rPr>
              <w:t>Relaxed atmosphere; slower lifestyle.</w:t>
            </w:r>
          </w:p>
        </w:tc>
        <w:tc>
          <w:tcPr>
            <w:tcW w:w="1134" w:type="dxa"/>
          </w:tcPr>
          <w:p w:rsidR="00F50ECA"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229</w:t>
            </w:r>
          </w:p>
        </w:tc>
        <w:tc>
          <w:tcPr>
            <w:tcW w:w="1134" w:type="dxa"/>
          </w:tcPr>
          <w:p w:rsidR="00F50ECA"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14.1</w:t>
            </w:r>
          </w:p>
        </w:tc>
      </w:tr>
      <w:tr w:rsidR="00F50ECA" w:rsidRPr="000F47DD" w:rsidTr="004F13A2">
        <w:tc>
          <w:tcPr>
            <w:tcW w:w="2502" w:type="dxa"/>
          </w:tcPr>
          <w:p w:rsidR="00F50ECA" w:rsidRPr="000F47DD" w:rsidRDefault="000F47DD" w:rsidP="00D41508">
            <w:pPr>
              <w:pStyle w:val="DELWPbodytext"/>
              <w:spacing w:afterLines="50" w:after="120" w:line="240" w:lineRule="auto"/>
              <w:rPr>
                <w:rFonts w:cs="Times New Roman"/>
                <w:sz w:val="20"/>
                <w:szCs w:val="20"/>
              </w:rPr>
            </w:pPr>
            <w:r w:rsidRPr="000F47DD">
              <w:rPr>
                <w:rFonts w:cs="Times New Roman"/>
                <w:sz w:val="20"/>
                <w:szCs w:val="20"/>
              </w:rPr>
              <w:t>Less congestion/Good size</w:t>
            </w:r>
          </w:p>
        </w:tc>
        <w:tc>
          <w:tcPr>
            <w:tcW w:w="4410" w:type="dxa"/>
          </w:tcPr>
          <w:p w:rsidR="00F50ECA" w:rsidRPr="000F47DD" w:rsidRDefault="000F47DD" w:rsidP="00D41508">
            <w:pPr>
              <w:pStyle w:val="DELWPbodytext"/>
              <w:spacing w:afterLines="50" w:after="120" w:line="240" w:lineRule="auto"/>
              <w:rPr>
                <w:rFonts w:cs="Times New Roman"/>
                <w:sz w:val="20"/>
                <w:szCs w:val="20"/>
              </w:rPr>
            </w:pPr>
            <w:r w:rsidRPr="000F47DD">
              <w:rPr>
                <w:i/>
                <w:sz w:val="20"/>
                <w:szCs w:val="20"/>
              </w:rPr>
              <w:t>Size of city makes it easy to commute; lack of traffic congestion compared to capital cities.</w:t>
            </w:r>
          </w:p>
        </w:tc>
        <w:tc>
          <w:tcPr>
            <w:tcW w:w="1134" w:type="dxa"/>
          </w:tcPr>
          <w:p w:rsidR="00F50ECA"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174</w:t>
            </w:r>
          </w:p>
        </w:tc>
        <w:tc>
          <w:tcPr>
            <w:tcW w:w="1134" w:type="dxa"/>
          </w:tcPr>
          <w:p w:rsidR="00F50ECA"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10.7</w:t>
            </w:r>
          </w:p>
        </w:tc>
      </w:tr>
      <w:tr w:rsidR="00F50ECA" w:rsidRPr="000F47DD" w:rsidTr="004F13A2">
        <w:tc>
          <w:tcPr>
            <w:tcW w:w="2502" w:type="dxa"/>
          </w:tcPr>
          <w:p w:rsidR="00F50ECA" w:rsidRPr="000F47DD" w:rsidRDefault="000F47DD" w:rsidP="00D41508">
            <w:pPr>
              <w:pStyle w:val="DELWPbodytext"/>
              <w:spacing w:afterLines="50" w:after="120" w:line="240" w:lineRule="auto"/>
              <w:rPr>
                <w:rFonts w:cs="Times New Roman"/>
                <w:sz w:val="20"/>
                <w:szCs w:val="20"/>
              </w:rPr>
            </w:pPr>
            <w:r w:rsidRPr="000F47DD">
              <w:rPr>
                <w:sz w:val="20"/>
                <w:szCs w:val="20"/>
              </w:rPr>
              <w:t>Quality services/facilities</w:t>
            </w:r>
          </w:p>
        </w:tc>
        <w:tc>
          <w:tcPr>
            <w:tcW w:w="4410" w:type="dxa"/>
          </w:tcPr>
          <w:p w:rsidR="00F50ECA" w:rsidRPr="000F47DD" w:rsidRDefault="000F47DD" w:rsidP="00D41508">
            <w:pPr>
              <w:pStyle w:val="DELWPbodytext"/>
              <w:spacing w:afterLines="50" w:after="120" w:line="240" w:lineRule="auto"/>
              <w:rPr>
                <w:rFonts w:cs="Times New Roman"/>
                <w:sz w:val="20"/>
                <w:szCs w:val="20"/>
              </w:rPr>
            </w:pPr>
            <w:r w:rsidRPr="000F47DD">
              <w:rPr>
                <w:i/>
                <w:sz w:val="20"/>
                <w:szCs w:val="20"/>
              </w:rPr>
              <w:t>High quality facilities</w:t>
            </w:r>
            <w:r w:rsidR="00801C7E">
              <w:rPr>
                <w:i/>
                <w:sz w:val="20"/>
                <w:szCs w:val="20"/>
              </w:rPr>
              <w:t xml:space="preserve"> </w:t>
            </w:r>
            <w:r w:rsidRPr="000F47DD">
              <w:rPr>
                <w:i/>
                <w:sz w:val="20"/>
                <w:szCs w:val="20"/>
              </w:rPr>
              <w:t>- health care, education; sporting venues;</w:t>
            </w:r>
            <w:r w:rsidR="00801C7E">
              <w:rPr>
                <w:i/>
                <w:sz w:val="20"/>
                <w:szCs w:val="20"/>
              </w:rPr>
              <w:t xml:space="preserve"> </w:t>
            </w:r>
            <w:r w:rsidRPr="000F47DD">
              <w:rPr>
                <w:i/>
                <w:sz w:val="20"/>
                <w:szCs w:val="20"/>
              </w:rPr>
              <w:t>arts; shops.</w:t>
            </w:r>
          </w:p>
        </w:tc>
        <w:tc>
          <w:tcPr>
            <w:tcW w:w="1134" w:type="dxa"/>
          </w:tcPr>
          <w:p w:rsidR="00F50ECA"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153</w:t>
            </w:r>
          </w:p>
        </w:tc>
        <w:tc>
          <w:tcPr>
            <w:tcW w:w="1134" w:type="dxa"/>
          </w:tcPr>
          <w:p w:rsidR="00F50ECA"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9.5</w:t>
            </w:r>
          </w:p>
        </w:tc>
      </w:tr>
      <w:tr w:rsidR="000F47DD" w:rsidRPr="000F47DD" w:rsidTr="004F13A2">
        <w:tc>
          <w:tcPr>
            <w:tcW w:w="2502" w:type="dxa"/>
          </w:tcPr>
          <w:p w:rsidR="000F47DD" w:rsidRPr="000F47DD" w:rsidRDefault="000F47DD" w:rsidP="00D41508">
            <w:pPr>
              <w:pStyle w:val="DELWPbodytext"/>
              <w:spacing w:afterLines="50" w:after="120" w:line="240" w:lineRule="auto"/>
              <w:rPr>
                <w:rFonts w:cs="Times New Roman"/>
                <w:sz w:val="20"/>
                <w:szCs w:val="20"/>
              </w:rPr>
            </w:pPr>
            <w:r w:rsidRPr="000F47DD">
              <w:rPr>
                <w:sz w:val="20"/>
                <w:szCs w:val="20"/>
              </w:rPr>
              <w:t>Accessibility/Ease of travel</w:t>
            </w:r>
          </w:p>
        </w:tc>
        <w:tc>
          <w:tcPr>
            <w:tcW w:w="4410" w:type="dxa"/>
          </w:tcPr>
          <w:p w:rsidR="000F47DD" w:rsidRPr="000F47DD" w:rsidRDefault="000F47DD" w:rsidP="00D41508">
            <w:pPr>
              <w:pStyle w:val="DELWPbodytext"/>
              <w:spacing w:afterLines="50" w:after="120" w:line="240" w:lineRule="auto"/>
              <w:rPr>
                <w:rFonts w:cs="Times New Roman"/>
                <w:sz w:val="20"/>
                <w:szCs w:val="20"/>
              </w:rPr>
            </w:pPr>
            <w:r w:rsidRPr="000F47DD">
              <w:rPr>
                <w:rFonts w:cs="Times New Roman"/>
                <w:i/>
                <w:sz w:val="20"/>
                <w:szCs w:val="20"/>
              </w:rPr>
              <w:t>Short drive to almost anything; ease of getting around; short distance between home and work.</w:t>
            </w:r>
          </w:p>
        </w:tc>
        <w:tc>
          <w:tcPr>
            <w:tcW w:w="1134" w:type="dxa"/>
          </w:tcPr>
          <w:p w:rsidR="000F47DD"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151</w:t>
            </w:r>
          </w:p>
        </w:tc>
        <w:tc>
          <w:tcPr>
            <w:tcW w:w="1134" w:type="dxa"/>
          </w:tcPr>
          <w:p w:rsidR="000F47DD" w:rsidRDefault="000F47DD" w:rsidP="000F47DD">
            <w:pPr>
              <w:jc w:val="center"/>
              <w:rPr>
                <w:sz w:val="20"/>
                <w:szCs w:val="20"/>
              </w:rPr>
            </w:pPr>
            <w:r>
              <w:rPr>
                <w:sz w:val="20"/>
                <w:szCs w:val="20"/>
              </w:rPr>
              <w:t>9.3</w:t>
            </w:r>
          </w:p>
        </w:tc>
      </w:tr>
      <w:tr w:rsidR="000F47DD" w:rsidRPr="000F47DD" w:rsidTr="004F13A2">
        <w:tc>
          <w:tcPr>
            <w:tcW w:w="2502" w:type="dxa"/>
          </w:tcPr>
          <w:p w:rsidR="000F47DD" w:rsidRDefault="000F47DD" w:rsidP="004E3EA7">
            <w:pPr>
              <w:rPr>
                <w:sz w:val="20"/>
                <w:szCs w:val="20"/>
              </w:rPr>
            </w:pPr>
            <w:r>
              <w:rPr>
                <w:sz w:val="20"/>
                <w:szCs w:val="20"/>
              </w:rPr>
              <w:t>Affordability</w:t>
            </w:r>
          </w:p>
        </w:tc>
        <w:tc>
          <w:tcPr>
            <w:tcW w:w="4410" w:type="dxa"/>
          </w:tcPr>
          <w:p w:rsidR="000F47DD" w:rsidRDefault="000F47DD" w:rsidP="004E3EA7">
            <w:pPr>
              <w:rPr>
                <w:i/>
                <w:sz w:val="20"/>
                <w:szCs w:val="20"/>
              </w:rPr>
            </w:pPr>
            <w:r>
              <w:rPr>
                <w:i/>
                <w:sz w:val="20"/>
                <w:szCs w:val="20"/>
              </w:rPr>
              <w:t>Cheaper housing costs; affordable acreage; cheaper cost of living.</w:t>
            </w:r>
          </w:p>
        </w:tc>
        <w:tc>
          <w:tcPr>
            <w:tcW w:w="1134" w:type="dxa"/>
          </w:tcPr>
          <w:p w:rsidR="000F47DD"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139</w:t>
            </w:r>
          </w:p>
        </w:tc>
        <w:tc>
          <w:tcPr>
            <w:tcW w:w="1134" w:type="dxa"/>
          </w:tcPr>
          <w:p w:rsidR="000F47DD" w:rsidRDefault="000F47DD" w:rsidP="000F47DD">
            <w:pPr>
              <w:jc w:val="center"/>
              <w:rPr>
                <w:sz w:val="20"/>
                <w:szCs w:val="20"/>
              </w:rPr>
            </w:pPr>
            <w:r>
              <w:rPr>
                <w:sz w:val="20"/>
                <w:szCs w:val="20"/>
              </w:rPr>
              <w:t>8.6</w:t>
            </w:r>
          </w:p>
        </w:tc>
      </w:tr>
      <w:tr w:rsidR="000F47DD" w:rsidRPr="000F47DD" w:rsidTr="004F13A2">
        <w:tc>
          <w:tcPr>
            <w:tcW w:w="2502" w:type="dxa"/>
          </w:tcPr>
          <w:p w:rsidR="000F47DD" w:rsidRDefault="000F47DD" w:rsidP="004E3EA7">
            <w:pPr>
              <w:rPr>
                <w:sz w:val="20"/>
                <w:szCs w:val="20"/>
              </w:rPr>
            </w:pPr>
            <w:r>
              <w:rPr>
                <w:sz w:val="20"/>
                <w:szCs w:val="20"/>
              </w:rPr>
              <w:t>Close to family/friends</w:t>
            </w:r>
          </w:p>
        </w:tc>
        <w:tc>
          <w:tcPr>
            <w:tcW w:w="4410" w:type="dxa"/>
          </w:tcPr>
          <w:p w:rsidR="000F47DD" w:rsidRDefault="000F47DD" w:rsidP="004E3EA7">
            <w:pPr>
              <w:rPr>
                <w:i/>
                <w:sz w:val="20"/>
                <w:szCs w:val="20"/>
              </w:rPr>
            </w:pPr>
            <w:r>
              <w:rPr>
                <w:i/>
                <w:sz w:val="20"/>
                <w:szCs w:val="20"/>
              </w:rPr>
              <w:t>Family here; close to my family/extended family.</w:t>
            </w:r>
          </w:p>
        </w:tc>
        <w:tc>
          <w:tcPr>
            <w:tcW w:w="1134" w:type="dxa"/>
          </w:tcPr>
          <w:p w:rsidR="000F47DD"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126</w:t>
            </w:r>
          </w:p>
        </w:tc>
        <w:tc>
          <w:tcPr>
            <w:tcW w:w="1134" w:type="dxa"/>
          </w:tcPr>
          <w:p w:rsidR="000F47DD" w:rsidRDefault="000F47DD" w:rsidP="000F47DD">
            <w:pPr>
              <w:jc w:val="center"/>
              <w:rPr>
                <w:sz w:val="20"/>
                <w:szCs w:val="20"/>
              </w:rPr>
            </w:pPr>
            <w:r>
              <w:rPr>
                <w:sz w:val="20"/>
                <w:szCs w:val="20"/>
              </w:rPr>
              <w:t>7.8</w:t>
            </w:r>
          </w:p>
        </w:tc>
      </w:tr>
      <w:tr w:rsidR="000F47DD" w:rsidRPr="000F47DD" w:rsidTr="004F13A2">
        <w:tc>
          <w:tcPr>
            <w:tcW w:w="2502" w:type="dxa"/>
          </w:tcPr>
          <w:p w:rsidR="000F47DD" w:rsidRDefault="000F47DD" w:rsidP="004E3EA7">
            <w:pPr>
              <w:rPr>
                <w:sz w:val="20"/>
                <w:szCs w:val="20"/>
              </w:rPr>
            </w:pPr>
            <w:r>
              <w:rPr>
                <w:sz w:val="20"/>
                <w:szCs w:val="20"/>
              </w:rPr>
              <w:t>Access to Melbourne</w:t>
            </w:r>
          </w:p>
        </w:tc>
        <w:tc>
          <w:tcPr>
            <w:tcW w:w="4410" w:type="dxa"/>
          </w:tcPr>
          <w:p w:rsidR="000F47DD" w:rsidRDefault="000F47DD" w:rsidP="004E3EA7">
            <w:pPr>
              <w:rPr>
                <w:i/>
                <w:sz w:val="20"/>
                <w:szCs w:val="20"/>
              </w:rPr>
            </w:pPr>
            <w:r>
              <w:rPr>
                <w:i/>
                <w:sz w:val="20"/>
                <w:szCs w:val="20"/>
              </w:rPr>
              <w:t xml:space="preserve">Accessible to Melbourne. </w:t>
            </w:r>
          </w:p>
        </w:tc>
        <w:tc>
          <w:tcPr>
            <w:tcW w:w="1134" w:type="dxa"/>
          </w:tcPr>
          <w:p w:rsidR="000F47DD"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116</w:t>
            </w:r>
          </w:p>
        </w:tc>
        <w:tc>
          <w:tcPr>
            <w:tcW w:w="1134" w:type="dxa"/>
          </w:tcPr>
          <w:p w:rsidR="000F47DD" w:rsidRDefault="000F47DD" w:rsidP="000F47DD">
            <w:pPr>
              <w:jc w:val="center"/>
              <w:rPr>
                <w:sz w:val="20"/>
                <w:szCs w:val="20"/>
              </w:rPr>
            </w:pPr>
            <w:r>
              <w:rPr>
                <w:sz w:val="20"/>
                <w:szCs w:val="20"/>
              </w:rPr>
              <w:t>7.2</w:t>
            </w:r>
          </w:p>
        </w:tc>
      </w:tr>
      <w:tr w:rsidR="000F47DD" w:rsidRPr="000F47DD" w:rsidTr="004F13A2">
        <w:tc>
          <w:tcPr>
            <w:tcW w:w="2502" w:type="dxa"/>
          </w:tcPr>
          <w:p w:rsidR="000F47DD" w:rsidRDefault="000F47DD" w:rsidP="004E3EA7">
            <w:pPr>
              <w:rPr>
                <w:sz w:val="20"/>
                <w:szCs w:val="20"/>
              </w:rPr>
            </w:pPr>
            <w:r>
              <w:rPr>
                <w:sz w:val="20"/>
                <w:szCs w:val="20"/>
              </w:rPr>
              <w:t>Friendly community</w:t>
            </w:r>
          </w:p>
        </w:tc>
        <w:tc>
          <w:tcPr>
            <w:tcW w:w="4410" w:type="dxa"/>
          </w:tcPr>
          <w:p w:rsidR="000F47DD" w:rsidRDefault="000F47DD" w:rsidP="004E3EA7">
            <w:pPr>
              <w:rPr>
                <w:i/>
                <w:sz w:val="20"/>
                <w:szCs w:val="20"/>
              </w:rPr>
            </w:pPr>
            <w:r>
              <w:rPr>
                <w:i/>
                <w:sz w:val="20"/>
                <w:szCs w:val="20"/>
              </w:rPr>
              <w:t>Community focus; community spirit.</w:t>
            </w:r>
          </w:p>
        </w:tc>
        <w:tc>
          <w:tcPr>
            <w:tcW w:w="1134" w:type="dxa"/>
          </w:tcPr>
          <w:p w:rsidR="000F47DD"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103</w:t>
            </w:r>
          </w:p>
        </w:tc>
        <w:tc>
          <w:tcPr>
            <w:tcW w:w="1134" w:type="dxa"/>
          </w:tcPr>
          <w:p w:rsidR="000F47DD" w:rsidRDefault="000F47DD" w:rsidP="000F47DD">
            <w:pPr>
              <w:jc w:val="center"/>
              <w:rPr>
                <w:sz w:val="20"/>
                <w:szCs w:val="20"/>
              </w:rPr>
            </w:pPr>
            <w:r>
              <w:rPr>
                <w:sz w:val="20"/>
                <w:szCs w:val="20"/>
              </w:rPr>
              <w:t>6.4</w:t>
            </w:r>
          </w:p>
        </w:tc>
      </w:tr>
      <w:tr w:rsidR="000F47DD" w:rsidRPr="000F47DD" w:rsidTr="004F13A2">
        <w:tc>
          <w:tcPr>
            <w:tcW w:w="2502" w:type="dxa"/>
          </w:tcPr>
          <w:p w:rsidR="000F47DD" w:rsidRDefault="000F47DD" w:rsidP="004E3EA7">
            <w:pPr>
              <w:rPr>
                <w:sz w:val="20"/>
                <w:szCs w:val="20"/>
              </w:rPr>
            </w:pPr>
            <w:r>
              <w:rPr>
                <w:sz w:val="20"/>
                <w:szCs w:val="20"/>
              </w:rPr>
              <w:t>Employment</w:t>
            </w:r>
          </w:p>
        </w:tc>
        <w:tc>
          <w:tcPr>
            <w:tcW w:w="4410" w:type="dxa"/>
          </w:tcPr>
          <w:p w:rsidR="000F47DD" w:rsidRDefault="000F47DD" w:rsidP="004E3EA7">
            <w:pPr>
              <w:rPr>
                <w:i/>
                <w:sz w:val="20"/>
                <w:szCs w:val="20"/>
              </w:rPr>
            </w:pPr>
            <w:r>
              <w:rPr>
                <w:i/>
                <w:sz w:val="20"/>
                <w:szCs w:val="20"/>
              </w:rPr>
              <w:t>Big enough city to provide good employment opportunities; Bank provides career opportunities.</w:t>
            </w:r>
          </w:p>
        </w:tc>
        <w:tc>
          <w:tcPr>
            <w:tcW w:w="1134" w:type="dxa"/>
          </w:tcPr>
          <w:p w:rsidR="000F47DD"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95</w:t>
            </w:r>
          </w:p>
        </w:tc>
        <w:tc>
          <w:tcPr>
            <w:tcW w:w="1134" w:type="dxa"/>
          </w:tcPr>
          <w:p w:rsidR="000F47DD" w:rsidRDefault="000F47DD" w:rsidP="000F47DD">
            <w:pPr>
              <w:jc w:val="center"/>
              <w:rPr>
                <w:sz w:val="20"/>
                <w:szCs w:val="20"/>
              </w:rPr>
            </w:pPr>
            <w:r>
              <w:rPr>
                <w:sz w:val="20"/>
                <w:szCs w:val="20"/>
              </w:rPr>
              <w:t>5.9</w:t>
            </w:r>
          </w:p>
        </w:tc>
      </w:tr>
      <w:tr w:rsidR="000F47DD" w:rsidRPr="000F47DD" w:rsidTr="004F13A2">
        <w:tc>
          <w:tcPr>
            <w:tcW w:w="2502" w:type="dxa"/>
          </w:tcPr>
          <w:p w:rsidR="000F47DD" w:rsidRDefault="000F47DD" w:rsidP="004E3EA7">
            <w:pPr>
              <w:rPr>
                <w:sz w:val="20"/>
                <w:szCs w:val="20"/>
              </w:rPr>
            </w:pPr>
            <w:r>
              <w:rPr>
                <w:sz w:val="20"/>
                <w:szCs w:val="20"/>
              </w:rPr>
              <w:t>Access to services/activities</w:t>
            </w:r>
          </w:p>
        </w:tc>
        <w:tc>
          <w:tcPr>
            <w:tcW w:w="4410" w:type="dxa"/>
          </w:tcPr>
          <w:p w:rsidR="000F47DD" w:rsidRDefault="000F47DD" w:rsidP="004E3EA7">
            <w:pPr>
              <w:rPr>
                <w:i/>
                <w:sz w:val="20"/>
                <w:szCs w:val="20"/>
              </w:rPr>
            </w:pPr>
            <w:r>
              <w:rPr>
                <w:i/>
                <w:sz w:val="20"/>
                <w:szCs w:val="20"/>
              </w:rPr>
              <w:t>Access to medical, sporting, education facilities.</w:t>
            </w:r>
          </w:p>
        </w:tc>
        <w:tc>
          <w:tcPr>
            <w:tcW w:w="1134" w:type="dxa"/>
          </w:tcPr>
          <w:p w:rsidR="000F47DD"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85</w:t>
            </w:r>
          </w:p>
        </w:tc>
        <w:tc>
          <w:tcPr>
            <w:tcW w:w="1134" w:type="dxa"/>
          </w:tcPr>
          <w:p w:rsidR="000F47DD" w:rsidRDefault="000F47DD" w:rsidP="000F47DD">
            <w:pPr>
              <w:jc w:val="center"/>
              <w:rPr>
                <w:sz w:val="20"/>
                <w:szCs w:val="20"/>
              </w:rPr>
            </w:pPr>
            <w:r>
              <w:rPr>
                <w:sz w:val="20"/>
                <w:szCs w:val="20"/>
              </w:rPr>
              <w:t>5.3</w:t>
            </w:r>
          </w:p>
        </w:tc>
      </w:tr>
      <w:tr w:rsidR="000F47DD" w:rsidRPr="000F47DD" w:rsidTr="004F13A2">
        <w:tc>
          <w:tcPr>
            <w:tcW w:w="2502" w:type="dxa"/>
          </w:tcPr>
          <w:p w:rsidR="000F47DD" w:rsidRDefault="000F47DD" w:rsidP="004E3EA7">
            <w:pPr>
              <w:rPr>
                <w:sz w:val="20"/>
                <w:szCs w:val="20"/>
              </w:rPr>
            </w:pPr>
            <w:r>
              <w:rPr>
                <w:sz w:val="20"/>
                <w:szCs w:val="20"/>
              </w:rPr>
              <w:t>Location (not further defined)</w:t>
            </w:r>
          </w:p>
        </w:tc>
        <w:tc>
          <w:tcPr>
            <w:tcW w:w="4410" w:type="dxa"/>
          </w:tcPr>
          <w:p w:rsidR="000F47DD" w:rsidRDefault="000F47DD" w:rsidP="004E3EA7">
            <w:pPr>
              <w:rPr>
                <w:i/>
                <w:sz w:val="20"/>
                <w:szCs w:val="20"/>
              </w:rPr>
            </w:pPr>
            <w:r>
              <w:rPr>
                <w:i/>
                <w:sz w:val="20"/>
                <w:szCs w:val="20"/>
              </w:rPr>
              <w:t>Central location in Victoria; central to Melbourne or the Murray River; central to most things.</w:t>
            </w:r>
          </w:p>
        </w:tc>
        <w:tc>
          <w:tcPr>
            <w:tcW w:w="1134" w:type="dxa"/>
          </w:tcPr>
          <w:p w:rsidR="000F47DD"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69</w:t>
            </w:r>
          </w:p>
        </w:tc>
        <w:tc>
          <w:tcPr>
            <w:tcW w:w="1134" w:type="dxa"/>
          </w:tcPr>
          <w:p w:rsidR="000F47DD" w:rsidRDefault="000F47DD" w:rsidP="000F47DD">
            <w:pPr>
              <w:jc w:val="center"/>
              <w:rPr>
                <w:sz w:val="20"/>
                <w:szCs w:val="20"/>
              </w:rPr>
            </w:pPr>
            <w:r>
              <w:rPr>
                <w:sz w:val="20"/>
                <w:szCs w:val="20"/>
              </w:rPr>
              <w:t>4.3</w:t>
            </w:r>
          </w:p>
        </w:tc>
      </w:tr>
      <w:tr w:rsidR="000F47DD" w:rsidRPr="000F47DD" w:rsidTr="004F13A2">
        <w:tc>
          <w:tcPr>
            <w:tcW w:w="2502" w:type="dxa"/>
          </w:tcPr>
          <w:p w:rsidR="000F47DD" w:rsidRDefault="000F47DD" w:rsidP="004E3EA7">
            <w:pPr>
              <w:rPr>
                <w:sz w:val="20"/>
                <w:szCs w:val="20"/>
              </w:rPr>
            </w:pPr>
            <w:r>
              <w:rPr>
                <w:sz w:val="20"/>
                <w:szCs w:val="20"/>
              </w:rPr>
              <w:t>Natural amenity</w:t>
            </w:r>
          </w:p>
        </w:tc>
        <w:tc>
          <w:tcPr>
            <w:tcW w:w="4410" w:type="dxa"/>
          </w:tcPr>
          <w:p w:rsidR="000F47DD" w:rsidRDefault="000F47DD" w:rsidP="004E3EA7">
            <w:pPr>
              <w:rPr>
                <w:i/>
                <w:sz w:val="20"/>
                <w:szCs w:val="20"/>
              </w:rPr>
            </w:pPr>
            <w:r>
              <w:rPr>
                <w:i/>
                <w:sz w:val="20"/>
                <w:szCs w:val="20"/>
              </w:rPr>
              <w:t xml:space="preserve">Pleasant place to live; bush; climate; landscape </w:t>
            </w:r>
          </w:p>
        </w:tc>
        <w:tc>
          <w:tcPr>
            <w:tcW w:w="1134" w:type="dxa"/>
          </w:tcPr>
          <w:p w:rsidR="000F47DD"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63</w:t>
            </w:r>
          </w:p>
        </w:tc>
        <w:tc>
          <w:tcPr>
            <w:tcW w:w="1134" w:type="dxa"/>
          </w:tcPr>
          <w:p w:rsidR="000F47DD" w:rsidRDefault="000F47DD" w:rsidP="000F47DD">
            <w:pPr>
              <w:jc w:val="center"/>
              <w:rPr>
                <w:sz w:val="20"/>
                <w:szCs w:val="20"/>
              </w:rPr>
            </w:pPr>
            <w:r>
              <w:rPr>
                <w:sz w:val="20"/>
                <w:szCs w:val="20"/>
              </w:rPr>
              <w:t>3.9</w:t>
            </w:r>
          </w:p>
        </w:tc>
      </w:tr>
      <w:tr w:rsidR="000F47DD" w:rsidRPr="000F47DD" w:rsidTr="004F13A2">
        <w:tc>
          <w:tcPr>
            <w:tcW w:w="2502" w:type="dxa"/>
          </w:tcPr>
          <w:p w:rsidR="000F47DD" w:rsidRDefault="000F47DD" w:rsidP="004E3EA7">
            <w:pPr>
              <w:rPr>
                <w:sz w:val="20"/>
                <w:szCs w:val="20"/>
              </w:rPr>
            </w:pPr>
            <w:r>
              <w:rPr>
                <w:sz w:val="20"/>
                <w:szCs w:val="20"/>
              </w:rPr>
              <w:t>Good place to raise family</w:t>
            </w:r>
          </w:p>
        </w:tc>
        <w:tc>
          <w:tcPr>
            <w:tcW w:w="4410" w:type="dxa"/>
          </w:tcPr>
          <w:p w:rsidR="000F47DD" w:rsidRDefault="000F47DD" w:rsidP="004E3EA7">
            <w:pPr>
              <w:rPr>
                <w:i/>
                <w:sz w:val="20"/>
                <w:szCs w:val="20"/>
              </w:rPr>
            </w:pPr>
            <w:r>
              <w:rPr>
                <w:i/>
                <w:sz w:val="20"/>
                <w:szCs w:val="20"/>
              </w:rPr>
              <w:t>Comfortable safe place to live and raise a family.</w:t>
            </w:r>
          </w:p>
        </w:tc>
        <w:tc>
          <w:tcPr>
            <w:tcW w:w="1134" w:type="dxa"/>
          </w:tcPr>
          <w:p w:rsidR="000F47DD" w:rsidRPr="000F47DD" w:rsidRDefault="000F47DD" w:rsidP="000F47DD">
            <w:pPr>
              <w:pStyle w:val="DELWPbodytext"/>
              <w:spacing w:afterLines="50" w:after="120" w:line="240" w:lineRule="auto"/>
              <w:jc w:val="center"/>
              <w:rPr>
                <w:rFonts w:cs="Times New Roman"/>
                <w:sz w:val="20"/>
                <w:szCs w:val="20"/>
              </w:rPr>
            </w:pPr>
            <w:r w:rsidRPr="000F47DD">
              <w:rPr>
                <w:rFonts w:cs="Times New Roman"/>
                <w:sz w:val="20"/>
                <w:szCs w:val="20"/>
              </w:rPr>
              <w:t>60</w:t>
            </w:r>
          </w:p>
        </w:tc>
        <w:tc>
          <w:tcPr>
            <w:tcW w:w="1134" w:type="dxa"/>
          </w:tcPr>
          <w:p w:rsidR="000F47DD" w:rsidRDefault="000F47DD" w:rsidP="000F47DD">
            <w:pPr>
              <w:jc w:val="center"/>
              <w:rPr>
                <w:sz w:val="20"/>
                <w:szCs w:val="20"/>
              </w:rPr>
            </w:pPr>
            <w:r>
              <w:rPr>
                <w:sz w:val="20"/>
                <w:szCs w:val="20"/>
              </w:rPr>
              <w:t>3.7</w:t>
            </w:r>
          </w:p>
        </w:tc>
      </w:tr>
      <w:tr w:rsidR="000F47DD" w:rsidRPr="000F47DD" w:rsidTr="004F13A2">
        <w:tc>
          <w:tcPr>
            <w:tcW w:w="2502" w:type="dxa"/>
          </w:tcPr>
          <w:p w:rsidR="000F47DD" w:rsidRDefault="000F47DD" w:rsidP="004E3EA7">
            <w:pPr>
              <w:rPr>
                <w:sz w:val="20"/>
                <w:szCs w:val="20"/>
              </w:rPr>
            </w:pPr>
            <w:r>
              <w:rPr>
                <w:sz w:val="20"/>
                <w:szCs w:val="20"/>
              </w:rPr>
              <w:t>Other</w:t>
            </w:r>
          </w:p>
        </w:tc>
        <w:tc>
          <w:tcPr>
            <w:tcW w:w="4410" w:type="dxa"/>
          </w:tcPr>
          <w:p w:rsidR="000F47DD" w:rsidRDefault="000F47DD" w:rsidP="004E3EA7">
            <w:pPr>
              <w:rPr>
                <w:i/>
                <w:sz w:val="20"/>
                <w:szCs w:val="20"/>
              </w:rPr>
            </w:pPr>
          </w:p>
        </w:tc>
        <w:tc>
          <w:tcPr>
            <w:tcW w:w="1134" w:type="dxa"/>
          </w:tcPr>
          <w:p w:rsidR="000F47DD" w:rsidRPr="000F47DD" w:rsidRDefault="000F47DD" w:rsidP="000F47DD">
            <w:pPr>
              <w:pStyle w:val="DELWPbodytext"/>
              <w:spacing w:afterLines="50" w:after="120" w:line="240" w:lineRule="auto"/>
              <w:jc w:val="center"/>
              <w:rPr>
                <w:rFonts w:cs="Times New Roman"/>
                <w:sz w:val="20"/>
                <w:szCs w:val="20"/>
              </w:rPr>
            </w:pPr>
            <w:r>
              <w:rPr>
                <w:rFonts w:cs="Times New Roman"/>
                <w:sz w:val="20"/>
                <w:szCs w:val="20"/>
              </w:rPr>
              <w:t>35</w:t>
            </w:r>
          </w:p>
        </w:tc>
        <w:tc>
          <w:tcPr>
            <w:tcW w:w="1134" w:type="dxa"/>
          </w:tcPr>
          <w:p w:rsidR="000F47DD" w:rsidRDefault="000F47DD" w:rsidP="000F47DD">
            <w:pPr>
              <w:jc w:val="center"/>
              <w:rPr>
                <w:sz w:val="20"/>
                <w:szCs w:val="20"/>
              </w:rPr>
            </w:pPr>
            <w:r>
              <w:rPr>
                <w:sz w:val="20"/>
                <w:szCs w:val="20"/>
              </w:rPr>
              <w:t>2.2</w:t>
            </w:r>
          </w:p>
        </w:tc>
      </w:tr>
      <w:tr w:rsidR="000F47DD" w:rsidRPr="000F47DD" w:rsidTr="004F13A2">
        <w:tc>
          <w:tcPr>
            <w:tcW w:w="2502" w:type="dxa"/>
          </w:tcPr>
          <w:p w:rsidR="000F47DD" w:rsidRDefault="000F47DD" w:rsidP="004E3EA7">
            <w:pPr>
              <w:rPr>
                <w:sz w:val="20"/>
                <w:szCs w:val="20"/>
              </w:rPr>
            </w:pPr>
            <w:r>
              <w:rPr>
                <w:sz w:val="20"/>
                <w:szCs w:val="20"/>
              </w:rPr>
              <w:t>Built form</w:t>
            </w:r>
          </w:p>
        </w:tc>
        <w:tc>
          <w:tcPr>
            <w:tcW w:w="4410" w:type="dxa"/>
          </w:tcPr>
          <w:p w:rsidR="000F47DD" w:rsidRDefault="000F47DD" w:rsidP="004E3EA7">
            <w:pPr>
              <w:rPr>
                <w:i/>
                <w:sz w:val="20"/>
                <w:szCs w:val="20"/>
              </w:rPr>
            </w:pPr>
            <w:r>
              <w:rPr>
                <w:i/>
                <w:sz w:val="20"/>
                <w:szCs w:val="20"/>
              </w:rPr>
              <w:t>Heritage buildings; parks and gardens.</w:t>
            </w:r>
          </w:p>
        </w:tc>
        <w:tc>
          <w:tcPr>
            <w:tcW w:w="1134" w:type="dxa"/>
          </w:tcPr>
          <w:p w:rsidR="000F47DD" w:rsidRPr="000F47DD" w:rsidRDefault="000F47DD" w:rsidP="000F47DD">
            <w:pPr>
              <w:pStyle w:val="DELWPbodytext"/>
              <w:spacing w:afterLines="50" w:after="120" w:line="240" w:lineRule="auto"/>
              <w:jc w:val="center"/>
              <w:rPr>
                <w:rFonts w:cs="Times New Roman"/>
                <w:sz w:val="20"/>
                <w:szCs w:val="20"/>
              </w:rPr>
            </w:pPr>
            <w:r>
              <w:rPr>
                <w:rFonts w:cs="Times New Roman"/>
                <w:sz w:val="20"/>
                <w:szCs w:val="20"/>
              </w:rPr>
              <w:t>21</w:t>
            </w:r>
          </w:p>
        </w:tc>
        <w:tc>
          <w:tcPr>
            <w:tcW w:w="1134" w:type="dxa"/>
          </w:tcPr>
          <w:p w:rsidR="000F47DD" w:rsidRDefault="000F47DD" w:rsidP="000F47DD">
            <w:pPr>
              <w:jc w:val="center"/>
              <w:rPr>
                <w:sz w:val="20"/>
                <w:szCs w:val="20"/>
              </w:rPr>
            </w:pPr>
            <w:r>
              <w:rPr>
                <w:sz w:val="20"/>
                <w:szCs w:val="20"/>
              </w:rPr>
              <w:t>1.3</w:t>
            </w:r>
          </w:p>
        </w:tc>
      </w:tr>
      <w:tr w:rsidR="000F47DD" w:rsidRPr="000F47DD" w:rsidTr="004F13A2">
        <w:tc>
          <w:tcPr>
            <w:tcW w:w="2502" w:type="dxa"/>
          </w:tcPr>
          <w:p w:rsidR="000F47DD" w:rsidRDefault="000F47DD" w:rsidP="004E3EA7">
            <w:pPr>
              <w:rPr>
                <w:b/>
                <w:sz w:val="20"/>
                <w:szCs w:val="20"/>
              </w:rPr>
            </w:pPr>
            <w:r>
              <w:rPr>
                <w:b/>
                <w:sz w:val="20"/>
                <w:szCs w:val="20"/>
              </w:rPr>
              <w:t>TOTAL*</w:t>
            </w:r>
          </w:p>
        </w:tc>
        <w:tc>
          <w:tcPr>
            <w:tcW w:w="4410" w:type="dxa"/>
          </w:tcPr>
          <w:p w:rsidR="000F47DD" w:rsidRPr="000F47DD" w:rsidRDefault="000F47DD" w:rsidP="00D41508">
            <w:pPr>
              <w:pStyle w:val="DELWPbodytext"/>
              <w:spacing w:afterLines="50" w:after="120" w:line="240" w:lineRule="auto"/>
              <w:rPr>
                <w:rFonts w:cs="Times New Roman"/>
                <w:b/>
                <w:sz w:val="20"/>
                <w:szCs w:val="20"/>
              </w:rPr>
            </w:pPr>
          </w:p>
        </w:tc>
        <w:tc>
          <w:tcPr>
            <w:tcW w:w="1134" w:type="dxa"/>
          </w:tcPr>
          <w:p w:rsidR="000F47DD" w:rsidRPr="000F47DD" w:rsidRDefault="000F47DD" w:rsidP="000F47DD">
            <w:pPr>
              <w:pStyle w:val="DELWPbodytext"/>
              <w:spacing w:afterLines="50" w:after="120" w:line="240" w:lineRule="auto"/>
              <w:jc w:val="center"/>
              <w:rPr>
                <w:rFonts w:cs="Times New Roman"/>
                <w:b/>
                <w:sz w:val="20"/>
                <w:szCs w:val="20"/>
              </w:rPr>
            </w:pPr>
            <w:r>
              <w:rPr>
                <w:rFonts w:cs="Times New Roman"/>
                <w:b/>
                <w:sz w:val="20"/>
                <w:szCs w:val="20"/>
              </w:rPr>
              <w:t>1,619</w:t>
            </w:r>
          </w:p>
        </w:tc>
        <w:tc>
          <w:tcPr>
            <w:tcW w:w="1134" w:type="dxa"/>
          </w:tcPr>
          <w:p w:rsidR="000F47DD" w:rsidRDefault="000F47DD" w:rsidP="000F47DD">
            <w:pPr>
              <w:jc w:val="center"/>
              <w:rPr>
                <w:b/>
                <w:sz w:val="20"/>
                <w:szCs w:val="20"/>
              </w:rPr>
            </w:pPr>
            <w:r>
              <w:rPr>
                <w:b/>
                <w:sz w:val="20"/>
                <w:szCs w:val="20"/>
              </w:rPr>
              <w:t>100</w:t>
            </w:r>
          </w:p>
        </w:tc>
      </w:tr>
    </w:tbl>
    <w:p w:rsidR="005B6C08" w:rsidRPr="005B6C08" w:rsidRDefault="00F50ECA" w:rsidP="00D41508">
      <w:pPr>
        <w:pStyle w:val="SourceDELWP"/>
        <w:spacing w:line="240" w:lineRule="auto"/>
        <w:rPr>
          <w:b w:val="0"/>
          <w:i/>
        </w:rPr>
      </w:pPr>
      <w:r w:rsidRPr="005B6C08">
        <w:rPr>
          <w:b w:val="0"/>
          <w:i/>
        </w:rPr>
        <w:t>* Up to 3 responses were allowed hence the number of responses is higher than the number of participants.</w:t>
      </w:r>
    </w:p>
    <w:p w:rsidR="00364027" w:rsidRDefault="00256EAC" w:rsidP="00D41508">
      <w:pPr>
        <w:pStyle w:val="SourceDELWP"/>
        <w:spacing w:line="240" w:lineRule="auto"/>
      </w:pPr>
      <w:r w:rsidRPr="002A32B9">
        <w:t>Source</w:t>
      </w:r>
      <w:r>
        <w:t>s</w:t>
      </w:r>
      <w:r w:rsidRPr="002A32B9">
        <w:t>: Bendigo Bank</w:t>
      </w:r>
      <w:r>
        <w:t>,</w:t>
      </w:r>
      <w:r w:rsidRPr="002A32B9">
        <w:t xml:space="preserve"> H</w:t>
      </w:r>
      <w:r>
        <w:t xml:space="preserve">ospital and </w:t>
      </w:r>
      <w:r w:rsidRPr="002A32B9">
        <w:t xml:space="preserve">Council </w:t>
      </w:r>
      <w:r>
        <w:t>S</w:t>
      </w:r>
      <w:r w:rsidRPr="002A32B9">
        <w:t>urvey</w:t>
      </w:r>
      <w:r>
        <w:t>s 2015</w:t>
      </w:r>
    </w:p>
    <w:p w:rsidR="00364027" w:rsidRDefault="00364027">
      <w:pPr>
        <w:rPr>
          <w:rFonts w:cs="Arial"/>
          <w:b/>
          <w:color w:val="404040"/>
          <w:sz w:val="20"/>
          <w:szCs w:val="14"/>
        </w:rPr>
      </w:pPr>
      <w:r>
        <w:br w:type="page"/>
      </w:r>
    </w:p>
    <w:p w:rsidR="00256EAC" w:rsidRDefault="00256EAC" w:rsidP="00D41508">
      <w:pPr>
        <w:pStyle w:val="SourceDELWP"/>
        <w:spacing w:line="240" w:lineRule="auto"/>
      </w:pPr>
    </w:p>
    <w:p w:rsidR="00364027" w:rsidRDefault="00364027" w:rsidP="009E2DB6">
      <w:pPr>
        <w:spacing w:after="120"/>
        <w:sectPr w:rsidR="00364027" w:rsidSect="00364027">
          <w:type w:val="continuous"/>
          <w:pgSz w:w="11906" w:h="16838"/>
          <w:pgMar w:top="1440" w:right="1440" w:bottom="1440" w:left="1440" w:header="708" w:footer="708" w:gutter="0"/>
          <w:cols w:space="708"/>
          <w:docGrid w:linePitch="360"/>
        </w:sectPr>
      </w:pPr>
    </w:p>
    <w:p w:rsidR="009E2DB6" w:rsidRDefault="009E2DB6" w:rsidP="009E2DB6">
      <w:pPr>
        <w:spacing w:after="120"/>
      </w:pPr>
      <w:r>
        <w:lastRenderedPageBreak/>
        <w:t xml:space="preserve">The broad descriptor ‘lifestyle’ ranked highly in the frequency of responses (14%). This category included elements such as: work-life balance; less stress; slower pace; city lifestyle in a regional setting. Related to some of these themes was the second ranked-category, city-size, which accounted for 11% of responses. This included comments about the balance between being large enough to have city services, but small enough to avoid the negative aspects of large cities such as congestion, pollution and crime. Melbourne was often mentioned as having such problems. In contrast, Bendigo was regarded as </w:t>
      </w:r>
      <w:r w:rsidR="007E189A">
        <w:t>‘</w:t>
      </w:r>
      <w:r>
        <w:t>big enough to have its own identity but small enough to be welcoming</w:t>
      </w:r>
      <w:r w:rsidR="007E189A">
        <w:t>’</w:t>
      </w:r>
      <w:r>
        <w:t xml:space="preserve"> (survey respondent). </w:t>
      </w:r>
      <w:r w:rsidRPr="00823529">
        <w:t>General</w:t>
      </w:r>
      <w:r w:rsidRPr="003D45A2">
        <w:rPr>
          <w:i/>
        </w:rPr>
        <w:t xml:space="preserve"> </w:t>
      </w:r>
      <w:r w:rsidRPr="00823529">
        <w:t>accessibility, proximity to work and ease of travel was a commonly reported advantage of Bendigo.</w:t>
      </w:r>
    </w:p>
    <w:p w:rsidR="00801C7E" w:rsidRDefault="009E2DB6" w:rsidP="007E189A">
      <w:pPr>
        <w:pStyle w:val="DELWPbodytext"/>
        <w:spacing w:before="120" w:afterLines="0" w:after="120" w:line="240" w:lineRule="auto"/>
        <w:ind w:right="-188"/>
      </w:pPr>
      <w:r>
        <w:t>Affordability (in terms of both housing costs and general cost of living) and the accessibility and quality of services also ranked highly in respondents’ lists of advantages. There was general consistency of responses across the three organisations with most categories showing little variation.</w:t>
      </w:r>
    </w:p>
    <w:p w:rsidR="00801C7E" w:rsidRDefault="009E2DB6" w:rsidP="007E189A">
      <w:pPr>
        <w:pStyle w:val="DELWPbodytext"/>
        <w:spacing w:before="120" w:afterLines="0" w:after="120" w:line="240" w:lineRule="auto"/>
      </w:pPr>
      <w:r w:rsidRPr="009E2DB6">
        <w:t xml:space="preserve">It is interesting to note that the most important drivers of migration and the most often reported advantages of living in Bendigo were not the same. Whereas key drivers were found to be family and employment, these appear less often in the list of advantages, highlighting the differences between why people move </w:t>
      </w:r>
      <w:r w:rsidR="0081276B">
        <w:t>to</w:t>
      </w:r>
      <w:r w:rsidR="007E189A">
        <w:t>,</w:t>
      </w:r>
      <w:r w:rsidR="0081276B">
        <w:t xml:space="preserve"> </w:t>
      </w:r>
      <w:r w:rsidRPr="009E2DB6">
        <w:t>and why people like</w:t>
      </w:r>
      <w:r w:rsidR="007E189A">
        <w:t>,</w:t>
      </w:r>
      <w:r w:rsidRPr="009E2DB6">
        <w:t xml:space="preserve"> a particular location. For example, housing choice and affordability appears to have relatively little significance as a </w:t>
      </w:r>
      <w:r w:rsidRPr="009E2DB6">
        <w:rPr>
          <w:i/>
        </w:rPr>
        <w:t>driver</w:t>
      </w:r>
      <w:r w:rsidRPr="009E2DB6">
        <w:t xml:space="preserve"> of migration, but was listed by many as an </w:t>
      </w:r>
      <w:r w:rsidRPr="007E189A">
        <w:rPr>
          <w:i/>
        </w:rPr>
        <w:t>advantage</w:t>
      </w:r>
      <w:r w:rsidRPr="009E2DB6">
        <w:t xml:space="preserve"> of living in Bendigo. </w:t>
      </w:r>
      <w:r w:rsidR="0081276B">
        <w:t xml:space="preserve">From a policy perspective it would seem to be important to distinguish between the </w:t>
      </w:r>
      <w:r w:rsidRPr="009E2DB6">
        <w:t>drivers of migration</w:t>
      </w:r>
      <w:r w:rsidR="00801C7E">
        <w:t xml:space="preserve"> </w:t>
      </w:r>
      <w:r w:rsidR="007E189A">
        <w:t xml:space="preserve">and </w:t>
      </w:r>
      <w:r w:rsidRPr="009E2DB6">
        <w:t>locational advantage</w:t>
      </w:r>
      <w:r w:rsidR="0081276B">
        <w:t>s</w:t>
      </w:r>
      <w:r w:rsidRPr="009E2DB6">
        <w:t>. Just because a place has a key advantage (like affordable housing), it may not act as a driver to attract in-migration. In fact, affordable house prices are a very poor indicator of migration potential as some of the most expensive cities still attract in-migration.</w:t>
      </w:r>
      <w:r w:rsidR="0081276B">
        <w:t xml:space="preserve"> Appealing to former regional residents to return to a regional </w:t>
      </w:r>
      <w:r w:rsidR="0081276B">
        <w:lastRenderedPageBreak/>
        <w:t>locational might prove to be a more effective strategy.</w:t>
      </w:r>
    </w:p>
    <w:p w:rsidR="009E2DB6" w:rsidRPr="00F50ECA" w:rsidRDefault="009E2DB6" w:rsidP="00364027">
      <w:pPr>
        <w:pStyle w:val="HeadingB"/>
        <w:ind w:left="720" w:hanging="720"/>
      </w:pPr>
      <w:r w:rsidRPr="00F50ECA">
        <w:t>3</w:t>
      </w:r>
      <w:r>
        <w:t>.6</w:t>
      </w:r>
      <w:r w:rsidRPr="00F50ECA">
        <w:tab/>
        <w:t xml:space="preserve">Reported </w:t>
      </w:r>
      <w:r>
        <w:t>dis</w:t>
      </w:r>
      <w:r w:rsidRPr="00F50ECA">
        <w:t>advantages of living in Bendigo</w:t>
      </w:r>
    </w:p>
    <w:p w:rsidR="00801C7E" w:rsidRDefault="009E2DB6" w:rsidP="007E189A">
      <w:pPr>
        <w:pStyle w:val="DELWPbodytext"/>
        <w:spacing w:before="120" w:afterLines="0" w:after="120" w:line="240" w:lineRule="auto"/>
      </w:pPr>
      <w:r w:rsidRPr="009E2DB6">
        <w:t>The most commonly listed disadvantage of living in Bendigo was ‘infrastructure’ (18%)</w:t>
      </w:r>
      <w:r>
        <w:t xml:space="preserve"> (table 4)</w:t>
      </w:r>
      <w:r w:rsidRPr="009E2DB6">
        <w:t>. This was particularly the case among Bank employees, 23% of whose responses included issues in this category, compared to only 10% in the Council sample. The main infrastructure issues were related to parking and public transport. The category of jobs/income was mentioned in 16% of the responses, mostly issues such as: limited career pathways outside the current organisation, and the discrepancy between regional and metropolitan incomes.</w:t>
      </w:r>
    </w:p>
    <w:p w:rsidR="009E2DB6" w:rsidRPr="009E2DB6" w:rsidRDefault="009E2DB6" w:rsidP="007E189A">
      <w:pPr>
        <w:pStyle w:val="DELWPbodytext"/>
        <w:spacing w:before="120" w:afterLines="0" w:after="120" w:line="240" w:lineRule="auto"/>
        <w:ind w:right="-188"/>
      </w:pPr>
      <w:r w:rsidRPr="009E2DB6">
        <w:t xml:space="preserve">Environmental factors were mentioned in 136 (11%) of all responses. The vast majority of these related to water in some way, either in terms of the dryness and heat of the climate, the lack of recreational water nearby, and water supply issues. Fifty-five responses in this category referred specifically to the lack of a beach, an issue that would </w:t>
      </w:r>
      <w:r>
        <w:t xml:space="preserve">not seem </w:t>
      </w:r>
      <w:r w:rsidRPr="009E2DB6">
        <w:t>to be amenable to policy intervention; likewise, the reality of hotness (20 responses) and dryness (10 responses) of the climate.</w:t>
      </w:r>
    </w:p>
    <w:p w:rsidR="009E2DB6" w:rsidRPr="00364027" w:rsidRDefault="009E2DB6" w:rsidP="00364027">
      <w:pPr>
        <w:pStyle w:val="DELWPbodytext"/>
        <w:spacing w:before="120" w:afterLines="0" w:after="120" w:line="240" w:lineRule="auto"/>
        <w:rPr>
          <w:spacing w:val="-4"/>
        </w:rPr>
      </w:pPr>
      <w:r w:rsidRPr="00364027">
        <w:rPr>
          <w:spacing w:val="-4"/>
        </w:rPr>
        <w:t xml:space="preserve">There is a greater level of variation </w:t>
      </w:r>
      <w:r w:rsidR="007E189A" w:rsidRPr="00364027">
        <w:rPr>
          <w:spacing w:val="-4"/>
        </w:rPr>
        <w:t xml:space="preserve">between organisations </w:t>
      </w:r>
      <w:r w:rsidRPr="00364027">
        <w:rPr>
          <w:spacing w:val="-4"/>
        </w:rPr>
        <w:t>regarding disadvantages compared to advantages. Issues relating to local ‘culture’ appeared more often in the Hospital and Council samples. This may reflect the timing of those surveys (November 2015) compared to the Bank (June 2015). A greater number of comments relating to multiculturalism in Bendigo (the ‘lack of’, or in a few cases, ‘problems with’)</w:t>
      </w:r>
      <w:r w:rsidR="007E189A" w:rsidRPr="00364027">
        <w:rPr>
          <w:spacing w:val="-4"/>
        </w:rPr>
        <w:t>,</w:t>
      </w:r>
      <w:r w:rsidRPr="00364027">
        <w:rPr>
          <w:spacing w:val="-4"/>
        </w:rPr>
        <w:t xml:space="preserve"> along with comments about intolerance and community conflict is likely to reflect the high level of media </w:t>
      </w:r>
      <w:r w:rsidR="007E189A" w:rsidRPr="00364027">
        <w:rPr>
          <w:spacing w:val="-4"/>
        </w:rPr>
        <w:t xml:space="preserve">attention </w:t>
      </w:r>
      <w:r w:rsidRPr="00364027">
        <w:rPr>
          <w:spacing w:val="-4"/>
        </w:rPr>
        <w:t>given to protests over a proposed mosque development in the latter part of 2015. The mosque issue itself was not mentioned, but comments such as: ‘negative discriminatory attitudes’ and ‘recent political climate means there is a lot of unrest’ is suggestive of the public controversy over this issue.</w:t>
      </w:r>
      <w:r>
        <w:br w:type="page"/>
      </w:r>
    </w:p>
    <w:p w:rsidR="00364027" w:rsidRDefault="00364027" w:rsidP="000F47DD">
      <w:pPr>
        <w:pStyle w:val="Tabletitle0"/>
        <w:spacing w:line="240" w:lineRule="auto"/>
        <w:sectPr w:rsidR="00364027" w:rsidSect="00364027">
          <w:type w:val="continuous"/>
          <w:pgSz w:w="11906" w:h="16838"/>
          <w:pgMar w:top="1440" w:right="1440" w:bottom="1440" w:left="1440" w:header="708" w:footer="708" w:gutter="0"/>
          <w:cols w:num="2" w:space="708"/>
          <w:docGrid w:linePitch="360"/>
        </w:sectPr>
      </w:pPr>
    </w:p>
    <w:p w:rsidR="00F50ECA" w:rsidRPr="00F50ECA" w:rsidRDefault="000F47DD" w:rsidP="000F47DD">
      <w:pPr>
        <w:pStyle w:val="Tabletitle0"/>
        <w:spacing w:line="240" w:lineRule="auto"/>
      </w:pPr>
      <w:r w:rsidRPr="00F50ECA">
        <w:lastRenderedPageBreak/>
        <w:t xml:space="preserve">Table </w:t>
      </w:r>
      <w:r w:rsidR="009E2DB6">
        <w:t>4</w:t>
      </w:r>
      <w:r w:rsidRPr="00F50ECA">
        <w:t xml:space="preserve">: </w:t>
      </w:r>
      <w:r>
        <w:t>Disa</w:t>
      </w:r>
      <w:r w:rsidRPr="00F50ECA">
        <w:t>dvantages of living in Bendigo, as reported by respondents</w:t>
      </w:r>
    </w:p>
    <w:tbl>
      <w:tblPr>
        <w:tblStyle w:val="DELWPTable"/>
        <w:tblW w:w="9072" w:type="dxa"/>
        <w:tblLayout w:type="fixed"/>
        <w:tblLook w:val="04A0" w:firstRow="1" w:lastRow="0" w:firstColumn="1" w:lastColumn="0" w:noHBand="0" w:noVBand="1"/>
      </w:tblPr>
      <w:tblGrid>
        <w:gridCol w:w="1985"/>
        <w:gridCol w:w="4678"/>
        <w:gridCol w:w="1383"/>
        <w:gridCol w:w="1026"/>
      </w:tblGrid>
      <w:tr w:rsidR="004F13A2" w:rsidRPr="004F13A2" w:rsidTr="000F47DD">
        <w:trPr>
          <w:cnfStyle w:val="100000000000" w:firstRow="1" w:lastRow="0" w:firstColumn="0" w:lastColumn="0" w:oddVBand="0" w:evenVBand="0" w:oddHBand="0" w:evenHBand="0" w:firstRowFirstColumn="0" w:firstRowLastColumn="0" w:lastRowFirstColumn="0" w:lastRowLastColumn="0"/>
        </w:trPr>
        <w:tc>
          <w:tcPr>
            <w:tcW w:w="1985" w:type="dxa"/>
          </w:tcPr>
          <w:p w:rsidR="00F50ECA" w:rsidRPr="004F13A2" w:rsidRDefault="000F47DD" w:rsidP="00D41508">
            <w:pPr>
              <w:pStyle w:val="DELWPbodytext"/>
              <w:spacing w:afterLines="50" w:after="120" w:line="240" w:lineRule="auto"/>
              <w:rPr>
                <w:rFonts w:cs="Times New Roman"/>
                <w:b/>
                <w:color w:val="FFFFFF" w:themeColor="background1"/>
              </w:rPr>
            </w:pPr>
            <w:r>
              <w:rPr>
                <w:rFonts w:cs="Times New Roman"/>
                <w:b/>
                <w:color w:val="FFFFFF" w:themeColor="background1"/>
              </w:rPr>
              <w:t>Theme</w:t>
            </w:r>
          </w:p>
        </w:tc>
        <w:tc>
          <w:tcPr>
            <w:tcW w:w="4678" w:type="dxa"/>
          </w:tcPr>
          <w:p w:rsidR="00F50ECA" w:rsidRPr="004F13A2" w:rsidRDefault="000F47DD" w:rsidP="00D41508">
            <w:pPr>
              <w:pStyle w:val="DELWPbodytext"/>
              <w:spacing w:afterLines="50" w:after="120" w:line="240" w:lineRule="auto"/>
              <w:rPr>
                <w:rFonts w:cs="Times New Roman"/>
                <w:b/>
                <w:color w:val="FFFFFF" w:themeColor="background1"/>
              </w:rPr>
            </w:pPr>
            <w:r>
              <w:rPr>
                <w:rFonts w:cs="Times New Roman"/>
                <w:b/>
                <w:color w:val="FFFFFF" w:themeColor="background1"/>
              </w:rPr>
              <w:t>Examples</w:t>
            </w:r>
          </w:p>
        </w:tc>
        <w:tc>
          <w:tcPr>
            <w:tcW w:w="1383" w:type="dxa"/>
          </w:tcPr>
          <w:p w:rsidR="00F50ECA" w:rsidRPr="004F13A2" w:rsidRDefault="000F47DD" w:rsidP="005B6C08">
            <w:pPr>
              <w:pStyle w:val="DELWPbodytext"/>
              <w:spacing w:afterLines="50" w:after="120" w:line="240" w:lineRule="auto"/>
              <w:jc w:val="center"/>
              <w:rPr>
                <w:rFonts w:cs="Times New Roman"/>
                <w:b/>
                <w:color w:val="FFFFFF" w:themeColor="background1"/>
              </w:rPr>
            </w:pPr>
            <w:r>
              <w:rPr>
                <w:rFonts w:cs="Times New Roman"/>
                <w:b/>
                <w:color w:val="FFFFFF" w:themeColor="background1"/>
              </w:rPr>
              <w:t>No of responses</w:t>
            </w:r>
          </w:p>
        </w:tc>
        <w:tc>
          <w:tcPr>
            <w:tcW w:w="1026" w:type="dxa"/>
          </w:tcPr>
          <w:p w:rsidR="00F50ECA" w:rsidRPr="004F13A2" w:rsidRDefault="000F47DD" w:rsidP="005B6C08">
            <w:pPr>
              <w:pStyle w:val="DELWPbodytext"/>
              <w:spacing w:afterLines="50" w:after="120" w:line="240" w:lineRule="auto"/>
              <w:jc w:val="center"/>
              <w:rPr>
                <w:rFonts w:cs="Times New Roman"/>
                <w:b/>
                <w:color w:val="FFFFFF" w:themeColor="background1"/>
              </w:rPr>
            </w:pPr>
            <w:r>
              <w:rPr>
                <w:rFonts w:cs="Times New Roman"/>
                <w:b/>
                <w:color w:val="FFFFFF" w:themeColor="background1"/>
              </w:rPr>
              <w:t>%</w:t>
            </w:r>
          </w:p>
        </w:tc>
      </w:tr>
      <w:tr w:rsidR="005B6C08" w:rsidRPr="00F50ECA" w:rsidTr="004E3EA7">
        <w:tc>
          <w:tcPr>
            <w:tcW w:w="1985" w:type="dxa"/>
          </w:tcPr>
          <w:p w:rsidR="005B6C08" w:rsidRDefault="005B6C08" w:rsidP="004E3EA7">
            <w:pPr>
              <w:rPr>
                <w:sz w:val="20"/>
                <w:szCs w:val="20"/>
              </w:rPr>
            </w:pPr>
            <w:r>
              <w:rPr>
                <w:sz w:val="20"/>
                <w:szCs w:val="20"/>
              </w:rPr>
              <w:t>Infrastructure</w:t>
            </w:r>
          </w:p>
        </w:tc>
        <w:tc>
          <w:tcPr>
            <w:tcW w:w="4678" w:type="dxa"/>
          </w:tcPr>
          <w:p w:rsidR="005B6C08" w:rsidRPr="009E2DB6" w:rsidRDefault="005B6C08" w:rsidP="004E3EA7">
            <w:pPr>
              <w:rPr>
                <w:i/>
                <w:sz w:val="20"/>
                <w:szCs w:val="20"/>
              </w:rPr>
            </w:pPr>
            <w:r w:rsidRPr="009E2DB6">
              <w:rPr>
                <w:i/>
                <w:sz w:val="20"/>
                <w:szCs w:val="20"/>
              </w:rPr>
              <w:t>Lack of car parking; public transport.</w:t>
            </w:r>
          </w:p>
        </w:tc>
        <w:tc>
          <w:tcPr>
            <w:tcW w:w="1383"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212</w:t>
            </w:r>
          </w:p>
        </w:tc>
        <w:tc>
          <w:tcPr>
            <w:tcW w:w="1026"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17.7</w:t>
            </w:r>
          </w:p>
        </w:tc>
      </w:tr>
      <w:tr w:rsidR="005B6C08" w:rsidRPr="00F50ECA" w:rsidTr="004E3EA7">
        <w:tc>
          <w:tcPr>
            <w:tcW w:w="1985" w:type="dxa"/>
          </w:tcPr>
          <w:p w:rsidR="005B6C08" w:rsidRDefault="005B6C08" w:rsidP="004E3EA7">
            <w:pPr>
              <w:rPr>
                <w:sz w:val="20"/>
                <w:szCs w:val="20"/>
              </w:rPr>
            </w:pPr>
            <w:r>
              <w:rPr>
                <w:sz w:val="20"/>
                <w:szCs w:val="20"/>
              </w:rPr>
              <w:t>Jobs/Income</w:t>
            </w:r>
          </w:p>
        </w:tc>
        <w:tc>
          <w:tcPr>
            <w:tcW w:w="4678" w:type="dxa"/>
          </w:tcPr>
          <w:p w:rsidR="005B6C08" w:rsidRPr="009E2DB6" w:rsidRDefault="005B6C08" w:rsidP="004E3EA7">
            <w:pPr>
              <w:rPr>
                <w:i/>
                <w:sz w:val="20"/>
                <w:szCs w:val="20"/>
              </w:rPr>
            </w:pPr>
            <w:r w:rsidRPr="009E2DB6">
              <w:rPr>
                <w:i/>
                <w:sz w:val="20"/>
                <w:szCs w:val="20"/>
              </w:rPr>
              <w:t xml:space="preserve">Can be difficult to find work; limited employment opportunities for young adults; lower salaries; lack of senior professional roles. </w:t>
            </w:r>
          </w:p>
        </w:tc>
        <w:tc>
          <w:tcPr>
            <w:tcW w:w="1383"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194</w:t>
            </w:r>
          </w:p>
        </w:tc>
        <w:tc>
          <w:tcPr>
            <w:tcW w:w="1026"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16.2</w:t>
            </w:r>
          </w:p>
        </w:tc>
      </w:tr>
      <w:tr w:rsidR="005B6C08" w:rsidRPr="00F50ECA" w:rsidTr="004E3EA7">
        <w:tc>
          <w:tcPr>
            <w:tcW w:w="1985" w:type="dxa"/>
          </w:tcPr>
          <w:p w:rsidR="005B6C08" w:rsidRDefault="005B6C08" w:rsidP="004E3EA7">
            <w:pPr>
              <w:rPr>
                <w:sz w:val="20"/>
                <w:szCs w:val="20"/>
              </w:rPr>
            </w:pPr>
            <w:r>
              <w:rPr>
                <w:sz w:val="20"/>
                <w:szCs w:val="20"/>
              </w:rPr>
              <w:t>Environment</w:t>
            </w:r>
          </w:p>
        </w:tc>
        <w:tc>
          <w:tcPr>
            <w:tcW w:w="4678" w:type="dxa"/>
          </w:tcPr>
          <w:p w:rsidR="005B6C08" w:rsidRPr="009E2DB6" w:rsidRDefault="005B6C08" w:rsidP="004E3EA7">
            <w:pPr>
              <w:rPr>
                <w:i/>
                <w:sz w:val="20"/>
                <w:szCs w:val="20"/>
              </w:rPr>
            </w:pPr>
            <w:r w:rsidRPr="009E2DB6">
              <w:rPr>
                <w:i/>
                <w:sz w:val="20"/>
                <w:szCs w:val="20"/>
              </w:rPr>
              <w:t>No beach; no river/lake; too hot/dry.</w:t>
            </w:r>
          </w:p>
        </w:tc>
        <w:tc>
          <w:tcPr>
            <w:tcW w:w="1383"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136</w:t>
            </w:r>
          </w:p>
        </w:tc>
        <w:tc>
          <w:tcPr>
            <w:tcW w:w="1026"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11.3</w:t>
            </w:r>
          </w:p>
        </w:tc>
      </w:tr>
      <w:tr w:rsidR="005B6C08" w:rsidRPr="00F50ECA" w:rsidTr="004E3EA7">
        <w:tc>
          <w:tcPr>
            <w:tcW w:w="1985" w:type="dxa"/>
          </w:tcPr>
          <w:p w:rsidR="005B6C08" w:rsidRDefault="005B6C08" w:rsidP="004E3EA7">
            <w:pPr>
              <w:rPr>
                <w:sz w:val="20"/>
                <w:szCs w:val="20"/>
              </w:rPr>
            </w:pPr>
            <w:r>
              <w:rPr>
                <w:sz w:val="20"/>
                <w:szCs w:val="20"/>
              </w:rPr>
              <w:t>Services</w:t>
            </w:r>
          </w:p>
        </w:tc>
        <w:tc>
          <w:tcPr>
            <w:tcW w:w="4678" w:type="dxa"/>
          </w:tcPr>
          <w:p w:rsidR="005B6C08" w:rsidRPr="009E2DB6" w:rsidRDefault="005B6C08" w:rsidP="004E3EA7">
            <w:pPr>
              <w:rPr>
                <w:i/>
                <w:sz w:val="20"/>
                <w:szCs w:val="20"/>
              </w:rPr>
            </w:pPr>
            <w:r w:rsidRPr="009E2DB6">
              <w:rPr>
                <w:i/>
                <w:sz w:val="20"/>
                <w:szCs w:val="20"/>
              </w:rPr>
              <w:t>Limited choice of schools; lack of medical specialists; childcare expensive and hard to find.</w:t>
            </w:r>
          </w:p>
        </w:tc>
        <w:tc>
          <w:tcPr>
            <w:tcW w:w="1383"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121</w:t>
            </w:r>
          </w:p>
        </w:tc>
        <w:tc>
          <w:tcPr>
            <w:tcW w:w="1026"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10.1</w:t>
            </w:r>
          </w:p>
        </w:tc>
      </w:tr>
      <w:tr w:rsidR="005B6C08" w:rsidRPr="00F50ECA" w:rsidTr="004E3EA7">
        <w:tc>
          <w:tcPr>
            <w:tcW w:w="1985" w:type="dxa"/>
          </w:tcPr>
          <w:p w:rsidR="005B6C08" w:rsidRDefault="005B6C08" w:rsidP="004E3EA7">
            <w:pPr>
              <w:rPr>
                <w:sz w:val="20"/>
                <w:szCs w:val="20"/>
              </w:rPr>
            </w:pPr>
            <w:r>
              <w:rPr>
                <w:sz w:val="20"/>
                <w:szCs w:val="20"/>
              </w:rPr>
              <w:t>Location/Distance</w:t>
            </w:r>
          </w:p>
        </w:tc>
        <w:tc>
          <w:tcPr>
            <w:tcW w:w="4678" w:type="dxa"/>
          </w:tcPr>
          <w:p w:rsidR="005B6C08" w:rsidRPr="009E2DB6" w:rsidRDefault="005B6C08" w:rsidP="004E3EA7">
            <w:pPr>
              <w:rPr>
                <w:i/>
                <w:sz w:val="20"/>
                <w:szCs w:val="20"/>
              </w:rPr>
            </w:pPr>
            <w:r w:rsidRPr="009E2DB6">
              <w:rPr>
                <w:i/>
                <w:sz w:val="20"/>
                <w:szCs w:val="20"/>
              </w:rPr>
              <w:t>Distance to Melbourne.</w:t>
            </w:r>
          </w:p>
        </w:tc>
        <w:tc>
          <w:tcPr>
            <w:tcW w:w="1383"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120</w:t>
            </w:r>
          </w:p>
        </w:tc>
        <w:tc>
          <w:tcPr>
            <w:tcW w:w="1026"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10.0</w:t>
            </w:r>
          </w:p>
        </w:tc>
      </w:tr>
      <w:tr w:rsidR="005B6C08" w:rsidRPr="00F50ECA" w:rsidTr="004E3EA7">
        <w:tc>
          <w:tcPr>
            <w:tcW w:w="1985" w:type="dxa"/>
          </w:tcPr>
          <w:p w:rsidR="005B6C08" w:rsidRDefault="005B6C08" w:rsidP="004E3EA7">
            <w:pPr>
              <w:rPr>
                <w:sz w:val="20"/>
                <w:szCs w:val="20"/>
              </w:rPr>
            </w:pPr>
            <w:r>
              <w:rPr>
                <w:sz w:val="20"/>
                <w:szCs w:val="20"/>
              </w:rPr>
              <w:t>Culture</w:t>
            </w:r>
          </w:p>
        </w:tc>
        <w:tc>
          <w:tcPr>
            <w:tcW w:w="4678" w:type="dxa"/>
          </w:tcPr>
          <w:p w:rsidR="005B6C08" w:rsidRPr="009E2DB6" w:rsidRDefault="005B6C08" w:rsidP="004E3EA7">
            <w:pPr>
              <w:rPr>
                <w:i/>
                <w:sz w:val="20"/>
                <w:szCs w:val="20"/>
              </w:rPr>
            </w:pPr>
            <w:r w:rsidRPr="009E2DB6">
              <w:rPr>
                <w:i/>
                <w:sz w:val="20"/>
                <w:szCs w:val="20"/>
              </w:rPr>
              <w:t>Old boys clubs; small town mentality; anti multicultural attitude.</w:t>
            </w:r>
          </w:p>
        </w:tc>
        <w:tc>
          <w:tcPr>
            <w:tcW w:w="1383"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101</w:t>
            </w:r>
          </w:p>
        </w:tc>
        <w:tc>
          <w:tcPr>
            <w:tcW w:w="1026"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8.4</w:t>
            </w:r>
          </w:p>
        </w:tc>
      </w:tr>
      <w:tr w:rsidR="005B6C08" w:rsidRPr="00F50ECA" w:rsidTr="004E3EA7">
        <w:tc>
          <w:tcPr>
            <w:tcW w:w="1985" w:type="dxa"/>
          </w:tcPr>
          <w:p w:rsidR="005B6C08" w:rsidRDefault="005B6C08" w:rsidP="004E3EA7">
            <w:pPr>
              <w:rPr>
                <w:sz w:val="20"/>
                <w:szCs w:val="20"/>
              </w:rPr>
            </w:pPr>
            <w:r>
              <w:rPr>
                <w:sz w:val="20"/>
                <w:szCs w:val="20"/>
              </w:rPr>
              <w:t>Lack of activity</w:t>
            </w:r>
          </w:p>
        </w:tc>
        <w:tc>
          <w:tcPr>
            <w:tcW w:w="4678" w:type="dxa"/>
          </w:tcPr>
          <w:p w:rsidR="005B6C08" w:rsidRPr="009E2DB6" w:rsidRDefault="005B6C08" w:rsidP="004E3EA7">
            <w:pPr>
              <w:ind w:left="720" w:hanging="720"/>
              <w:rPr>
                <w:i/>
                <w:sz w:val="20"/>
                <w:szCs w:val="20"/>
              </w:rPr>
            </w:pPr>
            <w:r w:rsidRPr="009E2DB6">
              <w:rPr>
                <w:i/>
                <w:sz w:val="20"/>
              </w:rPr>
              <w:t>Lack of shopping; don’t get big events</w:t>
            </w:r>
            <w:r w:rsidRPr="009E2DB6">
              <w:rPr>
                <w:i/>
                <w:sz w:val="20"/>
                <w:szCs w:val="20"/>
              </w:rPr>
              <w:t>; boredom.</w:t>
            </w:r>
          </w:p>
        </w:tc>
        <w:tc>
          <w:tcPr>
            <w:tcW w:w="1383"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98</w:t>
            </w:r>
          </w:p>
        </w:tc>
        <w:tc>
          <w:tcPr>
            <w:tcW w:w="1026"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8.2</w:t>
            </w:r>
          </w:p>
        </w:tc>
      </w:tr>
      <w:tr w:rsidR="005B6C08" w:rsidRPr="00F50ECA" w:rsidTr="004E3EA7">
        <w:tc>
          <w:tcPr>
            <w:tcW w:w="1985" w:type="dxa"/>
          </w:tcPr>
          <w:p w:rsidR="005B6C08" w:rsidRDefault="005B6C08" w:rsidP="004E3EA7">
            <w:pPr>
              <w:rPr>
                <w:sz w:val="20"/>
                <w:szCs w:val="20"/>
              </w:rPr>
            </w:pPr>
            <w:r>
              <w:rPr>
                <w:sz w:val="20"/>
                <w:szCs w:val="20"/>
              </w:rPr>
              <w:t>Council</w:t>
            </w:r>
          </w:p>
        </w:tc>
        <w:tc>
          <w:tcPr>
            <w:tcW w:w="4678" w:type="dxa"/>
          </w:tcPr>
          <w:p w:rsidR="005B6C08" w:rsidRPr="009E2DB6" w:rsidRDefault="005B6C08" w:rsidP="00555DED">
            <w:pPr>
              <w:rPr>
                <w:i/>
                <w:sz w:val="20"/>
                <w:szCs w:val="20"/>
              </w:rPr>
            </w:pPr>
            <w:r w:rsidRPr="009E2DB6">
              <w:rPr>
                <w:i/>
                <w:sz w:val="20"/>
                <w:szCs w:val="20"/>
              </w:rPr>
              <w:t>Hard to obtain</w:t>
            </w:r>
            <w:r w:rsidR="00555DED">
              <w:rPr>
                <w:i/>
                <w:sz w:val="20"/>
                <w:szCs w:val="20"/>
              </w:rPr>
              <w:t xml:space="preserve"> </w:t>
            </w:r>
            <w:r w:rsidRPr="009E2DB6">
              <w:rPr>
                <w:i/>
                <w:sz w:val="20"/>
                <w:szCs w:val="20"/>
              </w:rPr>
              <w:t xml:space="preserve">approvals; rates too high; lack of funding for sport. </w:t>
            </w:r>
          </w:p>
        </w:tc>
        <w:tc>
          <w:tcPr>
            <w:tcW w:w="1383"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62</w:t>
            </w:r>
          </w:p>
        </w:tc>
        <w:tc>
          <w:tcPr>
            <w:tcW w:w="1026"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5.2</w:t>
            </w:r>
          </w:p>
        </w:tc>
      </w:tr>
      <w:tr w:rsidR="005B6C08" w:rsidRPr="00F50ECA" w:rsidTr="004E3EA7">
        <w:tc>
          <w:tcPr>
            <w:tcW w:w="1985" w:type="dxa"/>
          </w:tcPr>
          <w:p w:rsidR="005B6C08" w:rsidRDefault="005B6C08" w:rsidP="004E3EA7">
            <w:pPr>
              <w:rPr>
                <w:sz w:val="20"/>
                <w:szCs w:val="20"/>
              </w:rPr>
            </w:pPr>
            <w:r>
              <w:rPr>
                <w:sz w:val="20"/>
                <w:szCs w:val="20"/>
              </w:rPr>
              <w:t>Social issues</w:t>
            </w:r>
          </w:p>
        </w:tc>
        <w:tc>
          <w:tcPr>
            <w:tcW w:w="4678" w:type="dxa"/>
          </w:tcPr>
          <w:p w:rsidR="005B6C08" w:rsidRPr="009E2DB6" w:rsidRDefault="005B6C08" w:rsidP="004E3EA7">
            <w:pPr>
              <w:rPr>
                <w:i/>
                <w:sz w:val="20"/>
                <w:szCs w:val="20"/>
              </w:rPr>
            </w:pPr>
            <w:r w:rsidRPr="009E2DB6">
              <w:rPr>
                <w:i/>
                <w:sz w:val="20"/>
              </w:rPr>
              <w:t>Growing drug culture; crime.</w:t>
            </w:r>
          </w:p>
        </w:tc>
        <w:tc>
          <w:tcPr>
            <w:tcW w:w="1383"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43</w:t>
            </w:r>
          </w:p>
        </w:tc>
        <w:tc>
          <w:tcPr>
            <w:tcW w:w="1026"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3.6</w:t>
            </w:r>
          </w:p>
        </w:tc>
      </w:tr>
      <w:tr w:rsidR="005B6C08" w:rsidRPr="00F50ECA" w:rsidTr="004E3EA7">
        <w:tc>
          <w:tcPr>
            <w:tcW w:w="1985" w:type="dxa"/>
          </w:tcPr>
          <w:p w:rsidR="005B6C08" w:rsidRDefault="005B6C08" w:rsidP="004E3EA7">
            <w:pPr>
              <w:rPr>
                <w:sz w:val="20"/>
                <w:szCs w:val="20"/>
              </w:rPr>
            </w:pPr>
            <w:r>
              <w:rPr>
                <w:sz w:val="20"/>
                <w:szCs w:val="20"/>
              </w:rPr>
              <w:t>Cost of living</w:t>
            </w:r>
          </w:p>
        </w:tc>
        <w:tc>
          <w:tcPr>
            <w:tcW w:w="4678" w:type="dxa"/>
          </w:tcPr>
          <w:p w:rsidR="005B6C08" w:rsidRPr="009E2DB6" w:rsidRDefault="005B6C08" w:rsidP="004E3EA7">
            <w:pPr>
              <w:rPr>
                <w:i/>
                <w:sz w:val="20"/>
                <w:szCs w:val="20"/>
              </w:rPr>
            </w:pPr>
            <w:r w:rsidRPr="009E2DB6">
              <w:rPr>
                <w:i/>
                <w:sz w:val="20"/>
                <w:szCs w:val="20"/>
              </w:rPr>
              <w:t xml:space="preserve">Cost of living too high / rising. </w:t>
            </w:r>
          </w:p>
        </w:tc>
        <w:tc>
          <w:tcPr>
            <w:tcW w:w="1383"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36</w:t>
            </w:r>
          </w:p>
        </w:tc>
        <w:tc>
          <w:tcPr>
            <w:tcW w:w="1026"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3.0</w:t>
            </w:r>
          </w:p>
        </w:tc>
      </w:tr>
      <w:tr w:rsidR="005B6C08" w:rsidRPr="00F50ECA" w:rsidTr="004E3EA7">
        <w:tc>
          <w:tcPr>
            <w:tcW w:w="1985" w:type="dxa"/>
          </w:tcPr>
          <w:p w:rsidR="005B6C08" w:rsidRDefault="005B6C08" w:rsidP="004E3EA7">
            <w:pPr>
              <w:rPr>
                <w:sz w:val="20"/>
                <w:szCs w:val="20"/>
              </w:rPr>
            </w:pPr>
            <w:r>
              <w:rPr>
                <w:sz w:val="20"/>
                <w:szCs w:val="20"/>
              </w:rPr>
              <w:t>Congestion</w:t>
            </w:r>
          </w:p>
        </w:tc>
        <w:tc>
          <w:tcPr>
            <w:tcW w:w="4678" w:type="dxa"/>
          </w:tcPr>
          <w:p w:rsidR="005B6C08" w:rsidRPr="009E2DB6" w:rsidRDefault="005B6C08" w:rsidP="004E3EA7">
            <w:pPr>
              <w:rPr>
                <w:i/>
                <w:sz w:val="20"/>
                <w:szCs w:val="20"/>
              </w:rPr>
            </w:pPr>
            <w:r w:rsidRPr="009E2DB6">
              <w:rPr>
                <w:i/>
                <w:sz w:val="20"/>
                <w:szCs w:val="20"/>
              </w:rPr>
              <w:t>Traffic.</w:t>
            </w:r>
          </w:p>
        </w:tc>
        <w:tc>
          <w:tcPr>
            <w:tcW w:w="1383"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32</w:t>
            </w:r>
          </w:p>
        </w:tc>
        <w:tc>
          <w:tcPr>
            <w:tcW w:w="1026"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2.7</w:t>
            </w:r>
          </w:p>
        </w:tc>
      </w:tr>
      <w:tr w:rsidR="005B6C08" w:rsidRPr="00F50ECA" w:rsidTr="004E3EA7">
        <w:tc>
          <w:tcPr>
            <w:tcW w:w="1985" w:type="dxa"/>
          </w:tcPr>
          <w:p w:rsidR="005B6C08" w:rsidRDefault="005B6C08" w:rsidP="004E3EA7">
            <w:pPr>
              <w:rPr>
                <w:sz w:val="20"/>
                <w:szCs w:val="20"/>
              </w:rPr>
            </w:pPr>
            <w:r>
              <w:rPr>
                <w:sz w:val="20"/>
                <w:szCs w:val="20"/>
              </w:rPr>
              <w:t>None</w:t>
            </w:r>
          </w:p>
        </w:tc>
        <w:tc>
          <w:tcPr>
            <w:tcW w:w="4678" w:type="dxa"/>
          </w:tcPr>
          <w:p w:rsidR="005B6C08" w:rsidRPr="009E2DB6" w:rsidRDefault="005B6C08" w:rsidP="004E3EA7">
            <w:pPr>
              <w:rPr>
                <w:i/>
                <w:sz w:val="20"/>
                <w:szCs w:val="22"/>
              </w:rPr>
            </w:pPr>
            <w:r w:rsidRPr="009E2DB6">
              <w:rPr>
                <w:i/>
                <w:sz w:val="20"/>
              </w:rPr>
              <w:t>No disadvantages</w:t>
            </w:r>
          </w:p>
        </w:tc>
        <w:tc>
          <w:tcPr>
            <w:tcW w:w="1383"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27</w:t>
            </w:r>
          </w:p>
        </w:tc>
        <w:tc>
          <w:tcPr>
            <w:tcW w:w="1026"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2.2</w:t>
            </w:r>
          </w:p>
        </w:tc>
      </w:tr>
      <w:tr w:rsidR="005B6C08" w:rsidRPr="00F50ECA" w:rsidTr="007E189A">
        <w:trPr>
          <w:trHeight w:val="57"/>
        </w:trPr>
        <w:tc>
          <w:tcPr>
            <w:tcW w:w="1985" w:type="dxa"/>
          </w:tcPr>
          <w:p w:rsidR="005B6C08" w:rsidRDefault="005B6C08" w:rsidP="007E189A">
            <w:pPr>
              <w:rPr>
                <w:sz w:val="20"/>
                <w:szCs w:val="20"/>
              </w:rPr>
            </w:pPr>
            <w:r>
              <w:rPr>
                <w:sz w:val="20"/>
                <w:szCs w:val="20"/>
              </w:rPr>
              <w:t>Other</w:t>
            </w:r>
          </w:p>
        </w:tc>
        <w:tc>
          <w:tcPr>
            <w:tcW w:w="4678" w:type="dxa"/>
          </w:tcPr>
          <w:p w:rsidR="005B6C08" w:rsidRPr="004F13A2" w:rsidRDefault="005B6C08" w:rsidP="007E189A">
            <w:pPr>
              <w:pStyle w:val="DELWPbodytext"/>
              <w:spacing w:afterLines="50" w:after="120" w:line="240" w:lineRule="auto"/>
              <w:rPr>
                <w:rFonts w:cs="Times New Roman"/>
              </w:rPr>
            </w:pPr>
          </w:p>
        </w:tc>
        <w:tc>
          <w:tcPr>
            <w:tcW w:w="1383" w:type="dxa"/>
          </w:tcPr>
          <w:p w:rsidR="005B6C08" w:rsidRDefault="005B6C08" w:rsidP="007E189A">
            <w:pPr>
              <w:jc w:val="center"/>
              <w:rPr>
                <w:rFonts w:cs="Microsoft Sans Serif"/>
                <w:sz w:val="20"/>
                <w:szCs w:val="20"/>
                <w:lang w:eastAsia="en-AU"/>
              </w:rPr>
            </w:pPr>
            <w:r>
              <w:rPr>
                <w:rFonts w:cs="Microsoft Sans Serif"/>
                <w:sz w:val="20"/>
                <w:szCs w:val="20"/>
                <w:lang w:eastAsia="en-AU"/>
              </w:rPr>
              <w:t>18</w:t>
            </w:r>
          </w:p>
        </w:tc>
        <w:tc>
          <w:tcPr>
            <w:tcW w:w="1026" w:type="dxa"/>
          </w:tcPr>
          <w:p w:rsidR="005B6C08" w:rsidRDefault="005B6C08" w:rsidP="007E189A">
            <w:pPr>
              <w:jc w:val="center"/>
              <w:rPr>
                <w:rFonts w:cs="Microsoft Sans Serif"/>
                <w:sz w:val="20"/>
                <w:szCs w:val="20"/>
                <w:lang w:eastAsia="en-AU"/>
              </w:rPr>
            </w:pPr>
            <w:r>
              <w:rPr>
                <w:rFonts w:cs="Microsoft Sans Serif"/>
                <w:sz w:val="20"/>
                <w:szCs w:val="20"/>
                <w:lang w:eastAsia="en-AU"/>
              </w:rPr>
              <w:t>1.5</w:t>
            </w:r>
          </w:p>
        </w:tc>
      </w:tr>
      <w:tr w:rsidR="005B6C08" w:rsidRPr="00F50ECA" w:rsidTr="004E3EA7">
        <w:tc>
          <w:tcPr>
            <w:tcW w:w="1985" w:type="dxa"/>
          </w:tcPr>
          <w:p w:rsidR="005B6C08" w:rsidRDefault="005B6C08" w:rsidP="004E3EA7">
            <w:pPr>
              <w:rPr>
                <w:b/>
                <w:sz w:val="20"/>
                <w:szCs w:val="20"/>
              </w:rPr>
            </w:pPr>
            <w:r>
              <w:rPr>
                <w:b/>
                <w:sz w:val="20"/>
                <w:szCs w:val="20"/>
              </w:rPr>
              <w:t>TOTAL*</w:t>
            </w:r>
          </w:p>
        </w:tc>
        <w:tc>
          <w:tcPr>
            <w:tcW w:w="4678" w:type="dxa"/>
          </w:tcPr>
          <w:p w:rsidR="005B6C08" w:rsidRPr="004F13A2" w:rsidRDefault="005B6C08" w:rsidP="00D41508">
            <w:pPr>
              <w:pStyle w:val="DELWPbodytext"/>
              <w:spacing w:afterLines="50" w:after="120" w:line="240" w:lineRule="auto"/>
              <w:rPr>
                <w:rFonts w:cs="Times New Roman"/>
                <w:b/>
              </w:rPr>
            </w:pPr>
          </w:p>
        </w:tc>
        <w:tc>
          <w:tcPr>
            <w:tcW w:w="1383"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1,200</w:t>
            </w:r>
          </w:p>
        </w:tc>
        <w:tc>
          <w:tcPr>
            <w:tcW w:w="1026" w:type="dxa"/>
            <w:vAlign w:val="bottom"/>
          </w:tcPr>
          <w:p w:rsidR="005B6C08" w:rsidRDefault="005B6C08" w:rsidP="005B6C08">
            <w:pPr>
              <w:jc w:val="center"/>
              <w:rPr>
                <w:rFonts w:cs="Microsoft Sans Serif"/>
                <w:sz w:val="20"/>
                <w:szCs w:val="20"/>
                <w:lang w:eastAsia="en-AU"/>
              </w:rPr>
            </w:pPr>
            <w:r>
              <w:rPr>
                <w:rFonts w:cs="Microsoft Sans Serif"/>
                <w:sz w:val="20"/>
                <w:szCs w:val="20"/>
                <w:lang w:eastAsia="en-AU"/>
              </w:rPr>
              <w:t>100.0</w:t>
            </w:r>
          </w:p>
        </w:tc>
      </w:tr>
    </w:tbl>
    <w:p w:rsidR="00F50ECA" w:rsidRPr="005B6C08" w:rsidRDefault="00F50ECA" w:rsidP="00D41508">
      <w:pPr>
        <w:pStyle w:val="SourceDELWP"/>
        <w:spacing w:line="240" w:lineRule="auto"/>
        <w:rPr>
          <w:b w:val="0"/>
          <w:i/>
        </w:rPr>
      </w:pPr>
      <w:r w:rsidRPr="005B6C08">
        <w:rPr>
          <w:b w:val="0"/>
          <w:i/>
        </w:rPr>
        <w:t>* Up to 3 responses were allowed hence the number of responses is higher than the number of participants.</w:t>
      </w:r>
    </w:p>
    <w:p w:rsidR="003E32C8" w:rsidRDefault="00256EAC" w:rsidP="00D41508">
      <w:pPr>
        <w:pStyle w:val="SourceDELWP"/>
        <w:spacing w:line="240" w:lineRule="auto"/>
      </w:pPr>
      <w:r w:rsidRPr="002A32B9">
        <w:t>Source</w:t>
      </w:r>
      <w:r>
        <w:t>s</w:t>
      </w:r>
      <w:r w:rsidRPr="002A32B9">
        <w:t>: Bendigo Bank</w:t>
      </w:r>
      <w:r>
        <w:t>,</w:t>
      </w:r>
      <w:r w:rsidRPr="002A32B9">
        <w:t xml:space="preserve"> H</w:t>
      </w:r>
      <w:r>
        <w:t xml:space="preserve">ospital and </w:t>
      </w:r>
      <w:r w:rsidRPr="002A32B9">
        <w:t xml:space="preserve">Council </w:t>
      </w:r>
      <w:r>
        <w:t>S</w:t>
      </w:r>
      <w:r w:rsidRPr="002A32B9">
        <w:t>urvey</w:t>
      </w:r>
      <w:r>
        <w:t>s 2015</w:t>
      </w:r>
    </w:p>
    <w:p w:rsidR="003E32C8" w:rsidRDefault="003E32C8" w:rsidP="00D41508">
      <w:pPr>
        <w:pStyle w:val="SourceDELWP"/>
        <w:spacing w:line="240" w:lineRule="auto"/>
      </w:pPr>
    </w:p>
    <w:p w:rsidR="003E32C8" w:rsidRDefault="003E32C8" w:rsidP="00D41508">
      <w:pPr>
        <w:pStyle w:val="SourceDELWP"/>
        <w:spacing w:line="240" w:lineRule="auto"/>
        <w:sectPr w:rsidR="003E32C8" w:rsidSect="00364027">
          <w:type w:val="continuous"/>
          <w:pgSz w:w="11906" w:h="16838"/>
          <w:pgMar w:top="1440" w:right="1440" w:bottom="1440" w:left="1440" w:header="708" w:footer="708" w:gutter="0"/>
          <w:cols w:space="708"/>
          <w:docGrid w:linePitch="360"/>
        </w:sectPr>
      </w:pPr>
    </w:p>
    <w:p w:rsidR="009E2DB6" w:rsidRPr="00F50ECA" w:rsidRDefault="009E2DB6" w:rsidP="00D23981">
      <w:pPr>
        <w:pStyle w:val="HeadingB"/>
        <w:spacing w:before="0"/>
      </w:pPr>
      <w:r w:rsidRPr="00F50ECA">
        <w:lastRenderedPageBreak/>
        <w:t>3</w:t>
      </w:r>
      <w:r>
        <w:t>.7</w:t>
      </w:r>
      <w:r w:rsidRPr="00F50ECA">
        <w:tab/>
      </w:r>
      <w:r>
        <w:t>Future migration intentions</w:t>
      </w:r>
    </w:p>
    <w:p w:rsidR="00D23981" w:rsidRDefault="00256EAC" w:rsidP="00D41508">
      <w:pPr>
        <w:spacing w:after="120"/>
      </w:pPr>
      <w:r>
        <w:t xml:space="preserve">Most respondents (85%) had no intention to move away from Bendigo in the near future. </w:t>
      </w:r>
      <w:r>
        <w:lastRenderedPageBreak/>
        <w:t xml:space="preserve">The hospital had the highest proportion intending to leave within two years (20%) and Council had the lowest proportion (10%) (figure </w:t>
      </w:r>
      <w:r w:rsidR="005B6C08">
        <w:t>6</w:t>
      </w:r>
      <w:r>
        <w:t>).</w:t>
      </w:r>
    </w:p>
    <w:p w:rsidR="003E32C8" w:rsidRDefault="003E32C8" w:rsidP="005B6C08">
      <w:pPr>
        <w:pStyle w:val="TableTitle"/>
        <w:spacing w:line="240" w:lineRule="auto"/>
        <w:sectPr w:rsidR="003E32C8" w:rsidSect="003E32C8">
          <w:type w:val="continuous"/>
          <w:pgSz w:w="11906" w:h="16838"/>
          <w:pgMar w:top="1440" w:right="1440" w:bottom="1440" w:left="1440" w:header="708" w:footer="708" w:gutter="0"/>
          <w:cols w:num="2" w:space="708"/>
          <w:docGrid w:linePitch="360"/>
        </w:sectPr>
      </w:pPr>
    </w:p>
    <w:p w:rsidR="003E32C8" w:rsidRDefault="003E32C8" w:rsidP="005B6C08">
      <w:pPr>
        <w:pStyle w:val="TableTitle"/>
        <w:spacing w:line="240" w:lineRule="auto"/>
      </w:pPr>
    </w:p>
    <w:p w:rsidR="00801C7E" w:rsidRDefault="005B6C08" w:rsidP="005B6C08">
      <w:pPr>
        <w:pStyle w:val="TableTitle"/>
        <w:spacing w:line="240" w:lineRule="auto"/>
      </w:pPr>
      <w:r w:rsidRPr="005B6C08">
        <w:t>Figure 6: Intention to leave Bendigo in next two years, respondents as a proportion of total Bank, Hospital and Council samples</w:t>
      </w:r>
    </w:p>
    <w:p w:rsidR="00801C7E" w:rsidRDefault="00256EAC" w:rsidP="00D41508">
      <w:pPr>
        <w:spacing w:after="120"/>
        <w:rPr>
          <w:i/>
          <w:sz w:val="20"/>
        </w:rPr>
      </w:pPr>
      <w:r>
        <w:rPr>
          <w:noProof/>
          <w:lang w:eastAsia="en-AU"/>
        </w:rPr>
        <w:drawing>
          <wp:inline distT="0" distB="0" distL="0" distR="0" wp14:anchorId="7220A99F" wp14:editId="6A183E5B">
            <wp:extent cx="3600000" cy="2130212"/>
            <wp:effectExtent l="0" t="0" r="63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0" cy="2130212"/>
                    </a:xfrm>
                    <a:prstGeom prst="rect">
                      <a:avLst/>
                    </a:prstGeom>
                    <a:noFill/>
                    <a:ln>
                      <a:noFill/>
                    </a:ln>
                  </pic:spPr>
                </pic:pic>
              </a:graphicData>
            </a:graphic>
          </wp:inline>
        </w:drawing>
      </w:r>
    </w:p>
    <w:p w:rsidR="003E32C8" w:rsidRDefault="005B6C08" w:rsidP="004D02EB">
      <w:pPr>
        <w:pStyle w:val="SourceDELWP"/>
        <w:spacing w:line="240" w:lineRule="auto"/>
        <w:sectPr w:rsidR="003E32C8" w:rsidSect="00364027">
          <w:type w:val="continuous"/>
          <w:pgSz w:w="11906" w:h="16838"/>
          <w:pgMar w:top="1440" w:right="1440" w:bottom="1440" w:left="1440" w:header="708" w:footer="708" w:gutter="0"/>
          <w:cols w:space="708"/>
          <w:docGrid w:linePitch="360"/>
        </w:sectPr>
      </w:pPr>
      <w:r w:rsidRPr="002A32B9">
        <w:t>Source</w:t>
      </w:r>
      <w:r>
        <w:t>s</w:t>
      </w:r>
      <w:r w:rsidRPr="002A32B9">
        <w:t>: Bendigo Bank</w:t>
      </w:r>
      <w:r>
        <w:t>,</w:t>
      </w:r>
      <w:r w:rsidRPr="002A32B9">
        <w:t xml:space="preserve"> H</w:t>
      </w:r>
      <w:r>
        <w:t xml:space="preserve">ospital and </w:t>
      </w:r>
      <w:r w:rsidRPr="002A32B9">
        <w:t xml:space="preserve">Council </w:t>
      </w:r>
      <w:r>
        <w:t>S</w:t>
      </w:r>
      <w:r w:rsidRPr="002A32B9">
        <w:t>urvey</w:t>
      </w:r>
      <w:r>
        <w:t>s 2015</w:t>
      </w:r>
      <w:r w:rsidR="004D02EB">
        <w:br/>
      </w:r>
    </w:p>
    <w:p w:rsidR="00256EAC" w:rsidRDefault="00256EAC" w:rsidP="004D02EB">
      <w:pPr>
        <w:pStyle w:val="SourceDELWP"/>
        <w:spacing w:line="240" w:lineRule="auto"/>
      </w:pPr>
    </w:p>
    <w:p w:rsidR="003E32C8" w:rsidRDefault="003E32C8" w:rsidP="004D02EB">
      <w:pPr>
        <w:pStyle w:val="SourceDELWP"/>
        <w:spacing w:line="240" w:lineRule="auto"/>
        <w:sectPr w:rsidR="003E32C8" w:rsidSect="00364027">
          <w:type w:val="continuous"/>
          <w:pgSz w:w="11906" w:h="16838"/>
          <w:pgMar w:top="1440" w:right="1440" w:bottom="1440" w:left="1440" w:header="708" w:footer="708" w:gutter="0"/>
          <w:cols w:space="708"/>
          <w:docGrid w:linePitch="360"/>
        </w:sectPr>
      </w:pPr>
    </w:p>
    <w:p w:rsidR="00256EAC" w:rsidRDefault="00256EAC" w:rsidP="00D41508">
      <w:pPr>
        <w:spacing w:after="120"/>
      </w:pPr>
      <w:r>
        <w:lastRenderedPageBreak/>
        <w:t xml:space="preserve">For those indicating an intention to leave, Melbourne was the most popular destination (33%) followed by regional Victoria (26%). Interstate locations accounted for 9 per cent (capital city) and 7 </w:t>
      </w:r>
      <w:r w:rsidR="00AC504C">
        <w:t>per cent</w:t>
      </w:r>
      <w:r>
        <w:t xml:space="preserve"> (regional) while overseas accounted for 9</w:t>
      </w:r>
      <w:r w:rsidR="003C3D6D">
        <w:t xml:space="preserve"> per cent</w:t>
      </w:r>
      <w:r>
        <w:t xml:space="preserve"> of respondents’ intended destinations. Seventeen </w:t>
      </w:r>
      <w:r w:rsidR="00AC504C">
        <w:t>per cent</w:t>
      </w:r>
      <w:r>
        <w:t xml:space="preserve"> remained unsure about their potential destination.</w:t>
      </w:r>
    </w:p>
    <w:p w:rsidR="003E32C8" w:rsidRDefault="00256EAC" w:rsidP="00D41508">
      <w:pPr>
        <w:spacing w:after="120"/>
        <w:rPr>
          <w:color w:val="000000"/>
          <w:lang w:eastAsia="en-AU"/>
        </w:rPr>
      </w:pPr>
      <w:r>
        <w:rPr>
          <w:color w:val="000000"/>
          <w:lang w:eastAsia="en-AU"/>
        </w:rPr>
        <w:lastRenderedPageBreak/>
        <w:t xml:space="preserve">When age is factored in to the analysis the results show that those in younger age groups appear more likely to move from Bendigo in the near future (figure </w:t>
      </w:r>
      <w:r w:rsidR="004E3EA7">
        <w:rPr>
          <w:color w:val="000000"/>
          <w:lang w:eastAsia="en-AU"/>
        </w:rPr>
        <w:t>7</w:t>
      </w:r>
      <w:r>
        <w:rPr>
          <w:color w:val="000000"/>
          <w:lang w:eastAsia="en-AU"/>
        </w:rPr>
        <w:t>). Given that people in their early adult years are, on average, the most mobile age group in the population, this result is not surprising.</w:t>
      </w:r>
    </w:p>
    <w:p w:rsidR="00D23981" w:rsidRDefault="00D23981" w:rsidP="00D41508">
      <w:pPr>
        <w:spacing w:after="120"/>
        <w:rPr>
          <w:color w:val="000000"/>
          <w:lang w:eastAsia="en-AU"/>
        </w:rPr>
      </w:pPr>
    </w:p>
    <w:p w:rsidR="003E32C8" w:rsidRDefault="003E32C8" w:rsidP="00D41508">
      <w:pPr>
        <w:spacing w:after="120"/>
        <w:rPr>
          <w:color w:val="000000"/>
          <w:lang w:eastAsia="en-AU"/>
        </w:rPr>
        <w:sectPr w:rsidR="003E32C8" w:rsidSect="003E32C8">
          <w:type w:val="continuous"/>
          <w:pgSz w:w="11906" w:h="16838"/>
          <w:pgMar w:top="1440" w:right="1440" w:bottom="1440" w:left="1440" w:header="708" w:footer="708" w:gutter="0"/>
          <w:cols w:num="2" w:space="708"/>
          <w:docGrid w:linePitch="360"/>
        </w:sectPr>
      </w:pPr>
    </w:p>
    <w:p w:rsidR="00D23981" w:rsidRDefault="00D23981" w:rsidP="00D41508">
      <w:pPr>
        <w:spacing w:after="120"/>
        <w:rPr>
          <w:b/>
        </w:rPr>
      </w:pPr>
    </w:p>
    <w:p w:rsidR="005B6C08" w:rsidRPr="005B6C08" w:rsidRDefault="00145283" w:rsidP="00D41508">
      <w:pPr>
        <w:spacing w:after="120"/>
        <w:rPr>
          <w:b/>
        </w:rPr>
      </w:pPr>
      <w:r>
        <w:rPr>
          <w:b/>
        </w:rPr>
        <w:t xml:space="preserve">Figure </w:t>
      </w:r>
      <w:r w:rsidR="004E3EA7">
        <w:rPr>
          <w:b/>
        </w:rPr>
        <w:t>7</w:t>
      </w:r>
      <w:r w:rsidR="005B6C08" w:rsidRPr="005B6C08">
        <w:rPr>
          <w:b/>
        </w:rPr>
        <w:t>: Intention to leave Bendigo in next two years by age group, combined sample</w:t>
      </w:r>
    </w:p>
    <w:p w:rsidR="00256EAC" w:rsidRDefault="00256EAC" w:rsidP="00D41508">
      <w:pPr>
        <w:spacing w:after="120"/>
        <w:rPr>
          <w:color w:val="000000"/>
          <w:sz w:val="12"/>
          <w:lang w:eastAsia="en-AU"/>
        </w:rPr>
      </w:pPr>
    </w:p>
    <w:p w:rsidR="00256EAC" w:rsidRDefault="00256EAC" w:rsidP="00D41508">
      <w:pPr>
        <w:spacing w:after="120"/>
        <w:rPr>
          <w:color w:val="000000"/>
          <w:lang w:eastAsia="en-AU"/>
        </w:rPr>
      </w:pPr>
      <w:r>
        <w:rPr>
          <w:noProof/>
          <w:lang w:eastAsia="en-AU"/>
        </w:rPr>
        <w:drawing>
          <wp:inline distT="0" distB="0" distL="0" distR="0" wp14:anchorId="6C7F1181" wp14:editId="61CF7374">
            <wp:extent cx="5732145" cy="242252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145" cy="2422525"/>
                    </a:xfrm>
                    <a:prstGeom prst="rect">
                      <a:avLst/>
                    </a:prstGeom>
                    <a:noFill/>
                    <a:ln>
                      <a:noFill/>
                    </a:ln>
                  </pic:spPr>
                </pic:pic>
              </a:graphicData>
            </a:graphic>
          </wp:inline>
        </w:drawing>
      </w:r>
    </w:p>
    <w:p w:rsidR="00256EAC" w:rsidRDefault="005B6C08" w:rsidP="004D02EB">
      <w:pPr>
        <w:pStyle w:val="SourceDELWP"/>
        <w:spacing w:line="240" w:lineRule="auto"/>
      </w:pPr>
      <w:r w:rsidRPr="002A32B9">
        <w:t>Source</w:t>
      </w:r>
      <w:r>
        <w:t>s</w:t>
      </w:r>
      <w:r w:rsidRPr="002A32B9">
        <w:t>: Bendigo Bank</w:t>
      </w:r>
      <w:r>
        <w:t>,</w:t>
      </w:r>
      <w:r w:rsidRPr="002A32B9">
        <w:t xml:space="preserve"> H</w:t>
      </w:r>
      <w:r>
        <w:t xml:space="preserve">ospital and </w:t>
      </w:r>
      <w:r w:rsidRPr="002A32B9">
        <w:t xml:space="preserve">Council </w:t>
      </w:r>
      <w:r>
        <w:t>S</w:t>
      </w:r>
      <w:r w:rsidRPr="002A32B9">
        <w:t>urvey</w:t>
      </w:r>
      <w:r>
        <w:t>s 2015</w:t>
      </w:r>
    </w:p>
    <w:p w:rsidR="00F50ECA" w:rsidRPr="00F50ECA" w:rsidRDefault="00F50ECA" w:rsidP="00A827BC">
      <w:pPr>
        <w:pStyle w:val="SourceDELWP"/>
        <w:sectPr w:rsidR="00F50ECA" w:rsidRPr="00F50ECA" w:rsidSect="00364027">
          <w:type w:val="continuous"/>
          <w:pgSz w:w="11906" w:h="16838"/>
          <w:pgMar w:top="1440" w:right="1440" w:bottom="1440" w:left="1440" w:header="708" w:footer="708" w:gutter="0"/>
          <w:cols w:space="708"/>
          <w:docGrid w:linePitch="360"/>
        </w:sectPr>
      </w:pPr>
    </w:p>
    <w:p w:rsidR="0098223D" w:rsidRDefault="0098223D" w:rsidP="0066692C">
      <w:pPr>
        <w:pStyle w:val="HeadingA"/>
        <w:sectPr w:rsidR="0098223D" w:rsidSect="00257DB0">
          <w:headerReference w:type="default" r:id="rId37"/>
          <w:pgSz w:w="11906" w:h="16838"/>
          <w:pgMar w:top="1440" w:right="1440" w:bottom="1440" w:left="1440" w:header="708" w:footer="708" w:gutter="0"/>
          <w:cols w:space="708"/>
          <w:docGrid w:linePitch="360"/>
        </w:sectPr>
      </w:pPr>
    </w:p>
    <w:p w:rsidR="00F50ECA" w:rsidRDefault="00F50ECA" w:rsidP="0066692C">
      <w:pPr>
        <w:pStyle w:val="HeadingA"/>
      </w:pPr>
      <w:r w:rsidRPr="00F50ECA">
        <w:lastRenderedPageBreak/>
        <w:t xml:space="preserve">Chapter </w:t>
      </w:r>
      <w:r w:rsidR="00145283">
        <w:t>4</w:t>
      </w:r>
      <w:r w:rsidRPr="00F50ECA">
        <w:t>: Policy implications</w:t>
      </w:r>
    </w:p>
    <w:p w:rsidR="003E32C8" w:rsidRDefault="003E32C8" w:rsidP="0066692C">
      <w:pPr>
        <w:pStyle w:val="HeadingA"/>
        <w:sectPr w:rsidR="003E32C8" w:rsidSect="003E32C8">
          <w:headerReference w:type="default" r:id="rId38"/>
          <w:pgSz w:w="11906" w:h="16838"/>
          <w:pgMar w:top="1440" w:right="1440" w:bottom="1440" w:left="1440" w:header="708" w:footer="708" w:gutter="0"/>
          <w:cols w:space="708"/>
          <w:docGrid w:linePitch="360"/>
        </w:sectPr>
      </w:pPr>
    </w:p>
    <w:p w:rsidR="00801C7E" w:rsidRDefault="00F50ECA" w:rsidP="003C3D6D">
      <w:pPr>
        <w:pStyle w:val="DELWPbodytext"/>
        <w:spacing w:before="120" w:afterLines="0" w:after="120" w:line="240" w:lineRule="auto"/>
      </w:pPr>
      <w:r w:rsidRPr="00F50ECA">
        <w:lastRenderedPageBreak/>
        <w:t xml:space="preserve">Young adults gain skills and experience </w:t>
      </w:r>
      <w:r w:rsidR="00F147B0">
        <w:t xml:space="preserve">through </w:t>
      </w:r>
      <w:r w:rsidRPr="00F50ECA">
        <w:t>school and post-school education and through entry into the workforce. The locational choices made by people as they accumulate human capital can ultimately favour different locations. With a long standing pattern of net loss of young adults from regional areas, the concern held by many policy makers is that areas of net loss of young people (such as regional Victoria) may lead to a net loss of the human capital needed to maintain and expand regional economies.</w:t>
      </w:r>
    </w:p>
    <w:p w:rsidR="00F50ECA" w:rsidRDefault="003C3D6D" w:rsidP="003C3D6D">
      <w:pPr>
        <w:pStyle w:val="DELWPbodytext"/>
        <w:spacing w:before="120" w:afterLines="0" w:after="120" w:line="240" w:lineRule="auto"/>
      </w:pPr>
      <w:r>
        <w:t>National-level data indicate that, b</w:t>
      </w:r>
      <w:r w:rsidR="00F50ECA" w:rsidRPr="00F50ECA">
        <w:t xml:space="preserve">y the age of 23, around a third of those who had left regional areas for education </w:t>
      </w:r>
      <w:r>
        <w:t xml:space="preserve">or employment had </w:t>
      </w:r>
      <w:r w:rsidR="00F50ECA" w:rsidRPr="00F50ECA">
        <w:t>return</w:t>
      </w:r>
      <w:r>
        <w:t>ed</w:t>
      </w:r>
      <w:r w:rsidR="00F50ECA" w:rsidRPr="00F50ECA">
        <w:t xml:space="preserve"> to a regional location. This presents a positive story for regions in terms of human capital accumulation as skills learnt and developed in </w:t>
      </w:r>
      <w:r>
        <w:t xml:space="preserve">places like </w:t>
      </w:r>
      <w:r w:rsidR="00F50ECA" w:rsidRPr="00F50ECA">
        <w:t xml:space="preserve">Melbourne can be transferred to regional areas. There is also likely to be additional return migration after the age of 23 although </w:t>
      </w:r>
      <w:r w:rsidR="00F147B0">
        <w:t xml:space="preserve">existing </w:t>
      </w:r>
      <w:r w:rsidR="00F50ECA" w:rsidRPr="00F50ECA">
        <w:t xml:space="preserve">longitudinal data </w:t>
      </w:r>
      <w:r w:rsidR="00F147B0">
        <w:t xml:space="preserve">does not </w:t>
      </w:r>
      <w:r w:rsidR="00F50ECA" w:rsidRPr="00F50ECA">
        <w:t>provide comprehensive evidence of these pathway patterns.</w:t>
      </w:r>
    </w:p>
    <w:p w:rsidR="00801C7E" w:rsidRDefault="00F50ECA" w:rsidP="003C3D6D">
      <w:pPr>
        <w:pStyle w:val="DELWPbodytext"/>
        <w:spacing w:before="120" w:afterLines="0" w:after="120" w:line="240" w:lineRule="auto"/>
      </w:pPr>
      <w:r w:rsidRPr="00F50ECA">
        <w:t xml:space="preserve">In terms of human capital accumulation, another piece of positive evidence for regional areas comes from the Bendigo Bank survey results. Findings indicate that </w:t>
      </w:r>
      <w:r w:rsidR="00F147B0">
        <w:t xml:space="preserve">the development of </w:t>
      </w:r>
      <w:r w:rsidRPr="00F50ECA">
        <w:t xml:space="preserve">professional skills can occur effectively within regions rather than being dependent on individuals moving (temporarily or permanently) to a metropolitan area for higher education. The high proportion of senior </w:t>
      </w:r>
      <w:r w:rsidR="003C3D6D">
        <w:t>B</w:t>
      </w:r>
      <w:r w:rsidR="00EE2AC3">
        <w:t xml:space="preserve">ank </w:t>
      </w:r>
      <w:r w:rsidRPr="00F50ECA">
        <w:t xml:space="preserve">employees who had come from regional backgrounds showed that, even for </w:t>
      </w:r>
      <w:r w:rsidRPr="00F50ECA">
        <w:lastRenderedPageBreak/>
        <w:t>globally-connected professions like financial services, a metropolitan education is not essential. It should be noted that</w:t>
      </w:r>
      <w:r w:rsidR="004E3EA7">
        <w:t>, in the case of Bendigo Bank,</w:t>
      </w:r>
      <w:r w:rsidRPr="00F50ECA">
        <w:t xml:space="preserve"> the </w:t>
      </w:r>
      <w:r w:rsidR="004E3EA7">
        <w:t xml:space="preserve">organisation </w:t>
      </w:r>
      <w:r w:rsidRPr="00F50ECA">
        <w:t xml:space="preserve">itself played an important role in the </w:t>
      </w:r>
      <w:r w:rsidR="003C3D6D">
        <w:t xml:space="preserve">skills </w:t>
      </w:r>
      <w:r w:rsidRPr="00F50ECA">
        <w:t>development of their staff. Scholarships, internships and partnerships with local education providers form an important part of the company’s culture. This benefits the bank, in terms of overcoming skills shortages, but it also benefits employees through sponsorship of their education locally</w:t>
      </w:r>
      <w:r w:rsidR="003C3D6D">
        <w:t>,</w:t>
      </w:r>
      <w:r w:rsidRPr="00F50ECA">
        <w:t xml:space="preserve"> and local service providers through the purchase of education and training services within the regional city.</w:t>
      </w:r>
    </w:p>
    <w:p w:rsidR="00801C7E" w:rsidRDefault="00F50ECA" w:rsidP="003C3D6D">
      <w:pPr>
        <w:pStyle w:val="DELWPbodytext"/>
        <w:spacing w:before="120" w:afterLines="0" w:after="120" w:line="240" w:lineRule="auto"/>
      </w:pPr>
      <w:r w:rsidRPr="00F50ECA">
        <w:t xml:space="preserve">The Bendigo survey also highlighted the role of family factors in peoples’ migration decisions. </w:t>
      </w:r>
      <w:r w:rsidR="00EE2AC3">
        <w:t>Among the various components of this category are</w:t>
      </w:r>
      <w:r w:rsidRPr="00F50ECA">
        <w:t xml:space="preserve"> people moving to be closer to parents or other relatives</w:t>
      </w:r>
      <w:r w:rsidR="00EE2AC3">
        <w:t xml:space="preserve"> and those who are r</w:t>
      </w:r>
      <w:r w:rsidRPr="00F50ECA">
        <w:t xml:space="preserve">eturning to the region of </w:t>
      </w:r>
      <w:r w:rsidR="00EE2AC3">
        <w:t xml:space="preserve">their </w:t>
      </w:r>
      <w:r w:rsidRPr="00F50ECA">
        <w:t xml:space="preserve">birth after leaving </w:t>
      </w:r>
      <w:r w:rsidR="00EE2AC3">
        <w:t xml:space="preserve">Bendigo </w:t>
      </w:r>
      <w:r w:rsidRPr="00F50ECA">
        <w:t xml:space="preserve">at an earlier </w:t>
      </w:r>
      <w:r w:rsidR="00EE2AC3">
        <w:t>age</w:t>
      </w:r>
      <w:r w:rsidRPr="00F50ECA">
        <w:t>. The significance of th</w:t>
      </w:r>
      <w:r w:rsidR="00EE2AC3">
        <w:t>i</w:t>
      </w:r>
      <w:r w:rsidRPr="00F50ECA">
        <w:t xml:space="preserve">s for regional policy makers is that having a connection with a place (through family for example) makes moving there more likely. Given that social networks usually act as an anchor on migration, it is likely to be much more difficult for people who have lived their lives in a major city to consider living in a regional location. For policy makers interested in attracting people to a regional location, targeting people who grew up in </w:t>
      </w:r>
      <w:r w:rsidR="00555DED">
        <w:t xml:space="preserve">such  </w:t>
      </w:r>
      <w:r w:rsidRPr="00F50ECA">
        <w:t>areas may be a</w:t>
      </w:r>
      <w:r w:rsidR="00C2496E">
        <w:t>n</w:t>
      </w:r>
      <w:r w:rsidRPr="00F50ECA">
        <w:t xml:space="preserve"> effective strategy.</w:t>
      </w:r>
    </w:p>
    <w:p w:rsidR="003E32C8" w:rsidRDefault="003E32C8" w:rsidP="003C3D6D">
      <w:pPr>
        <w:pStyle w:val="DELWPbodytext"/>
        <w:spacing w:before="120" w:afterLines="0" w:after="120" w:line="240" w:lineRule="auto"/>
      </w:pPr>
    </w:p>
    <w:p w:rsidR="003E32C8" w:rsidRDefault="003E32C8" w:rsidP="00F50ECA">
      <w:pPr>
        <w:pStyle w:val="DELWPbodytext"/>
        <w:sectPr w:rsidR="003E32C8" w:rsidSect="003E32C8">
          <w:type w:val="continuous"/>
          <w:pgSz w:w="11906" w:h="16838"/>
          <w:pgMar w:top="1440" w:right="1440" w:bottom="1440" w:left="1440" w:header="708" w:footer="708" w:gutter="0"/>
          <w:cols w:num="2" w:space="708"/>
          <w:docGrid w:linePitch="360"/>
        </w:sectPr>
      </w:pPr>
    </w:p>
    <w:p w:rsidR="00F50ECA" w:rsidRDefault="00F50ECA" w:rsidP="00F50ECA">
      <w:pPr>
        <w:pStyle w:val="DELWPbodytext"/>
      </w:pPr>
    </w:p>
    <w:p w:rsidR="00F50ECA" w:rsidRDefault="00F50ECA" w:rsidP="00F50ECA">
      <w:pPr>
        <w:pStyle w:val="DELWPbodytext"/>
        <w:rPr>
          <w:b/>
          <w:bCs/>
        </w:rPr>
      </w:pPr>
    </w:p>
    <w:p w:rsidR="003E32C8" w:rsidRPr="00F50ECA" w:rsidRDefault="003E32C8" w:rsidP="00F50ECA">
      <w:pPr>
        <w:pStyle w:val="DELWPbodytext"/>
        <w:rPr>
          <w:b/>
          <w:bCs/>
        </w:rPr>
        <w:sectPr w:rsidR="003E32C8" w:rsidRPr="00F50ECA" w:rsidSect="003E32C8">
          <w:type w:val="continuous"/>
          <w:pgSz w:w="11906" w:h="16838"/>
          <w:pgMar w:top="1440" w:right="1440" w:bottom="1440" w:left="1440" w:header="708" w:footer="708" w:gutter="0"/>
          <w:cols w:num="2" w:space="708"/>
          <w:docGrid w:linePitch="360"/>
        </w:sectPr>
      </w:pPr>
    </w:p>
    <w:p w:rsidR="00F50ECA" w:rsidRPr="00F50ECA" w:rsidRDefault="00F50ECA" w:rsidP="00BC5B72">
      <w:pPr>
        <w:pStyle w:val="HeadingA"/>
      </w:pPr>
      <w:r w:rsidRPr="00F50ECA">
        <w:lastRenderedPageBreak/>
        <w:t>References</w:t>
      </w:r>
    </w:p>
    <w:p w:rsidR="00F50ECA" w:rsidRPr="00F50ECA" w:rsidRDefault="00F50ECA" w:rsidP="003E32C8">
      <w:pPr>
        <w:pStyle w:val="DELWPbodytext"/>
        <w:spacing w:afterLines="100" w:after="240"/>
      </w:pPr>
      <w:proofErr w:type="spellStart"/>
      <w:r w:rsidRPr="00F50ECA">
        <w:t>Barro</w:t>
      </w:r>
      <w:proofErr w:type="spellEnd"/>
      <w:r w:rsidRPr="00F50ECA">
        <w:t xml:space="preserve"> R, 1992, 'Human capital and economic growth', in </w:t>
      </w:r>
      <w:r w:rsidRPr="00F50ECA">
        <w:rPr>
          <w:i/>
          <w:iCs/>
        </w:rPr>
        <w:t>Policies for long-run economic growth, a symposium sponsored by the Federal Reserve Bank of Kansas City</w:t>
      </w:r>
      <w:r w:rsidRPr="00F50ECA">
        <w:t>, Kansas.</w:t>
      </w:r>
    </w:p>
    <w:p w:rsidR="00F50ECA" w:rsidRPr="00F50ECA" w:rsidRDefault="00F50ECA" w:rsidP="003E32C8">
      <w:pPr>
        <w:pStyle w:val="DELWPbodytext"/>
        <w:spacing w:afterLines="100" w:after="240"/>
      </w:pPr>
      <w:r w:rsidRPr="00F50ECA">
        <w:t xml:space="preserve">Corcoran, J, </w:t>
      </w:r>
      <w:proofErr w:type="spellStart"/>
      <w:r w:rsidRPr="00F50ECA">
        <w:t>Faggian</w:t>
      </w:r>
      <w:proofErr w:type="spellEnd"/>
      <w:r w:rsidRPr="00F50ECA">
        <w:t xml:space="preserve">, A and McCann, P 2010, 'Human capital in remote and rural Australia: The role of graduate migration', </w:t>
      </w:r>
      <w:r w:rsidRPr="00F50ECA">
        <w:rPr>
          <w:i/>
          <w:iCs/>
        </w:rPr>
        <w:t>Growth and Change</w:t>
      </w:r>
      <w:r w:rsidRPr="00F50ECA">
        <w:t>, vol. 41, no. 2, pp. 192-220.</w:t>
      </w:r>
    </w:p>
    <w:p w:rsidR="00F50ECA" w:rsidRPr="00F50ECA" w:rsidRDefault="00F50ECA" w:rsidP="003E32C8">
      <w:pPr>
        <w:pStyle w:val="DELWPbodytext"/>
        <w:spacing w:afterLines="100" w:after="240"/>
      </w:pPr>
      <w:r w:rsidRPr="00F50ECA">
        <w:t xml:space="preserve">Hogan, A and Young, M 2013, 'Visioning a future for rural and regional Australia', </w:t>
      </w:r>
      <w:r w:rsidRPr="00F50ECA">
        <w:rPr>
          <w:i/>
          <w:iCs/>
        </w:rPr>
        <w:t>Regions, Economy and Society</w:t>
      </w:r>
      <w:r w:rsidRPr="00F50ECA">
        <w:t xml:space="preserve"> 6(2) 319-30.</w:t>
      </w:r>
    </w:p>
    <w:p w:rsidR="00045E26" w:rsidRDefault="00045E26" w:rsidP="003E32C8">
      <w:pPr>
        <w:pStyle w:val="DELWPbodytext"/>
        <w:spacing w:afterLines="100" w:after="240"/>
      </w:pPr>
      <w:r w:rsidRPr="00045E26">
        <w:t xml:space="preserve">McKenzie, F. 2010, </w:t>
      </w:r>
      <w:r>
        <w:t>‘</w:t>
      </w:r>
      <w:r w:rsidRPr="00045E26">
        <w:t>The influence of tertiary institutions on regional youth migration in Victoria</w:t>
      </w:r>
      <w:r>
        <w:t>’</w:t>
      </w:r>
      <w:r w:rsidRPr="00045E26">
        <w:t xml:space="preserve">, in P. </w:t>
      </w:r>
      <w:proofErr w:type="spellStart"/>
      <w:r w:rsidRPr="00045E26">
        <w:t>Dalziel</w:t>
      </w:r>
      <w:proofErr w:type="spellEnd"/>
      <w:r w:rsidRPr="00045E26">
        <w:t xml:space="preserve"> (</w:t>
      </w:r>
      <w:proofErr w:type="spellStart"/>
      <w:r w:rsidRPr="00045E26">
        <w:t>ed</w:t>
      </w:r>
      <w:proofErr w:type="spellEnd"/>
      <w:r w:rsidRPr="00045E26">
        <w:t xml:space="preserve">), </w:t>
      </w:r>
      <w:r w:rsidRPr="00045E26">
        <w:rPr>
          <w:i/>
        </w:rPr>
        <w:t>Innovation and Regions: Theory, Practice and Policy. Refereed Proceedings of the 34th Annual Conference of the Australia and New Zealand Regional Science Association International, 7-10 December 2010, Melbourne,</w:t>
      </w:r>
      <w:r w:rsidRPr="00045E26">
        <w:t xml:space="preserve"> pp. 144-160. Published by AERU Research Unit, Lincoln University, New Zealand.</w:t>
      </w:r>
    </w:p>
    <w:p w:rsidR="00F50ECA" w:rsidRPr="00F50ECA" w:rsidRDefault="00F50ECA" w:rsidP="003E32C8">
      <w:pPr>
        <w:pStyle w:val="DELWPbodytext"/>
        <w:spacing w:afterLines="50" w:after="120"/>
      </w:pPr>
      <w:proofErr w:type="spellStart"/>
      <w:r w:rsidRPr="00F50ECA">
        <w:t>Romer</w:t>
      </w:r>
      <w:proofErr w:type="spellEnd"/>
      <w:r w:rsidRPr="00F50ECA">
        <w:t xml:space="preserve">, P 1986, 'Increasing returns and long-run growth', </w:t>
      </w:r>
      <w:r w:rsidRPr="00F50ECA">
        <w:rPr>
          <w:i/>
          <w:iCs/>
        </w:rPr>
        <w:t>Journal of Political Economy</w:t>
      </w:r>
      <w:r w:rsidRPr="00F50ECA">
        <w:t>, 94(5): 1002-1037.</w:t>
      </w:r>
    </w:p>
    <w:p w:rsidR="00F50ECA" w:rsidRDefault="00F50ECA" w:rsidP="00BC5B72">
      <w:pPr>
        <w:pStyle w:val="DELWPbodytext"/>
        <w:ind w:left="720" w:hanging="720"/>
      </w:pPr>
    </w:p>
    <w:p w:rsidR="00F50ECA" w:rsidRDefault="00F50ECA" w:rsidP="00590EF3"/>
    <w:p w:rsidR="0098223D" w:rsidRDefault="0098223D" w:rsidP="003917F9">
      <w:pPr>
        <w:sectPr w:rsidR="0098223D" w:rsidSect="003E32C8">
          <w:headerReference w:type="default" r:id="rId39"/>
          <w:footerReference w:type="default" r:id="rId40"/>
          <w:headerReference w:type="first" r:id="rId41"/>
          <w:pgSz w:w="11907" w:h="16840" w:code="9"/>
          <w:pgMar w:top="1134" w:right="1134" w:bottom="1134" w:left="1134" w:header="709" w:footer="567" w:gutter="0"/>
          <w:cols w:num="2" w:space="708"/>
          <w:formProt w:val="0"/>
          <w:titlePg/>
          <w:docGrid w:linePitch="360"/>
        </w:sectPr>
      </w:pPr>
    </w:p>
    <w:p w:rsidR="0098223D" w:rsidRPr="00F50ECA" w:rsidRDefault="0098223D" w:rsidP="0098223D">
      <w:pPr>
        <w:pStyle w:val="HeadingA"/>
      </w:pPr>
      <w:r>
        <w:lastRenderedPageBreak/>
        <w:t>Appendix: Detailed Survey Results</w:t>
      </w:r>
    </w:p>
    <w:p w:rsidR="009F61FE" w:rsidRDefault="00EC6234" w:rsidP="003917F9">
      <w:r w:rsidRPr="00EC6234">
        <w:rPr>
          <w:noProof/>
          <w:lang w:eastAsia="en-AU"/>
        </w:rPr>
        <w:drawing>
          <wp:inline distT="0" distB="0" distL="0" distR="0" wp14:anchorId="09E0D4A0" wp14:editId="1149BD98">
            <wp:extent cx="6120765" cy="7952497"/>
            <wp:effectExtent l="19050" t="19050" r="1333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7952497"/>
                    </a:xfrm>
                    <a:prstGeom prst="rect">
                      <a:avLst/>
                    </a:prstGeom>
                    <a:noFill/>
                    <a:ln>
                      <a:solidFill>
                        <a:schemeClr val="tx1">
                          <a:lumMod val="50000"/>
                          <a:lumOff val="50000"/>
                        </a:schemeClr>
                      </a:solidFill>
                    </a:ln>
                  </pic:spPr>
                </pic:pic>
              </a:graphicData>
            </a:graphic>
          </wp:inline>
        </w:drawing>
      </w:r>
    </w:p>
    <w:p w:rsidR="00EC6234" w:rsidRDefault="00EC6234" w:rsidP="003917F9"/>
    <w:p w:rsidR="00EC6234" w:rsidRDefault="00EC6234" w:rsidP="003917F9"/>
    <w:p w:rsidR="00EC6234" w:rsidRDefault="00EC6234" w:rsidP="003917F9"/>
    <w:p w:rsidR="00EC6234" w:rsidRDefault="00EC6234" w:rsidP="003917F9"/>
    <w:p w:rsidR="00A2138F" w:rsidRDefault="00A2138F" w:rsidP="003917F9"/>
    <w:p w:rsidR="00EC6234" w:rsidRDefault="00EC6234" w:rsidP="003917F9"/>
    <w:p w:rsidR="00EC6234" w:rsidRDefault="00EC6234" w:rsidP="003917F9"/>
    <w:p w:rsidR="00EC6234" w:rsidRDefault="00EC6234" w:rsidP="003917F9">
      <w:r w:rsidRPr="00EC6234">
        <w:rPr>
          <w:noProof/>
          <w:lang w:eastAsia="en-AU"/>
        </w:rPr>
        <w:drawing>
          <wp:inline distT="0" distB="0" distL="0" distR="0" wp14:anchorId="3389F9B6" wp14:editId="4F3D80F3">
            <wp:extent cx="6120765" cy="7464157"/>
            <wp:effectExtent l="19050" t="19050" r="1333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7464157"/>
                    </a:xfrm>
                    <a:prstGeom prst="rect">
                      <a:avLst/>
                    </a:prstGeom>
                    <a:noFill/>
                    <a:ln>
                      <a:solidFill>
                        <a:schemeClr val="tx1">
                          <a:lumMod val="50000"/>
                          <a:lumOff val="50000"/>
                        </a:schemeClr>
                      </a:solidFill>
                    </a:ln>
                  </pic:spPr>
                </pic:pic>
              </a:graphicData>
            </a:graphic>
          </wp:inline>
        </w:drawing>
      </w:r>
    </w:p>
    <w:p w:rsidR="00EC6234" w:rsidRDefault="00EC6234" w:rsidP="003917F9"/>
    <w:p w:rsidR="00EC6234" w:rsidRDefault="00EC6234" w:rsidP="003917F9"/>
    <w:p w:rsidR="00EC6234" w:rsidRDefault="00EC6234">
      <w:r>
        <w:br w:type="page"/>
      </w:r>
    </w:p>
    <w:p w:rsidR="00EC6234" w:rsidRDefault="00EC6234" w:rsidP="003917F9"/>
    <w:p w:rsidR="00A2138F" w:rsidRDefault="00A2138F" w:rsidP="003917F9"/>
    <w:p w:rsidR="00EC6234" w:rsidRDefault="00EC6234" w:rsidP="003917F9"/>
    <w:p w:rsidR="00EC6234" w:rsidRDefault="00EC6234" w:rsidP="003917F9"/>
    <w:p w:rsidR="00EC6234" w:rsidRDefault="00EC6234" w:rsidP="003917F9">
      <w:r w:rsidRPr="00EC6234">
        <w:rPr>
          <w:noProof/>
          <w:lang w:eastAsia="en-AU"/>
        </w:rPr>
        <w:drawing>
          <wp:inline distT="0" distB="0" distL="0" distR="0" wp14:anchorId="46384A3A" wp14:editId="78846018">
            <wp:extent cx="6120765" cy="6996930"/>
            <wp:effectExtent l="19050" t="19050" r="1333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6996930"/>
                    </a:xfrm>
                    <a:prstGeom prst="rect">
                      <a:avLst/>
                    </a:prstGeom>
                    <a:noFill/>
                    <a:ln>
                      <a:solidFill>
                        <a:schemeClr val="tx1">
                          <a:lumMod val="50000"/>
                          <a:lumOff val="50000"/>
                        </a:schemeClr>
                      </a:solidFill>
                    </a:ln>
                  </pic:spPr>
                </pic:pic>
              </a:graphicData>
            </a:graphic>
          </wp:inline>
        </w:drawing>
      </w:r>
    </w:p>
    <w:p w:rsidR="0098223D" w:rsidRDefault="0098223D" w:rsidP="003917F9"/>
    <w:p w:rsidR="00EC6234" w:rsidRDefault="00EC6234" w:rsidP="003917F9">
      <w:pPr>
        <w:sectPr w:rsidR="00EC6234" w:rsidSect="00E761BA">
          <w:headerReference w:type="first" r:id="rId45"/>
          <w:pgSz w:w="11907" w:h="16840" w:code="9"/>
          <w:pgMar w:top="1134" w:right="1134" w:bottom="1134" w:left="1134" w:header="709" w:footer="567" w:gutter="0"/>
          <w:cols w:space="708"/>
          <w:formProt w:val="0"/>
          <w:titlePg/>
          <w:docGrid w:linePitch="360"/>
        </w:sectPr>
      </w:pPr>
    </w:p>
    <w:p w:rsidR="00F50ECA" w:rsidRDefault="00F50ECA" w:rsidP="003917F9"/>
    <w:p w:rsidR="006C2C00" w:rsidRDefault="006C2C00" w:rsidP="003917F9">
      <w:pPr>
        <w:sectPr w:rsidR="006C2C00" w:rsidSect="003917F9">
          <w:headerReference w:type="first" r:id="rId46"/>
          <w:footerReference w:type="first" r:id="rId47"/>
          <w:pgSz w:w="11907" w:h="16840" w:code="9"/>
          <w:pgMar w:top="1134" w:right="1134" w:bottom="1134" w:left="1134" w:header="709" w:footer="567" w:gutter="0"/>
          <w:pgNumType w:start="1"/>
          <w:cols w:space="708"/>
          <w:formProt w:val="0"/>
          <w:titlePg/>
          <w:docGrid w:linePitch="360"/>
        </w:sectPr>
      </w:pPr>
    </w:p>
    <w:p w:rsidR="009F61FE" w:rsidRDefault="009F61FE" w:rsidP="003917F9"/>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C32" w:rsidRDefault="00CC3C32">
      <w:r>
        <w:separator/>
      </w:r>
    </w:p>
  </w:endnote>
  <w:endnote w:type="continuationSeparator" w:id="0">
    <w:p w:rsidR="00CC3C32" w:rsidRDefault="00CC3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LucidaBright Demi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Default="00CC3C32" w:rsidP="00207A7C">
    <w:pPr>
      <w:pStyle w:val="Footer"/>
    </w:pPr>
    <w:r>
      <w:rPr>
        <w:noProof/>
        <w:lang w:eastAsia="en-AU"/>
      </w:rPr>
      <w:drawing>
        <wp:anchor distT="0" distB="0" distL="114300" distR="114300" simplePos="0" relativeHeight="251661312" behindDoc="0" locked="0" layoutInCell="1" allowOverlap="1" wp14:anchorId="3E8C1286" wp14:editId="1EAF7CDE">
          <wp:simplePos x="0" y="0"/>
          <wp:positionH relativeFrom="column">
            <wp:posOffset>4573129</wp:posOffset>
          </wp:positionH>
          <wp:positionV relativeFrom="paragraph">
            <wp:posOffset>-121648</wp:posOffset>
          </wp:positionV>
          <wp:extent cx="1861200" cy="540000"/>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Default="00CC3C32"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3C32" w:rsidRDefault="00CC3C32" w:rsidP="00607A4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Default="00CC3C32" w:rsidP="004E3EA7">
    <w:pPr>
      <w:pStyle w:val="zFooter"/>
      <w:rPr>
        <w:rStyle w:val="zRptPgNum"/>
        <w:color w:val="auto"/>
      </w:rPr>
    </w:pPr>
  </w:p>
  <w:p w:rsidR="00CC3C32" w:rsidRPr="00BC5B72" w:rsidRDefault="00CC3C32" w:rsidP="004E3EA7">
    <w:pPr>
      <w:pStyle w:val="zFooter"/>
      <w:rPr>
        <w:rStyle w:val="zRptPgNum"/>
        <w:color w:val="auto"/>
      </w:rPr>
    </w:pPr>
    <w:r>
      <w:rPr>
        <w:rStyle w:val="zRptPgNum"/>
        <w:color w:val="auto"/>
      </w:rPr>
      <w:t>A Regional Career</w:t>
    </w:r>
  </w:p>
  <w:p w:rsidR="00CC3C32" w:rsidRPr="003F347D" w:rsidRDefault="00CC3C32" w:rsidP="004E3EA7">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3D5269">
      <w:rPr>
        <w:rStyle w:val="zRptPgNum"/>
        <w:noProof/>
      </w:rPr>
      <w:t>v</w:t>
    </w:r>
    <w:r w:rsidRPr="003F347D">
      <w:rPr>
        <w:rStyle w:val="zRptPgNum"/>
      </w:rPr>
      <w:fldChar w:fldCharType="end"/>
    </w:r>
  </w:p>
  <w:p w:rsidR="00CC3C32" w:rsidRDefault="00CC3C32" w:rsidP="003415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Default="00CC3C32" w:rsidP="004E3EA7">
    <w:pPr>
      <w:pStyle w:val="zFooter"/>
      <w:rPr>
        <w:rStyle w:val="zRptPgNum"/>
        <w:color w:val="auto"/>
      </w:rPr>
    </w:pPr>
  </w:p>
  <w:p w:rsidR="00CC3C32" w:rsidRPr="00BC5B72" w:rsidRDefault="00CC3C32" w:rsidP="004E3EA7">
    <w:pPr>
      <w:pStyle w:val="zFooter"/>
      <w:rPr>
        <w:rStyle w:val="zRptPgNum"/>
        <w:color w:val="auto"/>
      </w:rPr>
    </w:pPr>
    <w:r>
      <w:rPr>
        <w:rStyle w:val="zRptPgNum"/>
        <w:color w:val="auto"/>
      </w:rPr>
      <w:t>A Regional Career</w:t>
    </w:r>
  </w:p>
  <w:p w:rsidR="00CC3C32" w:rsidRDefault="00CC3C32" w:rsidP="004E3EA7">
    <w:pPr>
      <w:pStyle w:val="zFooter"/>
      <w:rPr>
        <w:rStyle w:val="zRptPgNum"/>
      </w:rP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3D5269">
      <w:rPr>
        <w:rStyle w:val="zRptPgNum"/>
        <w:noProof/>
      </w:rPr>
      <w:t>17</w:t>
    </w:r>
    <w:r w:rsidRPr="003F347D">
      <w:rPr>
        <w:rStyle w:val="zRptPgNum"/>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Default="00CC3C32" w:rsidP="00257D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3C32" w:rsidRDefault="00CC3C32">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Default="00CC3C32" w:rsidP="00BC5B72">
    <w:pPr>
      <w:pStyle w:val="zFooter"/>
      <w:rPr>
        <w:rStyle w:val="zRptPgNum"/>
        <w:color w:val="auto"/>
      </w:rPr>
    </w:pPr>
  </w:p>
  <w:p w:rsidR="00CC3C32" w:rsidRPr="00BC5B72" w:rsidRDefault="00CC3C32" w:rsidP="00BC5B72">
    <w:pPr>
      <w:pStyle w:val="zFooter"/>
      <w:rPr>
        <w:rStyle w:val="zRptPgNum"/>
        <w:color w:val="auto"/>
      </w:rPr>
    </w:pPr>
    <w:r>
      <w:rPr>
        <w:rStyle w:val="zRptPgNum"/>
        <w:color w:val="auto"/>
      </w:rPr>
      <w:t>A Regional Career</w:t>
    </w:r>
  </w:p>
  <w:p w:rsidR="00CC3C32" w:rsidRPr="003F347D" w:rsidRDefault="00CC3C32" w:rsidP="00EA4AE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3D5269">
      <w:rPr>
        <w:rStyle w:val="zRptPgNum"/>
        <w:noProof/>
      </w:rPr>
      <w:t>8</w:t>
    </w:r>
    <w:r w:rsidRPr="003F347D">
      <w:rPr>
        <w:rStyle w:val="zRptPgNum"/>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Pr="00BC5B72" w:rsidRDefault="00CC3C32" w:rsidP="00BC5B72">
    <w:pPr>
      <w:pStyle w:val="zFooter"/>
      <w:rPr>
        <w:rStyle w:val="zRptPgNum"/>
        <w:color w:val="auto"/>
      </w:rPr>
    </w:pPr>
    <w:r>
      <w:rPr>
        <w:rStyle w:val="zRptPgNum"/>
        <w:color w:val="auto"/>
      </w:rPr>
      <w:t>A Regional Career</w:t>
    </w:r>
  </w:p>
  <w:p w:rsidR="00CC3C32" w:rsidRDefault="00CC3C32"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3D5269">
      <w:rPr>
        <w:rStyle w:val="zRptPgNum"/>
        <w:noProof/>
      </w:rPr>
      <w:t>19</w:t>
    </w:r>
    <w:r w:rsidRPr="00A60CCB">
      <w:rPr>
        <w:rStyle w:val="zRptPgNum"/>
      </w:rPr>
      <w:fldChar w:fldCharType="end"/>
    </w:r>
  </w:p>
  <w:p w:rsidR="00CC3C32" w:rsidRDefault="00CC3C3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Pr="009F61FE" w:rsidRDefault="00CC3C32"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6CA590FF" wp14:editId="26B8730F">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C32" w:rsidRDefault="00CC3C32">
                          <w:pPr>
                            <w:rPr>
                              <w:rFonts w:ascii="Arial" w:hAnsi="Arial" w:cs="Arial"/>
                              <w:color w:val="FFFFFF"/>
                            </w:rPr>
                          </w:pPr>
                        </w:p>
                        <w:p w:rsidR="00CC3C32" w:rsidRDefault="00CC3C32">
                          <w:pPr>
                            <w:rPr>
                              <w:rFonts w:ascii="Arial" w:hAnsi="Arial" w:cs="Arial"/>
                              <w:color w:val="FFFFFF"/>
                            </w:rPr>
                          </w:pPr>
                        </w:p>
                        <w:p w:rsidR="00CC3C32" w:rsidRDefault="00CC3C32">
                          <w:pPr>
                            <w:rPr>
                              <w:rFonts w:ascii="Arial" w:hAnsi="Arial" w:cs="Arial"/>
                              <w:color w:val="FFFFFF"/>
                            </w:rPr>
                          </w:pPr>
                        </w:p>
                        <w:p w:rsidR="00CC3C32" w:rsidRPr="0090189E" w:rsidRDefault="00CC3C32">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P0rw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" filled="f" stroked="f">
              <v:textbox inset=",7.2pt,,7.2pt">
                <w:txbxContent>
                  <w:p w:rsidR="00CC3C32" w:rsidRDefault="00CC3C32">
                    <w:pPr>
                      <w:rPr>
                        <w:rFonts w:ascii="Arial" w:hAnsi="Arial" w:cs="Arial"/>
                        <w:color w:val="FFFFFF"/>
                      </w:rPr>
                    </w:pPr>
                  </w:p>
                  <w:p w:rsidR="00CC3C32" w:rsidRDefault="00CC3C32">
                    <w:pPr>
                      <w:rPr>
                        <w:rFonts w:ascii="Arial" w:hAnsi="Arial" w:cs="Arial"/>
                        <w:color w:val="FFFFFF"/>
                      </w:rPr>
                    </w:pPr>
                  </w:p>
                  <w:p w:rsidR="00CC3C32" w:rsidRDefault="00CC3C32">
                    <w:pPr>
                      <w:rPr>
                        <w:rFonts w:ascii="Arial" w:hAnsi="Arial" w:cs="Arial"/>
                        <w:color w:val="FFFFFF"/>
                      </w:rPr>
                    </w:pPr>
                  </w:p>
                  <w:p w:rsidR="00CC3C32" w:rsidRPr="0090189E" w:rsidRDefault="00CC3C32">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C32" w:rsidRPr="00D07E53" w:rsidRDefault="00CC3C32">
      <w:pPr>
        <w:rPr>
          <w:color w:val="FFFFFF"/>
        </w:rPr>
      </w:pPr>
      <w:r w:rsidRPr="00D07E53">
        <w:rPr>
          <w:color w:val="FFFFFF"/>
        </w:rPr>
        <w:separator/>
      </w:r>
    </w:p>
  </w:footnote>
  <w:footnote w:type="continuationSeparator" w:id="0">
    <w:p w:rsidR="00CC3C32" w:rsidRDefault="00CC3C32">
      <w:r>
        <w:continuationSeparator/>
      </w:r>
    </w:p>
  </w:footnote>
  <w:footnote w:id="1">
    <w:p w:rsidR="00CC3C32" w:rsidRPr="005008AD" w:rsidRDefault="00CC3C32" w:rsidP="001624B0">
      <w:pPr>
        <w:pStyle w:val="FootnoteText"/>
        <w:rPr>
          <w:rFonts w:asciiTheme="minorHAnsi" w:hAnsiTheme="minorHAnsi"/>
          <w:sz w:val="16"/>
          <w:szCs w:val="16"/>
        </w:rPr>
      </w:pPr>
      <w:r>
        <w:rPr>
          <w:rStyle w:val="FootnoteReference"/>
        </w:rPr>
        <w:footnoteRef/>
      </w:r>
      <w:r>
        <w:t xml:space="preserve"> </w:t>
      </w:r>
      <w:r w:rsidRPr="005008AD">
        <w:rPr>
          <w:rFonts w:asciiTheme="minorHAnsi" w:hAnsiTheme="minorHAnsi"/>
          <w:i/>
          <w:sz w:val="16"/>
          <w:szCs w:val="16"/>
        </w:rPr>
        <w:t xml:space="preserve">ARC Linkage Project LP </w:t>
      </w:r>
      <w:r w:rsidRPr="005008AD">
        <w:rPr>
          <w:rFonts w:asciiTheme="minorHAnsi" w:hAnsiTheme="minorHAnsi"/>
          <w:bCs/>
          <w:i/>
          <w:sz w:val="16"/>
          <w:szCs w:val="16"/>
        </w:rPr>
        <w:t xml:space="preserve">LP120100212 </w:t>
      </w:r>
      <w:r>
        <w:rPr>
          <w:rFonts w:asciiTheme="minorHAnsi" w:hAnsiTheme="minorHAnsi"/>
          <w:bCs/>
          <w:i/>
          <w:sz w:val="16"/>
          <w:szCs w:val="16"/>
        </w:rPr>
        <w:t>‘</w:t>
      </w:r>
      <w:r w:rsidRPr="005008AD">
        <w:rPr>
          <w:rFonts w:asciiTheme="minorHAnsi" w:hAnsiTheme="minorHAnsi" w:cstheme="minorHAnsi"/>
          <w:bCs/>
          <w:i/>
          <w:sz w:val="16"/>
          <w:szCs w:val="16"/>
        </w:rPr>
        <w:t>Attraction and Retention: The role of mobility in educational pathways and human capital development</w:t>
      </w:r>
      <w:r>
        <w:rPr>
          <w:rFonts w:asciiTheme="minorHAnsi" w:hAnsiTheme="minorHAnsi" w:cstheme="minorHAnsi"/>
          <w:bCs/>
          <w:i/>
          <w:sz w:val="16"/>
          <w:szCs w:val="16"/>
        </w:rPr>
        <w:t>’</w:t>
      </w:r>
      <w:r w:rsidRPr="005008AD">
        <w:rPr>
          <w:rFonts w:asciiTheme="minorHAnsi" w:hAnsiTheme="minorHAnsi" w:cstheme="minorHAnsi"/>
          <w:bCs/>
          <w:i/>
          <w:sz w:val="16"/>
          <w:szCs w:val="16"/>
        </w:rPr>
        <w:t>, involving a partnership between the Victorian Government, University of Queensland, Graduate Careers Australia and Latrobe University Bendigo.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Default="00CC3C32">
    <w:pPr>
      <w:pStyle w:val="Header"/>
    </w:pPr>
    <w:r>
      <w:rPr>
        <w:noProof/>
        <w:lang w:eastAsia="en-AU"/>
      </w:rPr>
      <w:drawing>
        <wp:anchor distT="0" distB="0" distL="114300" distR="114300" simplePos="0" relativeHeight="251657216" behindDoc="1" locked="0" layoutInCell="1" allowOverlap="1" wp14:anchorId="15A3E6D7" wp14:editId="4BDB7E60">
          <wp:simplePos x="0" y="0"/>
          <wp:positionH relativeFrom="column">
            <wp:posOffset>-342900</wp:posOffset>
          </wp:positionH>
          <wp:positionV relativeFrom="paragraph">
            <wp:posOffset>-111760</wp:posOffset>
          </wp:positionV>
          <wp:extent cx="6805295" cy="3149600"/>
          <wp:effectExtent l="0" t="0" r="0" b="0"/>
          <wp:wrapNone/>
          <wp:docPr id="22" name="Picture 2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Default="00CC3C32" w:rsidP="00257DB0">
    <w:pPr>
      <w:pStyle w:val="Header"/>
      <w:jc w:val="right"/>
      <w:rPr>
        <w:rFonts w:asciiTheme="minorHAnsi" w:hAnsiTheme="minorHAnsi"/>
        <w:i/>
      </w:rPr>
    </w:pPr>
    <w:r>
      <w:rPr>
        <w:rFonts w:asciiTheme="minorHAnsi" w:hAnsiTheme="minorHAnsi"/>
        <w:i/>
      </w:rPr>
      <w:t>Policy Implications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Pr="00A8111C" w:rsidRDefault="00CC3C32" w:rsidP="00257DB0">
    <w:pPr>
      <w:pStyle w:val="Header"/>
      <w:jc w:val="right"/>
      <w:rPr>
        <w:rFonts w:asciiTheme="minorHAnsi" w:hAnsiTheme="minorHAnsi"/>
        <w:i/>
      </w:rPr>
    </w:pPr>
    <w:r>
      <w:rPr>
        <w:rFonts w:asciiTheme="minorHAnsi" w:hAnsiTheme="minorHAnsi"/>
        <w:i/>
      </w:rPr>
      <w:t>References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Default="00CC3C32" w:rsidP="00BC5B72">
    <w:pPr>
      <w:pStyle w:val="Header"/>
      <w:jc w:val="right"/>
      <w:rPr>
        <w:rFonts w:asciiTheme="minorHAnsi" w:hAnsiTheme="minorHAnsi"/>
        <w:i/>
      </w:rPr>
    </w:pPr>
    <w:r>
      <w:rPr>
        <w:rFonts w:asciiTheme="minorHAnsi" w:hAnsiTheme="minorHAnsi"/>
        <w:i/>
      </w:rPr>
      <w:t>References</w:t>
    </w:r>
  </w:p>
  <w:p w:rsidR="00CC3C32" w:rsidRPr="00A8111C" w:rsidRDefault="00CC3C32" w:rsidP="00BC5B72">
    <w:pPr>
      <w:pStyle w:val="Header"/>
      <w:spacing w:line="360" w:lineRule="auto"/>
      <w:jc w:val="right"/>
      <w:rPr>
        <w:rFonts w:asciiTheme="minorHAnsi" w:hAnsiTheme="minorHAnsi"/>
        <w:i/>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Default="00CC3C32" w:rsidP="00BC5B72">
    <w:pPr>
      <w:pStyle w:val="Header"/>
      <w:jc w:val="right"/>
      <w:rPr>
        <w:rFonts w:asciiTheme="minorHAnsi" w:hAnsiTheme="minorHAnsi"/>
        <w:i/>
      </w:rPr>
    </w:pPr>
    <w:r>
      <w:rPr>
        <w:rFonts w:asciiTheme="minorHAnsi" w:hAnsiTheme="minorHAnsi"/>
        <w:i/>
      </w:rPr>
      <w:t>Appendix</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Default="00CC3C32" w:rsidP="009046B1">
    <w:pPr>
      <w:pStyle w:val="zHeader"/>
    </w:pPr>
    <w:r>
      <w:rPr>
        <w:noProof/>
        <w:lang w:eastAsia="en-AU"/>
      </w:rPr>
      <w:drawing>
        <wp:anchor distT="0" distB="0" distL="114300" distR="114300" simplePos="0" relativeHeight="251656192" behindDoc="1" locked="0" layoutInCell="1" allowOverlap="1" wp14:anchorId="4710D377" wp14:editId="6B8D504C">
          <wp:simplePos x="0" y="0"/>
          <wp:positionH relativeFrom="column">
            <wp:posOffset>-353060</wp:posOffset>
          </wp:positionH>
          <wp:positionV relativeFrom="paragraph">
            <wp:posOffset>-101600</wp:posOffset>
          </wp:positionV>
          <wp:extent cx="6837680" cy="9627870"/>
          <wp:effectExtent l="0" t="0" r="1270" b="0"/>
          <wp:wrapNone/>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Default="00CC3C32" w:rsidP="003424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Default="00CC3C32" w:rsidP="00BC5B72">
    <w:pPr>
      <w:pStyle w:val="zHeader"/>
      <w:spacing w:line="36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Pr="00A8111C" w:rsidRDefault="00CC3C32" w:rsidP="00257DB0">
    <w:pPr>
      <w:pStyle w:val="Header"/>
      <w:jc w:val="right"/>
      <w:rPr>
        <w:rFonts w:asciiTheme="minorHAnsi" w:hAnsiTheme="minorHAnsi"/>
        <w:i/>
      </w:rPr>
    </w:pPr>
    <w:r>
      <w:rPr>
        <w:rFonts w:asciiTheme="minorHAnsi" w:hAnsiTheme="minorHAnsi"/>
        <w:i/>
      </w:rPr>
      <w:t>Summary of Key Findings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Pr="00A8111C" w:rsidRDefault="00CC3C32" w:rsidP="00257DB0">
    <w:pPr>
      <w:pStyle w:val="Header"/>
      <w:jc w:val="right"/>
      <w:rPr>
        <w:rFonts w:asciiTheme="minorHAnsi" w:hAnsiTheme="minorHAnsi"/>
        <w:i/>
      </w:rPr>
    </w:pPr>
    <w:r>
      <w:rPr>
        <w:rFonts w:asciiTheme="minorHAnsi" w:hAnsiTheme="minorHAnsi"/>
        <w:i/>
      </w:rPr>
      <w:t>Introduction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Pr="0098223D" w:rsidRDefault="00CC3C32" w:rsidP="0098223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Pr="00A8111C" w:rsidRDefault="00CC3C32" w:rsidP="00257DB0">
    <w:pPr>
      <w:pStyle w:val="Header"/>
      <w:jc w:val="right"/>
      <w:rPr>
        <w:rFonts w:asciiTheme="minorHAnsi" w:hAnsiTheme="minorHAnsi"/>
        <w:i/>
      </w:rPr>
    </w:pPr>
    <w:r>
      <w:rPr>
        <w:rFonts w:asciiTheme="minorHAnsi" w:hAnsiTheme="minorHAnsi"/>
        <w:i/>
      </w:rPr>
      <w:t>The Bendigo Survey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Pr="00A8111C" w:rsidRDefault="00CC3C32" w:rsidP="00257DB0">
    <w:pPr>
      <w:pStyle w:val="Header"/>
      <w:jc w:val="right"/>
      <w:rPr>
        <w:rFonts w:asciiTheme="minorHAnsi" w:hAnsiTheme="minorHAnsi"/>
        <w:i/>
      </w:rPr>
    </w:pPr>
    <w:r>
      <w:rPr>
        <w:rFonts w:asciiTheme="minorHAnsi" w:hAnsiTheme="minorHAnsi"/>
        <w:i/>
      </w:rPr>
      <w:t>Survey Findings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C32" w:rsidRPr="0098223D" w:rsidRDefault="00CC3C32" w:rsidP="009822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EF0AEF"/>
    <w:multiLevelType w:val="hybridMultilevel"/>
    <w:tmpl w:val="3236921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95C4BB1"/>
    <w:multiLevelType w:val="hybridMultilevel"/>
    <w:tmpl w:val="172C5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FCE0C77"/>
    <w:multiLevelType w:val="hybridMultilevel"/>
    <w:tmpl w:val="E774F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B2A5C9E"/>
    <w:multiLevelType w:val="hybridMultilevel"/>
    <w:tmpl w:val="E8280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DEE5E75"/>
    <w:multiLevelType w:val="hybridMultilevel"/>
    <w:tmpl w:val="D4B255D4"/>
    <w:lvl w:ilvl="0" w:tplc="E21CE7A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E2F1AB8"/>
    <w:multiLevelType w:val="hybridMultilevel"/>
    <w:tmpl w:val="532E7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0014B45"/>
    <w:multiLevelType w:val="hybridMultilevel"/>
    <w:tmpl w:val="A5CC1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15"/>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2"/>
  </w:num>
  <w:num w:numId="16">
    <w:abstractNumId w:val="11"/>
  </w:num>
  <w:num w:numId="17">
    <w:abstractNumId w:val="20"/>
  </w:num>
  <w:num w:numId="18">
    <w:abstractNumId w:val="10"/>
  </w:num>
  <w:num w:numId="19">
    <w:abstractNumId w:val="21"/>
  </w:num>
  <w:num w:numId="20">
    <w:abstractNumId w:val="18"/>
  </w:num>
  <w:num w:numId="21">
    <w:abstractNumId w:val="19"/>
  </w:num>
  <w:num w:numId="22">
    <w:abstractNumId w:val="17"/>
  </w:num>
  <w:num w:numId="23">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activeWritingStyle w:appName="MSWord" w:lang="en-US" w:vendorID="64" w:dllVersion="131078" w:nlCheck="1" w:checkStyle="1"/>
  <w:activeWritingStyle w:appName="MSWord" w:lang="en-AU" w:vendorID="64" w:dllVersion="131078" w:nlCheck="1" w:checkStyle="1"/>
  <w:proofState w:spelling="clean"/>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3CB6"/>
    <w:rsid w:val="00012793"/>
    <w:rsid w:val="00013A7D"/>
    <w:rsid w:val="00014002"/>
    <w:rsid w:val="00033DF0"/>
    <w:rsid w:val="000374FB"/>
    <w:rsid w:val="00040071"/>
    <w:rsid w:val="00041156"/>
    <w:rsid w:val="00045E26"/>
    <w:rsid w:val="00055FB4"/>
    <w:rsid w:val="00056C4A"/>
    <w:rsid w:val="00060A68"/>
    <w:rsid w:val="00073528"/>
    <w:rsid w:val="00076886"/>
    <w:rsid w:val="0008754B"/>
    <w:rsid w:val="0009699E"/>
    <w:rsid w:val="00097103"/>
    <w:rsid w:val="000A0B08"/>
    <w:rsid w:val="000A5E54"/>
    <w:rsid w:val="000B2F13"/>
    <w:rsid w:val="000C3259"/>
    <w:rsid w:val="000D009F"/>
    <w:rsid w:val="000D2EED"/>
    <w:rsid w:val="000D6651"/>
    <w:rsid w:val="000D7D7C"/>
    <w:rsid w:val="000E02A3"/>
    <w:rsid w:val="000E0643"/>
    <w:rsid w:val="000E0D72"/>
    <w:rsid w:val="000E3720"/>
    <w:rsid w:val="000E6BF2"/>
    <w:rsid w:val="000F47DD"/>
    <w:rsid w:val="000F64DD"/>
    <w:rsid w:val="000F6CD2"/>
    <w:rsid w:val="00100BAC"/>
    <w:rsid w:val="00120C40"/>
    <w:rsid w:val="00125205"/>
    <w:rsid w:val="00131B54"/>
    <w:rsid w:val="00145283"/>
    <w:rsid w:val="001624B0"/>
    <w:rsid w:val="0016331C"/>
    <w:rsid w:val="00177115"/>
    <w:rsid w:val="00197814"/>
    <w:rsid w:val="001A0551"/>
    <w:rsid w:val="001A243B"/>
    <w:rsid w:val="001B2EC4"/>
    <w:rsid w:val="001C0147"/>
    <w:rsid w:val="001C459C"/>
    <w:rsid w:val="001D6D64"/>
    <w:rsid w:val="001E117A"/>
    <w:rsid w:val="001E2024"/>
    <w:rsid w:val="001E5CCD"/>
    <w:rsid w:val="001E7978"/>
    <w:rsid w:val="001F0158"/>
    <w:rsid w:val="00207A7C"/>
    <w:rsid w:val="00212907"/>
    <w:rsid w:val="00214DC9"/>
    <w:rsid w:val="00223F32"/>
    <w:rsid w:val="00225AA9"/>
    <w:rsid w:val="00235C7F"/>
    <w:rsid w:val="00236B80"/>
    <w:rsid w:val="002437AA"/>
    <w:rsid w:val="0025127D"/>
    <w:rsid w:val="002526EA"/>
    <w:rsid w:val="00256EAC"/>
    <w:rsid w:val="00257BF1"/>
    <w:rsid w:val="00257DB0"/>
    <w:rsid w:val="0026474F"/>
    <w:rsid w:val="00271F1F"/>
    <w:rsid w:val="00274E8B"/>
    <w:rsid w:val="00281AEE"/>
    <w:rsid w:val="00283141"/>
    <w:rsid w:val="002846A5"/>
    <w:rsid w:val="00285925"/>
    <w:rsid w:val="00285FC1"/>
    <w:rsid w:val="002A0D3A"/>
    <w:rsid w:val="002A171E"/>
    <w:rsid w:val="002A32B9"/>
    <w:rsid w:val="002A565A"/>
    <w:rsid w:val="002C5BA2"/>
    <w:rsid w:val="002E0F63"/>
    <w:rsid w:val="002F042B"/>
    <w:rsid w:val="002F5B92"/>
    <w:rsid w:val="00300EAD"/>
    <w:rsid w:val="00300F72"/>
    <w:rsid w:val="00313D35"/>
    <w:rsid w:val="0033002F"/>
    <w:rsid w:val="00330679"/>
    <w:rsid w:val="00340671"/>
    <w:rsid w:val="00341520"/>
    <w:rsid w:val="00342235"/>
    <w:rsid w:val="003424E6"/>
    <w:rsid w:val="003442F7"/>
    <w:rsid w:val="003569C4"/>
    <w:rsid w:val="0036305A"/>
    <w:rsid w:val="00364027"/>
    <w:rsid w:val="00371E21"/>
    <w:rsid w:val="00373A86"/>
    <w:rsid w:val="003760E7"/>
    <w:rsid w:val="003778E8"/>
    <w:rsid w:val="003817EB"/>
    <w:rsid w:val="00390622"/>
    <w:rsid w:val="003917F9"/>
    <w:rsid w:val="0039238A"/>
    <w:rsid w:val="00392F99"/>
    <w:rsid w:val="00396A82"/>
    <w:rsid w:val="003B1144"/>
    <w:rsid w:val="003C2D33"/>
    <w:rsid w:val="003C3D6D"/>
    <w:rsid w:val="003C7111"/>
    <w:rsid w:val="003D36D3"/>
    <w:rsid w:val="003D45A2"/>
    <w:rsid w:val="003D5269"/>
    <w:rsid w:val="003E1C93"/>
    <w:rsid w:val="003E293E"/>
    <w:rsid w:val="003E32C8"/>
    <w:rsid w:val="003E6A45"/>
    <w:rsid w:val="003F28B2"/>
    <w:rsid w:val="003F347D"/>
    <w:rsid w:val="003F5344"/>
    <w:rsid w:val="003F7936"/>
    <w:rsid w:val="00402B41"/>
    <w:rsid w:val="004136E3"/>
    <w:rsid w:val="004163A3"/>
    <w:rsid w:val="00420F4A"/>
    <w:rsid w:val="00422EA7"/>
    <w:rsid w:val="00425621"/>
    <w:rsid w:val="00431547"/>
    <w:rsid w:val="00431C87"/>
    <w:rsid w:val="00437824"/>
    <w:rsid w:val="00444D9F"/>
    <w:rsid w:val="004454A1"/>
    <w:rsid w:val="004536DF"/>
    <w:rsid w:val="00455AC0"/>
    <w:rsid w:val="004578FA"/>
    <w:rsid w:val="00462F45"/>
    <w:rsid w:val="00483C85"/>
    <w:rsid w:val="00485FF4"/>
    <w:rsid w:val="004A1E00"/>
    <w:rsid w:val="004A79D2"/>
    <w:rsid w:val="004C2609"/>
    <w:rsid w:val="004C76F0"/>
    <w:rsid w:val="004D02EB"/>
    <w:rsid w:val="004D21CD"/>
    <w:rsid w:val="004D5834"/>
    <w:rsid w:val="004E38AE"/>
    <w:rsid w:val="004E3EA7"/>
    <w:rsid w:val="004E6888"/>
    <w:rsid w:val="004F13A2"/>
    <w:rsid w:val="004F572C"/>
    <w:rsid w:val="005008AD"/>
    <w:rsid w:val="005020AA"/>
    <w:rsid w:val="00505ED0"/>
    <w:rsid w:val="0050769F"/>
    <w:rsid w:val="00507F90"/>
    <w:rsid w:val="00513E41"/>
    <w:rsid w:val="005211F6"/>
    <w:rsid w:val="00533C54"/>
    <w:rsid w:val="005356D9"/>
    <w:rsid w:val="00536BA8"/>
    <w:rsid w:val="00540762"/>
    <w:rsid w:val="00543898"/>
    <w:rsid w:val="00550F27"/>
    <w:rsid w:val="00553895"/>
    <w:rsid w:val="0055594E"/>
    <w:rsid w:val="00555DED"/>
    <w:rsid w:val="00557B67"/>
    <w:rsid w:val="00561093"/>
    <w:rsid w:val="00565E0D"/>
    <w:rsid w:val="00566FE3"/>
    <w:rsid w:val="0058018B"/>
    <w:rsid w:val="00590EF3"/>
    <w:rsid w:val="005A2157"/>
    <w:rsid w:val="005A540A"/>
    <w:rsid w:val="005B04AD"/>
    <w:rsid w:val="005B11C2"/>
    <w:rsid w:val="005B6C08"/>
    <w:rsid w:val="005C0C61"/>
    <w:rsid w:val="005C5BE0"/>
    <w:rsid w:val="005C7E23"/>
    <w:rsid w:val="005D1F57"/>
    <w:rsid w:val="005D2354"/>
    <w:rsid w:val="005D2D85"/>
    <w:rsid w:val="005D7CB2"/>
    <w:rsid w:val="005E2C8F"/>
    <w:rsid w:val="005F178A"/>
    <w:rsid w:val="00606451"/>
    <w:rsid w:val="00607A4C"/>
    <w:rsid w:val="006156E5"/>
    <w:rsid w:val="00624EAC"/>
    <w:rsid w:val="00642596"/>
    <w:rsid w:val="0064396E"/>
    <w:rsid w:val="0065086D"/>
    <w:rsid w:val="00664FE7"/>
    <w:rsid w:val="0066692C"/>
    <w:rsid w:val="0067421F"/>
    <w:rsid w:val="00674FD6"/>
    <w:rsid w:val="00675636"/>
    <w:rsid w:val="00677847"/>
    <w:rsid w:val="00680549"/>
    <w:rsid w:val="006A26BE"/>
    <w:rsid w:val="006B3519"/>
    <w:rsid w:val="006C2C00"/>
    <w:rsid w:val="006C3999"/>
    <w:rsid w:val="006D70B3"/>
    <w:rsid w:val="006F39C5"/>
    <w:rsid w:val="006F707D"/>
    <w:rsid w:val="00706E7C"/>
    <w:rsid w:val="00733C34"/>
    <w:rsid w:val="00734C03"/>
    <w:rsid w:val="00752FC9"/>
    <w:rsid w:val="00756071"/>
    <w:rsid w:val="00761A8B"/>
    <w:rsid w:val="007663A2"/>
    <w:rsid w:val="00767F2D"/>
    <w:rsid w:val="00787030"/>
    <w:rsid w:val="007A3996"/>
    <w:rsid w:val="007C511C"/>
    <w:rsid w:val="007C5478"/>
    <w:rsid w:val="007C7A32"/>
    <w:rsid w:val="007D4C11"/>
    <w:rsid w:val="007D642E"/>
    <w:rsid w:val="007E189A"/>
    <w:rsid w:val="007E2CC1"/>
    <w:rsid w:val="007F7CF6"/>
    <w:rsid w:val="00800102"/>
    <w:rsid w:val="00801A56"/>
    <w:rsid w:val="00801C7E"/>
    <w:rsid w:val="00805556"/>
    <w:rsid w:val="00807E7F"/>
    <w:rsid w:val="0081276B"/>
    <w:rsid w:val="00812E3E"/>
    <w:rsid w:val="00815DD4"/>
    <w:rsid w:val="008231E7"/>
    <w:rsid w:val="00823529"/>
    <w:rsid w:val="00823E6F"/>
    <w:rsid w:val="0083541B"/>
    <w:rsid w:val="00837ECD"/>
    <w:rsid w:val="00842339"/>
    <w:rsid w:val="00844C4C"/>
    <w:rsid w:val="00846AED"/>
    <w:rsid w:val="00852A30"/>
    <w:rsid w:val="00863193"/>
    <w:rsid w:val="00881868"/>
    <w:rsid w:val="00892A8D"/>
    <w:rsid w:val="008A0B6E"/>
    <w:rsid w:val="008A6BBA"/>
    <w:rsid w:val="008A7E20"/>
    <w:rsid w:val="008B4C3C"/>
    <w:rsid w:val="008B61B5"/>
    <w:rsid w:val="008C345D"/>
    <w:rsid w:val="008D09F0"/>
    <w:rsid w:val="008D5ABD"/>
    <w:rsid w:val="008F4372"/>
    <w:rsid w:val="008F4932"/>
    <w:rsid w:val="0090189E"/>
    <w:rsid w:val="00902037"/>
    <w:rsid w:val="009046B1"/>
    <w:rsid w:val="00926BDE"/>
    <w:rsid w:val="009354F3"/>
    <w:rsid w:val="00940315"/>
    <w:rsid w:val="00942323"/>
    <w:rsid w:val="00951623"/>
    <w:rsid w:val="009575FF"/>
    <w:rsid w:val="00962D3B"/>
    <w:rsid w:val="00963A50"/>
    <w:rsid w:val="009730D5"/>
    <w:rsid w:val="00981EA2"/>
    <w:rsid w:val="0098223D"/>
    <w:rsid w:val="00982B80"/>
    <w:rsid w:val="00991C27"/>
    <w:rsid w:val="00992BDA"/>
    <w:rsid w:val="00995AD5"/>
    <w:rsid w:val="0099652F"/>
    <w:rsid w:val="009B32D7"/>
    <w:rsid w:val="009B3A02"/>
    <w:rsid w:val="009B3C98"/>
    <w:rsid w:val="009C3727"/>
    <w:rsid w:val="009C4216"/>
    <w:rsid w:val="009D011B"/>
    <w:rsid w:val="009D61CA"/>
    <w:rsid w:val="009E2DB6"/>
    <w:rsid w:val="009E7DEB"/>
    <w:rsid w:val="009F4E32"/>
    <w:rsid w:val="009F61FE"/>
    <w:rsid w:val="00A0021E"/>
    <w:rsid w:val="00A03F1F"/>
    <w:rsid w:val="00A04614"/>
    <w:rsid w:val="00A05C25"/>
    <w:rsid w:val="00A068E6"/>
    <w:rsid w:val="00A06DBA"/>
    <w:rsid w:val="00A1529A"/>
    <w:rsid w:val="00A15796"/>
    <w:rsid w:val="00A2138F"/>
    <w:rsid w:val="00A378C9"/>
    <w:rsid w:val="00A37BFA"/>
    <w:rsid w:val="00A43966"/>
    <w:rsid w:val="00A44130"/>
    <w:rsid w:val="00A60CCB"/>
    <w:rsid w:val="00A62498"/>
    <w:rsid w:val="00A67D11"/>
    <w:rsid w:val="00A730A4"/>
    <w:rsid w:val="00A735F0"/>
    <w:rsid w:val="00A74AEE"/>
    <w:rsid w:val="00A75160"/>
    <w:rsid w:val="00A827BC"/>
    <w:rsid w:val="00A84187"/>
    <w:rsid w:val="00A84DFA"/>
    <w:rsid w:val="00A85081"/>
    <w:rsid w:val="00A85977"/>
    <w:rsid w:val="00A86190"/>
    <w:rsid w:val="00A94AB2"/>
    <w:rsid w:val="00A94EC1"/>
    <w:rsid w:val="00AA289E"/>
    <w:rsid w:val="00AA46F6"/>
    <w:rsid w:val="00AA56D9"/>
    <w:rsid w:val="00AB0BF9"/>
    <w:rsid w:val="00AB7602"/>
    <w:rsid w:val="00AC504C"/>
    <w:rsid w:val="00AE01DA"/>
    <w:rsid w:val="00AE37B5"/>
    <w:rsid w:val="00AE7B03"/>
    <w:rsid w:val="00AF4DB4"/>
    <w:rsid w:val="00AF7962"/>
    <w:rsid w:val="00B025B6"/>
    <w:rsid w:val="00B02815"/>
    <w:rsid w:val="00B04420"/>
    <w:rsid w:val="00B05E91"/>
    <w:rsid w:val="00B06452"/>
    <w:rsid w:val="00B106DA"/>
    <w:rsid w:val="00B23AA8"/>
    <w:rsid w:val="00B27FAD"/>
    <w:rsid w:val="00B3061B"/>
    <w:rsid w:val="00B32165"/>
    <w:rsid w:val="00B33849"/>
    <w:rsid w:val="00B46211"/>
    <w:rsid w:val="00B508B8"/>
    <w:rsid w:val="00B508D5"/>
    <w:rsid w:val="00B5151F"/>
    <w:rsid w:val="00B55FDF"/>
    <w:rsid w:val="00B5600F"/>
    <w:rsid w:val="00B67EE7"/>
    <w:rsid w:val="00B805D7"/>
    <w:rsid w:val="00B821B9"/>
    <w:rsid w:val="00BA6A23"/>
    <w:rsid w:val="00BB0B9C"/>
    <w:rsid w:val="00BB3608"/>
    <w:rsid w:val="00BB37E4"/>
    <w:rsid w:val="00BB6A87"/>
    <w:rsid w:val="00BC3D21"/>
    <w:rsid w:val="00BC5032"/>
    <w:rsid w:val="00BC5B72"/>
    <w:rsid w:val="00BD2D1B"/>
    <w:rsid w:val="00BD581E"/>
    <w:rsid w:val="00BD60B6"/>
    <w:rsid w:val="00C005CE"/>
    <w:rsid w:val="00C11190"/>
    <w:rsid w:val="00C1159A"/>
    <w:rsid w:val="00C16DF2"/>
    <w:rsid w:val="00C2496E"/>
    <w:rsid w:val="00C25E19"/>
    <w:rsid w:val="00C269A4"/>
    <w:rsid w:val="00C34E24"/>
    <w:rsid w:val="00C40D68"/>
    <w:rsid w:val="00C4279C"/>
    <w:rsid w:val="00C46B5E"/>
    <w:rsid w:val="00C644EC"/>
    <w:rsid w:val="00C772CA"/>
    <w:rsid w:val="00C85338"/>
    <w:rsid w:val="00C87290"/>
    <w:rsid w:val="00CA19B7"/>
    <w:rsid w:val="00CA5BBE"/>
    <w:rsid w:val="00CA77CB"/>
    <w:rsid w:val="00CA79F4"/>
    <w:rsid w:val="00CB2060"/>
    <w:rsid w:val="00CB33BB"/>
    <w:rsid w:val="00CC3C32"/>
    <w:rsid w:val="00CC4DEE"/>
    <w:rsid w:val="00CD3A25"/>
    <w:rsid w:val="00CD761E"/>
    <w:rsid w:val="00CE6306"/>
    <w:rsid w:val="00CF34D9"/>
    <w:rsid w:val="00CF3B6C"/>
    <w:rsid w:val="00D00C9C"/>
    <w:rsid w:val="00D01FF7"/>
    <w:rsid w:val="00D07E53"/>
    <w:rsid w:val="00D103DE"/>
    <w:rsid w:val="00D123B4"/>
    <w:rsid w:val="00D1327F"/>
    <w:rsid w:val="00D14A18"/>
    <w:rsid w:val="00D2183A"/>
    <w:rsid w:val="00D22218"/>
    <w:rsid w:val="00D23981"/>
    <w:rsid w:val="00D41508"/>
    <w:rsid w:val="00D5067A"/>
    <w:rsid w:val="00D57FF0"/>
    <w:rsid w:val="00D73482"/>
    <w:rsid w:val="00D7453D"/>
    <w:rsid w:val="00D842A9"/>
    <w:rsid w:val="00D85184"/>
    <w:rsid w:val="00D923BD"/>
    <w:rsid w:val="00D95343"/>
    <w:rsid w:val="00D9706E"/>
    <w:rsid w:val="00DA0042"/>
    <w:rsid w:val="00DC1725"/>
    <w:rsid w:val="00DC7F99"/>
    <w:rsid w:val="00DD4D27"/>
    <w:rsid w:val="00DE01BF"/>
    <w:rsid w:val="00DF0074"/>
    <w:rsid w:val="00DF217F"/>
    <w:rsid w:val="00E077D0"/>
    <w:rsid w:val="00E117EF"/>
    <w:rsid w:val="00E175AF"/>
    <w:rsid w:val="00E17C94"/>
    <w:rsid w:val="00E24FB5"/>
    <w:rsid w:val="00E3428D"/>
    <w:rsid w:val="00E44745"/>
    <w:rsid w:val="00E51072"/>
    <w:rsid w:val="00E531CC"/>
    <w:rsid w:val="00E56D27"/>
    <w:rsid w:val="00E6278D"/>
    <w:rsid w:val="00E64CCC"/>
    <w:rsid w:val="00E66E62"/>
    <w:rsid w:val="00E673C4"/>
    <w:rsid w:val="00E761BA"/>
    <w:rsid w:val="00E83113"/>
    <w:rsid w:val="00E8448C"/>
    <w:rsid w:val="00E84A68"/>
    <w:rsid w:val="00E85945"/>
    <w:rsid w:val="00E94FE7"/>
    <w:rsid w:val="00EA2D70"/>
    <w:rsid w:val="00EA31C2"/>
    <w:rsid w:val="00EA3DE8"/>
    <w:rsid w:val="00EA4AEF"/>
    <w:rsid w:val="00EB08D9"/>
    <w:rsid w:val="00EB75EA"/>
    <w:rsid w:val="00EC46D9"/>
    <w:rsid w:val="00EC6234"/>
    <w:rsid w:val="00EC6F19"/>
    <w:rsid w:val="00EC7268"/>
    <w:rsid w:val="00EE2AC3"/>
    <w:rsid w:val="00EF1770"/>
    <w:rsid w:val="00EF6205"/>
    <w:rsid w:val="00F101D6"/>
    <w:rsid w:val="00F147B0"/>
    <w:rsid w:val="00F17F45"/>
    <w:rsid w:val="00F221DA"/>
    <w:rsid w:val="00F3080E"/>
    <w:rsid w:val="00F44BA3"/>
    <w:rsid w:val="00F46148"/>
    <w:rsid w:val="00F50943"/>
    <w:rsid w:val="00F50ECA"/>
    <w:rsid w:val="00F5683B"/>
    <w:rsid w:val="00F649B6"/>
    <w:rsid w:val="00F66A2D"/>
    <w:rsid w:val="00F708C3"/>
    <w:rsid w:val="00F71E9A"/>
    <w:rsid w:val="00F765D8"/>
    <w:rsid w:val="00F90092"/>
    <w:rsid w:val="00F93DA0"/>
    <w:rsid w:val="00F94CDA"/>
    <w:rsid w:val="00F957B6"/>
    <w:rsid w:val="00F95C7C"/>
    <w:rsid w:val="00FB20BC"/>
    <w:rsid w:val="00FB2531"/>
    <w:rsid w:val="00FB2ECD"/>
    <w:rsid w:val="00FC02F4"/>
    <w:rsid w:val="00FD1C6D"/>
    <w:rsid w:val="00FE229F"/>
    <w:rsid w:val="00FE2DB9"/>
    <w:rsid w:val="00FE71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footnote text" w:uiPriority="99"/>
    <w:lsdException w:name="annotation text" w:uiPriority="99"/>
    <w:lsdException w:name="footer" w:uiPriority="99"/>
    <w:lsdException w:name="index heading" w:semiHidden="1"/>
    <w:lsdException w:name="caption" w:semiHidden="1" w:uiPriority="99" w:unhideWhenUsed="1" w:qFormat="1"/>
    <w:lsdException w:name="table of figures" w:semiHidden="1"/>
    <w:lsdException w:name="footnote reference" w:uiPriority="99"/>
    <w:lsdException w:name="annotation reference" w:uiPriority="99"/>
    <w:lsdException w:name="endnote reference" w:semiHidden="1" w:uiPriority="99"/>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aliases w:val="head 1"/>
    <w:basedOn w:val="Normal"/>
    <w:next w:val="Normal"/>
    <w:link w:val="Heading1Char"/>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link w:val="HeaderChar"/>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DC7F99"/>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link w:val="CaptionChar"/>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uiPriority w:val="99"/>
    <w:semiHidden/>
    <w:rsid w:val="00FB2ECD"/>
    <w:rPr>
      <w:rFonts w:ascii="Tahoma" w:hAnsi="Tahoma" w:cs="Tahoma"/>
      <w:sz w:val="16"/>
      <w:szCs w:val="16"/>
    </w:rPr>
  </w:style>
  <w:style w:type="paragraph" w:customStyle="1" w:styleId="HA">
    <w:name w:val="_HA"/>
    <w:next w:val="Normal"/>
    <w:link w:val="HAChar"/>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link w:val="HBChar"/>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link w:val="HCChar"/>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link w:val="HDChar"/>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link w:val="TblBdyChar"/>
    <w:uiPriority w:val="1"/>
    <w:qFormat/>
    <w:rsid w:val="00DC7F99"/>
    <w:pPr>
      <w:spacing w:before="80" w:after="60"/>
    </w:pPr>
    <w:rPr>
      <w:rFonts w:ascii="Calibri" w:hAnsi="Calibri" w:cs="Arial"/>
      <w:sz w:val="22"/>
      <w:szCs w:val="24"/>
      <w:lang w:eastAsia="en-US"/>
    </w:rPr>
  </w:style>
  <w:style w:type="paragraph" w:customStyle="1" w:styleId="TblHd">
    <w:name w:val="_TblHd"/>
    <w:link w:val="TblHdChar"/>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4578FA"/>
    <w:pPr>
      <w:spacing w:after="120"/>
    </w:pPr>
  </w:style>
  <w:style w:type="paragraph" w:styleId="BodyText2">
    <w:name w:val="Body Text 2"/>
    <w:basedOn w:val="Normal"/>
    <w:link w:val="BodyText2Char"/>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link w:val="BodyTextIndentChar"/>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link w:val="BodyTextIndent2Char"/>
    <w:rsid w:val="004578FA"/>
    <w:pPr>
      <w:spacing w:after="120" w:line="480" w:lineRule="auto"/>
      <w:ind w:left="283"/>
    </w:pPr>
  </w:style>
  <w:style w:type="paragraph" w:styleId="BodyTextIndent3">
    <w:name w:val="Body Text Indent 3"/>
    <w:basedOn w:val="Normal"/>
    <w:link w:val="BodyTextIndent3Char"/>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link w:val="HTMLAddressChar"/>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aliases w:val="List Bullet Char"/>
    <w:basedOn w:val="Normal"/>
    <w:link w:val="ListBulletChar1"/>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uiPriority w:val="99"/>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link w:val="TOC2Char"/>
    <w:autoRedefine/>
    <w:uiPriority w:val="39"/>
    <w:rsid w:val="00536BA8"/>
    <w:pPr>
      <w:tabs>
        <w:tab w:val="right" w:pos="9629"/>
      </w:tabs>
      <w:spacing w:after="60"/>
    </w:pPr>
    <w:rPr>
      <w:noProof/>
      <w:szCs w:val="18"/>
    </w:rPr>
  </w:style>
  <w:style w:type="paragraph" w:styleId="TOC1">
    <w:name w:val="toc 1"/>
    <w:basedOn w:val="Normal"/>
    <w:next w:val="Normal"/>
    <w:link w:val="TOC1Char"/>
    <w:autoRedefine/>
    <w:uiPriority w:val="39"/>
    <w:rsid w:val="00D7453D"/>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link w:val="TableTitleChar"/>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uiPriority w:val="99"/>
    <w:semiHidden/>
    <w:rsid w:val="00DC1725"/>
    <w:rPr>
      <w:rFonts w:ascii="Tahoma" w:hAnsi="Tahoma" w:cs="Tahoma"/>
      <w:sz w:val="16"/>
      <w:szCs w:val="16"/>
      <w:lang w:eastAsia="en-US"/>
    </w:rPr>
  </w:style>
  <w:style w:type="character" w:styleId="CommentReference">
    <w:name w:val="annotation reference"/>
    <w:uiPriority w:val="99"/>
    <w:semiHidden/>
    <w:rsid w:val="008F4372"/>
    <w:rPr>
      <w:sz w:val="16"/>
      <w:szCs w:val="16"/>
    </w:rPr>
  </w:style>
  <w:style w:type="paragraph" w:styleId="CommentText">
    <w:name w:val="annotation text"/>
    <w:basedOn w:val="Normal"/>
    <w:link w:val="CommentTextChar"/>
    <w:uiPriority w:val="99"/>
    <w:semiHidden/>
    <w:rsid w:val="008F4372"/>
    <w:rPr>
      <w:szCs w:val="20"/>
    </w:rPr>
  </w:style>
  <w:style w:type="character" w:customStyle="1" w:styleId="CommentTextChar">
    <w:name w:val="Comment Text Char"/>
    <w:link w:val="CommentText"/>
    <w:uiPriority w:val="99"/>
    <w:semiHidden/>
    <w:rsid w:val="00DC1725"/>
    <w:rPr>
      <w:lang w:eastAsia="en-US"/>
    </w:rPr>
  </w:style>
  <w:style w:type="paragraph" w:styleId="CommentSubject">
    <w:name w:val="annotation subject"/>
    <w:basedOn w:val="CommentText"/>
    <w:next w:val="CommentText"/>
    <w:link w:val="CommentSubjectChar"/>
    <w:uiPriority w:val="99"/>
    <w:semiHidden/>
    <w:rsid w:val="008F4372"/>
    <w:rPr>
      <w:b/>
      <w:bCs/>
    </w:rPr>
  </w:style>
  <w:style w:type="character" w:customStyle="1" w:styleId="CommentSubjectChar">
    <w:name w:val="Comment Subject Char"/>
    <w:link w:val="CommentSubject"/>
    <w:uiPriority w:val="99"/>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HeadingC">
    <w:name w:val="Heading C"/>
    <w:basedOn w:val="HC"/>
    <w:link w:val="HeadingCChar"/>
    <w:uiPriority w:val="9"/>
    <w:qFormat/>
    <w:rsid w:val="005008AD"/>
  </w:style>
  <w:style w:type="paragraph" w:customStyle="1" w:styleId="HeadingB">
    <w:name w:val="Heading B"/>
    <w:basedOn w:val="HB"/>
    <w:link w:val="HeadingBChar"/>
    <w:uiPriority w:val="9"/>
    <w:qFormat/>
    <w:rsid w:val="009E7DEB"/>
  </w:style>
  <w:style w:type="character" w:customStyle="1" w:styleId="HCChar">
    <w:name w:val="_HC Char"/>
    <w:basedOn w:val="DefaultParagraphFont"/>
    <w:link w:val="HC"/>
    <w:uiPriority w:val="2"/>
    <w:rsid w:val="009E7DEB"/>
    <w:rPr>
      <w:rFonts w:ascii="Calibri" w:hAnsi="Calibri" w:cs="Arial"/>
      <w:b/>
      <w:sz w:val="24"/>
      <w:szCs w:val="24"/>
      <w:lang w:eastAsia="en-US"/>
    </w:rPr>
  </w:style>
  <w:style w:type="character" w:customStyle="1" w:styleId="HeadingCChar">
    <w:name w:val="Heading C Char"/>
    <w:basedOn w:val="HCChar"/>
    <w:link w:val="HeadingC"/>
    <w:uiPriority w:val="9"/>
    <w:rsid w:val="005008AD"/>
    <w:rPr>
      <w:rFonts w:ascii="Calibri" w:hAnsi="Calibri" w:cs="Arial"/>
      <w:b/>
      <w:sz w:val="24"/>
      <w:szCs w:val="24"/>
      <w:lang w:eastAsia="en-US"/>
    </w:rPr>
  </w:style>
  <w:style w:type="paragraph" w:customStyle="1" w:styleId="HeadingA">
    <w:name w:val="Heading A"/>
    <w:basedOn w:val="HA"/>
    <w:link w:val="HeadingAChar"/>
    <w:uiPriority w:val="9"/>
    <w:qFormat/>
    <w:rsid w:val="009E7DEB"/>
    <w:rPr>
      <w:bCs/>
      <w:lang w:val="en-AU"/>
    </w:rPr>
  </w:style>
  <w:style w:type="character" w:customStyle="1" w:styleId="HBChar">
    <w:name w:val="_HB Char"/>
    <w:basedOn w:val="DefaultParagraphFont"/>
    <w:link w:val="HB"/>
    <w:uiPriority w:val="2"/>
    <w:rsid w:val="009E7DEB"/>
    <w:rPr>
      <w:rFonts w:ascii="Calibri" w:hAnsi="Calibri" w:cs="Arial"/>
      <w:b/>
      <w:color w:val="228591"/>
      <w:sz w:val="28"/>
      <w:szCs w:val="24"/>
      <w:lang w:eastAsia="en-US"/>
    </w:rPr>
  </w:style>
  <w:style w:type="character" w:customStyle="1" w:styleId="HeadingBChar">
    <w:name w:val="Heading B Char"/>
    <w:basedOn w:val="HBChar"/>
    <w:link w:val="HeadingB"/>
    <w:uiPriority w:val="9"/>
    <w:rsid w:val="009E7DEB"/>
    <w:rPr>
      <w:rFonts w:ascii="Calibri" w:hAnsi="Calibri" w:cs="Arial"/>
      <w:b/>
      <w:color w:val="228591"/>
      <w:sz w:val="28"/>
      <w:szCs w:val="24"/>
      <w:lang w:eastAsia="en-US"/>
    </w:rPr>
  </w:style>
  <w:style w:type="paragraph" w:customStyle="1" w:styleId="HeadingD">
    <w:name w:val="Heading D"/>
    <w:basedOn w:val="HD"/>
    <w:link w:val="HeadingDChar"/>
    <w:uiPriority w:val="9"/>
    <w:qFormat/>
    <w:rsid w:val="009E7DEB"/>
  </w:style>
  <w:style w:type="character" w:customStyle="1" w:styleId="HAChar">
    <w:name w:val="_HA Char"/>
    <w:basedOn w:val="DefaultParagraphFont"/>
    <w:link w:val="HA"/>
    <w:uiPriority w:val="2"/>
    <w:rsid w:val="009E7DEB"/>
    <w:rPr>
      <w:rFonts w:ascii="Calibri" w:hAnsi="Calibri" w:cs="Arial"/>
      <w:color w:val="228591"/>
      <w:sz w:val="40"/>
      <w:szCs w:val="24"/>
      <w:lang w:val="en-US" w:eastAsia="en-US"/>
    </w:rPr>
  </w:style>
  <w:style w:type="character" w:customStyle="1" w:styleId="HeadingAChar">
    <w:name w:val="Heading A Char"/>
    <w:basedOn w:val="HAChar"/>
    <w:link w:val="HeadingA"/>
    <w:uiPriority w:val="9"/>
    <w:rsid w:val="009E7DEB"/>
    <w:rPr>
      <w:rFonts w:ascii="Calibri" w:hAnsi="Calibri" w:cs="Arial"/>
      <w:bCs/>
      <w:color w:val="228591"/>
      <w:sz w:val="40"/>
      <w:szCs w:val="24"/>
      <w:lang w:val="en-US" w:eastAsia="en-US"/>
    </w:rPr>
  </w:style>
  <w:style w:type="paragraph" w:customStyle="1" w:styleId="Tabletitle0">
    <w:name w:val="Table title"/>
    <w:basedOn w:val="TableTitle"/>
    <w:link w:val="TabletitleChar0"/>
    <w:uiPriority w:val="9"/>
    <w:qFormat/>
    <w:rsid w:val="009E7DEB"/>
  </w:style>
  <w:style w:type="character" w:customStyle="1" w:styleId="HDChar">
    <w:name w:val="_HD Char"/>
    <w:basedOn w:val="DefaultParagraphFont"/>
    <w:link w:val="HD"/>
    <w:uiPriority w:val="2"/>
    <w:rsid w:val="009E7DEB"/>
    <w:rPr>
      <w:rFonts w:ascii="Calibri" w:hAnsi="Calibri" w:cs="Arial"/>
      <w:b/>
      <w:i/>
      <w:sz w:val="22"/>
      <w:szCs w:val="24"/>
      <w:lang w:eastAsia="en-US"/>
    </w:rPr>
  </w:style>
  <w:style w:type="character" w:customStyle="1" w:styleId="HeadingDChar">
    <w:name w:val="Heading D Char"/>
    <w:basedOn w:val="HDChar"/>
    <w:link w:val="HeadingD"/>
    <w:uiPriority w:val="9"/>
    <w:rsid w:val="009E7DEB"/>
    <w:rPr>
      <w:rFonts w:ascii="Calibri" w:hAnsi="Calibri" w:cs="Arial"/>
      <w:b/>
      <w:i/>
      <w:sz w:val="22"/>
      <w:szCs w:val="24"/>
      <w:lang w:eastAsia="en-US"/>
    </w:rPr>
  </w:style>
  <w:style w:type="paragraph" w:customStyle="1" w:styleId="ContentsA">
    <w:name w:val="Contents A"/>
    <w:basedOn w:val="TOC1"/>
    <w:link w:val="ContentsAChar"/>
    <w:uiPriority w:val="9"/>
    <w:qFormat/>
    <w:rsid w:val="00D7453D"/>
  </w:style>
  <w:style w:type="character" w:customStyle="1" w:styleId="TableTitleChar">
    <w:name w:val="_TableTitle Char"/>
    <w:basedOn w:val="DefaultParagraphFont"/>
    <w:link w:val="TableTitle"/>
    <w:rsid w:val="009E7DEB"/>
    <w:rPr>
      <w:rFonts w:ascii="Calibri" w:hAnsi="Calibri" w:cs="Arial"/>
      <w:b/>
      <w:color w:val="404040"/>
      <w:sz w:val="22"/>
      <w:szCs w:val="18"/>
      <w:lang w:eastAsia="en-US"/>
    </w:rPr>
  </w:style>
  <w:style w:type="character" w:customStyle="1" w:styleId="TabletitleChar0">
    <w:name w:val="Table title Char"/>
    <w:basedOn w:val="TableTitleChar"/>
    <w:link w:val="Tabletitle0"/>
    <w:uiPriority w:val="9"/>
    <w:rsid w:val="009E7DEB"/>
    <w:rPr>
      <w:rFonts w:ascii="Calibri" w:hAnsi="Calibri" w:cs="Arial"/>
      <w:b/>
      <w:color w:val="404040"/>
      <w:sz w:val="22"/>
      <w:szCs w:val="18"/>
      <w:lang w:eastAsia="en-US"/>
    </w:rPr>
  </w:style>
  <w:style w:type="paragraph" w:customStyle="1" w:styleId="ContentsB">
    <w:name w:val="Contents B"/>
    <w:basedOn w:val="TOC2"/>
    <w:link w:val="ContentsBChar"/>
    <w:uiPriority w:val="9"/>
    <w:qFormat/>
    <w:rsid w:val="00D7453D"/>
  </w:style>
  <w:style w:type="character" w:customStyle="1" w:styleId="TOC1Char">
    <w:name w:val="TOC 1 Char"/>
    <w:basedOn w:val="DefaultParagraphFont"/>
    <w:link w:val="TOC1"/>
    <w:uiPriority w:val="39"/>
    <w:rsid w:val="00D7453D"/>
    <w:rPr>
      <w:rFonts w:ascii="Calibri" w:hAnsi="Calibri"/>
      <w:b/>
      <w:noProof/>
      <w:color w:val="228591"/>
      <w:sz w:val="22"/>
      <w:szCs w:val="24"/>
      <w:lang w:val="en-US" w:eastAsia="en-US"/>
    </w:rPr>
  </w:style>
  <w:style w:type="character" w:customStyle="1" w:styleId="ContentsAChar">
    <w:name w:val="Contents A Char"/>
    <w:basedOn w:val="TOC1Char"/>
    <w:link w:val="ContentsA"/>
    <w:uiPriority w:val="9"/>
    <w:rsid w:val="00D7453D"/>
    <w:rPr>
      <w:rFonts w:ascii="Calibri" w:hAnsi="Calibri"/>
      <w:b/>
      <w:noProof/>
      <w:color w:val="228591"/>
      <w:sz w:val="22"/>
      <w:szCs w:val="24"/>
      <w:lang w:val="en-US" w:eastAsia="en-US"/>
    </w:rPr>
  </w:style>
  <w:style w:type="table" w:styleId="LightList-Accent1">
    <w:name w:val="Light List Accent 1"/>
    <w:basedOn w:val="TableNormal"/>
    <w:uiPriority w:val="61"/>
    <w:rsid w:val="00F50EC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OC2Char">
    <w:name w:val="TOC 2 Char"/>
    <w:basedOn w:val="DefaultParagraphFont"/>
    <w:link w:val="TOC2"/>
    <w:uiPriority w:val="39"/>
    <w:rsid w:val="00536BA8"/>
    <w:rPr>
      <w:rFonts w:ascii="Calibri" w:hAnsi="Calibri"/>
      <w:noProof/>
      <w:sz w:val="22"/>
      <w:szCs w:val="18"/>
      <w:lang w:eastAsia="en-US"/>
    </w:rPr>
  </w:style>
  <w:style w:type="character" w:customStyle="1" w:styleId="ContentsBChar">
    <w:name w:val="Contents B Char"/>
    <w:basedOn w:val="TOC2Char"/>
    <w:link w:val="ContentsB"/>
    <w:uiPriority w:val="9"/>
    <w:rsid w:val="00D7453D"/>
    <w:rPr>
      <w:rFonts w:ascii="Calibri" w:hAnsi="Calibri"/>
      <w:noProof/>
      <w:sz w:val="22"/>
      <w:szCs w:val="18"/>
      <w:lang w:eastAsia="en-US"/>
    </w:rPr>
  </w:style>
  <w:style w:type="character" w:customStyle="1" w:styleId="Heading1Char">
    <w:name w:val="Heading 1 Char"/>
    <w:aliases w:val="head 1 Char"/>
    <w:basedOn w:val="DefaultParagraphFont"/>
    <w:link w:val="Heading1"/>
    <w:locked/>
    <w:rsid w:val="00F50ECA"/>
    <w:rPr>
      <w:rFonts w:ascii="Arial" w:hAnsi="Arial" w:cs="Arial"/>
      <w:b/>
      <w:bCs/>
      <w:kern w:val="32"/>
      <w:sz w:val="32"/>
      <w:szCs w:val="32"/>
      <w:lang w:eastAsia="en-US"/>
    </w:rPr>
  </w:style>
  <w:style w:type="paragraph" w:styleId="Revision">
    <w:name w:val="Revision"/>
    <w:hidden/>
    <w:uiPriority w:val="99"/>
    <w:semiHidden/>
    <w:rsid w:val="00F50ECA"/>
    <w:rPr>
      <w:rFonts w:ascii="Calibri" w:eastAsia="Calibri" w:hAnsi="Calibri"/>
      <w:sz w:val="22"/>
      <w:szCs w:val="22"/>
      <w:lang w:eastAsia="en-US"/>
    </w:rPr>
  </w:style>
  <w:style w:type="paragraph" w:styleId="Caption0">
    <w:name w:val="caption"/>
    <w:basedOn w:val="Normal"/>
    <w:next w:val="Normal"/>
    <w:uiPriority w:val="99"/>
    <w:qFormat/>
    <w:rsid w:val="00F50ECA"/>
    <w:pPr>
      <w:spacing w:after="200" w:line="276" w:lineRule="auto"/>
    </w:pPr>
    <w:rPr>
      <w:rFonts w:eastAsia="Calibri"/>
      <w:b/>
      <w:bCs/>
      <w:sz w:val="20"/>
      <w:szCs w:val="20"/>
    </w:rPr>
  </w:style>
  <w:style w:type="character" w:customStyle="1" w:styleId="FooterChar">
    <w:name w:val="Footer Char"/>
    <w:basedOn w:val="DefaultParagraphFont"/>
    <w:link w:val="Footer"/>
    <w:uiPriority w:val="99"/>
    <w:locked/>
    <w:rsid w:val="00F50ECA"/>
    <w:rPr>
      <w:rFonts w:ascii="Calibri" w:hAnsi="Calibri"/>
      <w:sz w:val="22"/>
      <w:szCs w:val="24"/>
      <w:lang w:eastAsia="en-US"/>
    </w:rPr>
  </w:style>
  <w:style w:type="paragraph" w:styleId="ListParagraph">
    <w:name w:val="List Paragraph"/>
    <w:basedOn w:val="Normal"/>
    <w:uiPriority w:val="34"/>
    <w:qFormat/>
    <w:rsid w:val="00F50ECA"/>
    <w:pPr>
      <w:spacing w:after="200" w:line="276" w:lineRule="auto"/>
      <w:ind w:left="720"/>
      <w:contextualSpacing/>
    </w:pPr>
    <w:rPr>
      <w:rFonts w:asciiTheme="minorHAnsi" w:eastAsiaTheme="minorHAnsi" w:hAnsiTheme="minorHAnsi" w:cstheme="minorBidi"/>
      <w:szCs w:val="22"/>
    </w:rPr>
  </w:style>
  <w:style w:type="character" w:customStyle="1" w:styleId="FootnoteTextChar">
    <w:name w:val="Footnote Text Char"/>
    <w:basedOn w:val="DefaultParagraphFont"/>
    <w:link w:val="FootnoteText"/>
    <w:uiPriority w:val="99"/>
    <w:semiHidden/>
    <w:rsid w:val="00F50ECA"/>
    <w:rPr>
      <w:rFonts w:ascii="Arial" w:hAnsi="Arial"/>
      <w:sz w:val="14"/>
      <w:lang w:eastAsia="en-US"/>
    </w:rPr>
  </w:style>
  <w:style w:type="character" w:customStyle="1" w:styleId="Heading2Char">
    <w:name w:val="Heading 2 Char"/>
    <w:basedOn w:val="DefaultParagraphFont"/>
    <w:link w:val="Heading2"/>
    <w:rsid w:val="00F50ECA"/>
    <w:rPr>
      <w:rFonts w:ascii="Arial" w:hAnsi="Arial" w:cs="Arial"/>
      <w:b/>
      <w:bCs/>
      <w:i/>
      <w:iCs/>
      <w:sz w:val="28"/>
      <w:szCs w:val="28"/>
      <w:lang w:eastAsia="en-US"/>
    </w:rPr>
  </w:style>
  <w:style w:type="character" w:customStyle="1" w:styleId="BodyTextChar">
    <w:name w:val="Body Text Char"/>
    <w:basedOn w:val="DefaultParagraphFont"/>
    <w:link w:val="BodyText"/>
    <w:rsid w:val="00F50ECA"/>
    <w:rPr>
      <w:rFonts w:ascii="Calibri" w:hAnsi="Calibri"/>
      <w:sz w:val="22"/>
      <w:szCs w:val="24"/>
      <w:lang w:eastAsia="en-US"/>
    </w:rPr>
  </w:style>
  <w:style w:type="character" w:customStyle="1" w:styleId="HeaderChar">
    <w:name w:val="Header Char"/>
    <w:basedOn w:val="DefaultParagraphFont"/>
    <w:link w:val="Header"/>
    <w:rsid w:val="00F50ECA"/>
    <w:rPr>
      <w:rFonts w:ascii="Calibri" w:hAnsi="Calibri"/>
      <w:sz w:val="22"/>
      <w:szCs w:val="24"/>
      <w:lang w:eastAsia="en-US"/>
    </w:rPr>
  </w:style>
  <w:style w:type="paragraph" w:customStyle="1" w:styleId="NumberedText">
    <w:name w:val="Numbered Text"/>
    <w:basedOn w:val="Normal"/>
    <w:rsid w:val="00F50ECA"/>
    <w:pPr>
      <w:tabs>
        <w:tab w:val="num" w:pos="360"/>
      </w:tabs>
      <w:spacing w:after="120"/>
      <w:ind w:left="360" w:hanging="360"/>
      <w:jc w:val="both"/>
    </w:pPr>
    <w:rPr>
      <w:rFonts w:ascii="Times New Roman" w:hAnsi="Times New Roman"/>
      <w:sz w:val="24"/>
      <w:szCs w:val="20"/>
      <w:lang w:eastAsia="en-AU"/>
    </w:rPr>
  </w:style>
  <w:style w:type="paragraph" w:customStyle="1" w:styleId="Body">
    <w:name w:val="Body"/>
    <w:basedOn w:val="Normal"/>
    <w:rsid w:val="00F50ECA"/>
    <w:pPr>
      <w:widowControl w:val="0"/>
      <w:ind w:firstLine="284"/>
      <w:jc w:val="both"/>
    </w:pPr>
    <w:rPr>
      <w:rFonts w:ascii="Times New Roman" w:hAnsi="Times New Roman"/>
      <w:sz w:val="20"/>
      <w:szCs w:val="20"/>
    </w:rPr>
  </w:style>
  <w:style w:type="paragraph" w:customStyle="1" w:styleId="Default">
    <w:name w:val="Default"/>
    <w:rsid w:val="00F50ECA"/>
    <w:pPr>
      <w:autoSpaceDE w:val="0"/>
      <w:autoSpaceDN w:val="0"/>
      <w:adjustRightInd w:val="0"/>
    </w:pPr>
    <w:rPr>
      <w:rFonts w:ascii="Tahoma" w:hAnsi="Tahoma" w:cs="Tahoma"/>
      <w:color w:val="000000"/>
      <w:sz w:val="24"/>
      <w:szCs w:val="24"/>
    </w:rPr>
  </w:style>
  <w:style w:type="paragraph" w:customStyle="1" w:styleId="Pa3">
    <w:name w:val="Pa3"/>
    <w:basedOn w:val="Default"/>
    <w:next w:val="Default"/>
    <w:rsid w:val="00F50ECA"/>
    <w:pPr>
      <w:spacing w:line="601" w:lineRule="atLeast"/>
    </w:pPr>
    <w:rPr>
      <w:rFonts w:cs="Times New Roman"/>
      <w:color w:val="auto"/>
    </w:rPr>
  </w:style>
  <w:style w:type="character" w:customStyle="1" w:styleId="A3">
    <w:name w:val="A3"/>
    <w:rsid w:val="00F50ECA"/>
    <w:rPr>
      <w:rFonts w:cs="Tahoma"/>
      <w:color w:val="FFFFFF"/>
      <w:sz w:val="32"/>
      <w:szCs w:val="32"/>
    </w:rPr>
  </w:style>
  <w:style w:type="character" w:customStyle="1" w:styleId="A4">
    <w:name w:val="A4"/>
    <w:rsid w:val="00F50ECA"/>
    <w:rPr>
      <w:rFonts w:cs="Tahoma"/>
      <w:color w:val="FFFFFF"/>
      <w:sz w:val="40"/>
      <w:szCs w:val="40"/>
    </w:rPr>
  </w:style>
  <w:style w:type="paragraph" w:customStyle="1" w:styleId="Pa0">
    <w:name w:val="Pa0"/>
    <w:basedOn w:val="Default"/>
    <w:next w:val="Default"/>
    <w:rsid w:val="00F50ECA"/>
    <w:pPr>
      <w:spacing w:line="241" w:lineRule="atLeast"/>
    </w:pPr>
    <w:rPr>
      <w:rFonts w:cs="Times New Roman"/>
      <w:color w:val="auto"/>
    </w:rPr>
  </w:style>
  <w:style w:type="paragraph" w:customStyle="1" w:styleId="Pa1">
    <w:name w:val="Pa1"/>
    <w:basedOn w:val="Default"/>
    <w:next w:val="Default"/>
    <w:rsid w:val="00F50ECA"/>
    <w:pPr>
      <w:spacing w:line="181" w:lineRule="atLeast"/>
    </w:pPr>
    <w:rPr>
      <w:rFonts w:cs="Times New Roman"/>
      <w:color w:val="auto"/>
    </w:rPr>
  </w:style>
  <w:style w:type="paragraph" w:customStyle="1" w:styleId="Pa4">
    <w:name w:val="Pa4"/>
    <w:basedOn w:val="Default"/>
    <w:next w:val="Default"/>
    <w:rsid w:val="00F50ECA"/>
    <w:pPr>
      <w:spacing w:line="201" w:lineRule="atLeast"/>
    </w:pPr>
    <w:rPr>
      <w:rFonts w:cs="Times New Roman"/>
      <w:color w:val="auto"/>
    </w:rPr>
  </w:style>
  <w:style w:type="character" w:customStyle="1" w:styleId="A5">
    <w:name w:val="A5"/>
    <w:rsid w:val="00F50ECA"/>
    <w:rPr>
      <w:rFonts w:ascii="Lucida Bright" w:hAnsi="Lucida Bright" w:cs="Lucida Bright"/>
      <w:color w:val="221E1F"/>
      <w:sz w:val="11"/>
      <w:szCs w:val="11"/>
    </w:rPr>
  </w:style>
  <w:style w:type="paragraph" w:customStyle="1" w:styleId="Pa5">
    <w:name w:val="Pa5"/>
    <w:basedOn w:val="Default"/>
    <w:next w:val="Default"/>
    <w:rsid w:val="00F50ECA"/>
    <w:pPr>
      <w:spacing w:line="181" w:lineRule="atLeast"/>
    </w:pPr>
    <w:rPr>
      <w:rFonts w:cs="Times New Roman"/>
      <w:color w:val="auto"/>
    </w:rPr>
  </w:style>
  <w:style w:type="character" w:customStyle="1" w:styleId="ListBulletChar1">
    <w:name w:val="List Bullet Char1"/>
    <w:aliases w:val="List Bullet Char Char"/>
    <w:basedOn w:val="DefaultParagraphFont"/>
    <w:link w:val="ListBullet"/>
    <w:rsid w:val="00F50ECA"/>
    <w:rPr>
      <w:rFonts w:ascii="Calibri" w:hAnsi="Calibri"/>
      <w:sz w:val="22"/>
      <w:szCs w:val="24"/>
      <w:lang w:eastAsia="en-US"/>
    </w:rPr>
  </w:style>
  <w:style w:type="paragraph" w:customStyle="1" w:styleId="Figureandtabletitle">
    <w:name w:val="Figure and table title"/>
    <w:basedOn w:val="BodyText"/>
    <w:rsid w:val="00F50ECA"/>
    <w:pPr>
      <w:suppressAutoHyphens/>
      <w:autoSpaceDE w:val="0"/>
      <w:autoSpaceDN w:val="0"/>
      <w:adjustRightInd w:val="0"/>
      <w:spacing w:before="113" w:after="0" w:line="240" w:lineRule="atLeast"/>
      <w:textAlignment w:val="center"/>
    </w:pPr>
    <w:rPr>
      <w:rFonts w:ascii="LucidaBright Demibold" w:hAnsi="LucidaBright Demibold" w:cs="LucidaBright Demibold"/>
      <w:color w:val="000000"/>
      <w:sz w:val="20"/>
      <w:szCs w:val="20"/>
      <w:lang w:val="en-GB" w:eastAsia="en-AU"/>
    </w:rPr>
  </w:style>
  <w:style w:type="paragraph" w:customStyle="1" w:styleId="Quote1">
    <w:name w:val="Quote 1"/>
    <w:basedOn w:val="BodyText"/>
    <w:rsid w:val="00F50ECA"/>
    <w:pPr>
      <w:spacing w:after="240" w:line="240" w:lineRule="atLeast"/>
      <w:ind w:left="1134" w:right="1134"/>
      <w:jc w:val="both"/>
    </w:pPr>
    <w:rPr>
      <w:rFonts w:ascii="Comic Sans MS" w:hAnsi="Comic Sans MS"/>
      <w:b/>
      <w:color w:val="003366"/>
      <w:sz w:val="18"/>
      <w:szCs w:val="18"/>
      <w:lang w:eastAsia="en-AU"/>
    </w:rPr>
  </w:style>
  <w:style w:type="paragraph" w:customStyle="1" w:styleId="wallacepara">
    <w:name w:val="wallacepara"/>
    <w:basedOn w:val="Normal"/>
    <w:rsid w:val="00F50ECA"/>
    <w:pPr>
      <w:spacing w:before="100" w:beforeAutospacing="1" w:after="100" w:afterAutospacing="1"/>
    </w:pPr>
    <w:rPr>
      <w:rFonts w:ascii="Times New Roman" w:hAnsi="Times New Roman"/>
      <w:sz w:val="24"/>
      <w:lang w:eastAsia="en-AU"/>
    </w:rPr>
  </w:style>
  <w:style w:type="character" w:customStyle="1" w:styleId="BodyText2Char">
    <w:name w:val="Body Text 2 Char"/>
    <w:basedOn w:val="DefaultParagraphFont"/>
    <w:link w:val="BodyText2"/>
    <w:rsid w:val="00F50ECA"/>
    <w:rPr>
      <w:rFonts w:ascii="Calibri" w:hAnsi="Calibri"/>
      <w:sz w:val="22"/>
      <w:szCs w:val="24"/>
      <w:lang w:eastAsia="en-US"/>
    </w:rPr>
  </w:style>
  <w:style w:type="character" w:customStyle="1" w:styleId="HTMLAddressChar">
    <w:name w:val="HTML Address Char"/>
    <w:basedOn w:val="DefaultParagraphFont"/>
    <w:link w:val="HTMLAddress"/>
    <w:rsid w:val="00F50ECA"/>
    <w:rPr>
      <w:rFonts w:ascii="Calibri" w:hAnsi="Calibri"/>
      <w:i/>
      <w:iCs/>
      <w:sz w:val="22"/>
      <w:szCs w:val="24"/>
      <w:lang w:eastAsia="en-US"/>
    </w:rPr>
  </w:style>
  <w:style w:type="paragraph" w:customStyle="1" w:styleId="social-bookmarking-help2">
    <w:name w:val="social-bookmarking-help2"/>
    <w:basedOn w:val="Normal"/>
    <w:rsid w:val="00F50ECA"/>
    <w:pPr>
      <w:spacing w:before="75" w:after="150"/>
    </w:pPr>
    <w:rPr>
      <w:rFonts w:ascii="Times New Roman" w:hAnsi="Times New Roman"/>
      <w:sz w:val="24"/>
      <w:lang w:eastAsia="en-AU"/>
    </w:rPr>
  </w:style>
  <w:style w:type="character" w:customStyle="1" w:styleId="name">
    <w:name w:val="name"/>
    <w:basedOn w:val="DefaultParagraphFont"/>
    <w:rsid w:val="00F50ECA"/>
  </w:style>
  <w:style w:type="character" w:customStyle="1" w:styleId="cit-first-elementcit-title">
    <w:name w:val="cit-first-element cit-title"/>
    <w:basedOn w:val="DefaultParagraphFont"/>
    <w:rsid w:val="00F50ECA"/>
  </w:style>
  <w:style w:type="character" w:customStyle="1" w:styleId="site-title">
    <w:name w:val="site-title"/>
    <w:basedOn w:val="DefaultParagraphFont"/>
    <w:rsid w:val="00F50ECA"/>
  </w:style>
  <w:style w:type="character" w:customStyle="1" w:styleId="cit-print-date">
    <w:name w:val="cit-print-date"/>
    <w:basedOn w:val="DefaultParagraphFont"/>
    <w:rsid w:val="00F50ECA"/>
  </w:style>
  <w:style w:type="character" w:customStyle="1" w:styleId="cit-vol4">
    <w:name w:val="cit-vol4"/>
    <w:basedOn w:val="DefaultParagraphFont"/>
    <w:rsid w:val="00F50ECA"/>
  </w:style>
  <w:style w:type="character" w:customStyle="1" w:styleId="cit-sepcit-sep-after-article-vol">
    <w:name w:val="cit-sep cit-sep-after-article-vol"/>
    <w:basedOn w:val="DefaultParagraphFont"/>
    <w:rsid w:val="00F50ECA"/>
  </w:style>
  <w:style w:type="character" w:customStyle="1" w:styleId="cit-first-page">
    <w:name w:val="cit-first-page"/>
    <w:basedOn w:val="DefaultParagraphFont"/>
    <w:rsid w:val="00F50ECA"/>
  </w:style>
  <w:style w:type="character" w:customStyle="1" w:styleId="cit-sep2">
    <w:name w:val="cit-sep2"/>
    <w:basedOn w:val="DefaultParagraphFont"/>
    <w:rsid w:val="00F50ECA"/>
  </w:style>
  <w:style w:type="character" w:customStyle="1" w:styleId="cit-last-page">
    <w:name w:val="cit-last-page"/>
    <w:basedOn w:val="DefaultParagraphFont"/>
    <w:rsid w:val="00F50ECA"/>
  </w:style>
  <w:style w:type="character" w:customStyle="1" w:styleId="slug-pub-date3">
    <w:name w:val="slug-pub-date3"/>
    <w:basedOn w:val="DefaultParagraphFont"/>
    <w:rsid w:val="00F50ECA"/>
    <w:rPr>
      <w:b/>
      <w:bCs/>
    </w:rPr>
  </w:style>
  <w:style w:type="character" w:customStyle="1" w:styleId="slug-vol">
    <w:name w:val="slug-vol"/>
    <w:basedOn w:val="DefaultParagraphFont"/>
    <w:rsid w:val="00F50ECA"/>
  </w:style>
  <w:style w:type="character" w:customStyle="1" w:styleId="slug-issue">
    <w:name w:val="slug-issue"/>
    <w:basedOn w:val="DefaultParagraphFont"/>
    <w:rsid w:val="00F50ECA"/>
  </w:style>
  <w:style w:type="character" w:customStyle="1" w:styleId="slug-pages3">
    <w:name w:val="slug-pages3"/>
    <w:basedOn w:val="DefaultParagraphFont"/>
    <w:rsid w:val="00F50ECA"/>
    <w:rPr>
      <w:b/>
      <w:bCs/>
    </w:rPr>
  </w:style>
  <w:style w:type="paragraph" w:customStyle="1" w:styleId="recommendationboxheadingsecondlessspaceafter1">
    <w:name w:val="recommendation_boxheading_second_less_space_after1"/>
    <w:basedOn w:val="Normal"/>
    <w:rsid w:val="00F50ECA"/>
    <w:pPr>
      <w:spacing w:before="480"/>
      <w:ind w:left="-240"/>
    </w:pPr>
    <w:rPr>
      <w:rFonts w:ascii="Arial" w:hAnsi="Arial" w:cs="Arial"/>
      <w:b/>
      <w:bCs/>
      <w:smallCaps/>
      <w:color w:val="507742"/>
      <w:sz w:val="31"/>
      <w:szCs w:val="31"/>
      <w:lang w:eastAsia="en-AU"/>
    </w:rPr>
  </w:style>
  <w:style w:type="paragraph" w:customStyle="1" w:styleId="recommendationboxheadingthird1">
    <w:name w:val="recommendation_boxheading_third1"/>
    <w:basedOn w:val="Normal"/>
    <w:rsid w:val="00F50ECA"/>
    <w:pPr>
      <w:spacing w:before="360" w:after="240"/>
      <w:ind w:left="-240"/>
    </w:pPr>
    <w:rPr>
      <w:rFonts w:ascii="Arial" w:hAnsi="Arial" w:cs="Arial"/>
      <w:b/>
      <w:bCs/>
      <w:color w:val="507742"/>
      <w:sz w:val="30"/>
      <w:szCs w:val="30"/>
      <w:lang w:eastAsia="en-AU"/>
    </w:rPr>
  </w:style>
  <w:style w:type="character" w:customStyle="1" w:styleId="recommendationheading1">
    <w:name w:val="recommendation_heading1"/>
    <w:basedOn w:val="DefaultParagraphFont"/>
    <w:rsid w:val="00F50ECA"/>
    <w:rPr>
      <w:b/>
      <w:bCs/>
      <w:color w:val="507742"/>
    </w:rPr>
  </w:style>
  <w:style w:type="character" w:customStyle="1" w:styleId="small">
    <w:name w:val="small"/>
    <w:basedOn w:val="DefaultParagraphFont"/>
    <w:rsid w:val="00F50ECA"/>
    <w:rPr>
      <w:color w:val="666666"/>
      <w:sz w:val="22"/>
      <w:szCs w:val="22"/>
    </w:rPr>
  </w:style>
  <w:style w:type="paragraph" w:customStyle="1" w:styleId="Abstract">
    <w:name w:val="Abstract"/>
    <w:basedOn w:val="Normal"/>
    <w:next w:val="Heading2"/>
    <w:rsid w:val="00F50ECA"/>
    <w:pPr>
      <w:widowControl w:val="0"/>
      <w:tabs>
        <w:tab w:val="left" w:pos="1418"/>
      </w:tabs>
      <w:spacing w:after="220"/>
      <w:jc w:val="both"/>
    </w:pPr>
    <w:rPr>
      <w:rFonts w:ascii="Times New Roman" w:hAnsi="Times New Roman"/>
      <w:sz w:val="18"/>
      <w:szCs w:val="20"/>
    </w:rPr>
  </w:style>
  <w:style w:type="paragraph" w:customStyle="1" w:styleId="Author">
    <w:name w:val="Author"/>
    <w:basedOn w:val="Normal"/>
    <w:rsid w:val="00F50ECA"/>
    <w:pPr>
      <w:widowControl w:val="0"/>
      <w:jc w:val="both"/>
    </w:pPr>
    <w:rPr>
      <w:rFonts w:ascii="Times New Roman" w:hAnsi="Times New Roman"/>
      <w:b/>
      <w:sz w:val="26"/>
      <w:szCs w:val="20"/>
    </w:rPr>
  </w:style>
  <w:style w:type="paragraph" w:customStyle="1" w:styleId="Origin">
    <w:name w:val="Origin"/>
    <w:basedOn w:val="Normal"/>
    <w:rsid w:val="00F50ECA"/>
    <w:pPr>
      <w:widowControl w:val="0"/>
      <w:spacing w:after="400"/>
    </w:pPr>
    <w:rPr>
      <w:rFonts w:ascii="Times New Roman" w:hAnsi="Times New Roman"/>
      <w:sz w:val="18"/>
      <w:szCs w:val="20"/>
    </w:rPr>
  </w:style>
  <w:style w:type="character" w:customStyle="1" w:styleId="BodyTextIndent2Char">
    <w:name w:val="Body Text Indent 2 Char"/>
    <w:basedOn w:val="DefaultParagraphFont"/>
    <w:link w:val="BodyTextIndent2"/>
    <w:rsid w:val="00F50ECA"/>
    <w:rPr>
      <w:rFonts w:ascii="Calibri" w:hAnsi="Calibri"/>
      <w:sz w:val="22"/>
      <w:szCs w:val="24"/>
      <w:lang w:eastAsia="en-US"/>
    </w:rPr>
  </w:style>
  <w:style w:type="character" w:customStyle="1" w:styleId="BodyTextIndentChar">
    <w:name w:val="Body Text Indent Char"/>
    <w:basedOn w:val="DefaultParagraphFont"/>
    <w:link w:val="BodyTextIndent"/>
    <w:rsid w:val="00F50ECA"/>
    <w:rPr>
      <w:rFonts w:ascii="Calibri" w:hAnsi="Calibri"/>
      <w:sz w:val="22"/>
      <w:szCs w:val="24"/>
      <w:lang w:eastAsia="en-US"/>
    </w:rPr>
  </w:style>
  <w:style w:type="character" w:customStyle="1" w:styleId="BodyTextIndent3Char">
    <w:name w:val="Body Text Indent 3 Char"/>
    <w:basedOn w:val="DefaultParagraphFont"/>
    <w:link w:val="BodyTextIndent3"/>
    <w:rsid w:val="00F50ECA"/>
    <w:rPr>
      <w:rFonts w:ascii="Calibri" w:hAnsi="Calibri"/>
      <w:sz w:val="16"/>
      <w:szCs w:val="16"/>
      <w:lang w:eastAsia="en-US"/>
    </w:rPr>
  </w:style>
  <w:style w:type="paragraph" w:customStyle="1" w:styleId="Covertitle">
    <w:name w:val="Cover title"/>
    <w:basedOn w:val="Normal"/>
    <w:next w:val="Normal"/>
    <w:rsid w:val="00F50ECA"/>
    <w:pPr>
      <w:framePr w:w="8165" w:hSpace="181" w:vSpace="181" w:wrap="around" w:vAnchor="page" w:hAnchor="text" w:xAlign="center" w:y="5161"/>
      <w:widowControl w:val="0"/>
      <w:spacing w:line="540" w:lineRule="exact"/>
      <w:jc w:val="center"/>
    </w:pPr>
    <w:rPr>
      <w:rFonts w:ascii="Arial" w:hAnsi="Arial"/>
      <w:b/>
      <w:sz w:val="48"/>
      <w:szCs w:val="20"/>
    </w:rPr>
  </w:style>
  <w:style w:type="character" w:styleId="EndnoteReference">
    <w:name w:val="endnote reference"/>
    <w:basedOn w:val="DefaultParagraphFont"/>
    <w:uiPriority w:val="99"/>
    <w:semiHidden/>
    <w:unhideWhenUsed/>
    <w:rsid w:val="00F50ECA"/>
    <w:rPr>
      <w:vertAlign w:val="superscript"/>
    </w:rPr>
  </w:style>
  <w:style w:type="paragraph" w:customStyle="1" w:styleId="DELWPbodytext">
    <w:name w:val="DELWP body text"/>
    <w:basedOn w:val="Normal"/>
    <w:link w:val="DELWPbodytextChar"/>
    <w:uiPriority w:val="9"/>
    <w:qFormat/>
    <w:rsid w:val="00F50ECA"/>
    <w:pPr>
      <w:spacing w:afterLines="113" w:after="271" w:line="240" w:lineRule="atLeast"/>
    </w:pPr>
    <w:rPr>
      <w:rFonts w:asciiTheme="minorHAnsi" w:hAnsiTheme="minorHAnsi" w:cstheme="minorHAnsi"/>
      <w:szCs w:val="22"/>
    </w:rPr>
  </w:style>
  <w:style w:type="paragraph" w:customStyle="1" w:styleId="SourceDELWP">
    <w:name w:val="Source DELWP"/>
    <w:basedOn w:val="Caption"/>
    <w:link w:val="SourceDELWPChar"/>
    <w:uiPriority w:val="9"/>
    <w:qFormat/>
    <w:rsid w:val="00A827BC"/>
  </w:style>
  <w:style w:type="character" w:customStyle="1" w:styleId="DELWPbodytextChar">
    <w:name w:val="DELWP body text Char"/>
    <w:basedOn w:val="DefaultParagraphFont"/>
    <w:link w:val="DELWPbodytext"/>
    <w:uiPriority w:val="9"/>
    <w:rsid w:val="00F50ECA"/>
    <w:rPr>
      <w:rFonts w:asciiTheme="minorHAnsi" w:hAnsiTheme="minorHAnsi" w:cstheme="minorHAnsi"/>
      <w:sz w:val="22"/>
      <w:szCs w:val="22"/>
      <w:lang w:eastAsia="en-US"/>
    </w:rPr>
  </w:style>
  <w:style w:type="paragraph" w:customStyle="1" w:styleId="TableBodyDELWP">
    <w:name w:val="Table Body DELWP"/>
    <w:basedOn w:val="TblBdy"/>
    <w:link w:val="TableBodyDELWPChar"/>
    <w:uiPriority w:val="9"/>
    <w:qFormat/>
    <w:rsid w:val="00C25E19"/>
  </w:style>
  <w:style w:type="character" w:customStyle="1" w:styleId="CaptionChar">
    <w:name w:val="_Caption Char"/>
    <w:basedOn w:val="DefaultParagraphFont"/>
    <w:link w:val="Caption"/>
    <w:rsid w:val="00A827BC"/>
    <w:rPr>
      <w:rFonts w:ascii="Calibri" w:hAnsi="Calibri" w:cs="Arial"/>
      <w:b/>
      <w:color w:val="404040"/>
      <w:szCs w:val="14"/>
      <w:lang w:eastAsia="en-US"/>
    </w:rPr>
  </w:style>
  <w:style w:type="character" w:customStyle="1" w:styleId="SourceDELWPChar">
    <w:name w:val="Source DELWP Char"/>
    <w:basedOn w:val="CaptionChar"/>
    <w:link w:val="SourceDELWP"/>
    <w:uiPriority w:val="9"/>
    <w:rsid w:val="00A827BC"/>
    <w:rPr>
      <w:rFonts w:ascii="Calibri" w:hAnsi="Calibri" w:cs="Arial"/>
      <w:b/>
      <w:color w:val="404040"/>
      <w:szCs w:val="14"/>
      <w:lang w:eastAsia="en-US"/>
    </w:rPr>
  </w:style>
  <w:style w:type="paragraph" w:customStyle="1" w:styleId="TablecolumnheadersDELWP">
    <w:name w:val="Table column headers DELWP"/>
    <w:basedOn w:val="TblHd"/>
    <w:link w:val="TablecolumnheadersDELWPChar"/>
    <w:uiPriority w:val="9"/>
    <w:qFormat/>
    <w:rsid w:val="00C25E19"/>
  </w:style>
  <w:style w:type="character" w:customStyle="1" w:styleId="TblBdyChar">
    <w:name w:val="_TblBdy Char"/>
    <w:basedOn w:val="DefaultParagraphFont"/>
    <w:link w:val="TblBdy"/>
    <w:uiPriority w:val="1"/>
    <w:rsid w:val="00C25E19"/>
    <w:rPr>
      <w:rFonts w:ascii="Calibri" w:hAnsi="Calibri" w:cs="Arial"/>
      <w:sz w:val="22"/>
      <w:szCs w:val="24"/>
      <w:lang w:eastAsia="en-US"/>
    </w:rPr>
  </w:style>
  <w:style w:type="character" w:customStyle="1" w:styleId="TableBodyDELWPChar">
    <w:name w:val="Table Body DELWP Char"/>
    <w:basedOn w:val="TblBdyChar"/>
    <w:link w:val="TableBodyDELWP"/>
    <w:uiPriority w:val="9"/>
    <w:rsid w:val="00C25E19"/>
    <w:rPr>
      <w:rFonts w:ascii="Calibri" w:hAnsi="Calibri" w:cs="Arial"/>
      <w:sz w:val="22"/>
      <w:szCs w:val="24"/>
      <w:lang w:eastAsia="en-US"/>
    </w:rPr>
  </w:style>
  <w:style w:type="character" w:customStyle="1" w:styleId="TblHdChar">
    <w:name w:val="_TblHd Char"/>
    <w:basedOn w:val="DefaultParagraphFont"/>
    <w:link w:val="TblHd"/>
    <w:rsid w:val="00C25E19"/>
    <w:rPr>
      <w:rFonts w:ascii="Calibri" w:hAnsi="Calibri" w:cs="Arial"/>
      <w:b/>
      <w:sz w:val="22"/>
      <w:szCs w:val="24"/>
      <w:lang w:eastAsia="en-US"/>
    </w:rPr>
  </w:style>
  <w:style w:type="character" w:customStyle="1" w:styleId="TablecolumnheadersDELWPChar">
    <w:name w:val="Table column headers DELWP Char"/>
    <w:basedOn w:val="TblHdChar"/>
    <w:link w:val="TablecolumnheadersDELWP"/>
    <w:uiPriority w:val="9"/>
    <w:rsid w:val="00C25E19"/>
    <w:rPr>
      <w:rFonts w:ascii="Calibri" w:hAnsi="Calibri" w:cs="Arial"/>
      <w:b/>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footnote text" w:uiPriority="99"/>
    <w:lsdException w:name="annotation text" w:uiPriority="99"/>
    <w:lsdException w:name="footer" w:uiPriority="99"/>
    <w:lsdException w:name="index heading" w:semiHidden="1"/>
    <w:lsdException w:name="caption" w:semiHidden="1" w:uiPriority="99" w:unhideWhenUsed="1" w:qFormat="1"/>
    <w:lsdException w:name="table of figures" w:semiHidden="1"/>
    <w:lsdException w:name="footnote reference" w:uiPriority="99"/>
    <w:lsdException w:name="annotation reference" w:uiPriority="99"/>
    <w:lsdException w:name="endnote reference" w:semiHidden="1" w:uiPriority="99"/>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aliases w:val="head 1"/>
    <w:basedOn w:val="Normal"/>
    <w:next w:val="Normal"/>
    <w:link w:val="Heading1Char"/>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clear" w:pos="170"/>
        <w:tab w:val="left" w:pos="340"/>
      </w:tabs>
      <w:ind w:left="340" w:hanging="170"/>
    </w:pPr>
  </w:style>
  <w:style w:type="paragraph" w:styleId="Header">
    <w:name w:val="header"/>
    <w:basedOn w:val="Normal"/>
    <w:link w:val="HeaderChar"/>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DC7F99"/>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link w:val="CaptionChar"/>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uiPriority w:val="99"/>
    <w:semiHidden/>
    <w:rsid w:val="00FB2ECD"/>
    <w:rPr>
      <w:rFonts w:ascii="Tahoma" w:hAnsi="Tahoma" w:cs="Tahoma"/>
      <w:sz w:val="16"/>
      <w:szCs w:val="16"/>
    </w:rPr>
  </w:style>
  <w:style w:type="paragraph" w:customStyle="1" w:styleId="HA">
    <w:name w:val="_HA"/>
    <w:next w:val="Normal"/>
    <w:link w:val="HAChar"/>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link w:val="HBChar"/>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link w:val="HCChar"/>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link w:val="HDChar"/>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link w:val="TblBdyChar"/>
    <w:uiPriority w:val="1"/>
    <w:qFormat/>
    <w:rsid w:val="00DC7F99"/>
    <w:pPr>
      <w:spacing w:before="80" w:after="60"/>
    </w:pPr>
    <w:rPr>
      <w:rFonts w:ascii="Calibri" w:hAnsi="Calibri" w:cs="Arial"/>
      <w:sz w:val="22"/>
      <w:szCs w:val="24"/>
      <w:lang w:eastAsia="en-US"/>
    </w:rPr>
  </w:style>
  <w:style w:type="paragraph" w:customStyle="1" w:styleId="TblHd">
    <w:name w:val="_TblHd"/>
    <w:link w:val="TblHdChar"/>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4578FA"/>
    <w:pPr>
      <w:spacing w:after="120"/>
    </w:pPr>
  </w:style>
  <w:style w:type="paragraph" w:styleId="BodyText2">
    <w:name w:val="Body Text 2"/>
    <w:basedOn w:val="Normal"/>
    <w:link w:val="BodyText2Char"/>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link w:val="BodyTextIndentChar"/>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link w:val="BodyTextIndent2Char"/>
    <w:rsid w:val="004578FA"/>
    <w:pPr>
      <w:spacing w:after="120" w:line="480" w:lineRule="auto"/>
      <w:ind w:left="283"/>
    </w:pPr>
  </w:style>
  <w:style w:type="paragraph" w:styleId="BodyTextIndent3">
    <w:name w:val="Body Text Indent 3"/>
    <w:basedOn w:val="Normal"/>
    <w:link w:val="BodyTextIndent3Char"/>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link w:val="HTMLAddressChar"/>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aliases w:val="List Bullet Char"/>
    <w:basedOn w:val="Normal"/>
    <w:link w:val="ListBulletChar1"/>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uiPriority w:val="99"/>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link w:val="TOC2Char"/>
    <w:autoRedefine/>
    <w:uiPriority w:val="39"/>
    <w:rsid w:val="00536BA8"/>
    <w:pPr>
      <w:tabs>
        <w:tab w:val="right" w:pos="9629"/>
      </w:tabs>
      <w:spacing w:after="60"/>
    </w:pPr>
    <w:rPr>
      <w:noProof/>
      <w:szCs w:val="18"/>
    </w:rPr>
  </w:style>
  <w:style w:type="paragraph" w:styleId="TOC1">
    <w:name w:val="toc 1"/>
    <w:basedOn w:val="Normal"/>
    <w:next w:val="Normal"/>
    <w:link w:val="TOC1Char"/>
    <w:autoRedefine/>
    <w:uiPriority w:val="39"/>
    <w:rsid w:val="00D7453D"/>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link w:val="TableTitleChar"/>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uiPriority w:val="99"/>
    <w:semiHidden/>
    <w:rsid w:val="00DC1725"/>
    <w:rPr>
      <w:rFonts w:ascii="Tahoma" w:hAnsi="Tahoma" w:cs="Tahoma"/>
      <w:sz w:val="16"/>
      <w:szCs w:val="16"/>
      <w:lang w:eastAsia="en-US"/>
    </w:rPr>
  </w:style>
  <w:style w:type="character" w:styleId="CommentReference">
    <w:name w:val="annotation reference"/>
    <w:uiPriority w:val="99"/>
    <w:semiHidden/>
    <w:rsid w:val="008F4372"/>
    <w:rPr>
      <w:sz w:val="16"/>
      <w:szCs w:val="16"/>
    </w:rPr>
  </w:style>
  <w:style w:type="paragraph" w:styleId="CommentText">
    <w:name w:val="annotation text"/>
    <w:basedOn w:val="Normal"/>
    <w:link w:val="CommentTextChar"/>
    <w:uiPriority w:val="99"/>
    <w:semiHidden/>
    <w:rsid w:val="008F4372"/>
    <w:rPr>
      <w:szCs w:val="20"/>
    </w:rPr>
  </w:style>
  <w:style w:type="character" w:customStyle="1" w:styleId="CommentTextChar">
    <w:name w:val="Comment Text Char"/>
    <w:link w:val="CommentText"/>
    <w:uiPriority w:val="99"/>
    <w:semiHidden/>
    <w:rsid w:val="00DC1725"/>
    <w:rPr>
      <w:lang w:eastAsia="en-US"/>
    </w:rPr>
  </w:style>
  <w:style w:type="paragraph" w:styleId="CommentSubject">
    <w:name w:val="annotation subject"/>
    <w:basedOn w:val="CommentText"/>
    <w:next w:val="CommentText"/>
    <w:link w:val="CommentSubjectChar"/>
    <w:uiPriority w:val="99"/>
    <w:semiHidden/>
    <w:rsid w:val="008F4372"/>
    <w:rPr>
      <w:b/>
      <w:bCs/>
    </w:rPr>
  </w:style>
  <w:style w:type="character" w:customStyle="1" w:styleId="CommentSubjectChar">
    <w:name w:val="Comment Subject Char"/>
    <w:link w:val="CommentSubject"/>
    <w:uiPriority w:val="99"/>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HeadingC">
    <w:name w:val="Heading C"/>
    <w:basedOn w:val="HC"/>
    <w:link w:val="HeadingCChar"/>
    <w:uiPriority w:val="9"/>
    <w:qFormat/>
    <w:rsid w:val="005008AD"/>
  </w:style>
  <w:style w:type="paragraph" w:customStyle="1" w:styleId="HeadingB">
    <w:name w:val="Heading B"/>
    <w:basedOn w:val="HB"/>
    <w:link w:val="HeadingBChar"/>
    <w:uiPriority w:val="9"/>
    <w:qFormat/>
    <w:rsid w:val="009E7DEB"/>
  </w:style>
  <w:style w:type="character" w:customStyle="1" w:styleId="HCChar">
    <w:name w:val="_HC Char"/>
    <w:basedOn w:val="DefaultParagraphFont"/>
    <w:link w:val="HC"/>
    <w:uiPriority w:val="2"/>
    <w:rsid w:val="009E7DEB"/>
    <w:rPr>
      <w:rFonts w:ascii="Calibri" w:hAnsi="Calibri" w:cs="Arial"/>
      <w:b/>
      <w:sz w:val="24"/>
      <w:szCs w:val="24"/>
      <w:lang w:eastAsia="en-US"/>
    </w:rPr>
  </w:style>
  <w:style w:type="character" w:customStyle="1" w:styleId="HeadingCChar">
    <w:name w:val="Heading C Char"/>
    <w:basedOn w:val="HCChar"/>
    <w:link w:val="HeadingC"/>
    <w:uiPriority w:val="9"/>
    <w:rsid w:val="005008AD"/>
    <w:rPr>
      <w:rFonts w:ascii="Calibri" w:hAnsi="Calibri" w:cs="Arial"/>
      <w:b/>
      <w:sz w:val="24"/>
      <w:szCs w:val="24"/>
      <w:lang w:eastAsia="en-US"/>
    </w:rPr>
  </w:style>
  <w:style w:type="paragraph" w:customStyle="1" w:styleId="HeadingA">
    <w:name w:val="Heading A"/>
    <w:basedOn w:val="HA"/>
    <w:link w:val="HeadingAChar"/>
    <w:uiPriority w:val="9"/>
    <w:qFormat/>
    <w:rsid w:val="009E7DEB"/>
    <w:rPr>
      <w:bCs/>
      <w:lang w:val="en-AU"/>
    </w:rPr>
  </w:style>
  <w:style w:type="character" w:customStyle="1" w:styleId="HBChar">
    <w:name w:val="_HB Char"/>
    <w:basedOn w:val="DefaultParagraphFont"/>
    <w:link w:val="HB"/>
    <w:uiPriority w:val="2"/>
    <w:rsid w:val="009E7DEB"/>
    <w:rPr>
      <w:rFonts w:ascii="Calibri" w:hAnsi="Calibri" w:cs="Arial"/>
      <w:b/>
      <w:color w:val="228591"/>
      <w:sz w:val="28"/>
      <w:szCs w:val="24"/>
      <w:lang w:eastAsia="en-US"/>
    </w:rPr>
  </w:style>
  <w:style w:type="character" w:customStyle="1" w:styleId="HeadingBChar">
    <w:name w:val="Heading B Char"/>
    <w:basedOn w:val="HBChar"/>
    <w:link w:val="HeadingB"/>
    <w:uiPriority w:val="9"/>
    <w:rsid w:val="009E7DEB"/>
    <w:rPr>
      <w:rFonts w:ascii="Calibri" w:hAnsi="Calibri" w:cs="Arial"/>
      <w:b/>
      <w:color w:val="228591"/>
      <w:sz w:val="28"/>
      <w:szCs w:val="24"/>
      <w:lang w:eastAsia="en-US"/>
    </w:rPr>
  </w:style>
  <w:style w:type="paragraph" w:customStyle="1" w:styleId="HeadingD">
    <w:name w:val="Heading D"/>
    <w:basedOn w:val="HD"/>
    <w:link w:val="HeadingDChar"/>
    <w:uiPriority w:val="9"/>
    <w:qFormat/>
    <w:rsid w:val="009E7DEB"/>
  </w:style>
  <w:style w:type="character" w:customStyle="1" w:styleId="HAChar">
    <w:name w:val="_HA Char"/>
    <w:basedOn w:val="DefaultParagraphFont"/>
    <w:link w:val="HA"/>
    <w:uiPriority w:val="2"/>
    <w:rsid w:val="009E7DEB"/>
    <w:rPr>
      <w:rFonts w:ascii="Calibri" w:hAnsi="Calibri" w:cs="Arial"/>
      <w:color w:val="228591"/>
      <w:sz w:val="40"/>
      <w:szCs w:val="24"/>
      <w:lang w:val="en-US" w:eastAsia="en-US"/>
    </w:rPr>
  </w:style>
  <w:style w:type="character" w:customStyle="1" w:styleId="HeadingAChar">
    <w:name w:val="Heading A Char"/>
    <w:basedOn w:val="HAChar"/>
    <w:link w:val="HeadingA"/>
    <w:uiPriority w:val="9"/>
    <w:rsid w:val="009E7DEB"/>
    <w:rPr>
      <w:rFonts w:ascii="Calibri" w:hAnsi="Calibri" w:cs="Arial"/>
      <w:bCs/>
      <w:color w:val="228591"/>
      <w:sz w:val="40"/>
      <w:szCs w:val="24"/>
      <w:lang w:val="en-US" w:eastAsia="en-US"/>
    </w:rPr>
  </w:style>
  <w:style w:type="paragraph" w:customStyle="1" w:styleId="Tabletitle0">
    <w:name w:val="Table title"/>
    <w:basedOn w:val="TableTitle"/>
    <w:link w:val="TabletitleChar0"/>
    <w:uiPriority w:val="9"/>
    <w:qFormat/>
    <w:rsid w:val="009E7DEB"/>
  </w:style>
  <w:style w:type="character" w:customStyle="1" w:styleId="HDChar">
    <w:name w:val="_HD Char"/>
    <w:basedOn w:val="DefaultParagraphFont"/>
    <w:link w:val="HD"/>
    <w:uiPriority w:val="2"/>
    <w:rsid w:val="009E7DEB"/>
    <w:rPr>
      <w:rFonts w:ascii="Calibri" w:hAnsi="Calibri" w:cs="Arial"/>
      <w:b/>
      <w:i/>
      <w:sz w:val="22"/>
      <w:szCs w:val="24"/>
      <w:lang w:eastAsia="en-US"/>
    </w:rPr>
  </w:style>
  <w:style w:type="character" w:customStyle="1" w:styleId="HeadingDChar">
    <w:name w:val="Heading D Char"/>
    <w:basedOn w:val="HDChar"/>
    <w:link w:val="HeadingD"/>
    <w:uiPriority w:val="9"/>
    <w:rsid w:val="009E7DEB"/>
    <w:rPr>
      <w:rFonts w:ascii="Calibri" w:hAnsi="Calibri" w:cs="Arial"/>
      <w:b/>
      <w:i/>
      <w:sz w:val="22"/>
      <w:szCs w:val="24"/>
      <w:lang w:eastAsia="en-US"/>
    </w:rPr>
  </w:style>
  <w:style w:type="paragraph" w:customStyle="1" w:styleId="ContentsA">
    <w:name w:val="Contents A"/>
    <w:basedOn w:val="TOC1"/>
    <w:link w:val="ContentsAChar"/>
    <w:uiPriority w:val="9"/>
    <w:qFormat/>
    <w:rsid w:val="00D7453D"/>
  </w:style>
  <w:style w:type="character" w:customStyle="1" w:styleId="TableTitleChar">
    <w:name w:val="_TableTitle Char"/>
    <w:basedOn w:val="DefaultParagraphFont"/>
    <w:link w:val="TableTitle"/>
    <w:rsid w:val="009E7DEB"/>
    <w:rPr>
      <w:rFonts w:ascii="Calibri" w:hAnsi="Calibri" w:cs="Arial"/>
      <w:b/>
      <w:color w:val="404040"/>
      <w:sz w:val="22"/>
      <w:szCs w:val="18"/>
      <w:lang w:eastAsia="en-US"/>
    </w:rPr>
  </w:style>
  <w:style w:type="character" w:customStyle="1" w:styleId="TabletitleChar0">
    <w:name w:val="Table title Char"/>
    <w:basedOn w:val="TableTitleChar"/>
    <w:link w:val="Tabletitle0"/>
    <w:uiPriority w:val="9"/>
    <w:rsid w:val="009E7DEB"/>
    <w:rPr>
      <w:rFonts w:ascii="Calibri" w:hAnsi="Calibri" w:cs="Arial"/>
      <w:b/>
      <w:color w:val="404040"/>
      <w:sz w:val="22"/>
      <w:szCs w:val="18"/>
      <w:lang w:eastAsia="en-US"/>
    </w:rPr>
  </w:style>
  <w:style w:type="paragraph" w:customStyle="1" w:styleId="ContentsB">
    <w:name w:val="Contents B"/>
    <w:basedOn w:val="TOC2"/>
    <w:link w:val="ContentsBChar"/>
    <w:uiPriority w:val="9"/>
    <w:qFormat/>
    <w:rsid w:val="00D7453D"/>
  </w:style>
  <w:style w:type="character" w:customStyle="1" w:styleId="TOC1Char">
    <w:name w:val="TOC 1 Char"/>
    <w:basedOn w:val="DefaultParagraphFont"/>
    <w:link w:val="TOC1"/>
    <w:uiPriority w:val="39"/>
    <w:rsid w:val="00D7453D"/>
    <w:rPr>
      <w:rFonts w:ascii="Calibri" w:hAnsi="Calibri"/>
      <w:b/>
      <w:noProof/>
      <w:color w:val="228591"/>
      <w:sz w:val="22"/>
      <w:szCs w:val="24"/>
      <w:lang w:val="en-US" w:eastAsia="en-US"/>
    </w:rPr>
  </w:style>
  <w:style w:type="character" w:customStyle="1" w:styleId="ContentsAChar">
    <w:name w:val="Contents A Char"/>
    <w:basedOn w:val="TOC1Char"/>
    <w:link w:val="ContentsA"/>
    <w:uiPriority w:val="9"/>
    <w:rsid w:val="00D7453D"/>
    <w:rPr>
      <w:rFonts w:ascii="Calibri" w:hAnsi="Calibri"/>
      <w:b/>
      <w:noProof/>
      <w:color w:val="228591"/>
      <w:sz w:val="22"/>
      <w:szCs w:val="24"/>
      <w:lang w:val="en-US" w:eastAsia="en-US"/>
    </w:rPr>
  </w:style>
  <w:style w:type="table" w:styleId="LightList-Accent1">
    <w:name w:val="Light List Accent 1"/>
    <w:basedOn w:val="TableNormal"/>
    <w:uiPriority w:val="61"/>
    <w:rsid w:val="00F50EC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OC2Char">
    <w:name w:val="TOC 2 Char"/>
    <w:basedOn w:val="DefaultParagraphFont"/>
    <w:link w:val="TOC2"/>
    <w:uiPriority w:val="39"/>
    <w:rsid w:val="00536BA8"/>
    <w:rPr>
      <w:rFonts w:ascii="Calibri" w:hAnsi="Calibri"/>
      <w:noProof/>
      <w:sz w:val="22"/>
      <w:szCs w:val="18"/>
      <w:lang w:eastAsia="en-US"/>
    </w:rPr>
  </w:style>
  <w:style w:type="character" w:customStyle="1" w:styleId="ContentsBChar">
    <w:name w:val="Contents B Char"/>
    <w:basedOn w:val="TOC2Char"/>
    <w:link w:val="ContentsB"/>
    <w:uiPriority w:val="9"/>
    <w:rsid w:val="00D7453D"/>
    <w:rPr>
      <w:rFonts w:ascii="Calibri" w:hAnsi="Calibri"/>
      <w:noProof/>
      <w:sz w:val="22"/>
      <w:szCs w:val="18"/>
      <w:lang w:eastAsia="en-US"/>
    </w:rPr>
  </w:style>
  <w:style w:type="character" w:customStyle="1" w:styleId="Heading1Char">
    <w:name w:val="Heading 1 Char"/>
    <w:aliases w:val="head 1 Char"/>
    <w:basedOn w:val="DefaultParagraphFont"/>
    <w:link w:val="Heading1"/>
    <w:locked/>
    <w:rsid w:val="00F50ECA"/>
    <w:rPr>
      <w:rFonts w:ascii="Arial" w:hAnsi="Arial" w:cs="Arial"/>
      <w:b/>
      <w:bCs/>
      <w:kern w:val="32"/>
      <w:sz w:val="32"/>
      <w:szCs w:val="32"/>
      <w:lang w:eastAsia="en-US"/>
    </w:rPr>
  </w:style>
  <w:style w:type="paragraph" w:styleId="Revision">
    <w:name w:val="Revision"/>
    <w:hidden/>
    <w:uiPriority w:val="99"/>
    <w:semiHidden/>
    <w:rsid w:val="00F50ECA"/>
    <w:rPr>
      <w:rFonts w:ascii="Calibri" w:eastAsia="Calibri" w:hAnsi="Calibri"/>
      <w:sz w:val="22"/>
      <w:szCs w:val="22"/>
      <w:lang w:eastAsia="en-US"/>
    </w:rPr>
  </w:style>
  <w:style w:type="paragraph" w:styleId="Caption0">
    <w:name w:val="caption"/>
    <w:basedOn w:val="Normal"/>
    <w:next w:val="Normal"/>
    <w:uiPriority w:val="99"/>
    <w:qFormat/>
    <w:rsid w:val="00F50ECA"/>
    <w:pPr>
      <w:spacing w:after="200" w:line="276" w:lineRule="auto"/>
    </w:pPr>
    <w:rPr>
      <w:rFonts w:eastAsia="Calibri"/>
      <w:b/>
      <w:bCs/>
      <w:sz w:val="20"/>
      <w:szCs w:val="20"/>
    </w:rPr>
  </w:style>
  <w:style w:type="character" w:customStyle="1" w:styleId="FooterChar">
    <w:name w:val="Footer Char"/>
    <w:basedOn w:val="DefaultParagraphFont"/>
    <w:link w:val="Footer"/>
    <w:uiPriority w:val="99"/>
    <w:locked/>
    <w:rsid w:val="00F50ECA"/>
    <w:rPr>
      <w:rFonts w:ascii="Calibri" w:hAnsi="Calibri"/>
      <w:sz w:val="22"/>
      <w:szCs w:val="24"/>
      <w:lang w:eastAsia="en-US"/>
    </w:rPr>
  </w:style>
  <w:style w:type="paragraph" w:styleId="ListParagraph">
    <w:name w:val="List Paragraph"/>
    <w:basedOn w:val="Normal"/>
    <w:uiPriority w:val="34"/>
    <w:qFormat/>
    <w:rsid w:val="00F50ECA"/>
    <w:pPr>
      <w:spacing w:after="200" w:line="276" w:lineRule="auto"/>
      <w:ind w:left="720"/>
      <w:contextualSpacing/>
    </w:pPr>
    <w:rPr>
      <w:rFonts w:asciiTheme="minorHAnsi" w:eastAsiaTheme="minorHAnsi" w:hAnsiTheme="minorHAnsi" w:cstheme="minorBidi"/>
      <w:szCs w:val="22"/>
    </w:rPr>
  </w:style>
  <w:style w:type="character" w:customStyle="1" w:styleId="FootnoteTextChar">
    <w:name w:val="Footnote Text Char"/>
    <w:basedOn w:val="DefaultParagraphFont"/>
    <w:link w:val="FootnoteText"/>
    <w:uiPriority w:val="99"/>
    <w:semiHidden/>
    <w:rsid w:val="00F50ECA"/>
    <w:rPr>
      <w:rFonts w:ascii="Arial" w:hAnsi="Arial"/>
      <w:sz w:val="14"/>
      <w:lang w:eastAsia="en-US"/>
    </w:rPr>
  </w:style>
  <w:style w:type="character" w:customStyle="1" w:styleId="Heading2Char">
    <w:name w:val="Heading 2 Char"/>
    <w:basedOn w:val="DefaultParagraphFont"/>
    <w:link w:val="Heading2"/>
    <w:rsid w:val="00F50ECA"/>
    <w:rPr>
      <w:rFonts w:ascii="Arial" w:hAnsi="Arial" w:cs="Arial"/>
      <w:b/>
      <w:bCs/>
      <w:i/>
      <w:iCs/>
      <w:sz w:val="28"/>
      <w:szCs w:val="28"/>
      <w:lang w:eastAsia="en-US"/>
    </w:rPr>
  </w:style>
  <w:style w:type="character" w:customStyle="1" w:styleId="BodyTextChar">
    <w:name w:val="Body Text Char"/>
    <w:basedOn w:val="DefaultParagraphFont"/>
    <w:link w:val="BodyText"/>
    <w:rsid w:val="00F50ECA"/>
    <w:rPr>
      <w:rFonts w:ascii="Calibri" w:hAnsi="Calibri"/>
      <w:sz w:val="22"/>
      <w:szCs w:val="24"/>
      <w:lang w:eastAsia="en-US"/>
    </w:rPr>
  </w:style>
  <w:style w:type="character" w:customStyle="1" w:styleId="HeaderChar">
    <w:name w:val="Header Char"/>
    <w:basedOn w:val="DefaultParagraphFont"/>
    <w:link w:val="Header"/>
    <w:rsid w:val="00F50ECA"/>
    <w:rPr>
      <w:rFonts w:ascii="Calibri" w:hAnsi="Calibri"/>
      <w:sz w:val="22"/>
      <w:szCs w:val="24"/>
      <w:lang w:eastAsia="en-US"/>
    </w:rPr>
  </w:style>
  <w:style w:type="paragraph" w:customStyle="1" w:styleId="NumberedText">
    <w:name w:val="Numbered Text"/>
    <w:basedOn w:val="Normal"/>
    <w:rsid w:val="00F50ECA"/>
    <w:pPr>
      <w:tabs>
        <w:tab w:val="num" w:pos="360"/>
      </w:tabs>
      <w:spacing w:after="120"/>
      <w:ind w:left="360" w:hanging="360"/>
      <w:jc w:val="both"/>
    </w:pPr>
    <w:rPr>
      <w:rFonts w:ascii="Times New Roman" w:hAnsi="Times New Roman"/>
      <w:sz w:val="24"/>
      <w:szCs w:val="20"/>
      <w:lang w:eastAsia="en-AU"/>
    </w:rPr>
  </w:style>
  <w:style w:type="paragraph" w:customStyle="1" w:styleId="Body">
    <w:name w:val="Body"/>
    <w:basedOn w:val="Normal"/>
    <w:rsid w:val="00F50ECA"/>
    <w:pPr>
      <w:widowControl w:val="0"/>
      <w:ind w:firstLine="284"/>
      <w:jc w:val="both"/>
    </w:pPr>
    <w:rPr>
      <w:rFonts w:ascii="Times New Roman" w:hAnsi="Times New Roman"/>
      <w:sz w:val="20"/>
      <w:szCs w:val="20"/>
    </w:rPr>
  </w:style>
  <w:style w:type="paragraph" w:customStyle="1" w:styleId="Default">
    <w:name w:val="Default"/>
    <w:rsid w:val="00F50ECA"/>
    <w:pPr>
      <w:autoSpaceDE w:val="0"/>
      <w:autoSpaceDN w:val="0"/>
      <w:adjustRightInd w:val="0"/>
    </w:pPr>
    <w:rPr>
      <w:rFonts w:ascii="Tahoma" w:hAnsi="Tahoma" w:cs="Tahoma"/>
      <w:color w:val="000000"/>
      <w:sz w:val="24"/>
      <w:szCs w:val="24"/>
    </w:rPr>
  </w:style>
  <w:style w:type="paragraph" w:customStyle="1" w:styleId="Pa3">
    <w:name w:val="Pa3"/>
    <w:basedOn w:val="Default"/>
    <w:next w:val="Default"/>
    <w:rsid w:val="00F50ECA"/>
    <w:pPr>
      <w:spacing w:line="601" w:lineRule="atLeast"/>
    </w:pPr>
    <w:rPr>
      <w:rFonts w:cs="Times New Roman"/>
      <w:color w:val="auto"/>
    </w:rPr>
  </w:style>
  <w:style w:type="character" w:customStyle="1" w:styleId="A3">
    <w:name w:val="A3"/>
    <w:rsid w:val="00F50ECA"/>
    <w:rPr>
      <w:rFonts w:cs="Tahoma"/>
      <w:color w:val="FFFFFF"/>
      <w:sz w:val="32"/>
      <w:szCs w:val="32"/>
    </w:rPr>
  </w:style>
  <w:style w:type="character" w:customStyle="1" w:styleId="A4">
    <w:name w:val="A4"/>
    <w:rsid w:val="00F50ECA"/>
    <w:rPr>
      <w:rFonts w:cs="Tahoma"/>
      <w:color w:val="FFFFFF"/>
      <w:sz w:val="40"/>
      <w:szCs w:val="40"/>
    </w:rPr>
  </w:style>
  <w:style w:type="paragraph" w:customStyle="1" w:styleId="Pa0">
    <w:name w:val="Pa0"/>
    <w:basedOn w:val="Default"/>
    <w:next w:val="Default"/>
    <w:rsid w:val="00F50ECA"/>
    <w:pPr>
      <w:spacing w:line="241" w:lineRule="atLeast"/>
    </w:pPr>
    <w:rPr>
      <w:rFonts w:cs="Times New Roman"/>
      <w:color w:val="auto"/>
    </w:rPr>
  </w:style>
  <w:style w:type="paragraph" w:customStyle="1" w:styleId="Pa1">
    <w:name w:val="Pa1"/>
    <w:basedOn w:val="Default"/>
    <w:next w:val="Default"/>
    <w:rsid w:val="00F50ECA"/>
    <w:pPr>
      <w:spacing w:line="181" w:lineRule="atLeast"/>
    </w:pPr>
    <w:rPr>
      <w:rFonts w:cs="Times New Roman"/>
      <w:color w:val="auto"/>
    </w:rPr>
  </w:style>
  <w:style w:type="paragraph" w:customStyle="1" w:styleId="Pa4">
    <w:name w:val="Pa4"/>
    <w:basedOn w:val="Default"/>
    <w:next w:val="Default"/>
    <w:rsid w:val="00F50ECA"/>
    <w:pPr>
      <w:spacing w:line="201" w:lineRule="atLeast"/>
    </w:pPr>
    <w:rPr>
      <w:rFonts w:cs="Times New Roman"/>
      <w:color w:val="auto"/>
    </w:rPr>
  </w:style>
  <w:style w:type="character" w:customStyle="1" w:styleId="A5">
    <w:name w:val="A5"/>
    <w:rsid w:val="00F50ECA"/>
    <w:rPr>
      <w:rFonts w:ascii="Lucida Bright" w:hAnsi="Lucida Bright" w:cs="Lucida Bright"/>
      <w:color w:val="221E1F"/>
      <w:sz w:val="11"/>
      <w:szCs w:val="11"/>
    </w:rPr>
  </w:style>
  <w:style w:type="paragraph" w:customStyle="1" w:styleId="Pa5">
    <w:name w:val="Pa5"/>
    <w:basedOn w:val="Default"/>
    <w:next w:val="Default"/>
    <w:rsid w:val="00F50ECA"/>
    <w:pPr>
      <w:spacing w:line="181" w:lineRule="atLeast"/>
    </w:pPr>
    <w:rPr>
      <w:rFonts w:cs="Times New Roman"/>
      <w:color w:val="auto"/>
    </w:rPr>
  </w:style>
  <w:style w:type="character" w:customStyle="1" w:styleId="ListBulletChar1">
    <w:name w:val="List Bullet Char1"/>
    <w:aliases w:val="List Bullet Char Char"/>
    <w:basedOn w:val="DefaultParagraphFont"/>
    <w:link w:val="ListBullet"/>
    <w:rsid w:val="00F50ECA"/>
    <w:rPr>
      <w:rFonts w:ascii="Calibri" w:hAnsi="Calibri"/>
      <w:sz w:val="22"/>
      <w:szCs w:val="24"/>
      <w:lang w:eastAsia="en-US"/>
    </w:rPr>
  </w:style>
  <w:style w:type="paragraph" w:customStyle="1" w:styleId="Figureandtabletitle">
    <w:name w:val="Figure and table title"/>
    <w:basedOn w:val="BodyText"/>
    <w:rsid w:val="00F50ECA"/>
    <w:pPr>
      <w:suppressAutoHyphens/>
      <w:autoSpaceDE w:val="0"/>
      <w:autoSpaceDN w:val="0"/>
      <w:adjustRightInd w:val="0"/>
      <w:spacing w:before="113" w:after="0" w:line="240" w:lineRule="atLeast"/>
      <w:textAlignment w:val="center"/>
    </w:pPr>
    <w:rPr>
      <w:rFonts w:ascii="LucidaBright Demibold" w:hAnsi="LucidaBright Demibold" w:cs="LucidaBright Demibold"/>
      <w:color w:val="000000"/>
      <w:sz w:val="20"/>
      <w:szCs w:val="20"/>
      <w:lang w:val="en-GB" w:eastAsia="en-AU"/>
    </w:rPr>
  </w:style>
  <w:style w:type="paragraph" w:customStyle="1" w:styleId="Quote1">
    <w:name w:val="Quote 1"/>
    <w:basedOn w:val="BodyText"/>
    <w:rsid w:val="00F50ECA"/>
    <w:pPr>
      <w:spacing w:after="240" w:line="240" w:lineRule="atLeast"/>
      <w:ind w:left="1134" w:right="1134"/>
      <w:jc w:val="both"/>
    </w:pPr>
    <w:rPr>
      <w:rFonts w:ascii="Comic Sans MS" w:hAnsi="Comic Sans MS"/>
      <w:b/>
      <w:color w:val="003366"/>
      <w:sz w:val="18"/>
      <w:szCs w:val="18"/>
      <w:lang w:eastAsia="en-AU"/>
    </w:rPr>
  </w:style>
  <w:style w:type="paragraph" w:customStyle="1" w:styleId="wallacepara">
    <w:name w:val="wallacepara"/>
    <w:basedOn w:val="Normal"/>
    <w:rsid w:val="00F50ECA"/>
    <w:pPr>
      <w:spacing w:before="100" w:beforeAutospacing="1" w:after="100" w:afterAutospacing="1"/>
    </w:pPr>
    <w:rPr>
      <w:rFonts w:ascii="Times New Roman" w:hAnsi="Times New Roman"/>
      <w:sz w:val="24"/>
      <w:lang w:eastAsia="en-AU"/>
    </w:rPr>
  </w:style>
  <w:style w:type="character" w:customStyle="1" w:styleId="BodyText2Char">
    <w:name w:val="Body Text 2 Char"/>
    <w:basedOn w:val="DefaultParagraphFont"/>
    <w:link w:val="BodyText2"/>
    <w:rsid w:val="00F50ECA"/>
    <w:rPr>
      <w:rFonts w:ascii="Calibri" w:hAnsi="Calibri"/>
      <w:sz w:val="22"/>
      <w:szCs w:val="24"/>
      <w:lang w:eastAsia="en-US"/>
    </w:rPr>
  </w:style>
  <w:style w:type="character" w:customStyle="1" w:styleId="HTMLAddressChar">
    <w:name w:val="HTML Address Char"/>
    <w:basedOn w:val="DefaultParagraphFont"/>
    <w:link w:val="HTMLAddress"/>
    <w:rsid w:val="00F50ECA"/>
    <w:rPr>
      <w:rFonts w:ascii="Calibri" w:hAnsi="Calibri"/>
      <w:i/>
      <w:iCs/>
      <w:sz w:val="22"/>
      <w:szCs w:val="24"/>
      <w:lang w:eastAsia="en-US"/>
    </w:rPr>
  </w:style>
  <w:style w:type="paragraph" w:customStyle="1" w:styleId="social-bookmarking-help2">
    <w:name w:val="social-bookmarking-help2"/>
    <w:basedOn w:val="Normal"/>
    <w:rsid w:val="00F50ECA"/>
    <w:pPr>
      <w:spacing w:before="75" w:after="150"/>
    </w:pPr>
    <w:rPr>
      <w:rFonts w:ascii="Times New Roman" w:hAnsi="Times New Roman"/>
      <w:sz w:val="24"/>
      <w:lang w:eastAsia="en-AU"/>
    </w:rPr>
  </w:style>
  <w:style w:type="character" w:customStyle="1" w:styleId="name">
    <w:name w:val="name"/>
    <w:basedOn w:val="DefaultParagraphFont"/>
    <w:rsid w:val="00F50ECA"/>
  </w:style>
  <w:style w:type="character" w:customStyle="1" w:styleId="cit-first-elementcit-title">
    <w:name w:val="cit-first-element cit-title"/>
    <w:basedOn w:val="DefaultParagraphFont"/>
    <w:rsid w:val="00F50ECA"/>
  </w:style>
  <w:style w:type="character" w:customStyle="1" w:styleId="site-title">
    <w:name w:val="site-title"/>
    <w:basedOn w:val="DefaultParagraphFont"/>
    <w:rsid w:val="00F50ECA"/>
  </w:style>
  <w:style w:type="character" w:customStyle="1" w:styleId="cit-print-date">
    <w:name w:val="cit-print-date"/>
    <w:basedOn w:val="DefaultParagraphFont"/>
    <w:rsid w:val="00F50ECA"/>
  </w:style>
  <w:style w:type="character" w:customStyle="1" w:styleId="cit-vol4">
    <w:name w:val="cit-vol4"/>
    <w:basedOn w:val="DefaultParagraphFont"/>
    <w:rsid w:val="00F50ECA"/>
  </w:style>
  <w:style w:type="character" w:customStyle="1" w:styleId="cit-sepcit-sep-after-article-vol">
    <w:name w:val="cit-sep cit-sep-after-article-vol"/>
    <w:basedOn w:val="DefaultParagraphFont"/>
    <w:rsid w:val="00F50ECA"/>
  </w:style>
  <w:style w:type="character" w:customStyle="1" w:styleId="cit-first-page">
    <w:name w:val="cit-first-page"/>
    <w:basedOn w:val="DefaultParagraphFont"/>
    <w:rsid w:val="00F50ECA"/>
  </w:style>
  <w:style w:type="character" w:customStyle="1" w:styleId="cit-sep2">
    <w:name w:val="cit-sep2"/>
    <w:basedOn w:val="DefaultParagraphFont"/>
    <w:rsid w:val="00F50ECA"/>
  </w:style>
  <w:style w:type="character" w:customStyle="1" w:styleId="cit-last-page">
    <w:name w:val="cit-last-page"/>
    <w:basedOn w:val="DefaultParagraphFont"/>
    <w:rsid w:val="00F50ECA"/>
  </w:style>
  <w:style w:type="character" w:customStyle="1" w:styleId="slug-pub-date3">
    <w:name w:val="slug-pub-date3"/>
    <w:basedOn w:val="DefaultParagraphFont"/>
    <w:rsid w:val="00F50ECA"/>
    <w:rPr>
      <w:b/>
      <w:bCs/>
    </w:rPr>
  </w:style>
  <w:style w:type="character" w:customStyle="1" w:styleId="slug-vol">
    <w:name w:val="slug-vol"/>
    <w:basedOn w:val="DefaultParagraphFont"/>
    <w:rsid w:val="00F50ECA"/>
  </w:style>
  <w:style w:type="character" w:customStyle="1" w:styleId="slug-issue">
    <w:name w:val="slug-issue"/>
    <w:basedOn w:val="DefaultParagraphFont"/>
    <w:rsid w:val="00F50ECA"/>
  </w:style>
  <w:style w:type="character" w:customStyle="1" w:styleId="slug-pages3">
    <w:name w:val="slug-pages3"/>
    <w:basedOn w:val="DefaultParagraphFont"/>
    <w:rsid w:val="00F50ECA"/>
    <w:rPr>
      <w:b/>
      <w:bCs/>
    </w:rPr>
  </w:style>
  <w:style w:type="paragraph" w:customStyle="1" w:styleId="recommendationboxheadingsecondlessspaceafter1">
    <w:name w:val="recommendation_boxheading_second_less_space_after1"/>
    <w:basedOn w:val="Normal"/>
    <w:rsid w:val="00F50ECA"/>
    <w:pPr>
      <w:spacing w:before="480"/>
      <w:ind w:left="-240"/>
    </w:pPr>
    <w:rPr>
      <w:rFonts w:ascii="Arial" w:hAnsi="Arial" w:cs="Arial"/>
      <w:b/>
      <w:bCs/>
      <w:smallCaps/>
      <w:color w:val="507742"/>
      <w:sz w:val="31"/>
      <w:szCs w:val="31"/>
      <w:lang w:eastAsia="en-AU"/>
    </w:rPr>
  </w:style>
  <w:style w:type="paragraph" w:customStyle="1" w:styleId="recommendationboxheadingthird1">
    <w:name w:val="recommendation_boxheading_third1"/>
    <w:basedOn w:val="Normal"/>
    <w:rsid w:val="00F50ECA"/>
    <w:pPr>
      <w:spacing w:before="360" w:after="240"/>
      <w:ind w:left="-240"/>
    </w:pPr>
    <w:rPr>
      <w:rFonts w:ascii="Arial" w:hAnsi="Arial" w:cs="Arial"/>
      <w:b/>
      <w:bCs/>
      <w:color w:val="507742"/>
      <w:sz w:val="30"/>
      <w:szCs w:val="30"/>
      <w:lang w:eastAsia="en-AU"/>
    </w:rPr>
  </w:style>
  <w:style w:type="character" w:customStyle="1" w:styleId="recommendationheading1">
    <w:name w:val="recommendation_heading1"/>
    <w:basedOn w:val="DefaultParagraphFont"/>
    <w:rsid w:val="00F50ECA"/>
    <w:rPr>
      <w:b/>
      <w:bCs/>
      <w:color w:val="507742"/>
    </w:rPr>
  </w:style>
  <w:style w:type="character" w:customStyle="1" w:styleId="small">
    <w:name w:val="small"/>
    <w:basedOn w:val="DefaultParagraphFont"/>
    <w:rsid w:val="00F50ECA"/>
    <w:rPr>
      <w:color w:val="666666"/>
      <w:sz w:val="22"/>
      <w:szCs w:val="22"/>
    </w:rPr>
  </w:style>
  <w:style w:type="paragraph" w:customStyle="1" w:styleId="Abstract">
    <w:name w:val="Abstract"/>
    <w:basedOn w:val="Normal"/>
    <w:next w:val="Heading2"/>
    <w:rsid w:val="00F50ECA"/>
    <w:pPr>
      <w:widowControl w:val="0"/>
      <w:tabs>
        <w:tab w:val="left" w:pos="1418"/>
      </w:tabs>
      <w:spacing w:after="220"/>
      <w:jc w:val="both"/>
    </w:pPr>
    <w:rPr>
      <w:rFonts w:ascii="Times New Roman" w:hAnsi="Times New Roman"/>
      <w:sz w:val="18"/>
      <w:szCs w:val="20"/>
    </w:rPr>
  </w:style>
  <w:style w:type="paragraph" w:customStyle="1" w:styleId="Author">
    <w:name w:val="Author"/>
    <w:basedOn w:val="Normal"/>
    <w:rsid w:val="00F50ECA"/>
    <w:pPr>
      <w:widowControl w:val="0"/>
      <w:jc w:val="both"/>
    </w:pPr>
    <w:rPr>
      <w:rFonts w:ascii="Times New Roman" w:hAnsi="Times New Roman"/>
      <w:b/>
      <w:sz w:val="26"/>
      <w:szCs w:val="20"/>
    </w:rPr>
  </w:style>
  <w:style w:type="paragraph" w:customStyle="1" w:styleId="Origin">
    <w:name w:val="Origin"/>
    <w:basedOn w:val="Normal"/>
    <w:rsid w:val="00F50ECA"/>
    <w:pPr>
      <w:widowControl w:val="0"/>
      <w:spacing w:after="400"/>
    </w:pPr>
    <w:rPr>
      <w:rFonts w:ascii="Times New Roman" w:hAnsi="Times New Roman"/>
      <w:sz w:val="18"/>
      <w:szCs w:val="20"/>
    </w:rPr>
  </w:style>
  <w:style w:type="character" w:customStyle="1" w:styleId="BodyTextIndent2Char">
    <w:name w:val="Body Text Indent 2 Char"/>
    <w:basedOn w:val="DefaultParagraphFont"/>
    <w:link w:val="BodyTextIndent2"/>
    <w:rsid w:val="00F50ECA"/>
    <w:rPr>
      <w:rFonts w:ascii="Calibri" w:hAnsi="Calibri"/>
      <w:sz w:val="22"/>
      <w:szCs w:val="24"/>
      <w:lang w:eastAsia="en-US"/>
    </w:rPr>
  </w:style>
  <w:style w:type="character" w:customStyle="1" w:styleId="BodyTextIndentChar">
    <w:name w:val="Body Text Indent Char"/>
    <w:basedOn w:val="DefaultParagraphFont"/>
    <w:link w:val="BodyTextIndent"/>
    <w:rsid w:val="00F50ECA"/>
    <w:rPr>
      <w:rFonts w:ascii="Calibri" w:hAnsi="Calibri"/>
      <w:sz w:val="22"/>
      <w:szCs w:val="24"/>
      <w:lang w:eastAsia="en-US"/>
    </w:rPr>
  </w:style>
  <w:style w:type="character" w:customStyle="1" w:styleId="BodyTextIndent3Char">
    <w:name w:val="Body Text Indent 3 Char"/>
    <w:basedOn w:val="DefaultParagraphFont"/>
    <w:link w:val="BodyTextIndent3"/>
    <w:rsid w:val="00F50ECA"/>
    <w:rPr>
      <w:rFonts w:ascii="Calibri" w:hAnsi="Calibri"/>
      <w:sz w:val="16"/>
      <w:szCs w:val="16"/>
      <w:lang w:eastAsia="en-US"/>
    </w:rPr>
  </w:style>
  <w:style w:type="paragraph" w:customStyle="1" w:styleId="Covertitle">
    <w:name w:val="Cover title"/>
    <w:basedOn w:val="Normal"/>
    <w:next w:val="Normal"/>
    <w:rsid w:val="00F50ECA"/>
    <w:pPr>
      <w:framePr w:w="8165" w:hSpace="181" w:vSpace="181" w:wrap="around" w:vAnchor="page" w:hAnchor="text" w:xAlign="center" w:y="5161"/>
      <w:widowControl w:val="0"/>
      <w:spacing w:line="540" w:lineRule="exact"/>
      <w:jc w:val="center"/>
    </w:pPr>
    <w:rPr>
      <w:rFonts w:ascii="Arial" w:hAnsi="Arial"/>
      <w:b/>
      <w:sz w:val="48"/>
      <w:szCs w:val="20"/>
    </w:rPr>
  </w:style>
  <w:style w:type="character" w:styleId="EndnoteReference">
    <w:name w:val="endnote reference"/>
    <w:basedOn w:val="DefaultParagraphFont"/>
    <w:uiPriority w:val="99"/>
    <w:semiHidden/>
    <w:unhideWhenUsed/>
    <w:rsid w:val="00F50ECA"/>
    <w:rPr>
      <w:vertAlign w:val="superscript"/>
    </w:rPr>
  </w:style>
  <w:style w:type="paragraph" w:customStyle="1" w:styleId="DELWPbodytext">
    <w:name w:val="DELWP body text"/>
    <w:basedOn w:val="Normal"/>
    <w:link w:val="DELWPbodytextChar"/>
    <w:uiPriority w:val="9"/>
    <w:qFormat/>
    <w:rsid w:val="00F50ECA"/>
    <w:pPr>
      <w:spacing w:afterLines="113" w:after="271" w:line="240" w:lineRule="atLeast"/>
    </w:pPr>
    <w:rPr>
      <w:rFonts w:asciiTheme="minorHAnsi" w:hAnsiTheme="minorHAnsi" w:cstheme="minorHAnsi"/>
      <w:szCs w:val="22"/>
    </w:rPr>
  </w:style>
  <w:style w:type="paragraph" w:customStyle="1" w:styleId="SourceDELWP">
    <w:name w:val="Source DELWP"/>
    <w:basedOn w:val="Caption"/>
    <w:link w:val="SourceDELWPChar"/>
    <w:uiPriority w:val="9"/>
    <w:qFormat/>
    <w:rsid w:val="00A827BC"/>
  </w:style>
  <w:style w:type="character" w:customStyle="1" w:styleId="DELWPbodytextChar">
    <w:name w:val="DELWP body text Char"/>
    <w:basedOn w:val="DefaultParagraphFont"/>
    <w:link w:val="DELWPbodytext"/>
    <w:uiPriority w:val="9"/>
    <w:rsid w:val="00F50ECA"/>
    <w:rPr>
      <w:rFonts w:asciiTheme="minorHAnsi" w:hAnsiTheme="minorHAnsi" w:cstheme="minorHAnsi"/>
      <w:sz w:val="22"/>
      <w:szCs w:val="22"/>
      <w:lang w:eastAsia="en-US"/>
    </w:rPr>
  </w:style>
  <w:style w:type="paragraph" w:customStyle="1" w:styleId="TableBodyDELWP">
    <w:name w:val="Table Body DELWP"/>
    <w:basedOn w:val="TblBdy"/>
    <w:link w:val="TableBodyDELWPChar"/>
    <w:uiPriority w:val="9"/>
    <w:qFormat/>
    <w:rsid w:val="00C25E19"/>
  </w:style>
  <w:style w:type="character" w:customStyle="1" w:styleId="CaptionChar">
    <w:name w:val="_Caption Char"/>
    <w:basedOn w:val="DefaultParagraphFont"/>
    <w:link w:val="Caption"/>
    <w:rsid w:val="00A827BC"/>
    <w:rPr>
      <w:rFonts w:ascii="Calibri" w:hAnsi="Calibri" w:cs="Arial"/>
      <w:b/>
      <w:color w:val="404040"/>
      <w:szCs w:val="14"/>
      <w:lang w:eastAsia="en-US"/>
    </w:rPr>
  </w:style>
  <w:style w:type="character" w:customStyle="1" w:styleId="SourceDELWPChar">
    <w:name w:val="Source DELWP Char"/>
    <w:basedOn w:val="CaptionChar"/>
    <w:link w:val="SourceDELWP"/>
    <w:uiPriority w:val="9"/>
    <w:rsid w:val="00A827BC"/>
    <w:rPr>
      <w:rFonts w:ascii="Calibri" w:hAnsi="Calibri" w:cs="Arial"/>
      <w:b/>
      <w:color w:val="404040"/>
      <w:szCs w:val="14"/>
      <w:lang w:eastAsia="en-US"/>
    </w:rPr>
  </w:style>
  <w:style w:type="paragraph" w:customStyle="1" w:styleId="TablecolumnheadersDELWP">
    <w:name w:val="Table column headers DELWP"/>
    <w:basedOn w:val="TblHd"/>
    <w:link w:val="TablecolumnheadersDELWPChar"/>
    <w:uiPriority w:val="9"/>
    <w:qFormat/>
    <w:rsid w:val="00C25E19"/>
  </w:style>
  <w:style w:type="character" w:customStyle="1" w:styleId="TblBdyChar">
    <w:name w:val="_TblBdy Char"/>
    <w:basedOn w:val="DefaultParagraphFont"/>
    <w:link w:val="TblBdy"/>
    <w:uiPriority w:val="1"/>
    <w:rsid w:val="00C25E19"/>
    <w:rPr>
      <w:rFonts w:ascii="Calibri" w:hAnsi="Calibri" w:cs="Arial"/>
      <w:sz w:val="22"/>
      <w:szCs w:val="24"/>
      <w:lang w:eastAsia="en-US"/>
    </w:rPr>
  </w:style>
  <w:style w:type="character" w:customStyle="1" w:styleId="TableBodyDELWPChar">
    <w:name w:val="Table Body DELWP Char"/>
    <w:basedOn w:val="TblBdyChar"/>
    <w:link w:val="TableBodyDELWP"/>
    <w:uiPriority w:val="9"/>
    <w:rsid w:val="00C25E19"/>
    <w:rPr>
      <w:rFonts w:ascii="Calibri" w:hAnsi="Calibri" w:cs="Arial"/>
      <w:sz w:val="22"/>
      <w:szCs w:val="24"/>
      <w:lang w:eastAsia="en-US"/>
    </w:rPr>
  </w:style>
  <w:style w:type="character" w:customStyle="1" w:styleId="TblHdChar">
    <w:name w:val="_TblHd Char"/>
    <w:basedOn w:val="DefaultParagraphFont"/>
    <w:link w:val="TblHd"/>
    <w:rsid w:val="00C25E19"/>
    <w:rPr>
      <w:rFonts w:ascii="Calibri" w:hAnsi="Calibri" w:cs="Arial"/>
      <w:b/>
      <w:sz w:val="22"/>
      <w:szCs w:val="24"/>
      <w:lang w:eastAsia="en-US"/>
    </w:rPr>
  </w:style>
  <w:style w:type="character" w:customStyle="1" w:styleId="TablecolumnheadersDELWPChar">
    <w:name w:val="Table column headers DELWP Char"/>
    <w:basedOn w:val="TblHdChar"/>
    <w:link w:val="TablecolumnheadersDELWP"/>
    <w:uiPriority w:val="9"/>
    <w:rsid w:val="00C25E19"/>
    <w:rPr>
      <w:rFonts w:ascii="Calibri" w:hAnsi="Calibri" w:cs="Arial"/>
      <w:b/>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600">
      <w:bodyDiv w:val="1"/>
      <w:marLeft w:val="0"/>
      <w:marRight w:val="0"/>
      <w:marTop w:val="0"/>
      <w:marBottom w:val="0"/>
      <w:divBdr>
        <w:top w:val="none" w:sz="0" w:space="0" w:color="auto"/>
        <w:left w:val="none" w:sz="0" w:space="0" w:color="auto"/>
        <w:bottom w:val="none" w:sz="0" w:space="0" w:color="auto"/>
        <w:right w:val="none" w:sz="0" w:space="0" w:color="auto"/>
      </w:divBdr>
    </w:div>
    <w:div w:id="6561789">
      <w:bodyDiv w:val="1"/>
      <w:marLeft w:val="0"/>
      <w:marRight w:val="0"/>
      <w:marTop w:val="0"/>
      <w:marBottom w:val="0"/>
      <w:divBdr>
        <w:top w:val="none" w:sz="0" w:space="0" w:color="auto"/>
        <w:left w:val="none" w:sz="0" w:space="0" w:color="auto"/>
        <w:bottom w:val="none" w:sz="0" w:space="0" w:color="auto"/>
        <w:right w:val="none" w:sz="0" w:space="0" w:color="auto"/>
      </w:divBdr>
    </w:div>
    <w:div w:id="86199480">
      <w:bodyDiv w:val="1"/>
      <w:marLeft w:val="0"/>
      <w:marRight w:val="0"/>
      <w:marTop w:val="0"/>
      <w:marBottom w:val="0"/>
      <w:divBdr>
        <w:top w:val="none" w:sz="0" w:space="0" w:color="auto"/>
        <w:left w:val="none" w:sz="0" w:space="0" w:color="auto"/>
        <w:bottom w:val="none" w:sz="0" w:space="0" w:color="auto"/>
        <w:right w:val="none" w:sz="0" w:space="0" w:color="auto"/>
      </w:divBdr>
    </w:div>
    <w:div w:id="111289848">
      <w:bodyDiv w:val="1"/>
      <w:marLeft w:val="0"/>
      <w:marRight w:val="0"/>
      <w:marTop w:val="0"/>
      <w:marBottom w:val="0"/>
      <w:divBdr>
        <w:top w:val="none" w:sz="0" w:space="0" w:color="auto"/>
        <w:left w:val="none" w:sz="0" w:space="0" w:color="auto"/>
        <w:bottom w:val="none" w:sz="0" w:space="0" w:color="auto"/>
        <w:right w:val="none" w:sz="0" w:space="0" w:color="auto"/>
      </w:divBdr>
    </w:div>
    <w:div w:id="113334971">
      <w:bodyDiv w:val="1"/>
      <w:marLeft w:val="0"/>
      <w:marRight w:val="0"/>
      <w:marTop w:val="0"/>
      <w:marBottom w:val="0"/>
      <w:divBdr>
        <w:top w:val="none" w:sz="0" w:space="0" w:color="auto"/>
        <w:left w:val="none" w:sz="0" w:space="0" w:color="auto"/>
        <w:bottom w:val="none" w:sz="0" w:space="0" w:color="auto"/>
        <w:right w:val="none" w:sz="0" w:space="0" w:color="auto"/>
      </w:divBdr>
    </w:div>
    <w:div w:id="352073465">
      <w:bodyDiv w:val="1"/>
      <w:marLeft w:val="0"/>
      <w:marRight w:val="0"/>
      <w:marTop w:val="0"/>
      <w:marBottom w:val="0"/>
      <w:divBdr>
        <w:top w:val="none" w:sz="0" w:space="0" w:color="auto"/>
        <w:left w:val="none" w:sz="0" w:space="0" w:color="auto"/>
        <w:bottom w:val="none" w:sz="0" w:space="0" w:color="auto"/>
        <w:right w:val="none" w:sz="0" w:space="0" w:color="auto"/>
      </w:divBdr>
    </w:div>
    <w:div w:id="375202851">
      <w:bodyDiv w:val="1"/>
      <w:marLeft w:val="0"/>
      <w:marRight w:val="0"/>
      <w:marTop w:val="0"/>
      <w:marBottom w:val="0"/>
      <w:divBdr>
        <w:top w:val="none" w:sz="0" w:space="0" w:color="auto"/>
        <w:left w:val="none" w:sz="0" w:space="0" w:color="auto"/>
        <w:bottom w:val="none" w:sz="0" w:space="0" w:color="auto"/>
        <w:right w:val="none" w:sz="0" w:space="0" w:color="auto"/>
      </w:divBdr>
    </w:div>
    <w:div w:id="388454877">
      <w:bodyDiv w:val="1"/>
      <w:marLeft w:val="0"/>
      <w:marRight w:val="0"/>
      <w:marTop w:val="0"/>
      <w:marBottom w:val="0"/>
      <w:divBdr>
        <w:top w:val="none" w:sz="0" w:space="0" w:color="auto"/>
        <w:left w:val="none" w:sz="0" w:space="0" w:color="auto"/>
        <w:bottom w:val="none" w:sz="0" w:space="0" w:color="auto"/>
        <w:right w:val="none" w:sz="0" w:space="0" w:color="auto"/>
      </w:divBdr>
    </w:div>
    <w:div w:id="478888898">
      <w:bodyDiv w:val="1"/>
      <w:marLeft w:val="0"/>
      <w:marRight w:val="0"/>
      <w:marTop w:val="0"/>
      <w:marBottom w:val="0"/>
      <w:divBdr>
        <w:top w:val="none" w:sz="0" w:space="0" w:color="auto"/>
        <w:left w:val="none" w:sz="0" w:space="0" w:color="auto"/>
        <w:bottom w:val="none" w:sz="0" w:space="0" w:color="auto"/>
        <w:right w:val="none" w:sz="0" w:space="0" w:color="auto"/>
      </w:divBdr>
    </w:div>
    <w:div w:id="816578838">
      <w:bodyDiv w:val="1"/>
      <w:marLeft w:val="0"/>
      <w:marRight w:val="0"/>
      <w:marTop w:val="0"/>
      <w:marBottom w:val="0"/>
      <w:divBdr>
        <w:top w:val="none" w:sz="0" w:space="0" w:color="auto"/>
        <w:left w:val="none" w:sz="0" w:space="0" w:color="auto"/>
        <w:bottom w:val="none" w:sz="0" w:space="0" w:color="auto"/>
        <w:right w:val="none" w:sz="0" w:space="0" w:color="auto"/>
      </w:divBdr>
    </w:div>
    <w:div w:id="825248661">
      <w:bodyDiv w:val="1"/>
      <w:marLeft w:val="0"/>
      <w:marRight w:val="0"/>
      <w:marTop w:val="0"/>
      <w:marBottom w:val="0"/>
      <w:divBdr>
        <w:top w:val="none" w:sz="0" w:space="0" w:color="auto"/>
        <w:left w:val="none" w:sz="0" w:space="0" w:color="auto"/>
        <w:bottom w:val="none" w:sz="0" w:space="0" w:color="auto"/>
        <w:right w:val="none" w:sz="0" w:space="0" w:color="auto"/>
      </w:divBdr>
    </w:div>
    <w:div w:id="869684318">
      <w:bodyDiv w:val="1"/>
      <w:marLeft w:val="0"/>
      <w:marRight w:val="0"/>
      <w:marTop w:val="0"/>
      <w:marBottom w:val="0"/>
      <w:divBdr>
        <w:top w:val="none" w:sz="0" w:space="0" w:color="auto"/>
        <w:left w:val="none" w:sz="0" w:space="0" w:color="auto"/>
        <w:bottom w:val="none" w:sz="0" w:space="0" w:color="auto"/>
        <w:right w:val="none" w:sz="0" w:space="0" w:color="auto"/>
      </w:divBdr>
    </w:div>
    <w:div w:id="950893959">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442725184">
      <w:bodyDiv w:val="1"/>
      <w:marLeft w:val="0"/>
      <w:marRight w:val="0"/>
      <w:marTop w:val="0"/>
      <w:marBottom w:val="0"/>
      <w:divBdr>
        <w:top w:val="none" w:sz="0" w:space="0" w:color="auto"/>
        <w:left w:val="none" w:sz="0" w:space="0" w:color="auto"/>
        <w:bottom w:val="none" w:sz="0" w:space="0" w:color="auto"/>
        <w:right w:val="none" w:sz="0" w:space="0" w:color="auto"/>
      </w:divBdr>
    </w:div>
    <w:div w:id="1542860237">
      <w:bodyDiv w:val="1"/>
      <w:marLeft w:val="0"/>
      <w:marRight w:val="0"/>
      <w:marTop w:val="0"/>
      <w:marBottom w:val="0"/>
      <w:divBdr>
        <w:top w:val="none" w:sz="0" w:space="0" w:color="auto"/>
        <w:left w:val="none" w:sz="0" w:space="0" w:color="auto"/>
        <w:bottom w:val="none" w:sz="0" w:space="0" w:color="auto"/>
        <w:right w:val="none" w:sz="0" w:space="0" w:color="auto"/>
      </w:divBdr>
    </w:div>
    <w:div w:id="1727992977">
      <w:bodyDiv w:val="1"/>
      <w:marLeft w:val="0"/>
      <w:marRight w:val="0"/>
      <w:marTop w:val="0"/>
      <w:marBottom w:val="0"/>
      <w:divBdr>
        <w:top w:val="none" w:sz="0" w:space="0" w:color="auto"/>
        <w:left w:val="none" w:sz="0" w:space="0" w:color="auto"/>
        <w:bottom w:val="none" w:sz="0" w:space="0" w:color="auto"/>
        <w:right w:val="none" w:sz="0" w:space="0" w:color="auto"/>
      </w:divBdr>
    </w:div>
    <w:div w:id="1809200640">
      <w:bodyDiv w:val="1"/>
      <w:marLeft w:val="0"/>
      <w:marRight w:val="0"/>
      <w:marTop w:val="0"/>
      <w:marBottom w:val="0"/>
      <w:divBdr>
        <w:top w:val="none" w:sz="0" w:space="0" w:color="auto"/>
        <w:left w:val="none" w:sz="0" w:space="0" w:color="auto"/>
        <w:bottom w:val="none" w:sz="0" w:space="0" w:color="auto"/>
        <w:right w:val="none" w:sz="0" w:space="0" w:color="auto"/>
      </w:divBdr>
    </w:div>
    <w:div w:id="2033411661">
      <w:bodyDiv w:val="1"/>
      <w:marLeft w:val="0"/>
      <w:marRight w:val="0"/>
      <w:marTop w:val="0"/>
      <w:marBottom w:val="0"/>
      <w:divBdr>
        <w:top w:val="none" w:sz="0" w:space="0" w:color="auto"/>
        <w:left w:val="none" w:sz="0" w:space="0" w:color="auto"/>
        <w:bottom w:val="none" w:sz="0" w:space="0" w:color="auto"/>
        <w:right w:val="none" w:sz="0" w:space="0" w:color="auto"/>
      </w:divBdr>
    </w:div>
    <w:div w:id="2057049116">
      <w:bodyDiv w:val="1"/>
      <w:marLeft w:val="0"/>
      <w:marRight w:val="0"/>
      <w:marTop w:val="0"/>
      <w:marBottom w:val="0"/>
      <w:divBdr>
        <w:top w:val="none" w:sz="0" w:space="0" w:color="auto"/>
        <w:left w:val="none" w:sz="0" w:space="0" w:color="auto"/>
        <w:bottom w:val="none" w:sz="0" w:space="0" w:color="auto"/>
        <w:right w:val="none" w:sz="0" w:space="0" w:color="auto"/>
      </w:divBdr>
    </w:div>
    <w:div w:id="214345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delwp.vic.gov.au" TargetMode="External"/><Relationship Id="rId26" Type="http://schemas.openxmlformats.org/officeDocument/2006/relationships/footer" Target="footer6.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image" Target="media/image12.emf"/><Relationship Id="rId47"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relayservice.com.au" TargetMode="External"/><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header" Target="header10.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mailto:customer.service@delwp.vic.gov.au" TargetMode="External"/><Relationship Id="rId20" Type="http://schemas.openxmlformats.org/officeDocument/2006/relationships/footer" Target="footer3.xml"/><Relationship Id="rId29" Type="http://schemas.openxmlformats.org/officeDocument/2006/relationships/image" Target="media/image5.png"/><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7.png"/><Relationship Id="rId37" Type="http://schemas.openxmlformats.org/officeDocument/2006/relationships/header" Target="header9.xml"/><Relationship Id="rId40" Type="http://schemas.openxmlformats.org/officeDocument/2006/relationships/footer" Target="footer7.xml"/><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yperlink" Target="http://creativecommons.org/licenses/by/4.0/" TargetMode="Externa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reativecommons.org/licenses/by/4.0/" TargetMode="Externa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10.png"/><Relationship Id="rId43" Type="http://schemas.openxmlformats.org/officeDocument/2006/relationships/image" Target="media/image13.emf"/><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5ADB2-62CE-464D-9AAC-38F78986E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28</Pages>
  <Words>6213</Words>
  <Characters>33896</Characters>
  <Application>Microsoft Office Word</Application>
  <DocSecurity>0</DocSecurity>
  <Lines>282</Lines>
  <Paragraphs>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40029</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2016-06-16T01:55:00Z</dcterms:created>
  <dcterms:modified xsi:type="dcterms:W3CDTF">2016-07-08T01:44:00Z</dcterms:modified>
</cp:coreProperties>
</file>