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8ED" w:rsidRPr="00777AA9" w:rsidRDefault="00CD58ED" w:rsidP="00CD58ED">
      <w:bookmarkStart w:id="0" w:name="_Toc212866445"/>
      <w:bookmarkStart w:id="1" w:name="_Toc213220709"/>
      <w:r w:rsidRPr="00777AA9">
        <w:t xml:space="preserve">This version of </w:t>
      </w:r>
      <w:r>
        <w:rPr>
          <w:b/>
          <w:bCs/>
        </w:rPr>
        <w:t>Planning Advisory Note 6</w:t>
      </w:r>
      <w:r>
        <w:rPr>
          <w:b/>
          <w:bCs/>
        </w:rPr>
        <w:t>9</w:t>
      </w:r>
      <w:r>
        <w:rPr>
          <w:b/>
          <w:bCs/>
        </w:rPr>
        <w:t>: Amendment VC14</w:t>
      </w:r>
      <w:r>
        <w:rPr>
          <w:b/>
          <w:bCs/>
        </w:rPr>
        <w:t>3</w:t>
      </w:r>
      <w:r>
        <w:rPr>
          <w:b/>
          <w:bCs/>
        </w:rPr>
        <w:t xml:space="preserve"> </w:t>
      </w:r>
      <w:r w:rsidRPr="00777AA9">
        <w:t>has been prepared for use with screen reader software. The printed publication contains various design features that have been necessarily omitted from this version. In other respects</w:t>
      </w:r>
      <w:r>
        <w:t>,</w:t>
      </w:r>
      <w:r w:rsidRPr="00777AA9">
        <w:t xml:space="preserve"> this document contains identical text to that in the PDF version of the document which is available at </w:t>
      </w:r>
      <w:hyperlink r:id="rId5" w:history="1">
        <w:r w:rsidRPr="005D134B">
          <w:rPr>
            <w:rStyle w:val="Hyperlink"/>
          </w:rPr>
          <w:t>www.planning.vic.gov.au</w:t>
        </w:r>
      </w:hyperlink>
      <w:r>
        <w:t xml:space="preserve"> </w:t>
      </w:r>
    </w:p>
    <w:p w:rsidR="00CD58ED" w:rsidRDefault="00CD58ED" w:rsidP="00CD58ED"/>
    <w:p w:rsidR="00CD58ED" w:rsidRDefault="00CD58ED" w:rsidP="00CD58ED">
      <w:pPr>
        <w:pStyle w:val="Heading2"/>
      </w:pPr>
      <w:bookmarkStart w:id="2" w:name="_Toc464820374"/>
      <w:r>
        <w:t>Advisory Note 6</w:t>
      </w:r>
      <w:r>
        <w:t>9</w:t>
      </w:r>
    </w:p>
    <w:p w:rsidR="00CD58ED" w:rsidRPr="003466D9" w:rsidRDefault="00CD58ED" w:rsidP="00CD58ED">
      <w:pPr>
        <w:pStyle w:val="DocumentTitle"/>
      </w:pPr>
      <w:r w:rsidRPr="003466D9">
        <w:t>Amendment VC1</w:t>
      </w:r>
      <w:r>
        <w:t>4</w:t>
      </w:r>
      <w:r>
        <w:t>3</w:t>
      </w:r>
    </w:p>
    <w:bookmarkEnd w:id="2"/>
    <w:p w:rsidR="00CD58ED" w:rsidRPr="00341A5A" w:rsidRDefault="00CD58ED" w:rsidP="00CD58ED">
      <w:pPr>
        <w:rPr>
          <w:rStyle w:val="Bodytextbold"/>
        </w:rPr>
      </w:pPr>
      <w:r>
        <w:rPr>
          <w:rStyle w:val="Bodytextbold"/>
        </w:rPr>
        <w:t>Ma</w:t>
      </w:r>
      <w:r>
        <w:rPr>
          <w:rStyle w:val="Bodytextbold"/>
        </w:rPr>
        <w:t>y</w:t>
      </w:r>
      <w:r w:rsidRPr="00341A5A">
        <w:rPr>
          <w:rStyle w:val="Bodytextbold"/>
        </w:rPr>
        <w:t xml:space="preserve"> 2018</w:t>
      </w:r>
    </w:p>
    <w:p w:rsidR="00CD58ED" w:rsidRPr="00CD58ED" w:rsidRDefault="00CD58ED" w:rsidP="00CD58ED">
      <w:pPr>
        <w:pStyle w:val="Default"/>
        <w:rPr>
          <w:rFonts w:ascii="Arial" w:hAnsi="Arial" w:cs="Arial"/>
          <w:color w:val="auto"/>
          <w:sz w:val="20"/>
          <w:szCs w:val="20"/>
        </w:rPr>
      </w:pPr>
      <w:r w:rsidRPr="00CD58ED">
        <w:rPr>
          <w:rFonts w:ascii="Arial" w:hAnsi="Arial" w:cs="Arial"/>
          <w:color w:val="auto"/>
          <w:sz w:val="20"/>
          <w:szCs w:val="20"/>
        </w:rPr>
        <w:t>This advisory note provides information about Amendment VC14</w:t>
      </w:r>
      <w:r w:rsidRPr="00CD58ED">
        <w:rPr>
          <w:rFonts w:ascii="Arial" w:hAnsi="Arial" w:cs="Arial"/>
          <w:color w:val="auto"/>
          <w:sz w:val="20"/>
          <w:szCs w:val="20"/>
        </w:rPr>
        <w:t>3</w:t>
      </w:r>
      <w:r w:rsidRPr="00CD58ED">
        <w:rPr>
          <w:rFonts w:ascii="Arial" w:hAnsi="Arial" w:cs="Arial"/>
          <w:color w:val="auto"/>
          <w:sz w:val="20"/>
          <w:szCs w:val="20"/>
        </w:rPr>
        <w:t xml:space="preserve"> which makes changes to the </w:t>
      </w:r>
      <w:r w:rsidRPr="00CD58ED">
        <w:rPr>
          <w:rStyle w:val="A6"/>
          <w:rFonts w:ascii="Arial" w:hAnsi="Arial" w:cs="Arial"/>
          <w:color w:val="auto"/>
          <w:sz w:val="20"/>
          <w:szCs w:val="20"/>
        </w:rPr>
        <w:t>Victoria Planning Provisions</w:t>
      </w:r>
      <w:r w:rsidRPr="00CD58ED">
        <w:rPr>
          <w:rFonts w:ascii="Arial" w:hAnsi="Arial" w:cs="Arial"/>
          <w:color w:val="auto"/>
          <w:sz w:val="20"/>
          <w:szCs w:val="20"/>
        </w:rPr>
        <w:t xml:space="preserve"> (VPP)</w:t>
      </w:r>
      <w:r w:rsidRPr="00CD58ED">
        <w:rPr>
          <w:rFonts w:ascii="Arial" w:hAnsi="Arial" w:cs="Arial"/>
          <w:color w:val="auto"/>
          <w:sz w:val="20"/>
          <w:szCs w:val="20"/>
        </w:rPr>
        <w:t xml:space="preserve"> and all planning schemes to improve the operation of the residential zones. </w:t>
      </w:r>
    </w:p>
    <w:p w:rsidR="00CD58ED" w:rsidRPr="00CD58ED" w:rsidRDefault="00D50814" w:rsidP="00CD58ED">
      <w:pPr>
        <w:pStyle w:val="Pa5"/>
        <w:spacing w:after="120"/>
        <w:rPr>
          <w:rFonts w:ascii="Arial" w:hAnsi="Arial" w:cs="Arial"/>
          <w:sz w:val="20"/>
          <w:szCs w:val="20"/>
        </w:rPr>
      </w:pPr>
      <w:r>
        <w:rPr>
          <w:rFonts w:ascii="Arial" w:hAnsi="Arial" w:cs="Arial"/>
          <w:sz w:val="20"/>
          <w:szCs w:val="20"/>
        </w:rPr>
        <w:br/>
      </w:r>
      <w:r w:rsidR="00CD58ED" w:rsidRPr="00CD58ED">
        <w:rPr>
          <w:rFonts w:ascii="Arial" w:hAnsi="Arial" w:cs="Arial"/>
          <w:sz w:val="20"/>
          <w:szCs w:val="20"/>
        </w:rPr>
        <w:t xml:space="preserve">Following the introduction of the reformed residential zones by Amendment VC110 on 27 March 2017, local government and industry feedback was sought on the operation of the provisions as part of the Government’s monitoring program to review the performance of the reformed residential zones. This feedback identified </w:t>
      </w:r>
      <w:proofErr w:type="gramStart"/>
      <w:r w:rsidR="00CD58ED" w:rsidRPr="00CD58ED">
        <w:rPr>
          <w:rFonts w:ascii="Arial" w:hAnsi="Arial" w:cs="Arial"/>
          <w:sz w:val="20"/>
          <w:szCs w:val="20"/>
        </w:rPr>
        <w:t>a number of</w:t>
      </w:r>
      <w:proofErr w:type="gramEnd"/>
      <w:r w:rsidR="00CD58ED" w:rsidRPr="00CD58ED">
        <w:rPr>
          <w:rFonts w:ascii="Arial" w:hAnsi="Arial" w:cs="Arial"/>
          <w:sz w:val="20"/>
          <w:szCs w:val="20"/>
        </w:rPr>
        <w:t xml:space="preserve"> refinements to improve the operation of the reformed residential zones. </w:t>
      </w:r>
    </w:p>
    <w:p w:rsidR="00CD58ED" w:rsidRPr="00D50814" w:rsidRDefault="00CD58ED" w:rsidP="00D50814">
      <w:pPr>
        <w:pStyle w:val="Pa6"/>
        <w:spacing w:before="240" w:after="240"/>
        <w:rPr>
          <w:rFonts w:ascii="Arial" w:hAnsi="Arial" w:cs="Arial"/>
        </w:rPr>
      </w:pPr>
      <w:r w:rsidRPr="00D50814">
        <w:rPr>
          <w:rFonts w:ascii="Arial" w:hAnsi="Arial" w:cs="Arial"/>
          <w:b/>
          <w:bCs/>
        </w:rPr>
        <w:t>What are the improvements to the operation of the reformed residential zones?</w:t>
      </w:r>
    </w:p>
    <w:p w:rsidR="00CD58ED" w:rsidRPr="00CD58ED" w:rsidRDefault="00CD58ED" w:rsidP="00CD58ED">
      <w:pPr>
        <w:pStyle w:val="Pa5"/>
        <w:spacing w:after="120"/>
        <w:rPr>
          <w:rFonts w:ascii="Arial" w:hAnsi="Arial" w:cs="Arial"/>
          <w:sz w:val="20"/>
          <w:szCs w:val="20"/>
        </w:rPr>
      </w:pPr>
      <w:r w:rsidRPr="00CD58ED">
        <w:rPr>
          <w:rFonts w:ascii="Arial" w:hAnsi="Arial" w:cs="Arial"/>
          <w:sz w:val="20"/>
          <w:szCs w:val="20"/>
        </w:rPr>
        <w:t xml:space="preserve">The improvements change the definition and operation of the minimum garden area, including clarifying exemptions from the garden area requirement in the Neighbourhood Residential Zone and the General Residential Zone and introducing permit requirements for certain commercial land uses in the Residential Growth Zone. </w:t>
      </w:r>
    </w:p>
    <w:p w:rsidR="00CD58ED" w:rsidRPr="00D50814" w:rsidRDefault="00CD58ED" w:rsidP="00D50814">
      <w:pPr>
        <w:pStyle w:val="Pa6"/>
        <w:spacing w:before="240" w:after="240"/>
        <w:rPr>
          <w:rFonts w:ascii="Arial" w:hAnsi="Arial" w:cs="Arial"/>
        </w:rPr>
      </w:pPr>
      <w:r w:rsidRPr="00D50814">
        <w:rPr>
          <w:rFonts w:ascii="Arial" w:hAnsi="Arial" w:cs="Arial"/>
          <w:b/>
          <w:bCs/>
        </w:rPr>
        <w:t xml:space="preserve">How does Amendment VC143 change the Victoria Planning Provisions (VPP) and all planning schemes? </w:t>
      </w:r>
    </w:p>
    <w:p w:rsidR="00CD58ED" w:rsidRPr="00CD58ED" w:rsidRDefault="00CD58ED" w:rsidP="00CD58ED">
      <w:pPr>
        <w:pStyle w:val="Pa5"/>
        <w:spacing w:after="120"/>
        <w:rPr>
          <w:rFonts w:ascii="Arial" w:hAnsi="Arial" w:cs="Arial"/>
          <w:sz w:val="20"/>
          <w:szCs w:val="20"/>
        </w:rPr>
      </w:pPr>
      <w:r w:rsidRPr="00CD58ED">
        <w:rPr>
          <w:rFonts w:ascii="Arial" w:hAnsi="Arial" w:cs="Arial"/>
          <w:sz w:val="20"/>
          <w:szCs w:val="20"/>
        </w:rPr>
        <w:t xml:space="preserve">Amendment VC143 amends the Victoria Planning Provisions and all planning schemes by: </w:t>
      </w:r>
    </w:p>
    <w:p w:rsidR="00CD58ED" w:rsidRPr="00CD58ED" w:rsidRDefault="00CD58ED" w:rsidP="00CD58ED">
      <w:pPr>
        <w:pStyle w:val="Default"/>
        <w:numPr>
          <w:ilvl w:val="0"/>
          <w:numId w:val="1"/>
        </w:numPr>
        <w:tabs>
          <w:tab w:val="left" w:pos="284"/>
        </w:tabs>
        <w:spacing w:after="139"/>
        <w:rPr>
          <w:rFonts w:ascii="Arial" w:hAnsi="Arial" w:cs="Arial"/>
          <w:color w:val="auto"/>
          <w:sz w:val="20"/>
          <w:szCs w:val="20"/>
        </w:rPr>
      </w:pPr>
      <w:r w:rsidRPr="00CD58ED">
        <w:rPr>
          <w:rFonts w:ascii="Arial" w:hAnsi="Arial" w:cs="Arial"/>
          <w:color w:val="auto"/>
          <w:sz w:val="20"/>
          <w:szCs w:val="20"/>
        </w:rPr>
        <w:t>Amending Clause 32.07-2 (Residential Growth Zone) to remove Food and drink premises and Shop from Section 1 – Permit not required and make them Section 2 – Permit required uses subject to conditions.</w:t>
      </w:r>
    </w:p>
    <w:p w:rsidR="00CD58ED" w:rsidRPr="00CD58ED" w:rsidRDefault="00CD58ED" w:rsidP="00CD58ED">
      <w:pPr>
        <w:pStyle w:val="Default"/>
        <w:numPr>
          <w:ilvl w:val="0"/>
          <w:numId w:val="1"/>
        </w:numPr>
        <w:tabs>
          <w:tab w:val="left" w:pos="284"/>
        </w:tabs>
        <w:spacing w:after="139"/>
        <w:rPr>
          <w:rFonts w:ascii="Arial" w:hAnsi="Arial" w:cs="Arial"/>
          <w:color w:val="221E1F"/>
          <w:sz w:val="20"/>
          <w:szCs w:val="20"/>
        </w:rPr>
      </w:pPr>
      <w:r w:rsidRPr="00CD58ED">
        <w:rPr>
          <w:rFonts w:ascii="Arial" w:hAnsi="Arial" w:cs="Arial"/>
          <w:color w:val="221E1F"/>
          <w:sz w:val="20"/>
          <w:szCs w:val="20"/>
        </w:rPr>
        <w:t>Amending Clause 32.08-4 (General Residential Zone) to enable an area to be exempt from the minimum garden area requirement through a schedule to the zone.</w:t>
      </w:r>
    </w:p>
    <w:p w:rsidR="00BE620E" w:rsidRPr="00BE620E" w:rsidRDefault="00CD58ED" w:rsidP="00BE620E">
      <w:pPr>
        <w:pStyle w:val="Default"/>
        <w:numPr>
          <w:ilvl w:val="1"/>
          <w:numId w:val="1"/>
        </w:numPr>
        <w:tabs>
          <w:tab w:val="left" w:pos="284"/>
        </w:tabs>
        <w:spacing w:after="139"/>
        <w:rPr>
          <w:rFonts w:ascii="Arial" w:hAnsi="Arial" w:cs="Arial"/>
          <w:color w:val="221E1F"/>
          <w:sz w:val="20"/>
          <w:szCs w:val="20"/>
        </w:rPr>
      </w:pPr>
      <w:r w:rsidRPr="00CD58ED">
        <w:rPr>
          <w:rFonts w:ascii="Arial" w:hAnsi="Arial" w:cs="Arial"/>
          <w:color w:val="221E1F"/>
          <w:sz w:val="20"/>
          <w:szCs w:val="20"/>
        </w:rPr>
        <w:t xml:space="preserve">Amending Clause 32.08-3 (General Residential Zone) and Clause 32.09-3 (Neighbourhood Residential Zone) to: </w:t>
      </w:r>
    </w:p>
    <w:p w:rsidR="00BE620E" w:rsidRDefault="00BE620E" w:rsidP="00CD58ED">
      <w:pPr>
        <w:pStyle w:val="Default"/>
        <w:numPr>
          <w:ilvl w:val="1"/>
          <w:numId w:val="1"/>
        </w:numPr>
        <w:spacing w:after="136"/>
        <w:ind w:left="360"/>
        <w:rPr>
          <w:rFonts w:ascii="Arial" w:hAnsi="Arial" w:cs="Arial"/>
          <w:color w:val="221E1F"/>
          <w:sz w:val="20"/>
          <w:szCs w:val="20"/>
        </w:rPr>
      </w:pPr>
      <w:r>
        <w:rPr>
          <w:rFonts w:ascii="Arial" w:hAnsi="Arial" w:cs="Arial"/>
          <w:color w:val="221E1F"/>
          <w:sz w:val="20"/>
          <w:szCs w:val="20"/>
        </w:rPr>
        <w:t xml:space="preserve">Exclude </w:t>
      </w:r>
      <w:r w:rsidRPr="00CD58ED">
        <w:rPr>
          <w:rFonts w:ascii="Arial" w:hAnsi="Arial" w:cs="Arial"/>
          <w:color w:val="221E1F"/>
          <w:sz w:val="20"/>
          <w:szCs w:val="20"/>
        </w:rPr>
        <w:t>the creation of a vacant lot of 400 square metres or greater from the minimum garden area requirement.</w:t>
      </w:r>
    </w:p>
    <w:p w:rsidR="00BE620E" w:rsidRDefault="00CD58ED" w:rsidP="00CD58ED">
      <w:pPr>
        <w:pStyle w:val="Default"/>
        <w:numPr>
          <w:ilvl w:val="1"/>
          <w:numId w:val="1"/>
        </w:numPr>
        <w:spacing w:after="136"/>
        <w:ind w:left="360"/>
        <w:rPr>
          <w:rFonts w:ascii="Arial" w:hAnsi="Arial" w:cs="Arial"/>
          <w:color w:val="221E1F"/>
          <w:sz w:val="20"/>
          <w:szCs w:val="20"/>
        </w:rPr>
      </w:pPr>
      <w:r w:rsidRPr="00CD58ED">
        <w:rPr>
          <w:rFonts w:ascii="Arial" w:hAnsi="Arial" w:cs="Arial"/>
          <w:color w:val="221E1F"/>
          <w:sz w:val="20"/>
          <w:szCs w:val="20"/>
        </w:rPr>
        <w:t xml:space="preserve">Clarify that the minimum garden area requirement does not apply to: </w:t>
      </w:r>
    </w:p>
    <w:p w:rsidR="00CD58ED" w:rsidRPr="00CD58ED" w:rsidRDefault="00CD58ED" w:rsidP="00BE620E">
      <w:pPr>
        <w:pStyle w:val="Default"/>
        <w:numPr>
          <w:ilvl w:val="1"/>
          <w:numId w:val="1"/>
        </w:numPr>
        <w:tabs>
          <w:tab w:val="left" w:pos="1134"/>
        </w:tabs>
        <w:spacing w:after="136"/>
        <w:ind w:left="851"/>
        <w:rPr>
          <w:rFonts w:ascii="Arial" w:hAnsi="Arial" w:cs="Arial"/>
          <w:color w:val="221E1F"/>
          <w:sz w:val="20"/>
          <w:szCs w:val="20"/>
        </w:rPr>
      </w:pPr>
      <w:r w:rsidRPr="00CD58ED">
        <w:rPr>
          <w:rFonts w:ascii="Arial" w:hAnsi="Arial" w:cs="Arial"/>
          <w:color w:val="221E1F"/>
          <w:sz w:val="20"/>
          <w:szCs w:val="20"/>
        </w:rPr>
        <w:t xml:space="preserve">The creation of a vacant lot less than 400 square metres where there is a precinct structure plan or equivalent strategic plan. </w:t>
      </w:r>
    </w:p>
    <w:p w:rsidR="00CD58ED" w:rsidRPr="00CD58ED" w:rsidRDefault="00CD58ED" w:rsidP="00BE620E">
      <w:pPr>
        <w:pStyle w:val="Default"/>
        <w:numPr>
          <w:ilvl w:val="1"/>
          <w:numId w:val="1"/>
        </w:numPr>
        <w:tabs>
          <w:tab w:val="left" w:pos="1134"/>
        </w:tabs>
        <w:spacing w:after="136"/>
        <w:ind w:left="851"/>
        <w:rPr>
          <w:rFonts w:ascii="Arial" w:hAnsi="Arial" w:cs="Arial"/>
          <w:color w:val="221E1F"/>
          <w:sz w:val="20"/>
          <w:szCs w:val="20"/>
        </w:rPr>
      </w:pPr>
      <w:r w:rsidRPr="00CD58ED">
        <w:rPr>
          <w:rFonts w:ascii="Arial" w:hAnsi="Arial" w:cs="Arial"/>
          <w:color w:val="221E1F"/>
          <w:sz w:val="20"/>
          <w:szCs w:val="20"/>
        </w:rPr>
        <w:t xml:space="preserve">The creation of a vacant lot less than 400 square metres where there is an incorporated plan or approved development plan. </w:t>
      </w:r>
    </w:p>
    <w:p w:rsidR="00CD58ED" w:rsidRPr="00CD58ED" w:rsidRDefault="00CD58ED" w:rsidP="00BE620E">
      <w:pPr>
        <w:pStyle w:val="Default"/>
        <w:numPr>
          <w:ilvl w:val="1"/>
          <w:numId w:val="1"/>
        </w:numPr>
        <w:tabs>
          <w:tab w:val="left" w:pos="1134"/>
        </w:tabs>
        <w:ind w:left="851"/>
        <w:rPr>
          <w:rFonts w:ascii="Arial" w:hAnsi="Arial" w:cs="Arial"/>
          <w:color w:val="221E1F"/>
          <w:sz w:val="20"/>
          <w:szCs w:val="20"/>
        </w:rPr>
      </w:pPr>
      <w:r w:rsidRPr="00CD58ED">
        <w:rPr>
          <w:rFonts w:ascii="Arial" w:hAnsi="Arial" w:cs="Arial"/>
          <w:color w:val="221E1F"/>
          <w:sz w:val="20"/>
          <w:szCs w:val="20"/>
        </w:rPr>
        <w:t xml:space="preserve">The creation of a vacant lot less than 400 square metres where there is an approved residential development. </w:t>
      </w:r>
    </w:p>
    <w:p w:rsidR="00CD58ED" w:rsidRDefault="00CD58ED" w:rsidP="00BE620E">
      <w:pPr>
        <w:pStyle w:val="Default"/>
        <w:rPr>
          <w:color w:val="221E1F"/>
          <w:sz w:val="18"/>
          <w:szCs w:val="18"/>
        </w:rPr>
      </w:pPr>
    </w:p>
    <w:p w:rsidR="00CD58ED" w:rsidRDefault="00CD58ED" w:rsidP="00CD58ED"/>
    <w:p w:rsidR="00BE620E" w:rsidRDefault="00BE620E" w:rsidP="00CD58ED"/>
    <w:p w:rsidR="00BE620E" w:rsidRPr="00BE620E" w:rsidRDefault="00BE620E" w:rsidP="00BE620E">
      <w:pPr>
        <w:tabs>
          <w:tab w:val="clear" w:pos="357"/>
        </w:tabs>
        <w:suppressAutoHyphens w:val="0"/>
        <w:spacing w:after="0"/>
        <w:textAlignment w:val="auto"/>
        <w:rPr>
          <w:rFonts w:eastAsiaTheme="minorHAnsi" w:cs="Arial"/>
          <w:color w:val="auto"/>
          <w:szCs w:val="20"/>
          <w:lang w:eastAsia="en-US"/>
        </w:rPr>
      </w:pPr>
    </w:p>
    <w:p w:rsidR="00BE620E" w:rsidRDefault="00BE620E" w:rsidP="00BE620E">
      <w:pPr>
        <w:numPr>
          <w:ilvl w:val="1"/>
          <w:numId w:val="2"/>
        </w:numPr>
        <w:tabs>
          <w:tab w:val="clear" w:pos="357"/>
          <w:tab w:val="left" w:pos="284"/>
        </w:tabs>
        <w:suppressAutoHyphens w:val="0"/>
        <w:spacing w:after="139"/>
        <w:textAlignment w:val="auto"/>
        <w:rPr>
          <w:rFonts w:eastAsiaTheme="minorHAnsi" w:cs="Arial"/>
          <w:color w:val="auto"/>
          <w:szCs w:val="20"/>
          <w:lang w:eastAsia="en-US"/>
        </w:rPr>
      </w:pPr>
      <w:r w:rsidRPr="00BE620E">
        <w:rPr>
          <w:rFonts w:eastAsiaTheme="minorHAnsi" w:cs="Arial"/>
          <w:color w:val="auto"/>
          <w:szCs w:val="20"/>
          <w:lang w:eastAsia="en-US"/>
        </w:rPr>
        <w:t xml:space="preserve">Amending Clause 32.08-4 (General Residential Zone) and Clause 32.09-4 (Neighbourhood Residential Zone) to: </w:t>
      </w:r>
    </w:p>
    <w:p w:rsidR="00BE620E" w:rsidRPr="00BE620E" w:rsidRDefault="00BE620E" w:rsidP="00BE620E">
      <w:pPr>
        <w:numPr>
          <w:ilvl w:val="1"/>
          <w:numId w:val="2"/>
        </w:numPr>
        <w:tabs>
          <w:tab w:val="clear" w:pos="357"/>
          <w:tab w:val="left" w:pos="567"/>
        </w:tabs>
        <w:suppressAutoHyphens w:val="0"/>
        <w:spacing w:after="139"/>
        <w:ind w:left="284"/>
        <w:textAlignment w:val="auto"/>
        <w:rPr>
          <w:rFonts w:eastAsiaTheme="minorHAnsi" w:cs="Arial"/>
          <w:color w:val="auto"/>
          <w:szCs w:val="20"/>
          <w:lang w:eastAsia="en-US"/>
        </w:rPr>
      </w:pPr>
      <w:r w:rsidRPr="00BE620E">
        <w:rPr>
          <w:rFonts w:eastAsiaTheme="minorHAnsi" w:cs="Arial"/>
          <w:color w:val="auto"/>
          <w:szCs w:val="20"/>
          <w:lang w:eastAsia="en-US"/>
        </w:rPr>
        <w:t xml:space="preserve">Remove the minimum garden area requirement from applying to the construction or extension of a dwelling or residential building where a planning permit is not required. </w:t>
      </w:r>
    </w:p>
    <w:p w:rsidR="00BE620E" w:rsidRPr="00BE620E" w:rsidRDefault="00BE620E" w:rsidP="00BE620E">
      <w:pPr>
        <w:numPr>
          <w:ilvl w:val="1"/>
          <w:numId w:val="2"/>
        </w:numPr>
        <w:tabs>
          <w:tab w:val="clear" w:pos="357"/>
          <w:tab w:val="left" w:pos="567"/>
        </w:tabs>
        <w:suppressAutoHyphens w:val="0"/>
        <w:spacing w:after="139"/>
        <w:ind w:left="284"/>
        <w:textAlignment w:val="auto"/>
        <w:rPr>
          <w:rFonts w:eastAsiaTheme="minorHAnsi" w:cs="Arial"/>
          <w:color w:val="auto"/>
          <w:szCs w:val="20"/>
          <w:lang w:eastAsia="en-US"/>
        </w:rPr>
      </w:pPr>
      <w:r w:rsidRPr="00BE620E">
        <w:rPr>
          <w:rFonts w:eastAsiaTheme="minorHAnsi" w:cs="Arial"/>
          <w:color w:val="auto"/>
          <w:szCs w:val="20"/>
          <w:lang w:eastAsia="en-US"/>
        </w:rPr>
        <w:t xml:space="preserve">Remove the reference to garden area being required to be provided at ground level. </w:t>
      </w:r>
    </w:p>
    <w:p w:rsidR="00210889" w:rsidRPr="00210889" w:rsidRDefault="00BE620E" w:rsidP="00210889">
      <w:pPr>
        <w:pStyle w:val="ListParagraph"/>
        <w:numPr>
          <w:ilvl w:val="1"/>
          <w:numId w:val="2"/>
        </w:numPr>
        <w:tabs>
          <w:tab w:val="clear" w:pos="357"/>
          <w:tab w:val="left" w:pos="567"/>
        </w:tabs>
        <w:suppressAutoHyphens w:val="0"/>
        <w:spacing w:after="136"/>
        <w:ind w:left="284"/>
        <w:textAlignment w:val="auto"/>
        <w:rPr>
          <w:rFonts w:eastAsiaTheme="minorHAnsi" w:cs="Arial"/>
          <w:color w:val="auto"/>
          <w:szCs w:val="20"/>
          <w:lang w:eastAsia="en-US"/>
        </w:rPr>
      </w:pPr>
      <w:r w:rsidRPr="00210889">
        <w:rPr>
          <w:rFonts w:eastAsiaTheme="minorHAnsi" w:cs="Arial"/>
          <w:color w:val="auto"/>
          <w:szCs w:val="20"/>
          <w:lang w:eastAsia="en-US"/>
        </w:rPr>
        <w:t xml:space="preserve">Clarify that the minimum garden area requirement does not apply to: </w:t>
      </w:r>
    </w:p>
    <w:p w:rsidR="00BE620E" w:rsidRPr="00BE620E" w:rsidRDefault="00BE620E" w:rsidP="00210889">
      <w:pPr>
        <w:numPr>
          <w:ilvl w:val="1"/>
          <w:numId w:val="2"/>
        </w:numPr>
        <w:tabs>
          <w:tab w:val="clear" w:pos="357"/>
          <w:tab w:val="left" w:pos="851"/>
        </w:tabs>
        <w:suppressAutoHyphens w:val="0"/>
        <w:spacing w:after="136"/>
        <w:ind w:left="567"/>
        <w:textAlignment w:val="auto"/>
        <w:rPr>
          <w:rFonts w:eastAsiaTheme="minorHAnsi" w:cs="Arial"/>
          <w:color w:val="auto"/>
          <w:szCs w:val="20"/>
          <w:lang w:eastAsia="en-US"/>
        </w:rPr>
      </w:pPr>
      <w:r w:rsidRPr="00BE620E">
        <w:rPr>
          <w:rFonts w:eastAsiaTheme="minorHAnsi" w:cs="Arial"/>
          <w:color w:val="auto"/>
          <w:szCs w:val="20"/>
          <w:lang w:eastAsia="en-US"/>
        </w:rPr>
        <w:t xml:space="preserve">A medium density housing site in an approved precinct structure plan or equivalent strategic plan. </w:t>
      </w:r>
    </w:p>
    <w:p w:rsidR="00BE620E" w:rsidRPr="00BE620E" w:rsidRDefault="00BE620E" w:rsidP="00210889">
      <w:pPr>
        <w:numPr>
          <w:ilvl w:val="1"/>
          <w:numId w:val="2"/>
        </w:numPr>
        <w:tabs>
          <w:tab w:val="clear" w:pos="357"/>
          <w:tab w:val="left" w:pos="851"/>
        </w:tabs>
        <w:suppressAutoHyphens w:val="0"/>
        <w:spacing w:after="136"/>
        <w:ind w:left="567"/>
        <w:textAlignment w:val="auto"/>
        <w:rPr>
          <w:rFonts w:eastAsiaTheme="minorHAnsi" w:cs="Arial"/>
          <w:color w:val="auto"/>
          <w:szCs w:val="20"/>
          <w:lang w:eastAsia="en-US"/>
        </w:rPr>
      </w:pPr>
      <w:r w:rsidRPr="00BE620E">
        <w:rPr>
          <w:rFonts w:eastAsiaTheme="minorHAnsi" w:cs="Arial"/>
          <w:color w:val="auto"/>
          <w:szCs w:val="20"/>
          <w:lang w:eastAsia="en-US"/>
        </w:rPr>
        <w:t xml:space="preserve">A medium density housing site in an incorporated plan or approved development plan. </w:t>
      </w:r>
    </w:p>
    <w:p w:rsidR="00BE620E" w:rsidRPr="00BE620E" w:rsidRDefault="00BE620E" w:rsidP="00210889">
      <w:pPr>
        <w:numPr>
          <w:ilvl w:val="1"/>
          <w:numId w:val="2"/>
        </w:numPr>
        <w:tabs>
          <w:tab w:val="clear" w:pos="357"/>
          <w:tab w:val="left" w:pos="851"/>
        </w:tabs>
        <w:suppressAutoHyphens w:val="0"/>
        <w:spacing w:after="0"/>
        <w:ind w:left="567"/>
        <w:textAlignment w:val="auto"/>
        <w:rPr>
          <w:rFonts w:eastAsiaTheme="minorHAnsi" w:cs="Arial"/>
          <w:color w:val="auto"/>
          <w:szCs w:val="20"/>
          <w:lang w:eastAsia="en-US"/>
        </w:rPr>
      </w:pPr>
      <w:r w:rsidRPr="00BE620E">
        <w:rPr>
          <w:rFonts w:eastAsiaTheme="minorHAnsi" w:cs="Arial"/>
          <w:color w:val="auto"/>
          <w:szCs w:val="20"/>
          <w:lang w:eastAsia="en-US"/>
        </w:rPr>
        <w:t xml:space="preserve">An existing building that did not meet the minimum garden area requirement prior to approval of Amendment VC110. </w:t>
      </w:r>
    </w:p>
    <w:p w:rsidR="00BE620E" w:rsidRPr="00BE620E" w:rsidRDefault="00BE620E" w:rsidP="00BE620E">
      <w:pPr>
        <w:tabs>
          <w:tab w:val="clear" w:pos="357"/>
        </w:tabs>
        <w:suppressAutoHyphens w:val="0"/>
        <w:spacing w:after="0"/>
        <w:ind w:left="360"/>
        <w:textAlignment w:val="auto"/>
        <w:rPr>
          <w:rFonts w:eastAsiaTheme="minorHAnsi" w:cs="Arial"/>
          <w:color w:val="auto"/>
          <w:szCs w:val="20"/>
          <w:lang w:eastAsia="en-US"/>
        </w:rPr>
      </w:pPr>
    </w:p>
    <w:p w:rsidR="00BE620E" w:rsidRPr="00BE620E" w:rsidRDefault="00BE620E" w:rsidP="00210889">
      <w:pPr>
        <w:numPr>
          <w:ilvl w:val="1"/>
          <w:numId w:val="2"/>
        </w:numPr>
        <w:tabs>
          <w:tab w:val="clear" w:pos="357"/>
          <w:tab w:val="left" w:pos="284"/>
        </w:tabs>
        <w:suppressAutoHyphens w:val="0"/>
        <w:spacing w:after="0"/>
        <w:textAlignment w:val="auto"/>
        <w:rPr>
          <w:rFonts w:eastAsiaTheme="minorHAnsi" w:cs="Arial"/>
          <w:color w:val="auto"/>
          <w:szCs w:val="20"/>
          <w:lang w:eastAsia="en-US"/>
        </w:rPr>
      </w:pPr>
      <w:r w:rsidRPr="00BE620E">
        <w:rPr>
          <w:rFonts w:eastAsiaTheme="minorHAnsi" w:cs="Arial"/>
          <w:color w:val="auto"/>
          <w:szCs w:val="20"/>
          <w:lang w:eastAsia="en-US"/>
        </w:rPr>
        <w:t xml:space="preserve">Amending the Garden area definition at Clause 72 (General Terms) to provide greater clarity about garden area inclusions and exclusions. </w:t>
      </w:r>
    </w:p>
    <w:p w:rsidR="00BE620E" w:rsidRPr="00BE620E" w:rsidRDefault="00210889" w:rsidP="00D50814">
      <w:pPr>
        <w:tabs>
          <w:tab w:val="clear" w:pos="357"/>
        </w:tabs>
        <w:suppressAutoHyphens w:val="0"/>
        <w:spacing w:before="240" w:after="240" w:line="221" w:lineRule="atLeast"/>
        <w:textAlignment w:val="auto"/>
        <w:rPr>
          <w:rFonts w:eastAsiaTheme="minorHAnsi" w:cs="Arial"/>
          <w:color w:val="auto"/>
          <w:sz w:val="24"/>
          <w:szCs w:val="24"/>
          <w:lang w:eastAsia="en-US"/>
        </w:rPr>
      </w:pPr>
      <w:r>
        <w:rPr>
          <w:rFonts w:eastAsiaTheme="minorHAnsi" w:cs="Arial"/>
          <w:b/>
          <w:bCs/>
          <w:color w:val="auto"/>
          <w:szCs w:val="20"/>
          <w:lang w:eastAsia="en-US"/>
        </w:rPr>
        <w:br/>
      </w:r>
      <w:r w:rsidR="00BE620E" w:rsidRPr="00BE620E">
        <w:rPr>
          <w:rFonts w:eastAsiaTheme="minorHAnsi" w:cs="Arial"/>
          <w:b/>
          <w:bCs/>
          <w:color w:val="auto"/>
          <w:sz w:val="24"/>
          <w:szCs w:val="24"/>
          <w:lang w:eastAsia="en-US"/>
        </w:rPr>
        <w:t xml:space="preserve">Changes to Provisions </w:t>
      </w:r>
    </w:p>
    <w:p w:rsidR="00BE620E" w:rsidRPr="00C67A00" w:rsidRDefault="00BE620E" w:rsidP="00C67A00">
      <w:pPr>
        <w:spacing w:before="120"/>
        <w:rPr>
          <w:rFonts w:eastAsiaTheme="minorHAnsi" w:cs="Arial"/>
          <w:color w:val="auto"/>
          <w:szCs w:val="20"/>
          <w:lang w:eastAsia="en-US"/>
        </w:rPr>
      </w:pPr>
      <w:r w:rsidRPr="00BE620E">
        <w:rPr>
          <w:rFonts w:eastAsiaTheme="minorHAnsi" w:cs="Arial"/>
          <w:color w:val="auto"/>
          <w:szCs w:val="20"/>
          <w:lang w:eastAsia="en-US"/>
        </w:rPr>
        <w:t xml:space="preserve">Changes made to the provisions of the Residential Growth Zone, General Residential Zone and </w:t>
      </w:r>
      <w:r w:rsidRPr="00C67A00">
        <w:rPr>
          <w:rFonts w:eastAsiaTheme="minorHAnsi" w:cs="Arial"/>
          <w:color w:val="auto"/>
          <w:szCs w:val="20"/>
          <w:lang w:eastAsia="en-US"/>
        </w:rPr>
        <w:t>Neighbourhood Residential Zone by Amendment VC143 are outlined in the table below:</w:t>
      </w:r>
    </w:p>
    <w:tbl>
      <w:tblPr>
        <w:tblStyle w:val="TableGrid"/>
        <w:tblW w:w="0" w:type="auto"/>
        <w:tblLook w:val="04A0" w:firstRow="1" w:lastRow="0" w:firstColumn="1" w:lastColumn="0" w:noHBand="0" w:noVBand="1"/>
      </w:tblPr>
      <w:tblGrid>
        <w:gridCol w:w="4508"/>
        <w:gridCol w:w="4508"/>
      </w:tblGrid>
      <w:tr w:rsidR="00C67A00" w:rsidRPr="00C67A00" w:rsidTr="00FE7923">
        <w:tc>
          <w:tcPr>
            <w:tcW w:w="9016" w:type="dxa"/>
            <w:gridSpan w:val="2"/>
          </w:tcPr>
          <w:p w:rsidR="00C67A00" w:rsidRPr="00C67A00" w:rsidRDefault="00C67A00" w:rsidP="00C67A00">
            <w:pPr>
              <w:spacing w:before="120"/>
              <w:jc w:val="center"/>
              <w:rPr>
                <w:rFonts w:eastAsiaTheme="minorHAnsi" w:cs="Arial"/>
                <w:b/>
                <w:color w:val="auto"/>
                <w:szCs w:val="20"/>
                <w:lang w:eastAsia="en-US"/>
              </w:rPr>
            </w:pPr>
            <w:r w:rsidRPr="00C67A00">
              <w:rPr>
                <w:rFonts w:eastAsiaTheme="minorHAnsi" w:cs="Arial"/>
                <w:b/>
                <w:color w:val="auto"/>
                <w:szCs w:val="20"/>
                <w:lang w:eastAsia="en-US"/>
              </w:rPr>
              <w:t>Residential Growth Zone</w:t>
            </w:r>
          </w:p>
        </w:tc>
      </w:tr>
      <w:tr w:rsidR="00C67A00" w:rsidRPr="00C67A00" w:rsidTr="00C67A00">
        <w:tc>
          <w:tcPr>
            <w:tcW w:w="4508" w:type="dxa"/>
          </w:tcPr>
          <w:p w:rsidR="00C67A00" w:rsidRPr="00C67A00" w:rsidRDefault="00C67A00" w:rsidP="00C67A00">
            <w:pPr>
              <w:spacing w:before="120"/>
              <w:rPr>
                <w:rFonts w:eastAsiaTheme="minorHAnsi" w:cs="Arial"/>
                <w:b/>
                <w:color w:val="auto"/>
                <w:szCs w:val="20"/>
                <w:lang w:eastAsia="en-US"/>
              </w:rPr>
            </w:pPr>
            <w:r w:rsidRPr="00C67A00">
              <w:rPr>
                <w:rFonts w:eastAsiaTheme="minorHAnsi" w:cs="Arial"/>
                <w:b/>
                <w:color w:val="auto"/>
                <w:szCs w:val="20"/>
                <w:lang w:eastAsia="en-US"/>
              </w:rPr>
              <w:t>Existing provision</w:t>
            </w:r>
          </w:p>
        </w:tc>
        <w:tc>
          <w:tcPr>
            <w:tcW w:w="4508" w:type="dxa"/>
          </w:tcPr>
          <w:p w:rsidR="00C67A00" w:rsidRPr="00C67A00" w:rsidRDefault="00C67A00" w:rsidP="00C67A00">
            <w:pPr>
              <w:spacing w:before="120"/>
              <w:rPr>
                <w:rFonts w:eastAsiaTheme="minorHAnsi" w:cs="Arial"/>
                <w:b/>
                <w:color w:val="auto"/>
                <w:szCs w:val="20"/>
                <w:lang w:eastAsia="en-US"/>
              </w:rPr>
            </w:pPr>
            <w:r w:rsidRPr="00C67A00">
              <w:rPr>
                <w:rFonts w:eastAsiaTheme="minorHAnsi" w:cs="Arial"/>
                <w:b/>
                <w:color w:val="auto"/>
                <w:szCs w:val="20"/>
                <w:lang w:eastAsia="en-US"/>
              </w:rPr>
              <w:t>New provision</w:t>
            </w:r>
          </w:p>
        </w:tc>
      </w:tr>
      <w:tr w:rsidR="00C67A00" w:rsidRPr="00C67A00" w:rsidTr="00C67A00">
        <w:tc>
          <w:tcPr>
            <w:tcW w:w="4508" w:type="dxa"/>
          </w:tcPr>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b/>
                <w:bCs/>
                <w:color w:val="221E1F"/>
                <w:sz w:val="20"/>
                <w:szCs w:val="20"/>
              </w:rPr>
              <w:t xml:space="preserve">Clause 32.07-2 </w:t>
            </w:r>
          </w:p>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color w:val="221E1F"/>
                <w:sz w:val="20"/>
                <w:szCs w:val="20"/>
              </w:rPr>
              <w:t xml:space="preserve">Section 1 – Permit not required </w:t>
            </w:r>
          </w:p>
          <w:p w:rsidR="00C67A00" w:rsidRPr="00C67A00" w:rsidRDefault="00C67A00" w:rsidP="00C67A00">
            <w:pPr>
              <w:spacing w:before="120"/>
              <w:rPr>
                <w:rFonts w:eastAsiaTheme="minorHAnsi" w:cs="Arial"/>
                <w:color w:val="auto"/>
                <w:szCs w:val="20"/>
                <w:lang w:eastAsia="en-US"/>
              </w:rPr>
            </w:pPr>
            <w:r w:rsidRPr="00C67A00">
              <w:rPr>
                <w:rFonts w:cs="Arial"/>
                <w:color w:val="221E1F"/>
                <w:szCs w:val="20"/>
              </w:rPr>
              <w:t xml:space="preserve">Food and drink premises provided it meets the specified conditions. </w:t>
            </w:r>
          </w:p>
        </w:tc>
        <w:tc>
          <w:tcPr>
            <w:tcW w:w="4508" w:type="dxa"/>
          </w:tcPr>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b/>
                <w:bCs/>
                <w:color w:val="221E1F"/>
                <w:sz w:val="20"/>
                <w:szCs w:val="20"/>
              </w:rPr>
              <w:t xml:space="preserve">Clause 32.07-2 </w:t>
            </w:r>
          </w:p>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color w:val="221E1F"/>
                <w:sz w:val="20"/>
                <w:szCs w:val="20"/>
              </w:rPr>
              <w:t xml:space="preserve">Section 2 – Permit required </w:t>
            </w:r>
          </w:p>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color w:val="221E1F"/>
                <w:sz w:val="20"/>
                <w:szCs w:val="20"/>
              </w:rPr>
              <w:t xml:space="preserve">Food and drink premises. </w:t>
            </w:r>
          </w:p>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color w:val="221E1F"/>
                <w:sz w:val="20"/>
                <w:szCs w:val="20"/>
              </w:rPr>
              <w:t xml:space="preserve">A planning permit is required for a Take away food premises provided it meets the specified conditions. </w:t>
            </w:r>
          </w:p>
          <w:p w:rsidR="00C67A00" w:rsidRPr="00C67A00" w:rsidRDefault="00C67A00" w:rsidP="00C67A00">
            <w:pPr>
              <w:spacing w:before="120"/>
              <w:rPr>
                <w:rFonts w:eastAsiaTheme="minorHAnsi" w:cs="Arial"/>
                <w:color w:val="auto"/>
                <w:szCs w:val="20"/>
                <w:lang w:eastAsia="en-US"/>
              </w:rPr>
            </w:pPr>
            <w:r w:rsidRPr="00C67A00">
              <w:rPr>
                <w:rFonts w:cs="Arial"/>
                <w:color w:val="221E1F"/>
                <w:szCs w:val="20"/>
              </w:rPr>
              <w:t xml:space="preserve">A Take away food premises that does not meet the specified condition is prohibited. </w:t>
            </w:r>
          </w:p>
        </w:tc>
      </w:tr>
      <w:tr w:rsidR="00C67A00" w:rsidRPr="00C67A00" w:rsidTr="00C67A00">
        <w:tc>
          <w:tcPr>
            <w:tcW w:w="4508" w:type="dxa"/>
          </w:tcPr>
          <w:p w:rsidR="00C67A00" w:rsidRPr="00C67A00" w:rsidRDefault="00C67A00" w:rsidP="00C67A00">
            <w:pPr>
              <w:spacing w:before="120"/>
              <w:rPr>
                <w:rFonts w:eastAsiaTheme="minorHAnsi" w:cs="Arial"/>
                <w:b/>
                <w:color w:val="auto"/>
                <w:szCs w:val="20"/>
                <w:lang w:eastAsia="en-US"/>
              </w:rPr>
            </w:pPr>
            <w:r w:rsidRPr="00C67A00">
              <w:rPr>
                <w:rFonts w:eastAsiaTheme="minorHAnsi" w:cs="Arial"/>
                <w:b/>
                <w:color w:val="auto"/>
                <w:szCs w:val="20"/>
                <w:lang w:eastAsia="en-US"/>
              </w:rPr>
              <w:t>Existing provision</w:t>
            </w:r>
          </w:p>
        </w:tc>
        <w:tc>
          <w:tcPr>
            <w:tcW w:w="4508" w:type="dxa"/>
          </w:tcPr>
          <w:p w:rsidR="00C67A00" w:rsidRPr="00C67A00" w:rsidRDefault="00C67A00" w:rsidP="00C67A00">
            <w:pPr>
              <w:spacing w:before="120"/>
              <w:rPr>
                <w:rFonts w:eastAsiaTheme="minorHAnsi" w:cs="Arial"/>
                <w:b/>
                <w:color w:val="auto"/>
                <w:szCs w:val="20"/>
                <w:lang w:eastAsia="en-US"/>
              </w:rPr>
            </w:pPr>
            <w:r w:rsidRPr="00C67A00">
              <w:rPr>
                <w:rFonts w:eastAsiaTheme="minorHAnsi" w:cs="Arial"/>
                <w:b/>
                <w:color w:val="auto"/>
                <w:szCs w:val="20"/>
                <w:lang w:eastAsia="en-US"/>
              </w:rPr>
              <w:t>New provision</w:t>
            </w:r>
          </w:p>
        </w:tc>
      </w:tr>
      <w:tr w:rsidR="00C67A00" w:rsidRPr="00C67A00" w:rsidTr="00C67A00">
        <w:tc>
          <w:tcPr>
            <w:tcW w:w="4508" w:type="dxa"/>
          </w:tcPr>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b/>
                <w:bCs/>
                <w:color w:val="221E1F"/>
                <w:sz w:val="20"/>
                <w:szCs w:val="20"/>
              </w:rPr>
              <w:t xml:space="preserve">Clause 32.07-2 </w:t>
            </w:r>
          </w:p>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color w:val="221E1F"/>
                <w:sz w:val="20"/>
                <w:szCs w:val="20"/>
              </w:rPr>
              <w:t xml:space="preserve">Section 1 – Permit not required </w:t>
            </w:r>
          </w:p>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color w:val="221E1F"/>
                <w:sz w:val="20"/>
                <w:szCs w:val="20"/>
              </w:rPr>
              <w:t xml:space="preserve">Shop provided it meets the specified conditions </w:t>
            </w:r>
          </w:p>
          <w:p w:rsidR="00C67A00" w:rsidRPr="00C67A00" w:rsidRDefault="00C67A00" w:rsidP="00C67A00">
            <w:pPr>
              <w:spacing w:before="120"/>
              <w:rPr>
                <w:rFonts w:eastAsiaTheme="minorHAnsi" w:cs="Arial"/>
                <w:color w:val="auto"/>
                <w:szCs w:val="20"/>
                <w:lang w:eastAsia="en-US"/>
              </w:rPr>
            </w:pPr>
            <w:r w:rsidRPr="00C67A00">
              <w:rPr>
                <w:rFonts w:cs="Arial"/>
                <w:color w:val="221E1F"/>
                <w:szCs w:val="20"/>
              </w:rPr>
              <w:t xml:space="preserve">A Shop that does not meet the specified conditions requires a planning permit. </w:t>
            </w:r>
          </w:p>
        </w:tc>
        <w:tc>
          <w:tcPr>
            <w:tcW w:w="4508" w:type="dxa"/>
          </w:tcPr>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b/>
                <w:bCs/>
                <w:color w:val="221E1F"/>
                <w:sz w:val="20"/>
                <w:szCs w:val="20"/>
              </w:rPr>
              <w:t xml:space="preserve">Clause 32.07-2 </w:t>
            </w:r>
          </w:p>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color w:val="221E1F"/>
                <w:sz w:val="20"/>
                <w:szCs w:val="20"/>
              </w:rPr>
              <w:t xml:space="preserve">Section 2 – Permit required </w:t>
            </w:r>
          </w:p>
          <w:p w:rsidR="00C67A00" w:rsidRPr="00C67A00" w:rsidRDefault="00C67A00" w:rsidP="00C67A00">
            <w:pPr>
              <w:pStyle w:val="Pa5"/>
              <w:spacing w:before="120" w:after="120"/>
              <w:rPr>
                <w:rFonts w:ascii="Arial" w:hAnsi="Arial" w:cs="Arial"/>
                <w:color w:val="221E1F"/>
                <w:sz w:val="20"/>
                <w:szCs w:val="20"/>
              </w:rPr>
            </w:pPr>
            <w:r w:rsidRPr="00C67A00">
              <w:rPr>
                <w:rFonts w:ascii="Arial" w:hAnsi="Arial" w:cs="Arial"/>
                <w:color w:val="221E1F"/>
                <w:sz w:val="20"/>
                <w:szCs w:val="20"/>
              </w:rPr>
              <w:t xml:space="preserve">Shop provided it meets the specified conditions. </w:t>
            </w:r>
          </w:p>
          <w:p w:rsidR="00C67A00" w:rsidRPr="00C67A00" w:rsidRDefault="00C67A00" w:rsidP="00C67A00">
            <w:pPr>
              <w:spacing w:before="120"/>
              <w:rPr>
                <w:rFonts w:eastAsiaTheme="minorHAnsi" w:cs="Arial"/>
                <w:color w:val="auto"/>
                <w:szCs w:val="20"/>
                <w:lang w:eastAsia="en-US"/>
              </w:rPr>
            </w:pPr>
            <w:r w:rsidRPr="00C67A00">
              <w:rPr>
                <w:rFonts w:cs="Arial"/>
                <w:color w:val="221E1F"/>
                <w:szCs w:val="20"/>
              </w:rPr>
              <w:t>A Shop that does not meet the specified conditions is prohibited.</w:t>
            </w:r>
          </w:p>
        </w:tc>
      </w:tr>
    </w:tbl>
    <w:p w:rsidR="00C67A00" w:rsidRPr="00C67A00" w:rsidRDefault="00C67A00" w:rsidP="00C67A00">
      <w:pPr>
        <w:spacing w:before="120"/>
        <w:rPr>
          <w:rFonts w:eastAsiaTheme="minorHAnsi" w:cs="Arial"/>
          <w:color w:val="auto"/>
          <w:szCs w:val="20"/>
          <w:lang w:eastAsia="en-US"/>
        </w:rPr>
      </w:pPr>
    </w:p>
    <w:p w:rsidR="00C67A00" w:rsidRDefault="00C67A00" w:rsidP="00BE620E">
      <w:pPr>
        <w:rPr>
          <w:rFonts w:eastAsiaTheme="minorHAnsi" w:cs="Arial"/>
          <w:color w:val="auto"/>
          <w:szCs w:val="20"/>
          <w:lang w:eastAsia="en-US"/>
        </w:rPr>
      </w:pPr>
    </w:p>
    <w:p w:rsidR="00C67A00" w:rsidRDefault="00C67A00" w:rsidP="00BE620E">
      <w:pPr>
        <w:rPr>
          <w:rFonts w:eastAsiaTheme="minorHAnsi" w:cs="Arial"/>
          <w:color w:val="auto"/>
          <w:szCs w:val="20"/>
          <w:lang w:eastAsia="en-US"/>
        </w:rPr>
      </w:pPr>
    </w:p>
    <w:p w:rsidR="00C67A00" w:rsidRDefault="00C67A00" w:rsidP="00BE620E">
      <w:pPr>
        <w:rPr>
          <w:rFonts w:eastAsiaTheme="minorHAnsi" w:cs="Arial"/>
          <w:color w:val="auto"/>
          <w:szCs w:val="20"/>
          <w:lang w:eastAsia="en-US"/>
        </w:rPr>
      </w:pPr>
    </w:p>
    <w:tbl>
      <w:tblPr>
        <w:tblStyle w:val="TableGrid"/>
        <w:tblW w:w="0" w:type="auto"/>
        <w:tblLook w:val="04A0" w:firstRow="1" w:lastRow="0" w:firstColumn="1" w:lastColumn="0" w:noHBand="0" w:noVBand="1"/>
      </w:tblPr>
      <w:tblGrid>
        <w:gridCol w:w="4508"/>
        <w:gridCol w:w="4508"/>
      </w:tblGrid>
      <w:tr w:rsidR="00CC7401" w:rsidTr="006B4031">
        <w:tc>
          <w:tcPr>
            <w:tcW w:w="9016" w:type="dxa"/>
            <w:gridSpan w:val="2"/>
          </w:tcPr>
          <w:p w:rsidR="00CC7401" w:rsidRPr="00CC7401" w:rsidRDefault="00CC7401" w:rsidP="00CC7401">
            <w:pPr>
              <w:spacing w:before="120"/>
              <w:jc w:val="center"/>
              <w:rPr>
                <w:rFonts w:cs="Arial"/>
                <w:b/>
                <w:color w:val="auto"/>
                <w:szCs w:val="20"/>
              </w:rPr>
            </w:pPr>
            <w:r w:rsidRPr="00CC7401">
              <w:rPr>
                <w:rFonts w:cs="Arial"/>
                <w:b/>
                <w:color w:val="auto"/>
                <w:szCs w:val="20"/>
              </w:rPr>
              <w:lastRenderedPageBreak/>
              <w:t>General Residential Zone</w:t>
            </w:r>
          </w:p>
        </w:tc>
      </w:tr>
      <w:tr w:rsidR="00CC7401" w:rsidTr="00CC7401">
        <w:tc>
          <w:tcPr>
            <w:tcW w:w="4508" w:type="dxa"/>
          </w:tcPr>
          <w:p w:rsidR="00CC7401" w:rsidRPr="00CC7401" w:rsidRDefault="00CC7401" w:rsidP="00CC7401">
            <w:pPr>
              <w:spacing w:before="120"/>
              <w:rPr>
                <w:rFonts w:cs="Arial"/>
                <w:b/>
                <w:color w:val="auto"/>
                <w:szCs w:val="20"/>
              </w:rPr>
            </w:pPr>
            <w:r w:rsidRPr="00CC7401">
              <w:rPr>
                <w:rFonts w:cs="Arial"/>
                <w:b/>
                <w:color w:val="auto"/>
                <w:szCs w:val="20"/>
              </w:rPr>
              <w:t>Existing provision</w:t>
            </w:r>
          </w:p>
        </w:tc>
        <w:tc>
          <w:tcPr>
            <w:tcW w:w="4508" w:type="dxa"/>
          </w:tcPr>
          <w:p w:rsidR="00CC7401" w:rsidRPr="00CC7401" w:rsidRDefault="00CC7401" w:rsidP="00CC7401">
            <w:pPr>
              <w:spacing w:before="120"/>
              <w:rPr>
                <w:rFonts w:cs="Arial"/>
                <w:b/>
                <w:color w:val="auto"/>
                <w:szCs w:val="20"/>
              </w:rPr>
            </w:pPr>
            <w:r w:rsidRPr="00CC7401">
              <w:rPr>
                <w:rFonts w:cs="Arial"/>
                <w:b/>
                <w:color w:val="auto"/>
                <w:szCs w:val="20"/>
              </w:rPr>
              <w:t>New provision</w:t>
            </w:r>
          </w:p>
        </w:tc>
      </w:tr>
      <w:tr w:rsidR="00CC7401" w:rsidTr="00CC7401">
        <w:tc>
          <w:tcPr>
            <w:tcW w:w="4508" w:type="dxa"/>
          </w:tcPr>
          <w:p w:rsidR="00CC7401" w:rsidRPr="00CC7401" w:rsidRDefault="00CC7401" w:rsidP="00CC7401">
            <w:pPr>
              <w:pStyle w:val="Pa5"/>
              <w:spacing w:before="120" w:after="120"/>
              <w:rPr>
                <w:rFonts w:ascii="Arial" w:hAnsi="Arial" w:cs="Arial"/>
                <w:color w:val="221E1F"/>
                <w:sz w:val="20"/>
                <w:szCs w:val="20"/>
              </w:rPr>
            </w:pPr>
            <w:r w:rsidRPr="00CC7401">
              <w:rPr>
                <w:rFonts w:ascii="Arial" w:hAnsi="Arial" w:cs="Arial"/>
                <w:b/>
                <w:bCs/>
                <w:color w:val="221E1F"/>
                <w:sz w:val="20"/>
                <w:szCs w:val="20"/>
              </w:rPr>
              <w:t xml:space="preserve">Clause 32.08-4 </w:t>
            </w:r>
          </w:p>
          <w:p w:rsidR="00CC7401" w:rsidRPr="00CC7401" w:rsidRDefault="00CC7401" w:rsidP="00CC7401">
            <w:pPr>
              <w:spacing w:before="120"/>
              <w:rPr>
                <w:rFonts w:cs="Arial"/>
                <w:color w:val="auto"/>
                <w:szCs w:val="20"/>
              </w:rPr>
            </w:pPr>
            <w:r w:rsidRPr="00CC7401">
              <w:rPr>
                <w:rFonts w:cs="Arial"/>
                <w:color w:val="221E1F"/>
                <w:szCs w:val="20"/>
              </w:rPr>
              <w:t xml:space="preserve">Note: No capacity to specify land to be exempted from the minimum garden area requirement through the schedule to the General Residential Zone. </w:t>
            </w:r>
          </w:p>
        </w:tc>
        <w:tc>
          <w:tcPr>
            <w:tcW w:w="4508" w:type="dxa"/>
          </w:tcPr>
          <w:p w:rsidR="00CC7401" w:rsidRPr="00CC7401" w:rsidRDefault="00CC7401" w:rsidP="00CC7401">
            <w:pPr>
              <w:pStyle w:val="Pa5"/>
              <w:spacing w:before="120" w:after="120"/>
              <w:rPr>
                <w:rFonts w:ascii="Arial" w:hAnsi="Arial" w:cs="Arial"/>
                <w:color w:val="221E1F"/>
                <w:sz w:val="20"/>
                <w:szCs w:val="20"/>
              </w:rPr>
            </w:pPr>
            <w:r w:rsidRPr="00CC7401">
              <w:rPr>
                <w:rFonts w:ascii="Arial" w:hAnsi="Arial" w:cs="Arial"/>
                <w:b/>
                <w:bCs/>
                <w:color w:val="221E1F"/>
                <w:sz w:val="20"/>
                <w:szCs w:val="20"/>
              </w:rPr>
              <w:t xml:space="preserve">Clause 32.08-4 </w:t>
            </w:r>
          </w:p>
          <w:p w:rsidR="00CC7401" w:rsidRPr="00CC7401" w:rsidRDefault="00CC7401" w:rsidP="00CC7401">
            <w:pPr>
              <w:pStyle w:val="Pa5"/>
              <w:spacing w:before="120" w:after="120"/>
              <w:rPr>
                <w:rFonts w:ascii="Arial" w:hAnsi="Arial" w:cs="Arial"/>
                <w:color w:val="221E1F"/>
                <w:sz w:val="20"/>
                <w:szCs w:val="20"/>
              </w:rPr>
            </w:pPr>
            <w:r w:rsidRPr="00CC7401">
              <w:rPr>
                <w:rFonts w:ascii="Arial" w:hAnsi="Arial" w:cs="Arial"/>
                <w:color w:val="221E1F"/>
                <w:sz w:val="20"/>
                <w:szCs w:val="20"/>
              </w:rPr>
              <w:t xml:space="preserve">The minimum garden area requirement does not apply to: </w:t>
            </w:r>
          </w:p>
          <w:p w:rsidR="00CC7401" w:rsidRPr="00CC7401" w:rsidRDefault="00CC7401" w:rsidP="00CC7401">
            <w:pPr>
              <w:pStyle w:val="Default"/>
              <w:numPr>
                <w:ilvl w:val="0"/>
                <w:numId w:val="3"/>
              </w:numPr>
              <w:spacing w:before="120"/>
              <w:rPr>
                <w:rFonts w:ascii="Arial" w:hAnsi="Arial" w:cs="Arial"/>
                <w:color w:val="221E1F"/>
                <w:sz w:val="20"/>
                <w:szCs w:val="20"/>
              </w:rPr>
            </w:pPr>
            <w:r w:rsidRPr="00CC7401">
              <w:rPr>
                <w:rFonts w:ascii="Arial" w:hAnsi="Arial" w:cs="Arial"/>
                <w:color w:val="221E1F"/>
                <w:sz w:val="20"/>
                <w:szCs w:val="20"/>
              </w:rPr>
              <w:t xml:space="preserve">An application to construct or extend a dwelling or residential building if specified in a schedule to this zone as exempt from the minimum garden area requirement; </w:t>
            </w:r>
            <w:r>
              <w:rPr>
                <w:rFonts w:ascii="Arial" w:hAnsi="Arial" w:cs="Arial"/>
                <w:color w:val="221E1F"/>
                <w:sz w:val="20"/>
                <w:szCs w:val="20"/>
              </w:rPr>
              <w:br/>
            </w:r>
          </w:p>
        </w:tc>
      </w:tr>
    </w:tbl>
    <w:p w:rsidR="00C67A00" w:rsidRDefault="00C67A00" w:rsidP="00BE620E">
      <w:pPr>
        <w:rPr>
          <w:rFonts w:cs="Arial"/>
          <w:color w:val="auto"/>
          <w:szCs w:val="20"/>
        </w:rPr>
      </w:pPr>
    </w:p>
    <w:tbl>
      <w:tblPr>
        <w:tblStyle w:val="TableGrid"/>
        <w:tblW w:w="0" w:type="auto"/>
        <w:tblLook w:val="04A0" w:firstRow="1" w:lastRow="0" w:firstColumn="1" w:lastColumn="0" w:noHBand="0" w:noVBand="1"/>
      </w:tblPr>
      <w:tblGrid>
        <w:gridCol w:w="4508"/>
        <w:gridCol w:w="4508"/>
      </w:tblGrid>
      <w:tr w:rsidR="002E4453" w:rsidTr="00871906">
        <w:tc>
          <w:tcPr>
            <w:tcW w:w="9016" w:type="dxa"/>
            <w:gridSpan w:val="2"/>
          </w:tcPr>
          <w:p w:rsidR="002E4453" w:rsidRPr="002E4453" w:rsidRDefault="002E4453" w:rsidP="002E4453">
            <w:pPr>
              <w:pStyle w:val="Pa10"/>
              <w:spacing w:before="120" w:after="120"/>
              <w:jc w:val="center"/>
              <w:rPr>
                <w:rFonts w:ascii="Arial" w:hAnsi="Arial" w:cs="Arial"/>
                <w:sz w:val="20"/>
                <w:szCs w:val="20"/>
              </w:rPr>
            </w:pPr>
            <w:r w:rsidRPr="002E4453">
              <w:rPr>
                <w:rFonts w:ascii="Arial" w:hAnsi="Arial" w:cs="Arial"/>
                <w:b/>
                <w:bCs/>
                <w:sz w:val="20"/>
                <w:szCs w:val="20"/>
              </w:rPr>
              <w:t>General Residential Zone and Neighbourhood Residential Zone</w:t>
            </w:r>
          </w:p>
        </w:tc>
      </w:tr>
      <w:tr w:rsidR="002E4453" w:rsidTr="002E4453">
        <w:tc>
          <w:tcPr>
            <w:tcW w:w="4508" w:type="dxa"/>
          </w:tcPr>
          <w:p w:rsidR="002E4453" w:rsidRPr="00CC7401" w:rsidRDefault="002E4453" w:rsidP="002E4453">
            <w:pPr>
              <w:spacing w:before="120"/>
              <w:rPr>
                <w:rFonts w:cs="Arial"/>
                <w:b/>
                <w:color w:val="auto"/>
                <w:szCs w:val="20"/>
              </w:rPr>
            </w:pPr>
            <w:r w:rsidRPr="00CC7401">
              <w:rPr>
                <w:rFonts w:cs="Arial"/>
                <w:b/>
                <w:color w:val="auto"/>
                <w:szCs w:val="20"/>
              </w:rPr>
              <w:t>Existing provision</w:t>
            </w:r>
          </w:p>
        </w:tc>
        <w:tc>
          <w:tcPr>
            <w:tcW w:w="4508" w:type="dxa"/>
          </w:tcPr>
          <w:p w:rsidR="002E4453" w:rsidRPr="00CC7401" w:rsidRDefault="002E4453" w:rsidP="002E4453">
            <w:pPr>
              <w:spacing w:before="120"/>
              <w:rPr>
                <w:rFonts w:cs="Arial"/>
                <w:b/>
                <w:color w:val="auto"/>
                <w:szCs w:val="20"/>
              </w:rPr>
            </w:pPr>
            <w:r w:rsidRPr="00CC7401">
              <w:rPr>
                <w:rFonts w:cs="Arial"/>
                <w:b/>
                <w:color w:val="auto"/>
                <w:szCs w:val="20"/>
              </w:rPr>
              <w:t>New provision</w:t>
            </w:r>
          </w:p>
        </w:tc>
      </w:tr>
      <w:tr w:rsidR="002E4453" w:rsidTr="002E4453">
        <w:tc>
          <w:tcPr>
            <w:tcW w:w="4508" w:type="dxa"/>
          </w:tcPr>
          <w:p w:rsidR="002E4453" w:rsidRPr="002E4453" w:rsidRDefault="002E4453" w:rsidP="002E4453">
            <w:pPr>
              <w:pStyle w:val="Pa5"/>
              <w:spacing w:after="120"/>
              <w:rPr>
                <w:rFonts w:ascii="Arial" w:hAnsi="Arial" w:cs="Arial"/>
                <w:color w:val="221E1F"/>
                <w:sz w:val="20"/>
                <w:szCs w:val="20"/>
              </w:rPr>
            </w:pPr>
            <w:r w:rsidRPr="002E4453">
              <w:rPr>
                <w:rFonts w:ascii="Arial" w:hAnsi="Arial" w:cs="Arial"/>
                <w:b/>
                <w:bCs/>
                <w:color w:val="221E1F"/>
                <w:sz w:val="20"/>
                <w:szCs w:val="20"/>
              </w:rPr>
              <w:t xml:space="preserve">Clause 32.08-3 </w:t>
            </w:r>
            <w:r w:rsidRPr="002E4453">
              <w:rPr>
                <w:rFonts w:ascii="Arial" w:hAnsi="Arial" w:cs="Arial"/>
                <w:color w:val="221E1F"/>
                <w:sz w:val="20"/>
                <w:szCs w:val="20"/>
              </w:rPr>
              <w:t xml:space="preserve">and </w:t>
            </w:r>
            <w:r w:rsidRPr="002E4453">
              <w:rPr>
                <w:rFonts w:ascii="Arial" w:hAnsi="Arial" w:cs="Arial"/>
                <w:b/>
                <w:bCs/>
                <w:color w:val="221E1F"/>
                <w:sz w:val="20"/>
                <w:szCs w:val="20"/>
              </w:rPr>
              <w:t xml:space="preserve">Clause 32.09-3 </w:t>
            </w:r>
          </w:p>
          <w:p w:rsidR="002E4453" w:rsidRPr="002E4453" w:rsidRDefault="002E4453" w:rsidP="002E4453">
            <w:pPr>
              <w:rPr>
                <w:rFonts w:cs="Arial"/>
                <w:color w:val="auto"/>
                <w:szCs w:val="20"/>
              </w:rPr>
            </w:pPr>
            <w:r w:rsidRPr="002E4453">
              <w:rPr>
                <w:rFonts w:cs="Arial"/>
                <w:color w:val="221E1F"/>
                <w:szCs w:val="20"/>
              </w:rPr>
              <w:t xml:space="preserve">An application to subdivide land that creates a vacant lot capable of development for a dwelling or residential building, must ensure that each lot created contains the minimum garden area set out in Clause 32.08-4/32.09-4. </w:t>
            </w:r>
          </w:p>
        </w:tc>
        <w:tc>
          <w:tcPr>
            <w:tcW w:w="4508" w:type="dxa"/>
          </w:tcPr>
          <w:p w:rsidR="002E4453" w:rsidRPr="002E4453" w:rsidRDefault="002E4453" w:rsidP="002E4453">
            <w:pPr>
              <w:pStyle w:val="Pa5"/>
              <w:spacing w:after="120"/>
              <w:rPr>
                <w:rFonts w:ascii="Arial" w:hAnsi="Arial" w:cs="Arial"/>
                <w:color w:val="221E1F"/>
                <w:sz w:val="20"/>
                <w:szCs w:val="20"/>
              </w:rPr>
            </w:pPr>
            <w:r w:rsidRPr="002E4453">
              <w:rPr>
                <w:rFonts w:ascii="Arial" w:hAnsi="Arial" w:cs="Arial"/>
                <w:b/>
                <w:bCs/>
                <w:color w:val="221E1F"/>
                <w:sz w:val="20"/>
                <w:szCs w:val="20"/>
              </w:rPr>
              <w:t xml:space="preserve">Clause 32.08-3 </w:t>
            </w:r>
            <w:r w:rsidRPr="002E4453">
              <w:rPr>
                <w:rFonts w:ascii="Arial" w:hAnsi="Arial" w:cs="Arial"/>
                <w:color w:val="221E1F"/>
                <w:sz w:val="20"/>
                <w:szCs w:val="20"/>
              </w:rPr>
              <w:t xml:space="preserve">and </w:t>
            </w:r>
            <w:r w:rsidRPr="002E4453">
              <w:rPr>
                <w:rFonts w:ascii="Arial" w:hAnsi="Arial" w:cs="Arial"/>
                <w:b/>
                <w:bCs/>
                <w:color w:val="221E1F"/>
                <w:sz w:val="20"/>
                <w:szCs w:val="20"/>
              </w:rPr>
              <w:t xml:space="preserve">Clause 32.09-3 </w:t>
            </w:r>
          </w:p>
          <w:p w:rsidR="002E4453" w:rsidRPr="002E4453" w:rsidRDefault="002E4453" w:rsidP="002E4453">
            <w:pPr>
              <w:rPr>
                <w:rFonts w:cs="Arial"/>
                <w:color w:val="auto"/>
                <w:szCs w:val="20"/>
              </w:rPr>
            </w:pPr>
            <w:r w:rsidRPr="002E4453">
              <w:rPr>
                <w:rFonts w:cs="Arial"/>
                <w:color w:val="221E1F"/>
                <w:szCs w:val="20"/>
              </w:rPr>
              <w:t xml:space="preserve">An application to subdivide land that would create a vacant lot less than 400 square metres capable of development for a dwelling or residential building, must ensure that each vacant lot created less than 400 square metres contains at least 25 percent as garden area. </w:t>
            </w:r>
          </w:p>
        </w:tc>
      </w:tr>
      <w:tr w:rsidR="002E4453" w:rsidTr="002E4453">
        <w:tc>
          <w:tcPr>
            <w:tcW w:w="4508" w:type="dxa"/>
          </w:tcPr>
          <w:p w:rsidR="002E4453" w:rsidRPr="002E4453" w:rsidRDefault="002E4453" w:rsidP="002E4453">
            <w:pPr>
              <w:spacing w:before="120"/>
              <w:rPr>
                <w:rFonts w:cs="Arial"/>
                <w:b/>
                <w:color w:val="auto"/>
                <w:szCs w:val="20"/>
              </w:rPr>
            </w:pPr>
            <w:r w:rsidRPr="002E4453">
              <w:rPr>
                <w:rFonts w:cs="Arial"/>
                <w:b/>
                <w:color w:val="auto"/>
                <w:szCs w:val="20"/>
              </w:rPr>
              <w:t>Existing provision</w:t>
            </w:r>
          </w:p>
        </w:tc>
        <w:tc>
          <w:tcPr>
            <w:tcW w:w="4508" w:type="dxa"/>
          </w:tcPr>
          <w:p w:rsidR="002E4453" w:rsidRPr="002E4453" w:rsidRDefault="002E4453" w:rsidP="002E4453">
            <w:pPr>
              <w:spacing w:before="120"/>
              <w:rPr>
                <w:rFonts w:cs="Arial"/>
                <w:b/>
                <w:color w:val="auto"/>
                <w:szCs w:val="20"/>
              </w:rPr>
            </w:pPr>
            <w:r w:rsidRPr="002E4453">
              <w:rPr>
                <w:rFonts w:cs="Arial"/>
                <w:b/>
                <w:color w:val="auto"/>
                <w:szCs w:val="20"/>
              </w:rPr>
              <w:t>New provision</w:t>
            </w:r>
          </w:p>
        </w:tc>
      </w:tr>
      <w:tr w:rsidR="002E4453" w:rsidTr="002E4453">
        <w:tc>
          <w:tcPr>
            <w:tcW w:w="4508" w:type="dxa"/>
          </w:tcPr>
          <w:p w:rsidR="002E4453" w:rsidRPr="002E4453" w:rsidRDefault="002E4453" w:rsidP="002E4453">
            <w:pPr>
              <w:pStyle w:val="Pa5"/>
              <w:spacing w:after="120"/>
              <w:rPr>
                <w:rFonts w:ascii="Arial" w:hAnsi="Arial" w:cs="Arial"/>
                <w:color w:val="221E1F"/>
                <w:sz w:val="20"/>
                <w:szCs w:val="20"/>
              </w:rPr>
            </w:pPr>
            <w:r w:rsidRPr="002E4453">
              <w:rPr>
                <w:rFonts w:ascii="Arial" w:hAnsi="Arial" w:cs="Arial"/>
                <w:b/>
                <w:bCs/>
                <w:color w:val="221E1F"/>
                <w:sz w:val="20"/>
                <w:szCs w:val="20"/>
              </w:rPr>
              <w:t xml:space="preserve">Clause 32.08-3 </w:t>
            </w:r>
            <w:r w:rsidRPr="002E4453">
              <w:rPr>
                <w:rFonts w:ascii="Arial" w:hAnsi="Arial" w:cs="Arial"/>
                <w:color w:val="221E1F"/>
                <w:sz w:val="20"/>
                <w:szCs w:val="20"/>
              </w:rPr>
              <w:t xml:space="preserve">and </w:t>
            </w:r>
            <w:r w:rsidRPr="002E4453">
              <w:rPr>
                <w:rFonts w:ascii="Arial" w:hAnsi="Arial" w:cs="Arial"/>
                <w:b/>
                <w:bCs/>
                <w:color w:val="221E1F"/>
                <w:sz w:val="20"/>
                <w:szCs w:val="20"/>
              </w:rPr>
              <w:t xml:space="preserve">Clause 32.09-3 </w:t>
            </w:r>
          </w:p>
          <w:p w:rsidR="002E4453" w:rsidRPr="002E4453" w:rsidRDefault="002E4453" w:rsidP="002E4453">
            <w:pPr>
              <w:pStyle w:val="Pa5"/>
              <w:spacing w:after="120"/>
              <w:rPr>
                <w:rFonts w:ascii="Arial" w:hAnsi="Arial" w:cs="Arial"/>
                <w:color w:val="221E1F"/>
                <w:sz w:val="20"/>
                <w:szCs w:val="20"/>
              </w:rPr>
            </w:pPr>
            <w:r w:rsidRPr="002E4453">
              <w:rPr>
                <w:rFonts w:ascii="Arial" w:hAnsi="Arial" w:cs="Arial"/>
                <w:color w:val="221E1F"/>
                <w:sz w:val="20"/>
                <w:szCs w:val="20"/>
              </w:rPr>
              <w:t xml:space="preserve">Where a vacant lot less than 400 square metres is created, that lot must contain at least 25 percent of the lot as garden area. </w:t>
            </w:r>
          </w:p>
          <w:p w:rsidR="002E4453" w:rsidRPr="002E4453" w:rsidRDefault="002E4453" w:rsidP="002E4453">
            <w:pPr>
              <w:rPr>
                <w:rFonts w:cs="Arial"/>
                <w:color w:val="auto"/>
                <w:szCs w:val="20"/>
              </w:rPr>
            </w:pPr>
            <w:r w:rsidRPr="002E4453">
              <w:rPr>
                <w:rFonts w:cs="Arial"/>
                <w:color w:val="221E1F"/>
                <w:szCs w:val="20"/>
              </w:rPr>
              <w:t xml:space="preserve">This does not apply to land where an approved precinct structure plan or an equivalent strategic plan applies. </w:t>
            </w:r>
          </w:p>
        </w:tc>
        <w:tc>
          <w:tcPr>
            <w:tcW w:w="4508" w:type="dxa"/>
          </w:tcPr>
          <w:p w:rsidR="002E4453" w:rsidRPr="002E4453" w:rsidRDefault="002E4453" w:rsidP="002E4453">
            <w:pPr>
              <w:pStyle w:val="Pa5"/>
              <w:spacing w:after="120"/>
              <w:rPr>
                <w:rFonts w:ascii="Arial" w:hAnsi="Arial" w:cs="Arial"/>
                <w:color w:val="221E1F"/>
                <w:sz w:val="20"/>
                <w:szCs w:val="20"/>
              </w:rPr>
            </w:pPr>
            <w:r w:rsidRPr="002E4453">
              <w:rPr>
                <w:rFonts w:ascii="Arial" w:hAnsi="Arial" w:cs="Arial"/>
                <w:b/>
                <w:bCs/>
                <w:color w:val="221E1F"/>
                <w:sz w:val="20"/>
                <w:szCs w:val="20"/>
              </w:rPr>
              <w:t xml:space="preserve">Clause 32.08-3 </w:t>
            </w:r>
            <w:r w:rsidRPr="002E4453">
              <w:rPr>
                <w:rFonts w:ascii="Arial" w:hAnsi="Arial" w:cs="Arial"/>
                <w:color w:val="221E1F"/>
                <w:sz w:val="20"/>
                <w:szCs w:val="20"/>
              </w:rPr>
              <w:t xml:space="preserve">and </w:t>
            </w:r>
            <w:r w:rsidRPr="002E4453">
              <w:rPr>
                <w:rFonts w:ascii="Arial" w:hAnsi="Arial" w:cs="Arial"/>
                <w:b/>
                <w:bCs/>
                <w:color w:val="221E1F"/>
                <w:sz w:val="20"/>
                <w:szCs w:val="20"/>
              </w:rPr>
              <w:t xml:space="preserve">Clause 32.09-3 </w:t>
            </w:r>
          </w:p>
          <w:p w:rsidR="002E4453" w:rsidRPr="002E4453" w:rsidRDefault="002E4453" w:rsidP="002E4453">
            <w:pPr>
              <w:pStyle w:val="Pa11"/>
              <w:spacing w:after="140"/>
              <w:rPr>
                <w:rFonts w:ascii="Arial" w:hAnsi="Arial" w:cs="Arial"/>
                <w:color w:val="221E1F"/>
                <w:sz w:val="20"/>
                <w:szCs w:val="20"/>
              </w:rPr>
            </w:pPr>
            <w:r w:rsidRPr="002E4453">
              <w:rPr>
                <w:rFonts w:ascii="Arial" w:hAnsi="Arial" w:cs="Arial"/>
                <w:color w:val="221E1F"/>
                <w:sz w:val="20"/>
                <w:szCs w:val="20"/>
              </w:rPr>
              <w:t xml:space="preserve">An application to subdivide land that would create a vacant lot less than 400 square metres capable of development for a dwelling or residential building, must ensure that each vacant lot created less than 400 square metres contains at least 25 percent as garden area. </w:t>
            </w:r>
          </w:p>
          <w:p w:rsidR="002E4453" w:rsidRPr="002E4453" w:rsidRDefault="002E4453" w:rsidP="002E4453">
            <w:pPr>
              <w:pStyle w:val="Pa11"/>
              <w:spacing w:after="140"/>
              <w:rPr>
                <w:rFonts w:ascii="Arial" w:hAnsi="Arial" w:cs="Arial"/>
                <w:color w:val="221E1F"/>
                <w:sz w:val="20"/>
                <w:szCs w:val="20"/>
              </w:rPr>
            </w:pPr>
            <w:r w:rsidRPr="002E4453">
              <w:rPr>
                <w:rFonts w:ascii="Arial" w:hAnsi="Arial" w:cs="Arial"/>
                <w:color w:val="221E1F"/>
                <w:sz w:val="20"/>
                <w:szCs w:val="20"/>
              </w:rPr>
              <w:t xml:space="preserve">This does not apply to a lot created by an application to subdivide land where that lot is created in accordance with: </w:t>
            </w:r>
          </w:p>
          <w:p w:rsidR="002E4453" w:rsidRPr="002E4453" w:rsidRDefault="002E4453" w:rsidP="002E4453">
            <w:pPr>
              <w:pStyle w:val="Default"/>
              <w:numPr>
                <w:ilvl w:val="0"/>
                <w:numId w:val="4"/>
              </w:numPr>
              <w:tabs>
                <w:tab w:val="left" w:pos="202"/>
              </w:tabs>
              <w:rPr>
                <w:rFonts w:ascii="Arial" w:hAnsi="Arial" w:cs="Arial"/>
                <w:color w:val="221E1F"/>
                <w:sz w:val="20"/>
                <w:szCs w:val="20"/>
              </w:rPr>
            </w:pPr>
            <w:r w:rsidRPr="002E4453">
              <w:rPr>
                <w:rFonts w:ascii="Arial" w:hAnsi="Arial" w:cs="Arial"/>
                <w:color w:val="221E1F"/>
                <w:sz w:val="20"/>
                <w:szCs w:val="20"/>
              </w:rPr>
              <w:t xml:space="preserve">An approved precinct structure plan or an equivalent strategic plan; </w:t>
            </w:r>
          </w:p>
          <w:p w:rsidR="002E4453" w:rsidRPr="002E4453" w:rsidRDefault="002E4453" w:rsidP="002E4453">
            <w:pPr>
              <w:pStyle w:val="Default"/>
              <w:numPr>
                <w:ilvl w:val="0"/>
                <w:numId w:val="4"/>
              </w:numPr>
              <w:tabs>
                <w:tab w:val="left" w:pos="202"/>
              </w:tabs>
              <w:rPr>
                <w:rFonts w:ascii="Arial" w:hAnsi="Arial" w:cs="Arial"/>
                <w:color w:val="221E1F"/>
                <w:sz w:val="20"/>
                <w:szCs w:val="20"/>
              </w:rPr>
            </w:pPr>
            <w:r w:rsidRPr="002E4453">
              <w:rPr>
                <w:rFonts w:ascii="Arial" w:hAnsi="Arial" w:cs="Arial"/>
                <w:color w:val="221E1F"/>
                <w:sz w:val="20"/>
                <w:szCs w:val="20"/>
              </w:rPr>
              <w:t xml:space="preserve">An incorporated plan or approved development plan; or </w:t>
            </w:r>
          </w:p>
          <w:p w:rsidR="002E4453" w:rsidRPr="008D4BA5" w:rsidRDefault="002E4453" w:rsidP="002E4453">
            <w:pPr>
              <w:pStyle w:val="Default"/>
              <w:numPr>
                <w:ilvl w:val="0"/>
                <w:numId w:val="4"/>
              </w:numPr>
              <w:tabs>
                <w:tab w:val="left" w:pos="202"/>
              </w:tabs>
              <w:rPr>
                <w:rFonts w:ascii="Arial" w:hAnsi="Arial" w:cs="Arial"/>
                <w:color w:val="221E1F"/>
                <w:sz w:val="20"/>
                <w:szCs w:val="20"/>
              </w:rPr>
            </w:pPr>
            <w:r w:rsidRPr="002E4453">
              <w:rPr>
                <w:rFonts w:ascii="Arial" w:hAnsi="Arial" w:cs="Arial"/>
                <w:color w:val="221E1F"/>
                <w:sz w:val="20"/>
                <w:szCs w:val="20"/>
              </w:rPr>
              <w:t>A permit for development.</w:t>
            </w:r>
            <w:r w:rsidR="008D4BA5">
              <w:rPr>
                <w:rFonts w:ascii="Arial" w:hAnsi="Arial" w:cs="Arial"/>
                <w:color w:val="221E1F"/>
                <w:sz w:val="20"/>
                <w:szCs w:val="20"/>
              </w:rPr>
              <w:br/>
            </w:r>
          </w:p>
        </w:tc>
      </w:tr>
      <w:tr w:rsidR="002E4453" w:rsidTr="002E4453">
        <w:tc>
          <w:tcPr>
            <w:tcW w:w="4508" w:type="dxa"/>
          </w:tcPr>
          <w:p w:rsidR="002E4453" w:rsidRPr="002E4453" w:rsidRDefault="002E4453" w:rsidP="002E4453">
            <w:pPr>
              <w:spacing w:before="120"/>
              <w:rPr>
                <w:rFonts w:cs="Arial"/>
                <w:b/>
                <w:color w:val="auto"/>
                <w:szCs w:val="20"/>
              </w:rPr>
            </w:pPr>
            <w:r w:rsidRPr="002E4453">
              <w:rPr>
                <w:rFonts w:cs="Arial"/>
                <w:b/>
                <w:color w:val="auto"/>
                <w:szCs w:val="20"/>
              </w:rPr>
              <w:t>Existing provision</w:t>
            </w:r>
          </w:p>
        </w:tc>
        <w:tc>
          <w:tcPr>
            <w:tcW w:w="4508" w:type="dxa"/>
          </w:tcPr>
          <w:p w:rsidR="002E4453" w:rsidRPr="002E4453" w:rsidRDefault="002E4453" w:rsidP="002E4453">
            <w:pPr>
              <w:spacing w:before="120"/>
              <w:rPr>
                <w:rFonts w:cs="Arial"/>
                <w:b/>
                <w:color w:val="auto"/>
                <w:szCs w:val="20"/>
              </w:rPr>
            </w:pPr>
            <w:r w:rsidRPr="002E4453">
              <w:rPr>
                <w:rFonts w:cs="Arial"/>
                <w:b/>
                <w:color w:val="auto"/>
                <w:szCs w:val="20"/>
              </w:rPr>
              <w:t>New provision</w:t>
            </w:r>
          </w:p>
        </w:tc>
      </w:tr>
      <w:tr w:rsidR="002E4453" w:rsidTr="002E4453">
        <w:tc>
          <w:tcPr>
            <w:tcW w:w="4508" w:type="dxa"/>
          </w:tcPr>
          <w:p w:rsidR="008D4BA5" w:rsidRPr="008D4BA5" w:rsidRDefault="008D4BA5" w:rsidP="008D4BA5">
            <w:pPr>
              <w:pStyle w:val="Pa5"/>
              <w:spacing w:after="120"/>
              <w:rPr>
                <w:rFonts w:ascii="Arial" w:hAnsi="Arial" w:cs="Arial"/>
                <w:color w:val="221E1F"/>
                <w:sz w:val="20"/>
                <w:szCs w:val="20"/>
              </w:rPr>
            </w:pPr>
            <w:r w:rsidRPr="008D4BA5">
              <w:rPr>
                <w:rFonts w:ascii="Arial" w:hAnsi="Arial" w:cs="Arial"/>
                <w:b/>
                <w:bCs/>
                <w:color w:val="221E1F"/>
                <w:sz w:val="20"/>
                <w:szCs w:val="20"/>
              </w:rPr>
              <w:t xml:space="preserve">Clause 32.08-4 </w:t>
            </w:r>
            <w:r w:rsidRPr="008D4BA5">
              <w:rPr>
                <w:rFonts w:ascii="Arial" w:hAnsi="Arial" w:cs="Arial"/>
                <w:color w:val="221E1F"/>
                <w:sz w:val="20"/>
                <w:szCs w:val="20"/>
              </w:rPr>
              <w:t xml:space="preserve">and </w:t>
            </w:r>
            <w:r w:rsidRPr="008D4BA5">
              <w:rPr>
                <w:rFonts w:ascii="Arial" w:hAnsi="Arial" w:cs="Arial"/>
                <w:b/>
                <w:bCs/>
                <w:color w:val="221E1F"/>
                <w:sz w:val="20"/>
                <w:szCs w:val="20"/>
              </w:rPr>
              <w:t xml:space="preserve">Clause 32.09-4 </w:t>
            </w:r>
          </w:p>
          <w:p w:rsidR="002E4453" w:rsidRPr="008D4BA5" w:rsidRDefault="008D4BA5" w:rsidP="008D4BA5">
            <w:pPr>
              <w:rPr>
                <w:rFonts w:cs="Arial"/>
                <w:color w:val="auto"/>
                <w:szCs w:val="20"/>
              </w:rPr>
            </w:pPr>
            <w:proofErr w:type="gramStart"/>
            <w:r w:rsidRPr="008D4BA5">
              <w:rPr>
                <w:rFonts w:cs="Arial"/>
                <w:color w:val="221E1F"/>
                <w:szCs w:val="20"/>
              </w:rPr>
              <w:t>Whether or not</w:t>
            </w:r>
            <w:proofErr w:type="gramEnd"/>
            <w:r w:rsidRPr="008D4BA5">
              <w:rPr>
                <w:rFonts w:cs="Arial"/>
                <w:color w:val="221E1F"/>
                <w:szCs w:val="20"/>
              </w:rPr>
              <w:t xml:space="preserve"> a planning permit is required for the construction or extension of a dwelling or residential building on a lot, a lot must provide the minimum garden area at ground level as set out in the following table: </w:t>
            </w:r>
          </w:p>
        </w:tc>
        <w:tc>
          <w:tcPr>
            <w:tcW w:w="4508" w:type="dxa"/>
          </w:tcPr>
          <w:p w:rsidR="008D4BA5" w:rsidRPr="008D4BA5" w:rsidRDefault="008D4BA5" w:rsidP="008D4BA5">
            <w:pPr>
              <w:pStyle w:val="Pa5"/>
              <w:spacing w:after="120"/>
              <w:rPr>
                <w:rFonts w:ascii="Arial" w:hAnsi="Arial" w:cs="Arial"/>
                <w:color w:val="221E1F"/>
                <w:sz w:val="20"/>
                <w:szCs w:val="20"/>
              </w:rPr>
            </w:pPr>
            <w:r w:rsidRPr="008D4BA5">
              <w:rPr>
                <w:rFonts w:ascii="Arial" w:hAnsi="Arial" w:cs="Arial"/>
                <w:b/>
                <w:bCs/>
                <w:color w:val="221E1F"/>
                <w:sz w:val="20"/>
                <w:szCs w:val="20"/>
              </w:rPr>
              <w:t xml:space="preserve">Clause 32.08-4 </w:t>
            </w:r>
            <w:r w:rsidRPr="008D4BA5">
              <w:rPr>
                <w:rFonts w:ascii="Arial" w:hAnsi="Arial" w:cs="Arial"/>
                <w:color w:val="221E1F"/>
                <w:sz w:val="20"/>
                <w:szCs w:val="20"/>
              </w:rPr>
              <w:t xml:space="preserve">and </w:t>
            </w:r>
            <w:r w:rsidRPr="008D4BA5">
              <w:rPr>
                <w:rFonts w:ascii="Arial" w:hAnsi="Arial" w:cs="Arial"/>
                <w:b/>
                <w:bCs/>
                <w:color w:val="221E1F"/>
                <w:sz w:val="20"/>
                <w:szCs w:val="20"/>
              </w:rPr>
              <w:t xml:space="preserve">Clause 32.09-4 </w:t>
            </w:r>
          </w:p>
          <w:p w:rsidR="008D4BA5" w:rsidRPr="008D4BA5" w:rsidRDefault="008D4BA5" w:rsidP="008D4BA5">
            <w:pPr>
              <w:pStyle w:val="Pa5"/>
              <w:spacing w:after="120"/>
              <w:rPr>
                <w:rFonts w:ascii="Arial" w:hAnsi="Arial" w:cs="Arial"/>
                <w:color w:val="221E1F"/>
                <w:sz w:val="20"/>
                <w:szCs w:val="20"/>
              </w:rPr>
            </w:pPr>
            <w:r w:rsidRPr="008D4BA5">
              <w:rPr>
                <w:rFonts w:ascii="Arial" w:hAnsi="Arial" w:cs="Arial"/>
                <w:color w:val="221E1F"/>
                <w:sz w:val="20"/>
                <w:szCs w:val="20"/>
              </w:rPr>
              <w:t xml:space="preserve">An application to construct or extend a dwelling or residential building on a lot must provide a minimum garden area as set out in the following table: </w:t>
            </w:r>
          </w:p>
          <w:p w:rsidR="002E4453" w:rsidRPr="008D4BA5" w:rsidRDefault="008D4BA5" w:rsidP="008D4BA5">
            <w:pPr>
              <w:rPr>
                <w:rFonts w:cs="Arial"/>
                <w:color w:val="auto"/>
                <w:szCs w:val="20"/>
              </w:rPr>
            </w:pPr>
            <w:r w:rsidRPr="008D4BA5">
              <w:rPr>
                <w:rFonts w:cs="Arial"/>
                <w:color w:val="221E1F"/>
                <w:szCs w:val="20"/>
              </w:rPr>
              <w:t xml:space="preserve">Note: The Building Regulations will be amended to require minimum garden area for a dwelling </w:t>
            </w:r>
          </w:p>
        </w:tc>
      </w:tr>
      <w:tr w:rsidR="002E4453" w:rsidTr="002E4453">
        <w:tc>
          <w:tcPr>
            <w:tcW w:w="4508" w:type="dxa"/>
          </w:tcPr>
          <w:p w:rsidR="002E4453" w:rsidRPr="008D4BA5" w:rsidRDefault="002E4453" w:rsidP="002E4453">
            <w:pPr>
              <w:spacing w:before="120"/>
              <w:rPr>
                <w:rFonts w:cs="Arial"/>
                <w:b/>
                <w:color w:val="auto"/>
                <w:szCs w:val="20"/>
              </w:rPr>
            </w:pPr>
            <w:r w:rsidRPr="008D4BA5">
              <w:rPr>
                <w:rFonts w:cs="Arial"/>
                <w:b/>
                <w:color w:val="auto"/>
                <w:szCs w:val="20"/>
              </w:rPr>
              <w:lastRenderedPageBreak/>
              <w:t>Existing provision</w:t>
            </w:r>
          </w:p>
        </w:tc>
        <w:tc>
          <w:tcPr>
            <w:tcW w:w="4508" w:type="dxa"/>
          </w:tcPr>
          <w:p w:rsidR="002E4453" w:rsidRPr="008D4BA5" w:rsidRDefault="002E4453" w:rsidP="002E4453">
            <w:pPr>
              <w:spacing w:before="120"/>
              <w:rPr>
                <w:rFonts w:cs="Arial"/>
                <w:b/>
                <w:color w:val="auto"/>
                <w:szCs w:val="20"/>
              </w:rPr>
            </w:pPr>
            <w:r w:rsidRPr="008D4BA5">
              <w:rPr>
                <w:rFonts w:cs="Arial"/>
                <w:b/>
                <w:color w:val="auto"/>
                <w:szCs w:val="20"/>
              </w:rPr>
              <w:t>New provision</w:t>
            </w:r>
          </w:p>
        </w:tc>
      </w:tr>
      <w:tr w:rsidR="002E4453" w:rsidTr="002E4453">
        <w:tc>
          <w:tcPr>
            <w:tcW w:w="4508" w:type="dxa"/>
          </w:tcPr>
          <w:p w:rsidR="008D4BA5" w:rsidRPr="008D4BA5" w:rsidRDefault="008D4BA5" w:rsidP="008D4BA5">
            <w:pPr>
              <w:pStyle w:val="Pa5"/>
              <w:spacing w:before="120" w:after="120"/>
              <w:rPr>
                <w:rFonts w:ascii="Arial" w:hAnsi="Arial" w:cs="Arial"/>
                <w:color w:val="221E1F"/>
                <w:sz w:val="20"/>
                <w:szCs w:val="20"/>
              </w:rPr>
            </w:pPr>
            <w:r w:rsidRPr="008D4BA5">
              <w:rPr>
                <w:rFonts w:ascii="Arial" w:hAnsi="Arial" w:cs="Arial"/>
                <w:b/>
                <w:bCs/>
                <w:color w:val="221E1F"/>
                <w:sz w:val="20"/>
                <w:szCs w:val="20"/>
              </w:rPr>
              <w:t xml:space="preserve">Clause 32.08-4 </w:t>
            </w:r>
            <w:r w:rsidRPr="008D4BA5">
              <w:rPr>
                <w:rFonts w:ascii="Arial" w:hAnsi="Arial" w:cs="Arial"/>
                <w:color w:val="221E1F"/>
                <w:sz w:val="20"/>
                <w:szCs w:val="20"/>
              </w:rPr>
              <w:t xml:space="preserve">and </w:t>
            </w:r>
            <w:r w:rsidRPr="008D4BA5">
              <w:rPr>
                <w:rFonts w:ascii="Arial" w:hAnsi="Arial" w:cs="Arial"/>
                <w:b/>
                <w:bCs/>
                <w:color w:val="221E1F"/>
                <w:sz w:val="20"/>
                <w:szCs w:val="20"/>
              </w:rPr>
              <w:t xml:space="preserve">Clause 32.09-4 </w:t>
            </w:r>
          </w:p>
          <w:p w:rsidR="002E4453" w:rsidRPr="008D4BA5" w:rsidRDefault="008D4BA5" w:rsidP="008D4BA5">
            <w:pPr>
              <w:spacing w:before="120"/>
              <w:rPr>
                <w:rFonts w:cs="Arial"/>
                <w:color w:val="auto"/>
                <w:szCs w:val="20"/>
              </w:rPr>
            </w:pPr>
            <w:r w:rsidRPr="008D4BA5">
              <w:rPr>
                <w:rFonts w:cs="Arial"/>
                <w:color w:val="221E1F"/>
                <w:szCs w:val="20"/>
              </w:rPr>
              <w:t xml:space="preserve">Note: No exemption from the minimum garden area requirement on a lot of 400 square metres in area or greater. </w:t>
            </w:r>
          </w:p>
        </w:tc>
        <w:tc>
          <w:tcPr>
            <w:tcW w:w="4508" w:type="dxa"/>
          </w:tcPr>
          <w:p w:rsidR="008D4BA5" w:rsidRPr="008D4BA5" w:rsidRDefault="008D4BA5" w:rsidP="008D4BA5">
            <w:pPr>
              <w:pStyle w:val="Pa5"/>
              <w:spacing w:before="120" w:after="120"/>
              <w:rPr>
                <w:rFonts w:ascii="Arial" w:hAnsi="Arial" w:cs="Arial"/>
                <w:color w:val="221E1F"/>
                <w:sz w:val="20"/>
                <w:szCs w:val="20"/>
              </w:rPr>
            </w:pPr>
            <w:r w:rsidRPr="008D4BA5">
              <w:rPr>
                <w:rFonts w:ascii="Arial" w:hAnsi="Arial" w:cs="Arial"/>
                <w:b/>
                <w:bCs/>
                <w:color w:val="221E1F"/>
                <w:sz w:val="20"/>
                <w:szCs w:val="20"/>
              </w:rPr>
              <w:t xml:space="preserve">Clause 32.08-4 </w:t>
            </w:r>
            <w:r w:rsidRPr="008D4BA5">
              <w:rPr>
                <w:rFonts w:ascii="Arial" w:hAnsi="Arial" w:cs="Arial"/>
                <w:color w:val="221E1F"/>
                <w:sz w:val="20"/>
                <w:szCs w:val="20"/>
              </w:rPr>
              <w:t xml:space="preserve">and </w:t>
            </w:r>
            <w:r w:rsidRPr="008D4BA5">
              <w:rPr>
                <w:rFonts w:ascii="Arial" w:hAnsi="Arial" w:cs="Arial"/>
                <w:b/>
                <w:bCs/>
                <w:color w:val="221E1F"/>
                <w:sz w:val="20"/>
                <w:szCs w:val="20"/>
              </w:rPr>
              <w:t xml:space="preserve">Clause 32.09-4 </w:t>
            </w:r>
          </w:p>
          <w:p w:rsidR="008D4BA5" w:rsidRPr="008D4BA5" w:rsidRDefault="008D4BA5" w:rsidP="008D4BA5">
            <w:pPr>
              <w:pStyle w:val="Pa5"/>
              <w:spacing w:before="120" w:after="120"/>
              <w:rPr>
                <w:rFonts w:ascii="Arial" w:hAnsi="Arial" w:cs="Arial"/>
                <w:color w:val="221E1F"/>
                <w:sz w:val="20"/>
                <w:szCs w:val="20"/>
              </w:rPr>
            </w:pPr>
            <w:r w:rsidRPr="008D4BA5">
              <w:rPr>
                <w:rFonts w:ascii="Arial" w:hAnsi="Arial" w:cs="Arial"/>
                <w:color w:val="221E1F"/>
                <w:sz w:val="20"/>
                <w:szCs w:val="20"/>
              </w:rPr>
              <w:t xml:space="preserve">The minimum garden area requirement does not apply to: </w:t>
            </w:r>
          </w:p>
          <w:p w:rsidR="008D4BA5" w:rsidRDefault="008D4BA5" w:rsidP="008D4BA5">
            <w:pPr>
              <w:pStyle w:val="Default"/>
              <w:numPr>
                <w:ilvl w:val="1"/>
                <w:numId w:val="6"/>
              </w:numPr>
              <w:tabs>
                <w:tab w:val="left" w:pos="286"/>
              </w:tabs>
              <w:spacing w:before="120"/>
              <w:rPr>
                <w:rFonts w:ascii="Arial" w:hAnsi="Arial" w:cs="Arial"/>
                <w:color w:val="221E1F"/>
                <w:sz w:val="20"/>
                <w:szCs w:val="20"/>
              </w:rPr>
            </w:pPr>
            <w:r w:rsidRPr="008D4BA5">
              <w:rPr>
                <w:rFonts w:ascii="Arial" w:hAnsi="Arial" w:cs="Arial"/>
                <w:color w:val="221E1F"/>
                <w:sz w:val="20"/>
                <w:szCs w:val="20"/>
              </w:rPr>
              <w:t xml:space="preserve">An application to construct or extend a dwelling or residential building on a lot if: </w:t>
            </w:r>
          </w:p>
          <w:p w:rsidR="008D4BA5" w:rsidRPr="008D4BA5" w:rsidRDefault="008D4BA5" w:rsidP="008D4BA5">
            <w:pPr>
              <w:pStyle w:val="Default"/>
              <w:numPr>
                <w:ilvl w:val="1"/>
                <w:numId w:val="6"/>
              </w:numPr>
              <w:tabs>
                <w:tab w:val="left" w:pos="625"/>
              </w:tabs>
              <w:spacing w:before="120"/>
              <w:ind w:left="342"/>
              <w:rPr>
                <w:rFonts w:ascii="Arial" w:hAnsi="Arial" w:cs="Arial"/>
                <w:color w:val="221E1F"/>
                <w:sz w:val="20"/>
                <w:szCs w:val="20"/>
              </w:rPr>
            </w:pPr>
            <w:r w:rsidRPr="008D4BA5">
              <w:rPr>
                <w:rFonts w:ascii="Arial" w:hAnsi="Arial" w:cs="Arial"/>
                <w:color w:val="221E1F"/>
                <w:sz w:val="20"/>
                <w:szCs w:val="20"/>
              </w:rPr>
              <w:t xml:space="preserve">The lot is designated as a medium density housing site in an approved precinct structure plan or an approved equivalent strategic plan; </w:t>
            </w:r>
          </w:p>
          <w:p w:rsidR="008D4BA5" w:rsidRPr="008D4BA5" w:rsidRDefault="008D4BA5" w:rsidP="008D4BA5">
            <w:pPr>
              <w:pStyle w:val="Default"/>
              <w:numPr>
                <w:ilvl w:val="1"/>
                <w:numId w:val="6"/>
              </w:numPr>
              <w:tabs>
                <w:tab w:val="left" w:pos="625"/>
              </w:tabs>
              <w:spacing w:before="120"/>
              <w:ind w:left="342"/>
              <w:rPr>
                <w:rFonts w:ascii="Arial" w:hAnsi="Arial" w:cs="Arial"/>
                <w:color w:val="221E1F"/>
                <w:sz w:val="20"/>
                <w:szCs w:val="20"/>
              </w:rPr>
            </w:pPr>
            <w:r w:rsidRPr="008D4BA5">
              <w:rPr>
                <w:rFonts w:ascii="Arial" w:hAnsi="Arial" w:cs="Arial"/>
                <w:color w:val="221E1F"/>
                <w:sz w:val="20"/>
                <w:szCs w:val="20"/>
              </w:rPr>
              <w:t xml:space="preserve">The lot is designated as a medium density housing site in an incorporated plan or approved development plan; or </w:t>
            </w:r>
          </w:p>
          <w:p w:rsidR="002E4453" w:rsidRPr="008D4BA5" w:rsidRDefault="008D4BA5" w:rsidP="008D4BA5">
            <w:pPr>
              <w:pStyle w:val="Default"/>
              <w:numPr>
                <w:ilvl w:val="1"/>
                <w:numId w:val="6"/>
              </w:numPr>
              <w:tabs>
                <w:tab w:val="left" w:pos="286"/>
              </w:tabs>
              <w:spacing w:before="120"/>
              <w:rPr>
                <w:rFonts w:ascii="Arial" w:hAnsi="Arial" w:cs="Arial"/>
                <w:color w:val="221E1F"/>
                <w:sz w:val="20"/>
                <w:szCs w:val="20"/>
              </w:rPr>
            </w:pPr>
            <w:r w:rsidRPr="008D4BA5">
              <w:rPr>
                <w:rFonts w:ascii="Arial" w:hAnsi="Arial" w:cs="Arial"/>
                <w:color w:val="221E1F"/>
                <w:sz w:val="20"/>
                <w:szCs w:val="20"/>
              </w:rPr>
              <w:t>An application to alter or extend an existing building that did not comply with the minimum garden area requirement of Clause 32.08-4/32.09-4 on the approval date of Amendment VC110.</w:t>
            </w:r>
            <w:r>
              <w:rPr>
                <w:rFonts w:ascii="Arial" w:hAnsi="Arial" w:cs="Arial"/>
                <w:color w:val="221E1F"/>
                <w:sz w:val="20"/>
                <w:szCs w:val="20"/>
              </w:rPr>
              <w:br/>
            </w:r>
          </w:p>
        </w:tc>
      </w:tr>
    </w:tbl>
    <w:p w:rsidR="002E4453" w:rsidRDefault="002E4453" w:rsidP="00404CF1">
      <w:pPr>
        <w:spacing w:before="120"/>
        <w:rPr>
          <w:rFonts w:cs="Arial"/>
          <w:color w:val="auto"/>
          <w:szCs w:val="20"/>
        </w:rPr>
      </w:pPr>
    </w:p>
    <w:tbl>
      <w:tblPr>
        <w:tblStyle w:val="TableGrid"/>
        <w:tblW w:w="0" w:type="auto"/>
        <w:tblLook w:val="04A0" w:firstRow="1" w:lastRow="0" w:firstColumn="1" w:lastColumn="0" w:noHBand="0" w:noVBand="1"/>
      </w:tblPr>
      <w:tblGrid>
        <w:gridCol w:w="4508"/>
        <w:gridCol w:w="4508"/>
      </w:tblGrid>
      <w:tr w:rsidR="00404CF1" w:rsidTr="007B1710">
        <w:tc>
          <w:tcPr>
            <w:tcW w:w="9016" w:type="dxa"/>
            <w:gridSpan w:val="2"/>
          </w:tcPr>
          <w:p w:rsidR="00404CF1" w:rsidRPr="00404CF1" w:rsidRDefault="00404CF1" w:rsidP="00404CF1">
            <w:pPr>
              <w:spacing w:before="120"/>
              <w:jc w:val="center"/>
              <w:rPr>
                <w:rFonts w:cs="Arial"/>
                <w:b/>
                <w:color w:val="auto"/>
                <w:szCs w:val="20"/>
              </w:rPr>
            </w:pPr>
            <w:r w:rsidRPr="00404CF1">
              <w:rPr>
                <w:rFonts w:cs="Arial"/>
                <w:b/>
                <w:color w:val="auto"/>
                <w:szCs w:val="20"/>
              </w:rPr>
              <w:t>General terms</w:t>
            </w:r>
          </w:p>
        </w:tc>
      </w:tr>
      <w:tr w:rsidR="00404CF1" w:rsidTr="00404CF1">
        <w:tc>
          <w:tcPr>
            <w:tcW w:w="4508" w:type="dxa"/>
          </w:tcPr>
          <w:p w:rsidR="00404CF1" w:rsidRPr="008D4BA5" w:rsidRDefault="00404CF1" w:rsidP="00404CF1">
            <w:pPr>
              <w:spacing w:before="120"/>
              <w:rPr>
                <w:rFonts w:cs="Arial"/>
                <w:b/>
                <w:color w:val="auto"/>
                <w:szCs w:val="20"/>
              </w:rPr>
            </w:pPr>
            <w:r w:rsidRPr="008D4BA5">
              <w:rPr>
                <w:rFonts w:cs="Arial"/>
                <w:b/>
                <w:color w:val="auto"/>
                <w:szCs w:val="20"/>
              </w:rPr>
              <w:t>Existing provision</w:t>
            </w:r>
          </w:p>
        </w:tc>
        <w:tc>
          <w:tcPr>
            <w:tcW w:w="4508" w:type="dxa"/>
          </w:tcPr>
          <w:p w:rsidR="00404CF1" w:rsidRPr="008D4BA5" w:rsidRDefault="00404CF1" w:rsidP="00404CF1">
            <w:pPr>
              <w:spacing w:before="120"/>
              <w:rPr>
                <w:rFonts w:cs="Arial"/>
                <w:b/>
                <w:color w:val="auto"/>
                <w:szCs w:val="20"/>
              </w:rPr>
            </w:pPr>
            <w:r w:rsidRPr="008D4BA5">
              <w:rPr>
                <w:rFonts w:cs="Arial"/>
                <w:b/>
                <w:color w:val="auto"/>
                <w:szCs w:val="20"/>
              </w:rPr>
              <w:t>New provision</w:t>
            </w:r>
          </w:p>
        </w:tc>
      </w:tr>
      <w:tr w:rsidR="00404CF1" w:rsidTr="00404CF1">
        <w:tc>
          <w:tcPr>
            <w:tcW w:w="4508" w:type="dxa"/>
          </w:tcPr>
          <w:p w:rsidR="00404CF1" w:rsidRPr="00404CF1" w:rsidRDefault="00404CF1" w:rsidP="00404CF1">
            <w:pPr>
              <w:pStyle w:val="Pa5"/>
              <w:spacing w:before="120" w:after="120"/>
              <w:rPr>
                <w:rFonts w:ascii="Arial" w:hAnsi="Arial" w:cs="Arial"/>
                <w:color w:val="221E1F"/>
                <w:sz w:val="20"/>
                <w:szCs w:val="20"/>
              </w:rPr>
            </w:pPr>
            <w:r w:rsidRPr="00404CF1">
              <w:rPr>
                <w:rFonts w:ascii="Arial" w:hAnsi="Arial" w:cs="Arial"/>
                <w:b/>
                <w:bCs/>
                <w:color w:val="221E1F"/>
                <w:sz w:val="20"/>
                <w:szCs w:val="20"/>
              </w:rPr>
              <w:t xml:space="preserve">Clause 72 </w:t>
            </w:r>
          </w:p>
          <w:p w:rsidR="00404CF1" w:rsidRPr="00404CF1" w:rsidRDefault="00404CF1" w:rsidP="00404CF1">
            <w:pPr>
              <w:pStyle w:val="Pa5"/>
              <w:spacing w:before="120" w:after="120"/>
              <w:rPr>
                <w:rFonts w:ascii="Arial" w:hAnsi="Arial" w:cs="Arial"/>
                <w:color w:val="221E1F"/>
                <w:sz w:val="20"/>
                <w:szCs w:val="20"/>
              </w:rPr>
            </w:pPr>
            <w:r w:rsidRPr="00404CF1">
              <w:rPr>
                <w:rFonts w:ascii="Arial" w:hAnsi="Arial" w:cs="Arial"/>
                <w:b/>
                <w:bCs/>
                <w:color w:val="221E1F"/>
                <w:sz w:val="20"/>
                <w:szCs w:val="20"/>
              </w:rPr>
              <w:t xml:space="preserve">Garden area </w:t>
            </w:r>
          </w:p>
          <w:p w:rsidR="00404CF1" w:rsidRPr="00404CF1" w:rsidRDefault="00404CF1" w:rsidP="00404CF1">
            <w:pPr>
              <w:spacing w:before="120"/>
              <w:rPr>
                <w:rFonts w:cs="Arial"/>
                <w:color w:val="auto"/>
                <w:szCs w:val="20"/>
              </w:rPr>
            </w:pPr>
            <w:r w:rsidRPr="00404CF1">
              <w:rPr>
                <w:rFonts w:cs="Arial"/>
                <w:color w:val="221E1F"/>
                <w:szCs w:val="20"/>
              </w:rPr>
              <w:t xml:space="preserve">An uncovered outdoor area of a dwelling or residential building normally associated with a garden. It includes open entertaining areas, decks, lawns, garden beds, swimming pools, tennis courts and the like. It does not include a driveway, any area set aside for car parking, any building or roofed area and any area that has a dimension of less than 1 metre. </w:t>
            </w:r>
          </w:p>
        </w:tc>
        <w:tc>
          <w:tcPr>
            <w:tcW w:w="4508" w:type="dxa"/>
          </w:tcPr>
          <w:p w:rsidR="00404CF1" w:rsidRPr="00404CF1" w:rsidRDefault="00404CF1" w:rsidP="00404CF1">
            <w:pPr>
              <w:pStyle w:val="Pa5"/>
              <w:spacing w:before="120" w:after="120"/>
              <w:rPr>
                <w:rFonts w:ascii="Arial" w:hAnsi="Arial" w:cs="Arial"/>
                <w:color w:val="221E1F"/>
                <w:sz w:val="20"/>
                <w:szCs w:val="20"/>
              </w:rPr>
            </w:pPr>
            <w:r w:rsidRPr="00404CF1">
              <w:rPr>
                <w:rFonts w:ascii="Arial" w:hAnsi="Arial" w:cs="Arial"/>
                <w:b/>
                <w:bCs/>
                <w:color w:val="221E1F"/>
                <w:sz w:val="20"/>
                <w:szCs w:val="20"/>
              </w:rPr>
              <w:t xml:space="preserve">Clause 72 </w:t>
            </w:r>
          </w:p>
          <w:p w:rsidR="00404CF1" w:rsidRPr="00404CF1" w:rsidRDefault="00404CF1" w:rsidP="00404CF1">
            <w:pPr>
              <w:pStyle w:val="Pa5"/>
              <w:spacing w:before="120" w:after="120"/>
              <w:rPr>
                <w:rFonts w:ascii="Arial" w:hAnsi="Arial" w:cs="Arial"/>
                <w:color w:val="221E1F"/>
                <w:sz w:val="20"/>
                <w:szCs w:val="20"/>
              </w:rPr>
            </w:pPr>
            <w:r w:rsidRPr="00404CF1">
              <w:rPr>
                <w:rFonts w:ascii="Arial" w:hAnsi="Arial" w:cs="Arial"/>
                <w:b/>
                <w:bCs/>
                <w:color w:val="221E1F"/>
                <w:sz w:val="20"/>
                <w:szCs w:val="20"/>
              </w:rPr>
              <w:t xml:space="preserve">Garden area </w:t>
            </w:r>
          </w:p>
          <w:p w:rsidR="00404CF1" w:rsidRPr="00404CF1" w:rsidRDefault="00404CF1" w:rsidP="00404CF1">
            <w:pPr>
              <w:pStyle w:val="Pa5"/>
              <w:spacing w:before="120" w:after="120"/>
              <w:rPr>
                <w:rFonts w:ascii="Arial" w:hAnsi="Arial" w:cs="Arial"/>
                <w:color w:val="221E1F"/>
                <w:sz w:val="20"/>
                <w:szCs w:val="20"/>
              </w:rPr>
            </w:pPr>
            <w:r w:rsidRPr="00404CF1">
              <w:rPr>
                <w:rFonts w:ascii="Arial" w:hAnsi="Arial" w:cs="Arial"/>
                <w:color w:val="221E1F"/>
                <w:sz w:val="20"/>
                <w:szCs w:val="20"/>
              </w:rPr>
              <w:t xml:space="preserve">Any area on a lot with a minimum dimension of 1 metre that does not include: </w:t>
            </w:r>
          </w:p>
          <w:p w:rsidR="00404CF1" w:rsidRPr="00404CF1" w:rsidRDefault="00404CF1" w:rsidP="00404CF1">
            <w:pPr>
              <w:pStyle w:val="Pa14"/>
              <w:spacing w:before="120" w:after="120"/>
              <w:ind w:hanging="280"/>
              <w:rPr>
                <w:rFonts w:ascii="Arial" w:hAnsi="Arial" w:cs="Arial"/>
                <w:color w:val="221E1F"/>
                <w:sz w:val="20"/>
                <w:szCs w:val="20"/>
              </w:rPr>
            </w:pPr>
            <w:r w:rsidRPr="00404CF1">
              <w:rPr>
                <w:rFonts w:ascii="Arial" w:hAnsi="Arial" w:cs="Arial"/>
                <w:color w:val="221E1F"/>
                <w:sz w:val="20"/>
                <w:szCs w:val="20"/>
              </w:rPr>
              <w:t>a)</w:t>
            </w:r>
            <w:r>
              <w:rPr>
                <w:rFonts w:ascii="Arial" w:hAnsi="Arial" w:cs="Arial"/>
                <w:color w:val="221E1F"/>
                <w:sz w:val="20"/>
                <w:szCs w:val="20"/>
              </w:rPr>
              <w:t xml:space="preserve">  a)</w:t>
            </w:r>
            <w:r w:rsidRPr="00404CF1">
              <w:rPr>
                <w:rFonts w:ascii="Arial" w:hAnsi="Arial" w:cs="Arial"/>
                <w:color w:val="221E1F"/>
                <w:sz w:val="20"/>
                <w:szCs w:val="20"/>
              </w:rPr>
              <w:t xml:space="preserve"> a dwelling or residential building, except for: </w:t>
            </w:r>
          </w:p>
          <w:p w:rsidR="00404CF1" w:rsidRPr="00404CF1" w:rsidRDefault="00404CF1" w:rsidP="00404CF1">
            <w:pPr>
              <w:pStyle w:val="Default"/>
              <w:numPr>
                <w:ilvl w:val="0"/>
                <w:numId w:val="8"/>
              </w:numPr>
              <w:tabs>
                <w:tab w:val="left" w:pos="483"/>
              </w:tabs>
              <w:spacing w:before="120"/>
              <w:ind w:left="200"/>
              <w:rPr>
                <w:rFonts w:ascii="Arial" w:hAnsi="Arial" w:cs="Arial"/>
                <w:color w:val="221E1F"/>
                <w:sz w:val="20"/>
                <w:szCs w:val="20"/>
              </w:rPr>
            </w:pPr>
            <w:r w:rsidRPr="00404CF1">
              <w:rPr>
                <w:rFonts w:ascii="Arial" w:hAnsi="Arial" w:cs="Arial"/>
                <w:color w:val="221E1F"/>
                <w:sz w:val="20"/>
                <w:szCs w:val="20"/>
              </w:rPr>
              <w:t xml:space="preserve">an eave, fascia or gutter that does not exceed a total width of 600mm; </w:t>
            </w:r>
          </w:p>
          <w:p w:rsidR="00404CF1" w:rsidRPr="00404CF1" w:rsidRDefault="00404CF1" w:rsidP="00404CF1">
            <w:pPr>
              <w:pStyle w:val="Default"/>
              <w:numPr>
                <w:ilvl w:val="0"/>
                <w:numId w:val="8"/>
              </w:numPr>
              <w:tabs>
                <w:tab w:val="left" w:pos="483"/>
              </w:tabs>
              <w:spacing w:before="120"/>
              <w:ind w:left="200"/>
              <w:rPr>
                <w:rFonts w:ascii="Arial" w:hAnsi="Arial" w:cs="Arial"/>
                <w:color w:val="221E1F"/>
                <w:sz w:val="20"/>
                <w:szCs w:val="20"/>
              </w:rPr>
            </w:pPr>
            <w:r w:rsidRPr="00404CF1">
              <w:rPr>
                <w:rFonts w:ascii="Arial" w:hAnsi="Arial" w:cs="Arial"/>
                <w:color w:val="221E1F"/>
                <w:sz w:val="20"/>
                <w:szCs w:val="20"/>
              </w:rPr>
              <w:t xml:space="preserve">a pergola; </w:t>
            </w:r>
          </w:p>
          <w:p w:rsidR="00404CF1" w:rsidRPr="00404CF1" w:rsidRDefault="00404CF1" w:rsidP="00404CF1">
            <w:pPr>
              <w:pStyle w:val="Default"/>
              <w:numPr>
                <w:ilvl w:val="0"/>
                <w:numId w:val="8"/>
              </w:numPr>
              <w:tabs>
                <w:tab w:val="left" w:pos="483"/>
              </w:tabs>
              <w:spacing w:before="120"/>
              <w:ind w:left="200"/>
              <w:rPr>
                <w:rFonts w:ascii="Arial" w:hAnsi="Arial" w:cs="Arial"/>
                <w:color w:val="221E1F"/>
                <w:sz w:val="20"/>
                <w:szCs w:val="20"/>
              </w:rPr>
            </w:pPr>
            <w:r w:rsidRPr="00404CF1">
              <w:rPr>
                <w:rFonts w:ascii="Arial" w:hAnsi="Arial" w:cs="Arial"/>
                <w:color w:val="221E1F"/>
                <w:sz w:val="20"/>
                <w:szCs w:val="20"/>
              </w:rPr>
              <w:t xml:space="preserve">unroofed terraces, patios, decks, steps or landings less than 800mm in height; </w:t>
            </w:r>
          </w:p>
          <w:p w:rsidR="00404CF1" w:rsidRPr="00404CF1" w:rsidRDefault="00404CF1" w:rsidP="00404CF1">
            <w:pPr>
              <w:pStyle w:val="Default"/>
              <w:numPr>
                <w:ilvl w:val="0"/>
                <w:numId w:val="8"/>
              </w:numPr>
              <w:tabs>
                <w:tab w:val="left" w:pos="483"/>
              </w:tabs>
              <w:spacing w:before="120"/>
              <w:ind w:left="200"/>
              <w:rPr>
                <w:rFonts w:ascii="Arial" w:hAnsi="Arial" w:cs="Arial"/>
                <w:color w:val="221E1F"/>
                <w:sz w:val="20"/>
                <w:szCs w:val="20"/>
              </w:rPr>
            </w:pPr>
            <w:r w:rsidRPr="00404CF1">
              <w:rPr>
                <w:rFonts w:ascii="Arial" w:hAnsi="Arial" w:cs="Arial"/>
                <w:color w:val="221E1F"/>
                <w:sz w:val="20"/>
                <w:szCs w:val="20"/>
              </w:rPr>
              <w:t xml:space="preserve">a basement that does not project above ground level; </w:t>
            </w:r>
          </w:p>
          <w:p w:rsidR="00404CF1" w:rsidRPr="00404CF1" w:rsidRDefault="00404CF1" w:rsidP="00404CF1">
            <w:pPr>
              <w:pStyle w:val="Default"/>
              <w:numPr>
                <w:ilvl w:val="0"/>
                <w:numId w:val="8"/>
              </w:numPr>
              <w:tabs>
                <w:tab w:val="left" w:pos="483"/>
              </w:tabs>
              <w:spacing w:before="120"/>
              <w:ind w:left="200"/>
              <w:rPr>
                <w:rFonts w:ascii="Arial" w:hAnsi="Arial" w:cs="Arial"/>
                <w:color w:val="221E1F"/>
                <w:sz w:val="20"/>
                <w:szCs w:val="20"/>
              </w:rPr>
            </w:pPr>
            <w:r w:rsidRPr="00404CF1">
              <w:rPr>
                <w:rFonts w:ascii="Arial" w:hAnsi="Arial" w:cs="Arial"/>
                <w:color w:val="221E1F"/>
                <w:sz w:val="20"/>
                <w:szCs w:val="20"/>
              </w:rPr>
              <w:t xml:space="preserve">any outbuilding that does not exceed a gross floor area of 10 square metres in area; and </w:t>
            </w:r>
          </w:p>
          <w:p w:rsidR="00404CF1" w:rsidRPr="00404CF1" w:rsidRDefault="00404CF1" w:rsidP="00404CF1">
            <w:pPr>
              <w:pStyle w:val="Default"/>
              <w:numPr>
                <w:ilvl w:val="0"/>
                <w:numId w:val="8"/>
              </w:numPr>
              <w:tabs>
                <w:tab w:val="left" w:pos="483"/>
              </w:tabs>
              <w:spacing w:before="120"/>
              <w:ind w:left="200"/>
              <w:rPr>
                <w:rFonts w:ascii="Arial" w:hAnsi="Arial" w:cs="Arial"/>
                <w:color w:val="221E1F"/>
                <w:sz w:val="20"/>
                <w:szCs w:val="20"/>
              </w:rPr>
            </w:pPr>
            <w:r w:rsidRPr="00404CF1">
              <w:rPr>
                <w:rFonts w:ascii="Arial" w:hAnsi="Arial" w:cs="Arial"/>
                <w:color w:val="221E1F"/>
                <w:sz w:val="20"/>
                <w:szCs w:val="20"/>
              </w:rPr>
              <w:t xml:space="preserve">domestic services normal to a dwelling or residential building; </w:t>
            </w:r>
          </w:p>
          <w:p w:rsidR="00404CF1" w:rsidRPr="00404CF1" w:rsidRDefault="00404CF1" w:rsidP="00404CF1">
            <w:pPr>
              <w:pStyle w:val="Pa14"/>
              <w:spacing w:before="120" w:after="120"/>
              <w:ind w:hanging="280"/>
              <w:rPr>
                <w:rFonts w:ascii="Arial" w:hAnsi="Arial" w:cs="Arial"/>
                <w:color w:val="221E1F"/>
                <w:sz w:val="20"/>
                <w:szCs w:val="20"/>
              </w:rPr>
            </w:pPr>
            <w:r w:rsidRPr="00404CF1">
              <w:rPr>
                <w:rFonts w:ascii="Arial" w:hAnsi="Arial" w:cs="Arial"/>
                <w:color w:val="221E1F"/>
                <w:sz w:val="20"/>
                <w:szCs w:val="20"/>
              </w:rPr>
              <w:t>b)</w:t>
            </w:r>
            <w:r>
              <w:rPr>
                <w:rFonts w:ascii="Arial" w:hAnsi="Arial" w:cs="Arial"/>
                <w:color w:val="221E1F"/>
                <w:sz w:val="20"/>
                <w:szCs w:val="20"/>
              </w:rPr>
              <w:t xml:space="preserve"> </w:t>
            </w:r>
            <w:r w:rsidRPr="00404CF1">
              <w:rPr>
                <w:rFonts w:ascii="Arial" w:hAnsi="Arial" w:cs="Arial"/>
                <w:color w:val="221E1F"/>
                <w:sz w:val="20"/>
                <w:szCs w:val="20"/>
              </w:rPr>
              <w:t xml:space="preserve"> </w:t>
            </w:r>
            <w:r>
              <w:rPr>
                <w:rFonts w:ascii="Arial" w:hAnsi="Arial" w:cs="Arial"/>
                <w:color w:val="221E1F"/>
                <w:sz w:val="20"/>
                <w:szCs w:val="20"/>
              </w:rPr>
              <w:t xml:space="preserve">b) </w:t>
            </w:r>
            <w:r w:rsidRPr="00404CF1">
              <w:rPr>
                <w:rFonts w:ascii="Arial" w:hAnsi="Arial" w:cs="Arial"/>
                <w:color w:val="221E1F"/>
                <w:sz w:val="20"/>
                <w:szCs w:val="20"/>
              </w:rPr>
              <w:t xml:space="preserve">a driveway; or </w:t>
            </w:r>
          </w:p>
          <w:p w:rsidR="00404CF1" w:rsidRPr="00404CF1" w:rsidRDefault="00404CF1" w:rsidP="00404CF1">
            <w:pPr>
              <w:spacing w:before="120"/>
              <w:rPr>
                <w:rFonts w:cs="Arial"/>
                <w:color w:val="auto"/>
                <w:szCs w:val="20"/>
              </w:rPr>
            </w:pPr>
            <w:r w:rsidRPr="00404CF1">
              <w:rPr>
                <w:rFonts w:cs="Arial"/>
                <w:color w:val="221E1F"/>
                <w:szCs w:val="20"/>
              </w:rPr>
              <w:t xml:space="preserve">c) an area set aside for car parking. </w:t>
            </w:r>
          </w:p>
        </w:tc>
      </w:tr>
    </w:tbl>
    <w:p w:rsidR="00D50814" w:rsidRDefault="00D50814" w:rsidP="00D50814">
      <w:pPr>
        <w:tabs>
          <w:tab w:val="clear" w:pos="357"/>
        </w:tabs>
        <w:suppressAutoHyphens w:val="0"/>
        <w:spacing w:before="240" w:after="240" w:line="221" w:lineRule="atLeast"/>
        <w:textAlignment w:val="auto"/>
        <w:rPr>
          <w:rFonts w:eastAsiaTheme="minorHAnsi" w:cs="Arial"/>
          <w:b/>
          <w:bCs/>
          <w:color w:val="auto"/>
          <w:sz w:val="24"/>
          <w:szCs w:val="24"/>
          <w:lang w:eastAsia="en-US"/>
        </w:rPr>
      </w:pPr>
    </w:p>
    <w:p w:rsidR="007F6DDD" w:rsidRPr="007F6DDD" w:rsidRDefault="007F6DDD" w:rsidP="00D50814">
      <w:pPr>
        <w:tabs>
          <w:tab w:val="clear" w:pos="357"/>
        </w:tabs>
        <w:suppressAutoHyphens w:val="0"/>
        <w:spacing w:before="240" w:after="240" w:line="221" w:lineRule="atLeast"/>
        <w:textAlignment w:val="auto"/>
        <w:rPr>
          <w:rFonts w:eastAsiaTheme="minorHAnsi" w:cs="Arial"/>
          <w:color w:val="auto"/>
          <w:sz w:val="24"/>
          <w:szCs w:val="24"/>
          <w:lang w:eastAsia="en-US"/>
        </w:rPr>
      </w:pPr>
      <w:bookmarkStart w:id="3" w:name="_GoBack"/>
      <w:bookmarkEnd w:id="3"/>
      <w:r w:rsidRPr="007F6DDD">
        <w:rPr>
          <w:rFonts w:eastAsiaTheme="minorHAnsi" w:cs="Arial"/>
          <w:b/>
          <w:bCs/>
          <w:color w:val="auto"/>
          <w:sz w:val="24"/>
          <w:szCs w:val="24"/>
          <w:lang w:eastAsia="en-US"/>
        </w:rPr>
        <w:lastRenderedPageBreak/>
        <w:t xml:space="preserve">More information </w:t>
      </w:r>
    </w:p>
    <w:p w:rsidR="00404CF1" w:rsidRPr="007F6DDD" w:rsidRDefault="007F6DDD" w:rsidP="007F6DDD">
      <w:pPr>
        <w:rPr>
          <w:rFonts w:cs="Arial"/>
          <w:color w:val="auto"/>
          <w:szCs w:val="20"/>
        </w:rPr>
      </w:pPr>
      <w:r w:rsidRPr="007F6DDD">
        <w:rPr>
          <w:rFonts w:eastAsiaTheme="minorHAnsi" w:cs="Arial"/>
          <w:color w:val="auto"/>
          <w:szCs w:val="20"/>
          <w:lang w:eastAsia="en-US"/>
        </w:rPr>
        <w:t>To view Amendment VC143 go to Planning Schemes Online.</w:t>
      </w:r>
    </w:p>
    <w:p w:rsidR="00404CF1" w:rsidRDefault="00404CF1" w:rsidP="00BE620E">
      <w:pPr>
        <w:rPr>
          <w:rFonts w:cs="Arial"/>
          <w:color w:val="auto"/>
          <w:szCs w:val="20"/>
        </w:rPr>
      </w:pPr>
    </w:p>
    <w:p w:rsidR="00D50814" w:rsidRDefault="00D50814" w:rsidP="00D50814">
      <w:r>
        <w:t>© The State of Victoria Department of Environment, Land, Water &amp; Planning 2018</w:t>
      </w:r>
    </w:p>
    <w:p w:rsidR="00D50814" w:rsidRDefault="00D50814" w:rsidP="00D50814">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w:t>
      </w:r>
    </w:p>
    <w:p w:rsidR="00D50814" w:rsidRPr="00FC7648" w:rsidRDefault="00D50814" w:rsidP="00D50814">
      <w:pPr>
        <w:rPr>
          <w:b/>
          <w:bCs/>
        </w:rPr>
      </w:pPr>
      <w:r w:rsidRPr="00FC7648">
        <w:rPr>
          <w:b/>
          <w:bCs/>
        </w:rPr>
        <w:t>Disclaimer</w:t>
      </w:r>
    </w:p>
    <w:p w:rsidR="00D50814" w:rsidRDefault="00D50814" w:rsidP="00D50814">
      <w:r>
        <w:t xml:space="preserve">This publication may be of assistance to you but the State of Victoria and its employees do not guarantee that the publication is without flaw of any kind or is wholly appropriate for your </w:t>
      </w:r>
      <w:proofErr w:type="gramStart"/>
      <w:r>
        <w:t>particular purposes</w:t>
      </w:r>
      <w:proofErr w:type="gramEnd"/>
      <w:r>
        <w:t xml:space="preserve"> and therefore disclaims all liability for any error, loss or other consequence which may arise from you relying on any information in this publication.</w:t>
      </w:r>
    </w:p>
    <w:p w:rsidR="00D50814" w:rsidRPr="005A4EBD" w:rsidRDefault="00D50814" w:rsidP="00D50814">
      <w:pPr>
        <w:rPr>
          <w:b/>
          <w:bCs/>
        </w:rPr>
      </w:pPr>
      <w:r w:rsidRPr="005A4EBD">
        <w:rPr>
          <w:b/>
          <w:bCs/>
        </w:rPr>
        <w:t xml:space="preserve">Accessibility </w:t>
      </w:r>
    </w:p>
    <w:p w:rsidR="00D50814" w:rsidRPr="007443D6" w:rsidRDefault="00D50814" w:rsidP="00D50814">
      <w:r w:rsidRPr="007443D6">
        <w:t xml:space="preserve">If you would like to receive this publication in an alternative format, please telephone the DELWP Customer Service Centre on 136186, email </w:t>
      </w:r>
      <w:hyperlink r:id="rId6" w:history="1">
        <w:r w:rsidRPr="005D134B">
          <w:rPr>
            <w:rStyle w:val="Hyperlink"/>
          </w:rPr>
          <w:t>customer.service@delwp.vic.gov.au</w:t>
        </w:r>
      </w:hyperlink>
      <w:r>
        <w:t xml:space="preserve"> </w:t>
      </w:r>
      <w:r w:rsidRPr="007443D6">
        <w:t xml:space="preserve">(or relevant address), or via the National Relay Service on 133 677 </w:t>
      </w:r>
      <w:hyperlink r:id="rId7" w:history="1">
        <w:r w:rsidRPr="005D134B">
          <w:rPr>
            <w:rStyle w:val="Hyperlink"/>
          </w:rPr>
          <w:t>www.relayservice.com.au</w:t>
        </w:r>
      </w:hyperlink>
      <w:r>
        <w:t xml:space="preserve"> </w:t>
      </w:r>
      <w:r w:rsidRPr="007443D6">
        <w:t>This document is also available on the internet at</w:t>
      </w:r>
      <w:r>
        <w:t xml:space="preserve"> </w:t>
      </w:r>
      <w:hyperlink r:id="rId8" w:history="1">
        <w:r w:rsidRPr="005D134B">
          <w:rPr>
            <w:rStyle w:val="Hyperlink"/>
          </w:rPr>
          <w:t>www.planning.vic.gov.au</w:t>
        </w:r>
      </w:hyperlink>
    </w:p>
    <w:p w:rsidR="00D50814" w:rsidRPr="00352065" w:rsidRDefault="00D50814" w:rsidP="00D50814">
      <w:r>
        <w:t>DOCUMENT ENDS</w:t>
      </w:r>
    </w:p>
    <w:p w:rsidR="00404CF1" w:rsidRDefault="00404CF1" w:rsidP="00BE620E">
      <w:pPr>
        <w:rPr>
          <w:rFonts w:cs="Arial"/>
          <w:color w:val="auto"/>
          <w:szCs w:val="20"/>
        </w:rPr>
      </w:pPr>
    </w:p>
    <w:p w:rsidR="00404CF1" w:rsidRDefault="00404CF1" w:rsidP="00BE620E">
      <w:pPr>
        <w:rPr>
          <w:rFonts w:cs="Arial"/>
          <w:color w:val="auto"/>
          <w:szCs w:val="20"/>
        </w:rPr>
      </w:pPr>
    </w:p>
    <w:p w:rsidR="00404CF1" w:rsidRDefault="00404CF1" w:rsidP="00BE620E">
      <w:pPr>
        <w:rPr>
          <w:rFonts w:cs="Arial"/>
          <w:color w:val="auto"/>
          <w:szCs w:val="20"/>
        </w:rPr>
      </w:pPr>
    </w:p>
    <w:p w:rsidR="00404CF1" w:rsidRDefault="00404CF1"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Default="002E4453" w:rsidP="00BE620E">
      <w:pPr>
        <w:rPr>
          <w:rFonts w:cs="Arial"/>
          <w:color w:val="auto"/>
          <w:szCs w:val="20"/>
        </w:rPr>
      </w:pPr>
    </w:p>
    <w:p w:rsidR="002E4453" w:rsidRPr="00BE620E" w:rsidRDefault="002E4453" w:rsidP="00BE620E">
      <w:pPr>
        <w:rPr>
          <w:rFonts w:cs="Arial"/>
          <w:color w:val="auto"/>
          <w:szCs w:val="20"/>
        </w:rPr>
      </w:pPr>
    </w:p>
    <w:bookmarkEnd w:id="0"/>
    <w:bookmarkEnd w:id="1"/>
    <w:sectPr w:rsidR="002E4453" w:rsidRPr="00BE620E" w:rsidSect="00D50814">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C Light">
    <w:altName w:val="VIC Light"/>
    <w:charset w:val="00"/>
    <w:family w:val="auto"/>
    <w:pitch w:val="variable"/>
    <w:sig w:usb0="00000007" w:usb1="00000000" w:usb2="00000000" w:usb3="00000000" w:csb0="00000093" w:csb1="00000000"/>
  </w:font>
  <w:font w:name="VIC">
    <w:altName w:val="V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E73F3"/>
    <w:multiLevelType w:val="hybridMultilevel"/>
    <w:tmpl w:val="E52349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1CCB48"/>
    <w:multiLevelType w:val="hybridMultilevel"/>
    <w:tmpl w:val="EDB9A6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B2FD1E"/>
    <w:multiLevelType w:val="hybridMultilevel"/>
    <w:tmpl w:val="9F4CA09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3D1E4"/>
    <w:multiLevelType w:val="hybridMultilevel"/>
    <w:tmpl w:val="64EC06C4"/>
    <w:lvl w:ilvl="0" w:tplc="FFFFFFFF">
      <w:start w:val="1"/>
      <w:numFmt w:val="ideographDigital"/>
      <w:lvlText w:val=""/>
      <w:lvlJc w:val="left"/>
    </w:lvl>
    <w:lvl w:ilvl="1" w:tplc="0C090001">
      <w:start w:val="1"/>
      <w:numFmt w:val="bullet"/>
      <w:lvlText w:val=""/>
      <w:lvlJc w:val="left"/>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FB2C20"/>
    <w:multiLevelType w:val="hybridMultilevel"/>
    <w:tmpl w:val="F47E2D98"/>
    <w:lvl w:ilvl="0" w:tplc="FFFFFFFF">
      <w:start w:val="1"/>
      <w:numFmt w:val="decim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3D41E9"/>
    <w:multiLevelType w:val="hybridMultilevel"/>
    <w:tmpl w:val="9C54C63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3BE0BAE"/>
    <w:multiLevelType w:val="hybridMultilevel"/>
    <w:tmpl w:val="AED6F7D2"/>
    <w:lvl w:ilvl="0" w:tplc="0C090001">
      <w:start w:val="1"/>
      <w:numFmt w:val="bullet"/>
      <w:lvlText w:val=""/>
      <w:lvlJc w:val="left"/>
      <w:rPr>
        <w:rFonts w:ascii="Symbol" w:hAnsi="Symbol" w:hint="default"/>
      </w:rPr>
    </w:lvl>
    <w:lvl w:ilvl="1" w:tplc="0C090001">
      <w:start w:val="1"/>
      <w:numFmt w:val="bullet"/>
      <w:lvlText w:val=""/>
      <w:lvlJc w:val="left"/>
      <w:rPr>
        <w:rFonts w:ascii="Symbol" w:hAnsi="Symbol" w:hint="default"/>
      </w:rPr>
    </w:lvl>
    <w:lvl w:ilvl="2" w:tplc="FFFFFFFF">
      <w:start w:val="1"/>
      <w:numFmt w:val="ideographDigital"/>
      <w:lvlText w:val=""/>
      <w:lvlJc w:val="left"/>
    </w:lvl>
    <w:lvl w:ilvl="3" w:tplc="FFFFFFFF">
      <w:numFmt w:val="decimal"/>
      <w:lvlText w:val=""/>
      <w:lvlJc w:val="left"/>
    </w:lvl>
    <w:lvl w:ilvl="4" w:tplc="0C090001">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0C090001">
      <w:start w:val="1"/>
      <w:numFmt w:val="bullet"/>
      <w:lvlText w:val=""/>
      <w:lvlJc w:val="left"/>
      <w:rPr>
        <w:rFonts w:ascii="Symbol" w:hAnsi="Symbol" w:hint="default"/>
      </w:rPr>
    </w:lvl>
  </w:abstractNum>
  <w:abstractNum w:abstractNumId="7" w15:restartNumberingAfterBreak="0">
    <w:nsid w:val="621B7866"/>
    <w:multiLevelType w:val="hybridMultilevel"/>
    <w:tmpl w:val="B15A62A2"/>
    <w:lvl w:ilvl="0" w:tplc="ACE45A46">
      <w:start w:val="1"/>
      <w:numFmt w:val="lowerLetter"/>
      <w:lvlText w:val="%1)"/>
      <w:lvlJc w:val="left"/>
      <w:pPr>
        <w:ind w:left="80" w:hanging="360"/>
      </w:pPr>
      <w:rPr>
        <w:rFonts w:hint="default"/>
      </w:rPr>
    </w:lvl>
    <w:lvl w:ilvl="1" w:tplc="0C090019" w:tentative="1">
      <w:start w:val="1"/>
      <w:numFmt w:val="lowerLetter"/>
      <w:lvlText w:val="%2."/>
      <w:lvlJc w:val="left"/>
      <w:pPr>
        <w:ind w:left="800" w:hanging="360"/>
      </w:pPr>
    </w:lvl>
    <w:lvl w:ilvl="2" w:tplc="0C09001B" w:tentative="1">
      <w:start w:val="1"/>
      <w:numFmt w:val="lowerRoman"/>
      <w:lvlText w:val="%3."/>
      <w:lvlJc w:val="right"/>
      <w:pPr>
        <w:ind w:left="1520" w:hanging="180"/>
      </w:pPr>
    </w:lvl>
    <w:lvl w:ilvl="3" w:tplc="0C09000F" w:tentative="1">
      <w:start w:val="1"/>
      <w:numFmt w:val="decimal"/>
      <w:lvlText w:val="%4."/>
      <w:lvlJc w:val="left"/>
      <w:pPr>
        <w:ind w:left="2240" w:hanging="360"/>
      </w:pPr>
    </w:lvl>
    <w:lvl w:ilvl="4" w:tplc="0C090019" w:tentative="1">
      <w:start w:val="1"/>
      <w:numFmt w:val="lowerLetter"/>
      <w:lvlText w:val="%5."/>
      <w:lvlJc w:val="left"/>
      <w:pPr>
        <w:ind w:left="2960" w:hanging="360"/>
      </w:pPr>
    </w:lvl>
    <w:lvl w:ilvl="5" w:tplc="0C09001B" w:tentative="1">
      <w:start w:val="1"/>
      <w:numFmt w:val="lowerRoman"/>
      <w:lvlText w:val="%6."/>
      <w:lvlJc w:val="right"/>
      <w:pPr>
        <w:ind w:left="3680" w:hanging="180"/>
      </w:pPr>
    </w:lvl>
    <w:lvl w:ilvl="6" w:tplc="0C09000F" w:tentative="1">
      <w:start w:val="1"/>
      <w:numFmt w:val="decimal"/>
      <w:lvlText w:val="%7."/>
      <w:lvlJc w:val="left"/>
      <w:pPr>
        <w:ind w:left="4400" w:hanging="360"/>
      </w:pPr>
    </w:lvl>
    <w:lvl w:ilvl="7" w:tplc="0C090019" w:tentative="1">
      <w:start w:val="1"/>
      <w:numFmt w:val="lowerLetter"/>
      <w:lvlText w:val="%8."/>
      <w:lvlJc w:val="left"/>
      <w:pPr>
        <w:ind w:left="5120" w:hanging="360"/>
      </w:pPr>
    </w:lvl>
    <w:lvl w:ilvl="8" w:tplc="0C09001B" w:tentative="1">
      <w:start w:val="1"/>
      <w:numFmt w:val="lowerRoman"/>
      <w:lvlText w:val="%9."/>
      <w:lvlJc w:val="right"/>
      <w:pPr>
        <w:ind w:left="5840" w:hanging="180"/>
      </w:pPr>
    </w:lvl>
  </w:abstractNum>
  <w:abstractNum w:abstractNumId="8" w15:restartNumberingAfterBreak="0">
    <w:nsid w:val="74346611"/>
    <w:multiLevelType w:val="hybridMultilevel"/>
    <w:tmpl w:val="79FF4F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ED"/>
    <w:rsid w:val="00210889"/>
    <w:rsid w:val="002E4453"/>
    <w:rsid w:val="00404CF1"/>
    <w:rsid w:val="007F6DDD"/>
    <w:rsid w:val="008D4BA5"/>
    <w:rsid w:val="00BE620E"/>
    <w:rsid w:val="00C67A00"/>
    <w:rsid w:val="00CC7401"/>
    <w:rsid w:val="00CD58ED"/>
    <w:rsid w:val="00D50814"/>
    <w:rsid w:val="00F14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B3CD"/>
  <w15:chartTrackingRefBased/>
  <w15:docId w15:val="{83F44364-27E2-472A-B4E5-965162F1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CD58ED"/>
    <w:pPr>
      <w:tabs>
        <w:tab w:val="left" w:pos="357"/>
      </w:tabs>
      <w:suppressAutoHyphens/>
      <w:autoSpaceDE w:val="0"/>
      <w:autoSpaceDN w:val="0"/>
      <w:adjustRightInd w:val="0"/>
      <w:spacing w:after="200" w:line="240" w:lineRule="auto"/>
      <w:textAlignment w:val="center"/>
    </w:pPr>
    <w:rPr>
      <w:rFonts w:ascii="Arial" w:eastAsia="Times New Roman" w:hAnsi="Arial" w:cs="Arial Narrow"/>
      <w:color w:val="000000"/>
      <w:sz w:val="20"/>
      <w:lang w:eastAsia="en-AU"/>
    </w:rPr>
  </w:style>
  <w:style w:type="paragraph" w:styleId="Heading1">
    <w:name w:val="heading 1"/>
    <w:basedOn w:val="Heading2"/>
    <w:next w:val="Normal"/>
    <w:link w:val="Heading1Char"/>
    <w:qFormat/>
    <w:rsid w:val="00CD58ED"/>
    <w:pPr>
      <w:outlineLvl w:val="0"/>
    </w:pPr>
    <w:rPr>
      <w:sz w:val="24"/>
      <w:szCs w:val="24"/>
    </w:rPr>
  </w:style>
  <w:style w:type="paragraph" w:styleId="Heading2">
    <w:name w:val="heading 2"/>
    <w:basedOn w:val="Normal"/>
    <w:next w:val="Normal"/>
    <w:link w:val="Heading2Char"/>
    <w:qFormat/>
    <w:rsid w:val="00CD58ED"/>
    <w:pPr>
      <w:keepNext/>
      <w:spacing w:before="240" w:after="120"/>
      <w:outlineLvl w:val="1"/>
    </w:pPr>
    <w:rPr>
      <w:rFonts w:cs="Arial"/>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8ED"/>
    <w:rPr>
      <w:rFonts w:ascii="Arial" w:eastAsia="Times New Roman" w:hAnsi="Arial" w:cs="Arial"/>
      <w:b/>
      <w:bCs/>
      <w:iCs/>
      <w:color w:val="000000"/>
      <w:sz w:val="24"/>
      <w:szCs w:val="24"/>
      <w:lang w:eastAsia="en-AU"/>
    </w:rPr>
  </w:style>
  <w:style w:type="character" w:customStyle="1" w:styleId="Heading2Char">
    <w:name w:val="Heading 2 Char"/>
    <w:basedOn w:val="DefaultParagraphFont"/>
    <w:link w:val="Heading2"/>
    <w:rsid w:val="00CD58ED"/>
    <w:rPr>
      <w:rFonts w:ascii="Arial" w:eastAsia="Times New Roman" w:hAnsi="Arial" w:cs="Arial"/>
      <w:b/>
      <w:bCs/>
      <w:iCs/>
      <w:color w:val="000000"/>
      <w:lang w:eastAsia="en-AU"/>
    </w:rPr>
  </w:style>
  <w:style w:type="character" w:styleId="Hyperlink">
    <w:name w:val="Hyperlink"/>
    <w:uiPriority w:val="99"/>
    <w:rsid w:val="00CD58ED"/>
    <w:rPr>
      <w:rFonts w:ascii="Arial" w:hAnsi="Arial"/>
      <w:color w:val="0000FF"/>
      <w:sz w:val="20"/>
      <w:u w:val="single"/>
    </w:rPr>
  </w:style>
  <w:style w:type="character" w:customStyle="1" w:styleId="Bodytextitalic">
    <w:name w:val="Body text italic"/>
    <w:uiPriority w:val="99"/>
    <w:rsid w:val="00CD58ED"/>
    <w:rPr>
      <w:rFonts w:cs="Arial"/>
      <w:i/>
      <w:iCs/>
      <w:szCs w:val="20"/>
    </w:rPr>
  </w:style>
  <w:style w:type="paragraph" w:customStyle="1" w:styleId="DocumentTitle">
    <w:name w:val="Document Title"/>
    <w:basedOn w:val="Heading1"/>
    <w:uiPriority w:val="99"/>
    <w:qFormat/>
    <w:rsid w:val="00CD58ED"/>
    <w:rPr>
      <w:sz w:val="32"/>
      <w:szCs w:val="32"/>
    </w:rPr>
  </w:style>
  <w:style w:type="paragraph" w:styleId="BodyText">
    <w:name w:val="Body Text"/>
    <w:basedOn w:val="Normal"/>
    <w:link w:val="BodyTextChar"/>
    <w:uiPriority w:val="99"/>
    <w:rsid w:val="00CD58ED"/>
    <w:pPr>
      <w:spacing w:after="142" w:line="240" w:lineRule="atLeast"/>
    </w:pPr>
    <w:rPr>
      <w:rFonts w:ascii="VIC Light" w:hAnsi="VIC Light" w:cs="VIC Light"/>
      <w:sz w:val="18"/>
      <w:szCs w:val="18"/>
    </w:rPr>
  </w:style>
  <w:style w:type="character" w:customStyle="1" w:styleId="BodyTextChar">
    <w:name w:val="Body Text Char"/>
    <w:basedOn w:val="DefaultParagraphFont"/>
    <w:link w:val="BodyText"/>
    <w:uiPriority w:val="99"/>
    <w:rsid w:val="00CD58ED"/>
    <w:rPr>
      <w:rFonts w:ascii="VIC Light" w:eastAsia="Times New Roman" w:hAnsi="VIC Light" w:cs="VIC Light"/>
      <w:color w:val="000000"/>
      <w:sz w:val="18"/>
      <w:szCs w:val="18"/>
      <w:lang w:eastAsia="en-AU"/>
    </w:rPr>
  </w:style>
  <w:style w:type="character" w:customStyle="1" w:styleId="Bodytextbold">
    <w:name w:val="Body text bold"/>
    <w:uiPriority w:val="99"/>
    <w:rsid w:val="00CD58ED"/>
    <w:rPr>
      <w:b/>
      <w:bCs/>
    </w:rPr>
  </w:style>
  <w:style w:type="paragraph" w:customStyle="1" w:styleId="Default">
    <w:name w:val="Default"/>
    <w:rsid w:val="00CD58ED"/>
    <w:pPr>
      <w:autoSpaceDE w:val="0"/>
      <w:autoSpaceDN w:val="0"/>
      <w:adjustRightInd w:val="0"/>
      <w:spacing w:after="0" w:line="240" w:lineRule="auto"/>
    </w:pPr>
    <w:rPr>
      <w:rFonts w:ascii="VIC Light" w:hAnsi="VIC Light" w:cs="VIC Light"/>
      <w:color w:val="000000"/>
      <w:sz w:val="24"/>
      <w:szCs w:val="24"/>
    </w:rPr>
  </w:style>
  <w:style w:type="paragraph" w:customStyle="1" w:styleId="Pa5">
    <w:name w:val="Pa5"/>
    <w:basedOn w:val="Default"/>
    <w:next w:val="Default"/>
    <w:uiPriority w:val="99"/>
    <w:rsid w:val="00CD58ED"/>
    <w:pPr>
      <w:spacing w:line="181" w:lineRule="atLeast"/>
    </w:pPr>
    <w:rPr>
      <w:rFonts w:cstheme="minorBidi"/>
      <w:color w:val="auto"/>
    </w:rPr>
  </w:style>
  <w:style w:type="paragraph" w:customStyle="1" w:styleId="Pa6">
    <w:name w:val="Pa6"/>
    <w:basedOn w:val="Default"/>
    <w:next w:val="Default"/>
    <w:uiPriority w:val="99"/>
    <w:rsid w:val="00CD58ED"/>
    <w:pPr>
      <w:spacing w:line="221" w:lineRule="atLeast"/>
    </w:pPr>
    <w:rPr>
      <w:rFonts w:cstheme="minorBidi"/>
      <w:color w:val="auto"/>
    </w:rPr>
  </w:style>
  <w:style w:type="character" w:customStyle="1" w:styleId="A6">
    <w:name w:val="A6"/>
    <w:uiPriority w:val="99"/>
    <w:rsid w:val="00CD58ED"/>
    <w:rPr>
      <w:rFonts w:cs="VIC Light"/>
      <w:color w:val="000000"/>
    </w:rPr>
  </w:style>
  <w:style w:type="paragraph" w:styleId="ListParagraph">
    <w:name w:val="List Paragraph"/>
    <w:basedOn w:val="Normal"/>
    <w:uiPriority w:val="34"/>
    <w:qFormat/>
    <w:rsid w:val="00210889"/>
    <w:pPr>
      <w:ind w:left="720"/>
      <w:contextualSpacing/>
    </w:pPr>
  </w:style>
  <w:style w:type="table" w:styleId="TableGrid">
    <w:name w:val="Table Grid"/>
    <w:basedOn w:val="TableNormal"/>
    <w:uiPriority w:val="39"/>
    <w:rsid w:val="00C6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uiPriority w:val="99"/>
    <w:rsid w:val="002E4453"/>
    <w:pPr>
      <w:spacing w:line="181" w:lineRule="atLeast"/>
    </w:pPr>
    <w:rPr>
      <w:rFonts w:ascii="VIC" w:hAnsi="VIC" w:cstheme="minorBidi"/>
      <w:color w:val="auto"/>
    </w:rPr>
  </w:style>
  <w:style w:type="paragraph" w:customStyle="1" w:styleId="Pa11">
    <w:name w:val="Pa11"/>
    <w:basedOn w:val="Default"/>
    <w:next w:val="Default"/>
    <w:uiPriority w:val="99"/>
    <w:rsid w:val="002E4453"/>
    <w:pPr>
      <w:spacing w:line="181" w:lineRule="atLeast"/>
    </w:pPr>
    <w:rPr>
      <w:rFonts w:ascii="VIC" w:hAnsi="VIC" w:cstheme="minorBidi"/>
      <w:color w:val="auto"/>
    </w:rPr>
  </w:style>
  <w:style w:type="paragraph" w:customStyle="1" w:styleId="Pa14">
    <w:name w:val="Pa14"/>
    <w:basedOn w:val="Default"/>
    <w:next w:val="Default"/>
    <w:uiPriority w:val="99"/>
    <w:rsid w:val="00404CF1"/>
    <w:pPr>
      <w:spacing w:line="181" w:lineRule="atLeast"/>
    </w:pPr>
    <w:rPr>
      <w:rFonts w:ascii="VIC" w:hAnsi="VI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vic.gov.au" TargetMode="External"/><Relationship Id="rId3" Type="http://schemas.openxmlformats.org/officeDocument/2006/relationships/settings" Target="settings.xml"/><Relationship Id="rId7" Type="http://schemas.openxmlformats.org/officeDocument/2006/relationships/hyperlink" Target="http://www.relayservic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tomer.service@delwp.vic.gov.au" TargetMode="External"/><Relationship Id="rId5" Type="http://schemas.openxmlformats.org/officeDocument/2006/relationships/hyperlink" Target="http://www.planning.vic.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Shirani L De Saram (DELWP)</dc:creator>
  <cp:keywords/>
  <dc:description/>
  <cp:lastModifiedBy>Shirani L De Saram (DELWP)</cp:lastModifiedBy>
  <cp:revision>8</cp:revision>
  <dcterms:created xsi:type="dcterms:W3CDTF">2018-05-14T00:05:00Z</dcterms:created>
  <dcterms:modified xsi:type="dcterms:W3CDTF">2018-05-14T00:37:00Z</dcterms:modified>
</cp:coreProperties>
</file>