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0A3E" w14:textId="71E54E0C" w:rsidR="00363F1D" w:rsidRDefault="002426B0" w:rsidP="00CA76BE">
      <w:pPr>
        <w:pStyle w:val="Heading1"/>
        <w:spacing w:before="120" w:after="120"/>
      </w:pPr>
      <w:r w:rsidRPr="0046420B">
        <w:rPr>
          <w:i/>
          <w:iCs/>
        </w:rPr>
        <w:t>Planning and Environment Act 1987</w:t>
      </w:r>
      <w:r w:rsidRPr="00942111">
        <w:t xml:space="preserve"> (Act) sections </w:t>
      </w:r>
      <w:r w:rsidR="00CE406B" w:rsidRPr="00942111">
        <w:t>201SLB-</w:t>
      </w:r>
      <w:r w:rsidR="00046070" w:rsidRPr="00942111">
        <w:t xml:space="preserve">SLN </w:t>
      </w:r>
      <w:r w:rsidR="00A35D82" w:rsidRPr="00942111">
        <w:t>provisions apply</w:t>
      </w:r>
      <w:r w:rsidR="00F4294B">
        <w:t>ing</w:t>
      </w:r>
      <w:r w:rsidR="00A35D82" w:rsidRPr="00942111">
        <w:t xml:space="preserve"> to </w:t>
      </w:r>
      <w:r w:rsidR="007313EF" w:rsidRPr="00942111">
        <w:t>GAIC WIKs</w:t>
      </w:r>
    </w:p>
    <w:p w14:paraId="4C1E26E0" w14:textId="77777777" w:rsidR="0071099F" w:rsidRDefault="0071099F" w:rsidP="00CA76BE"/>
    <w:p w14:paraId="0ADD786A" w14:textId="3D499D23" w:rsidR="0071099F" w:rsidRDefault="0071099F" w:rsidP="00CA76BE">
      <w:pPr>
        <w:sectPr w:rsidR="0071099F" w:rsidSect="006736F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14" w:right="851" w:bottom="851" w:left="851" w:header="567" w:footer="397" w:gutter="0"/>
          <w:cols w:space="708"/>
          <w:titlePg/>
          <w:docGrid w:linePitch="360"/>
        </w:sectPr>
      </w:pPr>
    </w:p>
    <w:p w14:paraId="51F25585" w14:textId="6A0F25DD" w:rsidR="001D47C8" w:rsidRPr="00942111" w:rsidRDefault="00A7743A" w:rsidP="00BC1950">
      <w:pPr>
        <w:pStyle w:val="Heading2"/>
      </w:pPr>
      <w:r w:rsidRPr="00942111">
        <w:t>PURPOSE</w:t>
      </w:r>
    </w:p>
    <w:p w14:paraId="3ACAF631" w14:textId="2322F09F" w:rsidR="00AE755C" w:rsidRDefault="001D0283" w:rsidP="00A67006">
      <w:pPr>
        <w:rPr>
          <w:szCs w:val="18"/>
        </w:rPr>
      </w:pPr>
      <w:r>
        <w:rPr>
          <w:szCs w:val="18"/>
        </w:rPr>
        <w:t xml:space="preserve">GAIC </w:t>
      </w:r>
      <w:r w:rsidR="002447C0">
        <w:rPr>
          <w:szCs w:val="18"/>
        </w:rPr>
        <w:t>was introduced</w:t>
      </w:r>
      <w:r w:rsidR="00E8470C">
        <w:rPr>
          <w:szCs w:val="18"/>
        </w:rPr>
        <w:t xml:space="preserve"> in 2010 </w:t>
      </w:r>
      <w:r w:rsidR="00575AFF">
        <w:rPr>
          <w:szCs w:val="18"/>
        </w:rPr>
        <w:t>a</w:t>
      </w:r>
      <w:r>
        <w:rPr>
          <w:szCs w:val="18"/>
        </w:rPr>
        <w:t xml:space="preserve">s a </w:t>
      </w:r>
      <w:r w:rsidR="00640052">
        <w:rPr>
          <w:szCs w:val="18"/>
        </w:rPr>
        <w:t xml:space="preserve">gross area </w:t>
      </w:r>
      <w:r>
        <w:rPr>
          <w:szCs w:val="18"/>
        </w:rPr>
        <w:t xml:space="preserve">charge on </w:t>
      </w:r>
      <w:r w:rsidR="002447C0">
        <w:rPr>
          <w:szCs w:val="18"/>
        </w:rPr>
        <w:t xml:space="preserve">urban growth </w:t>
      </w:r>
      <w:r>
        <w:rPr>
          <w:szCs w:val="18"/>
        </w:rPr>
        <w:t>land</w:t>
      </w:r>
      <w:r w:rsidRPr="00A861C4">
        <w:rPr>
          <w:szCs w:val="18"/>
        </w:rPr>
        <w:t xml:space="preserve"> </w:t>
      </w:r>
      <w:r w:rsidR="002447C0">
        <w:rPr>
          <w:szCs w:val="18"/>
        </w:rPr>
        <w:t>that is</w:t>
      </w:r>
      <w:r w:rsidR="007D75A3">
        <w:rPr>
          <w:szCs w:val="18"/>
        </w:rPr>
        <w:t xml:space="preserve"> zon</w:t>
      </w:r>
      <w:r w:rsidR="004C5330">
        <w:rPr>
          <w:szCs w:val="18"/>
        </w:rPr>
        <w:t xml:space="preserve">ed </w:t>
      </w:r>
      <w:r w:rsidR="002447C0">
        <w:rPr>
          <w:szCs w:val="18"/>
        </w:rPr>
        <w:t>for development</w:t>
      </w:r>
      <w:r>
        <w:rPr>
          <w:szCs w:val="18"/>
        </w:rPr>
        <w:t xml:space="preserve"> to help fund state infrastructure in </w:t>
      </w:r>
      <w:r w:rsidR="002447C0">
        <w:rPr>
          <w:szCs w:val="18"/>
        </w:rPr>
        <w:t xml:space="preserve">these </w:t>
      </w:r>
      <w:r>
        <w:rPr>
          <w:szCs w:val="18"/>
        </w:rPr>
        <w:t>areas.</w:t>
      </w:r>
      <w:r w:rsidR="00164989" w:rsidRPr="00164989">
        <w:rPr>
          <w:szCs w:val="18"/>
        </w:rPr>
        <w:t xml:space="preserve"> </w:t>
      </w:r>
      <w:r w:rsidR="00164989">
        <w:rPr>
          <w:szCs w:val="18"/>
        </w:rPr>
        <w:t xml:space="preserve">GAIC </w:t>
      </w:r>
      <w:r w:rsidR="00E675B6">
        <w:rPr>
          <w:szCs w:val="18"/>
        </w:rPr>
        <w:t xml:space="preserve">annual </w:t>
      </w:r>
      <w:r w:rsidR="00164989">
        <w:rPr>
          <w:szCs w:val="18"/>
        </w:rPr>
        <w:t xml:space="preserve">rates are </w:t>
      </w:r>
      <w:r w:rsidR="00A81C58">
        <w:rPr>
          <w:szCs w:val="18"/>
        </w:rPr>
        <w:t>published</w:t>
      </w:r>
      <w:r w:rsidR="00164989">
        <w:rPr>
          <w:szCs w:val="18"/>
        </w:rPr>
        <w:t xml:space="preserve"> on</w:t>
      </w:r>
      <w:r w:rsidR="00677ED7">
        <w:rPr>
          <w:szCs w:val="18"/>
        </w:rPr>
        <w:t xml:space="preserve"> the S</w:t>
      </w:r>
      <w:r w:rsidR="00052D01">
        <w:rPr>
          <w:szCs w:val="18"/>
        </w:rPr>
        <w:t>tate Revenue Office (S</w:t>
      </w:r>
      <w:r w:rsidR="00677ED7">
        <w:rPr>
          <w:szCs w:val="18"/>
        </w:rPr>
        <w:t>RO</w:t>
      </w:r>
      <w:r w:rsidR="00052D01">
        <w:rPr>
          <w:szCs w:val="18"/>
        </w:rPr>
        <w:t>)</w:t>
      </w:r>
      <w:r w:rsidR="00677ED7">
        <w:rPr>
          <w:szCs w:val="18"/>
        </w:rPr>
        <w:t xml:space="preserve"> website</w:t>
      </w:r>
      <w:r w:rsidR="00164989">
        <w:rPr>
          <w:szCs w:val="18"/>
        </w:rPr>
        <w:t>.</w:t>
      </w:r>
    </w:p>
    <w:p w14:paraId="2CA90874" w14:textId="3FF158A0" w:rsidR="00BC7238" w:rsidRDefault="00893CBA" w:rsidP="00F90E63">
      <w:pPr>
        <w:rPr>
          <w:szCs w:val="18"/>
        </w:rPr>
      </w:pPr>
      <w:r>
        <w:rPr>
          <w:szCs w:val="18"/>
        </w:rPr>
        <w:t xml:space="preserve">GAIC liability </w:t>
      </w:r>
      <w:r w:rsidR="002447C0">
        <w:rPr>
          <w:szCs w:val="18"/>
        </w:rPr>
        <w:t>may be</w:t>
      </w:r>
      <w:r>
        <w:rPr>
          <w:szCs w:val="18"/>
        </w:rPr>
        <w:t xml:space="preserve"> </w:t>
      </w:r>
      <w:r w:rsidR="001B4E1D">
        <w:rPr>
          <w:szCs w:val="18"/>
        </w:rPr>
        <w:t xml:space="preserve">triggered by a dutiable transaction, subdivision </w:t>
      </w:r>
      <w:r w:rsidR="005E4E61">
        <w:rPr>
          <w:szCs w:val="18"/>
        </w:rPr>
        <w:t xml:space="preserve">statement of compliance </w:t>
      </w:r>
      <w:r w:rsidR="001B4E1D">
        <w:rPr>
          <w:szCs w:val="18"/>
        </w:rPr>
        <w:t xml:space="preserve">or </w:t>
      </w:r>
      <w:r w:rsidR="0054521E">
        <w:rPr>
          <w:szCs w:val="18"/>
        </w:rPr>
        <w:t xml:space="preserve">building </w:t>
      </w:r>
      <w:r w:rsidR="005E4E61">
        <w:rPr>
          <w:szCs w:val="18"/>
        </w:rPr>
        <w:t xml:space="preserve">application </w:t>
      </w:r>
      <w:r w:rsidR="00A24E2D">
        <w:rPr>
          <w:szCs w:val="18"/>
        </w:rPr>
        <w:t>event</w:t>
      </w:r>
      <w:r w:rsidR="003B47E9">
        <w:rPr>
          <w:szCs w:val="18"/>
        </w:rPr>
        <w:t xml:space="preserve"> </w:t>
      </w:r>
      <w:r w:rsidR="002A4942">
        <w:rPr>
          <w:szCs w:val="18"/>
        </w:rPr>
        <w:t>on GAIC contribution area</w:t>
      </w:r>
      <w:r w:rsidR="00774105" w:rsidRPr="00774105">
        <w:rPr>
          <w:szCs w:val="18"/>
        </w:rPr>
        <w:t xml:space="preserve"> </w:t>
      </w:r>
      <w:r w:rsidR="00774105">
        <w:rPr>
          <w:szCs w:val="18"/>
        </w:rPr>
        <w:t>land</w:t>
      </w:r>
      <w:r w:rsidR="002A4942">
        <w:rPr>
          <w:szCs w:val="18"/>
        </w:rPr>
        <w:t xml:space="preserve"> </w:t>
      </w:r>
      <w:r w:rsidR="00A24E2D">
        <w:rPr>
          <w:szCs w:val="18"/>
        </w:rPr>
        <w:t>with</w:t>
      </w:r>
      <w:r w:rsidR="003B47E9">
        <w:rPr>
          <w:szCs w:val="18"/>
        </w:rPr>
        <w:t xml:space="preserve"> payment </w:t>
      </w:r>
      <w:r w:rsidR="009935FA">
        <w:rPr>
          <w:szCs w:val="18"/>
        </w:rPr>
        <w:t>usua</w:t>
      </w:r>
      <w:r w:rsidR="002447C0">
        <w:rPr>
          <w:szCs w:val="18"/>
        </w:rPr>
        <w:t>lly</w:t>
      </w:r>
      <w:r w:rsidR="003B47E9">
        <w:rPr>
          <w:szCs w:val="18"/>
        </w:rPr>
        <w:t xml:space="preserve"> due within three months</w:t>
      </w:r>
      <w:r w:rsidR="002C2B54">
        <w:rPr>
          <w:szCs w:val="18"/>
        </w:rPr>
        <w:t xml:space="preserve"> or before </w:t>
      </w:r>
      <w:r w:rsidR="005E4E61">
        <w:rPr>
          <w:szCs w:val="18"/>
        </w:rPr>
        <w:t>a</w:t>
      </w:r>
      <w:r w:rsidR="001935B0">
        <w:rPr>
          <w:szCs w:val="18"/>
        </w:rPr>
        <w:t xml:space="preserve"> building permit </w:t>
      </w:r>
      <w:r w:rsidR="004E2B43">
        <w:rPr>
          <w:szCs w:val="18"/>
        </w:rPr>
        <w:t xml:space="preserve">is </w:t>
      </w:r>
      <w:r w:rsidR="001935B0">
        <w:rPr>
          <w:szCs w:val="18"/>
        </w:rPr>
        <w:t>issue</w:t>
      </w:r>
      <w:r w:rsidR="004E2B43">
        <w:rPr>
          <w:szCs w:val="18"/>
        </w:rPr>
        <w:t>d</w:t>
      </w:r>
      <w:r w:rsidR="0054521E">
        <w:rPr>
          <w:szCs w:val="18"/>
        </w:rPr>
        <w:t xml:space="preserve">. </w:t>
      </w:r>
    </w:p>
    <w:p w14:paraId="6B332DD1" w14:textId="7BD7814E" w:rsidR="00F90E63" w:rsidRPr="00F36C00" w:rsidRDefault="00D425CB" w:rsidP="00F90E63">
      <w:pPr>
        <w:rPr>
          <w:szCs w:val="18"/>
        </w:rPr>
      </w:pPr>
      <w:r>
        <w:rPr>
          <w:szCs w:val="18"/>
        </w:rPr>
        <w:t xml:space="preserve">A GAIC WIK agreement </w:t>
      </w:r>
      <w:r w:rsidR="00606111">
        <w:rPr>
          <w:szCs w:val="18"/>
        </w:rPr>
        <w:t>enable</w:t>
      </w:r>
      <w:r w:rsidR="005E4E61">
        <w:rPr>
          <w:szCs w:val="18"/>
        </w:rPr>
        <w:t>s</w:t>
      </w:r>
      <w:r w:rsidR="00CB26D9">
        <w:rPr>
          <w:szCs w:val="18"/>
        </w:rPr>
        <w:t xml:space="preserve"> a person </w:t>
      </w:r>
      <w:r w:rsidR="00C4244C">
        <w:rPr>
          <w:szCs w:val="18"/>
        </w:rPr>
        <w:t xml:space="preserve">to provide </w:t>
      </w:r>
      <w:r w:rsidR="00495329">
        <w:rPr>
          <w:szCs w:val="18"/>
        </w:rPr>
        <w:t xml:space="preserve">land and/or works </w:t>
      </w:r>
      <w:r w:rsidR="006043BB">
        <w:rPr>
          <w:szCs w:val="18"/>
        </w:rPr>
        <w:t xml:space="preserve">instead of </w:t>
      </w:r>
      <w:r w:rsidR="00707DD2">
        <w:rPr>
          <w:szCs w:val="18"/>
        </w:rPr>
        <w:t xml:space="preserve">a </w:t>
      </w:r>
      <w:r w:rsidR="00EC6294">
        <w:rPr>
          <w:szCs w:val="18"/>
        </w:rPr>
        <w:t xml:space="preserve">cash </w:t>
      </w:r>
      <w:r w:rsidR="00606111">
        <w:rPr>
          <w:szCs w:val="18"/>
        </w:rPr>
        <w:t>payment</w:t>
      </w:r>
      <w:r w:rsidR="005E4E61">
        <w:rPr>
          <w:szCs w:val="18"/>
        </w:rPr>
        <w:t>,</w:t>
      </w:r>
      <w:r w:rsidR="00606111">
        <w:rPr>
          <w:szCs w:val="18"/>
        </w:rPr>
        <w:t xml:space="preserve"> to meet all or part of </w:t>
      </w:r>
      <w:r w:rsidR="00AD3F73">
        <w:rPr>
          <w:szCs w:val="18"/>
        </w:rPr>
        <w:t>th</w:t>
      </w:r>
      <w:r w:rsidR="00B426BF">
        <w:rPr>
          <w:szCs w:val="18"/>
        </w:rPr>
        <w:t>eir</w:t>
      </w:r>
      <w:r w:rsidR="001B5407">
        <w:rPr>
          <w:szCs w:val="18"/>
        </w:rPr>
        <w:t xml:space="preserve"> GAIC liability</w:t>
      </w:r>
      <w:r w:rsidR="000E6528">
        <w:rPr>
          <w:szCs w:val="18"/>
        </w:rPr>
        <w:t xml:space="preserve"> or expected </w:t>
      </w:r>
      <w:r w:rsidR="00CC52FE">
        <w:rPr>
          <w:szCs w:val="18"/>
        </w:rPr>
        <w:t>liability</w:t>
      </w:r>
      <w:r w:rsidR="004941BC">
        <w:rPr>
          <w:szCs w:val="18"/>
        </w:rPr>
        <w:t>.</w:t>
      </w:r>
    </w:p>
    <w:p w14:paraId="00D27DA1" w14:textId="434F9C0F" w:rsidR="001D47C8" w:rsidRDefault="00B614B5" w:rsidP="00A40C56">
      <w:pPr>
        <w:pStyle w:val="Heading2"/>
      </w:pPr>
      <w:r>
        <w:t>PARTIES</w:t>
      </w:r>
    </w:p>
    <w:p w14:paraId="6022D46C" w14:textId="1ADC2028" w:rsidR="00B614B5" w:rsidRDefault="007F40D0" w:rsidP="00B614B5">
      <w:r w:rsidRPr="00E1012B">
        <w:rPr>
          <w:b/>
          <w:bCs/>
        </w:rPr>
        <w:t>Minister for Planning</w:t>
      </w:r>
      <w:r w:rsidR="00697802">
        <w:t xml:space="preserve"> </w:t>
      </w:r>
      <w:r w:rsidR="00AB4802">
        <w:t>(</w:t>
      </w:r>
      <w:r w:rsidR="00F87F2B">
        <w:t xml:space="preserve">minister) </w:t>
      </w:r>
      <w:r w:rsidR="00263E14">
        <w:t xml:space="preserve">– responsible for </w:t>
      </w:r>
      <w:r w:rsidR="000E5170">
        <w:t xml:space="preserve">Part 9B of the Act </w:t>
      </w:r>
      <w:r w:rsidR="00A4234A">
        <w:t xml:space="preserve">jointly </w:t>
      </w:r>
      <w:r w:rsidR="00EB1A73">
        <w:t xml:space="preserve">with the Treasurer </w:t>
      </w:r>
      <w:r w:rsidR="000E5170">
        <w:t>whose</w:t>
      </w:r>
      <w:r w:rsidR="002F3759">
        <w:t xml:space="preserve"> approval </w:t>
      </w:r>
      <w:r w:rsidR="000E5170">
        <w:t>is required</w:t>
      </w:r>
      <w:r w:rsidR="00655C10">
        <w:t xml:space="preserve"> if the </w:t>
      </w:r>
      <w:r w:rsidR="00263E14">
        <w:t xml:space="preserve">WIK </w:t>
      </w:r>
      <w:r w:rsidR="00655C10">
        <w:t>value exceeds $2 million</w:t>
      </w:r>
      <w:r w:rsidR="003D0FC1">
        <w:t>.</w:t>
      </w:r>
    </w:p>
    <w:p w14:paraId="1B2306ED" w14:textId="34D34D12" w:rsidR="00B27F73" w:rsidRDefault="00ED72CA" w:rsidP="00B614B5">
      <w:r>
        <w:rPr>
          <w:b/>
          <w:bCs/>
        </w:rPr>
        <w:t xml:space="preserve">GAIC </w:t>
      </w:r>
      <w:r w:rsidR="000104F9">
        <w:rPr>
          <w:b/>
          <w:bCs/>
        </w:rPr>
        <w:t>liable entity (GLE)</w:t>
      </w:r>
      <w:r w:rsidR="00B27F73">
        <w:t xml:space="preserve"> </w:t>
      </w:r>
      <w:r w:rsidR="00513841">
        <w:t xml:space="preserve">–the person </w:t>
      </w:r>
      <w:r w:rsidR="00A4234A">
        <w:t>/ entity</w:t>
      </w:r>
      <w:r w:rsidR="00513841">
        <w:t xml:space="preserve"> </w:t>
      </w:r>
      <w:r w:rsidR="00EA53E9">
        <w:t>(</w:t>
      </w:r>
      <w:r w:rsidR="00A4234A">
        <w:t>land holder</w:t>
      </w:r>
      <w:r w:rsidR="00EA53E9">
        <w:t xml:space="preserve">) </w:t>
      </w:r>
      <w:r w:rsidR="00513841">
        <w:t xml:space="preserve">with the </w:t>
      </w:r>
      <w:r w:rsidR="00544D6F">
        <w:t>GAIC liability</w:t>
      </w:r>
      <w:r w:rsidR="000104F9">
        <w:t xml:space="preserve"> or expected </w:t>
      </w:r>
      <w:r w:rsidR="00513841">
        <w:t>liability</w:t>
      </w:r>
      <w:r w:rsidR="003D0FC1">
        <w:t>.</w:t>
      </w:r>
    </w:p>
    <w:p w14:paraId="2FB06E44" w14:textId="27C18FA1" w:rsidR="00FB7FC4" w:rsidRDefault="00FB7FC4" w:rsidP="00B614B5">
      <w:r w:rsidRPr="00E1012B">
        <w:rPr>
          <w:b/>
          <w:bCs/>
        </w:rPr>
        <w:t xml:space="preserve">Receiving </w:t>
      </w:r>
      <w:r w:rsidR="00E03E81">
        <w:rPr>
          <w:b/>
          <w:bCs/>
        </w:rPr>
        <w:t>a</w:t>
      </w:r>
      <w:r w:rsidRPr="00E1012B">
        <w:rPr>
          <w:b/>
          <w:bCs/>
        </w:rPr>
        <w:t>gency</w:t>
      </w:r>
      <w:r>
        <w:t xml:space="preserve"> </w:t>
      </w:r>
      <w:r w:rsidR="00F87F2B">
        <w:t xml:space="preserve">(RA) </w:t>
      </w:r>
      <w:r w:rsidR="00364285">
        <w:t>–</w:t>
      </w:r>
      <w:r>
        <w:t xml:space="preserve"> </w:t>
      </w:r>
      <w:r w:rsidR="00364285">
        <w:t xml:space="preserve">the minister or agency head that </w:t>
      </w:r>
      <w:r w:rsidR="00DC1332">
        <w:t>inspects</w:t>
      </w:r>
      <w:r w:rsidR="00973C28">
        <w:t xml:space="preserve">, </w:t>
      </w:r>
      <w:r w:rsidR="006321C9">
        <w:t>accepts,</w:t>
      </w:r>
      <w:r w:rsidR="00973C28">
        <w:t xml:space="preserve"> and then </w:t>
      </w:r>
      <w:r w:rsidR="00364285">
        <w:t xml:space="preserve">receives the land or works provided </w:t>
      </w:r>
      <w:r w:rsidR="00A4234A">
        <w:t>under</w:t>
      </w:r>
      <w:r w:rsidR="008B30CC">
        <w:t xml:space="preserve"> the WIK agreement</w:t>
      </w:r>
      <w:r w:rsidR="003D0FC1">
        <w:t>.</w:t>
      </w:r>
    </w:p>
    <w:p w14:paraId="57EFAAE4" w14:textId="56104B53" w:rsidR="00C276CC" w:rsidRPr="00B614B5" w:rsidRDefault="00BD5709" w:rsidP="00B614B5">
      <w:r w:rsidRPr="00A107EE">
        <w:rPr>
          <w:b/>
          <w:bCs/>
        </w:rPr>
        <w:t>Victorian Planning Authority</w:t>
      </w:r>
      <w:r>
        <w:t xml:space="preserve"> (VPA) </w:t>
      </w:r>
      <w:r w:rsidR="00A107EE">
        <w:t>–</w:t>
      </w:r>
      <w:r>
        <w:t xml:space="preserve"> </w:t>
      </w:r>
      <w:r w:rsidR="00976508">
        <w:t>make</w:t>
      </w:r>
      <w:r w:rsidR="00A4234A">
        <w:t>s</w:t>
      </w:r>
      <w:r w:rsidR="00976508">
        <w:t xml:space="preserve"> determinations </w:t>
      </w:r>
      <w:r w:rsidR="00063F10">
        <w:t xml:space="preserve">and notifications </w:t>
      </w:r>
      <w:r w:rsidR="00622E06">
        <w:t xml:space="preserve">under the WIK agreement </w:t>
      </w:r>
      <w:r w:rsidR="00976508">
        <w:t>and act</w:t>
      </w:r>
      <w:r w:rsidR="00A4234A">
        <w:t>s</w:t>
      </w:r>
      <w:r w:rsidR="00976508">
        <w:t xml:space="preserve"> under delegation </w:t>
      </w:r>
      <w:r w:rsidR="00A4234A">
        <w:t>from</w:t>
      </w:r>
      <w:r w:rsidR="009B12BF">
        <w:t xml:space="preserve"> </w:t>
      </w:r>
      <w:r w:rsidR="00976508">
        <w:t>the minister</w:t>
      </w:r>
      <w:r w:rsidR="003D0FC1">
        <w:t>.</w:t>
      </w:r>
    </w:p>
    <w:p w14:paraId="00358156" w14:textId="4220586E" w:rsidR="005E4E61" w:rsidRDefault="005E4E61" w:rsidP="005E4E61">
      <w:r w:rsidRPr="00E1012B">
        <w:rPr>
          <w:b/>
          <w:bCs/>
        </w:rPr>
        <w:t>Developer</w:t>
      </w:r>
      <w:r>
        <w:t xml:space="preserve"> – </w:t>
      </w:r>
      <w:r w:rsidR="00A4234A">
        <w:t xml:space="preserve">included where </w:t>
      </w:r>
      <w:r w:rsidR="00E25F25">
        <w:t>it is assuming and performing obligations for the</w:t>
      </w:r>
      <w:r w:rsidR="00A4234A">
        <w:t xml:space="preserve"> GLE </w:t>
      </w:r>
      <w:r w:rsidR="00E25F25">
        <w:t>under the WIK agreement</w:t>
      </w:r>
      <w:r>
        <w:t>.</w:t>
      </w:r>
    </w:p>
    <w:p w14:paraId="67C5E222" w14:textId="0F873BB8" w:rsidR="0083686D" w:rsidRDefault="0083686D" w:rsidP="0083686D">
      <w:pPr>
        <w:pStyle w:val="Heading2"/>
      </w:pPr>
      <w:r>
        <w:t>INQUIRIES</w:t>
      </w:r>
    </w:p>
    <w:p w14:paraId="2D811D6D" w14:textId="5438E367" w:rsidR="0083686D" w:rsidRDefault="0083686D" w:rsidP="0083686D">
      <w:r>
        <w:t>The GLE and developer are invited to discuss all aspects of any WIK proposal with the VPA prior to making a formal application. The VPA will engage with the RA initially and then hold joint meetings</w:t>
      </w:r>
      <w:r w:rsidR="00E25F25">
        <w:t xml:space="preserve"> with</w:t>
      </w:r>
      <w:r>
        <w:t xml:space="preserve"> the </w:t>
      </w:r>
      <w:r w:rsidR="00E25F25">
        <w:t>other parties</w:t>
      </w:r>
      <w:r>
        <w:t xml:space="preserve">. </w:t>
      </w:r>
      <w:r w:rsidR="00E25F25">
        <w:t>Any</w:t>
      </w:r>
      <w:r>
        <w:t xml:space="preserve"> proposal </w:t>
      </w:r>
      <w:r w:rsidR="00E25F25">
        <w:t xml:space="preserve">must </w:t>
      </w:r>
      <w:r>
        <w:t xml:space="preserve">meet the WIK criteria in the Act and </w:t>
      </w:r>
      <w:r w:rsidR="00E25F25">
        <w:t xml:space="preserve">the </w:t>
      </w:r>
      <w:r>
        <w:t>RA</w:t>
      </w:r>
      <w:r w:rsidR="00E25F25">
        <w:t>’s</w:t>
      </w:r>
      <w:r>
        <w:t xml:space="preserve"> requirements </w:t>
      </w:r>
      <w:r w:rsidR="00E25F25">
        <w:t>regarding</w:t>
      </w:r>
      <w:r>
        <w:t xml:space="preserve"> location, quality, scale, scope, timing, and value.</w:t>
      </w:r>
    </w:p>
    <w:p w14:paraId="2E7F9794" w14:textId="4F1F840A" w:rsidR="005B76D2" w:rsidRDefault="005B76D2" w:rsidP="00A40C56">
      <w:pPr>
        <w:pStyle w:val="Heading2"/>
      </w:pPr>
      <w:r>
        <w:t>BEN</w:t>
      </w:r>
      <w:r w:rsidR="00CF0C8A">
        <w:t>EFITS</w:t>
      </w:r>
    </w:p>
    <w:p w14:paraId="07194C80" w14:textId="43869374" w:rsidR="00CF0C8A" w:rsidRDefault="00CF0C8A" w:rsidP="00CF0C8A">
      <w:r>
        <w:t xml:space="preserve">A WIK agreement may provide land or works </w:t>
      </w:r>
      <w:r w:rsidR="00E25F25">
        <w:t xml:space="preserve">to the state </w:t>
      </w:r>
      <w:r>
        <w:t xml:space="preserve">earlier than </w:t>
      </w:r>
      <w:r w:rsidR="00E25F25">
        <w:t>the</w:t>
      </w:r>
      <w:r w:rsidR="00F377DD">
        <w:t xml:space="preserve"> usual funding</w:t>
      </w:r>
      <w:r w:rsidR="00935CFE">
        <w:t xml:space="preserve"> </w:t>
      </w:r>
      <w:r w:rsidR="00E25F25">
        <w:t xml:space="preserve">channels </w:t>
      </w:r>
      <w:r w:rsidR="00935CFE">
        <w:t xml:space="preserve">and help a community to anticipate </w:t>
      </w:r>
      <w:r w:rsidR="00A37110">
        <w:t xml:space="preserve">the location </w:t>
      </w:r>
      <w:r w:rsidR="00BA6D4A">
        <w:t>and type of facility to be provided.</w:t>
      </w:r>
    </w:p>
    <w:p w14:paraId="6EA9673D" w14:textId="1CD3A455" w:rsidR="00BA6D4A" w:rsidRDefault="00BA6D4A" w:rsidP="00CF0C8A">
      <w:r>
        <w:t xml:space="preserve">For a GLE, a WIK </w:t>
      </w:r>
      <w:r w:rsidR="00E369B4">
        <w:t xml:space="preserve">agreement may expedite critical infrastructure </w:t>
      </w:r>
      <w:r w:rsidR="00AA2D23">
        <w:t>in or near</w:t>
      </w:r>
      <w:r w:rsidR="00BB1ED4">
        <w:t xml:space="preserve"> its development</w:t>
      </w:r>
      <w:r w:rsidR="00F24896">
        <w:t xml:space="preserve"> that is attractive to purchasers</w:t>
      </w:r>
      <w:r w:rsidR="00A10C8E">
        <w:t xml:space="preserve"> and meet part of </w:t>
      </w:r>
      <w:r w:rsidR="004F7507">
        <w:t>its GAIC liability earlier.</w:t>
      </w:r>
    </w:p>
    <w:p w14:paraId="3F15FD87" w14:textId="6E642C36" w:rsidR="00197B67" w:rsidRDefault="00197B67" w:rsidP="007F5C69">
      <w:pPr>
        <w:pStyle w:val="Heading2"/>
      </w:pPr>
      <w:r>
        <w:t>RISKS</w:t>
      </w:r>
    </w:p>
    <w:p w14:paraId="14010237" w14:textId="32FD5C13" w:rsidR="007F5C69" w:rsidRPr="007F5C69" w:rsidRDefault="007F5C69" w:rsidP="007F5C69">
      <w:r>
        <w:t>A WIK agreement</w:t>
      </w:r>
      <w:r w:rsidR="006321C9">
        <w:t xml:space="preserve"> has many components</w:t>
      </w:r>
      <w:r>
        <w:t xml:space="preserve"> and </w:t>
      </w:r>
      <w:r w:rsidR="00656743">
        <w:t>a GLE needs to be aware of performance risks</w:t>
      </w:r>
      <w:r w:rsidR="002A3986">
        <w:t xml:space="preserve">, such as </w:t>
      </w:r>
      <w:r w:rsidR="00E83FE9">
        <w:t xml:space="preserve">subcontract </w:t>
      </w:r>
      <w:r w:rsidR="00744B74">
        <w:t xml:space="preserve">interaction </w:t>
      </w:r>
      <w:r w:rsidR="00B92833">
        <w:t>and failure to complete</w:t>
      </w:r>
      <w:r w:rsidR="008729F9">
        <w:t>, which can</w:t>
      </w:r>
      <w:r w:rsidR="00DC7442">
        <w:t xml:space="preserve"> have severe consequences </w:t>
      </w:r>
      <w:r w:rsidR="008729F9">
        <w:t>under</w:t>
      </w:r>
      <w:r w:rsidR="00DC7442">
        <w:t xml:space="preserve"> the Act.</w:t>
      </w:r>
    </w:p>
    <w:p w14:paraId="3F7CC9DE" w14:textId="31D40990" w:rsidR="001D47C8" w:rsidRDefault="00297F47" w:rsidP="00A40C56">
      <w:pPr>
        <w:pStyle w:val="Heading2"/>
      </w:pPr>
      <w:r>
        <w:t>CRITERIA</w:t>
      </w:r>
    </w:p>
    <w:p w14:paraId="309DEE48" w14:textId="5FD85F5B" w:rsidR="00B614B5" w:rsidRDefault="007D6973" w:rsidP="008655FF">
      <w:pPr>
        <w:pStyle w:val="Normalafter0pt"/>
      </w:pPr>
      <w:r>
        <w:t xml:space="preserve">The land or works </w:t>
      </w:r>
      <w:r w:rsidR="005C15C5">
        <w:t>to be provided</w:t>
      </w:r>
      <w:r w:rsidR="00527AF8">
        <w:t xml:space="preserve"> must</w:t>
      </w:r>
      <w:r w:rsidR="003E1B70">
        <w:t xml:space="preserve"> be</w:t>
      </w:r>
      <w:r w:rsidR="00527AF8">
        <w:t>:</w:t>
      </w:r>
    </w:p>
    <w:p w14:paraId="12712F0D" w14:textId="1E00BB70" w:rsidR="00FA6C1B" w:rsidRDefault="009F1EF9" w:rsidP="000F0972">
      <w:pPr>
        <w:pStyle w:val="Dot"/>
      </w:pPr>
      <w:r w:rsidRPr="009F1EF9">
        <w:t>situated in a growth area</w:t>
      </w:r>
      <w:r>
        <w:t xml:space="preserve"> (</w:t>
      </w:r>
      <w:proofErr w:type="gramStart"/>
      <w:r w:rsidR="00F57B53">
        <w:t>ie</w:t>
      </w:r>
      <w:proofErr w:type="gramEnd"/>
      <w:r w:rsidR="00F57B53">
        <w:t xml:space="preserve"> </w:t>
      </w:r>
      <w:r w:rsidR="00A66C4A">
        <w:t xml:space="preserve">within </w:t>
      </w:r>
      <w:r>
        <w:t xml:space="preserve">Casey, Cardinia, Hume, </w:t>
      </w:r>
      <w:r w:rsidR="00703A1F">
        <w:t xml:space="preserve">Melton, </w:t>
      </w:r>
      <w:r>
        <w:t xml:space="preserve">Mitchell, </w:t>
      </w:r>
      <w:r w:rsidR="006D1434">
        <w:t>Whittlesea,</w:t>
      </w:r>
      <w:r w:rsidR="00703A1F">
        <w:t xml:space="preserve"> or </w:t>
      </w:r>
      <w:r>
        <w:t>Wyndham</w:t>
      </w:r>
      <w:r w:rsidR="00A56F18">
        <w:t xml:space="preserve"> municipalities</w:t>
      </w:r>
      <w:r w:rsidR="00703A1F">
        <w:t>)</w:t>
      </w:r>
    </w:p>
    <w:p w14:paraId="5C6131D2" w14:textId="689D47D0" w:rsidR="00CE44EF" w:rsidRDefault="00CE44EF" w:rsidP="000F0972">
      <w:pPr>
        <w:pStyle w:val="Dot"/>
      </w:pPr>
      <w:r>
        <w:t>of a type that may be funded from GAIC funds</w:t>
      </w:r>
      <w:r w:rsidR="003B56C3">
        <w:t>.</w:t>
      </w:r>
    </w:p>
    <w:p w14:paraId="0573164C" w14:textId="17F1FF90" w:rsidR="005B40B9" w:rsidRDefault="008729F9" w:rsidP="0020435A">
      <w:pPr>
        <w:pStyle w:val="Normalafter0pt"/>
      </w:pPr>
      <w:r>
        <w:t>A</w:t>
      </w:r>
      <w:r w:rsidR="003B56C3">
        <w:t xml:space="preserve"> W</w:t>
      </w:r>
      <w:r w:rsidR="00B359B2">
        <w:t>IK agreement must be entered into before the GAIC contribution is payable</w:t>
      </w:r>
      <w:r w:rsidR="00820CAC">
        <w:t xml:space="preserve"> and meet </w:t>
      </w:r>
      <w:proofErr w:type="gramStart"/>
      <w:r w:rsidR="00820CAC">
        <w:t xml:space="preserve">all </w:t>
      </w:r>
      <w:r w:rsidR="002947F4">
        <w:t>of</w:t>
      </w:r>
      <w:proofErr w:type="gramEnd"/>
      <w:r w:rsidR="002947F4">
        <w:t xml:space="preserve"> </w:t>
      </w:r>
      <w:r>
        <w:t xml:space="preserve">the </w:t>
      </w:r>
      <w:r w:rsidR="00820CAC">
        <w:t>Act</w:t>
      </w:r>
      <w:r w:rsidR="005B40B9">
        <w:t xml:space="preserve"> </w:t>
      </w:r>
      <w:r>
        <w:t>requirements</w:t>
      </w:r>
      <w:r w:rsidR="00C23EC5">
        <w:t xml:space="preserve"> </w:t>
      </w:r>
      <w:r w:rsidR="005B40B9">
        <w:t>including</w:t>
      </w:r>
      <w:r>
        <w:t xml:space="preserve"> containing</w:t>
      </w:r>
      <w:r w:rsidR="005B40B9">
        <w:t>:</w:t>
      </w:r>
    </w:p>
    <w:p w14:paraId="68976813" w14:textId="2279438B" w:rsidR="00527AF8" w:rsidRDefault="0020435A" w:rsidP="00042004">
      <w:pPr>
        <w:pStyle w:val="Dot"/>
      </w:pPr>
      <w:r>
        <w:t xml:space="preserve">description of </w:t>
      </w:r>
      <w:r w:rsidR="008729F9">
        <w:t xml:space="preserve">the </w:t>
      </w:r>
      <w:r>
        <w:t>works</w:t>
      </w:r>
      <w:r w:rsidR="0099245C" w:rsidRPr="0099245C">
        <w:t xml:space="preserve"> </w:t>
      </w:r>
      <w:r w:rsidR="0099245C">
        <w:t xml:space="preserve">and </w:t>
      </w:r>
      <w:r w:rsidR="008729F9">
        <w:t xml:space="preserve">the </w:t>
      </w:r>
      <w:r w:rsidR="0099245C">
        <w:t xml:space="preserve">land on which </w:t>
      </w:r>
      <w:r w:rsidR="00AE49DC">
        <w:t xml:space="preserve">the works will be </w:t>
      </w:r>
      <w:r w:rsidR="0099245C">
        <w:t>carried out</w:t>
      </w:r>
    </w:p>
    <w:p w14:paraId="08C33CB7" w14:textId="7D6ECBB6" w:rsidR="0020435A" w:rsidRDefault="0099245C" w:rsidP="000F0972">
      <w:pPr>
        <w:pStyle w:val="Dot"/>
      </w:pPr>
      <w:r>
        <w:t xml:space="preserve">description of </w:t>
      </w:r>
      <w:r w:rsidR="00AE49DC">
        <w:t xml:space="preserve">the </w:t>
      </w:r>
      <w:r>
        <w:t>la</w:t>
      </w:r>
      <w:r w:rsidR="00002BF7">
        <w:t>nd to be transferred</w:t>
      </w:r>
    </w:p>
    <w:p w14:paraId="0BB2D80C" w14:textId="7A67BE07" w:rsidR="00002BF7" w:rsidRDefault="00002BF7" w:rsidP="00042004">
      <w:pPr>
        <w:pStyle w:val="Dot"/>
      </w:pPr>
      <w:r>
        <w:t>due date</w:t>
      </w:r>
      <w:r w:rsidR="00AE49DC">
        <w:t>s</w:t>
      </w:r>
      <w:r>
        <w:t xml:space="preserve"> </w:t>
      </w:r>
      <w:r w:rsidR="00620655">
        <w:t>for</w:t>
      </w:r>
      <w:r>
        <w:t xml:space="preserve"> stages </w:t>
      </w:r>
      <w:r w:rsidR="00620655">
        <w:t xml:space="preserve">and </w:t>
      </w:r>
      <w:r w:rsidR="00AE49DC">
        <w:t>completion</w:t>
      </w:r>
    </w:p>
    <w:p w14:paraId="11E18A45" w14:textId="38F269A0" w:rsidR="00620655" w:rsidRDefault="003632C7" w:rsidP="00042004">
      <w:pPr>
        <w:pStyle w:val="Dot"/>
      </w:pPr>
      <w:r>
        <w:t>agreed values of land and works</w:t>
      </w:r>
      <w:r w:rsidR="00AE49DC">
        <w:t xml:space="preserve"> involved</w:t>
      </w:r>
    </w:p>
    <w:p w14:paraId="55DD6820" w14:textId="611141C8" w:rsidR="003632C7" w:rsidRDefault="003632C7" w:rsidP="00042004">
      <w:pPr>
        <w:pStyle w:val="Dot"/>
      </w:pPr>
      <w:r>
        <w:t>method</w:t>
      </w:r>
      <w:r w:rsidR="00B22629">
        <w:t xml:space="preserve">s for calculating </w:t>
      </w:r>
      <w:r w:rsidR="00B70BF7">
        <w:t xml:space="preserve">partial </w:t>
      </w:r>
      <w:r w:rsidR="00B22629">
        <w:t>value</w:t>
      </w:r>
      <w:r w:rsidR="00AE49DC">
        <w:t xml:space="preserve"> in the event of a non-completion default</w:t>
      </w:r>
    </w:p>
    <w:p w14:paraId="570A6C77" w14:textId="7641833C" w:rsidR="00B70BF7" w:rsidRDefault="00B70BF7" w:rsidP="00042004">
      <w:pPr>
        <w:pStyle w:val="Dot"/>
      </w:pPr>
      <w:r>
        <w:t>dispute resolution</w:t>
      </w:r>
      <w:r w:rsidR="00AE49DC">
        <w:t xml:space="preserve"> mechanisms</w:t>
      </w:r>
    </w:p>
    <w:p w14:paraId="64080D14" w14:textId="2C9AED64" w:rsidR="003959CE" w:rsidRDefault="00AE49DC" w:rsidP="00042004">
      <w:pPr>
        <w:pStyle w:val="Dot"/>
      </w:pPr>
      <w:r>
        <w:t xml:space="preserve">recording the WIK agreement on title </w:t>
      </w:r>
    </w:p>
    <w:p w14:paraId="42F6F2C4" w14:textId="4E99F86B" w:rsidR="00B70BF7" w:rsidRPr="00B614B5" w:rsidRDefault="00AE49DC" w:rsidP="00042004">
      <w:pPr>
        <w:pStyle w:val="Dot"/>
      </w:pPr>
      <w:r>
        <w:t>other matters that the minister thinks appropriate</w:t>
      </w:r>
      <w:r w:rsidR="00CA71F7">
        <w:t>.</w:t>
      </w:r>
    </w:p>
    <w:p w14:paraId="0B0DCB4B" w14:textId="77777777" w:rsidR="008B736C" w:rsidRDefault="008B736C" w:rsidP="008B736C">
      <w:pPr>
        <w:pStyle w:val="Heading2"/>
      </w:pPr>
      <w:r>
        <w:t>LAND</w:t>
      </w:r>
    </w:p>
    <w:p w14:paraId="2B3CAF34" w14:textId="44F5E9EB" w:rsidR="008B736C" w:rsidRDefault="008B736C" w:rsidP="008B736C">
      <w:r>
        <w:t>Land proposed to be provided under a WIK agreement must meet the Act</w:t>
      </w:r>
      <w:r w:rsidR="00AE49DC">
        <w:t>’s</w:t>
      </w:r>
      <w:r>
        <w:t xml:space="preserve"> criteria and be </w:t>
      </w:r>
      <w:r w:rsidR="00AE49DC">
        <w:t xml:space="preserve">acceptable to the RA, including </w:t>
      </w:r>
      <w:r w:rsidR="00E04419">
        <w:t>regarding</w:t>
      </w:r>
      <w:r w:rsidR="00AE49DC">
        <w:t xml:space="preserve"> timing,</w:t>
      </w:r>
      <w:r>
        <w:t xml:space="preserve"> location, and </w:t>
      </w:r>
      <w:r w:rsidR="00AE49DC">
        <w:t>general suitability</w:t>
      </w:r>
      <w:r>
        <w:t xml:space="preserve">. </w:t>
      </w:r>
    </w:p>
    <w:p w14:paraId="521A15C7" w14:textId="0E8EF7AC" w:rsidR="008B736C" w:rsidRDefault="008B736C" w:rsidP="008B736C">
      <w:r>
        <w:t xml:space="preserve">Usually, the </w:t>
      </w:r>
      <w:r w:rsidR="002C36A2">
        <w:t>land and surrounds</w:t>
      </w:r>
      <w:r>
        <w:t xml:space="preserve"> must be serviced by final settlement</w:t>
      </w:r>
      <w:r w:rsidR="002C36A2">
        <w:t>. Alternatively</w:t>
      </w:r>
      <w:r>
        <w:t xml:space="preserve">, </w:t>
      </w:r>
      <w:r w:rsidR="002C36A2">
        <w:t>the land may be</w:t>
      </w:r>
      <w:r>
        <w:t xml:space="preserve"> transferred unserviced </w:t>
      </w:r>
      <w:r w:rsidR="002C36A2">
        <w:t>(</w:t>
      </w:r>
      <w:r>
        <w:t>stage</w:t>
      </w:r>
      <w:r w:rsidR="002C36A2">
        <w:t xml:space="preserve"> 1) with servicing</w:t>
      </w:r>
      <w:r>
        <w:t xml:space="preserve"> </w:t>
      </w:r>
      <w:r w:rsidR="00EF51D4">
        <w:t xml:space="preserve">works </w:t>
      </w:r>
      <w:r>
        <w:t xml:space="preserve">to </w:t>
      </w:r>
      <w:r w:rsidR="002C36A2">
        <w:t>occur post transfer (stage 2)</w:t>
      </w:r>
      <w:r>
        <w:t>, subject to the RA</w:t>
      </w:r>
      <w:r w:rsidR="002C36A2">
        <w:t>’s requirements</w:t>
      </w:r>
      <w:r>
        <w:t>.</w:t>
      </w:r>
    </w:p>
    <w:p w14:paraId="4DC25137" w14:textId="69B8D87E" w:rsidR="008B736C" w:rsidRDefault="008B736C" w:rsidP="008B736C">
      <w:r>
        <w:t xml:space="preserve">The maximum value of any land is </w:t>
      </w:r>
      <w:r w:rsidR="002C36A2">
        <w:t xml:space="preserve">the current market value </w:t>
      </w:r>
      <w:r>
        <w:t xml:space="preserve">determined by the Valuer General Victoria (VGV) and </w:t>
      </w:r>
      <w:r w:rsidR="002C36A2">
        <w:t xml:space="preserve">the transaction </w:t>
      </w:r>
      <w:r>
        <w:t xml:space="preserve">is subject to </w:t>
      </w:r>
      <w:r w:rsidR="002C36A2">
        <w:t xml:space="preserve">the </w:t>
      </w:r>
      <w:r>
        <w:t>approval by the Victorian Government Land Monitor</w:t>
      </w:r>
      <w:r w:rsidR="006C23BB">
        <w:t xml:space="preserve"> (VGLM)</w:t>
      </w:r>
      <w:r>
        <w:t>. The GLE may recognise the benefit of an early land transfer by offering a discount of 5-10% on the VGV’s approved valuation.</w:t>
      </w:r>
    </w:p>
    <w:p w14:paraId="168517F3" w14:textId="5FEBD43B" w:rsidR="006A6D3D" w:rsidRDefault="006A6D3D" w:rsidP="006A6D3D">
      <w:pPr>
        <w:pStyle w:val="Heading2"/>
      </w:pPr>
      <w:r>
        <w:t>STAGE PAYMENT ARRANGEMENT (SPA)</w:t>
      </w:r>
    </w:p>
    <w:p w14:paraId="0AF479A8" w14:textId="0F4950EB" w:rsidR="006A6D3D" w:rsidRDefault="006A6D3D" w:rsidP="006A6D3D">
      <w:r>
        <w:t xml:space="preserve">The GLE may have various SPAs that will run concurrently with a WIK agreement. The WIK agreement </w:t>
      </w:r>
      <w:proofErr w:type="gramStart"/>
      <w:r w:rsidR="00133AF5">
        <w:t>stages</w:t>
      </w:r>
      <w:proofErr w:type="gramEnd"/>
      <w:r w:rsidR="00133AF5">
        <w:t xml:space="preserve"> </w:t>
      </w:r>
      <w:r>
        <w:t xml:space="preserve">and associated </w:t>
      </w:r>
      <w:r w:rsidR="00133AF5">
        <w:t>determinations</w:t>
      </w:r>
      <w:r>
        <w:t xml:space="preserve"> </w:t>
      </w:r>
      <w:r w:rsidR="00037C37">
        <w:t>should</w:t>
      </w:r>
      <w:r>
        <w:t xml:space="preserve"> </w:t>
      </w:r>
      <w:r w:rsidR="00133AF5">
        <w:t>take</w:t>
      </w:r>
      <w:r>
        <w:t xml:space="preserve"> SPA stages </w:t>
      </w:r>
      <w:r w:rsidR="00133AF5">
        <w:t>into account but</w:t>
      </w:r>
      <w:r>
        <w:t xml:space="preserve"> allow contingency</w:t>
      </w:r>
      <w:r w:rsidR="00E55CB8">
        <w:t>,</w:t>
      </w:r>
      <w:r>
        <w:t xml:space="preserve"> including </w:t>
      </w:r>
      <w:r w:rsidR="000F10A6">
        <w:t xml:space="preserve">for </w:t>
      </w:r>
      <w:r>
        <w:t>delays in the development process.</w:t>
      </w:r>
    </w:p>
    <w:p w14:paraId="5CAAAB63" w14:textId="0B0B8F1A" w:rsidR="000F10A6" w:rsidRPr="000F10A6" w:rsidRDefault="000F10A6" w:rsidP="0080320A">
      <w:r>
        <w:t>T</w:t>
      </w:r>
      <w:r w:rsidRPr="000F10A6">
        <w:t xml:space="preserve">he WIK agreement will require the GLE to agree that it </w:t>
      </w:r>
      <w:r w:rsidR="00473B42">
        <w:t>will</w:t>
      </w:r>
      <w:r w:rsidR="00EE535A">
        <w:t xml:space="preserve"> </w:t>
      </w:r>
      <w:r w:rsidRPr="000F10A6">
        <w:t xml:space="preserve">not pay down any GAIC liability </w:t>
      </w:r>
      <w:r w:rsidR="007244D2">
        <w:t xml:space="preserve">subject to </w:t>
      </w:r>
      <w:r w:rsidR="002937B2">
        <w:t>th</w:t>
      </w:r>
      <w:r w:rsidR="007244D2">
        <w:t>at</w:t>
      </w:r>
      <w:r w:rsidR="002937B2">
        <w:t xml:space="preserve"> agreement.</w:t>
      </w:r>
    </w:p>
    <w:p w14:paraId="32B28BF0" w14:textId="53F8164B" w:rsidR="008B736C" w:rsidRDefault="008B736C" w:rsidP="008B736C">
      <w:pPr>
        <w:pStyle w:val="Heading2"/>
      </w:pPr>
      <w:r>
        <w:t>WORKS</w:t>
      </w:r>
    </w:p>
    <w:p w14:paraId="06AF51AE" w14:textId="0680A37F" w:rsidR="008B736C" w:rsidRDefault="008B736C" w:rsidP="008B736C">
      <w:r>
        <w:t>Works to be constructed under a WIK agreement must meet the Act</w:t>
      </w:r>
      <w:r w:rsidR="007244D2">
        <w:t>’s</w:t>
      </w:r>
      <w:r>
        <w:t xml:space="preserve"> criteria and be </w:t>
      </w:r>
      <w:r w:rsidR="007244D2">
        <w:t xml:space="preserve">acceptable to the RA, including </w:t>
      </w:r>
      <w:r w:rsidR="00962C58">
        <w:t>regarding</w:t>
      </w:r>
      <w:r w:rsidR="007244D2">
        <w:t xml:space="preserve"> quality,</w:t>
      </w:r>
      <w:r>
        <w:t xml:space="preserve"> </w:t>
      </w:r>
      <w:r w:rsidR="007244D2">
        <w:t xml:space="preserve">timing, </w:t>
      </w:r>
      <w:r>
        <w:t xml:space="preserve">location, </w:t>
      </w:r>
      <w:r w:rsidR="007244D2">
        <w:t>and general suitability</w:t>
      </w:r>
      <w:r>
        <w:t>.</w:t>
      </w:r>
    </w:p>
    <w:p w14:paraId="0EDD2B5F" w14:textId="2A4EEC3E" w:rsidR="008B736C" w:rsidRDefault="008B736C" w:rsidP="008B736C">
      <w:r>
        <w:t xml:space="preserve">Works are valued </w:t>
      </w:r>
      <w:r w:rsidR="00E46439">
        <w:t>by</w:t>
      </w:r>
      <w:r>
        <w:t xml:space="preserve"> stage, including construction stages, practical completion</w:t>
      </w:r>
      <w:r w:rsidR="00B4037C">
        <w:t>,</w:t>
      </w:r>
      <w:r>
        <w:t xml:space="preserve"> and </w:t>
      </w:r>
      <w:r w:rsidR="00B4037C">
        <w:t>defects liability period</w:t>
      </w:r>
      <w:r>
        <w:t xml:space="preserve">. Any works under a WIK agreement </w:t>
      </w:r>
      <w:r w:rsidR="00E46439">
        <w:t>are</w:t>
      </w:r>
      <w:r>
        <w:t xml:space="preserve"> subject to the provisions of any </w:t>
      </w:r>
      <w:r w:rsidR="00B4037C">
        <w:t>other</w:t>
      </w:r>
      <w:r w:rsidR="00FA0981">
        <w:t xml:space="preserve"> </w:t>
      </w:r>
      <w:r>
        <w:t xml:space="preserve">relevant </w:t>
      </w:r>
      <w:r w:rsidR="00B4037C">
        <w:t xml:space="preserve">legislation </w:t>
      </w:r>
      <w:r w:rsidR="00FA0981">
        <w:t>or code</w:t>
      </w:r>
      <w:r w:rsidR="00D172E4">
        <w:t xml:space="preserve"> </w:t>
      </w:r>
      <w:r w:rsidR="00CE5526">
        <w:t xml:space="preserve">and </w:t>
      </w:r>
      <w:r w:rsidR="008D4933">
        <w:t>may be subject to</w:t>
      </w:r>
      <w:r w:rsidR="00CE5526">
        <w:t xml:space="preserve"> performance bonds </w:t>
      </w:r>
      <w:r w:rsidR="008D4933">
        <w:t xml:space="preserve">and </w:t>
      </w:r>
      <w:r w:rsidR="00565409">
        <w:t xml:space="preserve">a separate </w:t>
      </w:r>
      <w:r w:rsidR="008D4933">
        <w:t xml:space="preserve">defects </w:t>
      </w:r>
      <w:r w:rsidR="00030184">
        <w:t>agreement</w:t>
      </w:r>
      <w:r>
        <w:t>.</w:t>
      </w:r>
    </w:p>
    <w:p w14:paraId="5B0BC39F" w14:textId="7D0DFFBF" w:rsidR="00536E48" w:rsidRDefault="00536E48" w:rsidP="00536E48">
      <w:pPr>
        <w:pStyle w:val="Heading2"/>
      </w:pPr>
      <w:r>
        <w:t>expenses</w:t>
      </w:r>
    </w:p>
    <w:p w14:paraId="6D5C8AF8" w14:textId="4E2A2848" w:rsidR="00536E48" w:rsidRDefault="00536E48" w:rsidP="00536E48">
      <w:r>
        <w:t xml:space="preserve">The GLE is required to fund VPA’s external expenses prior to approval of a WIK agreement </w:t>
      </w:r>
      <w:r w:rsidR="00B4037C">
        <w:t>and up to final</w:t>
      </w:r>
      <w:r>
        <w:t xml:space="preserve"> complet</w:t>
      </w:r>
      <w:r w:rsidR="00B4037C">
        <w:t>ion</w:t>
      </w:r>
      <w:r w:rsidR="00E405F8">
        <w:t xml:space="preserve"> of the agreement</w:t>
      </w:r>
      <w:r>
        <w:t>. These expenses may include land or works valuation</w:t>
      </w:r>
      <w:r w:rsidR="007E1F87">
        <w:t>s</w:t>
      </w:r>
      <w:r>
        <w:t xml:space="preserve">, oversight by </w:t>
      </w:r>
      <w:r w:rsidR="007E1F87">
        <w:t xml:space="preserve">the </w:t>
      </w:r>
      <w:r>
        <w:t>RA, and legal advice</w:t>
      </w:r>
      <w:r w:rsidR="007E1F87">
        <w:t>. These expenses can range</w:t>
      </w:r>
      <w:r>
        <w:t xml:space="preserve"> from $</w:t>
      </w:r>
      <w:r w:rsidR="00E55CB8">
        <w:t>5</w:t>
      </w:r>
      <w:r>
        <w:t>0,000 (land WIK</w:t>
      </w:r>
      <w:r w:rsidR="007E1F87">
        <w:t xml:space="preserve"> agreement</w:t>
      </w:r>
      <w:r>
        <w:t>) to $100,000 (land and works WIK</w:t>
      </w:r>
      <w:r w:rsidR="007E1F87">
        <w:t xml:space="preserve"> agreement</w:t>
      </w:r>
      <w:r>
        <w:t>).</w:t>
      </w:r>
    </w:p>
    <w:p w14:paraId="124C2EA1" w14:textId="36916E6A" w:rsidR="00536E48" w:rsidRDefault="00230BBA" w:rsidP="00536E48">
      <w:pPr>
        <w:pStyle w:val="Heading2"/>
      </w:pPr>
      <w:r>
        <w:t>ACTUAL</w:t>
      </w:r>
      <w:r w:rsidR="00536E48">
        <w:t xml:space="preserve"> OR POTENTIAL LIABILITY</w:t>
      </w:r>
    </w:p>
    <w:p w14:paraId="0FA58493" w14:textId="31968048" w:rsidR="00536E48" w:rsidRDefault="00711E53" w:rsidP="00536E48">
      <w:r>
        <w:t>The GAIC liability needs to be triggered during the WIK agreement</w:t>
      </w:r>
      <w:r w:rsidRPr="00EE6FC2">
        <w:t xml:space="preserve"> </w:t>
      </w:r>
      <w:r>
        <w:t xml:space="preserve">term to ensure that the WIK agreement value wholly or partly offsets that liability. </w:t>
      </w:r>
      <w:r w:rsidR="00974D23">
        <w:t>Once</w:t>
      </w:r>
      <w:r w:rsidR="00536E48">
        <w:t xml:space="preserve"> the GAIC liability </w:t>
      </w:r>
      <w:r w:rsidR="00974D23">
        <w:t>attached to relevant land</w:t>
      </w:r>
      <w:r w:rsidR="00536E48">
        <w:t xml:space="preserve"> has been triggered, the GAIC liability </w:t>
      </w:r>
      <w:r w:rsidR="00280D79">
        <w:t xml:space="preserve">on a date </w:t>
      </w:r>
      <w:r w:rsidR="00536E48">
        <w:t xml:space="preserve">is calculated </w:t>
      </w:r>
      <w:r w:rsidR="005664E3">
        <w:t xml:space="preserve">by applying the </w:t>
      </w:r>
      <w:r w:rsidR="005A4535">
        <w:t xml:space="preserve">relevant GAIC rate </w:t>
      </w:r>
      <w:r w:rsidR="00601836">
        <w:t xml:space="preserve">at the date of the GAIC event </w:t>
      </w:r>
      <w:r w:rsidR="00115EA1">
        <w:t xml:space="preserve">to the GAIC area plus </w:t>
      </w:r>
      <w:r w:rsidR="00536E48">
        <w:t>accrued interest</w:t>
      </w:r>
      <w:r w:rsidR="00280D79">
        <w:t xml:space="preserve"> </w:t>
      </w:r>
      <w:r w:rsidR="00EA447C">
        <w:t xml:space="preserve">from the trigger date </w:t>
      </w:r>
      <w:r w:rsidR="00280D79">
        <w:t>to that date</w:t>
      </w:r>
      <w:r w:rsidR="00536E48">
        <w:t xml:space="preserve">. </w:t>
      </w:r>
    </w:p>
    <w:p w14:paraId="2DD15B85" w14:textId="61A168C4" w:rsidR="00E62A94" w:rsidRPr="00227FF3" w:rsidRDefault="00E62A94" w:rsidP="00E62A94">
      <w:pPr>
        <w:pStyle w:val="Heading2"/>
      </w:pPr>
      <w:r w:rsidRPr="00227FF3">
        <w:lastRenderedPageBreak/>
        <w:t>GAIC FUNDS</w:t>
      </w:r>
    </w:p>
    <w:p w14:paraId="53B0D761" w14:textId="503B13D2" w:rsidR="00E62A94" w:rsidRDefault="00E62A94" w:rsidP="00E62A94">
      <w:r w:rsidRPr="00227FF3">
        <w:t>GAIC revenue received by the SRO is paid equally into the</w:t>
      </w:r>
      <w:r>
        <w:t xml:space="preserve"> Growth Areas Public Transport Fund (GAPTF) and the Building New Communities Fund (BNCF)</w:t>
      </w:r>
      <w:r w:rsidR="00E5574D">
        <w:t xml:space="preserve"> to </w:t>
      </w:r>
      <w:r w:rsidR="000653CE">
        <w:t xml:space="preserve">be used for state </w:t>
      </w:r>
      <w:r w:rsidR="008A2E11">
        <w:t>infrastructure</w:t>
      </w:r>
      <w:r w:rsidR="000653CE">
        <w:t xml:space="preserve"> projects </w:t>
      </w:r>
      <w:r w:rsidR="001C41CA">
        <w:t xml:space="preserve">including </w:t>
      </w:r>
      <w:r w:rsidR="00030D13">
        <w:t xml:space="preserve">associated land acquisition </w:t>
      </w:r>
      <w:r w:rsidR="000653CE">
        <w:t>in growth areas</w:t>
      </w:r>
      <w:r>
        <w:t xml:space="preserve">. </w:t>
      </w:r>
      <w:r w:rsidR="005F781A">
        <w:t xml:space="preserve">The </w:t>
      </w:r>
      <w:r>
        <w:t>GAPTF may fund public transport infrastructure</w:t>
      </w:r>
      <w:r w:rsidR="00BC6F3C">
        <w:t>,</w:t>
      </w:r>
      <w:r>
        <w:t xml:space="preserve"> or services</w:t>
      </w:r>
      <w:r w:rsidR="005F781A">
        <w:t xml:space="preserve"> </w:t>
      </w:r>
      <w:r w:rsidR="00D85F39">
        <w:t xml:space="preserve">for five </w:t>
      </w:r>
      <w:r w:rsidR="00BE1B63">
        <w:t>years</w:t>
      </w:r>
      <w:r w:rsidR="007C0CD5">
        <w:t xml:space="preserve">. </w:t>
      </w:r>
      <w:r w:rsidR="00E5574D">
        <w:t>T</w:t>
      </w:r>
      <w:r w:rsidR="00D85F39">
        <w:t xml:space="preserve">he </w:t>
      </w:r>
      <w:r>
        <w:t xml:space="preserve">BNCF may fund other (non GAPTF) transport, community, environmental and economic </w:t>
      </w:r>
      <w:r w:rsidR="000653CE">
        <w:t>infrastructure</w:t>
      </w:r>
      <w:r>
        <w:t>.</w:t>
      </w:r>
    </w:p>
    <w:p w14:paraId="0ACA2205" w14:textId="58184AE4" w:rsidR="00727F55" w:rsidRPr="00727F55" w:rsidRDefault="00102ECD" w:rsidP="00A40C56">
      <w:pPr>
        <w:pStyle w:val="Heading2"/>
      </w:pPr>
      <w:r>
        <w:t>APPLICATION</w:t>
      </w:r>
    </w:p>
    <w:p w14:paraId="48954398" w14:textId="5FE70E54" w:rsidR="00E47F52" w:rsidRDefault="000008A2" w:rsidP="005471FE">
      <w:r>
        <w:t xml:space="preserve">A formal application </w:t>
      </w:r>
      <w:r w:rsidR="007E37FB">
        <w:t xml:space="preserve">for a WIK agreement </w:t>
      </w:r>
      <w:r w:rsidR="00312D3F">
        <w:t>should</w:t>
      </w:r>
      <w:r>
        <w:t xml:space="preserve"> detail </w:t>
      </w:r>
      <w:r w:rsidR="00312D3F">
        <w:t>the</w:t>
      </w:r>
      <w:r>
        <w:t xml:space="preserve"> </w:t>
      </w:r>
      <w:r w:rsidR="006B231D">
        <w:t xml:space="preserve">land </w:t>
      </w:r>
      <w:r w:rsidR="00312D3F">
        <w:t xml:space="preserve">transfer </w:t>
      </w:r>
      <w:r w:rsidR="006B231D">
        <w:t xml:space="preserve">or works </w:t>
      </w:r>
      <w:r w:rsidR="00312D3F">
        <w:t>proposed, timing</w:t>
      </w:r>
      <w:r w:rsidR="0033006C">
        <w:t xml:space="preserve">, </w:t>
      </w:r>
      <w:r w:rsidR="006A4B52">
        <w:t xml:space="preserve">expected </w:t>
      </w:r>
      <w:r w:rsidR="0033006C">
        <w:t>staging</w:t>
      </w:r>
      <w:r w:rsidR="00312D3F">
        <w:t>,</w:t>
      </w:r>
      <w:r w:rsidR="0033006C">
        <w:t xml:space="preserve"> scope</w:t>
      </w:r>
      <w:r w:rsidR="00312D3F">
        <w:t>,</w:t>
      </w:r>
      <w:r w:rsidR="00757039">
        <w:t xml:space="preserve"> value</w:t>
      </w:r>
      <w:r w:rsidR="0033006C">
        <w:t xml:space="preserve"> and </w:t>
      </w:r>
      <w:r w:rsidR="00312D3F">
        <w:t>anticipated</w:t>
      </w:r>
      <w:r w:rsidR="009D1ACB">
        <w:t xml:space="preserve"> GAIC liability</w:t>
      </w:r>
      <w:r w:rsidR="00B87264">
        <w:t>.</w:t>
      </w:r>
      <w:r w:rsidR="001C09A1">
        <w:t xml:space="preserve"> </w:t>
      </w:r>
      <w:r w:rsidR="00312D3F">
        <w:t xml:space="preserve">Applicants should confirm that their proposal complies with the Act. </w:t>
      </w:r>
      <w:r w:rsidR="001C09A1">
        <w:t>An application form is available online</w:t>
      </w:r>
      <w:r w:rsidR="00D355CD">
        <w:t xml:space="preserve"> from DELWP.</w:t>
      </w:r>
    </w:p>
    <w:p w14:paraId="655A38A2" w14:textId="5B926E56" w:rsidR="00002D18" w:rsidRDefault="005F5960" w:rsidP="005471FE">
      <w:r>
        <w:t xml:space="preserve">The </w:t>
      </w:r>
      <w:r w:rsidR="008C51B6">
        <w:t>application</w:t>
      </w:r>
      <w:r>
        <w:t xml:space="preserve"> </w:t>
      </w:r>
      <w:r w:rsidR="00A405C4">
        <w:t>must</w:t>
      </w:r>
      <w:r>
        <w:t xml:space="preserve"> detail a</w:t>
      </w:r>
      <w:r w:rsidR="00E02648">
        <w:t>ny</w:t>
      </w:r>
      <w:r>
        <w:t xml:space="preserve"> </w:t>
      </w:r>
      <w:r w:rsidR="009D1ACB">
        <w:t xml:space="preserve">staged payment arrangements that </w:t>
      </w:r>
      <w:r w:rsidR="003A08E1">
        <w:t xml:space="preserve">may interact with the WIK agreement and any </w:t>
      </w:r>
      <w:r w:rsidR="007E7826">
        <w:t xml:space="preserve">expected financial or </w:t>
      </w:r>
      <w:r w:rsidR="003A08E1">
        <w:t xml:space="preserve">other details that </w:t>
      </w:r>
      <w:r w:rsidR="00A405C4">
        <w:t xml:space="preserve">will </w:t>
      </w:r>
      <w:r w:rsidR="003A08E1">
        <w:t xml:space="preserve">assist </w:t>
      </w:r>
      <w:r w:rsidR="00312D3F">
        <w:t xml:space="preserve">VPA in </w:t>
      </w:r>
      <w:r w:rsidR="008C51B6">
        <w:t>its</w:t>
      </w:r>
      <w:r w:rsidR="003A08E1">
        <w:t xml:space="preserve"> assessment</w:t>
      </w:r>
      <w:r w:rsidR="000F08B8">
        <w:t>.</w:t>
      </w:r>
    </w:p>
    <w:p w14:paraId="20CB298B" w14:textId="77777777" w:rsidR="005D4B71" w:rsidRDefault="005D4B71" w:rsidP="0080320A">
      <w:pPr>
        <w:pStyle w:val="Heading2"/>
      </w:pPr>
      <w:r>
        <w:t>SUPPLEMENTARY PAYMENTS</w:t>
      </w:r>
    </w:p>
    <w:p w14:paraId="4836A6B7" w14:textId="7B075494" w:rsidR="001D47C8" w:rsidRDefault="005D4B71" w:rsidP="005471FE">
      <w:r w:rsidRPr="005D4B71">
        <w:t>Ideally, a GLE's</w:t>
      </w:r>
      <w:r w:rsidR="00EB66A9" w:rsidRPr="00EB66A9">
        <w:t xml:space="preserve"> </w:t>
      </w:r>
      <w:r w:rsidR="00EB66A9">
        <w:t>GAIC</w:t>
      </w:r>
      <w:r w:rsidR="00F27539">
        <w:t xml:space="preserve"> liability </w:t>
      </w:r>
      <w:r w:rsidRPr="005D4B71">
        <w:t>should exceed</w:t>
      </w:r>
      <w:r w:rsidR="005347F2">
        <w:t xml:space="preserve"> the value</w:t>
      </w:r>
      <w:r w:rsidRPr="005D4B71">
        <w:t xml:space="preserve"> of the WIK agreement so that a </w:t>
      </w:r>
      <w:r w:rsidR="005347F2">
        <w:t xml:space="preserve">supplementary payment </w:t>
      </w:r>
      <w:r w:rsidRPr="005D4B71">
        <w:t xml:space="preserve">from GAPTF or BNCF is not </w:t>
      </w:r>
      <w:r w:rsidR="005347F2">
        <w:t>required</w:t>
      </w:r>
      <w:r w:rsidRPr="005D4B71">
        <w:t>.</w:t>
      </w:r>
      <w:r w:rsidR="006131FB">
        <w:t xml:space="preserve"> </w:t>
      </w:r>
      <w:r w:rsidR="009461A2">
        <w:t xml:space="preserve">The VPA does not determine the allocation of </w:t>
      </w:r>
      <w:r>
        <w:t>these</w:t>
      </w:r>
      <w:r w:rsidR="009461A2">
        <w:t xml:space="preserve"> funds.</w:t>
      </w:r>
    </w:p>
    <w:p w14:paraId="6F91A978" w14:textId="66229FA3" w:rsidR="009461A2" w:rsidRPr="00ED493F" w:rsidRDefault="005D4B71" w:rsidP="005471FE">
      <w:r>
        <w:t>Supplementary payments</w:t>
      </w:r>
      <w:r w:rsidR="009461A2">
        <w:t xml:space="preserve"> must be authorised by the minister, with the approval of the Treasurer for GAPTF </w:t>
      </w:r>
      <w:r>
        <w:t>and</w:t>
      </w:r>
      <w:r w:rsidR="009461A2">
        <w:t xml:space="preserve"> BNCF of $2 million or more, </w:t>
      </w:r>
      <w:r w:rsidR="00C53FD7">
        <w:t>prior to execution of</w:t>
      </w:r>
      <w:r w:rsidR="009461A2">
        <w:t xml:space="preserve"> the WIK </w:t>
      </w:r>
      <w:r w:rsidR="00C53FD7">
        <w:t>agreement</w:t>
      </w:r>
      <w:r w:rsidR="009461A2">
        <w:t xml:space="preserve"> by the minister.</w:t>
      </w:r>
      <w:r w:rsidR="007D30EC">
        <w:t xml:space="preserve"> </w:t>
      </w:r>
      <w:r w:rsidR="009461A2">
        <w:t xml:space="preserve">If a supplementary payment is not available, </w:t>
      </w:r>
      <w:r w:rsidR="00C53FD7">
        <w:t>the</w:t>
      </w:r>
      <w:r w:rsidR="009461A2">
        <w:t xml:space="preserve"> WIK agreement will not proceed.</w:t>
      </w:r>
    </w:p>
    <w:p w14:paraId="1A3631DC" w14:textId="3D92B2B6" w:rsidR="009500AD" w:rsidRDefault="009500AD" w:rsidP="00A40C56">
      <w:pPr>
        <w:pStyle w:val="Heading2"/>
      </w:pPr>
      <w:r>
        <w:t>GOODS AND SERVICES TAX (GST)</w:t>
      </w:r>
    </w:p>
    <w:p w14:paraId="102E6036" w14:textId="3BE16993" w:rsidR="009500AD" w:rsidRDefault="009B61E9" w:rsidP="00F23CF7">
      <w:r>
        <w:t xml:space="preserve">GST will </w:t>
      </w:r>
      <w:r w:rsidR="007353B9">
        <w:t xml:space="preserve">usually apply to the WIK agreement and is accounted for </w:t>
      </w:r>
      <w:r w:rsidR="002E7DCF">
        <w:t xml:space="preserve">in settlement of a stage. The GST is </w:t>
      </w:r>
      <w:r w:rsidR="009640C6">
        <w:t xml:space="preserve">funded by the </w:t>
      </w:r>
      <w:r w:rsidR="00EE7D27">
        <w:t>RA</w:t>
      </w:r>
      <w:r w:rsidR="009640C6">
        <w:t xml:space="preserve"> and then recovered </w:t>
      </w:r>
      <w:r w:rsidR="00C53FD7">
        <w:t xml:space="preserve">by the RA </w:t>
      </w:r>
      <w:r w:rsidR="009640C6">
        <w:t>from the Australian Taxation Office</w:t>
      </w:r>
      <w:r w:rsidR="00771AD1">
        <w:t>.</w:t>
      </w:r>
    </w:p>
    <w:p w14:paraId="45D85965" w14:textId="6FA78CE7" w:rsidR="006B550F" w:rsidRDefault="006B550F" w:rsidP="00A40C56">
      <w:pPr>
        <w:pStyle w:val="Heading2"/>
      </w:pPr>
      <w:r>
        <w:t>NEGOTIATION</w:t>
      </w:r>
    </w:p>
    <w:p w14:paraId="483DC93D" w14:textId="004B05A7" w:rsidR="006B550F" w:rsidRDefault="006B550F" w:rsidP="006B550F">
      <w:r>
        <w:t xml:space="preserve">The parties to a WIK </w:t>
      </w:r>
      <w:r w:rsidR="00C53FD7">
        <w:t xml:space="preserve">agreement </w:t>
      </w:r>
      <w:r w:rsidR="002069DE">
        <w:t xml:space="preserve">will </w:t>
      </w:r>
      <w:r>
        <w:t xml:space="preserve">negotiate </w:t>
      </w:r>
      <w:r w:rsidR="002069DE">
        <w:t xml:space="preserve">all terms including </w:t>
      </w:r>
      <w:r>
        <w:t xml:space="preserve">value, timing, staging, </w:t>
      </w:r>
      <w:r w:rsidR="00C53FD7">
        <w:t xml:space="preserve">VPA </w:t>
      </w:r>
      <w:r w:rsidR="002069DE">
        <w:t xml:space="preserve">determinations, and performance </w:t>
      </w:r>
      <w:r w:rsidR="00C53FD7">
        <w:t>targets before the</w:t>
      </w:r>
      <w:r w:rsidR="002069DE">
        <w:t xml:space="preserve"> draft WIK agreement </w:t>
      </w:r>
      <w:r w:rsidR="00C53FD7">
        <w:t>is prepared</w:t>
      </w:r>
      <w:r w:rsidR="002069DE">
        <w:t xml:space="preserve"> for approval. This process may </w:t>
      </w:r>
      <w:r w:rsidR="0003427F">
        <w:t xml:space="preserve">take </w:t>
      </w:r>
      <w:r w:rsidR="009C5EAF">
        <w:t>a few</w:t>
      </w:r>
      <w:r w:rsidR="0003427F">
        <w:t xml:space="preserve"> months </w:t>
      </w:r>
      <w:r w:rsidR="00723941">
        <w:t>for a straightforward WIK</w:t>
      </w:r>
      <w:r w:rsidR="000F47BC">
        <w:t xml:space="preserve"> agreement </w:t>
      </w:r>
      <w:r w:rsidR="00C53FD7">
        <w:t>or</w:t>
      </w:r>
      <w:r w:rsidR="0003427F">
        <w:t xml:space="preserve"> </w:t>
      </w:r>
      <w:r w:rsidR="009C5EAF">
        <w:t xml:space="preserve">a few years for </w:t>
      </w:r>
      <w:r w:rsidR="000F47BC">
        <w:t xml:space="preserve">a </w:t>
      </w:r>
      <w:r w:rsidR="009C5EAF">
        <w:t>complex WIK agreement.</w:t>
      </w:r>
    </w:p>
    <w:p w14:paraId="483089DB" w14:textId="2D14DF4D" w:rsidR="0089793E" w:rsidRDefault="008E02DF" w:rsidP="008E02DF">
      <w:pPr>
        <w:pStyle w:val="Heading2"/>
      </w:pPr>
      <w:r>
        <w:t>AGREEMENT</w:t>
      </w:r>
    </w:p>
    <w:p w14:paraId="14C74A58" w14:textId="59247E08" w:rsidR="008E02DF" w:rsidRDefault="004B2E22" w:rsidP="00E86304">
      <w:pPr>
        <w:pStyle w:val="Normalafter0pt"/>
      </w:pPr>
      <w:r>
        <w:t xml:space="preserve">The WIK agreement must meet </w:t>
      </w:r>
      <w:r w:rsidR="00C53FD7">
        <w:t xml:space="preserve">the </w:t>
      </w:r>
      <w:r>
        <w:t xml:space="preserve">provisions of the Act and </w:t>
      </w:r>
      <w:r w:rsidR="00FC0557">
        <w:t xml:space="preserve">will normally </w:t>
      </w:r>
      <w:r>
        <w:t>include</w:t>
      </w:r>
      <w:r w:rsidR="007A20AD">
        <w:t xml:space="preserve"> terms</w:t>
      </w:r>
      <w:r w:rsidR="00B64ABF" w:rsidRPr="00B64ABF">
        <w:t xml:space="preserve"> </w:t>
      </w:r>
      <w:r w:rsidR="00C53FD7">
        <w:t>regarding</w:t>
      </w:r>
      <w:r w:rsidR="00E86304">
        <w:t>:</w:t>
      </w:r>
    </w:p>
    <w:p w14:paraId="49E8373B" w14:textId="02D52477" w:rsidR="00851873" w:rsidRDefault="00851873" w:rsidP="00E86304">
      <w:pPr>
        <w:pStyle w:val="Dot"/>
      </w:pPr>
      <w:r>
        <w:t>each party’s</w:t>
      </w:r>
      <w:r w:rsidR="00C95A47">
        <w:t xml:space="preserve"> </w:t>
      </w:r>
      <w:r>
        <w:t>role</w:t>
      </w:r>
      <w:r w:rsidR="00F4529A">
        <w:t xml:space="preserve"> and responsibilities</w:t>
      </w:r>
    </w:p>
    <w:p w14:paraId="6D5360F0" w14:textId="4D14EF02" w:rsidR="001F601A" w:rsidRDefault="00C53FD7" w:rsidP="00E86304">
      <w:pPr>
        <w:pStyle w:val="Dot"/>
      </w:pPr>
      <w:r>
        <w:t xml:space="preserve">the </w:t>
      </w:r>
      <w:r w:rsidR="003130B6">
        <w:t xml:space="preserve">land with </w:t>
      </w:r>
      <w:r>
        <w:t>the</w:t>
      </w:r>
      <w:r w:rsidR="003130B6">
        <w:t xml:space="preserve"> GAIC liability </w:t>
      </w:r>
      <w:r w:rsidR="005D33C1">
        <w:t xml:space="preserve">and any </w:t>
      </w:r>
      <w:r w:rsidR="00D86143">
        <w:t xml:space="preserve">applicable </w:t>
      </w:r>
      <w:r w:rsidR="005D33C1">
        <w:t>SPA</w:t>
      </w:r>
    </w:p>
    <w:p w14:paraId="1DB3B5B8" w14:textId="5CFA5D19" w:rsidR="00B64ABF" w:rsidRDefault="00AC5C0E" w:rsidP="00E86304">
      <w:pPr>
        <w:pStyle w:val="Dot"/>
      </w:pPr>
      <w:r>
        <w:t xml:space="preserve">restrictions </w:t>
      </w:r>
      <w:r w:rsidR="004C7490">
        <w:t xml:space="preserve">on </w:t>
      </w:r>
      <w:r>
        <w:t>land dealing</w:t>
      </w:r>
      <w:r w:rsidR="00860DE3">
        <w:t>s</w:t>
      </w:r>
      <w:r w:rsidR="00AB0B1B">
        <w:t xml:space="preserve"> </w:t>
      </w:r>
      <w:r w:rsidR="00D86143">
        <w:t>and approval process for</w:t>
      </w:r>
      <w:r w:rsidR="00AB0B1B">
        <w:t xml:space="preserve"> works</w:t>
      </w:r>
    </w:p>
    <w:p w14:paraId="11A3B7AD" w14:textId="387A7D23" w:rsidR="0001605C" w:rsidRDefault="00B44900" w:rsidP="00E86304">
      <w:pPr>
        <w:pStyle w:val="Dot"/>
      </w:pPr>
      <w:r>
        <w:t xml:space="preserve">works </w:t>
      </w:r>
      <w:r w:rsidR="000D2895">
        <w:t>variation</w:t>
      </w:r>
      <w:r w:rsidR="00D86143">
        <w:t>s</w:t>
      </w:r>
      <w:r w:rsidR="000D2895">
        <w:t xml:space="preserve"> </w:t>
      </w:r>
      <w:r w:rsidR="00D86143">
        <w:t>process</w:t>
      </w:r>
    </w:p>
    <w:p w14:paraId="65B93E65" w14:textId="4E1F7A0F" w:rsidR="005F2A5C" w:rsidRDefault="003C4CAA" w:rsidP="00E86304">
      <w:pPr>
        <w:pStyle w:val="Dot"/>
      </w:pPr>
      <w:r>
        <w:t>amendments</w:t>
      </w:r>
      <w:r w:rsidR="00F7597E">
        <w:t xml:space="preserve"> and ending the </w:t>
      </w:r>
      <w:r w:rsidR="00C7539C">
        <w:t xml:space="preserve">WIK </w:t>
      </w:r>
      <w:r w:rsidR="00F7597E">
        <w:t>agreement</w:t>
      </w:r>
    </w:p>
    <w:p w14:paraId="42DFC708" w14:textId="289A8331" w:rsidR="00955788" w:rsidRDefault="009E67B5" w:rsidP="00E86304">
      <w:pPr>
        <w:pStyle w:val="Dot"/>
      </w:pPr>
      <w:r>
        <w:t xml:space="preserve">works </w:t>
      </w:r>
      <w:r w:rsidR="00955788">
        <w:t>defects liability period</w:t>
      </w:r>
      <w:r w:rsidR="00D86143">
        <w:t>s</w:t>
      </w:r>
      <w:r w:rsidR="00955788">
        <w:t xml:space="preserve"> </w:t>
      </w:r>
      <w:r>
        <w:t>and security bond</w:t>
      </w:r>
      <w:r w:rsidR="00D86143">
        <w:t>s</w:t>
      </w:r>
    </w:p>
    <w:p w14:paraId="1C836CC2" w14:textId="203C5F19" w:rsidR="00BA1FB9" w:rsidRDefault="00BA1FB9" w:rsidP="00E86304">
      <w:pPr>
        <w:pStyle w:val="Dot"/>
      </w:pPr>
      <w:r>
        <w:t xml:space="preserve">settlement of </w:t>
      </w:r>
      <w:r w:rsidR="00E37BF2">
        <w:t>e</w:t>
      </w:r>
      <w:r>
        <w:t>a</w:t>
      </w:r>
      <w:r w:rsidR="00E37BF2">
        <w:t>ch</w:t>
      </w:r>
      <w:r>
        <w:t xml:space="preserve"> stage </w:t>
      </w:r>
      <w:r w:rsidR="00B93AB9">
        <w:t>and final</w:t>
      </w:r>
      <w:r w:rsidR="00D86143">
        <w:t xml:space="preserve"> completion</w:t>
      </w:r>
    </w:p>
    <w:p w14:paraId="005C30E8" w14:textId="14A8DA51" w:rsidR="00730048" w:rsidRDefault="00535222" w:rsidP="00E86304">
      <w:pPr>
        <w:pStyle w:val="Dot"/>
      </w:pPr>
      <w:r>
        <w:t xml:space="preserve">value determinations and </w:t>
      </w:r>
      <w:r w:rsidR="00730048">
        <w:t xml:space="preserve">costs </w:t>
      </w:r>
      <w:r w:rsidR="0018636A">
        <w:t>that may</w:t>
      </w:r>
      <w:r w:rsidR="00730048">
        <w:t xml:space="preserve"> be included</w:t>
      </w:r>
    </w:p>
    <w:p w14:paraId="73C7FE1A" w14:textId="471914BA" w:rsidR="0057039B" w:rsidRDefault="00D86143" w:rsidP="00E86304">
      <w:pPr>
        <w:pStyle w:val="Dot"/>
      </w:pPr>
      <w:r>
        <w:t xml:space="preserve">inspections, </w:t>
      </w:r>
      <w:r w:rsidR="0057039B">
        <w:t>notifications</w:t>
      </w:r>
      <w:r w:rsidR="00F4294B">
        <w:t>,</w:t>
      </w:r>
      <w:r w:rsidR="0057039B">
        <w:t xml:space="preserve"> </w:t>
      </w:r>
      <w:r w:rsidR="00A41896">
        <w:t>and determinations</w:t>
      </w:r>
      <w:r w:rsidR="00E62887">
        <w:t xml:space="preserve"> procedure</w:t>
      </w:r>
      <w:r>
        <w:t>s</w:t>
      </w:r>
    </w:p>
    <w:p w14:paraId="5320D008" w14:textId="1336818F" w:rsidR="009D47CA" w:rsidRDefault="009D47CA" w:rsidP="00E86304">
      <w:pPr>
        <w:pStyle w:val="Dot"/>
      </w:pPr>
      <w:r>
        <w:t>consequences of default</w:t>
      </w:r>
    </w:p>
    <w:p w14:paraId="2D14FD3A" w14:textId="5B2F41CD" w:rsidR="009678B9" w:rsidRDefault="009678B9" w:rsidP="00E86304">
      <w:pPr>
        <w:pStyle w:val="Dot"/>
      </w:pPr>
      <w:r>
        <w:t>VPA external expenses</w:t>
      </w:r>
    </w:p>
    <w:p w14:paraId="07E45DB8" w14:textId="67477F76" w:rsidR="003C4CAA" w:rsidRDefault="00AF7805" w:rsidP="00E86304">
      <w:pPr>
        <w:pStyle w:val="Dot"/>
      </w:pPr>
      <w:r>
        <w:t>publication</w:t>
      </w:r>
      <w:r w:rsidR="005F2A5C">
        <w:t xml:space="preserve"> online </w:t>
      </w:r>
      <w:r w:rsidR="001B5B2D">
        <w:t xml:space="preserve">in </w:t>
      </w:r>
      <w:r w:rsidR="00D86143">
        <w:t xml:space="preserve">the </w:t>
      </w:r>
      <w:r w:rsidR="005F2A5C">
        <w:t>public register of WIK agreements</w:t>
      </w:r>
      <w:r w:rsidR="00F7597E">
        <w:t>.</w:t>
      </w:r>
    </w:p>
    <w:p w14:paraId="7EAE9317" w14:textId="09732FA4" w:rsidR="00DA1030" w:rsidRPr="008E02DF" w:rsidRDefault="00CD2979" w:rsidP="00573610">
      <w:r>
        <w:t>A mod</w:t>
      </w:r>
      <w:r w:rsidRPr="00573610">
        <w:t xml:space="preserve">el agreement is available </w:t>
      </w:r>
      <w:r w:rsidR="004D6AD2">
        <w:t>from the VPA</w:t>
      </w:r>
      <w:r w:rsidR="00F15BF8">
        <w:t xml:space="preserve"> and may be varied </w:t>
      </w:r>
      <w:r w:rsidR="0051177C">
        <w:t xml:space="preserve">by agreement between </w:t>
      </w:r>
      <w:r w:rsidR="00D86143">
        <w:t xml:space="preserve">the </w:t>
      </w:r>
      <w:r w:rsidR="0051177C">
        <w:t xml:space="preserve">parties </w:t>
      </w:r>
      <w:r w:rsidR="00D86143">
        <w:t xml:space="preserve">at the GLE’s cost </w:t>
      </w:r>
      <w:r w:rsidR="0051177C">
        <w:t>provided it remains consistent with the Act</w:t>
      </w:r>
      <w:r w:rsidR="005C1E5B" w:rsidRPr="00573610">
        <w:t>.</w:t>
      </w:r>
      <w:r w:rsidR="00781D76" w:rsidRPr="00573610">
        <w:t xml:space="preserve"> The Act </w:t>
      </w:r>
      <w:r w:rsidR="00D86143">
        <w:t>will</w:t>
      </w:r>
      <w:r w:rsidR="00781D76">
        <w:t xml:space="preserve"> </w:t>
      </w:r>
      <w:r w:rsidR="00EA7023">
        <w:t xml:space="preserve">prevail </w:t>
      </w:r>
      <w:r w:rsidR="00D86143">
        <w:t xml:space="preserve">to the extent of </w:t>
      </w:r>
      <w:r w:rsidR="00674939">
        <w:t xml:space="preserve">any </w:t>
      </w:r>
      <w:r w:rsidR="00EA7023">
        <w:t>inconsisten</w:t>
      </w:r>
      <w:r w:rsidR="00674939">
        <w:t>cy with</w:t>
      </w:r>
      <w:r w:rsidR="00EA7023">
        <w:t xml:space="preserve"> the</w:t>
      </w:r>
      <w:r w:rsidR="00781D76">
        <w:t xml:space="preserve"> WIK agreement </w:t>
      </w:r>
      <w:r w:rsidR="00674939">
        <w:t>or these</w:t>
      </w:r>
      <w:r w:rsidR="005218DA">
        <w:t xml:space="preserve"> guidelines</w:t>
      </w:r>
      <w:r w:rsidR="00973C28">
        <w:t>.</w:t>
      </w:r>
    </w:p>
    <w:p w14:paraId="39876F52" w14:textId="39FA16DF" w:rsidR="001D47C8" w:rsidRDefault="00102ECD" w:rsidP="00A40C56">
      <w:pPr>
        <w:pStyle w:val="Heading2"/>
      </w:pPr>
      <w:r>
        <w:t>APPROVAL</w:t>
      </w:r>
      <w:r w:rsidR="00674939">
        <w:t xml:space="preserve"> AND EXECUTION</w:t>
      </w:r>
    </w:p>
    <w:p w14:paraId="12BFB832" w14:textId="1F6643B0" w:rsidR="00B40440" w:rsidRDefault="006B550F" w:rsidP="00B40440">
      <w:r>
        <w:t>A</w:t>
      </w:r>
      <w:r w:rsidR="00AF49DB">
        <w:t xml:space="preserve">pproval </w:t>
      </w:r>
      <w:r w:rsidR="00674939">
        <w:t xml:space="preserve">and execution </w:t>
      </w:r>
      <w:r w:rsidR="00AF49DB">
        <w:t xml:space="preserve">may take </w:t>
      </w:r>
      <w:r w:rsidR="00674939">
        <w:t>up to</w:t>
      </w:r>
      <w:r w:rsidR="00AF49DB">
        <w:t xml:space="preserve"> two months </w:t>
      </w:r>
      <w:r w:rsidR="00674939">
        <w:t>following</w:t>
      </w:r>
      <w:r>
        <w:t xml:space="preserve"> the finalisation of the draft WIK agreement to </w:t>
      </w:r>
      <w:r w:rsidR="00674939">
        <w:t xml:space="preserve">ensure </w:t>
      </w:r>
      <w:r>
        <w:t>compl</w:t>
      </w:r>
      <w:r w:rsidR="00674939">
        <w:t>iance</w:t>
      </w:r>
      <w:r>
        <w:t xml:space="preserve"> with</w:t>
      </w:r>
      <w:r w:rsidR="00AF49DB">
        <w:t xml:space="preserve"> the Act. The order of </w:t>
      </w:r>
      <w:r w:rsidR="00674939">
        <w:t>execution</w:t>
      </w:r>
      <w:r w:rsidR="00AF49DB">
        <w:t xml:space="preserve"> is</w:t>
      </w:r>
      <w:r w:rsidR="00674939">
        <w:t>:</w:t>
      </w:r>
      <w:r w:rsidR="00AF49DB">
        <w:t xml:space="preserve"> GLE and developer, RA, VPA, and </w:t>
      </w:r>
      <w:r>
        <w:t>then</w:t>
      </w:r>
      <w:r w:rsidR="00AF49DB">
        <w:t xml:space="preserve"> the minister</w:t>
      </w:r>
      <w:r w:rsidR="00674939">
        <w:t>, who also obtains</w:t>
      </w:r>
      <w:r w:rsidR="009700A5">
        <w:t xml:space="preserve"> the Treasurer</w:t>
      </w:r>
      <w:r w:rsidR="00674939">
        <w:t>’s consent if required</w:t>
      </w:r>
      <w:r w:rsidR="00AF49DB">
        <w:t>.</w:t>
      </w:r>
    </w:p>
    <w:p w14:paraId="3480D7F9" w14:textId="09245A4E" w:rsidR="00B40440" w:rsidRDefault="009B61E9" w:rsidP="00A40C56">
      <w:pPr>
        <w:pStyle w:val="Heading2"/>
      </w:pPr>
      <w:r>
        <w:t>SETTLEMENT</w:t>
      </w:r>
    </w:p>
    <w:p w14:paraId="0AD15C97" w14:textId="20BAEE8F" w:rsidR="0091700C" w:rsidRDefault="00674939" w:rsidP="00B40440">
      <w:r>
        <w:t>A joint</w:t>
      </w:r>
      <w:r w:rsidR="004C54E5">
        <w:t xml:space="preserve"> site inspection of land or works will </w:t>
      </w:r>
      <w:r>
        <w:t>precede</w:t>
      </w:r>
      <w:r w:rsidR="004C54E5">
        <w:t xml:space="preserve"> </w:t>
      </w:r>
      <w:r w:rsidR="00030231">
        <w:t xml:space="preserve">determination of value and </w:t>
      </w:r>
      <w:r w:rsidR="004C54E5">
        <w:t>settlement of each stage</w:t>
      </w:r>
      <w:r w:rsidR="00030231">
        <w:t xml:space="preserve">. </w:t>
      </w:r>
      <w:r w:rsidR="00275B1C">
        <w:t xml:space="preserve">Settlement </w:t>
      </w:r>
      <w:r>
        <w:t>of</w:t>
      </w:r>
      <w:r w:rsidR="00275B1C">
        <w:t xml:space="preserve"> land </w:t>
      </w:r>
      <w:r w:rsidR="0037399B">
        <w:t xml:space="preserve">requires </w:t>
      </w:r>
      <w:r w:rsidR="0077257D">
        <w:t xml:space="preserve">a </w:t>
      </w:r>
      <w:r w:rsidR="0080386F">
        <w:t>formal title for the land be</w:t>
      </w:r>
      <w:r w:rsidR="00734125">
        <w:t>ing</w:t>
      </w:r>
      <w:r w:rsidR="0080386F">
        <w:t xml:space="preserve"> transferred </w:t>
      </w:r>
      <w:r w:rsidR="00734125">
        <w:t xml:space="preserve">to the RA </w:t>
      </w:r>
      <w:r w:rsidR="0080386F">
        <w:t xml:space="preserve">and </w:t>
      </w:r>
      <w:r w:rsidR="0037399B">
        <w:t xml:space="preserve">adjustment of </w:t>
      </w:r>
      <w:r w:rsidR="00734125">
        <w:t xml:space="preserve">any </w:t>
      </w:r>
      <w:r w:rsidR="0037399B">
        <w:t xml:space="preserve">fees and service charges that may apply </w:t>
      </w:r>
      <w:r w:rsidR="00722C85">
        <w:t>at settlement.</w:t>
      </w:r>
    </w:p>
    <w:p w14:paraId="52A91E81" w14:textId="3E5EB53F" w:rsidR="009B61E9" w:rsidRDefault="00F73CBF" w:rsidP="00B40440">
      <w:r>
        <w:t xml:space="preserve">Final settlement of a WIK agreement </w:t>
      </w:r>
      <w:r w:rsidR="00563CCE">
        <w:t xml:space="preserve">will only occur after </w:t>
      </w:r>
      <w:r w:rsidR="00DE4873">
        <w:t>completion</w:t>
      </w:r>
      <w:r w:rsidR="00563CCE">
        <w:t xml:space="preserve"> of all specified </w:t>
      </w:r>
      <w:r w:rsidR="00951F75">
        <w:t xml:space="preserve">conditions including satisfactory </w:t>
      </w:r>
      <w:r w:rsidR="00482AA2">
        <w:t>remediation</w:t>
      </w:r>
      <w:r w:rsidR="00951F75">
        <w:t xml:space="preserve"> of </w:t>
      </w:r>
      <w:r w:rsidR="00027D23">
        <w:t xml:space="preserve">any </w:t>
      </w:r>
      <w:r w:rsidR="00FE3C38">
        <w:t xml:space="preserve">works </w:t>
      </w:r>
      <w:r w:rsidR="00027D23">
        <w:t xml:space="preserve">defects identified at the end of the </w:t>
      </w:r>
      <w:proofErr w:type="gramStart"/>
      <w:r w:rsidR="00027D23">
        <w:t>defects</w:t>
      </w:r>
      <w:proofErr w:type="gramEnd"/>
      <w:r w:rsidR="00027D23">
        <w:t xml:space="preserve"> liability period</w:t>
      </w:r>
      <w:r w:rsidR="001B4251">
        <w:t xml:space="preserve">, release of any security bonds and </w:t>
      </w:r>
      <w:r w:rsidR="00734125">
        <w:t xml:space="preserve">execution of </w:t>
      </w:r>
      <w:r w:rsidR="001B4251">
        <w:t xml:space="preserve">a no claims release </w:t>
      </w:r>
      <w:r w:rsidR="00307140">
        <w:t>by the GLE and developer</w:t>
      </w:r>
      <w:r w:rsidR="00734125">
        <w:t xml:space="preserve"> (if applicable)</w:t>
      </w:r>
      <w:r w:rsidR="00027D23">
        <w:t>.</w:t>
      </w:r>
    </w:p>
    <w:p w14:paraId="54EED670" w14:textId="7FCF096D" w:rsidR="008133CE" w:rsidRDefault="0091700C" w:rsidP="00E264B7">
      <w:r>
        <w:t xml:space="preserve">Settlement for land is </w:t>
      </w:r>
      <w:r w:rsidR="00734125">
        <w:t>via</w:t>
      </w:r>
      <w:r>
        <w:t xml:space="preserve"> PEXA and for works by electronic funds transfer.</w:t>
      </w:r>
      <w:r w:rsidR="00B646D4">
        <w:t xml:space="preserve"> </w:t>
      </w:r>
      <w:r w:rsidR="00A97569">
        <w:t xml:space="preserve">A settlement date will usually require </w:t>
      </w:r>
      <w:r w:rsidR="00734125">
        <w:t>10</w:t>
      </w:r>
      <w:r w:rsidR="00A97569">
        <w:t xml:space="preserve"> business days</w:t>
      </w:r>
      <w:r w:rsidR="00734125">
        <w:t>’</w:t>
      </w:r>
      <w:r w:rsidR="00A97569">
        <w:t xml:space="preserve"> notice</w:t>
      </w:r>
      <w:r w:rsidR="00361938">
        <w:t xml:space="preserve"> to ensure the notice of determination</w:t>
      </w:r>
      <w:r w:rsidR="008133CE">
        <w:t xml:space="preserve">, agreed statement of adjustments </w:t>
      </w:r>
      <w:r w:rsidR="00361938">
        <w:t>and supplementary funds are available</w:t>
      </w:r>
      <w:r w:rsidR="00C003A7">
        <w:t xml:space="preserve"> </w:t>
      </w:r>
      <w:r w:rsidR="00734125">
        <w:t>(</w:t>
      </w:r>
      <w:r w:rsidR="00C003A7">
        <w:t xml:space="preserve">if </w:t>
      </w:r>
      <w:r w:rsidR="00734125">
        <w:t>applicable)</w:t>
      </w:r>
      <w:r w:rsidR="00361938">
        <w:t>.</w:t>
      </w:r>
    </w:p>
    <w:p w14:paraId="7D6839BA" w14:textId="59DEBFCE" w:rsidR="00EE1CD6" w:rsidRDefault="00605BA1" w:rsidP="00A40C56">
      <w:pPr>
        <w:pStyle w:val="Heading2"/>
      </w:pPr>
      <w:r>
        <w:t>I</w:t>
      </w:r>
      <w:r w:rsidR="00EE1CD6">
        <w:t>NFORMATION</w:t>
      </w:r>
    </w:p>
    <w:p w14:paraId="5958DEE6" w14:textId="774601E7" w:rsidR="00C84CEF" w:rsidRDefault="00581B7D" w:rsidP="00133368">
      <w:pPr>
        <w:rPr>
          <w:b/>
          <w:bCs/>
        </w:rPr>
      </w:pPr>
      <w:r w:rsidRPr="00581B7D">
        <w:rPr>
          <w:b/>
          <w:bCs/>
        </w:rPr>
        <w:t>Department of Transport &amp; Planning</w:t>
      </w:r>
      <w:r w:rsidRPr="00581B7D">
        <w:rPr>
          <w:b/>
          <w:bCs/>
        </w:rPr>
        <w:t xml:space="preserve"> </w:t>
      </w:r>
      <w:r w:rsidR="008C6D85">
        <w:rPr>
          <w:b/>
          <w:bCs/>
        </w:rPr>
        <w:t>(</w:t>
      </w:r>
      <w:hyperlink r:id="rId16" w:history="1">
        <w:r>
          <w:rPr>
            <w:rStyle w:val="Hyperlink"/>
            <w:b/>
            <w:bCs/>
          </w:rPr>
          <w:t>DTP</w:t>
        </w:r>
      </w:hyperlink>
      <w:r w:rsidR="008C6D85">
        <w:rPr>
          <w:b/>
          <w:bCs/>
        </w:rPr>
        <w:t>)</w:t>
      </w:r>
    </w:p>
    <w:p w14:paraId="6943B45B" w14:textId="18903D6B" w:rsidR="00581B7D" w:rsidRDefault="00581B7D" w:rsidP="00016328">
      <w:r w:rsidRPr="00581B7D">
        <w:t>https://www.planning.vic.gov.au/policy-and-strategy/growth-areas-infrastructure-contribution-fund</w:t>
      </w:r>
    </w:p>
    <w:p w14:paraId="79E5F403" w14:textId="1D127C9F" w:rsidR="008A3399" w:rsidRPr="0005705D" w:rsidRDefault="008A3399" w:rsidP="00016328">
      <w:pPr>
        <w:rPr>
          <w:b/>
          <w:bCs/>
        </w:rPr>
      </w:pPr>
      <w:r w:rsidRPr="0005705D">
        <w:rPr>
          <w:b/>
          <w:bCs/>
        </w:rPr>
        <w:t>State Revenue Office</w:t>
      </w:r>
      <w:r w:rsidR="00C84CEF">
        <w:rPr>
          <w:b/>
          <w:bCs/>
        </w:rPr>
        <w:t xml:space="preserve"> (</w:t>
      </w:r>
      <w:hyperlink r:id="rId17" w:history="1">
        <w:r w:rsidR="00C84CEF" w:rsidRPr="00507C0B">
          <w:rPr>
            <w:rStyle w:val="Hyperlink"/>
            <w:b/>
            <w:bCs/>
          </w:rPr>
          <w:t>SRO</w:t>
        </w:r>
      </w:hyperlink>
      <w:r w:rsidR="00C84CEF">
        <w:rPr>
          <w:b/>
          <w:bCs/>
        </w:rPr>
        <w:t>)</w:t>
      </w:r>
      <w:r w:rsidR="00507C0B" w:rsidRPr="0005705D">
        <w:rPr>
          <w:b/>
          <w:bCs/>
        </w:rPr>
        <w:t xml:space="preserve"> </w:t>
      </w:r>
    </w:p>
    <w:p w14:paraId="05CF0071" w14:textId="25F7C5BA" w:rsidR="008A3399" w:rsidRPr="00C901D2" w:rsidRDefault="00BE1044" w:rsidP="00B44EEC">
      <w:pPr>
        <w:rPr>
          <w:sz w:val="16"/>
          <w:szCs w:val="18"/>
        </w:rPr>
      </w:pPr>
      <w:r w:rsidRPr="00C901D2">
        <w:rPr>
          <w:noProof/>
          <w:sz w:val="16"/>
          <w:szCs w:val="18"/>
        </w:rPr>
        <w:drawing>
          <wp:anchor distT="0" distB="0" distL="114300" distR="114300" simplePos="0" relativeHeight="251658241" behindDoc="0" locked="0" layoutInCell="1" allowOverlap="1" wp14:anchorId="1F847042" wp14:editId="45036F14">
            <wp:simplePos x="0" y="0"/>
            <wp:positionH relativeFrom="column">
              <wp:posOffset>-2288</wp:posOffset>
            </wp:positionH>
            <wp:positionV relativeFrom="paragraph">
              <wp:posOffset>0</wp:posOffset>
            </wp:positionV>
            <wp:extent cx="252000" cy="5040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="00B66BF5" w:rsidRPr="000378A6">
          <w:rPr>
            <w:rStyle w:val="Hyperlink"/>
            <w:sz w:val="16"/>
            <w:szCs w:val="18"/>
          </w:rPr>
          <w:t>gaic@sro.vic.gov.au</w:t>
        </w:r>
      </w:hyperlink>
    </w:p>
    <w:p w14:paraId="7150B182" w14:textId="29AB64CB" w:rsidR="008A3399" w:rsidRPr="00C901D2" w:rsidRDefault="0076453B" w:rsidP="00B44EEC">
      <w:pPr>
        <w:rPr>
          <w:sz w:val="16"/>
          <w:szCs w:val="18"/>
        </w:rPr>
      </w:pPr>
      <w:r>
        <w:rPr>
          <w:sz w:val="16"/>
          <w:szCs w:val="18"/>
        </w:rPr>
        <w:t>+61</w:t>
      </w:r>
      <w:r w:rsidR="00101A4C">
        <w:rPr>
          <w:sz w:val="16"/>
          <w:szCs w:val="18"/>
        </w:rPr>
        <w:t xml:space="preserve"> </w:t>
      </w:r>
      <w:r w:rsidR="008A3399" w:rsidRPr="00C901D2">
        <w:rPr>
          <w:sz w:val="16"/>
          <w:szCs w:val="18"/>
        </w:rPr>
        <w:t>132</w:t>
      </w:r>
      <w:r w:rsidR="00140403">
        <w:rPr>
          <w:sz w:val="16"/>
          <w:szCs w:val="18"/>
        </w:rPr>
        <w:t xml:space="preserve"> </w:t>
      </w:r>
      <w:r w:rsidR="008A3399" w:rsidRPr="00C901D2">
        <w:rPr>
          <w:sz w:val="16"/>
          <w:szCs w:val="18"/>
        </w:rPr>
        <w:t>161</w:t>
      </w:r>
    </w:p>
    <w:p w14:paraId="3FB6CCDA" w14:textId="3E5F128C" w:rsidR="008A3399" w:rsidRPr="00C901D2" w:rsidRDefault="008A3399" w:rsidP="00B44EEC">
      <w:pPr>
        <w:rPr>
          <w:sz w:val="16"/>
          <w:szCs w:val="18"/>
        </w:rPr>
      </w:pPr>
      <w:r w:rsidRPr="00C901D2">
        <w:rPr>
          <w:sz w:val="16"/>
          <w:szCs w:val="18"/>
        </w:rPr>
        <w:t>GPO Box 1641</w:t>
      </w:r>
      <w:r w:rsidR="00C901D2">
        <w:rPr>
          <w:sz w:val="16"/>
          <w:szCs w:val="18"/>
        </w:rPr>
        <w:t xml:space="preserve"> </w:t>
      </w:r>
      <w:r w:rsidR="008556E5" w:rsidRPr="008556E5">
        <w:rPr>
          <w:sz w:val="16"/>
          <w:szCs w:val="18"/>
        </w:rPr>
        <w:t>MELBOURNE VIC 3001</w:t>
      </w:r>
    </w:p>
    <w:p w14:paraId="5B22657E" w14:textId="75A75CFD" w:rsidR="008A3399" w:rsidRPr="0005705D" w:rsidRDefault="008A3399" w:rsidP="008A3399">
      <w:pPr>
        <w:rPr>
          <w:b/>
          <w:bCs/>
        </w:rPr>
      </w:pPr>
      <w:r w:rsidRPr="0005705D">
        <w:rPr>
          <w:b/>
          <w:bCs/>
        </w:rPr>
        <w:t>Victorian Planning Authority</w:t>
      </w:r>
      <w:r w:rsidR="00C84CEF">
        <w:rPr>
          <w:b/>
          <w:bCs/>
        </w:rPr>
        <w:t xml:space="preserve"> (</w:t>
      </w:r>
      <w:hyperlink r:id="rId20" w:history="1">
        <w:r w:rsidR="00C84CEF" w:rsidRPr="00FD4749">
          <w:rPr>
            <w:rStyle w:val="Hyperlink"/>
            <w:b/>
            <w:bCs/>
          </w:rPr>
          <w:t>VPA</w:t>
        </w:r>
      </w:hyperlink>
      <w:r w:rsidR="00C84CEF">
        <w:rPr>
          <w:b/>
          <w:bCs/>
        </w:rPr>
        <w:t>)</w:t>
      </w:r>
      <w:r w:rsidR="00FD4749" w:rsidRPr="0005705D">
        <w:rPr>
          <w:b/>
          <w:bCs/>
        </w:rPr>
        <w:t xml:space="preserve"> </w:t>
      </w:r>
    </w:p>
    <w:p w14:paraId="519C75AE" w14:textId="4EE77CDE" w:rsidR="008A3399" w:rsidRPr="00A307C2" w:rsidRDefault="00BE1044" w:rsidP="008A3399">
      <w:pPr>
        <w:rPr>
          <w:sz w:val="16"/>
          <w:szCs w:val="16"/>
        </w:rPr>
      </w:pPr>
      <w:r w:rsidRPr="00A307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86D5208" wp14:editId="420DC385">
            <wp:simplePos x="0" y="0"/>
            <wp:positionH relativeFrom="column">
              <wp:posOffset>-2288</wp:posOffset>
            </wp:positionH>
            <wp:positionV relativeFrom="paragraph">
              <wp:posOffset>0</wp:posOffset>
            </wp:positionV>
            <wp:extent cx="252000" cy="50400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" w:history="1">
        <w:r w:rsidR="00B66BF5" w:rsidRPr="00A307C2">
          <w:rPr>
            <w:rStyle w:val="Hyperlink"/>
            <w:sz w:val="16"/>
            <w:szCs w:val="16"/>
          </w:rPr>
          <w:t>gaic@vpa.vic.gov.au</w:t>
        </w:r>
      </w:hyperlink>
    </w:p>
    <w:p w14:paraId="7A5B650E" w14:textId="08C385A9" w:rsidR="008A3399" w:rsidRPr="00A307C2" w:rsidRDefault="0076453B" w:rsidP="008A3399">
      <w:pPr>
        <w:rPr>
          <w:sz w:val="16"/>
          <w:szCs w:val="16"/>
        </w:rPr>
      </w:pPr>
      <w:r>
        <w:rPr>
          <w:sz w:val="16"/>
          <w:szCs w:val="16"/>
        </w:rPr>
        <w:t xml:space="preserve">+61 </w:t>
      </w:r>
      <w:r w:rsidR="008A3399" w:rsidRPr="00A307C2">
        <w:rPr>
          <w:sz w:val="16"/>
          <w:szCs w:val="16"/>
        </w:rPr>
        <w:t>3 9651 9600</w:t>
      </w:r>
    </w:p>
    <w:p w14:paraId="23093EF1" w14:textId="69E18BFE" w:rsidR="00504F97" w:rsidRPr="00037258" w:rsidRDefault="008A3399">
      <w:pPr>
        <w:rPr>
          <w:sz w:val="16"/>
          <w:szCs w:val="16"/>
        </w:rPr>
      </w:pPr>
      <w:r w:rsidRPr="00A307C2">
        <w:rPr>
          <w:sz w:val="16"/>
          <w:szCs w:val="16"/>
        </w:rPr>
        <w:t>Level 25, 35 Collins Street</w:t>
      </w:r>
      <w:r w:rsidR="00F22F17" w:rsidRPr="00A307C2">
        <w:rPr>
          <w:sz w:val="16"/>
          <w:szCs w:val="16"/>
        </w:rPr>
        <w:t xml:space="preserve"> MELBOURNE VIC 3000</w:t>
      </w:r>
    </w:p>
    <w:p w14:paraId="6D613A45" w14:textId="69D171D7" w:rsidR="004B1874" w:rsidRPr="00996C92" w:rsidRDefault="004B1874">
      <w:pPr>
        <w:rPr>
          <w:sz w:val="16"/>
          <w:szCs w:val="18"/>
        </w:rPr>
        <w:sectPr w:rsidR="004B1874" w:rsidRPr="00996C92" w:rsidSect="006736F9">
          <w:type w:val="continuous"/>
          <w:pgSz w:w="11906" w:h="16838" w:code="9"/>
          <w:pgMar w:top="1814" w:right="851" w:bottom="851" w:left="851" w:header="567" w:footer="397" w:gutter="0"/>
          <w:cols w:num="2" w:space="227"/>
          <w:titlePg/>
          <w:docGrid w:linePitch="360"/>
        </w:sectPr>
      </w:pPr>
    </w:p>
    <w:p w14:paraId="2AEA3F3F" w14:textId="74927DA1" w:rsidR="001D47C8" w:rsidRPr="001D47C8" w:rsidRDefault="00734125" w:rsidP="0080320A">
      <w:pPr>
        <w:pStyle w:val="Heading1"/>
        <w:spacing w:before="240" w:after="120"/>
      </w:pPr>
      <w:r>
        <w:t>These g</w:t>
      </w:r>
      <w:r w:rsidR="009E4B47">
        <w:t>uidelines are for general information only</w:t>
      </w:r>
      <w:r w:rsidR="00C41CEE">
        <w:t xml:space="preserve"> and </w:t>
      </w:r>
      <w:r w:rsidR="00F4294B">
        <w:t xml:space="preserve">must </w:t>
      </w:r>
      <w:r w:rsidR="00C41CEE">
        <w:t>not be relied upon</w:t>
      </w:r>
      <w:r w:rsidR="00F4294B">
        <w:t>.</w:t>
      </w:r>
    </w:p>
    <w:sectPr w:rsidR="001D47C8" w:rsidRPr="001D47C8" w:rsidSect="006736F9">
      <w:type w:val="continuous"/>
      <w:pgSz w:w="11906" w:h="16838" w:code="9"/>
      <w:pgMar w:top="1814" w:right="851" w:bottom="851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3C0F" w14:textId="77777777" w:rsidR="00E462E1" w:rsidRDefault="00E462E1" w:rsidP="001D47C8">
      <w:r>
        <w:separator/>
      </w:r>
    </w:p>
  </w:endnote>
  <w:endnote w:type="continuationSeparator" w:id="0">
    <w:p w14:paraId="2A04F441" w14:textId="77777777" w:rsidR="00E462E1" w:rsidRDefault="00E462E1" w:rsidP="001D47C8">
      <w:r>
        <w:continuationSeparator/>
      </w:r>
    </w:p>
  </w:endnote>
  <w:endnote w:type="continuationNotice" w:id="1">
    <w:p w14:paraId="7C605E5B" w14:textId="77777777" w:rsidR="00E462E1" w:rsidRDefault="00E462E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7A2" w14:textId="62FE9EFB" w:rsidR="000A6F75" w:rsidRDefault="000A6F75">
    <w:pPr>
      <w:pStyle w:val="Foot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F6A3549" wp14:editId="60A18C3E">
          <wp:simplePos x="543464" y="9885872"/>
          <wp:positionH relativeFrom="page">
            <wp:align>center</wp:align>
          </wp:positionH>
          <wp:positionV relativeFrom="page">
            <wp:posOffset>10117455</wp:posOffset>
          </wp:positionV>
          <wp:extent cx="7560000" cy="543600"/>
          <wp:effectExtent l="0" t="0" r="3175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F36" w14:textId="55444A8E" w:rsidR="001C6EE4" w:rsidRDefault="006F44BA" w:rsidP="006F44BA">
    <w:pPr>
      <w:pStyle w:val="Footer"/>
      <w:tabs>
        <w:tab w:val="clear" w:pos="4513"/>
        <w:tab w:val="clear" w:pos="9026"/>
        <w:tab w:val="center" w:pos="5103"/>
        <w:tab w:val="right" w:pos="10204"/>
      </w:tabs>
    </w:pPr>
    <w:r>
      <w:rPr>
        <w:noProof/>
      </w:rPr>
      <w:drawing>
        <wp:anchor distT="0" distB="0" distL="114300" distR="114300" simplePos="0" relativeHeight="251658248" behindDoc="1" locked="0" layoutInCell="1" allowOverlap="1" wp14:anchorId="006C312A" wp14:editId="308E06F5">
          <wp:simplePos x="0" y="0"/>
          <wp:positionH relativeFrom="page">
            <wp:align>center</wp:align>
          </wp:positionH>
          <wp:positionV relativeFrom="page">
            <wp:posOffset>10117455</wp:posOffset>
          </wp:positionV>
          <wp:extent cx="7560000" cy="543600"/>
          <wp:effectExtent l="0" t="0" r="317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0AF9" w14:textId="77777777" w:rsidR="00E462E1" w:rsidRDefault="00E462E1" w:rsidP="001D47C8">
      <w:r>
        <w:separator/>
      </w:r>
    </w:p>
  </w:footnote>
  <w:footnote w:type="continuationSeparator" w:id="0">
    <w:p w14:paraId="7EE30172" w14:textId="77777777" w:rsidR="00E462E1" w:rsidRDefault="00E462E1" w:rsidP="001D47C8">
      <w:r>
        <w:continuationSeparator/>
      </w:r>
    </w:p>
  </w:footnote>
  <w:footnote w:type="continuationNotice" w:id="1">
    <w:p w14:paraId="5FCD6FBD" w14:textId="77777777" w:rsidR="00E462E1" w:rsidRDefault="00E462E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96AA" w14:textId="03291614" w:rsidR="001D47C8" w:rsidRDefault="009D5125" w:rsidP="006F44BA">
    <w:pPr>
      <w:tabs>
        <w:tab w:val="center" w:pos="5103"/>
        <w:tab w:val="right" w:pos="102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0321EB" wp14:editId="5A40B05E">
              <wp:simplePos x="0" y="0"/>
              <wp:positionH relativeFrom="column">
                <wp:posOffset>1620520</wp:posOffset>
              </wp:positionH>
              <wp:positionV relativeFrom="page">
                <wp:posOffset>252095</wp:posOffset>
              </wp:positionV>
              <wp:extent cx="0" cy="612000"/>
              <wp:effectExtent l="0" t="0" r="38100" b="36195"/>
              <wp:wrapNone/>
              <wp:docPr id="5" name="Straight Connector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C7473" id="Straight Connector 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6pt,19.85pt" to="127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" strokecolor="white [3212]">
              <v:stroke joinstyle="miter"/>
              <o:lock v:ext="edit" aspectratio="t" shapetype="f"/>
              <w10:wrap anchory="page"/>
            </v:line>
          </w:pict>
        </mc:Fallback>
      </mc:AlternateContent>
    </w:r>
    <w:r w:rsidR="00AE11D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449E4F" wp14:editId="2FCB7C82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7560000" cy="1080000"/>
              <wp:effectExtent l="0" t="0" r="3175" b="635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solidFill>
                        <a:srgbClr val="5AA5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46053" id="Rectangle 2" o:spid="_x0000_s1026" style="position:absolute;margin-left:0;margin-top:0;width:595.3pt;height:85.0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" fillcolor="#5aa5c7" stroked="f" strokeweight="1pt">
              <o:lock v:ext="edit" aspectratio="t"/>
              <w10:wrap anchorx="page" anchory="page"/>
            </v:rect>
          </w:pict>
        </mc:Fallback>
      </mc:AlternateContent>
    </w:r>
    <w:r w:rsidR="00D4602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4B8B82" wp14:editId="7DEE7FC5">
              <wp:simplePos x="1514475" y="1533525"/>
              <wp:positionH relativeFrom="page">
                <wp:align>center</wp:align>
              </wp:positionH>
              <wp:positionV relativeFrom="page">
                <wp:posOffset>1043940</wp:posOffset>
              </wp:positionV>
              <wp:extent cx="7596000" cy="0"/>
              <wp:effectExtent l="0" t="38100" r="43180" b="38100"/>
              <wp:wrapNone/>
              <wp:docPr id="3" name="Straight Connector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 flipV="1">
                        <a:off x="0" y="0"/>
                        <a:ext cx="7596000" cy="0"/>
                      </a:xfrm>
                      <a:prstGeom prst="line">
                        <a:avLst/>
                      </a:prstGeom>
                      <a:ln w="69850">
                        <a:solidFill>
                          <a:srgbClr val="1742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2B3266" id="Straight Connector 3" o:spid="_x0000_s1026" style="position:absolute;flip:y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82.2pt" to="598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" strokecolor="#17428d" strokeweight="5.5pt">
              <v:stroke joinstyle="miter"/>
              <o:lock v:ext="edit" aspectratio="t" shapetype="f"/>
              <w10:wrap anchorx="page" anchory="page"/>
            </v:line>
          </w:pict>
        </mc:Fallback>
      </mc:AlternateContent>
    </w:r>
    <w:r w:rsidR="00BC6192">
      <w:rPr>
        <w:noProof/>
      </w:rPr>
      <w:drawing>
        <wp:anchor distT="0" distB="0" distL="114300" distR="114300" simplePos="0" relativeHeight="251658243" behindDoc="0" locked="0" layoutInCell="1" allowOverlap="1" wp14:anchorId="315E1CF3" wp14:editId="0544374E">
          <wp:simplePos x="542925" y="361950"/>
          <wp:positionH relativeFrom="page">
            <wp:posOffset>504190</wp:posOffset>
          </wp:positionH>
          <wp:positionV relativeFrom="page">
            <wp:posOffset>252095</wp:posOffset>
          </wp:positionV>
          <wp:extent cx="1530000" cy="64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7D52" w14:textId="6C53B226" w:rsidR="001C6EE4" w:rsidRPr="00AA1EA1" w:rsidRDefault="00264AAD" w:rsidP="006F44BA">
    <w:pPr>
      <w:tabs>
        <w:tab w:val="center" w:pos="5103"/>
        <w:tab w:val="right" w:pos="10204"/>
      </w:tabs>
    </w:pPr>
    <w:r w:rsidRPr="00AA1EA1">
      <w:rPr>
        <w:noProof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6FCE2F30" wp14:editId="4466CC55">
              <wp:simplePos x="0" y="0"/>
              <wp:positionH relativeFrom="column">
                <wp:align>right</wp:align>
              </wp:positionH>
              <wp:positionV relativeFrom="page">
                <wp:posOffset>252095</wp:posOffset>
              </wp:positionV>
              <wp:extent cx="4680000" cy="594000"/>
              <wp:effectExtent l="0" t="0" r="6350" b="0"/>
              <wp:wrapNone/>
              <wp:docPr id="1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80000" cy="59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834B7" w14:textId="77777777" w:rsidR="00F62F5B" w:rsidRDefault="00F62F5B" w:rsidP="003D11B5">
                          <w:pPr>
                            <w:pStyle w:val="Title"/>
                            <w:jc w:val="left"/>
                          </w:pPr>
                          <w:r>
                            <w:t xml:space="preserve">Growth Areas Infrastructure Contribution </w:t>
                          </w:r>
                        </w:p>
                        <w:p w14:paraId="281B9762" w14:textId="5579296C" w:rsidR="00264AAD" w:rsidRDefault="00F62F5B" w:rsidP="003D11B5">
                          <w:pPr>
                            <w:pStyle w:val="Title"/>
                            <w:jc w:val="left"/>
                          </w:pPr>
                          <w:r>
                            <w:t>Work-in-Kind Agreements</w:t>
                          </w:r>
                        </w:p>
                        <w:p w14:paraId="24370A79" w14:textId="777059CC" w:rsidR="00F62F5B" w:rsidRPr="00F62F5B" w:rsidRDefault="00F62F5B" w:rsidP="00F62F5B">
                          <w:pPr>
                            <w:rPr>
                              <w:color w:val="FFFFFF" w:themeColor="background1"/>
                            </w:rPr>
                          </w:pPr>
                          <w:r w:rsidRPr="00F62F5B">
                            <w:rPr>
                              <w:color w:val="FFFFFF" w:themeColor="background1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E2F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3pt;margin-top:19.85pt;width:368.5pt;height:46.75pt;z-index:251658251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" filled="f" stroked="f">
              <o:lock v:ext="edit" aspectratio="t"/>
              <v:textbox style="mso-fit-shape-to-text:t" inset="0,0,0,0">
                <w:txbxContent>
                  <w:p w14:paraId="077834B7" w14:textId="77777777" w:rsidR="00F62F5B" w:rsidRDefault="00F62F5B" w:rsidP="003D11B5">
                    <w:pPr>
                      <w:pStyle w:val="Title"/>
                      <w:jc w:val="left"/>
                    </w:pPr>
                    <w:r>
                      <w:t xml:space="preserve">Growth Areas Infrastructure Contribution </w:t>
                    </w:r>
                  </w:p>
                  <w:p w14:paraId="281B9762" w14:textId="5579296C" w:rsidR="00264AAD" w:rsidRDefault="00F62F5B" w:rsidP="003D11B5">
                    <w:pPr>
                      <w:pStyle w:val="Title"/>
                      <w:jc w:val="left"/>
                    </w:pPr>
                    <w:r>
                      <w:t>Work-in-Kind Agreements</w:t>
                    </w:r>
                  </w:p>
                  <w:p w14:paraId="24370A79" w14:textId="777059CC" w:rsidR="00F62F5B" w:rsidRPr="00F62F5B" w:rsidRDefault="00F62F5B" w:rsidP="00F62F5B">
                    <w:pPr>
                      <w:rPr>
                        <w:color w:val="FFFFFF" w:themeColor="background1"/>
                      </w:rPr>
                    </w:pPr>
                    <w:r w:rsidRPr="00F62F5B">
                      <w:rPr>
                        <w:color w:val="FFFFFF" w:themeColor="background1"/>
                      </w:rPr>
                      <w:t>Guidelines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C3BDC" w:rsidRPr="00AA1EA1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45E21DEF" wp14:editId="41A8949D">
              <wp:simplePos x="0" y="0"/>
              <wp:positionH relativeFrom="page">
                <wp:align>center</wp:align>
              </wp:positionH>
              <wp:positionV relativeFrom="page">
                <wp:posOffset>1043940</wp:posOffset>
              </wp:positionV>
              <wp:extent cx="7596000" cy="0"/>
              <wp:effectExtent l="0" t="38100" r="43180" b="38100"/>
              <wp:wrapNone/>
              <wp:docPr id="13" name="Straight Connecto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 flipV="1">
                        <a:off x="0" y="0"/>
                        <a:ext cx="7596000" cy="0"/>
                      </a:xfrm>
                      <a:prstGeom prst="line">
                        <a:avLst/>
                      </a:prstGeom>
                      <a:ln w="69850">
                        <a:solidFill>
                          <a:srgbClr val="1742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9252D" id="Straight Connector 13" o:spid="_x0000_s1026" style="position:absolute;flip:y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82.2pt" to="598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" strokecolor="#17428d" strokeweight="5.5pt">
              <v:stroke joinstyle="miter"/>
              <o:lock v:ext="edit" aspectratio="t" shapetype="f"/>
              <w10:wrap anchorx="page" anchory="page"/>
            </v:line>
          </w:pict>
        </mc:Fallback>
      </mc:AlternateContent>
    </w:r>
    <w:r w:rsidR="006F44BA" w:rsidRPr="00AA1EA1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0670F3F" wp14:editId="6271D78B">
              <wp:simplePos x="0" y="0"/>
              <wp:positionH relativeFrom="column">
                <wp:posOffset>1620520</wp:posOffset>
              </wp:positionH>
              <wp:positionV relativeFrom="page">
                <wp:posOffset>252095</wp:posOffset>
              </wp:positionV>
              <wp:extent cx="0" cy="612000"/>
              <wp:effectExtent l="0" t="0" r="38100" b="36195"/>
              <wp:wrapNone/>
              <wp:docPr id="12" name="Straight Connector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85485" id="Straight Connector 12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6pt,19.85pt" to="127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" strokecolor="white [3212]">
              <v:stroke joinstyle="miter"/>
              <o:lock v:ext="edit" aspectratio="t" shapetype="f"/>
              <w10:wrap anchory="page"/>
            </v:line>
          </w:pict>
        </mc:Fallback>
      </mc:AlternateContent>
    </w:r>
    <w:r w:rsidR="00322FF8" w:rsidRPr="00AA1EA1">
      <w:rPr>
        <w:noProof/>
      </w:rPr>
      <w:drawing>
        <wp:anchor distT="0" distB="0" distL="114300" distR="114300" simplePos="0" relativeHeight="251658240" behindDoc="1" locked="0" layoutInCell="1" allowOverlap="1" wp14:anchorId="76B6F689" wp14:editId="51A4D2EA">
          <wp:simplePos x="543464" y="362309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777" w:rsidRPr="00AA1EA1">
      <w:rPr>
        <w:noProof/>
      </w:rPr>
      <w:drawing>
        <wp:anchor distT="0" distB="0" distL="114300" distR="114300" simplePos="0" relativeHeight="251658247" behindDoc="0" locked="0" layoutInCell="1" allowOverlap="1" wp14:anchorId="5C477930" wp14:editId="2C745095">
          <wp:simplePos x="542925" y="361950"/>
          <wp:positionH relativeFrom="page">
            <wp:posOffset>504190</wp:posOffset>
          </wp:positionH>
          <wp:positionV relativeFrom="page">
            <wp:posOffset>252095</wp:posOffset>
          </wp:positionV>
          <wp:extent cx="1519200" cy="64800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AC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48B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C8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E8F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DA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EF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0B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69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29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E3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92128"/>
    <w:multiLevelType w:val="hybridMultilevel"/>
    <w:tmpl w:val="8BDC1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C22CE"/>
    <w:multiLevelType w:val="hybridMultilevel"/>
    <w:tmpl w:val="4C64ED72"/>
    <w:lvl w:ilvl="0" w:tplc="564C20EC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0595">
    <w:abstractNumId w:val="11"/>
  </w:num>
  <w:num w:numId="2" w16cid:durableId="1390836196">
    <w:abstractNumId w:val="9"/>
  </w:num>
  <w:num w:numId="3" w16cid:durableId="1750880527">
    <w:abstractNumId w:val="7"/>
  </w:num>
  <w:num w:numId="4" w16cid:durableId="554505948">
    <w:abstractNumId w:val="6"/>
  </w:num>
  <w:num w:numId="5" w16cid:durableId="752121328">
    <w:abstractNumId w:val="5"/>
  </w:num>
  <w:num w:numId="6" w16cid:durableId="1298607320">
    <w:abstractNumId w:val="4"/>
  </w:num>
  <w:num w:numId="7" w16cid:durableId="328339179">
    <w:abstractNumId w:val="8"/>
  </w:num>
  <w:num w:numId="8" w16cid:durableId="1974870277">
    <w:abstractNumId w:val="3"/>
  </w:num>
  <w:num w:numId="9" w16cid:durableId="1081102093">
    <w:abstractNumId w:val="2"/>
  </w:num>
  <w:num w:numId="10" w16cid:durableId="547305508">
    <w:abstractNumId w:val="1"/>
  </w:num>
  <w:num w:numId="11" w16cid:durableId="682708922">
    <w:abstractNumId w:val="0"/>
  </w:num>
  <w:num w:numId="12" w16cid:durableId="1508902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8"/>
    <w:rsid w:val="000008A2"/>
    <w:rsid w:val="000024A6"/>
    <w:rsid w:val="00002BF7"/>
    <w:rsid w:val="00002D0E"/>
    <w:rsid w:val="00002D18"/>
    <w:rsid w:val="00003D7E"/>
    <w:rsid w:val="00003F31"/>
    <w:rsid w:val="000104F9"/>
    <w:rsid w:val="0001605C"/>
    <w:rsid w:val="00016328"/>
    <w:rsid w:val="000254A5"/>
    <w:rsid w:val="00027D23"/>
    <w:rsid w:val="00030184"/>
    <w:rsid w:val="00030231"/>
    <w:rsid w:val="00030D13"/>
    <w:rsid w:val="00032E3B"/>
    <w:rsid w:val="0003427F"/>
    <w:rsid w:val="00037258"/>
    <w:rsid w:val="00037C37"/>
    <w:rsid w:val="00042004"/>
    <w:rsid w:val="0004512D"/>
    <w:rsid w:val="00046070"/>
    <w:rsid w:val="00052D01"/>
    <w:rsid w:val="0005705D"/>
    <w:rsid w:val="00063F10"/>
    <w:rsid w:val="000653CE"/>
    <w:rsid w:val="000704C6"/>
    <w:rsid w:val="00082CE1"/>
    <w:rsid w:val="00083C59"/>
    <w:rsid w:val="000A6F75"/>
    <w:rsid w:val="000B5BB5"/>
    <w:rsid w:val="000C6811"/>
    <w:rsid w:val="000D2895"/>
    <w:rsid w:val="000D7D2E"/>
    <w:rsid w:val="000E1F91"/>
    <w:rsid w:val="000E5170"/>
    <w:rsid w:val="000E6528"/>
    <w:rsid w:val="000F08B8"/>
    <w:rsid w:val="000F0972"/>
    <w:rsid w:val="000F0DFA"/>
    <w:rsid w:val="000F10A6"/>
    <w:rsid w:val="000F3F1B"/>
    <w:rsid w:val="000F47BC"/>
    <w:rsid w:val="00101A4C"/>
    <w:rsid w:val="00102ECD"/>
    <w:rsid w:val="00106EBF"/>
    <w:rsid w:val="001140F5"/>
    <w:rsid w:val="00115EA1"/>
    <w:rsid w:val="001213F9"/>
    <w:rsid w:val="00133368"/>
    <w:rsid w:val="00133AF5"/>
    <w:rsid w:val="00140403"/>
    <w:rsid w:val="0014706C"/>
    <w:rsid w:val="00164989"/>
    <w:rsid w:val="00176F89"/>
    <w:rsid w:val="0018224D"/>
    <w:rsid w:val="0018636A"/>
    <w:rsid w:val="001935B0"/>
    <w:rsid w:val="00197B67"/>
    <w:rsid w:val="001A7D27"/>
    <w:rsid w:val="001A7E4E"/>
    <w:rsid w:val="001B1CEF"/>
    <w:rsid w:val="001B23C7"/>
    <w:rsid w:val="001B4251"/>
    <w:rsid w:val="001B4E1D"/>
    <w:rsid w:val="001B5407"/>
    <w:rsid w:val="001B5B2D"/>
    <w:rsid w:val="001B6BCC"/>
    <w:rsid w:val="001C09A1"/>
    <w:rsid w:val="001C0A0B"/>
    <w:rsid w:val="001C336F"/>
    <w:rsid w:val="001C41CA"/>
    <w:rsid w:val="001C4C58"/>
    <w:rsid w:val="001C6EE4"/>
    <w:rsid w:val="001C7E60"/>
    <w:rsid w:val="001D0283"/>
    <w:rsid w:val="001D2001"/>
    <w:rsid w:val="001D47C8"/>
    <w:rsid w:val="001E3365"/>
    <w:rsid w:val="001E33FD"/>
    <w:rsid w:val="001F096B"/>
    <w:rsid w:val="001F601A"/>
    <w:rsid w:val="001F7D03"/>
    <w:rsid w:val="002017C7"/>
    <w:rsid w:val="0020435A"/>
    <w:rsid w:val="002069DE"/>
    <w:rsid w:val="00211F32"/>
    <w:rsid w:val="002131FE"/>
    <w:rsid w:val="00216C5C"/>
    <w:rsid w:val="00220ACB"/>
    <w:rsid w:val="0022179B"/>
    <w:rsid w:val="00225E6B"/>
    <w:rsid w:val="0022627D"/>
    <w:rsid w:val="00227FF3"/>
    <w:rsid w:val="00230BBA"/>
    <w:rsid w:val="00234116"/>
    <w:rsid w:val="00237E6C"/>
    <w:rsid w:val="002426B0"/>
    <w:rsid w:val="002447C0"/>
    <w:rsid w:val="00244FD2"/>
    <w:rsid w:val="00247FC8"/>
    <w:rsid w:val="00253954"/>
    <w:rsid w:val="002552D8"/>
    <w:rsid w:val="002556B4"/>
    <w:rsid w:val="00263E14"/>
    <w:rsid w:val="00264AAD"/>
    <w:rsid w:val="002709C4"/>
    <w:rsid w:val="00272DAB"/>
    <w:rsid w:val="0027317D"/>
    <w:rsid w:val="00275B1C"/>
    <w:rsid w:val="002762FB"/>
    <w:rsid w:val="00277044"/>
    <w:rsid w:val="00280D79"/>
    <w:rsid w:val="00283408"/>
    <w:rsid w:val="0028407A"/>
    <w:rsid w:val="00293280"/>
    <w:rsid w:val="002937B2"/>
    <w:rsid w:val="002947F4"/>
    <w:rsid w:val="00294FA9"/>
    <w:rsid w:val="00297F47"/>
    <w:rsid w:val="002A108A"/>
    <w:rsid w:val="002A3986"/>
    <w:rsid w:val="002A4942"/>
    <w:rsid w:val="002B3008"/>
    <w:rsid w:val="002B6506"/>
    <w:rsid w:val="002C176C"/>
    <w:rsid w:val="002C2B54"/>
    <w:rsid w:val="002C36A2"/>
    <w:rsid w:val="002C62B6"/>
    <w:rsid w:val="002E4867"/>
    <w:rsid w:val="002E6D54"/>
    <w:rsid w:val="002E7DCF"/>
    <w:rsid w:val="002F3153"/>
    <w:rsid w:val="002F3759"/>
    <w:rsid w:val="002F4AFA"/>
    <w:rsid w:val="0030393F"/>
    <w:rsid w:val="00307140"/>
    <w:rsid w:val="0031209B"/>
    <w:rsid w:val="00312D3F"/>
    <w:rsid w:val="003130B6"/>
    <w:rsid w:val="00314A1A"/>
    <w:rsid w:val="00315206"/>
    <w:rsid w:val="003172D4"/>
    <w:rsid w:val="00322FF8"/>
    <w:rsid w:val="00325A01"/>
    <w:rsid w:val="0033006C"/>
    <w:rsid w:val="003311DA"/>
    <w:rsid w:val="00333A08"/>
    <w:rsid w:val="0034034C"/>
    <w:rsid w:val="00345749"/>
    <w:rsid w:val="00354212"/>
    <w:rsid w:val="00354601"/>
    <w:rsid w:val="0035480A"/>
    <w:rsid w:val="00360B7A"/>
    <w:rsid w:val="00361938"/>
    <w:rsid w:val="003632C7"/>
    <w:rsid w:val="00363F1D"/>
    <w:rsid w:val="00364285"/>
    <w:rsid w:val="00366D8F"/>
    <w:rsid w:val="0037399B"/>
    <w:rsid w:val="00377135"/>
    <w:rsid w:val="00381CA4"/>
    <w:rsid w:val="003913D8"/>
    <w:rsid w:val="00393D52"/>
    <w:rsid w:val="00393DBA"/>
    <w:rsid w:val="00395422"/>
    <w:rsid w:val="003959CE"/>
    <w:rsid w:val="00397955"/>
    <w:rsid w:val="003A08E1"/>
    <w:rsid w:val="003A77B2"/>
    <w:rsid w:val="003B47E9"/>
    <w:rsid w:val="003B4FD8"/>
    <w:rsid w:val="003B56C3"/>
    <w:rsid w:val="003B5733"/>
    <w:rsid w:val="003B7B4E"/>
    <w:rsid w:val="003C14B8"/>
    <w:rsid w:val="003C4795"/>
    <w:rsid w:val="003C4CAA"/>
    <w:rsid w:val="003C6274"/>
    <w:rsid w:val="003D0FC1"/>
    <w:rsid w:val="003D11B5"/>
    <w:rsid w:val="003D222B"/>
    <w:rsid w:val="003D2FFA"/>
    <w:rsid w:val="003D35D1"/>
    <w:rsid w:val="003D4BBC"/>
    <w:rsid w:val="003E1B70"/>
    <w:rsid w:val="003E326B"/>
    <w:rsid w:val="003F368D"/>
    <w:rsid w:val="003F6802"/>
    <w:rsid w:val="00406262"/>
    <w:rsid w:val="00407524"/>
    <w:rsid w:val="004076EA"/>
    <w:rsid w:val="00414607"/>
    <w:rsid w:val="00423371"/>
    <w:rsid w:val="0042584A"/>
    <w:rsid w:val="0043367A"/>
    <w:rsid w:val="004440BB"/>
    <w:rsid w:val="004450E6"/>
    <w:rsid w:val="00447251"/>
    <w:rsid w:val="00453E5B"/>
    <w:rsid w:val="0046420B"/>
    <w:rsid w:val="00467A4C"/>
    <w:rsid w:val="00467AD5"/>
    <w:rsid w:val="00473B42"/>
    <w:rsid w:val="00473B8E"/>
    <w:rsid w:val="00473E93"/>
    <w:rsid w:val="00482AA2"/>
    <w:rsid w:val="00482E39"/>
    <w:rsid w:val="00485934"/>
    <w:rsid w:val="00492A72"/>
    <w:rsid w:val="004941BC"/>
    <w:rsid w:val="00495329"/>
    <w:rsid w:val="004A0E47"/>
    <w:rsid w:val="004A0F69"/>
    <w:rsid w:val="004A2124"/>
    <w:rsid w:val="004A2486"/>
    <w:rsid w:val="004A3E2E"/>
    <w:rsid w:val="004B1874"/>
    <w:rsid w:val="004B2E22"/>
    <w:rsid w:val="004B3618"/>
    <w:rsid w:val="004C1FAF"/>
    <w:rsid w:val="004C5330"/>
    <w:rsid w:val="004C54E5"/>
    <w:rsid w:val="004C7490"/>
    <w:rsid w:val="004D16E3"/>
    <w:rsid w:val="004D3A32"/>
    <w:rsid w:val="004D6AD2"/>
    <w:rsid w:val="004E2884"/>
    <w:rsid w:val="004E2B43"/>
    <w:rsid w:val="004E3C13"/>
    <w:rsid w:val="004E43D3"/>
    <w:rsid w:val="004E4998"/>
    <w:rsid w:val="004E7B03"/>
    <w:rsid w:val="004F7507"/>
    <w:rsid w:val="00504F97"/>
    <w:rsid w:val="00507C0B"/>
    <w:rsid w:val="0051177C"/>
    <w:rsid w:val="00513841"/>
    <w:rsid w:val="0051578C"/>
    <w:rsid w:val="00520CF3"/>
    <w:rsid w:val="005218DA"/>
    <w:rsid w:val="00524453"/>
    <w:rsid w:val="00527AF8"/>
    <w:rsid w:val="005347F2"/>
    <w:rsid w:val="00535222"/>
    <w:rsid w:val="00536E48"/>
    <w:rsid w:val="00540AF9"/>
    <w:rsid w:val="00543599"/>
    <w:rsid w:val="00544D6F"/>
    <w:rsid w:val="0054521E"/>
    <w:rsid w:val="00546E27"/>
    <w:rsid w:val="005471FE"/>
    <w:rsid w:val="00553686"/>
    <w:rsid w:val="00554E78"/>
    <w:rsid w:val="005554C0"/>
    <w:rsid w:val="00563CCE"/>
    <w:rsid w:val="00565409"/>
    <w:rsid w:val="005664E3"/>
    <w:rsid w:val="005677EE"/>
    <w:rsid w:val="0057039B"/>
    <w:rsid w:val="00571D75"/>
    <w:rsid w:val="00573610"/>
    <w:rsid w:val="00575AFF"/>
    <w:rsid w:val="00581B7D"/>
    <w:rsid w:val="00582D15"/>
    <w:rsid w:val="00592851"/>
    <w:rsid w:val="00594353"/>
    <w:rsid w:val="005A128E"/>
    <w:rsid w:val="005A4535"/>
    <w:rsid w:val="005B33F9"/>
    <w:rsid w:val="005B40B9"/>
    <w:rsid w:val="005B7623"/>
    <w:rsid w:val="005B76D2"/>
    <w:rsid w:val="005C13C6"/>
    <w:rsid w:val="005C144D"/>
    <w:rsid w:val="005C15C5"/>
    <w:rsid w:val="005C1E5B"/>
    <w:rsid w:val="005C2A3F"/>
    <w:rsid w:val="005C3804"/>
    <w:rsid w:val="005C459C"/>
    <w:rsid w:val="005D33C1"/>
    <w:rsid w:val="005D4B71"/>
    <w:rsid w:val="005D61A6"/>
    <w:rsid w:val="005E3DE7"/>
    <w:rsid w:val="005E4E61"/>
    <w:rsid w:val="005E56C9"/>
    <w:rsid w:val="005F2A5C"/>
    <w:rsid w:val="005F4EB5"/>
    <w:rsid w:val="005F5960"/>
    <w:rsid w:val="005F781A"/>
    <w:rsid w:val="00600973"/>
    <w:rsid w:val="00601836"/>
    <w:rsid w:val="006043BB"/>
    <w:rsid w:val="00605BA1"/>
    <w:rsid w:val="00606111"/>
    <w:rsid w:val="00610952"/>
    <w:rsid w:val="006131FB"/>
    <w:rsid w:val="00620655"/>
    <w:rsid w:val="00622E06"/>
    <w:rsid w:val="006321C9"/>
    <w:rsid w:val="006348E7"/>
    <w:rsid w:val="006369CA"/>
    <w:rsid w:val="00640052"/>
    <w:rsid w:val="006422CD"/>
    <w:rsid w:val="00643D88"/>
    <w:rsid w:val="00645184"/>
    <w:rsid w:val="0065582C"/>
    <w:rsid w:val="00655C10"/>
    <w:rsid w:val="00656743"/>
    <w:rsid w:val="006621BC"/>
    <w:rsid w:val="006736F9"/>
    <w:rsid w:val="00674939"/>
    <w:rsid w:val="00677ED7"/>
    <w:rsid w:val="00681E56"/>
    <w:rsid w:val="00681FF8"/>
    <w:rsid w:val="0069775E"/>
    <w:rsid w:val="00697802"/>
    <w:rsid w:val="006A11A6"/>
    <w:rsid w:val="006A1A0C"/>
    <w:rsid w:val="006A200D"/>
    <w:rsid w:val="006A2096"/>
    <w:rsid w:val="006A4B52"/>
    <w:rsid w:val="006A5224"/>
    <w:rsid w:val="006A5F3F"/>
    <w:rsid w:val="006A6D3D"/>
    <w:rsid w:val="006A7C88"/>
    <w:rsid w:val="006B1B86"/>
    <w:rsid w:val="006B231D"/>
    <w:rsid w:val="006B4243"/>
    <w:rsid w:val="006B550F"/>
    <w:rsid w:val="006C236C"/>
    <w:rsid w:val="006C23BB"/>
    <w:rsid w:val="006C5B12"/>
    <w:rsid w:val="006D1434"/>
    <w:rsid w:val="006D238D"/>
    <w:rsid w:val="006D37E7"/>
    <w:rsid w:val="006F0525"/>
    <w:rsid w:val="006F2EE1"/>
    <w:rsid w:val="006F44BA"/>
    <w:rsid w:val="006F583A"/>
    <w:rsid w:val="006F5C4C"/>
    <w:rsid w:val="00702992"/>
    <w:rsid w:val="00703A1F"/>
    <w:rsid w:val="00707DD2"/>
    <w:rsid w:val="0071099F"/>
    <w:rsid w:val="00711E53"/>
    <w:rsid w:val="00713C61"/>
    <w:rsid w:val="00722C85"/>
    <w:rsid w:val="00723941"/>
    <w:rsid w:val="007244D2"/>
    <w:rsid w:val="00727F55"/>
    <w:rsid w:val="00730048"/>
    <w:rsid w:val="00731131"/>
    <w:rsid w:val="007313EF"/>
    <w:rsid w:val="00734125"/>
    <w:rsid w:val="007353B9"/>
    <w:rsid w:val="0073776D"/>
    <w:rsid w:val="0074365F"/>
    <w:rsid w:val="00744B74"/>
    <w:rsid w:val="007466AE"/>
    <w:rsid w:val="0074740F"/>
    <w:rsid w:val="00756762"/>
    <w:rsid w:val="00757039"/>
    <w:rsid w:val="007604C4"/>
    <w:rsid w:val="0076116B"/>
    <w:rsid w:val="007635C4"/>
    <w:rsid w:val="007642F1"/>
    <w:rsid w:val="0076453B"/>
    <w:rsid w:val="00771AD1"/>
    <w:rsid w:val="0077257D"/>
    <w:rsid w:val="007738D7"/>
    <w:rsid w:val="00774105"/>
    <w:rsid w:val="0077538E"/>
    <w:rsid w:val="00781D76"/>
    <w:rsid w:val="007832B9"/>
    <w:rsid w:val="007837E3"/>
    <w:rsid w:val="0079353B"/>
    <w:rsid w:val="00794DC8"/>
    <w:rsid w:val="0079544C"/>
    <w:rsid w:val="00796B63"/>
    <w:rsid w:val="007971AF"/>
    <w:rsid w:val="007A20AD"/>
    <w:rsid w:val="007A7EC7"/>
    <w:rsid w:val="007B2944"/>
    <w:rsid w:val="007B2B92"/>
    <w:rsid w:val="007B5735"/>
    <w:rsid w:val="007B74E6"/>
    <w:rsid w:val="007B7929"/>
    <w:rsid w:val="007C0CD5"/>
    <w:rsid w:val="007D023C"/>
    <w:rsid w:val="007D30EC"/>
    <w:rsid w:val="007D6973"/>
    <w:rsid w:val="007D75A3"/>
    <w:rsid w:val="007E013B"/>
    <w:rsid w:val="007E0245"/>
    <w:rsid w:val="007E1F87"/>
    <w:rsid w:val="007E37FB"/>
    <w:rsid w:val="007E3C33"/>
    <w:rsid w:val="007E5650"/>
    <w:rsid w:val="007E7826"/>
    <w:rsid w:val="007F40D0"/>
    <w:rsid w:val="007F4B81"/>
    <w:rsid w:val="007F5C69"/>
    <w:rsid w:val="0080229C"/>
    <w:rsid w:val="008024D4"/>
    <w:rsid w:val="0080320A"/>
    <w:rsid w:val="0080386F"/>
    <w:rsid w:val="008133CE"/>
    <w:rsid w:val="008133D6"/>
    <w:rsid w:val="0081653C"/>
    <w:rsid w:val="00816B40"/>
    <w:rsid w:val="00820CAC"/>
    <w:rsid w:val="0083686D"/>
    <w:rsid w:val="00837E98"/>
    <w:rsid w:val="0084160A"/>
    <w:rsid w:val="00851873"/>
    <w:rsid w:val="008556E5"/>
    <w:rsid w:val="00860DE3"/>
    <w:rsid w:val="008655FF"/>
    <w:rsid w:val="008729A1"/>
    <w:rsid w:val="008729F9"/>
    <w:rsid w:val="008774B9"/>
    <w:rsid w:val="008816B8"/>
    <w:rsid w:val="00882130"/>
    <w:rsid w:val="00893CBA"/>
    <w:rsid w:val="0089793E"/>
    <w:rsid w:val="008A2E11"/>
    <w:rsid w:val="008A3399"/>
    <w:rsid w:val="008B30CC"/>
    <w:rsid w:val="008B736C"/>
    <w:rsid w:val="008B7F81"/>
    <w:rsid w:val="008C0E18"/>
    <w:rsid w:val="008C1777"/>
    <w:rsid w:val="008C27D3"/>
    <w:rsid w:val="008C2CC5"/>
    <w:rsid w:val="008C32E0"/>
    <w:rsid w:val="008C51B6"/>
    <w:rsid w:val="008C6D85"/>
    <w:rsid w:val="008D2C6C"/>
    <w:rsid w:val="008D4933"/>
    <w:rsid w:val="008E02DF"/>
    <w:rsid w:val="008E5736"/>
    <w:rsid w:val="008E6608"/>
    <w:rsid w:val="009059DF"/>
    <w:rsid w:val="00907FF7"/>
    <w:rsid w:val="00914B68"/>
    <w:rsid w:val="00916720"/>
    <w:rsid w:val="009168DF"/>
    <w:rsid w:val="0091700C"/>
    <w:rsid w:val="009263E1"/>
    <w:rsid w:val="009303B2"/>
    <w:rsid w:val="00935CFE"/>
    <w:rsid w:val="00940C61"/>
    <w:rsid w:val="00942111"/>
    <w:rsid w:val="009444C1"/>
    <w:rsid w:val="009461A2"/>
    <w:rsid w:val="009500AD"/>
    <w:rsid w:val="00951F75"/>
    <w:rsid w:val="00954456"/>
    <w:rsid w:val="00955788"/>
    <w:rsid w:val="00962C58"/>
    <w:rsid w:val="009640C6"/>
    <w:rsid w:val="009678B9"/>
    <w:rsid w:val="009700A5"/>
    <w:rsid w:val="00970D03"/>
    <w:rsid w:val="00973C06"/>
    <w:rsid w:val="00973C28"/>
    <w:rsid w:val="00974D23"/>
    <w:rsid w:val="00975EBE"/>
    <w:rsid w:val="00976508"/>
    <w:rsid w:val="00985983"/>
    <w:rsid w:val="00987C20"/>
    <w:rsid w:val="0099245C"/>
    <w:rsid w:val="009935FA"/>
    <w:rsid w:val="00996C92"/>
    <w:rsid w:val="009A40CC"/>
    <w:rsid w:val="009A5267"/>
    <w:rsid w:val="009A5EBB"/>
    <w:rsid w:val="009B12BF"/>
    <w:rsid w:val="009B61E9"/>
    <w:rsid w:val="009C5EAF"/>
    <w:rsid w:val="009D1ACB"/>
    <w:rsid w:val="009D47CA"/>
    <w:rsid w:val="009D5125"/>
    <w:rsid w:val="009D55E2"/>
    <w:rsid w:val="009D7F7F"/>
    <w:rsid w:val="009E214A"/>
    <w:rsid w:val="009E4B47"/>
    <w:rsid w:val="009E510E"/>
    <w:rsid w:val="009E63CA"/>
    <w:rsid w:val="009E67B5"/>
    <w:rsid w:val="009E74AB"/>
    <w:rsid w:val="009F0F8F"/>
    <w:rsid w:val="009F17FF"/>
    <w:rsid w:val="009F1EF9"/>
    <w:rsid w:val="009F515C"/>
    <w:rsid w:val="009F702C"/>
    <w:rsid w:val="00A01470"/>
    <w:rsid w:val="00A018F4"/>
    <w:rsid w:val="00A02FF0"/>
    <w:rsid w:val="00A05E5A"/>
    <w:rsid w:val="00A062AF"/>
    <w:rsid w:val="00A107EE"/>
    <w:rsid w:val="00A10C8E"/>
    <w:rsid w:val="00A229F1"/>
    <w:rsid w:val="00A243B6"/>
    <w:rsid w:val="00A24E2D"/>
    <w:rsid w:val="00A26239"/>
    <w:rsid w:val="00A307C2"/>
    <w:rsid w:val="00A307D7"/>
    <w:rsid w:val="00A34998"/>
    <w:rsid w:val="00A34B65"/>
    <w:rsid w:val="00A35098"/>
    <w:rsid w:val="00A35D82"/>
    <w:rsid w:val="00A36C88"/>
    <w:rsid w:val="00A37110"/>
    <w:rsid w:val="00A405C4"/>
    <w:rsid w:val="00A40C56"/>
    <w:rsid w:val="00A41896"/>
    <w:rsid w:val="00A4234A"/>
    <w:rsid w:val="00A46B13"/>
    <w:rsid w:val="00A476BA"/>
    <w:rsid w:val="00A51B36"/>
    <w:rsid w:val="00A56F18"/>
    <w:rsid w:val="00A644F7"/>
    <w:rsid w:val="00A664B7"/>
    <w:rsid w:val="00A66C4A"/>
    <w:rsid w:val="00A67006"/>
    <w:rsid w:val="00A67E5D"/>
    <w:rsid w:val="00A7743A"/>
    <w:rsid w:val="00A81C58"/>
    <w:rsid w:val="00A8325A"/>
    <w:rsid w:val="00A83384"/>
    <w:rsid w:val="00A861C4"/>
    <w:rsid w:val="00A97569"/>
    <w:rsid w:val="00AA1EA1"/>
    <w:rsid w:val="00AA2D23"/>
    <w:rsid w:val="00AA5BF1"/>
    <w:rsid w:val="00AA5F7F"/>
    <w:rsid w:val="00AB0B1B"/>
    <w:rsid w:val="00AB2C3D"/>
    <w:rsid w:val="00AB4802"/>
    <w:rsid w:val="00AC031A"/>
    <w:rsid w:val="00AC52D4"/>
    <w:rsid w:val="00AC5C0E"/>
    <w:rsid w:val="00AD3F73"/>
    <w:rsid w:val="00AE050B"/>
    <w:rsid w:val="00AE11D7"/>
    <w:rsid w:val="00AE433D"/>
    <w:rsid w:val="00AE49DC"/>
    <w:rsid w:val="00AE60B1"/>
    <w:rsid w:val="00AE755C"/>
    <w:rsid w:val="00AF4268"/>
    <w:rsid w:val="00AF49DB"/>
    <w:rsid w:val="00AF4D95"/>
    <w:rsid w:val="00AF7805"/>
    <w:rsid w:val="00B00B9F"/>
    <w:rsid w:val="00B1346A"/>
    <w:rsid w:val="00B22629"/>
    <w:rsid w:val="00B27F73"/>
    <w:rsid w:val="00B31C99"/>
    <w:rsid w:val="00B32634"/>
    <w:rsid w:val="00B359B2"/>
    <w:rsid w:val="00B35E5B"/>
    <w:rsid w:val="00B4037C"/>
    <w:rsid w:val="00B40440"/>
    <w:rsid w:val="00B410A4"/>
    <w:rsid w:val="00B426BF"/>
    <w:rsid w:val="00B44900"/>
    <w:rsid w:val="00B44EEC"/>
    <w:rsid w:val="00B46FED"/>
    <w:rsid w:val="00B53D93"/>
    <w:rsid w:val="00B5406A"/>
    <w:rsid w:val="00B614B5"/>
    <w:rsid w:val="00B64444"/>
    <w:rsid w:val="00B646D4"/>
    <w:rsid w:val="00B64ABF"/>
    <w:rsid w:val="00B66338"/>
    <w:rsid w:val="00B66BF5"/>
    <w:rsid w:val="00B66ED7"/>
    <w:rsid w:val="00B70BF7"/>
    <w:rsid w:val="00B81BF5"/>
    <w:rsid w:val="00B87264"/>
    <w:rsid w:val="00B901DB"/>
    <w:rsid w:val="00B9225C"/>
    <w:rsid w:val="00B92833"/>
    <w:rsid w:val="00B93AB9"/>
    <w:rsid w:val="00BA1FB9"/>
    <w:rsid w:val="00BA4BA3"/>
    <w:rsid w:val="00BA6D4A"/>
    <w:rsid w:val="00BA7CF7"/>
    <w:rsid w:val="00BB0ACE"/>
    <w:rsid w:val="00BB1ED4"/>
    <w:rsid w:val="00BB29B8"/>
    <w:rsid w:val="00BB5FE2"/>
    <w:rsid w:val="00BB6E35"/>
    <w:rsid w:val="00BB6FD2"/>
    <w:rsid w:val="00BC1950"/>
    <w:rsid w:val="00BC470F"/>
    <w:rsid w:val="00BC6192"/>
    <w:rsid w:val="00BC6F3C"/>
    <w:rsid w:val="00BC7238"/>
    <w:rsid w:val="00BD5709"/>
    <w:rsid w:val="00BE1044"/>
    <w:rsid w:val="00BE1B63"/>
    <w:rsid w:val="00BF48D8"/>
    <w:rsid w:val="00BF6329"/>
    <w:rsid w:val="00C003A7"/>
    <w:rsid w:val="00C02A48"/>
    <w:rsid w:val="00C074B9"/>
    <w:rsid w:val="00C15273"/>
    <w:rsid w:val="00C170ED"/>
    <w:rsid w:val="00C23EC5"/>
    <w:rsid w:val="00C276CC"/>
    <w:rsid w:val="00C41A08"/>
    <w:rsid w:val="00C41CEE"/>
    <w:rsid w:val="00C4244C"/>
    <w:rsid w:val="00C50160"/>
    <w:rsid w:val="00C53FD7"/>
    <w:rsid w:val="00C57E5A"/>
    <w:rsid w:val="00C646CF"/>
    <w:rsid w:val="00C64EF1"/>
    <w:rsid w:val="00C7377C"/>
    <w:rsid w:val="00C744E7"/>
    <w:rsid w:val="00C7539C"/>
    <w:rsid w:val="00C757D9"/>
    <w:rsid w:val="00C84CEF"/>
    <w:rsid w:val="00C85193"/>
    <w:rsid w:val="00C901D2"/>
    <w:rsid w:val="00C93C35"/>
    <w:rsid w:val="00C95A47"/>
    <w:rsid w:val="00C978B0"/>
    <w:rsid w:val="00CA0D19"/>
    <w:rsid w:val="00CA71F7"/>
    <w:rsid w:val="00CA76BE"/>
    <w:rsid w:val="00CB26D9"/>
    <w:rsid w:val="00CC0A75"/>
    <w:rsid w:val="00CC52FE"/>
    <w:rsid w:val="00CD16FA"/>
    <w:rsid w:val="00CD18CC"/>
    <w:rsid w:val="00CD2979"/>
    <w:rsid w:val="00CD4977"/>
    <w:rsid w:val="00CE1BFB"/>
    <w:rsid w:val="00CE3507"/>
    <w:rsid w:val="00CE406B"/>
    <w:rsid w:val="00CE44EF"/>
    <w:rsid w:val="00CE5526"/>
    <w:rsid w:val="00CE57D5"/>
    <w:rsid w:val="00CF0C8A"/>
    <w:rsid w:val="00CF339C"/>
    <w:rsid w:val="00CF3975"/>
    <w:rsid w:val="00CF3E5E"/>
    <w:rsid w:val="00D05BC0"/>
    <w:rsid w:val="00D062EC"/>
    <w:rsid w:val="00D11D57"/>
    <w:rsid w:val="00D142A5"/>
    <w:rsid w:val="00D172E4"/>
    <w:rsid w:val="00D22296"/>
    <w:rsid w:val="00D22B05"/>
    <w:rsid w:val="00D23052"/>
    <w:rsid w:val="00D234B3"/>
    <w:rsid w:val="00D2453F"/>
    <w:rsid w:val="00D305C8"/>
    <w:rsid w:val="00D34F80"/>
    <w:rsid w:val="00D355CD"/>
    <w:rsid w:val="00D425CB"/>
    <w:rsid w:val="00D42C63"/>
    <w:rsid w:val="00D42E99"/>
    <w:rsid w:val="00D4602B"/>
    <w:rsid w:val="00D46390"/>
    <w:rsid w:val="00D4679D"/>
    <w:rsid w:val="00D54A66"/>
    <w:rsid w:val="00D61CB5"/>
    <w:rsid w:val="00D666E5"/>
    <w:rsid w:val="00D72561"/>
    <w:rsid w:val="00D73285"/>
    <w:rsid w:val="00D73530"/>
    <w:rsid w:val="00D8100E"/>
    <w:rsid w:val="00D85F39"/>
    <w:rsid w:val="00D86143"/>
    <w:rsid w:val="00D94A76"/>
    <w:rsid w:val="00D956C2"/>
    <w:rsid w:val="00D96F99"/>
    <w:rsid w:val="00DA1030"/>
    <w:rsid w:val="00DA2CD6"/>
    <w:rsid w:val="00DB21ED"/>
    <w:rsid w:val="00DC1151"/>
    <w:rsid w:val="00DC1332"/>
    <w:rsid w:val="00DC228C"/>
    <w:rsid w:val="00DC50E0"/>
    <w:rsid w:val="00DC6FDE"/>
    <w:rsid w:val="00DC7442"/>
    <w:rsid w:val="00DD2026"/>
    <w:rsid w:val="00DD4998"/>
    <w:rsid w:val="00DE083E"/>
    <w:rsid w:val="00DE480A"/>
    <w:rsid w:val="00DE4873"/>
    <w:rsid w:val="00DF35DF"/>
    <w:rsid w:val="00E02648"/>
    <w:rsid w:val="00E030A4"/>
    <w:rsid w:val="00E03E81"/>
    <w:rsid w:val="00E04419"/>
    <w:rsid w:val="00E1012B"/>
    <w:rsid w:val="00E104EB"/>
    <w:rsid w:val="00E206B0"/>
    <w:rsid w:val="00E24EE0"/>
    <w:rsid w:val="00E25F25"/>
    <w:rsid w:val="00E264B7"/>
    <w:rsid w:val="00E33BBB"/>
    <w:rsid w:val="00E344DB"/>
    <w:rsid w:val="00E369B4"/>
    <w:rsid w:val="00E37BF2"/>
    <w:rsid w:val="00E405F8"/>
    <w:rsid w:val="00E42D42"/>
    <w:rsid w:val="00E433A7"/>
    <w:rsid w:val="00E462E1"/>
    <w:rsid w:val="00E46439"/>
    <w:rsid w:val="00E47F52"/>
    <w:rsid w:val="00E5574D"/>
    <w:rsid w:val="00E55CB8"/>
    <w:rsid w:val="00E57A6E"/>
    <w:rsid w:val="00E603AF"/>
    <w:rsid w:val="00E60ADF"/>
    <w:rsid w:val="00E611AB"/>
    <w:rsid w:val="00E62887"/>
    <w:rsid w:val="00E62A94"/>
    <w:rsid w:val="00E675B6"/>
    <w:rsid w:val="00E74C2C"/>
    <w:rsid w:val="00E74F30"/>
    <w:rsid w:val="00E80335"/>
    <w:rsid w:val="00E825F2"/>
    <w:rsid w:val="00E838EA"/>
    <w:rsid w:val="00E83FE9"/>
    <w:rsid w:val="00E8470C"/>
    <w:rsid w:val="00E84865"/>
    <w:rsid w:val="00E86304"/>
    <w:rsid w:val="00E876C6"/>
    <w:rsid w:val="00E87FFE"/>
    <w:rsid w:val="00E94A19"/>
    <w:rsid w:val="00E9587A"/>
    <w:rsid w:val="00EA3F43"/>
    <w:rsid w:val="00EA447C"/>
    <w:rsid w:val="00EA52AB"/>
    <w:rsid w:val="00EA53E9"/>
    <w:rsid w:val="00EA6BBE"/>
    <w:rsid w:val="00EA7023"/>
    <w:rsid w:val="00EB1A73"/>
    <w:rsid w:val="00EB2BDE"/>
    <w:rsid w:val="00EB592C"/>
    <w:rsid w:val="00EB66A9"/>
    <w:rsid w:val="00EC400D"/>
    <w:rsid w:val="00EC6294"/>
    <w:rsid w:val="00ED04C4"/>
    <w:rsid w:val="00ED493F"/>
    <w:rsid w:val="00ED6833"/>
    <w:rsid w:val="00ED72CA"/>
    <w:rsid w:val="00EE0D05"/>
    <w:rsid w:val="00EE1CD6"/>
    <w:rsid w:val="00EE2C86"/>
    <w:rsid w:val="00EE535A"/>
    <w:rsid w:val="00EE5E2A"/>
    <w:rsid w:val="00EE6FC2"/>
    <w:rsid w:val="00EE7D27"/>
    <w:rsid w:val="00EF0986"/>
    <w:rsid w:val="00EF51D4"/>
    <w:rsid w:val="00EF6999"/>
    <w:rsid w:val="00F04F63"/>
    <w:rsid w:val="00F05C0A"/>
    <w:rsid w:val="00F11835"/>
    <w:rsid w:val="00F13E84"/>
    <w:rsid w:val="00F1415A"/>
    <w:rsid w:val="00F15BF8"/>
    <w:rsid w:val="00F15DAA"/>
    <w:rsid w:val="00F17B89"/>
    <w:rsid w:val="00F22F17"/>
    <w:rsid w:val="00F23CF7"/>
    <w:rsid w:val="00F24896"/>
    <w:rsid w:val="00F27539"/>
    <w:rsid w:val="00F30F12"/>
    <w:rsid w:val="00F3581F"/>
    <w:rsid w:val="00F36C00"/>
    <w:rsid w:val="00F377DD"/>
    <w:rsid w:val="00F423CB"/>
    <w:rsid w:val="00F4246A"/>
    <w:rsid w:val="00F4294B"/>
    <w:rsid w:val="00F4529A"/>
    <w:rsid w:val="00F5074A"/>
    <w:rsid w:val="00F50CC8"/>
    <w:rsid w:val="00F57B53"/>
    <w:rsid w:val="00F6010B"/>
    <w:rsid w:val="00F62F5B"/>
    <w:rsid w:val="00F71322"/>
    <w:rsid w:val="00F73CBF"/>
    <w:rsid w:val="00F7597E"/>
    <w:rsid w:val="00F83F7E"/>
    <w:rsid w:val="00F849C8"/>
    <w:rsid w:val="00F87F2B"/>
    <w:rsid w:val="00F90E63"/>
    <w:rsid w:val="00F937A4"/>
    <w:rsid w:val="00F96317"/>
    <w:rsid w:val="00FA0542"/>
    <w:rsid w:val="00FA0981"/>
    <w:rsid w:val="00FA5445"/>
    <w:rsid w:val="00FA6C1B"/>
    <w:rsid w:val="00FB7FC4"/>
    <w:rsid w:val="00FC0557"/>
    <w:rsid w:val="00FC3BDC"/>
    <w:rsid w:val="00FC42BF"/>
    <w:rsid w:val="00FC51D7"/>
    <w:rsid w:val="00FD2475"/>
    <w:rsid w:val="00FD4749"/>
    <w:rsid w:val="00FE3C38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68117"/>
  <w15:chartTrackingRefBased/>
  <w15:docId w15:val="{1C397781-AC77-45FA-99D6-5D54A88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AF"/>
    <w:pPr>
      <w:spacing w:before="60"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56"/>
    <w:pPr>
      <w:spacing w:before="0" w:after="0"/>
      <w:jc w:val="center"/>
      <w:outlineLvl w:val="0"/>
    </w:pPr>
    <w:rPr>
      <w:color w:val="5AA5C7"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F368D"/>
    <w:pPr>
      <w:keepNext/>
      <w:jc w:val="left"/>
      <w:outlineLvl w:val="1"/>
    </w:pPr>
    <w:rPr>
      <w:b/>
      <w:caps/>
      <w:color w:val="17428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83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E083E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D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7C8"/>
  </w:style>
  <w:style w:type="character" w:customStyle="1" w:styleId="Heading1Char">
    <w:name w:val="Heading 1 Char"/>
    <w:basedOn w:val="DefaultParagraphFont"/>
    <w:link w:val="Heading1"/>
    <w:uiPriority w:val="9"/>
    <w:rsid w:val="00A40C56"/>
    <w:rPr>
      <w:color w:val="5AA5C7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5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7D9"/>
    <w:rPr>
      <w:color w:val="605E5C"/>
      <w:shd w:val="clear" w:color="auto" w:fill="E1DFDD"/>
    </w:rPr>
  </w:style>
  <w:style w:type="paragraph" w:customStyle="1" w:styleId="Dot">
    <w:name w:val="Dot"/>
    <w:basedOn w:val="Normal"/>
    <w:qFormat/>
    <w:rsid w:val="009F17FF"/>
    <w:pPr>
      <w:numPr>
        <w:numId w:val="1"/>
      </w:numPr>
      <w:spacing w:before="0"/>
      <w:ind w:left="170" w:hanging="17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13C6"/>
    <w:pPr>
      <w:spacing w:before="40" w:after="40"/>
      <w:jc w:val="right"/>
    </w:pPr>
    <w:rPr>
      <w:b/>
      <w:bCs/>
      <w:color w:val="FFFFFF" w:themeColor="background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C13C6"/>
    <w:rPr>
      <w:b/>
      <w:bCs/>
      <w:color w:val="FFFFFF" w:themeColor="background1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325A01"/>
    <w:pPr>
      <w:spacing w:before="40" w:after="40"/>
      <w:jc w:val="right"/>
    </w:pPr>
    <w:rPr>
      <w:b/>
      <w:bCs/>
      <w:color w:val="A3CEED"/>
    </w:rPr>
  </w:style>
  <w:style w:type="character" w:customStyle="1" w:styleId="DateChar">
    <w:name w:val="Date Char"/>
    <w:basedOn w:val="DefaultParagraphFont"/>
    <w:link w:val="Date"/>
    <w:uiPriority w:val="99"/>
    <w:rsid w:val="00325A01"/>
    <w:rPr>
      <w:b/>
      <w:bCs/>
      <w:color w:val="A3CEED"/>
    </w:rPr>
  </w:style>
  <w:style w:type="character" w:customStyle="1" w:styleId="Heading2Char">
    <w:name w:val="Heading 2 Char"/>
    <w:basedOn w:val="DefaultParagraphFont"/>
    <w:link w:val="Heading2"/>
    <w:uiPriority w:val="9"/>
    <w:rsid w:val="003F368D"/>
    <w:rPr>
      <w:b/>
      <w:caps/>
      <w:color w:val="17428D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43D88"/>
    <w:rPr>
      <w:color w:val="954F72" w:themeColor="followedHyperlink"/>
      <w:u w:val="single"/>
    </w:rPr>
  </w:style>
  <w:style w:type="character" w:customStyle="1" w:styleId="NormalItalic">
    <w:name w:val="Normal Italic"/>
    <w:basedOn w:val="DefaultParagraphFont"/>
    <w:rsid w:val="003C4795"/>
    <w:rPr>
      <w:i/>
      <w:iCs/>
    </w:rPr>
  </w:style>
  <w:style w:type="paragraph" w:customStyle="1" w:styleId="Normalafter0pt">
    <w:name w:val="Normal after 0 pt"/>
    <w:basedOn w:val="Normal"/>
    <w:rsid w:val="008655FF"/>
    <w:pPr>
      <w:spacing w:after="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3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3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322"/>
    <w:rPr>
      <w:b/>
      <w:bCs/>
    </w:rPr>
  </w:style>
  <w:style w:type="paragraph" w:styleId="Revision">
    <w:name w:val="Revision"/>
    <w:hidden/>
    <w:uiPriority w:val="99"/>
    <w:semiHidden/>
    <w:rsid w:val="006321C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gaic@vpa.vic.gov.au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sro.vic.gov.au/growth-areas-infrastructure-contribu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ning.vic.gov.au/policies-and-initiatives/growth-areas-infrastructure-contribution-fund" TargetMode="External"/><Relationship Id="rId20" Type="http://schemas.openxmlformats.org/officeDocument/2006/relationships/hyperlink" Target="https://vpa.vic.gov.au/metropolitan/growth-area-infrastructure-contribution-gaic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gaic@sro.vi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873174E58C444A1A20ECD40817B57" ma:contentTypeVersion="16" ma:contentTypeDescription="Create a new document." ma:contentTypeScope="" ma:versionID="86dc28a5a5f609d6d772f90ec95f7ce4">
  <xsd:schema xmlns:xsd="http://www.w3.org/2001/XMLSchema" xmlns:xs="http://www.w3.org/2001/XMLSchema" xmlns:p="http://schemas.microsoft.com/office/2006/metadata/properties" xmlns:ns2="d509a754-ab1a-4867-ae10-97ca17b63e9d" xmlns:ns3="16b979d9-b51d-454a-b495-b5499a9a5710" targetNamespace="http://schemas.microsoft.com/office/2006/metadata/properties" ma:root="true" ma:fieldsID="8eaf0683b8b6a38f8cb0c7875da41671" ns2:_="" ns3:_="">
    <xsd:import namespace="d509a754-ab1a-4867-ae10-97ca17b63e9d"/>
    <xsd:import namespace="16b979d9-b51d-454a-b495-b5499a9a57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9a754-ab1a-4867-ae10-97ca17b6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5cda4e3-9a8c-4451-af2e-8550afb939bf}" ma:internalName="TaxCatchAll" ma:showField="CatchAllData" ma:web="d509a754-ab1a-4867-ae10-97ca17b6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79d9-b51d-454a-b495-b5499a9a5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efb7472-f482-42c1-a61e-1d5c76355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09a754-ab1a-4867-ae10-97ca17b63e9d">WZRA2MQZYHYM-559158197-2821</_dlc_DocId>
    <_dlc_DocIdUrl xmlns="d509a754-ab1a-4867-ae10-97ca17b63e9d">
      <Url>https://victorianplanningauthority.sharepoint.com/sites/Infrastructure/_layouts/15/DocIdRedir.aspx?ID=WZRA2MQZYHYM-559158197-2821</Url>
      <Description>WZRA2MQZYHYM-559158197-2821</Description>
    </_dlc_DocIdUrl>
    <TaxCatchAll xmlns="d509a754-ab1a-4867-ae10-97ca17b63e9d" xsi:nil="true"/>
    <lcf76f155ced4ddcb4097134ff3c332f xmlns="16b979d9-b51d-454a-b495-b5499a9a5710">
      <Terms xmlns="http://schemas.microsoft.com/office/infopath/2007/PartnerControls"/>
    </lcf76f155ced4ddcb4097134ff3c332f>
    <SharedWithUsers xmlns="d509a754-ab1a-4867-ae10-97ca17b63e9d">
      <UserInfo>
        <DisplayName/>
        <AccountId xsi:nil="true"/>
        <AccountType/>
      </UserInfo>
    </SharedWithUsers>
    <_dlc_DocIdPersistId xmlns="d509a754-ab1a-4867-ae10-97ca17b63e9d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95F618-9252-43C5-921B-1D7E8EEF6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4AA08-1790-43B0-A15F-44DC1219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9a754-ab1a-4867-ae10-97ca17b63e9d"/>
    <ds:schemaRef ds:uri="16b979d9-b51d-454a-b495-b5499a9a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4A40B-3E4D-45F2-AD84-13AA834E951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d509a754-ab1a-4867-ae10-97ca17b63e9d"/>
    <ds:schemaRef ds:uri="http://schemas.microsoft.com/office/infopath/2007/PartnerControls"/>
    <ds:schemaRef ds:uri="16b979d9-b51d-454a-b495-b5499a9a5710"/>
  </ds:schemaRefs>
</ds:datastoreItem>
</file>

<file path=customXml/itemProps4.xml><?xml version="1.0" encoding="utf-8"?>
<ds:datastoreItem xmlns:ds="http://schemas.openxmlformats.org/officeDocument/2006/customXml" ds:itemID="{686A68BA-7F4A-4DAC-983E-D42BCF566F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7D6EA9-8D7A-4FC2-9317-B461BA6BA2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Churchward</dc:creator>
  <cp:keywords/>
  <dc:description/>
  <cp:lastModifiedBy>Tyler Agius (VPA)</cp:lastModifiedBy>
  <cp:revision>2</cp:revision>
  <dcterms:created xsi:type="dcterms:W3CDTF">2023-01-20T03:51:00Z</dcterms:created>
  <dcterms:modified xsi:type="dcterms:W3CDTF">2023-01-20T03:51:00Z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0x0101000D0873174E58C444A1A20ECD40817B57</vt:lpwstr>
  </property>
  <property fmtid="{D5CDD505-2E9C-101B-9397-08002B2CF9AE}" pid="3" name="_dlc_DocIdItemGuid">
    <vt:lpwstr>4e36b199-9e85-452a-968f-1de59ae36c26</vt:lpwstr>
  </property>
  <property fmtid="{D5CDD505-2E9C-101B-9397-08002B2CF9AE}" pid="4" name="Order">
    <vt:r8>13200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