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5C" w:rsidRDefault="00BA695C" w:rsidP="00E65958">
      <w:pPr>
        <w:ind w:hanging="1418"/>
        <w:rPr>
          <w:b/>
          <w:sz w:val="36"/>
          <w:szCs w:val="36"/>
        </w:rPr>
      </w:pPr>
    </w:p>
    <w:p w:rsidR="00AC1609" w:rsidRDefault="00A4739C">
      <w:pPr>
        <w:rPr>
          <w:rFonts w:ascii="Tahoma" w:hAnsi="Tahoma" w:cs="Tahoma"/>
          <w:color w:val="008B80"/>
          <w:sz w:val="40"/>
          <w:szCs w:val="40"/>
        </w:rPr>
      </w:pPr>
      <w:r>
        <w:rPr>
          <w:rFonts w:ascii="Tahoma" w:hAnsi="Tahoma" w:cs="Tahoma"/>
          <w:color w:val="008B80"/>
          <w:sz w:val="40"/>
          <w:szCs w:val="40"/>
        </w:rPr>
        <w:t>Victorian Population Bulletin 2014</w:t>
      </w:r>
    </w:p>
    <w:p w:rsidR="00A4739C" w:rsidRPr="00A4739C" w:rsidRDefault="00A4739C" w:rsidP="00A4739C">
      <w:pPr>
        <w:jc w:val="right"/>
        <w:rPr>
          <w:rFonts w:ascii="Tahoma" w:hAnsi="Tahoma" w:cs="Tahoma"/>
          <w:color w:val="008B80"/>
          <w:sz w:val="24"/>
          <w:szCs w:val="40"/>
        </w:rPr>
      </w:pPr>
      <w:r w:rsidRPr="00A4739C">
        <w:rPr>
          <w:rFonts w:ascii="Tahoma" w:hAnsi="Tahoma" w:cs="Tahoma"/>
          <w:color w:val="008B80"/>
          <w:sz w:val="24"/>
          <w:szCs w:val="40"/>
        </w:rPr>
        <w:t>ISSN1834-6650</w:t>
      </w:r>
    </w:p>
    <w:p w:rsidR="0058185F" w:rsidRPr="00D65ED3" w:rsidRDefault="0058185F" w:rsidP="0058185F">
      <w:pPr>
        <w:rPr>
          <w:rFonts w:ascii="Tahoma" w:hAnsi="Tahoma" w:cs="Tahoma"/>
          <w:color w:val="00B5AF"/>
        </w:rPr>
      </w:pPr>
      <w:r>
        <w:rPr>
          <w:rStyle w:val="A7"/>
          <w:rFonts w:ascii="Tahoma" w:hAnsi="Tahoma" w:cs="Tahoma"/>
          <w:color w:val="00B5AF"/>
          <w:sz w:val="32"/>
        </w:rPr>
        <w:t>Sp</w:t>
      </w:r>
      <w:r w:rsidR="007F4758">
        <w:rPr>
          <w:rStyle w:val="A7"/>
          <w:rFonts w:ascii="Tahoma" w:hAnsi="Tahoma" w:cs="Tahoma"/>
          <w:color w:val="00B5AF"/>
          <w:sz w:val="32"/>
        </w:rPr>
        <w:t>ecial Edition Part 2 – Capital c</w:t>
      </w:r>
      <w:r>
        <w:rPr>
          <w:rStyle w:val="A7"/>
          <w:rFonts w:ascii="Tahoma" w:hAnsi="Tahoma" w:cs="Tahoma"/>
          <w:color w:val="00B5AF"/>
          <w:sz w:val="32"/>
        </w:rPr>
        <w:t xml:space="preserve">ities and Balance of </w:t>
      </w:r>
      <w:r w:rsidR="007F4758">
        <w:rPr>
          <w:rStyle w:val="A7"/>
          <w:rFonts w:ascii="Tahoma" w:hAnsi="Tahoma" w:cs="Tahoma"/>
          <w:color w:val="00B5AF"/>
          <w:sz w:val="32"/>
        </w:rPr>
        <w:t>s</w:t>
      </w:r>
      <w:r>
        <w:rPr>
          <w:rStyle w:val="A7"/>
          <w:rFonts w:ascii="Tahoma" w:hAnsi="Tahoma" w:cs="Tahoma"/>
          <w:color w:val="00B5AF"/>
          <w:sz w:val="32"/>
        </w:rPr>
        <w:t>tates</w:t>
      </w:r>
    </w:p>
    <w:p w:rsidR="004F6531" w:rsidRPr="004F6531" w:rsidRDefault="00FF156F" w:rsidP="004F6531">
      <w:pPr>
        <w:rPr>
          <w:rFonts w:ascii="Tahoma" w:hAnsi="Tahoma" w:cs="Tahoma"/>
          <w:b/>
          <w:color w:val="221E1F"/>
        </w:rPr>
      </w:pPr>
      <w:r w:rsidRPr="00AC1609">
        <w:rPr>
          <w:rFonts w:ascii="Tahoma" w:hAnsi="Tahoma" w:cs="Tahoma"/>
          <w:b/>
          <w:color w:val="221E1F"/>
        </w:rPr>
        <w:t>The</w:t>
      </w:r>
      <w:r w:rsidR="004F6531">
        <w:rPr>
          <w:rFonts w:ascii="Tahoma" w:hAnsi="Tahoma" w:cs="Tahoma"/>
          <w:b/>
          <w:color w:val="221E1F"/>
        </w:rPr>
        <w:t xml:space="preserve"> </w:t>
      </w:r>
      <w:r w:rsidR="004F6531" w:rsidRPr="004F6531">
        <w:rPr>
          <w:rFonts w:ascii="Tahoma" w:hAnsi="Tahoma" w:cs="Tahoma"/>
          <w:b/>
          <w:color w:val="221E1F"/>
        </w:rPr>
        <w:t>Australian Bureau of Statistics (ABS) rebases the estimated resident population (ERP) of Australia and its regions after each Census. An improved methodology in the 2011 Census – based for the first time on automated data linking – showed that the proportion of the population undercounted was lower than previously assumed and that previous populations had been overestimated using the ‘old’ methodology.</w:t>
      </w:r>
    </w:p>
    <w:p w:rsidR="00FF156F" w:rsidRPr="004F6531" w:rsidRDefault="004F6531" w:rsidP="004F6531">
      <w:pPr>
        <w:rPr>
          <w:rFonts w:ascii="Tahoma" w:hAnsi="Tahoma" w:cs="Tahoma"/>
          <w:sz w:val="24"/>
          <w:szCs w:val="24"/>
        </w:rPr>
      </w:pPr>
      <w:r w:rsidRPr="004F6531">
        <w:rPr>
          <w:rFonts w:ascii="Tahoma" w:hAnsi="Tahoma" w:cs="Tahoma"/>
          <w:b/>
          <w:color w:val="221E1F"/>
        </w:rPr>
        <w:t>To take account of this new information, and to produce a consistent set of time series population data, the ABS recast population estimates in addition to the usual rebasing conducted after each Census. For further information about the revisions, consult the ABS web-site and demographic publications.</w:t>
      </w:r>
      <w:r w:rsidRPr="00850DB0">
        <w:rPr>
          <w:rFonts w:ascii="Tahoma" w:hAnsi="Tahoma" w:cs="Tahoma"/>
          <w:sz w:val="24"/>
          <w:szCs w:val="24"/>
        </w:rPr>
        <w:t xml:space="preserve"> </w:t>
      </w:r>
    </w:p>
    <w:p w:rsidR="00AC1609" w:rsidRPr="00AC1609" w:rsidRDefault="00AC1609" w:rsidP="00AC1609">
      <w:pPr>
        <w:spacing w:after="0"/>
        <w:rPr>
          <w:rFonts w:ascii="Tahoma" w:hAnsi="Tahoma" w:cs="Tahoma"/>
          <w:b/>
          <w:color w:val="221E1F"/>
        </w:rPr>
      </w:pPr>
    </w:p>
    <w:p w:rsidR="00FF156F" w:rsidRPr="00D65ED3" w:rsidRDefault="00FF156F" w:rsidP="00BA695C">
      <w:pPr>
        <w:rPr>
          <w:rFonts w:ascii="Tahoma" w:hAnsi="Tahoma" w:cs="Tahoma"/>
          <w:color w:val="00B5AF"/>
        </w:rPr>
      </w:pPr>
      <w:r w:rsidRPr="00D65ED3">
        <w:rPr>
          <w:rStyle w:val="A7"/>
          <w:rFonts w:ascii="Tahoma" w:hAnsi="Tahoma" w:cs="Tahoma"/>
          <w:color w:val="00B5AF"/>
          <w:sz w:val="32"/>
        </w:rPr>
        <w:t>Highlights of population change</w:t>
      </w:r>
    </w:p>
    <w:p w:rsidR="004F6531" w:rsidRPr="007F4758" w:rsidRDefault="004F6531" w:rsidP="002E0FDD">
      <w:pPr>
        <w:pStyle w:val="ListParagraph"/>
        <w:numPr>
          <w:ilvl w:val="0"/>
          <w:numId w:val="10"/>
        </w:numPr>
        <w:ind w:left="426"/>
        <w:rPr>
          <w:rFonts w:ascii="Tahoma" w:hAnsi="Tahoma" w:cs="Tahoma"/>
          <w:sz w:val="20"/>
        </w:rPr>
      </w:pPr>
      <w:r w:rsidRPr="007F4758">
        <w:rPr>
          <w:rFonts w:ascii="Tahoma" w:hAnsi="Tahoma" w:cs="Tahoma"/>
          <w:sz w:val="20"/>
        </w:rPr>
        <w:t xml:space="preserve">The population of Australia increased from 13.1 million people in 1971 to 22.3 million in 2011. This </w:t>
      </w:r>
      <w:r w:rsidR="00FA4827" w:rsidRPr="007F4758">
        <w:rPr>
          <w:rFonts w:ascii="Tahoma" w:hAnsi="Tahoma" w:cs="Tahoma"/>
          <w:sz w:val="20"/>
        </w:rPr>
        <w:t>is</w:t>
      </w:r>
      <w:r w:rsidRPr="007F4758">
        <w:rPr>
          <w:rFonts w:ascii="Tahoma" w:hAnsi="Tahoma" w:cs="Tahoma"/>
          <w:sz w:val="20"/>
        </w:rPr>
        <w:t xml:space="preserve"> an increase of 9.27 million </w:t>
      </w:r>
      <w:r w:rsidR="00FE0D78" w:rsidRPr="007F4758">
        <w:rPr>
          <w:rFonts w:ascii="Tahoma" w:hAnsi="Tahoma" w:cs="Tahoma"/>
          <w:sz w:val="20"/>
        </w:rPr>
        <w:t>at</w:t>
      </w:r>
      <w:r w:rsidRPr="007F4758">
        <w:rPr>
          <w:rFonts w:ascii="Tahoma" w:hAnsi="Tahoma" w:cs="Tahoma"/>
          <w:sz w:val="20"/>
        </w:rPr>
        <w:t xml:space="preserve"> an average annual growth rate of </w:t>
      </w:r>
      <w:r w:rsidR="0058207C" w:rsidRPr="007F4758">
        <w:rPr>
          <w:rFonts w:ascii="Tahoma" w:hAnsi="Tahoma" w:cs="Tahoma"/>
          <w:sz w:val="20"/>
        </w:rPr>
        <w:t>1.3</w:t>
      </w:r>
      <w:r w:rsidRPr="007F4758">
        <w:rPr>
          <w:rFonts w:ascii="Tahoma" w:hAnsi="Tahoma" w:cs="Tahoma"/>
          <w:sz w:val="20"/>
        </w:rPr>
        <w:t xml:space="preserve"> per cent.</w:t>
      </w:r>
    </w:p>
    <w:p w:rsidR="004F6531" w:rsidRPr="007F4758" w:rsidRDefault="004F6531" w:rsidP="002E0FDD">
      <w:pPr>
        <w:pStyle w:val="ListParagraph"/>
        <w:numPr>
          <w:ilvl w:val="0"/>
          <w:numId w:val="10"/>
        </w:numPr>
        <w:ind w:left="426"/>
        <w:rPr>
          <w:rFonts w:ascii="Tahoma" w:hAnsi="Tahoma" w:cs="Tahoma"/>
          <w:sz w:val="20"/>
        </w:rPr>
      </w:pPr>
      <w:r w:rsidRPr="007F4758">
        <w:rPr>
          <w:rFonts w:ascii="Tahoma" w:hAnsi="Tahoma" w:cs="Tahoma"/>
          <w:sz w:val="20"/>
        </w:rPr>
        <w:t>More than half of the population of Australia is living in the capital cities.</w:t>
      </w:r>
    </w:p>
    <w:p w:rsidR="00FE0D78" w:rsidRPr="007F4758" w:rsidRDefault="004F6531" w:rsidP="002E0FDD">
      <w:pPr>
        <w:pStyle w:val="ListParagraph"/>
        <w:numPr>
          <w:ilvl w:val="0"/>
          <w:numId w:val="10"/>
        </w:numPr>
        <w:ind w:left="426"/>
        <w:rPr>
          <w:rFonts w:ascii="Tahoma" w:hAnsi="Tahoma" w:cs="Tahoma"/>
          <w:sz w:val="20"/>
        </w:rPr>
      </w:pPr>
      <w:r w:rsidRPr="007F4758">
        <w:rPr>
          <w:rFonts w:ascii="Tahoma" w:hAnsi="Tahoma" w:cs="Tahoma"/>
          <w:sz w:val="20"/>
        </w:rPr>
        <w:t>This urbanisation trend is general and accelerating</w:t>
      </w:r>
      <w:r w:rsidR="002E0FDD" w:rsidRPr="007F4758">
        <w:rPr>
          <w:rFonts w:ascii="Tahoma" w:hAnsi="Tahoma" w:cs="Tahoma"/>
          <w:sz w:val="20"/>
        </w:rPr>
        <w:t xml:space="preserve"> (see Figure 1).</w:t>
      </w:r>
    </w:p>
    <w:p w:rsidR="00FE0D78" w:rsidRPr="00D7503C" w:rsidRDefault="00FE0D78" w:rsidP="00623F3B">
      <w:pPr>
        <w:pStyle w:val="Default"/>
        <w:spacing w:after="60"/>
        <w:ind w:left="1080"/>
        <w:rPr>
          <w:rFonts w:ascii="Tahoma" w:hAnsi="Tahoma" w:cs="Tahoma"/>
          <w:b/>
          <w:color w:val="00B5AF"/>
          <w:sz w:val="20"/>
        </w:rPr>
      </w:pPr>
      <w:proofErr w:type="gramStart"/>
      <w:r w:rsidRPr="00D7503C">
        <w:rPr>
          <w:rFonts w:ascii="Tahoma" w:hAnsi="Tahoma" w:cs="Tahoma"/>
          <w:b/>
          <w:color w:val="00B5AF"/>
          <w:sz w:val="20"/>
        </w:rPr>
        <w:t>Figure 1.</w:t>
      </w:r>
      <w:proofErr w:type="gramEnd"/>
      <w:r w:rsidRPr="00D7503C">
        <w:rPr>
          <w:rFonts w:ascii="Tahoma" w:hAnsi="Tahoma" w:cs="Tahoma"/>
          <w:b/>
          <w:color w:val="00B5AF"/>
          <w:sz w:val="20"/>
        </w:rPr>
        <w:t xml:space="preserve"> </w:t>
      </w:r>
      <w:r w:rsidR="001414CE">
        <w:rPr>
          <w:rFonts w:ascii="Tahoma" w:hAnsi="Tahoma" w:cs="Tahoma"/>
          <w:b/>
          <w:color w:val="00B5AF"/>
          <w:sz w:val="20"/>
        </w:rPr>
        <w:t>P</w:t>
      </w:r>
      <w:r w:rsidRPr="00D7503C">
        <w:rPr>
          <w:rFonts w:ascii="Tahoma" w:hAnsi="Tahoma" w:cs="Tahoma"/>
          <w:b/>
          <w:color w:val="00B5AF"/>
          <w:sz w:val="20"/>
        </w:rPr>
        <w:t xml:space="preserve">opulation growth, Capital </w:t>
      </w:r>
      <w:r w:rsidR="007F4758">
        <w:rPr>
          <w:rFonts w:ascii="Tahoma" w:hAnsi="Tahoma" w:cs="Tahoma"/>
          <w:b/>
          <w:color w:val="00B5AF"/>
          <w:sz w:val="20"/>
        </w:rPr>
        <w:t>city and Balance of s</w:t>
      </w:r>
      <w:r w:rsidRPr="00D7503C">
        <w:rPr>
          <w:rFonts w:ascii="Tahoma" w:hAnsi="Tahoma" w:cs="Tahoma"/>
          <w:b/>
          <w:color w:val="00B5AF"/>
          <w:sz w:val="20"/>
        </w:rPr>
        <w:t xml:space="preserve">tate, </w:t>
      </w:r>
      <w:r w:rsidR="001414CE">
        <w:rPr>
          <w:rFonts w:ascii="Tahoma" w:hAnsi="Tahoma" w:cs="Tahoma"/>
          <w:b/>
          <w:color w:val="00B5AF"/>
          <w:sz w:val="20"/>
        </w:rPr>
        <w:t>2001</w:t>
      </w:r>
      <w:r w:rsidRPr="00D7503C">
        <w:rPr>
          <w:rFonts w:ascii="Tahoma" w:hAnsi="Tahoma" w:cs="Tahoma"/>
          <w:b/>
          <w:color w:val="00B5AF"/>
          <w:sz w:val="20"/>
        </w:rPr>
        <w:t xml:space="preserve"> to 2011</w:t>
      </w:r>
    </w:p>
    <w:p w:rsidR="00A4739C" w:rsidRDefault="00860CCF" w:rsidP="00A4739C">
      <w:pPr>
        <w:pStyle w:val="Default"/>
        <w:keepNext/>
        <w:spacing w:after="40"/>
        <w:ind w:left="720" w:firstLine="720"/>
      </w:pPr>
      <w:r>
        <w:rPr>
          <w:rFonts w:ascii="Tahoma" w:hAnsi="Tahoma" w:cs="Tahoma"/>
          <w:noProof/>
          <w:color w:val="00B5AF"/>
          <w:sz w:val="20"/>
          <w:szCs w:val="20"/>
          <w:lang w:eastAsia="en-AU"/>
        </w:rPr>
        <w:drawing>
          <wp:inline distT="0" distB="0" distL="0" distR="0">
            <wp:extent cx="3548115" cy="2915607"/>
            <wp:effectExtent l="19050" t="0" r="0" b="0"/>
            <wp:docPr id="1" name="Picture 1" descr="\\internal.vic.gov.au\DPCD\UserDirs\Desktop\GCCS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PCD\UserDirs\Desktop\GCCSA.tif"/>
                    <pic:cNvPicPr>
                      <a:picLocks noChangeAspect="1" noChangeArrowheads="1"/>
                    </pic:cNvPicPr>
                  </pic:nvPicPr>
                  <pic:blipFill>
                    <a:blip r:embed="rId8" cstate="print"/>
                    <a:srcRect l="726" t="843" r="869" b="1296"/>
                    <a:stretch>
                      <a:fillRect/>
                    </a:stretch>
                  </pic:blipFill>
                  <pic:spPr bwMode="auto">
                    <a:xfrm>
                      <a:off x="0" y="0"/>
                      <a:ext cx="3548115" cy="2915607"/>
                    </a:xfrm>
                    <a:prstGeom prst="rect">
                      <a:avLst/>
                    </a:prstGeom>
                    <a:noFill/>
                    <a:ln w="9525">
                      <a:noFill/>
                      <a:miter lim="800000"/>
                      <a:headEnd/>
                      <a:tailEnd/>
                    </a:ln>
                  </pic:spPr>
                </pic:pic>
              </a:graphicData>
            </a:graphic>
          </wp:inline>
        </w:drawing>
      </w:r>
      <w:r w:rsidR="00A4739C">
        <w:rPr>
          <w:rFonts w:ascii="Tahoma" w:hAnsi="Tahoma" w:cs="Tahoma"/>
          <w:noProof/>
          <w:color w:val="00B5AF"/>
          <w:sz w:val="20"/>
          <w:szCs w:val="20"/>
          <w:lang w:eastAsia="en-AU"/>
        </w:rPr>
        <w:drawing>
          <wp:inline distT="0" distB="0" distL="0" distR="0">
            <wp:extent cx="1096204" cy="943019"/>
            <wp:effectExtent l="19050" t="0" r="8696" b="0"/>
            <wp:docPr id="5" name="Picture 2" descr="\\internal.vic.gov.au\DPCD\UserDirs\Desktop\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PCD\UserDirs\Desktop\Untitled.TIF"/>
                    <pic:cNvPicPr>
                      <a:picLocks noChangeAspect="1" noChangeArrowheads="1"/>
                    </pic:cNvPicPr>
                  </pic:nvPicPr>
                  <pic:blipFill>
                    <a:blip r:embed="rId9" cstate="print"/>
                    <a:srcRect r="30694" b="65089"/>
                    <a:stretch>
                      <a:fillRect/>
                    </a:stretch>
                  </pic:blipFill>
                  <pic:spPr bwMode="auto">
                    <a:xfrm>
                      <a:off x="0" y="0"/>
                      <a:ext cx="1093829" cy="946205"/>
                    </a:xfrm>
                    <a:prstGeom prst="rect">
                      <a:avLst/>
                    </a:prstGeom>
                    <a:noFill/>
                    <a:ln w="9525">
                      <a:noFill/>
                      <a:miter lim="800000"/>
                      <a:headEnd/>
                      <a:tailEnd/>
                    </a:ln>
                  </pic:spPr>
                </pic:pic>
              </a:graphicData>
            </a:graphic>
          </wp:inline>
        </w:drawing>
      </w:r>
    </w:p>
    <w:p w:rsidR="00A4739C" w:rsidRDefault="00A4739C" w:rsidP="00A4739C">
      <w:pPr>
        <w:pStyle w:val="Caption"/>
      </w:pPr>
      <w:r>
        <w:t xml:space="preserve">Figure </w:t>
      </w:r>
      <w:fldSimple w:instr=" SEQ Figure \* ARABIC ">
        <w:r>
          <w:rPr>
            <w:noProof/>
          </w:rPr>
          <w:t>1</w:t>
        </w:r>
      </w:fldSimple>
      <w:r>
        <w:t xml:space="preserve"> is a map of Australia showing the total population growth (in percentage) in capital cities and balance of states between 2001 and 2011</w:t>
      </w:r>
    </w:p>
    <w:p w:rsidR="009140E2" w:rsidRDefault="009140E2" w:rsidP="00860CCF">
      <w:pPr>
        <w:pStyle w:val="Default"/>
        <w:spacing w:after="40"/>
        <w:ind w:left="720" w:firstLine="720"/>
        <w:rPr>
          <w:rFonts w:ascii="Tahoma" w:hAnsi="Tahoma" w:cs="Tahoma"/>
          <w:color w:val="00B5AF"/>
          <w:sz w:val="20"/>
          <w:szCs w:val="20"/>
        </w:rPr>
      </w:pPr>
    </w:p>
    <w:p w:rsidR="00860CCF" w:rsidRPr="00860CCF" w:rsidRDefault="00860CCF" w:rsidP="00860CCF">
      <w:pPr>
        <w:ind w:left="720" w:firstLine="720"/>
        <w:rPr>
          <w:rFonts w:ascii="Tahoma" w:eastAsia="Times New Roman" w:hAnsi="Tahoma" w:cs="Tahoma"/>
          <w:sz w:val="18"/>
          <w:szCs w:val="24"/>
          <w:lang w:eastAsia="en-AU"/>
        </w:rPr>
      </w:pPr>
      <w:r w:rsidRPr="003478D0">
        <w:rPr>
          <w:rFonts w:ascii="Tahoma" w:eastAsia="Times New Roman" w:hAnsi="Tahoma" w:cs="Tahoma"/>
          <w:sz w:val="16"/>
          <w:szCs w:val="16"/>
          <w:lang w:eastAsia="en-AU"/>
        </w:rPr>
        <w:t>Source:</w:t>
      </w:r>
      <w:r w:rsidRPr="003478D0">
        <w:rPr>
          <w:rFonts w:ascii="Tahoma" w:eastAsia="Times New Roman" w:hAnsi="Tahoma" w:cs="Tahoma"/>
          <w:sz w:val="16"/>
          <w:szCs w:val="24"/>
          <w:lang w:eastAsia="en-AU"/>
        </w:rPr>
        <w:t xml:space="preserve"> ABS. Regional Population Growth, Australia, 2012 (cat. no. 3218.0).</w:t>
      </w:r>
    </w:p>
    <w:p w:rsidR="00FA3E3C" w:rsidRDefault="00FA3E3C" w:rsidP="004F6531">
      <w:pPr>
        <w:pStyle w:val="Default"/>
        <w:spacing w:after="40"/>
        <w:rPr>
          <w:rFonts w:ascii="Tahoma" w:hAnsi="Tahoma" w:cs="Tahoma"/>
          <w:color w:val="00B5AF"/>
          <w:sz w:val="20"/>
          <w:szCs w:val="20"/>
        </w:rPr>
        <w:sectPr w:rsidR="00FA3E3C" w:rsidSect="00AC1609">
          <w:headerReference w:type="even" r:id="rId10"/>
          <w:headerReference w:type="default" r:id="rId11"/>
          <w:footerReference w:type="even" r:id="rId12"/>
          <w:footerReference w:type="default" r:id="rId13"/>
          <w:headerReference w:type="first" r:id="rId14"/>
          <w:footerReference w:type="first" r:id="rId15"/>
          <w:pgSz w:w="11906" w:h="16838"/>
          <w:pgMar w:top="993" w:right="707" w:bottom="993" w:left="851" w:header="708" w:footer="708" w:gutter="0"/>
          <w:cols w:space="708"/>
          <w:titlePg/>
          <w:docGrid w:linePitch="360"/>
        </w:sectPr>
      </w:pPr>
    </w:p>
    <w:p w:rsidR="00150E23" w:rsidRDefault="00150E23" w:rsidP="004F6531">
      <w:pPr>
        <w:pStyle w:val="Default"/>
        <w:spacing w:after="40"/>
        <w:rPr>
          <w:rFonts w:ascii="Tahoma" w:hAnsi="Tahoma" w:cs="Tahoma"/>
          <w:color w:val="00B5AF"/>
          <w:sz w:val="20"/>
          <w:szCs w:val="20"/>
        </w:rPr>
      </w:pPr>
    </w:p>
    <w:p w:rsidR="00FA3E3C" w:rsidRPr="00D65ED3" w:rsidRDefault="00FA3E3C" w:rsidP="004F6531">
      <w:pPr>
        <w:pStyle w:val="Default"/>
        <w:spacing w:after="40"/>
        <w:rPr>
          <w:rFonts w:ascii="Tahoma" w:hAnsi="Tahoma" w:cs="Tahoma"/>
          <w:color w:val="00B5AF"/>
          <w:sz w:val="20"/>
          <w:szCs w:val="20"/>
        </w:rPr>
        <w:sectPr w:rsidR="00FA3E3C" w:rsidRPr="00D65ED3" w:rsidSect="00FA3E3C">
          <w:type w:val="continuous"/>
          <w:pgSz w:w="11906" w:h="16838"/>
          <w:pgMar w:top="993" w:right="707" w:bottom="993" w:left="851" w:header="708" w:footer="708" w:gutter="0"/>
          <w:cols w:space="708"/>
          <w:titlePg/>
          <w:docGrid w:linePitch="360"/>
        </w:sectPr>
      </w:pPr>
    </w:p>
    <w:p w:rsidR="00A66284" w:rsidRDefault="00A66284" w:rsidP="00A66284">
      <w:pPr>
        <w:rPr>
          <w:rStyle w:val="A7"/>
          <w:rFonts w:ascii="Tahoma" w:hAnsi="Tahoma" w:cs="Tahoma"/>
          <w:color w:val="00B5AF"/>
          <w:sz w:val="32"/>
        </w:rPr>
      </w:pPr>
      <w:r>
        <w:rPr>
          <w:rStyle w:val="A7"/>
          <w:rFonts w:ascii="Tahoma" w:hAnsi="Tahoma" w:cs="Tahoma"/>
          <w:color w:val="00B5AF"/>
          <w:sz w:val="32"/>
        </w:rPr>
        <w:lastRenderedPageBreak/>
        <w:t>Population growth</w:t>
      </w:r>
    </w:p>
    <w:p w:rsidR="00D7503C" w:rsidRDefault="00D7503C" w:rsidP="00150E23">
      <w:pPr>
        <w:pStyle w:val="Default"/>
        <w:spacing w:after="40"/>
        <w:rPr>
          <w:rFonts w:ascii="Tahoma" w:hAnsi="Tahoma" w:cs="Tahoma"/>
          <w:color w:val="00B5AF"/>
          <w:sz w:val="20"/>
          <w:szCs w:val="20"/>
        </w:rPr>
      </w:pPr>
    </w:p>
    <w:p w:rsidR="00150E23" w:rsidRPr="008A73B4" w:rsidRDefault="00150E23" w:rsidP="00150E23">
      <w:pPr>
        <w:pStyle w:val="Default"/>
        <w:spacing w:after="40"/>
        <w:rPr>
          <w:rFonts w:ascii="Tahoma" w:hAnsi="Tahoma" w:cs="Tahoma"/>
          <w:color w:val="00B5AF"/>
          <w:sz w:val="20"/>
          <w:szCs w:val="20"/>
        </w:rPr>
        <w:sectPr w:rsidR="00150E23" w:rsidRPr="008A73B4" w:rsidSect="000F00B6">
          <w:headerReference w:type="first" r:id="rId16"/>
          <w:pgSz w:w="11906" w:h="16838"/>
          <w:pgMar w:top="993" w:right="707" w:bottom="993" w:left="851" w:header="708" w:footer="708" w:gutter="0"/>
          <w:cols w:space="708"/>
          <w:titlePg/>
          <w:docGrid w:linePitch="360"/>
        </w:sectPr>
      </w:pPr>
    </w:p>
    <w:p w:rsidR="00A66284" w:rsidRDefault="00D7503C" w:rsidP="002E0FDD">
      <w:pPr>
        <w:pStyle w:val="Default"/>
        <w:numPr>
          <w:ilvl w:val="0"/>
          <w:numId w:val="11"/>
        </w:numPr>
        <w:tabs>
          <w:tab w:val="left" w:pos="426"/>
        </w:tabs>
        <w:spacing w:after="100"/>
        <w:rPr>
          <w:rFonts w:ascii="Tahoma" w:hAnsi="Tahoma" w:cs="Tahoma"/>
          <w:color w:val="221E1F"/>
          <w:sz w:val="20"/>
          <w:szCs w:val="20"/>
        </w:rPr>
      </w:pPr>
      <w:r w:rsidRPr="00A66284">
        <w:rPr>
          <w:rFonts w:ascii="Tahoma" w:hAnsi="Tahoma" w:cs="Tahoma"/>
          <w:color w:val="221E1F"/>
          <w:sz w:val="20"/>
          <w:szCs w:val="20"/>
        </w:rPr>
        <w:lastRenderedPageBreak/>
        <w:t>Between 1971 and 2011, Australia’s population incre</w:t>
      </w:r>
      <w:r w:rsidR="007F4758">
        <w:rPr>
          <w:rFonts w:ascii="Tahoma" w:hAnsi="Tahoma" w:cs="Tahoma"/>
          <w:color w:val="221E1F"/>
          <w:sz w:val="20"/>
          <w:szCs w:val="20"/>
        </w:rPr>
        <w:t>ased by 9.27 million people. More than</w:t>
      </w:r>
      <w:r w:rsidRPr="00A66284">
        <w:rPr>
          <w:rFonts w:ascii="Tahoma" w:hAnsi="Tahoma" w:cs="Tahoma"/>
          <w:color w:val="221E1F"/>
          <w:sz w:val="20"/>
          <w:szCs w:val="20"/>
        </w:rPr>
        <w:t xml:space="preserve"> two-thirds of this growth, 6.2 million, occurred in capital cities.</w:t>
      </w:r>
    </w:p>
    <w:p w:rsidR="00D7503C" w:rsidRPr="00A66284" w:rsidRDefault="00A66284" w:rsidP="00A66284">
      <w:pPr>
        <w:pStyle w:val="Default"/>
        <w:numPr>
          <w:ilvl w:val="0"/>
          <w:numId w:val="11"/>
        </w:numPr>
        <w:spacing w:after="100"/>
        <w:rPr>
          <w:rFonts w:ascii="Tahoma" w:hAnsi="Tahoma" w:cs="Tahoma"/>
          <w:color w:val="221E1F"/>
          <w:sz w:val="20"/>
          <w:szCs w:val="20"/>
        </w:rPr>
      </w:pPr>
      <w:r w:rsidRPr="00A66284">
        <w:rPr>
          <w:rFonts w:ascii="Tahoma" w:hAnsi="Tahoma" w:cs="Tahoma"/>
          <w:color w:val="221E1F"/>
          <w:sz w:val="20"/>
          <w:szCs w:val="20"/>
        </w:rPr>
        <w:br w:type="column"/>
      </w:r>
      <w:r w:rsidR="00D7503C" w:rsidRPr="00A66284">
        <w:rPr>
          <w:rFonts w:ascii="Tahoma" w:hAnsi="Tahoma" w:cs="Tahoma"/>
          <w:color w:val="221E1F"/>
          <w:sz w:val="20"/>
          <w:szCs w:val="20"/>
        </w:rPr>
        <w:lastRenderedPageBreak/>
        <w:t xml:space="preserve">Table 1 shows the population of the capital cities and balance of state areas at </w:t>
      </w:r>
      <w:r w:rsidR="007F4758">
        <w:rPr>
          <w:rFonts w:ascii="Tahoma" w:hAnsi="Tahoma" w:cs="Tahoma"/>
          <w:color w:val="221E1F"/>
          <w:sz w:val="20"/>
          <w:szCs w:val="20"/>
        </w:rPr>
        <w:t>10</w:t>
      </w:r>
      <w:r w:rsidR="00CC6F2B">
        <w:rPr>
          <w:rFonts w:ascii="Tahoma" w:hAnsi="Tahoma" w:cs="Tahoma"/>
          <w:color w:val="221E1F"/>
          <w:sz w:val="20"/>
          <w:szCs w:val="20"/>
        </w:rPr>
        <w:t>-</w:t>
      </w:r>
      <w:r w:rsidR="00D7503C" w:rsidRPr="00A66284">
        <w:rPr>
          <w:rFonts w:ascii="Tahoma" w:hAnsi="Tahoma" w:cs="Tahoma"/>
          <w:color w:val="221E1F"/>
          <w:sz w:val="20"/>
          <w:szCs w:val="20"/>
        </w:rPr>
        <w:t>year intervals from 1971 to 2011, while Table 2 shows the changes in population during this period.</w:t>
      </w:r>
    </w:p>
    <w:p w:rsidR="00CF5CFC" w:rsidRPr="00D7503C" w:rsidRDefault="00CF5CFC" w:rsidP="00CF5CFC">
      <w:pPr>
        <w:pStyle w:val="Default"/>
        <w:spacing w:after="100"/>
        <w:ind w:left="567"/>
        <w:rPr>
          <w:rFonts w:ascii="Tahoma" w:hAnsi="Tahoma" w:cs="Tahoma"/>
          <w:color w:val="221E1F"/>
          <w:sz w:val="20"/>
          <w:szCs w:val="20"/>
        </w:rPr>
      </w:pPr>
    </w:p>
    <w:p w:rsidR="00CF5CFC" w:rsidRDefault="00CF5CFC" w:rsidP="00D7503C">
      <w:pPr>
        <w:rPr>
          <w:rFonts w:ascii="Tahoma" w:hAnsi="Tahoma" w:cs="Tahoma"/>
          <w:b/>
          <w:sz w:val="20"/>
          <w:szCs w:val="20"/>
        </w:rPr>
        <w:sectPr w:rsidR="00CF5CFC" w:rsidSect="009140E2">
          <w:type w:val="continuous"/>
          <w:pgSz w:w="11906" w:h="16838"/>
          <w:pgMar w:top="993" w:right="707" w:bottom="993" w:left="851" w:header="708" w:footer="708" w:gutter="0"/>
          <w:cols w:num="2" w:space="708"/>
          <w:titlePg/>
          <w:docGrid w:linePitch="360"/>
        </w:sectPr>
      </w:pPr>
    </w:p>
    <w:p w:rsidR="009637E2" w:rsidRDefault="009637E2" w:rsidP="009637E2">
      <w:pPr>
        <w:pStyle w:val="Default"/>
        <w:spacing w:after="60"/>
        <w:ind w:left="-142"/>
        <w:rPr>
          <w:rFonts w:ascii="Tahoma" w:hAnsi="Tahoma" w:cs="Tahoma"/>
          <w:b/>
          <w:color w:val="00B5AF"/>
          <w:sz w:val="20"/>
        </w:rPr>
      </w:pPr>
    </w:p>
    <w:p w:rsidR="009637E2" w:rsidRPr="009637E2" w:rsidRDefault="007F4758" w:rsidP="009637E2">
      <w:pPr>
        <w:pStyle w:val="Default"/>
        <w:spacing w:after="60"/>
        <w:ind w:left="-142"/>
        <w:rPr>
          <w:rFonts w:ascii="Tahoma" w:hAnsi="Tahoma" w:cs="Tahoma"/>
          <w:b/>
          <w:color w:val="00B5AF"/>
          <w:sz w:val="20"/>
        </w:rPr>
      </w:pPr>
      <w:r>
        <w:rPr>
          <w:rFonts w:ascii="Tahoma" w:hAnsi="Tahoma" w:cs="Tahoma"/>
          <w:b/>
          <w:color w:val="00B5AF"/>
          <w:sz w:val="20"/>
        </w:rPr>
        <w:t>Table 1</w:t>
      </w:r>
      <w:r w:rsidR="009637E2" w:rsidRPr="009637E2">
        <w:rPr>
          <w:rFonts w:ascii="Tahoma" w:hAnsi="Tahoma" w:cs="Tahoma"/>
          <w:b/>
          <w:color w:val="00B5AF"/>
          <w:sz w:val="20"/>
        </w:rPr>
        <w:t xml:space="preserve"> Estimated Resident Population at 30 June</w:t>
      </w:r>
    </w:p>
    <w:tbl>
      <w:tblPr>
        <w:tblStyle w:val="TableGrid"/>
        <w:tblW w:w="10456" w:type="dxa"/>
        <w:tblBorders>
          <w:top w:val="single" w:sz="4" w:space="0" w:color="006F97"/>
          <w:left w:val="single" w:sz="4" w:space="0" w:color="006F97"/>
          <w:bottom w:val="single" w:sz="4" w:space="0" w:color="006F97"/>
          <w:right w:val="single" w:sz="4" w:space="0" w:color="006F97"/>
          <w:insideH w:val="single" w:sz="4" w:space="0" w:color="006F97"/>
          <w:insideV w:val="single" w:sz="4" w:space="0" w:color="006F97"/>
        </w:tblBorders>
        <w:tblLayout w:type="fixed"/>
        <w:tblLook w:val="04A0"/>
      </w:tblPr>
      <w:tblGrid>
        <w:gridCol w:w="3369"/>
        <w:gridCol w:w="1417"/>
        <w:gridCol w:w="1417"/>
        <w:gridCol w:w="1418"/>
        <w:gridCol w:w="1417"/>
        <w:gridCol w:w="1418"/>
      </w:tblGrid>
      <w:tr w:rsidR="009637E2" w:rsidRPr="00850DB0" w:rsidTr="006A287E">
        <w:trPr>
          <w:trHeight w:val="241"/>
        </w:trPr>
        <w:tc>
          <w:tcPr>
            <w:tcW w:w="3369" w:type="dxa"/>
            <w:shd w:val="clear" w:color="auto" w:fill="EAE8E7"/>
          </w:tcPr>
          <w:p w:rsidR="009637E2" w:rsidRPr="00850DB0" w:rsidRDefault="009637E2" w:rsidP="009637E2">
            <w:pPr>
              <w:ind w:right="-392"/>
              <w:rPr>
                <w:rFonts w:ascii="Tahoma" w:hAnsi="Tahoma" w:cs="Tahoma"/>
                <w:sz w:val="20"/>
                <w:szCs w:val="20"/>
              </w:rPr>
            </w:pPr>
          </w:p>
        </w:tc>
        <w:tc>
          <w:tcPr>
            <w:tcW w:w="1417" w:type="dxa"/>
            <w:shd w:val="clear" w:color="auto" w:fill="EAE8E7"/>
          </w:tcPr>
          <w:p w:rsidR="009637E2" w:rsidRPr="00850DB0" w:rsidRDefault="009637E2" w:rsidP="009637E2">
            <w:pPr>
              <w:jc w:val="center"/>
              <w:rPr>
                <w:rFonts w:ascii="Tahoma" w:hAnsi="Tahoma" w:cs="Tahoma"/>
                <w:b/>
                <w:sz w:val="20"/>
                <w:szCs w:val="20"/>
              </w:rPr>
            </w:pPr>
            <w:r w:rsidRPr="00850DB0">
              <w:rPr>
                <w:rFonts w:ascii="Tahoma" w:hAnsi="Tahoma" w:cs="Tahoma"/>
                <w:b/>
                <w:sz w:val="20"/>
                <w:szCs w:val="20"/>
              </w:rPr>
              <w:t>1971</w:t>
            </w:r>
          </w:p>
        </w:tc>
        <w:tc>
          <w:tcPr>
            <w:tcW w:w="1417" w:type="dxa"/>
            <w:shd w:val="clear" w:color="auto" w:fill="EAE8E7"/>
          </w:tcPr>
          <w:p w:rsidR="009637E2" w:rsidRPr="00850DB0" w:rsidRDefault="009637E2" w:rsidP="009637E2">
            <w:pPr>
              <w:jc w:val="center"/>
              <w:rPr>
                <w:rFonts w:ascii="Tahoma" w:hAnsi="Tahoma" w:cs="Tahoma"/>
                <w:b/>
                <w:sz w:val="20"/>
                <w:szCs w:val="20"/>
              </w:rPr>
            </w:pPr>
            <w:r w:rsidRPr="00850DB0">
              <w:rPr>
                <w:rFonts w:ascii="Tahoma" w:hAnsi="Tahoma" w:cs="Tahoma"/>
                <w:b/>
                <w:sz w:val="20"/>
                <w:szCs w:val="20"/>
              </w:rPr>
              <w:t>1981</w:t>
            </w:r>
          </w:p>
        </w:tc>
        <w:tc>
          <w:tcPr>
            <w:tcW w:w="1418" w:type="dxa"/>
            <w:shd w:val="clear" w:color="auto" w:fill="EAE8E7"/>
          </w:tcPr>
          <w:p w:rsidR="009637E2" w:rsidRPr="00850DB0" w:rsidRDefault="009637E2" w:rsidP="009637E2">
            <w:pPr>
              <w:jc w:val="center"/>
              <w:rPr>
                <w:rFonts w:ascii="Tahoma" w:hAnsi="Tahoma" w:cs="Tahoma"/>
                <w:b/>
                <w:sz w:val="20"/>
                <w:szCs w:val="20"/>
              </w:rPr>
            </w:pPr>
            <w:r w:rsidRPr="00850DB0">
              <w:rPr>
                <w:rFonts w:ascii="Tahoma" w:hAnsi="Tahoma" w:cs="Tahoma"/>
                <w:b/>
                <w:sz w:val="20"/>
                <w:szCs w:val="20"/>
              </w:rPr>
              <w:t>1991</w:t>
            </w:r>
          </w:p>
        </w:tc>
        <w:tc>
          <w:tcPr>
            <w:tcW w:w="1417" w:type="dxa"/>
            <w:shd w:val="clear" w:color="auto" w:fill="EAE8E7"/>
          </w:tcPr>
          <w:p w:rsidR="009637E2" w:rsidRPr="00850DB0" w:rsidRDefault="009637E2" w:rsidP="009637E2">
            <w:pPr>
              <w:jc w:val="center"/>
              <w:rPr>
                <w:rFonts w:ascii="Tahoma" w:hAnsi="Tahoma" w:cs="Tahoma"/>
                <w:b/>
                <w:sz w:val="20"/>
                <w:szCs w:val="20"/>
              </w:rPr>
            </w:pPr>
            <w:r w:rsidRPr="00850DB0">
              <w:rPr>
                <w:rFonts w:ascii="Tahoma" w:hAnsi="Tahoma" w:cs="Tahoma"/>
                <w:b/>
                <w:sz w:val="20"/>
                <w:szCs w:val="20"/>
              </w:rPr>
              <w:t>2001</w:t>
            </w:r>
          </w:p>
        </w:tc>
        <w:tc>
          <w:tcPr>
            <w:tcW w:w="1418" w:type="dxa"/>
            <w:shd w:val="clear" w:color="auto" w:fill="EAE8E7"/>
          </w:tcPr>
          <w:p w:rsidR="009637E2" w:rsidRPr="00850DB0" w:rsidRDefault="009637E2" w:rsidP="009637E2">
            <w:pPr>
              <w:jc w:val="center"/>
              <w:rPr>
                <w:rFonts w:ascii="Tahoma" w:hAnsi="Tahoma" w:cs="Tahoma"/>
                <w:b/>
                <w:sz w:val="20"/>
                <w:szCs w:val="20"/>
              </w:rPr>
            </w:pPr>
            <w:r w:rsidRPr="00850DB0">
              <w:rPr>
                <w:rFonts w:ascii="Tahoma" w:hAnsi="Tahoma" w:cs="Tahoma"/>
                <w:b/>
                <w:sz w:val="20"/>
                <w:szCs w:val="20"/>
              </w:rPr>
              <w:t>2011</w:t>
            </w:r>
          </w:p>
        </w:tc>
      </w:tr>
      <w:tr w:rsidR="009637E2" w:rsidRPr="00850DB0" w:rsidTr="006A287E">
        <w:trPr>
          <w:trHeight w:val="241"/>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Sydney</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3,015,900</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3,279,539</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3,672,914</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4,102,580</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4,608,949</w:t>
            </w:r>
          </w:p>
        </w:tc>
      </w:tr>
      <w:tr w:rsidR="009637E2" w:rsidRPr="00850DB0" w:rsidTr="006A287E">
        <w:trPr>
          <w:trHeight w:val="241"/>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N</w:t>
            </w:r>
            <w:r>
              <w:rPr>
                <w:rFonts w:ascii="Tahoma" w:hAnsi="Tahoma" w:cs="Tahoma"/>
                <w:sz w:val="20"/>
                <w:szCs w:val="20"/>
              </w:rPr>
              <w:t xml:space="preserve">ew </w:t>
            </w:r>
            <w:r w:rsidRPr="00850DB0">
              <w:rPr>
                <w:rFonts w:ascii="Tahoma" w:hAnsi="Tahoma" w:cs="Tahoma"/>
                <w:sz w:val="20"/>
                <w:szCs w:val="20"/>
              </w:rPr>
              <w:t>S</w:t>
            </w:r>
            <w:r>
              <w:rPr>
                <w:rFonts w:ascii="Tahoma" w:hAnsi="Tahoma" w:cs="Tahoma"/>
                <w:sz w:val="20"/>
                <w:szCs w:val="20"/>
              </w:rPr>
              <w:t xml:space="preserve">outh </w:t>
            </w:r>
            <w:r w:rsidRPr="00850DB0">
              <w:rPr>
                <w:rFonts w:ascii="Tahoma" w:hAnsi="Tahoma" w:cs="Tahoma"/>
                <w:sz w:val="20"/>
                <w:szCs w:val="20"/>
              </w:rPr>
              <w:t>W</w:t>
            </w:r>
            <w:r>
              <w:rPr>
                <w:rFonts w:ascii="Tahoma" w:hAnsi="Tahoma" w:cs="Tahoma"/>
                <w:sz w:val="20"/>
                <w:szCs w:val="20"/>
              </w:rPr>
              <w:t>ales</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1,709,603</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1,955,350</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2,225,817</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2,427,769</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2,609,580</w:t>
            </w:r>
          </w:p>
        </w:tc>
      </w:tr>
      <w:tr w:rsidR="009637E2" w:rsidRPr="00850DB0" w:rsidTr="006A287E">
        <w:trPr>
          <w:trHeight w:val="226"/>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Melbourne</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2,606,900</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2,857,907</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3,194,707</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3,500,249</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4,169,366</w:t>
            </w:r>
          </w:p>
        </w:tc>
      </w:tr>
      <w:tr w:rsidR="009637E2" w:rsidRPr="00850DB0" w:rsidTr="006A287E">
        <w:trPr>
          <w:trHeight w:val="241"/>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Vic</w:t>
            </w:r>
            <w:r>
              <w:rPr>
                <w:rFonts w:ascii="Tahoma" w:hAnsi="Tahoma" w:cs="Tahoma"/>
                <w:sz w:val="20"/>
                <w:szCs w:val="20"/>
              </w:rPr>
              <w:t>toria</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994,452</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1,089,010</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1,225,666</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1,263,366</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1,368,451</w:t>
            </w:r>
          </w:p>
        </w:tc>
      </w:tr>
      <w:tr w:rsidR="009637E2" w:rsidRPr="00850DB0" w:rsidTr="006A287E">
        <w:trPr>
          <w:trHeight w:val="241"/>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Brisbane</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957,900</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1,154,705</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1,411,773</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1,693,556</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2,147,436</w:t>
            </w:r>
          </w:p>
        </w:tc>
      </w:tr>
      <w:tr w:rsidR="009637E2" w:rsidRPr="00850DB0" w:rsidTr="006A287E">
        <w:trPr>
          <w:trHeight w:val="241"/>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Q</w:t>
            </w:r>
            <w:r>
              <w:rPr>
                <w:rFonts w:ascii="Tahoma" w:hAnsi="Tahoma" w:cs="Tahoma"/>
                <w:sz w:val="20"/>
                <w:szCs w:val="20"/>
              </w:rPr>
              <w:t>ueensland</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893,585</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1,190,503</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1,549,178</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1,877,913</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2,329,342</w:t>
            </w:r>
          </w:p>
        </w:tc>
      </w:tr>
      <w:tr w:rsidR="009637E2" w:rsidRPr="00850DB0" w:rsidTr="006A287E">
        <w:trPr>
          <w:trHeight w:val="226"/>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Adelaide</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883,900</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979,895</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1,093,525</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1,148,006</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1,264,091</w:t>
            </w:r>
          </w:p>
        </w:tc>
      </w:tr>
      <w:tr w:rsidR="009637E2" w:rsidRPr="00850DB0" w:rsidTr="006A287E">
        <w:trPr>
          <w:trHeight w:val="241"/>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S</w:t>
            </w:r>
            <w:r>
              <w:rPr>
                <w:rFonts w:ascii="Tahoma" w:hAnsi="Tahoma" w:cs="Tahoma"/>
                <w:sz w:val="20"/>
                <w:szCs w:val="20"/>
              </w:rPr>
              <w:t xml:space="preserve">outh </w:t>
            </w:r>
            <w:r w:rsidRPr="00850DB0">
              <w:rPr>
                <w:rFonts w:ascii="Tahoma" w:hAnsi="Tahoma" w:cs="Tahoma"/>
                <w:sz w:val="20"/>
                <w:szCs w:val="20"/>
              </w:rPr>
              <w:t>A</w:t>
            </w:r>
            <w:r>
              <w:rPr>
                <w:rFonts w:ascii="Tahoma" w:hAnsi="Tahoma" w:cs="Tahoma"/>
                <w:sz w:val="20"/>
                <w:szCs w:val="20"/>
              </w:rPr>
              <w:t>ustralia</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316,214</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338,874</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352,774</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355,455</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375,523</w:t>
            </w:r>
          </w:p>
        </w:tc>
      </w:tr>
      <w:tr w:rsidR="009637E2" w:rsidRPr="00850DB0" w:rsidTr="006A287E">
        <w:trPr>
          <w:trHeight w:val="241"/>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Perth</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744,600</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941,479</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1,226,115</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1,455,361</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1,833,567</w:t>
            </w:r>
          </w:p>
        </w:tc>
      </w:tr>
      <w:tr w:rsidR="009637E2" w:rsidRPr="00850DB0" w:rsidTr="006A287E">
        <w:trPr>
          <w:trHeight w:val="241"/>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W</w:t>
            </w:r>
            <w:r>
              <w:rPr>
                <w:rFonts w:ascii="Tahoma" w:hAnsi="Tahoma" w:cs="Tahoma"/>
                <w:sz w:val="20"/>
                <w:szCs w:val="20"/>
              </w:rPr>
              <w:t xml:space="preserve">estern </w:t>
            </w:r>
            <w:r w:rsidRPr="00850DB0">
              <w:rPr>
                <w:rFonts w:ascii="Tahoma" w:hAnsi="Tahoma" w:cs="Tahoma"/>
                <w:sz w:val="20"/>
                <w:szCs w:val="20"/>
              </w:rPr>
              <w:t>A</w:t>
            </w:r>
            <w:r>
              <w:rPr>
                <w:rFonts w:ascii="Tahoma" w:hAnsi="Tahoma" w:cs="Tahoma"/>
                <w:sz w:val="20"/>
                <w:szCs w:val="20"/>
              </w:rPr>
              <w:t>ustralia</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309,234</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358,577</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409,952</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450,913</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519,842</w:t>
            </w:r>
          </w:p>
        </w:tc>
      </w:tr>
      <w:tr w:rsidR="009637E2" w:rsidRPr="00850DB0" w:rsidTr="006A287E">
        <w:trPr>
          <w:trHeight w:val="226"/>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Hobart</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157,100</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174,120</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191,648</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197,403</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216,273</w:t>
            </w:r>
          </w:p>
        </w:tc>
      </w:tr>
      <w:tr w:rsidR="009637E2" w:rsidRPr="00850DB0" w:rsidTr="006A287E">
        <w:trPr>
          <w:trHeight w:val="241"/>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Tas</w:t>
            </w:r>
            <w:r>
              <w:rPr>
                <w:rFonts w:ascii="Tahoma" w:hAnsi="Tahoma" w:cs="Tahoma"/>
                <w:sz w:val="20"/>
                <w:szCs w:val="20"/>
              </w:rPr>
              <w:t>mania</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240,973</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253,104</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275,154</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276,265</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295,210</w:t>
            </w:r>
          </w:p>
        </w:tc>
      </w:tr>
      <w:tr w:rsidR="009637E2" w:rsidRPr="00850DB0" w:rsidTr="006A287E">
        <w:trPr>
          <w:trHeight w:val="241"/>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Darwin</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39,000</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62,078</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86,414</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108,280</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129,106</w:t>
            </w:r>
          </w:p>
        </w:tc>
      </w:tr>
      <w:tr w:rsidR="009637E2" w:rsidRPr="00850DB0" w:rsidTr="006A287E">
        <w:trPr>
          <w:trHeight w:val="241"/>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N</w:t>
            </w:r>
            <w:r>
              <w:rPr>
                <w:rFonts w:ascii="Tahoma" w:hAnsi="Tahoma" w:cs="Tahoma"/>
                <w:sz w:val="20"/>
                <w:szCs w:val="20"/>
              </w:rPr>
              <w:t xml:space="preserve">orthern </w:t>
            </w:r>
            <w:r w:rsidRPr="00850DB0">
              <w:rPr>
                <w:rFonts w:ascii="Tahoma" w:hAnsi="Tahoma" w:cs="Tahoma"/>
                <w:sz w:val="20"/>
                <w:szCs w:val="20"/>
              </w:rPr>
              <w:t>T</w:t>
            </w:r>
            <w:r>
              <w:rPr>
                <w:rFonts w:ascii="Tahoma" w:hAnsi="Tahoma" w:cs="Tahoma"/>
                <w:sz w:val="20"/>
                <w:szCs w:val="20"/>
              </w:rPr>
              <w:t>erritory</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46,735</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60,538</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79,079</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93,463</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102,186</w:t>
            </w:r>
          </w:p>
        </w:tc>
      </w:tr>
      <w:tr w:rsidR="009637E2" w:rsidRPr="00850DB0" w:rsidTr="006A287E">
        <w:trPr>
          <w:trHeight w:val="241"/>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Australian Capital Territory</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151,169</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226,821</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288,586</w:t>
            </w:r>
          </w:p>
        </w:tc>
        <w:tc>
          <w:tcPr>
            <w:tcW w:w="1417"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321,538</w:t>
            </w:r>
          </w:p>
        </w:tc>
        <w:tc>
          <w:tcPr>
            <w:tcW w:w="1418" w:type="dxa"/>
            <w:tcMar>
              <w:right w:w="284" w:type="dxa"/>
            </w:tcMar>
            <w:vAlign w:val="bottom"/>
          </w:tcPr>
          <w:p w:rsidR="009637E2" w:rsidRPr="00850DB0" w:rsidRDefault="009637E2" w:rsidP="009637E2">
            <w:pPr>
              <w:jc w:val="right"/>
              <w:rPr>
                <w:rFonts w:ascii="Tahoma" w:hAnsi="Tahoma" w:cs="Tahoma"/>
                <w:sz w:val="20"/>
                <w:szCs w:val="20"/>
              </w:rPr>
            </w:pPr>
            <w:r w:rsidRPr="00850DB0">
              <w:rPr>
                <w:rFonts w:ascii="Tahoma" w:hAnsi="Tahoma" w:cs="Tahoma"/>
                <w:sz w:val="20"/>
                <w:szCs w:val="20"/>
              </w:rPr>
              <w:t>367,985</w:t>
            </w:r>
          </w:p>
        </w:tc>
      </w:tr>
      <w:tr w:rsidR="00CC6F2B" w:rsidRPr="00850DB0" w:rsidTr="006A287E">
        <w:trPr>
          <w:trHeight w:val="241"/>
        </w:trPr>
        <w:tc>
          <w:tcPr>
            <w:tcW w:w="3369" w:type="dxa"/>
            <w:vAlign w:val="bottom"/>
          </w:tcPr>
          <w:p w:rsidR="00CC6F2B" w:rsidRPr="00850DB0" w:rsidRDefault="00CC6F2B" w:rsidP="009637E2">
            <w:pPr>
              <w:rPr>
                <w:rFonts w:ascii="Tahoma" w:hAnsi="Tahoma" w:cs="Tahoma"/>
                <w:sz w:val="20"/>
                <w:szCs w:val="20"/>
              </w:rPr>
            </w:pPr>
            <w:r>
              <w:rPr>
                <w:rFonts w:ascii="Tahoma" w:hAnsi="Tahoma" w:cs="Tahoma"/>
                <w:sz w:val="20"/>
                <w:szCs w:val="20"/>
              </w:rPr>
              <w:t>Other Territories</w:t>
            </w:r>
          </w:p>
        </w:tc>
        <w:tc>
          <w:tcPr>
            <w:tcW w:w="1417" w:type="dxa"/>
            <w:tcMar>
              <w:right w:w="284" w:type="dxa"/>
            </w:tcMar>
            <w:vAlign w:val="bottom"/>
          </w:tcPr>
          <w:p w:rsidR="00CC6F2B" w:rsidRPr="00850DB0" w:rsidRDefault="00CC6F2B" w:rsidP="009637E2">
            <w:pPr>
              <w:jc w:val="right"/>
              <w:rPr>
                <w:rFonts w:ascii="Tahoma" w:hAnsi="Tahoma" w:cs="Tahoma"/>
                <w:sz w:val="20"/>
                <w:szCs w:val="20"/>
              </w:rPr>
            </w:pPr>
          </w:p>
        </w:tc>
        <w:tc>
          <w:tcPr>
            <w:tcW w:w="1417" w:type="dxa"/>
            <w:tcMar>
              <w:right w:w="284" w:type="dxa"/>
            </w:tcMar>
            <w:vAlign w:val="bottom"/>
          </w:tcPr>
          <w:p w:rsidR="00CC6F2B" w:rsidRPr="00850DB0" w:rsidRDefault="00CC6F2B" w:rsidP="009637E2">
            <w:pPr>
              <w:jc w:val="right"/>
              <w:rPr>
                <w:rFonts w:ascii="Tahoma" w:hAnsi="Tahoma" w:cs="Tahoma"/>
                <w:sz w:val="20"/>
                <w:szCs w:val="20"/>
              </w:rPr>
            </w:pPr>
            <w:r>
              <w:rPr>
                <w:rFonts w:ascii="Tahoma" w:hAnsi="Tahoma" w:cs="Tahoma"/>
                <w:sz w:val="20"/>
                <w:szCs w:val="20"/>
              </w:rPr>
              <w:t>760</w:t>
            </w:r>
          </w:p>
        </w:tc>
        <w:tc>
          <w:tcPr>
            <w:tcW w:w="1418" w:type="dxa"/>
            <w:tcMar>
              <w:right w:w="284" w:type="dxa"/>
            </w:tcMar>
            <w:vAlign w:val="bottom"/>
          </w:tcPr>
          <w:p w:rsidR="00CC6F2B" w:rsidRPr="00850DB0" w:rsidRDefault="00CC6F2B" w:rsidP="009637E2">
            <w:pPr>
              <w:jc w:val="right"/>
              <w:rPr>
                <w:rFonts w:ascii="Tahoma" w:hAnsi="Tahoma" w:cs="Tahoma"/>
                <w:sz w:val="20"/>
                <w:szCs w:val="20"/>
              </w:rPr>
            </w:pPr>
            <w:r>
              <w:rPr>
                <w:rFonts w:ascii="Tahoma" w:hAnsi="Tahoma" w:cs="Tahoma"/>
                <w:sz w:val="20"/>
                <w:szCs w:val="20"/>
              </w:rPr>
              <w:t>734</w:t>
            </w:r>
          </w:p>
        </w:tc>
        <w:tc>
          <w:tcPr>
            <w:tcW w:w="1417" w:type="dxa"/>
            <w:tcMar>
              <w:right w:w="284" w:type="dxa"/>
            </w:tcMar>
            <w:vAlign w:val="bottom"/>
          </w:tcPr>
          <w:p w:rsidR="00CC6F2B" w:rsidRPr="00850DB0" w:rsidRDefault="00CC6F2B" w:rsidP="009637E2">
            <w:pPr>
              <w:jc w:val="right"/>
              <w:rPr>
                <w:rFonts w:ascii="Tahoma" w:hAnsi="Tahoma" w:cs="Tahoma"/>
                <w:sz w:val="20"/>
                <w:szCs w:val="20"/>
              </w:rPr>
            </w:pPr>
            <w:r>
              <w:rPr>
                <w:rFonts w:ascii="Tahoma" w:hAnsi="Tahoma" w:cs="Tahoma"/>
                <w:sz w:val="20"/>
                <w:szCs w:val="20"/>
              </w:rPr>
              <w:t>2,584</w:t>
            </w:r>
          </w:p>
        </w:tc>
        <w:tc>
          <w:tcPr>
            <w:tcW w:w="1418" w:type="dxa"/>
            <w:tcMar>
              <w:right w:w="284" w:type="dxa"/>
            </w:tcMar>
            <w:vAlign w:val="bottom"/>
          </w:tcPr>
          <w:p w:rsidR="00CC6F2B" w:rsidRPr="00850DB0" w:rsidRDefault="00CC6F2B" w:rsidP="009637E2">
            <w:pPr>
              <w:jc w:val="right"/>
              <w:rPr>
                <w:rFonts w:ascii="Tahoma" w:hAnsi="Tahoma" w:cs="Tahoma"/>
                <w:sz w:val="20"/>
                <w:szCs w:val="20"/>
              </w:rPr>
            </w:pPr>
            <w:r>
              <w:rPr>
                <w:rFonts w:ascii="Tahoma" w:hAnsi="Tahoma" w:cs="Tahoma"/>
                <w:sz w:val="20"/>
                <w:szCs w:val="20"/>
              </w:rPr>
              <w:t>3,117</w:t>
            </w:r>
          </w:p>
        </w:tc>
      </w:tr>
      <w:tr w:rsidR="009637E2" w:rsidRPr="00850DB0" w:rsidTr="006A287E">
        <w:trPr>
          <w:trHeight w:val="256"/>
        </w:trPr>
        <w:tc>
          <w:tcPr>
            <w:tcW w:w="3369" w:type="dxa"/>
            <w:vAlign w:val="bottom"/>
          </w:tcPr>
          <w:p w:rsidR="009637E2" w:rsidRPr="00850DB0" w:rsidRDefault="009637E2" w:rsidP="009637E2">
            <w:pPr>
              <w:rPr>
                <w:rFonts w:ascii="Tahoma" w:hAnsi="Tahoma" w:cs="Tahoma"/>
                <w:b/>
                <w:sz w:val="20"/>
                <w:szCs w:val="20"/>
              </w:rPr>
            </w:pPr>
            <w:r w:rsidRPr="00850DB0">
              <w:rPr>
                <w:rFonts w:ascii="Tahoma" w:hAnsi="Tahoma" w:cs="Tahoma"/>
                <w:b/>
                <w:sz w:val="20"/>
                <w:szCs w:val="20"/>
              </w:rPr>
              <w:t>AUSTRALIA</w:t>
            </w:r>
          </w:p>
        </w:tc>
        <w:tc>
          <w:tcPr>
            <w:tcW w:w="1417" w:type="dxa"/>
            <w:tcMar>
              <w:right w:w="113" w:type="dxa"/>
            </w:tcMar>
            <w:vAlign w:val="bottom"/>
          </w:tcPr>
          <w:p w:rsidR="009637E2" w:rsidRPr="00850DB0" w:rsidRDefault="009637E2" w:rsidP="009637E2">
            <w:pPr>
              <w:jc w:val="right"/>
              <w:rPr>
                <w:rFonts w:ascii="Tahoma" w:hAnsi="Tahoma" w:cs="Tahoma"/>
                <w:b/>
                <w:sz w:val="20"/>
                <w:szCs w:val="20"/>
              </w:rPr>
            </w:pPr>
            <w:r w:rsidRPr="00850DB0">
              <w:rPr>
                <w:rFonts w:ascii="Tahoma" w:hAnsi="Tahoma" w:cs="Tahoma"/>
                <w:b/>
                <w:sz w:val="20"/>
                <w:szCs w:val="20"/>
              </w:rPr>
              <w:t>13,067,265</w:t>
            </w:r>
          </w:p>
        </w:tc>
        <w:tc>
          <w:tcPr>
            <w:tcW w:w="1417" w:type="dxa"/>
            <w:tcMar>
              <w:right w:w="113" w:type="dxa"/>
            </w:tcMar>
            <w:vAlign w:val="bottom"/>
          </w:tcPr>
          <w:p w:rsidR="009637E2" w:rsidRPr="00850DB0" w:rsidRDefault="009637E2" w:rsidP="00CC6F2B">
            <w:pPr>
              <w:jc w:val="right"/>
              <w:rPr>
                <w:rFonts w:ascii="Tahoma" w:hAnsi="Tahoma" w:cs="Tahoma"/>
                <w:b/>
                <w:sz w:val="20"/>
                <w:szCs w:val="20"/>
              </w:rPr>
            </w:pPr>
            <w:r w:rsidRPr="00850DB0">
              <w:rPr>
                <w:rFonts w:ascii="Tahoma" w:hAnsi="Tahoma" w:cs="Tahoma"/>
                <w:b/>
                <w:sz w:val="20"/>
                <w:szCs w:val="20"/>
              </w:rPr>
              <w:t>14,92</w:t>
            </w:r>
            <w:r w:rsidR="00CC6F2B">
              <w:rPr>
                <w:rFonts w:ascii="Tahoma" w:hAnsi="Tahoma" w:cs="Tahoma"/>
                <w:b/>
                <w:sz w:val="20"/>
                <w:szCs w:val="20"/>
              </w:rPr>
              <w:t>3</w:t>
            </w:r>
            <w:r w:rsidRPr="00850DB0">
              <w:rPr>
                <w:rFonts w:ascii="Tahoma" w:hAnsi="Tahoma" w:cs="Tahoma"/>
                <w:b/>
                <w:sz w:val="20"/>
                <w:szCs w:val="20"/>
              </w:rPr>
              <w:t>,</w:t>
            </w:r>
            <w:r w:rsidR="00CC6F2B">
              <w:rPr>
                <w:rFonts w:ascii="Tahoma" w:hAnsi="Tahoma" w:cs="Tahoma"/>
                <w:b/>
                <w:sz w:val="20"/>
                <w:szCs w:val="20"/>
              </w:rPr>
              <w:t>260</w:t>
            </w:r>
          </w:p>
        </w:tc>
        <w:tc>
          <w:tcPr>
            <w:tcW w:w="1418" w:type="dxa"/>
            <w:tcMar>
              <w:right w:w="113" w:type="dxa"/>
            </w:tcMar>
            <w:vAlign w:val="bottom"/>
          </w:tcPr>
          <w:p w:rsidR="009637E2" w:rsidRPr="00850DB0" w:rsidRDefault="009637E2" w:rsidP="00CC6F2B">
            <w:pPr>
              <w:jc w:val="right"/>
              <w:rPr>
                <w:rFonts w:ascii="Tahoma" w:hAnsi="Tahoma" w:cs="Tahoma"/>
                <w:b/>
                <w:sz w:val="20"/>
                <w:szCs w:val="20"/>
              </w:rPr>
            </w:pPr>
            <w:r w:rsidRPr="00850DB0">
              <w:rPr>
                <w:rFonts w:ascii="Tahoma" w:hAnsi="Tahoma" w:cs="Tahoma"/>
                <w:b/>
                <w:sz w:val="20"/>
                <w:szCs w:val="20"/>
              </w:rPr>
              <w:t>17,28</w:t>
            </w:r>
            <w:r w:rsidR="00CC6F2B">
              <w:rPr>
                <w:rFonts w:ascii="Tahoma" w:hAnsi="Tahoma" w:cs="Tahoma"/>
                <w:b/>
                <w:sz w:val="20"/>
                <w:szCs w:val="20"/>
              </w:rPr>
              <w:t>4</w:t>
            </w:r>
            <w:r w:rsidRPr="00850DB0">
              <w:rPr>
                <w:rFonts w:ascii="Tahoma" w:hAnsi="Tahoma" w:cs="Tahoma"/>
                <w:b/>
                <w:sz w:val="20"/>
                <w:szCs w:val="20"/>
              </w:rPr>
              <w:t>,</w:t>
            </w:r>
            <w:r w:rsidR="00CC6F2B">
              <w:rPr>
                <w:rFonts w:ascii="Tahoma" w:hAnsi="Tahoma" w:cs="Tahoma"/>
                <w:b/>
                <w:sz w:val="20"/>
                <w:szCs w:val="20"/>
              </w:rPr>
              <w:t>0</w:t>
            </w:r>
            <w:r w:rsidRPr="00850DB0">
              <w:rPr>
                <w:rFonts w:ascii="Tahoma" w:hAnsi="Tahoma" w:cs="Tahoma"/>
                <w:b/>
                <w:sz w:val="20"/>
                <w:szCs w:val="20"/>
              </w:rPr>
              <w:t>3</w:t>
            </w:r>
            <w:r w:rsidR="00CC6F2B">
              <w:rPr>
                <w:rFonts w:ascii="Tahoma" w:hAnsi="Tahoma" w:cs="Tahoma"/>
                <w:b/>
                <w:sz w:val="20"/>
                <w:szCs w:val="20"/>
              </w:rPr>
              <w:t>6</w:t>
            </w:r>
          </w:p>
        </w:tc>
        <w:tc>
          <w:tcPr>
            <w:tcW w:w="1417" w:type="dxa"/>
            <w:tcMar>
              <w:right w:w="113" w:type="dxa"/>
            </w:tcMar>
            <w:vAlign w:val="bottom"/>
          </w:tcPr>
          <w:p w:rsidR="009637E2" w:rsidRPr="00850DB0" w:rsidRDefault="009637E2" w:rsidP="00CC6F2B">
            <w:pPr>
              <w:jc w:val="right"/>
              <w:rPr>
                <w:rFonts w:ascii="Tahoma" w:hAnsi="Tahoma" w:cs="Tahoma"/>
                <w:b/>
                <w:sz w:val="20"/>
                <w:szCs w:val="20"/>
              </w:rPr>
            </w:pPr>
            <w:r w:rsidRPr="00850DB0">
              <w:rPr>
                <w:rFonts w:ascii="Tahoma" w:hAnsi="Tahoma" w:cs="Tahoma"/>
                <w:b/>
                <w:sz w:val="20"/>
                <w:szCs w:val="20"/>
              </w:rPr>
              <w:t>19,27</w:t>
            </w:r>
            <w:r w:rsidR="00CC6F2B">
              <w:rPr>
                <w:rFonts w:ascii="Tahoma" w:hAnsi="Tahoma" w:cs="Tahoma"/>
                <w:b/>
                <w:sz w:val="20"/>
                <w:szCs w:val="20"/>
              </w:rPr>
              <w:t>4</w:t>
            </w:r>
            <w:r w:rsidRPr="00850DB0">
              <w:rPr>
                <w:rFonts w:ascii="Tahoma" w:hAnsi="Tahoma" w:cs="Tahoma"/>
                <w:b/>
                <w:sz w:val="20"/>
                <w:szCs w:val="20"/>
              </w:rPr>
              <w:t>,7</w:t>
            </w:r>
            <w:r w:rsidR="00CC6F2B">
              <w:rPr>
                <w:rFonts w:ascii="Tahoma" w:hAnsi="Tahoma" w:cs="Tahoma"/>
                <w:b/>
                <w:sz w:val="20"/>
                <w:szCs w:val="20"/>
              </w:rPr>
              <w:t>01</w:t>
            </w:r>
          </w:p>
        </w:tc>
        <w:tc>
          <w:tcPr>
            <w:tcW w:w="1418" w:type="dxa"/>
            <w:tcMar>
              <w:right w:w="113" w:type="dxa"/>
            </w:tcMar>
            <w:vAlign w:val="bottom"/>
          </w:tcPr>
          <w:p w:rsidR="009637E2" w:rsidRPr="00850DB0" w:rsidRDefault="009637E2" w:rsidP="00CC6F2B">
            <w:pPr>
              <w:jc w:val="right"/>
              <w:rPr>
                <w:rFonts w:ascii="Tahoma" w:hAnsi="Tahoma" w:cs="Tahoma"/>
                <w:b/>
                <w:sz w:val="20"/>
                <w:szCs w:val="20"/>
              </w:rPr>
            </w:pPr>
            <w:r w:rsidRPr="00850DB0">
              <w:rPr>
                <w:rFonts w:ascii="Tahoma" w:hAnsi="Tahoma" w:cs="Tahoma"/>
                <w:b/>
                <w:sz w:val="20"/>
                <w:szCs w:val="20"/>
              </w:rPr>
              <w:t>22,3</w:t>
            </w:r>
            <w:r w:rsidR="00CC6F2B">
              <w:rPr>
                <w:rFonts w:ascii="Tahoma" w:hAnsi="Tahoma" w:cs="Tahoma"/>
                <w:b/>
                <w:sz w:val="20"/>
                <w:szCs w:val="20"/>
              </w:rPr>
              <w:t>40</w:t>
            </w:r>
            <w:r w:rsidRPr="00850DB0">
              <w:rPr>
                <w:rFonts w:ascii="Tahoma" w:hAnsi="Tahoma" w:cs="Tahoma"/>
                <w:b/>
                <w:sz w:val="20"/>
                <w:szCs w:val="20"/>
              </w:rPr>
              <w:t>,</w:t>
            </w:r>
            <w:r w:rsidR="00CC6F2B">
              <w:rPr>
                <w:rFonts w:ascii="Tahoma" w:hAnsi="Tahoma" w:cs="Tahoma"/>
                <w:b/>
                <w:sz w:val="20"/>
                <w:szCs w:val="20"/>
              </w:rPr>
              <w:t>024</w:t>
            </w:r>
          </w:p>
        </w:tc>
      </w:tr>
    </w:tbl>
    <w:p w:rsidR="009637E2" w:rsidRPr="00BA695C" w:rsidRDefault="009637E2" w:rsidP="009637E2">
      <w:pPr>
        <w:rPr>
          <w:rFonts w:ascii="Tahoma" w:hAnsi="Tahoma" w:cs="Tahoma"/>
          <w:sz w:val="24"/>
          <w:szCs w:val="24"/>
        </w:rPr>
      </w:pPr>
      <w:r w:rsidRPr="003478D0">
        <w:rPr>
          <w:rFonts w:ascii="Tahoma" w:eastAsia="Times New Roman" w:hAnsi="Tahoma" w:cs="Tahoma"/>
          <w:sz w:val="16"/>
          <w:szCs w:val="24"/>
          <w:lang w:eastAsia="en-AU"/>
        </w:rPr>
        <w:t>Source: ABS. Regional Population Growth, Australia, 2012 (cat. no. 3218.0)</w:t>
      </w:r>
    </w:p>
    <w:p w:rsidR="00CF5CFC" w:rsidRDefault="00CF5CFC" w:rsidP="00D7503C">
      <w:pPr>
        <w:rPr>
          <w:rFonts w:ascii="Tahoma" w:hAnsi="Tahoma" w:cs="Tahoma"/>
          <w:b/>
          <w:sz w:val="20"/>
          <w:szCs w:val="20"/>
        </w:rPr>
      </w:pPr>
    </w:p>
    <w:p w:rsidR="00D7503C" w:rsidRDefault="001414CE" w:rsidP="00D7503C">
      <w:pPr>
        <w:pStyle w:val="Default"/>
        <w:spacing w:after="60"/>
        <w:ind w:left="-142"/>
        <w:rPr>
          <w:rFonts w:ascii="Tahoma" w:hAnsi="Tahoma" w:cs="Tahoma"/>
          <w:b/>
          <w:color w:val="00B5AF"/>
          <w:sz w:val="20"/>
        </w:rPr>
      </w:pPr>
      <w:r>
        <w:rPr>
          <w:rFonts w:ascii="Tahoma" w:hAnsi="Tahoma" w:cs="Tahoma"/>
          <w:b/>
          <w:color w:val="00B5AF"/>
          <w:sz w:val="20"/>
        </w:rPr>
        <w:t>Figure 2</w:t>
      </w:r>
      <w:r w:rsidR="00D7503C" w:rsidRPr="00D7503C">
        <w:rPr>
          <w:rFonts w:ascii="Tahoma" w:hAnsi="Tahoma" w:cs="Tahoma"/>
          <w:b/>
          <w:color w:val="00B5AF"/>
          <w:sz w:val="20"/>
        </w:rPr>
        <w:t xml:space="preserve"> Shares of population growth, Capital </w:t>
      </w:r>
      <w:r w:rsidR="007F4758">
        <w:rPr>
          <w:rFonts w:ascii="Tahoma" w:hAnsi="Tahoma" w:cs="Tahoma"/>
          <w:b/>
          <w:color w:val="00B5AF"/>
          <w:sz w:val="20"/>
        </w:rPr>
        <w:t>city and B</w:t>
      </w:r>
      <w:r w:rsidR="00D7503C" w:rsidRPr="00D7503C">
        <w:rPr>
          <w:rFonts w:ascii="Tahoma" w:hAnsi="Tahoma" w:cs="Tahoma"/>
          <w:b/>
          <w:color w:val="00B5AF"/>
          <w:sz w:val="20"/>
        </w:rPr>
        <w:t xml:space="preserve">alance of </w:t>
      </w:r>
      <w:r w:rsidR="007F4758">
        <w:rPr>
          <w:rFonts w:ascii="Tahoma" w:hAnsi="Tahoma" w:cs="Tahoma"/>
          <w:b/>
          <w:color w:val="00B5AF"/>
          <w:sz w:val="20"/>
        </w:rPr>
        <w:t>s</w:t>
      </w:r>
      <w:r w:rsidR="00D7503C" w:rsidRPr="00D7503C">
        <w:rPr>
          <w:rFonts w:ascii="Tahoma" w:hAnsi="Tahoma" w:cs="Tahoma"/>
          <w:b/>
          <w:color w:val="00B5AF"/>
          <w:sz w:val="20"/>
        </w:rPr>
        <w:t>tate, 1971 to 2011</w:t>
      </w:r>
    </w:p>
    <w:p w:rsidR="00A4739C" w:rsidRPr="00A4739C" w:rsidRDefault="00A4739C" w:rsidP="00D7503C">
      <w:pPr>
        <w:pStyle w:val="Default"/>
        <w:spacing w:after="60"/>
        <w:ind w:left="-142"/>
        <w:rPr>
          <w:rFonts w:ascii="Tahoma" w:hAnsi="Tahoma" w:cs="Tahoma"/>
          <w:b/>
          <w:i/>
          <w:color w:val="00B5AF"/>
          <w:sz w:val="18"/>
        </w:rPr>
      </w:pPr>
      <w:r w:rsidRPr="00A4739C">
        <w:rPr>
          <w:rFonts w:ascii="Tahoma" w:hAnsi="Tahoma" w:cs="Tahoma"/>
          <w:b/>
          <w:i/>
          <w:color w:val="00B5AF"/>
          <w:sz w:val="18"/>
        </w:rPr>
        <w:t xml:space="preserve">[Figure 2 is a bar chart </w:t>
      </w:r>
      <w:r>
        <w:rPr>
          <w:rFonts w:ascii="Tahoma" w:hAnsi="Tahoma" w:cs="Tahoma"/>
          <w:b/>
          <w:i/>
          <w:color w:val="00B5AF"/>
          <w:sz w:val="18"/>
        </w:rPr>
        <w:t>showing</w:t>
      </w:r>
      <w:r w:rsidRPr="00A4739C">
        <w:rPr>
          <w:rFonts w:ascii="Tahoma" w:hAnsi="Tahoma" w:cs="Tahoma"/>
          <w:b/>
          <w:i/>
          <w:color w:val="00B5AF"/>
          <w:sz w:val="18"/>
        </w:rPr>
        <w:t xml:space="preserve"> the shares of population growth for the capital cities and balance of states between 1971 and 2011]</w:t>
      </w:r>
    </w:p>
    <w:p w:rsidR="00D7503C" w:rsidRPr="003478D0" w:rsidRDefault="00D7503C" w:rsidP="00D7503C">
      <w:pPr>
        <w:rPr>
          <w:rFonts w:ascii="Tahoma" w:hAnsi="Tahoma" w:cs="Tahoma"/>
          <w:sz w:val="16"/>
          <w:szCs w:val="16"/>
        </w:rPr>
      </w:pPr>
      <w:r w:rsidRPr="001D434E">
        <w:rPr>
          <w:noProof/>
          <w:lang w:eastAsia="en-AU"/>
        </w:rPr>
        <w:drawing>
          <wp:inline distT="0" distB="0" distL="0" distR="0">
            <wp:extent cx="6190364" cy="2934586"/>
            <wp:effectExtent l="19050" t="0" r="19936"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5CFC" w:rsidRPr="003478D0" w:rsidRDefault="00D7503C" w:rsidP="00D7503C">
      <w:pPr>
        <w:rPr>
          <w:rFonts w:ascii="Tahoma" w:eastAsia="Times New Roman" w:hAnsi="Tahoma" w:cs="Tahoma"/>
          <w:sz w:val="16"/>
          <w:szCs w:val="24"/>
          <w:lang w:eastAsia="en-AU"/>
        </w:rPr>
      </w:pPr>
      <w:r w:rsidRPr="003478D0">
        <w:rPr>
          <w:rFonts w:ascii="Tahoma" w:eastAsia="Times New Roman" w:hAnsi="Tahoma" w:cs="Tahoma"/>
          <w:sz w:val="16"/>
          <w:szCs w:val="24"/>
          <w:lang w:eastAsia="en-AU"/>
        </w:rPr>
        <w:t>Source: ABS. Regional Population Growth, Australia, 2012 (cat. no. 3218.0)</w:t>
      </w:r>
    </w:p>
    <w:p w:rsidR="00CF5CFC" w:rsidRDefault="00CF5CFC" w:rsidP="00CF5CFC">
      <w:pPr>
        <w:rPr>
          <w:rFonts w:ascii="Tahoma" w:eastAsia="Times New Roman" w:hAnsi="Tahoma" w:cs="Tahoma"/>
          <w:b/>
          <w:bCs/>
          <w:color w:val="008B80"/>
          <w:szCs w:val="20"/>
          <w:lang w:eastAsia="en-AU"/>
        </w:rPr>
      </w:pPr>
    </w:p>
    <w:p w:rsidR="00CF5CFC" w:rsidRDefault="00CF5CFC" w:rsidP="00CF5CFC">
      <w:pPr>
        <w:rPr>
          <w:rFonts w:ascii="Tahoma" w:eastAsia="Times New Roman" w:hAnsi="Tahoma" w:cs="Tahoma"/>
          <w:b/>
          <w:bCs/>
          <w:color w:val="008B80"/>
          <w:szCs w:val="20"/>
          <w:lang w:eastAsia="en-AU"/>
        </w:rPr>
      </w:pPr>
    </w:p>
    <w:p w:rsidR="00CF5CFC" w:rsidRPr="00CF5CFC" w:rsidRDefault="00CF5CFC" w:rsidP="00CF5CFC">
      <w:pPr>
        <w:pStyle w:val="Default"/>
        <w:spacing w:after="60"/>
        <w:rPr>
          <w:rFonts w:ascii="Tahoma" w:hAnsi="Tahoma" w:cs="Tahoma"/>
          <w:b/>
          <w:color w:val="00B5AF"/>
          <w:sz w:val="20"/>
        </w:rPr>
      </w:pPr>
      <w:r w:rsidRPr="00CF5CFC">
        <w:rPr>
          <w:rFonts w:ascii="Tahoma" w:hAnsi="Tahoma" w:cs="Tahoma"/>
          <w:b/>
          <w:color w:val="00B5AF"/>
          <w:sz w:val="20"/>
        </w:rPr>
        <w:lastRenderedPageBreak/>
        <w:t>Table 2 10-year changes in Estimated Resident Population</w:t>
      </w:r>
    </w:p>
    <w:tbl>
      <w:tblPr>
        <w:tblStyle w:val="TableGrid"/>
        <w:tblW w:w="10485" w:type="dxa"/>
        <w:tblBorders>
          <w:top w:val="single" w:sz="4" w:space="0" w:color="006F97"/>
          <w:left w:val="single" w:sz="4" w:space="0" w:color="006F97"/>
          <w:bottom w:val="single" w:sz="4" w:space="0" w:color="006F97"/>
          <w:right w:val="single" w:sz="4" w:space="0" w:color="006F97"/>
          <w:insideH w:val="single" w:sz="4" w:space="0" w:color="006F97"/>
          <w:insideV w:val="single" w:sz="4" w:space="0" w:color="006F97"/>
        </w:tblBorders>
        <w:tblCellMar>
          <w:right w:w="335" w:type="dxa"/>
        </w:tblCellMar>
        <w:tblLook w:val="04A0"/>
      </w:tblPr>
      <w:tblGrid>
        <w:gridCol w:w="3368"/>
        <w:gridCol w:w="1779"/>
        <w:gridCol w:w="1779"/>
        <w:gridCol w:w="1779"/>
        <w:gridCol w:w="1780"/>
      </w:tblGrid>
      <w:tr w:rsidR="00CF5CFC" w:rsidRPr="00850DB0" w:rsidTr="00CF5CFC">
        <w:trPr>
          <w:trHeight w:val="249"/>
        </w:trPr>
        <w:tc>
          <w:tcPr>
            <w:tcW w:w="3368" w:type="dxa"/>
            <w:shd w:val="clear" w:color="auto" w:fill="EAE8E7"/>
          </w:tcPr>
          <w:p w:rsidR="00CF5CFC" w:rsidRPr="00850DB0" w:rsidRDefault="00CF5CFC" w:rsidP="00CF5CFC">
            <w:pPr>
              <w:ind w:right="-336"/>
              <w:rPr>
                <w:rFonts w:ascii="Tahoma" w:hAnsi="Tahoma" w:cs="Tahoma"/>
                <w:sz w:val="20"/>
                <w:szCs w:val="20"/>
              </w:rPr>
            </w:pPr>
          </w:p>
        </w:tc>
        <w:tc>
          <w:tcPr>
            <w:tcW w:w="1779" w:type="dxa"/>
            <w:shd w:val="clear" w:color="auto" w:fill="EAE8E7"/>
          </w:tcPr>
          <w:p w:rsidR="00CF5CFC" w:rsidRPr="00850DB0" w:rsidRDefault="00CF5CFC" w:rsidP="00CF5CFC">
            <w:pPr>
              <w:jc w:val="center"/>
              <w:rPr>
                <w:rFonts w:ascii="Tahoma" w:hAnsi="Tahoma" w:cs="Tahoma"/>
                <w:b/>
                <w:sz w:val="20"/>
                <w:szCs w:val="20"/>
              </w:rPr>
            </w:pPr>
            <w:r w:rsidRPr="00850DB0">
              <w:rPr>
                <w:rFonts w:ascii="Tahoma" w:hAnsi="Tahoma" w:cs="Tahoma"/>
                <w:b/>
                <w:sz w:val="20"/>
                <w:szCs w:val="20"/>
              </w:rPr>
              <w:t>1971-1981</w:t>
            </w:r>
          </w:p>
        </w:tc>
        <w:tc>
          <w:tcPr>
            <w:tcW w:w="1779" w:type="dxa"/>
            <w:shd w:val="clear" w:color="auto" w:fill="EAE8E7"/>
          </w:tcPr>
          <w:p w:rsidR="00CF5CFC" w:rsidRPr="00850DB0" w:rsidRDefault="00CF5CFC" w:rsidP="00CF5CFC">
            <w:pPr>
              <w:jc w:val="center"/>
              <w:rPr>
                <w:rFonts w:ascii="Tahoma" w:hAnsi="Tahoma" w:cs="Tahoma"/>
                <w:b/>
                <w:sz w:val="20"/>
                <w:szCs w:val="20"/>
              </w:rPr>
            </w:pPr>
            <w:r w:rsidRPr="00850DB0">
              <w:rPr>
                <w:rFonts w:ascii="Tahoma" w:hAnsi="Tahoma" w:cs="Tahoma"/>
                <w:b/>
                <w:sz w:val="20"/>
                <w:szCs w:val="20"/>
              </w:rPr>
              <w:t>1981-1991</w:t>
            </w:r>
          </w:p>
        </w:tc>
        <w:tc>
          <w:tcPr>
            <w:tcW w:w="1779" w:type="dxa"/>
            <w:shd w:val="clear" w:color="auto" w:fill="EAE8E7"/>
          </w:tcPr>
          <w:p w:rsidR="00CF5CFC" w:rsidRPr="00850DB0" w:rsidRDefault="00CF5CFC" w:rsidP="00CF5CFC">
            <w:pPr>
              <w:jc w:val="center"/>
              <w:rPr>
                <w:rFonts w:ascii="Tahoma" w:hAnsi="Tahoma" w:cs="Tahoma"/>
                <w:b/>
                <w:sz w:val="20"/>
                <w:szCs w:val="20"/>
              </w:rPr>
            </w:pPr>
            <w:r w:rsidRPr="00850DB0">
              <w:rPr>
                <w:rFonts w:ascii="Tahoma" w:hAnsi="Tahoma" w:cs="Tahoma"/>
                <w:b/>
                <w:sz w:val="20"/>
                <w:szCs w:val="20"/>
              </w:rPr>
              <w:t>1991-2001</w:t>
            </w:r>
          </w:p>
        </w:tc>
        <w:tc>
          <w:tcPr>
            <w:tcW w:w="1780" w:type="dxa"/>
            <w:shd w:val="clear" w:color="auto" w:fill="EAE8E7"/>
          </w:tcPr>
          <w:p w:rsidR="00CF5CFC" w:rsidRPr="00850DB0" w:rsidRDefault="00CF5CFC" w:rsidP="00CF5CFC">
            <w:pPr>
              <w:jc w:val="center"/>
              <w:rPr>
                <w:rFonts w:ascii="Tahoma" w:hAnsi="Tahoma" w:cs="Tahoma"/>
                <w:b/>
                <w:sz w:val="20"/>
                <w:szCs w:val="20"/>
              </w:rPr>
            </w:pPr>
            <w:r w:rsidRPr="00850DB0">
              <w:rPr>
                <w:rFonts w:ascii="Tahoma" w:hAnsi="Tahoma" w:cs="Tahoma"/>
                <w:b/>
                <w:sz w:val="20"/>
                <w:szCs w:val="20"/>
              </w:rPr>
              <w:t>2001-2011</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Greater Sydney</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263,639</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393,375</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429,666</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506,369</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Balance of N</w:t>
            </w:r>
            <w:r>
              <w:rPr>
                <w:rFonts w:ascii="Tahoma" w:hAnsi="Tahoma" w:cs="Tahoma"/>
                <w:sz w:val="20"/>
                <w:szCs w:val="20"/>
              </w:rPr>
              <w:t xml:space="preserve">ew </w:t>
            </w:r>
            <w:r w:rsidRPr="00850DB0">
              <w:rPr>
                <w:rFonts w:ascii="Tahoma" w:hAnsi="Tahoma" w:cs="Tahoma"/>
                <w:sz w:val="20"/>
                <w:szCs w:val="20"/>
              </w:rPr>
              <w:t>S</w:t>
            </w:r>
            <w:r>
              <w:rPr>
                <w:rFonts w:ascii="Tahoma" w:hAnsi="Tahoma" w:cs="Tahoma"/>
                <w:sz w:val="20"/>
                <w:szCs w:val="20"/>
              </w:rPr>
              <w:t xml:space="preserve">outh </w:t>
            </w:r>
            <w:r w:rsidRPr="00850DB0">
              <w:rPr>
                <w:rFonts w:ascii="Tahoma" w:hAnsi="Tahoma" w:cs="Tahoma"/>
                <w:sz w:val="20"/>
                <w:szCs w:val="20"/>
              </w:rPr>
              <w:t>W</w:t>
            </w:r>
            <w:r>
              <w:rPr>
                <w:rFonts w:ascii="Tahoma" w:hAnsi="Tahoma" w:cs="Tahoma"/>
                <w:sz w:val="20"/>
                <w:szCs w:val="20"/>
              </w:rPr>
              <w:t>ales</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245,747</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270,467</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201,952</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181,811</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Greater Melbourne</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251,007</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336,800</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305,542</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669,117</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Balance of Vic</w:t>
            </w:r>
            <w:r>
              <w:rPr>
                <w:rFonts w:ascii="Tahoma" w:hAnsi="Tahoma" w:cs="Tahoma"/>
                <w:sz w:val="20"/>
                <w:szCs w:val="20"/>
              </w:rPr>
              <w:t>toria</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94,558</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136,656</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37,700</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105,085</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Greater Brisbane</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196,805</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257,068</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281,783</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453,880</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Balance of Q</w:t>
            </w:r>
            <w:r>
              <w:rPr>
                <w:rFonts w:ascii="Tahoma" w:hAnsi="Tahoma" w:cs="Tahoma"/>
                <w:sz w:val="20"/>
                <w:szCs w:val="20"/>
              </w:rPr>
              <w:t>ueensland</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296,918</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358,675</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328,735</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451,429</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Greater Adelaide</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95,995</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113,630</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54,481</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116,085</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Balance of S</w:t>
            </w:r>
            <w:r>
              <w:rPr>
                <w:rFonts w:ascii="Tahoma" w:hAnsi="Tahoma" w:cs="Tahoma"/>
                <w:sz w:val="20"/>
                <w:szCs w:val="20"/>
              </w:rPr>
              <w:t xml:space="preserve">outh </w:t>
            </w:r>
            <w:r w:rsidRPr="00850DB0">
              <w:rPr>
                <w:rFonts w:ascii="Tahoma" w:hAnsi="Tahoma" w:cs="Tahoma"/>
                <w:sz w:val="20"/>
                <w:szCs w:val="20"/>
              </w:rPr>
              <w:t>A</w:t>
            </w:r>
            <w:r>
              <w:rPr>
                <w:rFonts w:ascii="Tahoma" w:hAnsi="Tahoma" w:cs="Tahoma"/>
                <w:sz w:val="20"/>
                <w:szCs w:val="20"/>
              </w:rPr>
              <w:t>ustralia</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22,660</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13,900</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2,681</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20,068</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Greater Perth</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196,879</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284,636</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229,246</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378,206</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Balance of W</w:t>
            </w:r>
            <w:r>
              <w:rPr>
                <w:rFonts w:ascii="Tahoma" w:hAnsi="Tahoma" w:cs="Tahoma"/>
                <w:sz w:val="20"/>
                <w:szCs w:val="20"/>
              </w:rPr>
              <w:t xml:space="preserve">estern </w:t>
            </w:r>
            <w:r w:rsidRPr="00850DB0">
              <w:rPr>
                <w:rFonts w:ascii="Tahoma" w:hAnsi="Tahoma" w:cs="Tahoma"/>
                <w:sz w:val="20"/>
                <w:szCs w:val="20"/>
              </w:rPr>
              <w:t>A</w:t>
            </w:r>
            <w:r>
              <w:rPr>
                <w:rFonts w:ascii="Tahoma" w:hAnsi="Tahoma" w:cs="Tahoma"/>
                <w:sz w:val="20"/>
                <w:szCs w:val="20"/>
              </w:rPr>
              <w:t>ustralia</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49,343</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51,375</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40,961</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68,929</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Greater Hobart</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17,020</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17,528</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5,755</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18,870</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Balance of Tas</w:t>
            </w:r>
            <w:r>
              <w:rPr>
                <w:rFonts w:ascii="Tahoma" w:hAnsi="Tahoma" w:cs="Tahoma"/>
                <w:sz w:val="20"/>
                <w:szCs w:val="20"/>
              </w:rPr>
              <w:t>mania</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12,131</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22,050</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1,111</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18,945</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Greater Darwin</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23,078</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24,336</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21,866</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20,826</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Balance of N</w:t>
            </w:r>
            <w:r>
              <w:rPr>
                <w:rFonts w:ascii="Tahoma" w:hAnsi="Tahoma" w:cs="Tahoma"/>
                <w:sz w:val="20"/>
                <w:szCs w:val="20"/>
              </w:rPr>
              <w:t xml:space="preserve">orthern </w:t>
            </w:r>
            <w:r w:rsidRPr="00850DB0">
              <w:rPr>
                <w:rFonts w:ascii="Tahoma" w:hAnsi="Tahoma" w:cs="Tahoma"/>
                <w:sz w:val="20"/>
                <w:szCs w:val="20"/>
              </w:rPr>
              <w:t>T</w:t>
            </w:r>
            <w:r>
              <w:rPr>
                <w:rFonts w:ascii="Tahoma" w:hAnsi="Tahoma" w:cs="Tahoma"/>
                <w:sz w:val="20"/>
                <w:szCs w:val="20"/>
              </w:rPr>
              <w:t>erritory</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13,803</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18,541</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14,384</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8,723</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sz w:val="20"/>
                <w:szCs w:val="20"/>
              </w:rPr>
            </w:pPr>
            <w:r w:rsidRPr="00850DB0">
              <w:rPr>
                <w:rFonts w:ascii="Tahoma" w:hAnsi="Tahoma" w:cs="Tahoma"/>
                <w:sz w:val="20"/>
                <w:szCs w:val="20"/>
              </w:rPr>
              <w:t>Australian Capital Territory</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75,652</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61,765</w:t>
            </w:r>
          </w:p>
        </w:tc>
        <w:tc>
          <w:tcPr>
            <w:tcW w:w="1779"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32,952</w:t>
            </w:r>
          </w:p>
        </w:tc>
        <w:tc>
          <w:tcPr>
            <w:tcW w:w="1780" w:type="dxa"/>
            <w:tcMar>
              <w:right w:w="510" w:type="dxa"/>
            </w:tcMar>
            <w:vAlign w:val="bottom"/>
          </w:tcPr>
          <w:p w:rsidR="00CF5CFC" w:rsidRPr="00850DB0" w:rsidRDefault="00CF5CFC" w:rsidP="00CF5CFC">
            <w:pPr>
              <w:jc w:val="right"/>
              <w:rPr>
                <w:rFonts w:ascii="Tahoma" w:hAnsi="Tahoma" w:cs="Tahoma"/>
                <w:sz w:val="20"/>
                <w:szCs w:val="20"/>
              </w:rPr>
            </w:pPr>
            <w:r w:rsidRPr="00850DB0">
              <w:rPr>
                <w:rFonts w:ascii="Tahoma" w:hAnsi="Tahoma" w:cs="Tahoma"/>
                <w:sz w:val="20"/>
                <w:szCs w:val="20"/>
              </w:rPr>
              <w:t>46,447</w:t>
            </w:r>
          </w:p>
        </w:tc>
      </w:tr>
      <w:tr w:rsidR="00CC6F2B" w:rsidRPr="00850DB0" w:rsidTr="00CF5CFC">
        <w:trPr>
          <w:trHeight w:val="249"/>
        </w:trPr>
        <w:tc>
          <w:tcPr>
            <w:tcW w:w="3368" w:type="dxa"/>
            <w:vAlign w:val="bottom"/>
          </w:tcPr>
          <w:p w:rsidR="00CC6F2B" w:rsidRPr="00850DB0" w:rsidRDefault="00CC6F2B" w:rsidP="00CF5CFC">
            <w:pPr>
              <w:ind w:right="-336"/>
              <w:rPr>
                <w:rFonts w:ascii="Tahoma" w:hAnsi="Tahoma" w:cs="Tahoma"/>
                <w:sz w:val="20"/>
                <w:szCs w:val="20"/>
              </w:rPr>
            </w:pPr>
            <w:r>
              <w:rPr>
                <w:rFonts w:ascii="Tahoma" w:hAnsi="Tahoma" w:cs="Tahoma"/>
                <w:sz w:val="20"/>
                <w:szCs w:val="20"/>
              </w:rPr>
              <w:t>Other Territories</w:t>
            </w:r>
          </w:p>
        </w:tc>
        <w:tc>
          <w:tcPr>
            <w:tcW w:w="1779" w:type="dxa"/>
            <w:tcMar>
              <w:right w:w="510" w:type="dxa"/>
            </w:tcMar>
            <w:vAlign w:val="bottom"/>
          </w:tcPr>
          <w:p w:rsidR="00CC6F2B" w:rsidRPr="00850DB0" w:rsidRDefault="00CC6F2B" w:rsidP="00CF5CFC">
            <w:pPr>
              <w:jc w:val="right"/>
              <w:rPr>
                <w:rFonts w:ascii="Tahoma" w:hAnsi="Tahoma" w:cs="Tahoma"/>
                <w:sz w:val="20"/>
                <w:szCs w:val="20"/>
              </w:rPr>
            </w:pPr>
            <w:r>
              <w:rPr>
                <w:rFonts w:ascii="Tahoma" w:hAnsi="Tahoma" w:cs="Tahoma"/>
                <w:sz w:val="20"/>
                <w:szCs w:val="20"/>
              </w:rPr>
              <w:t>760</w:t>
            </w:r>
          </w:p>
        </w:tc>
        <w:tc>
          <w:tcPr>
            <w:tcW w:w="1779" w:type="dxa"/>
            <w:tcMar>
              <w:right w:w="510" w:type="dxa"/>
            </w:tcMar>
            <w:vAlign w:val="bottom"/>
          </w:tcPr>
          <w:p w:rsidR="00CC6F2B" w:rsidRPr="00850DB0" w:rsidRDefault="00CC6F2B" w:rsidP="00CF5CFC">
            <w:pPr>
              <w:jc w:val="right"/>
              <w:rPr>
                <w:rFonts w:ascii="Tahoma" w:hAnsi="Tahoma" w:cs="Tahoma"/>
                <w:sz w:val="20"/>
                <w:szCs w:val="20"/>
              </w:rPr>
            </w:pPr>
            <w:r>
              <w:rPr>
                <w:rFonts w:ascii="Tahoma" w:hAnsi="Tahoma" w:cs="Tahoma"/>
                <w:sz w:val="20"/>
                <w:szCs w:val="20"/>
              </w:rPr>
              <w:t>-26</w:t>
            </w:r>
          </w:p>
        </w:tc>
        <w:tc>
          <w:tcPr>
            <w:tcW w:w="1779" w:type="dxa"/>
            <w:tcMar>
              <w:right w:w="510" w:type="dxa"/>
            </w:tcMar>
            <w:vAlign w:val="bottom"/>
          </w:tcPr>
          <w:p w:rsidR="00CC6F2B" w:rsidRPr="00850DB0" w:rsidRDefault="00CC6F2B" w:rsidP="00CF5CFC">
            <w:pPr>
              <w:jc w:val="right"/>
              <w:rPr>
                <w:rFonts w:ascii="Tahoma" w:hAnsi="Tahoma" w:cs="Tahoma"/>
                <w:sz w:val="20"/>
                <w:szCs w:val="20"/>
              </w:rPr>
            </w:pPr>
            <w:r>
              <w:rPr>
                <w:rFonts w:ascii="Tahoma" w:hAnsi="Tahoma" w:cs="Tahoma"/>
                <w:sz w:val="20"/>
                <w:szCs w:val="20"/>
              </w:rPr>
              <w:t>1,850</w:t>
            </w:r>
          </w:p>
        </w:tc>
        <w:tc>
          <w:tcPr>
            <w:tcW w:w="1780" w:type="dxa"/>
            <w:tcMar>
              <w:right w:w="510" w:type="dxa"/>
            </w:tcMar>
            <w:vAlign w:val="bottom"/>
          </w:tcPr>
          <w:p w:rsidR="00CC6F2B" w:rsidRPr="00850DB0" w:rsidRDefault="00CC6F2B" w:rsidP="00CF5CFC">
            <w:pPr>
              <w:jc w:val="right"/>
              <w:rPr>
                <w:rFonts w:ascii="Tahoma" w:hAnsi="Tahoma" w:cs="Tahoma"/>
                <w:sz w:val="20"/>
                <w:szCs w:val="20"/>
              </w:rPr>
            </w:pPr>
            <w:r>
              <w:rPr>
                <w:rFonts w:ascii="Tahoma" w:hAnsi="Tahoma" w:cs="Tahoma"/>
                <w:sz w:val="20"/>
                <w:szCs w:val="20"/>
              </w:rPr>
              <w:t>533</w:t>
            </w:r>
          </w:p>
        </w:tc>
      </w:tr>
      <w:tr w:rsidR="00CF5CFC" w:rsidRPr="00850DB0" w:rsidTr="00CF5CFC">
        <w:trPr>
          <w:trHeight w:val="249"/>
        </w:trPr>
        <w:tc>
          <w:tcPr>
            <w:tcW w:w="3368" w:type="dxa"/>
            <w:vAlign w:val="bottom"/>
          </w:tcPr>
          <w:p w:rsidR="00CF5CFC" w:rsidRPr="00850DB0" w:rsidRDefault="00CF5CFC" w:rsidP="00CF5CFC">
            <w:pPr>
              <w:ind w:right="-336"/>
              <w:rPr>
                <w:rFonts w:ascii="Tahoma" w:hAnsi="Tahoma" w:cs="Tahoma"/>
                <w:b/>
                <w:sz w:val="20"/>
                <w:szCs w:val="20"/>
              </w:rPr>
            </w:pPr>
            <w:r w:rsidRPr="00850DB0">
              <w:rPr>
                <w:rFonts w:ascii="Tahoma" w:hAnsi="Tahoma" w:cs="Tahoma"/>
                <w:b/>
                <w:sz w:val="20"/>
                <w:szCs w:val="20"/>
              </w:rPr>
              <w:t>AUSTRALIA</w:t>
            </w:r>
          </w:p>
        </w:tc>
        <w:tc>
          <w:tcPr>
            <w:tcW w:w="1779" w:type="dxa"/>
            <w:tcMar>
              <w:right w:w="85" w:type="dxa"/>
            </w:tcMar>
            <w:vAlign w:val="bottom"/>
          </w:tcPr>
          <w:p w:rsidR="00CF5CFC" w:rsidRPr="00850DB0" w:rsidRDefault="00CF5CFC" w:rsidP="00CC6F2B">
            <w:pPr>
              <w:jc w:val="center"/>
              <w:rPr>
                <w:rFonts w:ascii="Tahoma" w:hAnsi="Tahoma" w:cs="Tahoma"/>
                <w:b/>
                <w:sz w:val="20"/>
                <w:szCs w:val="20"/>
              </w:rPr>
            </w:pPr>
            <w:r w:rsidRPr="00850DB0">
              <w:rPr>
                <w:rFonts w:ascii="Tahoma" w:hAnsi="Tahoma" w:cs="Tahoma"/>
                <w:b/>
                <w:sz w:val="20"/>
                <w:szCs w:val="20"/>
              </w:rPr>
              <w:t>1,855,</w:t>
            </w:r>
            <w:r w:rsidR="00CC6F2B">
              <w:rPr>
                <w:rFonts w:ascii="Tahoma" w:hAnsi="Tahoma" w:cs="Tahoma"/>
                <w:b/>
                <w:sz w:val="20"/>
                <w:szCs w:val="20"/>
              </w:rPr>
              <w:t>99</w:t>
            </w:r>
            <w:r w:rsidRPr="00850DB0">
              <w:rPr>
                <w:rFonts w:ascii="Tahoma" w:hAnsi="Tahoma" w:cs="Tahoma"/>
                <w:b/>
                <w:sz w:val="20"/>
                <w:szCs w:val="20"/>
              </w:rPr>
              <w:t>5</w:t>
            </w:r>
          </w:p>
        </w:tc>
        <w:tc>
          <w:tcPr>
            <w:tcW w:w="1779" w:type="dxa"/>
            <w:tcMar>
              <w:right w:w="85" w:type="dxa"/>
            </w:tcMar>
            <w:vAlign w:val="bottom"/>
          </w:tcPr>
          <w:p w:rsidR="00CF5CFC" w:rsidRPr="00850DB0" w:rsidRDefault="00CF5CFC" w:rsidP="00CC6F2B">
            <w:pPr>
              <w:jc w:val="center"/>
              <w:rPr>
                <w:rFonts w:ascii="Tahoma" w:hAnsi="Tahoma" w:cs="Tahoma"/>
                <w:b/>
                <w:sz w:val="20"/>
                <w:szCs w:val="20"/>
              </w:rPr>
            </w:pPr>
            <w:r w:rsidRPr="00850DB0">
              <w:rPr>
                <w:rFonts w:ascii="Tahoma" w:hAnsi="Tahoma" w:cs="Tahoma"/>
                <w:b/>
                <w:sz w:val="20"/>
                <w:szCs w:val="20"/>
              </w:rPr>
              <w:t>2,360,</w:t>
            </w:r>
            <w:r w:rsidR="00CC6F2B">
              <w:rPr>
                <w:rFonts w:ascii="Tahoma" w:hAnsi="Tahoma" w:cs="Tahoma"/>
                <w:b/>
                <w:sz w:val="20"/>
                <w:szCs w:val="20"/>
              </w:rPr>
              <w:t>776</w:t>
            </w:r>
          </w:p>
        </w:tc>
        <w:tc>
          <w:tcPr>
            <w:tcW w:w="1779" w:type="dxa"/>
            <w:tcMar>
              <w:right w:w="85" w:type="dxa"/>
            </w:tcMar>
            <w:vAlign w:val="bottom"/>
          </w:tcPr>
          <w:p w:rsidR="00CF5CFC" w:rsidRPr="00850DB0" w:rsidRDefault="00CF5CFC" w:rsidP="00CC6F2B">
            <w:pPr>
              <w:jc w:val="center"/>
              <w:rPr>
                <w:rFonts w:ascii="Tahoma" w:hAnsi="Tahoma" w:cs="Tahoma"/>
                <w:b/>
                <w:sz w:val="20"/>
                <w:szCs w:val="20"/>
              </w:rPr>
            </w:pPr>
            <w:r w:rsidRPr="00850DB0">
              <w:rPr>
                <w:rFonts w:ascii="Tahoma" w:hAnsi="Tahoma" w:cs="Tahoma"/>
                <w:b/>
                <w:sz w:val="20"/>
                <w:szCs w:val="20"/>
              </w:rPr>
              <w:t>1,9</w:t>
            </w:r>
            <w:r w:rsidR="00CC6F2B">
              <w:rPr>
                <w:rFonts w:ascii="Tahoma" w:hAnsi="Tahoma" w:cs="Tahoma"/>
                <w:b/>
                <w:sz w:val="20"/>
                <w:szCs w:val="20"/>
              </w:rPr>
              <w:t>90</w:t>
            </w:r>
            <w:r w:rsidRPr="00850DB0">
              <w:rPr>
                <w:rFonts w:ascii="Tahoma" w:hAnsi="Tahoma" w:cs="Tahoma"/>
                <w:b/>
                <w:sz w:val="20"/>
                <w:szCs w:val="20"/>
              </w:rPr>
              <w:t>,</w:t>
            </w:r>
            <w:r w:rsidR="00CC6F2B">
              <w:rPr>
                <w:rFonts w:ascii="Tahoma" w:hAnsi="Tahoma" w:cs="Tahoma"/>
                <w:b/>
                <w:sz w:val="20"/>
                <w:szCs w:val="20"/>
              </w:rPr>
              <w:t>665</w:t>
            </w:r>
          </w:p>
        </w:tc>
        <w:tc>
          <w:tcPr>
            <w:tcW w:w="1780" w:type="dxa"/>
            <w:tcMar>
              <w:right w:w="85" w:type="dxa"/>
            </w:tcMar>
            <w:vAlign w:val="bottom"/>
          </w:tcPr>
          <w:p w:rsidR="00CF5CFC" w:rsidRPr="00850DB0" w:rsidRDefault="00CF5CFC" w:rsidP="00CC6F2B">
            <w:pPr>
              <w:jc w:val="center"/>
              <w:rPr>
                <w:rFonts w:ascii="Tahoma" w:hAnsi="Tahoma" w:cs="Tahoma"/>
                <w:b/>
                <w:sz w:val="20"/>
                <w:szCs w:val="20"/>
              </w:rPr>
            </w:pPr>
            <w:r w:rsidRPr="00850DB0">
              <w:rPr>
                <w:rFonts w:ascii="Tahoma" w:hAnsi="Tahoma" w:cs="Tahoma"/>
                <w:b/>
                <w:sz w:val="20"/>
                <w:szCs w:val="20"/>
              </w:rPr>
              <w:t>3,06</w:t>
            </w:r>
            <w:r w:rsidR="00CC6F2B">
              <w:rPr>
                <w:rFonts w:ascii="Tahoma" w:hAnsi="Tahoma" w:cs="Tahoma"/>
                <w:b/>
                <w:sz w:val="20"/>
                <w:szCs w:val="20"/>
              </w:rPr>
              <w:t>5</w:t>
            </w:r>
            <w:r w:rsidRPr="00850DB0">
              <w:rPr>
                <w:rFonts w:ascii="Tahoma" w:hAnsi="Tahoma" w:cs="Tahoma"/>
                <w:b/>
                <w:sz w:val="20"/>
                <w:szCs w:val="20"/>
              </w:rPr>
              <w:t>,</w:t>
            </w:r>
            <w:r w:rsidR="00CC6F2B">
              <w:rPr>
                <w:rFonts w:ascii="Tahoma" w:hAnsi="Tahoma" w:cs="Tahoma"/>
                <w:b/>
                <w:sz w:val="20"/>
                <w:szCs w:val="20"/>
              </w:rPr>
              <w:t>323</w:t>
            </w:r>
          </w:p>
        </w:tc>
      </w:tr>
    </w:tbl>
    <w:p w:rsidR="00CF5CFC" w:rsidRPr="003478D0" w:rsidRDefault="00CF5CFC" w:rsidP="00CF5CFC">
      <w:pPr>
        <w:rPr>
          <w:rFonts w:ascii="Tahoma" w:hAnsi="Tahoma" w:cs="Tahoma"/>
          <w:sz w:val="20"/>
          <w:szCs w:val="24"/>
        </w:rPr>
      </w:pPr>
      <w:r w:rsidRPr="003478D0">
        <w:rPr>
          <w:rFonts w:ascii="Tahoma" w:eastAsia="Times New Roman" w:hAnsi="Tahoma" w:cs="Tahoma"/>
          <w:sz w:val="16"/>
          <w:szCs w:val="24"/>
          <w:lang w:eastAsia="en-AU"/>
        </w:rPr>
        <w:t>Source: ABS. Regional Population Growth, Australia, 2012 (cat. no. 3218.0)</w:t>
      </w:r>
    </w:p>
    <w:p w:rsidR="00CF5CFC" w:rsidRDefault="00A66284" w:rsidP="00D7503C">
      <w:pPr>
        <w:rPr>
          <w:rFonts w:ascii="Tahoma" w:eastAsia="Times New Roman" w:hAnsi="Tahoma" w:cs="Tahoma"/>
          <w:sz w:val="20"/>
          <w:szCs w:val="24"/>
          <w:lang w:eastAsia="en-AU"/>
        </w:rPr>
      </w:pPr>
      <w:r>
        <w:rPr>
          <w:rStyle w:val="A7"/>
          <w:rFonts w:ascii="Tahoma" w:hAnsi="Tahoma" w:cs="Tahoma"/>
          <w:color w:val="00B5AF"/>
          <w:sz w:val="32"/>
        </w:rPr>
        <w:t>Urbanisation</w:t>
      </w:r>
    </w:p>
    <w:p w:rsidR="00CF5CFC" w:rsidRDefault="00CF5CFC">
      <w:pPr>
        <w:rPr>
          <w:rStyle w:val="A7"/>
          <w:rFonts w:ascii="Tahoma" w:hAnsi="Tahoma" w:cs="Tahoma"/>
          <w:color w:val="00B5AF"/>
          <w:sz w:val="32"/>
        </w:rPr>
        <w:sectPr w:rsidR="00CF5CFC" w:rsidSect="00CF5CFC">
          <w:type w:val="continuous"/>
          <w:pgSz w:w="11906" w:h="16838"/>
          <w:pgMar w:top="993" w:right="707" w:bottom="993" w:left="851" w:header="708" w:footer="708" w:gutter="0"/>
          <w:cols w:space="708"/>
          <w:titlePg/>
          <w:docGrid w:linePitch="360"/>
        </w:sectPr>
      </w:pPr>
    </w:p>
    <w:p w:rsidR="00FF156F" w:rsidRPr="00AC1609" w:rsidRDefault="001B39A2" w:rsidP="002E0FDD">
      <w:pPr>
        <w:pStyle w:val="Default"/>
        <w:numPr>
          <w:ilvl w:val="0"/>
          <w:numId w:val="8"/>
        </w:numPr>
        <w:spacing w:after="100"/>
        <w:ind w:left="426" w:hanging="426"/>
        <w:rPr>
          <w:rFonts w:ascii="Tahoma" w:hAnsi="Tahoma" w:cs="Tahoma"/>
          <w:color w:val="221E1F"/>
          <w:sz w:val="20"/>
          <w:szCs w:val="20"/>
        </w:rPr>
      </w:pPr>
      <w:r w:rsidRPr="001B39A2">
        <w:rPr>
          <w:rFonts w:ascii="Tahoma" w:hAnsi="Tahoma" w:cs="Tahoma"/>
          <w:color w:val="221E1F"/>
          <w:sz w:val="20"/>
          <w:szCs w:val="20"/>
        </w:rPr>
        <w:lastRenderedPageBreak/>
        <w:t>The proportion of population growth occurring in capital cities steadily increased between 1971 and 2011 - from 60 per cent between 1971 and 1981 to 72 per cent between 2001 and 2011.</w:t>
      </w:r>
      <w:r w:rsidR="00FF156F" w:rsidRPr="00AC1609">
        <w:rPr>
          <w:rFonts w:ascii="Tahoma" w:hAnsi="Tahoma" w:cs="Tahoma"/>
          <w:color w:val="221E1F"/>
          <w:sz w:val="20"/>
          <w:szCs w:val="20"/>
        </w:rPr>
        <w:t xml:space="preserve"> </w:t>
      </w:r>
    </w:p>
    <w:p w:rsidR="007F4758" w:rsidRDefault="007F4758" w:rsidP="007F4758">
      <w:pPr>
        <w:pStyle w:val="Default"/>
        <w:numPr>
          <w:ilvl w:val="0"/>
          <w:numId w:val="8"/>
        </w:numPr>
        <w:spacing w:after="100"/>
        <w:ind w:left="426" w:hanging="426"/>
        <w:rPr>
          <w:rFonts w:ascii="Tahoma" w:hAnsi="Tahoma" w:cs="Tahoma"/>
          <w:color w:val="221E1F"/>
          <w:sz w:val="20"/>
          <w:szCs w:val="20"/>
        </w:rPr>
      </w:pPr>
      <w:r>
        <w:rPr>
          <w:rFonts w:ascii="Tahoma" w:hAnsi="Tahoma" w:cs="Tahoma"/>
          <w:color w:val="221E1F"/>
          <w:sz w:val="20"/>
          <w:szCs w:val="20"/>
        </w:rPr>
        <w:t xml:space="preserve">Except Brisbane, all capital cities increased their share of state population. In 2011, 66 per cent of Australia’s population lived in the 8 </w:t>
      </w:r>
      <w:proofErr w:type="gramStart"/>
      <w:r>
        <w:rPr>
          <w:rFonts w:ascii="Tahoma" w:hAnsi="Tahoma" w:cs="Tahoma"/>
          <w:color w:val="221E1F"/>
          <w:sz w:val="20"/>
          <w:szCs w:val="20"/>
        </w:rPr>
        <w:t>state</w:t>
      </w:r>
      <w:proofErr w:type="gramEnd"/>
      <w:r>
        <w:rPr>
          <w:rFonts w:ascii="Tahoma" w:hAnsi="Tahoma" w:cs="Tahoma"/>
          <w:color w:val="221E1F"/>
          <w:sz w:val="20"/>
          <w:szCs w:val="20"/>
        </w:rPr>
        <w:t xml:space="preserve"> and territory capital cities.</w:t>
      </w:r>
      <w:r w:rsidRPr="009140E2">
        <w:rPr>
          <w:rFonts w:ascii="Tahoma" w:hAnsi="Tahoma" w:cs="Tahoma"/>
          <w:color w:val="221E1F"/>
          <w:sz w:val="20"/>
          <w:szCs w:val="20"/>
        </w:rPr>
        <w:t xml:space="preserve">  </w:t>
      </w:r>
    </w:p>
    <w:p w:rsidR="009140E2" w:rsidRPr="007F4758" w:rsidRDefault="007F4758" w:rsidP="002E0FDD">
      <w:pPr>
        <w:pStyle w:val="Default"/>
        <w:numPr>
          <w:ilvl w:val="0"/>
          <w:numId w:val="8"/>
        </w:numPr>
        <w:spacing w:after="100"/>
        <w:ind w:left="426" w:hanging="426"/>
        <w:rPr>
          <w:rFonts w:ascii="Tahoma" w:hAnsi="Tahoma" w:cs="Tahoma"/>
          <w:color w:val="221E1F"/>
          <w:sz w:val="20"/>
          <w:szCs w:val="20"/>
        </w:rPr>
      </w:pPr>
      <w:r w:rsidRPr="007F4758">
        <w:rPr>
          <w:rFonts w:ascii="Tahoma" w:hAnsi="Tahoma" w:cs="Tahoma"/>
          <w:color w:val="221E1F"/>
          <w:sz w:val="20"/>
          <w:szCs w:val="20"/>
        </w:rPr>
        <w:br w:type="column"/>
      </w:r>
      <w:r w:rsidR="001B39A2" w:rsidRPr="007F4758">
        <w:rPr>
          <w:rFonts w:ascii="Tahoma" w:hAnsi="Tahoma" w:cs="Tahoma"/>
          <w:color w:val="221E1F"/>
          <w:sz w:val="20"/>
          <w:szCs w:val="20"/>
        </w:rPr>
        <w:lastRenderedPageBreak/>
        <w:t xml:space="preserve">Between 2001 and 2011, all state capitals grew at a faster rate than the remainder of their states. (Table 3 and Figure </w:t>
      </w:r>
      <w:r w:rsidR="00623F3B" w:rsidRPr="007F4758">
        <w:rPr>
          <w:rFonts w:ascii="Tahoma" w:hAnsi="Tahoma" w:cs="Tahoma"/>
          <w:color w:val="221E1F"/>
          <w:sz w:val="20"/>
          <w:szCs w:val="20"/>
        </w:rPr>
        <w:t>2</w:t>
      </w:r>
      <w:r w:rsidR="001B39A2" w:rsidRPr="007F4758">
        <w:rPr>
          <w:rFonts w:ascii="Tahoma" w:hAnsi="Tahoma" w:cs="Tahoma"/>
          <w:color w:val="221E1F"/>
          <w:sz w:val="20"/>
          <w:szCs w:val="20"/>
        </w:rPr>
        <w:t>)</w:t>
      </w:r>
      <w:r>
        <w:rPr>
          <w:rFonts w:ascii="Tahoma" w:hAnsi="Tahoma" w:cs="Tahoma"/>
          <w:color w:val="221E1F"/>
          <w:sz w:val="20"/>
          <w:szCs w:val="20"/>
        </w:rPr>
        <w:t>.</w:t>
      </w:r>
      <w:r w:rsidR="001B39A2" w:rsidRPr="007F4758">
        <w:rPr>
          <w:rFonts w:ascii="Tahoma" w:hAnsi="Tahoma" w:cs="Tahoma"/>
          <w:color w:val="221E1F"/>
          <w:sz w:val="20"/>
          <w:szCs w:val="20"/>
        </w:rPr>
        <w:t xml:space="preserve">  For the whole period between 1971 and 2011, only Greater Brisbane did not grow</w:t>
      </w:r>
      <w:r>
        <w:rPr>
          <w:rFonts w:ascii="Tahoma" w:hAnsi="Tahoma" w:cs="Tahoma"/>
          <w:color w:val="221E1F"/>
          <w:sz w:val="20"/>
          <w:szCs w:val="20"/>
        </w:rPr>
        <w:t xml:space="preserve"> as fast as the balance of its state. The growth in the b</w:t>
      </w:r>
      <w:r w:rsidR="001B39A2" w:rsidRPr="007F4758">
        <w:rPr>
          <w:rFonts w:ascii="Tahoma" w:hAnsi="Tahoma" w:cs="Tahoma"/>
          <w:color w:val="221E1F"/>
          <w:sz w:val="20"/>
          <w:szCs w:val="20"/>
        </w:rPr>
        <w:t>alance of Queensland was due to the Gold Coast and Sunshine Coast, which are contiguous to Brisbane</w:t>
      </w:r>
      <w:r w:rsidR="009140E2" w:rsidRPr="007F4758">
        <w:rPr>
          <w:rFonts w:ascii="Tahoma" w:hAnsi="Tahoma" w:cs="Tahoma"/>
          <w:color w:val="221E1F"/>
          <w:sz w:val="20"/>
          <w:szCs w:val="20"/>
        </w:rPr>
        <w:t>.</w:t>
      </w:r>
    </w:p>
    <w:p w:rsidR="00CF5CFC" w:rsidRPr="009140E2" w:rsidRDefault="00CF5CFC" w:rsidP="00CF5CFC">
      <w:pPr>
        <w:pStyle w:val="Default"/>
        <w:spacing w:after="100"/>
        <w:rPr>
          <w:rFonts w:ascii="Tahoma" w:hAnsi="Tahoma" w:cs="Tahoma"/>
          <w:color w:val="221E1F"/>
          <w:sz w:val="20"/>
          <w:szCs w:val="20"/>
        </w:rPr>
      </w:pPr>
    </w:p>
    <w:p w:rsidR="009637E2" w:rsidRDefault="009637E2" w:rsidP="009975AD">
      <w:pPr>
        <w:pStyle w:val="Default"/>
        <w:numPr>
          <w:ilvl w:val="0"/>
          <w:numId w:val="8"/>
        </w:numPr>
        <w:spacing w:after="100"/>
        <w:ind w:left="567" w:hanging="567"/>
        <w:rPr>
          <w:rFonts w:ascii="Tahoma" w:hAnsi="Tahoma" w:cs="Tahoma"/>
          <w:color w:val="221E1F"/>
          <w:sz w:val="20"/>
          <w:szCs w:val="20"/>
        </w:rPr>
        <w:sectPr w:rsidR="009637E2" w:rsidSect="009140E2">
          <w:type w:val="continuous"/>
          <w:pgSz w:w="11906" w:h="16838"/>
          <w:pgMar w:top="993" w:right="707" w:bottom="993" w:left="851" w:header="708" w:footer="708" w:gutter="0"/>
          <w:cols w:num="2" w:space="708"/>
          <w:titlePg/>
          <w:docGrid w:linePitch="360"/>
        </w:sectPr>
      </w:pPr>
    </w:p>
    <w:p w:rsidR="009637E2" w:rsidRPr="009219EC" w:rsidRDefault="007F4758" w:rsidP="00E31E0D">
      <w:pPr>
        <w:pStyle w:val="Default"/>
        <w:spacing w:after="60"/>
        <w:ind w:left="284" w:hanging="284"/>
        <w:rPr>
          <w:rFonts w:ascii="Tahoma" w:hAnsi="Tahoma" w:cs="Tahoma"/>
          <w:b/>
          <w:color w:val="00B5AF"/>
          <w:sz w:val="20"/>
        </w:rPr>
      </w:pPr>
      <w:r>
        <w:rPr>
          <w:rFonts w:ascii="Tahoma" w:hAnsi="Tahoma" w:cs="Tahoma"/>
          <w:b/>
          <w:color w:val="00B5AF"/>
          <w:sz w:val="20"/>
        </w:rPr>
        <w:lastRenderedPageBreak/>
        <w:t>Table 3</w:t>
      </w:r>
      <w:r w:rsidR="009637E2" w:rsidRPr="009219EC">
        <w:rPr>
          <w:rFonts w:ascii="Tahoma" w:hAnsi="Tahoma" w:cs="Tahoma"/>
          <w:b/>
          <w:color w:val="00B5AF"/>
          <w:sz w:val="20"/>
        </w:rPr>
        <w:t xml:space="preserve"> Average annual population growth rates (%)</w:t>
      </w:r>
    </w:p>
    <w:tbl>
      <w:tblPr>
        <w:tblStyle w:val="TableGrid"/>
        <w:tblW w:w="10485" w:type="dxa"/>
        <w:tblBorders>
          <w:top w:val="single" w:sz="4" w:space="0" w:color="006F97"/>
          <w:left w:val="single" w:sz="4" w:space="0" w:color="006F97"/>
          <w:bottom w:val="single" w:sz="4" w:space="0" w:color="006F97"/>
          <w:right w:val="single" w:sz="4" w:space="0" w:color="006F97"/>
          <w:insideH w:val="single" w:sz="4" w:space="0" w:color="006F97"/>
          <w:insideV w:val="single" w:sz="4" w:space="0" w:color="006F97"/>
        </w:tblBorders>
        <w:tblLook w:val="04A0"/>
      </w:tblPr>
      <w:tblGrid>
        <w:gridCol w:w="3369"/>
        <w:gridCol w:w="1779"/>
        <w:gridCol w:w="1779"/>
        <w:gridCol w:w="1779"/>
        <w:gridCol w:w="1779"/>
      </w:tblGrid>
      <w:tr w:rsidR="009637E2" w:rsidRPr="00850DB0" w:rsidTr="009637E2">
        <w:trPr>
          <w:trHeight w:val="249"/>
        </w:trPr>
        <w:tc>
          <w:tcPr>
            <w:tcW w:w="3369" w:type="dxa"/>
            <w:shd w:val="clear" w:color="auto" w:fill="EAE8E7"/>
          </w:tcPr>
          <w:p w:rsidR="009637E2" w:rsidRPr="00850DB0" w:rsidRDefault="009637E2" w:rsidP="009637E2">
            <w:pPr>
              <w:rPr>
                <w:rFonts w:ascii="Tahoma" w:hAnsi="Tahoma" w:cs="Tahoma"/>
                <w:sz w:val="20"/>
                <w:szCs w:val="20"/>
              </w:rPr>
            </w:pPr>
          </w:p>
        </w:tc>
        <w:tc>
          <w:tcPr>
            <w:tcW w:w="1779" w:type="dxa"/>
            <w:shd w:val="clear" w:color="auto" w:fill="EAE8E7"/>
          </w:tcPr>
          <w:p w:rsidR="009637E2" w:rsidRPr="00850DB0" w:rsidRDefault="009637E2" w:rsidP="009637E2">
            <w:pPr>
              <w:jc w:val="center"/>
              <w:rPr>
                <w:rFonts w:ascii="Tahoma" w:hAnsi="Tahoma" w:cs="Tahoma"/>
                <w:b/>
                <w:sz w:val="20"/>
                <w:szCs w:val="20"/>
              </w:rPr>
            </w:pPr>
            <w:r w:rsidRPr="00850DB0">
              <w:rPr>
                <w:rFonts w:ascii="Tahoma" w:hAnsi="Tahoma" w:cs="Tahoma"/>
                <w:b/>
                <w:sz w:val="20"/>
                <w:szCs w:val="20"/>
              </w:rPr>
              <w:t>1971-1981</w:t>
            </w:r>
          </w:p>
        </w:tc>
        <w:tc>
          <w:tcPr>
            <w:tcW w:w="1779" w:type="dxa"/>
            <w:shd w:val="clear" w:color="auto" w:fill="EAE8E7"/>
          </w:tcPr>
          <w:p w:rsidR="009637E2" w:rsidRPr="00850DB0" w:rsidRDefault="009637E2" w:rsidP="009637E2">
            <w:pPr>
              <w:jc w:val="center"/>
              <w:rPr>
                <w:rFonts w:ascii="Tahoma" w:hAnsi="Tahoma" w:cs="Tahoma"/>
                <w:b/>
                <w:sz w:val="20"/>
                <w:szCs w:val="20"/>
              </w:rPr>
            </w:pPr>
            <w:r w:rsidRPr="00850DB0">
              <w:rPr>
                <w:rFonts w:ascii="Tahoma" w:hAnsi="Tahoma" w:cs="Tahoma"/>
                <w:b/>
                <w:sz w:val="20"/>
                <w:szCs w:val="20"/>
              </w:rPr>
              <w:t>1981-1991</w:t>
            </w:r>
          </w:p>
        </w:tc>
        <w:tc>
          <w:tcPr>
            <w:tcW w:w="1779" w:type="dxa"/>
            <w:shd w:val="clear" w:color="auto" w:fill="EAE8E7"/>
          </w:tcPr>
          <w:p w:rsidR="009637E2" w:rsidRPr="00850DB0" w:rsidRDefault="009637E2" w:rsidP="009637E2">
            <w:pPr>
              <w:jc w:val="center"/>
              <w:rPr>
                <w:rFonts w:ascii="Tahoma" w:hAnsi="Tahoma" w:cs="Tahoma"/>
                <w:b/>
                <w:sz w:val="20"/>
                <w:szCs w:val="20"/>
              </w:rPr>
            </w:pPr>
            <w:r w:rsidRPr="00850DB0">
              <w:rPr>
                <w:rFonts w:ascii="Tahoma" w:hAnsi="Tahoma" w:cs="Tahoma"/>
                <w:b/>
                <w:sz w:val="20"/>
                <w:szCs w:val="20"/>
              </w:rPr>
              <w:t>1991-2001</w:t>
            </w:r>
          </w:p>
        </w:tc>
        <w:tc>
          <w:tcPr>
            <w:tcW w:w="1779" w:type="dxa"/>
            <w:shd w:val="clear" w:color="auto" w:fill="EAE8E7"/>
          </w:tcPr>
          <w:p w:rsidR="009637E2" w:rsidRPr="00850DB0" w:rsidRDefault="009637E2" w:rsidP="009637E2">
            <w:pPr>
              <w:jc w:val="center"/>
              <w:rPr>
                <w:rFonts w:ascii="Tahoma" w:hAnsi="Tahoma" w:cs="Tahoma"/>
                <w:b/>
                <w:sz w:val="20"/>
                <w:szCs w:val="20"/>
              </w:rPr>
            </w:pPr>
            <w:r w:rsidRPr="00850DB0">
              <w:rPr>
                <w:rFonts w:ascii="Tahoma" w:hAnsi="Tahoma" w:cs="Tahoma"/>
                <w:b/>
                <w:sz w:val="20"/>
                <w:szCs w:val="20"/>
              </w:rPr>
              <w:t>2001-2011</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Sydney</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0.8</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1.1</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1.1</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1.2</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N</w:t>
            </w:r>
            <w:r>
              <w:rPr>
                <w:rFonts w:ascii="Tahoma" w:hAnsi="Tahoma" w:cs="Tahoma"/>
                <w:sz w:val="20"/>
                <w:szCs w:val="20"/>
              </w:rPr>
              <w:t xml:space="preserve">ew </w:t>
            </w:r>
            <w:r w:rsidRPr="00850DB0">
              <w:rPr>
                <w:rFonts w:ascii="Tahoma" w:hAnsi="Tahoma" w:cs="Tahoma"/>
                <w:sz w:val="20"/>
                <w:szCs w:val="20"/>
              </w:rPr>
              <w:t>S</w:t>
            </w:r>
            <w:r>
              <w:rPr>
                <w:rFonts w:ascii="Tahoma" w:hAnsi="Tahoma" w:cs="Tahoma"/>
                <w:sz w:val="20"/>
                <w:szCs w:val="20"/>
              </w:rPr>
              <w:t xml:space="preserve">outh </w:t>
            </w:r>
            <w:r w:rsidRPr="00850DB0">
              <w:rPr>
                <w:rFonts w:ascii="Tahoma" w:hAnsi="Tahoma" w:cs="Tahoma"/>
                <w:sz w:val="20"/>
                <w:szCs w:val="20"/>
              </w:rPr>
              <w:t>W</w:t>
            </w:r>
            <w:r>
              <w:rPr>
                <w:rFonts w:ascii="Tahoma" w:hAnsi="Tahoma" w:cs="Tahoma"/>
                <w:sz w:val="20"/>
                <w:szCs w:val="20"/>
              </w:rPr>
              <w:t>ales</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1.4</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1.3</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0.9</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0.7</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Melbourne</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0.9</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1.1</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0.9</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1.8</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Vic</w:t>
            </w:r>
            <w:r>
              <w:rPr>
                <w:rFonts w:ascii="Tahoma" w:hAnsi="Tahoma" w:cs="Tahoma"/>
                <w:sz w:val="20"/>
                <w:szCs w:val="20"/>
              </w:rPr>
              <w:t>toria</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0.9</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1.2</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0.3</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0.8</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Brisbane</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1.9</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2.0</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1.8</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2.4</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Q</w:t>
            </w:r>
            <w:r>
              <w:rPr>
                <w:rFonts w:ascii="Tahoma" w:hAnsi="Tahoma" w:cs="Tahoma"/>
                <w:sz w:val="20"/>
                <w:szCs w:val="20"/>
              </w:rPr>
              <w:t>ueensland</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2.9</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2.7</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1.9</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2.2</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Adelaide</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1.0</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1.1</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0.5</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1.0</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S</w:t>
            </w:r>
            <w:r>
              <w:rPr>
                <w:rFonts w:ascii="Tahoma" w:hAnsi="Tahoma" w:cs="Tahoma"/>
                <w:sz w:val="20"/>
                <w:szCs w:val="20"/>
              </w:rPr>
              <w:t xml:space="preserve">outh </w:t>
            </w:r>
            <w:r w:rsidRPr="00850DB0">
              <w:rPr>
                <w:rFonts w:ascii="Tahoma" w:hAnsi="Tahoma" w:cs="Tahoma"/>
                <w:sz w:val="20"/>
                <w:szCs w:val="20"/>
              </w:rPr>
              <w:t>A</w:t>
            </w:r>
            <w:r>
              <w:rPr>
                <w:rFonts w:ascii="Tahoma" w:hAnsi="Tahoma" w:cs="Tahoma"/>
                <w:sz w:val="20"/>
                <w:szCs w:val="20"/>
              </w:rPr>
              <w:t>ustralia</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0.7</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0.4</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0.1</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0.6</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Perth</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2.4</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2.7</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1.7</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2.3</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W</w:t>
            </w:r>
            <w:r>
              <w:rPr>
                <w:rFonts w:ascii="Tahoma" w:hAnsi="Tahoma" w:cs="Tahoma"/>
                <w:sz w:val="20"/>
                <w:szCs w:val="20"/>
              </w:rPr>
              <w:t xml:space="preserve">estern </w:t>
            </w:r>
            <w:r w:rsidRPr="00850DB0">
              <w:rPr>
                <w:rFonts w:ascii="Tahoma" w:hAnsi="Tahoma" w:cs="Tahoma"/>
                <w:sz w:val="20"/>
                <w:szCs w:val="20"/>
              </w:rPr>
              <w:t>A</w:t>
            </w:r>
            <w:r>
              <w:rPr>
                <w:rFonts w:ascii="Tahoma" w:hAnsi="Tahoma" w:cs="Tahoma"/>
                <w:sz w:val="20"/>
                <w:szCs w:val="20"/>
              </w:rPr>
              <w:t>ustralia</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1.5</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1.3</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1.0</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1.4</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Hobart</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1.0</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1.0</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0.3</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0.9</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Tas</w:t>
            </w:r>
            <w:r>
              <w:rPr>
                <w:rFonts w:ascii="Tahoma" w:hAnsi="Tahoma" w:cs="Tahoma"/>
                <w:sz w:val="20"/>
                <w:szCs w:val="20"/>
              </w:rPr>
              <w:t>mania</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0.5</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0.8</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0.0</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0.7</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Greater Darwin</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4.8</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3.4</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2.3</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1.8</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Balance of N</w:t>
            </w:r>
            <w:r>
              <w:rPr>
                <w:rFonts w:ascii="Tahoma" w:hAnsi="Tahoma" w:cs="Tahoma"/>
                <w:sz w:val="20"/>
                <w:szCs w:val="20"/>
              </w:rPr>
              <w:t xml:space="preserve">orthern </w:t>
            </w:r>
            <w:r w:rsidRPr="00850DB0">
              <w:rPr>
                <w:rFonts w:ascii="Tahoma" w:hAnsi="Tahoma" w:cs="Tahoma"/>
                <w:sz w:val="20"/>
                <w:szCs w:val="20"/>
              </w:rPr>
              <w:t>T</w:t>
            </w:r>
            <w:r>
              <w:rPr>
                <w:rFonts w:ascii="Tahoma" w:hAnsi="Tahoma" w:cs="Tahoma"/>
                <w:sz w:val="20"/>
                <w:szCs w:val="20"/>
              </w:rPr>
              <w:t>erritory</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2.6</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2.7</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1.7</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0.9</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sz w:val="20"/>
                <w:szCs w:val="20"/>
              </w:rPr>
            </w:pPr>
            <w:r w:rsidRPr="00850DB0">
              <w:rPr>
                <w:rFonts w:ascii="Tahoma" w:hAnsi="Tahoma" w:cs="Tahoma"/>
                <w:sz w:val="20"/>
                <w:szCs w:val="20"/>
              </w:rPr>
              <w:t>Australian Capital Territory</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4.1</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2.4</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1.1</w:t>
            </w:r>
          </w:p>
        </w:tc>
        <w:tc>
          <w:tcPr>
            <w:tcW w:w="1779" w:type="dxa"/>
            <w:vAlign w:val="bottom"/>
          </w:tcPr>
          <w:p w:rsidR="009637E2" w:rsidRPr="00D750D8" w:rsidRDefault="009637E2" w:rsidP="009637E2">
            <w:pPr>
              <w:jc w:val="center"/>
              <w:rPr>
                <w:rFonts w:ascii="Tahoma" w:hAnsi="Tahoma" w:cs="Tahoma"/>
                <w:color w:val="000000"/>
                <w:sz w:val="20"/>
                <w:szCs w:val="20"/>
              </w:rPr>
            </w:pPr>
            <w:r w:rsidRPr="00D750D8">
              <w:rPr>
                <w:rFonts w:ascii="Tahoma" w:hAnsi="Tahoma" w:cs="Tahoma"/>
                <w:color w:val="000000"/>
                <w:sz w:val="20"/>
                <w:szCs w:val="20"/>
              </w:rPr>
              <w:t>1.4</w:t>
            </w:r>
          </w:p>
        </w:tc>
      </w:tr>
      <w:tr w:rsidR="00CC6F2B" w:rsidRPr="00850DB0" w:rsidTr="009637E2">
        <w:trPr>
          <w:trHeight w:val="249"/>
        </w:trPr>
        <w:tc>
          <w:tcPr>
            <w:tcW w:w="3369" w:type="dxa"/>
            <w:vAlign w:val="bottom"/>
          </w:tcPr>
          <w:p w:rsidR="00CC6F2B" w:rsidRPr="00850DB0" w:rsidRDefault="00CC6F2B" w:rsidP="009637E2">
            <w:pPr>
              <w:rPr>
                <w:rFonts w:ascii="Tahoma" w:hAnsi="Tahoma" w:cs="Tahoma"/>
                <w:sz w:val="20"/>
                <w:szCs w:val="20"/>
              </w:rPr>
            </w:pPr>
            <w:r>
              <w:rPr>
                <w:rFonts w:ascii="Tahoma" w:hAnsi="Tahoma" w:cs="Tahoma"/>
                <w:sz w:val="20"/>
                <w:szCs w:val="20"/>
              </w:rPr>
              <w:t>Other Territories</w:t>
            </w:r>
          </w:p>
        </w:tc>
        <w:tc>
          <w:tcPr>
            <w:tcW w:w="1779" w:type="dxa"/>
            <w:vAlign w:val="bottom"/>
          </w:tcPr>
          <w:p w:rsidR="00CC6F2B" w:rsidRPr="00D750D8" w:rsidRDefault="00CC6F2B" w:rsidP="009637E2">
            <w:pPr>
              <w:jc w:val="center"/>
              <w:rPr>
                <w:rFonts w:ascii="Tahoma" w:hAnsi="Tahoma" w:cs="Tahoma"/>
                <w:color w:val="000000"/>
                <w:sz w:val="20"/>
                <w:szCs w:val="20"/>
              </w:rPr>
            </w:pPr>
            <w:r>
              <w:rPr>
                <w:rFonts w:ascii="Tahoma" w:hAnsi="Tahoma" w:cs="Tahoma"/>
                <w:color w:val="000000"/>
                <w:sz w:val="20"/>
                <w:szCs w:val="20"/>
              </w:rPr>
              <w:t>n/a</w:t>
            </w:r>
          </w:p>
        </w:tc>
        <w:tc>
          <w:tcPr>
            <w:tcW w:w="1779" w:type="dxa"/>
            <w:vAlign w:val="bottom"/>
          </w:tcPr>
          <w:p w:rsidR="00CC6F2B" w:rsidRPr="00D750D8" w:rsidRDefault="00CC6F2B" w:rsidP="009637E2">
            <w:pPr>
              <w:jc w:val="center"/>
              <w:rPr>
                <w:rFonts w:ascii="Tahoma" w:hAnsi="Tahoma" w:cs="Tahoma"/>
                <w:color w:val="000000"/>
                <w:sz w:val="20"/>
                <w:szCs w:val="20"/>
              </w:rPr>
            </w:pPr>
            <w:r>
              <w:rPr>
                <w:rFonts w:ascii="Tahoma" w:hAnsi="Tahoma" w:cs="Tahoma"/>
                <w:color w:val="000000"/>
                <w:sz w:val="20"/>
                <w:szCs w:val="20"/>
              </w:rPr>
              <w:t>-0.3</w:t>
            </w:r>
          </w:p>
        </w:tc>
        <w:tc>
          <w:tcPr>
            <w:tcW w:w="1779" w:type="dxa"/>
            <w:vAlign w:val="bottom"/>
          </w:tcPr>
          <w:p w:rsidR="00CC6F2B" w:rsidRPr="00D750D8" w:rsidRDefault="00CC6F2B" w:rsidP="009637E2">
            <w:pPr>
              <w:jc w:val="center"/>
              <w:rPr>
                <w:rFonts w:ascii="Tahoma" w:hAnsi="Tahoma" w:cs="Tahoma"/>
                <w:color w:val="000000"/>
                <w:sz w:val="20"/>
                <w:szCs w:val="20"/>
              </w:rPr>
            </w:pPr>
            <w:r>
              <w:rPr>
                <w:rFonts w:ascii="Tahoma" w:hAnsi="Tahoma" w:cs="Tahoma"/>
                <w:color w:val="000000"/>
                <w:sz w:val="20"/>
                <w:szCs w:val="20"/>
              </w:rPr>
              <w:t>13.4</w:t>
            </w:r>
          </w:p>
        </w:tc>
        <w:tc>
          <w:tcPr>
            <w:tcW w:w="1779" w:type="dxa"/>
            <w:vAlign w:val="bottom"/>
          </w:tcPr>
          <w:p w:rsidR="00CC6F2B" w:rsidRPr="00D750D8" w:rsidRDefault="00CC6F2B" w:rsidP="009637E2">
            <w:pPr>
              <w:jc w:val="center"/>
              <w:rPr>
                <w:rFonts w:ascii="Tahoma" w:hAnsi="Tahoma" w:cs="Tahoma"/>
                <w:color w:val="000000"/>
                <w:sz w:val="20"/>
                <w:szCs w:val="20"/>
              </w:rPr>
            </w:pPr>
            <w:r>
              <w:rPr>
                <w:rFonts w:ascii="Tahoma" w:hAnsi="Tahoma" w:cs="Tahoma"/>
                <w:color w:val="000000"/>
                <w:sz w:val="20"/>
                <w:szCs w:val="20"/>
              </w:rPr>
              <w:t>1.9</w:t>
            </w:r>
          </w:p>
        </w:tc>
      </w:tr>
      <w:tr w:rsidR="009637E2" w:rsidRPr="00850DB0" w:rsidTr="009637E2">
        <w:trPr>
          <w:trHeight w:val="249"/>
        </w:trPr>
        <w:tc>
          <w:tcPr>
            <w:tcW w:w="3369" w:type="dxa"/>
            <w:vAlign w:val="bottom"/>
          </w:tcPr>
          <w:p w:rsidR="009637E2" w:rsidRPr="00850DB0" w:rsidRDefault="009637E2" w:rsidP="009637E2">
            <w:pPr>
              <w:rPr>
                <w:rFonts w:ascii="Tahoma" w:hAnsi="Tahoma" w:cs="Tahoma"/>
                <w:b/>
                <w:sz w:val="20"/>
                <w:szCs w:val="20"/>
              </w:rPr>
            </w:pPr>
            <w:r w:rsidRPr="00850DB0">
              <w:rPr>
                <w:rFonts w:ascii="Tahoma" w:hAnsi="Tahoma" w:cs="Tahoma"/>
                <w:b/>
                <w:sz w:val="20"/>
                <w:szCs w:val="20"/>
              </w:rPr>
              <w:t>AUSTRALIA</w:t>
            </w:r>
          </w:p>
        </w:tc>
        <w:tc>
          <w:tcPr>
            <w:tcW w:w="1779" w:type="dxa"/>
            <w:vAlign w:val="bottom"/>
          </w:tcPr>
          <w:p w:rsidR="009637E2" w:rsidRPr="000263E2" w:rsidRDefault="009637E2" w:rsidP="009637E2">
            <w:pPr>
              <w:jc w:val="center"/>
              <w:rPr>
                <w:rFonts w:ascii="Tahoma" w:hAnsi="Tahoma" w:cs="Tahoma"/>
                <w:b/>
                <w:color w:val="000000"/>
                <w:sz w:val="20"/>
                <w:szCs w:val="20"/>
              </w:rPr>
            </w:pPr>
            <w:r w:rsidRPr="000263E2">
              <w:rPr>
                <w:rFonts w:ascii="Tahoma" w:hAnsi="Tahoma" w:cs="Tahoma"/>
                <w:b/>
                <w:color w:val="000000"/>
                <w:sz w:val="20"/>
                <w:szCs w:val="20"/>
              </w:rPr>
              <w:t>1.3</w:t>
            </w:r>
          </w:p>
        </w:tc>
        <w:tc>
          <w:tcPr>
            <w:tcW w:w="1779" w:type="dxa"/>
            <w:vAlign w:val="bottom"/>
          </w:tcPr>
          <w:p w:rsidR="009637E2" w:rsidRPr="000263E2" w:rsidRDefault="009637E2" w:rsidP="009637E2">
            <w:pPr>
              <w:jc w:val="center"/>
              <w:rPr>
                <w:rFonts w:ascii="Tahoma" w:hAnsi="Tahoma" w:cs="Tahoma"/>
                <w:b/>
                <w:color w:val="000000"/>
                <w:sz w:val="20"/>
                <w:szCs w:val="20"/>
              </w:rPr>
            </w:pPr>
            <w:r w:rsidRPr="000263E2">
              <w:rPr>
                <w:rFonts w:ascii="Tahoma" w:hAnsi="Tahoma" w:cs="Tahoma"/>
                <w:b/>
                <w:color w:val="000000"/>
                <w:sz w:val="20"/>
                <w:szCs w:val="20"/>
              </w:rPr>
              <w:t>1.5</w:t>
            </w:r>
          </w:p>
        </w:tc>
        <w:tc>
          <w:tcPr>
            <w:tcW w:w="1779" w:type="dxa"/>
            <w:vAlign w:val="bottom"/>
          </w:tcPr>
          <w:p w:rsidR="009637E2" w:rsidRPr="000263E2" w:rsidRDefault="009637E2" w:rsidP="009637E2">
            <w:pPr>
              <w:jc w:val="center"/>
              <w:rPr>
                <w:rFonts w:ascii="Tahoma" w:hAnsi="Tahoma" w:cs="Tahoma"/>
                <w:b/>
                <w:color w:val="000000"/>
                <w:sz w:val="20"/>
                <w:szCs w:val="20"/>
              </w:rPr>
            </w:pPr>
            <w:r w:rsidRPr="000263E2">
              <w:rPr>
                <w:rFonts w:ascii="Tahoma" w:hAnsi="Tahoma" w:cs="Tahoma"/>
                <w:b/>
                <w:color w:val="000000"/>
                <w:sz w:val="20"/>
                <w:szCs w:val="20"/>
              </w:rPr>
              <w:t>1.1</w:t>
            </w:r>
          </w:p>
        </w:tc>
        <w:tc>
          <w:tcPr>
            <w:tcW w:w="1779" w:type="dxa"/>
            <w:vAlign w:val="bottom"/>
          </w:tcPr>
          <w:p w:rsidR="009637E2" w:rsidRPr="000263E2" w:rsidRDefault="009637E2" w:rsidP="009637E2">
            <w:pPr>
              <w:jc w:val="center"/>
              <w:rPr>
                <w:rFonts w:ascii="Tahoma" w:hAnsi="Tahoma" w:cs="Tahoma"/>
                <w:b/>
                <w:color w:val="000000"/>
                <w:sz w:val="20"/>
                <w:szCs w:val="20"/>
              </w:rPr>
            </w:pPr>
            <w:r w:rsidRPr="000263E2">
              <w:rPr>
                <w:rFonts w:ascii="Tahoma" w:hAnsi="Tahoma" w:cs="Tahoma"/>
                <w:b/>
                <w:color w:val="000000"/>
                <w:sz w:val="20"/>
                <w:szCs w:val="20"/>
              </w:rPr>
              <w:t>1.5</w:t>
            </w:r>
          </w:p>
        </w:tc>
      </w:tr>
    </w:tbl>
    <w:p w:rsidR="009637E2" w:rsidRPr="003478D0" w:rsidRDefault="009637E2" w:rsidP="00E31E0D">
      <w:pPr>
        <w:pStyle w:val="ListParagraph"/>
        <w:ind w:left="284" w:hanging="284"/>
        <w:rPr>
          <w:rFonts w:ascii="Tahoma" w:hAnsi="Tahoma" w:cs="Tahoma"/>
          <w:sz w:val="20"/>
          <w:szCs w:val="24"/>
        </w:rPr>
      </w:pPr>
      <w:r w:rsidRPr="003478D0">
        <w:rPr>
          <w:rFonts w:ascii="Tahoma" w:eastAsia="Times New Roman" w:hAnsi="Tahoma" w:cs="Tahoma"/>
          <w:sz w:val="16"/>
          <w:szCs w:val="24"/>
          <w:lang w:eastAsia="en-AU"/>
        </w:rPr>
        <w:t>Source: ABS. Regional Population Growth, Australia, 2012 (cat. no. 3218.0)</w:t>
      </w:r>
    </w:p>
    <w:p w:rsidR="00E31E0D" w:rsidRDefault="00E31E0D" w:rsidP="00E31E0D">
      <w:pPr>
        <w:pStyle w:val="ListParagraph"/>
        <w:ind w:left="284" w:hanging="284"/>
        <w:rPr>
          <w:rFonts w:ascii="Tahoma" w:hAnsi="Tahoma" w:cs="Tahoma"/>
          <w:sz w:val="24"/>
          <w:szCs w:val="24"/>
        </w:rPr>
      </w:pPr>
    </w:p>
    <w:p w:rsidR="00A66284" w:rsidRPr="000F00B6" w:rsidRDefault="00A66284" w:rsidP="00E31E0D">
      <w:pPr>
        <w:pStyle w:val="ListParagraph"/>
        <w:ind w:left="284" w:hanging="284"/>
        <w:rPr>
          <w:rFonts w:ascii="Tahoma" w:hAnsi="Tahoma" w:cs="Tahoma"/>
          <w:sz w:val="24"/>
          <w:szCs w:val="24"/>
        </w:rPr>
      </w:pPr>
    </w:p>
    <w:p w:rsidR="00A66284" w:rsidRPr="000F00B6" w:rsidRDefault="00A66284" w:rsidP="00A66284">
      <w:pPr>
        <w:rPr>
          <w:rStyle w:val="A7"/>
          <w:rFonts w:cs="Tahoma"/>
          <w:color w:val="00B5AF"/>
          <w:sz w:val="32"/>
        </w:rPr>
      </w:pPr>
      <w:r w:rsidRPr="000F00B6">
        <w:rPr>
          <w:rStyle w:val="A7"/>
          <w:rFonts w:cs="Tahoma"/>
          <w:color w:val="00B5AF"/>
          <w:sz w:val="32"/>
        </w:rPr>
        <w:lastRenderedPageBreak/>
        <w:t>Victoria</w:t>
      </w:r>
    </w:p>
    <w:p w:rsidR="00E31E0D" w:rsidRDefault="00E31E0D" w:rsidP="000F00B6">
      <w:pPr>
        <w:rPr>
          <w:rStyle w:val="A7"/>
          <w:rFonts w:cs="Tahoma"/>
          <w:color w:val="00B5AF"/>
          <w:sz w:val="32"/>
        </w:rPr>
        <w:sectPr w:rsidR="00E31E0D" w:rsidSect="00E31E0D">
          <w:type w:val="continuous"/>
          <w:pgSz w:w="11906" w:h="16838"/>
          <w:pgMar w:top="992" w:right="709" w:bottom="992" w:left="851" w:header="709" w:footer="709" w:gutter="0"/>
          <w:cols w:space="708"/>
          <w:titlePg/>
          <w:docGrid w:linePitch="360"/>
        </w:sectPr>
      </w:pPr>
    </w:p>
    <w:p w:rsidR="00FF156F" w:rsidRPr="009975AD" w:rsidRDefault="001B39A2" w:rsidP="002E0FDD">
      <w:pPr>
        <w:pStyle w:val="Default"/>
        <w:numPr>
          <w:ilvl w:val="0"/>
          <w:numId w:val="8"/>
        </w:numPr>
        <w:spacing w:after="40"/>
        <w:ind w:left="426" w:hanging="426"/>
        <w:rPr>
          <w:rFonts w:ascii="Tahoma" w:hAnsi="Tahoma" w:cs="Tahoma"/>
          <w:color w:val="221E1F"/>
          <w:sz w:val="20"/>
          <w:szCs w:val="20"/>
        </w:rPr>
      </w:pPr>
      <w:r>
        <w:rPr>
          <w:rFonts w:ascii="Tahoma" w:hAnsi="Tahoma" w:cs="Tahoma"/>
          <w:color w:val="221E1F"/>
          <w:sz w:val="20"/>
          <w:szCs w:val="20"/>
        </w:rPr>
        <w:lastRenderedPageBreak/>
        <w:t>V</w:t>
      </w:r>
      <w:r w:rsidRPr="001B39A2">
        <w:rPr>
          <w:rFonts w:ascii="Tahoma" w:hAnsi="Tahoma" w:cs="Tahoma"/>
          <w:color w:val="221E1F"/>
          <w:sz w:val="20"/>
          <w:szCs w:val="20"/>
        </w:rPr>
        <w:t>ictoria is part of th</w:t>
      </w:r>
      <w:r w:rsidR="007F4758">
        <w:rPr>
          <w:rFonts w:ascii="Tahoma" w:hAnsi="Tahoma" w:cs="Tahoma"/>
          <w:color w:val="221E1F"/>
          <w:sz w:val="20"/>
          <w:szCs w:val="20"/>
        </w:rPr>
        <w:t>e</w:t>
      </w:r>
      <w:r w:rsidRPr="001B39A2">
        <w:rPr>
          <w:rFonts w:ascii="Tahoma" w:hAnsi="Tahoma" w:cs="Tahoma"/>
          <w:color w:val="221E1F"/>
          <w:sz w:val="20"/>
          <w:szCs w:val="20"/>
        </w:rPr>
        <w:t xml:space="preserve"> national urbanisation trend</w:t>
      </w:r>
      <w:r w:rsidR="00FF156F" w:rsidRPr="009975AD">
        <w:rPr>
          <w:rFonts w:ascii="Tahoma" w:hAnsi="Tahoma" w:cs="Tahoma"/>
          <w:color w:val="221E1F"/>
          <w:sz w:val="20"/>
          <w:szCs w:val="20"/>
        </w:rPr>
        <w:t>.</w:t>
      </w:r>
    </w:p>
    <w:p w:rsidR="00FF156F" w:rsidRPr="009975AD" w:rsidRDefault="009E16A2" w:rsidP="002E0FDD">
      <w:pPr>
        <w:pStyle w:val="Default"/>
        <w:numPr>
          <w:ilvl w:val="0"/>
          <w:numId w:val="8"/>
        </w:numPr>
        <w:spacing w:after="40"/>
        <w:ind w:left="426" w:hanging="426"/>
        <w:rPr>
          <w:rFonts w:ascii="Tahoma" w:hAnsi="Tahoma" w:cs="Tahoma"/>
          <w:color w:val="221E1F"/>
          <w:sz w:val="20"/>
          <w:szCs w:val="20"/>
        </w:rPr>
      </w:pPr>
      <w:r w:rsidRPr="001B39A2">
        <w:rPr>
          <w:rFonts w:ascii="Tahoma" w:hAnsi="Tahoma" w:cs="Tahoma"/>
          <w:color w:val="221E1F"/>
          <w:sz w:val="20"/>
          <w:szCs w:val="20"/>
        </w:rPr>
        <w:t>The accelerated population growth of the past decade has mostly affected Greater Melbourne: between 2001 and 2011, Greater Melbourne population growth (669,000</w:t>
      </w:r>
      <w:r w:rsidR="00CC6F2B">
        <w:rPr>
          <w:rFonts w:ascii="Tahoma" w:hAnsi="Tahoma" w:cs="Tahoma"/>
          <w:color w:val="221E1F"/>
          <w:sz w:val="20"/>
          <w:szCs w:val="20"/>
        </w:rPr>
        <w:t xml:space="preserve"> </w:t>
      </w:r>
      <w:r w:rsidRPr="001B39A2">
        <w:rPr>
          <w:rFonts w:ascii="Tahoma" w:hAnsi="Tahoma" w:cs="Tahoma"/>
          <w:color w:val="221E1F"/>
          <w:sz w:val="20"/>
          <w:szCs w:val="20"/>
        </w:rPr>
        <w:t xml:space="preserve">persons) accounted for 86 per cent of Victoria’s total growth, compared with 73 per cent between 1971 and 1981 (Figure </w:t>
      </w:r>
      <w:r w:rsidR="00623F3B">
        <w:rPr>
          <w:rFonts w:ascii="Tahoma" w:hAnsi="Tahoma" w:cs="Tahoma"/>
          <w:color w:val="221E1F"/>
          <w:sz w:val="20"/>
          <w:szCs w:val="20"/>
        </w:rPr>
        <w:t>3</w:t>
      </w:r>
      <w:r>
        <w:rPr>
          <w:rFonts w:ascii="Tahoma" w:hAnsi="Tahoma" w:cs="Tahoma"/>
          <w:color w:val="221E1F"/>
          <w:sz w:val="20"/>
          <w:szCs w:val="20"/>
        </w:rPr>
        <w:t>)</w:t>
      </w:r>
      <w:r w:rsidR="00623F3B">
        <w:rPr>
          <w:rFonts w:ascii="Tahoma" w:hAnsi="Tahoma" w:cs="Tahoma"/>
          <w:color w:val="221E1F"/>
          <w:sz w:val="20"/>
          <w:szCs w:val="20"/>
        </w:rPr>
        <w:t>.</w:t>
      </w:r>
    </w:p>
    <w:p w:rsidR="009140E2" w:rsidRPr="009975AD" w:rsidRDefault="009E16A2" w:rsidP="002E0FDD">
      <w:pPr>
        <w:pStyle w:val="Default"/>
        <w:numPr>
          <w:ilvl w:val="0"/>
          <w:numId w:val="8"/>
        </w:numPr>
        <w:spacing w:after="40"/>
        <w:ind w:left="426" w:hanging="426"/>
        <w:rPr>
          <w:rFonts w:ascii="Tahoma" w:hAnsi="Tahoma" w:cs="Tahoma"/>
          <w:color w:val="221E1F"/>
          <w:sz w:val="20"/>
          <w:szCs w:val="20"/>
        </w:rPr>
      </w:pPr>
      <w:r>
        <w:rPr>
          <w:rFonts w:ascii="Tahoma" w:hAnsi="Tahoma" w:cs="Tahoma"/>
          <w:color w:val="221E1F"/>
          <w:sz w:val="20"/>
          <w:szCs w:val="20"/>
        </w:rPr>
        <w:lastRenderedPageBreak/>
        <w:t>The</w:t>
      </w:r>
      <w:r w:rsidR="000F00B6">
        <w:rPr>
          <w:rFonts w:ascii="Tahoma" w:hAnsi="Tahoma" w:cs="Tahoma"/>
          <w:color w:val="221E1F"/>
          <w:sz w:val="20"/>
          <w:szCs w:val="20"/>
        </w:rPr>
        <w:t xml:space="preserve"> </w:t>
      </w:r>
      <w:r>
        <w:rPr>
          <w:rFonts w:ascii="Tahoma" w:hAnsi="Tahoma" w:cs="Tahoma"/>
          <w:color w:val="221E1F"/>
          <w:sz w:val="20"/>
          <w:szCs w:val="20"/>
        </w:rPr>
        <w:t xml:space="preserve">average rate of growth in Greater Melbourne </w:t>
      </w:r>
      <w:r w:rsidR="007F4758">
        <w:rPr>
          <w:rFonts w:ascii="Tahoma" w:hAnsi="Tahoma" w:cs="Tahoma"/>
          <w:color w:val="221E1F"/>
          <w:sz w:val="20"/>
          <w:szCs w:val="20"/>
        </w:rPr>
        <w:t>is now</w:t>
      </w:r>
      <w:r>
        <w:rPr>
          <w:rFonts w:ascii="Tahoma" w:hAnsi="Tahoma" w:cs="Tahoma"/>
          <w:color w:val="221E1F"/>
          <w:sz w:val="20"/>
          <w:szCs w:val="20"/>
        </w:rPr>
        <w:t xml:space="preserve"> more than double the rate of the balance of Victoria (Figure </w:t>
      </w:r>
      <w:r w:rsidR="00623F3B">
        <w:rPr>
          <w:rFonts w:ascii="Tahoma" w:hAnsi="Tahoma" w:cs="Tahoma"/>
          <w:color w:val="221E1F"/>
          <w:sz w:val="20"/>
          <w:szCs w:val="20"/>
        </w:rPr>
        <w:t>4</w:t>
      </w:r>
      <w:r>
        <w:rPr>
          <w:rFonts w:ascii="Tahoma" w:hAnsi="Tahoma" w:cs="Tahoma"/>
          <w:color w:val="221E1F"/>
          <w:sz w:val="20"/>
          <w:szCs w:val="20"/>
        </w:rPr>
        <w:t>)</w:t>
      </w:r>
      <w:r w:rsidR="00623F3B">
        <w:rPr>
          <w:rFonts w:ascii="Tahoma" w:hAnsi="Tahoma" w:cs="Tahoma"/>
          <w:color w:val="221E1F"/>
          <w:sz w:val="20"/>
          <w:szCs w:val="20"/>
        </w:rPr>
        <w:t>.</w:t>
      </w:r>
    </w:p>
    <w:p w:rsidR="00FF156F" w:rsidRPr="00FA3E3C" w:rsidRDefault="009E16A2" w:rsidP="002E0FDD">
      <w:pPr>
        <w:pStyle w:val="Default"/>
        <w:numPr>
          <w:ilvl w:val="0"/>
          <w:numId w:val="8"/>
        </w:numPr>
        <w:spacing w:after="40"/>
        <w:ind w:left="426" w:hanging="426"/>
        <w:rPr>
          <w:rFonts w:ascii="Tahoma" w:hAnsi="Tahoma" w:cs="Tahoma"/>
        </w:rPr>
      </w:pPr>
      <w:r w:rsidRPr="00FA3E3C">
        <w:rPr>
          <w:rFonts w:ascii="Tahoma" w:hAnsi="Tahoma" w:cs="Tahoma"/>
          <w:color w:val="221E1F"/>
          <w:sz w:val="20"/>
          <w:szCs w:val="20"/>
        </w:rPr>
        <w:t>In</w:t>
      </w:r>
      <w:r w:rsidR="00CC6F2B">
        <w:rPr>
          <w:rFonts w:ascii="Tahoma" w:hAnsi="Tahoma" w:cs="Tahoma"/>
          <w:color w:val="221E1F"/>
          <w:sz w:val="20"/>
          <w:szCs w:val="20"/>
        </w:rPr>
        <w:t xml:space="preserve"> </w:t>
      </w:r>
      <w:r w:rsidRPr="00FA3E3C">
        <w:rPr>
          <w:rFonts w:ascii="Tahoma" w:hAnsi="Tahoma" w:cs="Tahoma"/>
          <w:color w:val="221E1F"/>
          <w:sz w:val="20"/>
          <w:szCs w:val="20"/>
        </w:rPr>
        <w:t>1971, 72 per cent of Victoria’s population lived in Greater Melbourne. This proportion has risen to 75 per cen</w:t>
      </w:r>
      <w:r w:rsidR="00A66284">
        <w:rPr>
          <w:rFonts w:ascii="Tahoma" w:hAnsi="Tahoma" w:cs="Tahoma"/>
          <w:color w:val="221E1F"/>
          <w:sz w:val="20"/>
          <w:szCs w:val="20"/>
        </w:rPr>
        <w:t>t</w:t>
      </w:r>
      <w:r w:rsidRPr="00FA3E3C">
        <w:rPr>
          <w:rFonts w:ascii="Tahoma" w:hAnsi="Tahoma" w:cs="Tahoma"/>
          <w:color w:val="221E1F"/>
          <w:sz w:val="20"/>
          <w:szCs w:val="20"/>
        </w:rPr>
        <w:t xml:space="preserve"> by 2011.</w:t>
      </w:r>
      <w:r w:rsidRPr="00FA3E3C">
        <w:rPr>
          <w:rFonts w:ascii="Tahoma" w:hAnsi="Tahoma" w:cs="Tahoma"/>
        </w:rPr>
        <w:t xml:space="preserve"> </w:t>
      </w:r>
    </w:p>
    <w:p w:rsidR="00894924" w:rsidRPr="00BA695C" w:rsidRDefault="00894924" w:rsidP="00894924">
      <w:pPr>
        <w:rPr>
          <w:rFonts w:ascii="Tahoma" w:hAnsi="Tahoma" w:cs="Tahoma"/>
          <w:sz w:val="24"/>
          <w:szCs w:val="24"/>
        </w:rPr>
      </w:pPr>
    </w:p>
    <w:p w:rsidR="00E219F9" w:rsidRPr="009140E2" w:rsidRDefault="00E219F9" w:rsidP="000F00B6">
      <w:pPr>
        <w:pStyle w:val="Default"/>
        <w:spacing w:after="40"/>
        <w:ind w:left="567"/>
        <w:rPr>
          <w:rFonts w:ascii="Tahoma" w:hAnsi="Tahoma" w:cs="Tahoma"/>
          <w:color w:val="221E1F"/>
          <w:sz w:val="20"/>
          <w:szCs w:val="20"/>
        </w:rPr>
      </w:pPr>
    </w:p>
    <w:p w:rsidR="00CB24CB" w:rsidRDefault="00CB24CB" w:rsidP="00AC0E3A">
      <w:pPr>
        <w:ind w:left="426" w:hanging="426"/>
        <w:rPr>
          <w:rFonts w:ascii="Tahoma" w:hAnsi="Tahoma" w:cs="Tahoma"/>
          <w:sz w:val="24"/>
          <w:szCs w:val="24"/>
        </w:rPr>
        <w:sectPr w:rsidR="00CB24CB" w:rsidSect="00E31E0D">
          <w:type w:val="continuous"/>
          <w:pgSz w:w="11906" w:h="16838"/>
          <w:pgMar w:top="992" w:right="709" w:bottom="992" w:left="851" w:header="709" w:footer="709" w:gutter="0"/>
          <w:cols w:num="2" w:space="708"/>
          <w:titlePg/>
          <w:docGrid w:linePitch="360"/>
        </w:sectPr>
      </w:pPr>
    </w:p>
    <w:p w:rsidR="00FA3E3C" w:rsidRDefault="001414CE" w:rsidP="001414CE">
      <w:pPr>
        <w:pStyle w:val="Default"/>
        <w:spacing w:after="60"/>
        <w:ind w:left="426" w:firstLine="720"/>
        <w:rPr>
          <w:rFonts w:ascii="Tahoma" w:hAnsi="Tahoma" w:cs="Tahoma"/>
          <w:b/>
          <w:color w:val="00B5AF"/>
          <w:sz w:val="20"/>
        </w:rPr>
      </w:pPr>
      <w:r>
        <w:rPr>
          <w:rFonts w:ascii="Tahoma" w:hAnsi="Tahoma" w:cs="Tahoma"/>
          <w:b/>
          <w:color w:val="00B5AF"/>
          <w:sz w:val="20"/>
        </w:rPr>
        <w:lastRenderedPageBreak/>
        <w:t>Figure 3</w:t>
      </w:r>
      <w:r w:rsidR="00FA3E3C" w:rsidRPr="006A287E">
        <w:rPr>
          <w:rFonts w:ascii="Tahoma" w:hAnsi="Tahoma" w:cs="Tahoma"/>
          <w:b/>
          <w:color w:val="00B5AF"/>
          <w:sz w:val="20"/>
        </w:rPr>
        <w:t xml:space="preserve"> Population </w:t>
      </w:r>
      <w:proofErr w:type="gramStart"/>
      <w:r w:rsidR="007F4758">
        <w:rPr>
          <w:rFonts w:ascii="Tahoma" w:hAnsi="Tahoma" w:cs="Tahoma"/>
          <w:b/>
          <w:color w:val="00B5AF"/>
          <w:sz w:val="20"/>
        </w:rPr>
        <w:t>g</w:t>
      </w:r>
      <w:r w:rsidR="00FA3E3C" w:rsidRPr="006A287E">
        <w:rPr>
          <w:rFonts w:ascii="Tahoma" w:hAnsi="Tahoma" w:cs="Tahoma"/>
          <w:b/>
          <w:color w:val="00B5AF"/>
          <w:sz w:val="20"/>
        </w:rPr>
        <w:t>rowth</w:t>
      </w:r>
      <w:proofErr w:type="gramEnd"/>
      <w:r w:rsidR="00FA3E3C" w:rsidRPr="006A287E">
        <w:rPr>
          <w:rFonts w:ascii="Tahoma" w:hAnsi="Tahoma" w:cs="Tahoma"/>
          <w:b/>
          <w:color w:val="00B5AF"/>
          <w:sz w:val="20"/>
        </w:rPr>
        <w:t xml:space="preserve">, </w:t>
      </w:r>
      <w:r w:rsidR="007F4758">
        <w:rPr>
          <w:rFonts w:ascii="Tahoma" w:hAnsi="Tahoma" w:cs="Tahoma"/>
          <w:b/>
          <w:color w:val="00B5AF"/>
          <w:sz w:val="20"/>
        </w:rPr>
        <w:t>p</w:t>
      </w:r>
      <w:r w:rsidR="00FA3E3C" w:rsidRPr="006A287E">
        <w:rPr>
          <w:rFonts w:ascii="Tahoma" w:hAnsi="Tahoma" w:cs="Tahoma"/>
          <w:b/>
          <w:color w:val="00B5AF"/>
          <w:sz w:val="20"/>
        </w:rPr>
        <w:t>ersons, Victoria, 1971 to 2011</w:t>
      </w:r>
    </w:p>
    <w:p w:rsidR="00A4739C" w:rsidRPr="00A4739C" w:rsidRDefault="00A4739C" w:rsidP="001414CE">
      <w:pPr>
        <w:pStyle w:val="Default"/>
        <w:spacing w:after="60"/>
        <w:ind w:left="426" w:firstLine="720"/>
        <w:rPr>
          <w:rFonts w:ascii="Tahoma" w:hAnsi="Tahoma" w:cs="Tahoma"/>
          <w:b/>
          <w:i/>
          <w:color w:val="00B5AF"/>
          <w:sz w:val="18"/>
        </w:rPr>
      </w:pPr>
      <w:r>
        <w:rPr>
          <w:rFonts w:ascii="Tahoma" w:hAnsi="Tahoma" w:cs="Tahoma"/>
          <w:b/>
          <w:i/>
          <w:color w:val="00B5AF"/>
          <w:sz w:val="18"/>
        </w:rPr>
        <w:t>[Figure 3 is a bar chart showing the population increase in Greater Melbourne and the balance of Victoria for the periods 1971-1981, 1981-1991</w:t>
      </w:r>
      <w:proofErr w:type="gramStart"/>
      <w:r>
        <w:rPr>
          <w:rFonts w:ascii="Tahoma" w:hAnsi="Tahoma" w:cs="Tahoma"/>
          <w:b/>
          <w:i/>
          <w:color w:val="00B5AF"/>
          <w:sz w:val="18"/>
        </w:rPr>
        <w:t>,1991</w:t>
      </w:r>
      <w:proofErr w:type="gramEnd"/>
      <w:r>
        <w:rPr>
          <w:rFonts w:ascii="Tahoma" w:hAnsi="Tahoma" w:cs="Tahoma"/>
          <w:b/>
          <w:i/>
          <w:color w:val="00B5AF"/>
          <w:sz w:val="18"/>
        </w:rPr>
        <w:t>-2001,and 2001-2011]</w:t>
      </w:r>
    </w:p>
    <w:p w:rsidR="00FA3E3C" w:rsidRPr="00850DB0" w:rsidRDefault="00FA3E3C" w:rsidP="00860CCF">
      <w:pPr>
        <w:pStyle w:val="Caption"/>
        <w:ind w:left="1146"/>
        <w:rPr>
          <w:rFonts w:ascii="Tahoma" w:hAnsi="Tahoma" w:cs="Tahoma"/>
        </w:rPr>
      </w:pPr>
      <w:r w:rsidRPr="001D434E">
        <w:rPr>
          <w:rFonts w:ascii="Tahoma" w:hAnsi="Tahoma" w:cs="Tahoma"/>
          <w:noProof/>
          <w:lang w:eastAsia="en-AU"/>
        </w:rPr>
        <w:drawing>
          <wp:inline distT="0" distB="0" distL="0" distR="0">
            <wp:extent cx="5191125" cy="3057525"/>
            <wp:effectExtent l="19050" t="0" r="9525"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3E3C" w:rsidRPr="003478D0" w:rsidRDefault="00FA3E3C" w:rsidP="00860CCF">
      <w:pPr>
        <w:ind w:left="426" w:firstLine="720"/>
        <w:rPr>
          <w:rFonts w:ascii="Tahoma" w:eastAsia="Times New Roman" w:hAnsi="Tahoma" w:cs="Tahoma"/>
          <w:sz w:val="16"/>
          <w:szCs w:val="24"/>
          <w:lang w:eastAsia="en-AU"/>
        </w:rPr>
      </w:pPr>
      <w:r w:rsidRPr="003478D0">
        <w:rPr>
          <w:rFonts w:ascii="Tahoma" w:eastAsia="Times New Roman" w:hAnsi="Tahoma" w:cs="Tahoma"/>
          <w:sz w:val="16"/>
          <w:szCs w:val="24"/>
          <w:lang w:eastAsia="en-AU"/>
        </w:rPr>
        <w:t>Source: ABS. Regional Population Growth, Australia, 2012 (cat. no. 3218.0)</w:t>
      </w:r>
    </w:p>
    <w:p w:rsidR="003478D0" w:rsidRDefault="003478D0" w:rsidP="001414CE">
      <w:pPr>
        <w:pStyle w:val="Default"/>
        <w:spacing w:after="60"/>
        <w:ind w:left="720" w:firstLine="720"/>
        <w:rPr>
          <w:rFonts w:ascii="Tahoma" w:hAnsi="Tahoma" w:cs="Tahoma"/>
          <w:b/>
          <w:color w:val="00B5AF"/>
          <w:sz w:val="20"/>
        </w:rPr>
      </w:pPr>
    </w:p>
    <w:p w:rsidR="00BA0786" w:rsidRDefault="001414CE" w:rsidP="001414CE">
      <w:pPr>
        <w:pStyle w:val="Default"/>
        <w:spacing w:after="60"/>
        <w:ind w:left="720" w:firstLine="720"/>
        <w:rPr>
          <w:rFonts w:ascii="Tahoma" w:hAnsi="Tahoma" w:cs="Tahoma"/>
          <w:b/>
          <w:color w:val="00B5AF"/>
          <w:sz w:val="20"/>
        </w:rPr>
      </w:pPr>
      <w:proofErr w:type="gramStart"/>
      <w:r>
        <w:rPr>
          <w:rFonts w:ascii="Tahoma" w:hAnsi="Tahoma" w:cs="Tahoma"/>
          <w:b/>
          <w:color w:val="00B5AF"/>
          <w:sz w:val="20"/>
        </w:rPr>
        <w:t>Figure 4</w:t>
      </w:r>
      <w:r w:rsidR="00BA0786" w:rsidRPr="006A287E">
        <w:rPr>
          <w:rFonts w:ascii="Tahoma" w:hAnsi="Tahoma" w:cs="Tahoma"/>
          <w:b/>
          <w:color w:val="00B5AF"/>
          <w:sz w:val="20"/>
        </w:rPr>
        <w:t>.</w:t>
      </w:r>
      <w:proofErr w:type="gramEnd"/>
      <w:r w:rsidR="00BA0786" w:rsidRPr="006A287E">
        <w:rPr>
          <w:rFonts w:ascii="Tahoma" w:hAnsi="Tahoma" w:cs="Tahoma"/>
          <w:b/>
          <w:color w:val="00B5AF"/>
          <w:sz w:val="20"/>
        </w:rPr>
        <w:t xml:space="preserve"> Average Annual Population Change, Victoria, 1971 to 2011</w:t>
      </w:r>
    </w:p>
    <w:p w:rsidR="00A4739C" w:rsidRPr="00A4739C" w:rsidRDefault="00A4739C" w:rsidP="00A4739C">
      <w:pPr>
        <w:pStyle w:val="Default"/>
        <w:spacing w:after="60"/>
        <w:ind w:left="426" w:firstLine="720"/>
        <w:rPr>
          <w:rFonts w:ascii="Tahoma" w:hAnsi="Tahoma" w:cs="Tahoma"/>
          <w:b/>
          <w:i/>
          <w:color w:val="00B5AF"/>
          <w:sz w:val="18"/>
        </w:rPr>
      </w:pPr>
      <w:r>
        <w:rPr>
          <w:rFonts w:ascii="Tahoma" w:hAnsi="Tahoma" w:cs="Tahoma"/>
          <w:b/>
          <w:i/>
          <w:color w:val="00B5AF"/>
          <w:sz w:val="18"/>
        </w:rPr>
        <w:t>[Figure 4 is a bar chart of the rate of population growth in Greater Melbourne and the balance of Victoria for the periods 1971-1981, 1981-1991</w:t>
      </w:r>
      <w:proofErr w:type="gramStart"/>
      <w:r>
        <w:rPr>
          <w:rFonts w:ascii="Tahoma" w:hAnsi="Tahoma" w:cs="Tahoma"/>
          <w:b/>
          <w:i/>
          <w:color w:val="00B5AF"/>
          <w:sz w:val="18"/>
        </w:rPr>
        <w:t>,1991</w:t>
      </w:r>
      <w:proofErr w:type="gramEnd"/>
      <w:r>
        <w:rPr>
          <w:rFonts w:ascii="Tahoma" w:hAnsi="Tahoma" w:cs="Tahoma"/>
          <w:b/>
          <w:i/>
          <w:color w:val="00B5AF"/>
          <w:sz w:val="18"/>
        </w:rPr>
        <w:t>-2001,and 2001-2011]</w:t>
      </w:r>
    </w:p>
    <w:p w:rsidR="00A4739C" w:rsidRPr="006A287E" w:rsidRDefault="00A4739C" w:rsidP="001414CE">
      <w:pPr>
        <w:pStyle w:val="Default"/>
        <w:spacing w:after="60"/>
        <w:ind w:left="720" w:firstLine="720"/>
        <w:rPr>
          <w:rFonts w:ascii="Tahoma" w:hAnsi="Tahoma" w:cs="Tahoma"/>
          <w:b/>
          <w:color w:val="00B5AF"/>
          <w:sz w:val="20"/>
        </w:rPr>
      </w:pPr>
    </w:p>
    <w:p w:rsidR="00BA0786" w:rsidRDefault="00BA0786" w:rsidP="00860CCF">
      <w:pPr>
        <w:ind w:left="1440"/>
      </w:pPr>
      <w:r w:rsidRPr="001D434E">
        <w:rPr>
          <w:noProof/>
          <w:lang w:eastAsia="en-AU"/>
        </w:rPr>
        <w:drawing>
          <wp:inline distT="0" distB="0" distL="0" distR="0">
            <wp:extent cx="4572000" cy="3048000"/>
            <wp:effectExtent l="19050" t="0" r="19050"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0786" w:rsidRPr="003478D0" w:rsidRDefault="00BA0786" w:rsidP="00860CCF">
      <w:pPr>
        <w:ind w:left="1440"/>
        <w:rPr>
          <w:rFonts w:ascii="Tahoma" w:hAnsi="Tahoma" w:cs="Tahoma"/>
          <w:sz w:val="20"/>
          <w:szCs w:val="24"/>
        </w:rPr>
      </w:pPr>
      <w:r w:rsidRPr="003478D0">
        <w:rPr>
          <w:rFonts w:ascii="Tahoma" w:eastAsia="Times New Roman" w:hAnsi="Tahoma" w:cs="Tahoma"/>
          <w:sz w:val="16"/>
          <w:szCs w:val="24"/>
          <w:lang w:eastAsia="en-AU"/>
        </w:rPr>
        <w:t>Source: ABS. Regional Population Growth, Australia, 2012 (cat. no. 3218.0)</w:t>
      </w:r>
    </w:p>
    <w:p w:rsidR="00BA0786" w:rsidRDefault="00BA0786">
      <w:pPr>
        <w:rPr>
          <w:rFonts w:ascii="Tahoma" w:hAnsi="Tahoma" w:cs="Tahoma"/>
          <w:sz w:val="24"/>
          <w:szCs w:val="24"/>
        </w:rPr>
      </w:pPr>
    </w:p>
    <w:p w:rsidR="00CB24CB" w:rsidRDefault="00CB24CB" w:rsidP="009140E2">
      <w:pPr>
        <w:rPr>
          <w:rFonts w:ascii="Tahoma" w:hAnsi="Tahoma" w:cs="Tahoma"/>
          <w:sz w:val="24"/>
          <w:szCs w:val="24"/>
        </w:rPr>
      </w:pPr>
    </w:p>
    <w:p w:rsidR="009140E2" w:rsidRPr="00CB24CB" w:rsidRDefault="009140E2" w:rsidP="00CB24CB">
      <w:pPr>
        <w:spacing w:after="0" w:line="240" w:lineRule="auto"/>
        <w:rPr>
          <w:rFonts w:ascii="Tahoma" w:hAnsi="Tahoma" w:cs="Tahoma"/>
          <w:sz w:val="18"/>
          <w:szCs w:val="18"/>
        </w:rPr>
      </w:pPr>
    </w:p>
    <w:p w:rsidR="00CB24CB" w:rsidRPr="00CB24CB" w:rsidRDefault="00CB24CB" w:rsidP="00CB24CB">
      <w:pPr>
        <w:tabs>
          <w:tab w:val="left" w:pos="4962"/>
        </w:tabs>
        <w:spacing w:after="0" w:line="240" w:lineRule="auto"/>
        <w:ind w:right="5103"/>
        <w:rPr>
          <w:rFonts w:ascii="Tahoma" w:hAnsi="Tahoma" w:cs="Tahoma"/>
          <w:sz w:val="18"/>
          <w:szCs w:val="18"/>
        </w:rPr>
      </w:pPr>
      <w:r w:rsidRPr="00CB24CB">
        <w:rPr>
          <w:rFonts w:ascii="Tahoma" w:hAnsi="Tahoma" w:cs="Tahoma"/>
          <w:sz w:val="18"/>
          <w:szCs w:val="18"/>
        </w:rPr>
        <w:t>Authorised and published by the Victorian Government</w:t>
      </w:r>
    </w:p>
    <w:p w:rsidR="00CB24CB" w:rsidRPr="00CB24CB" w:rsidRDefault="00CB24CB" w:rsidP="00CB24CB">
      <w:pPr>
        <w:tabs>
          <w:tab w:val="left" w:pos="4962"/>
        </w:tabs>
        <w:spacing w:after="0" w:line="240" w:lineRule="auto"/>
        <w:ind w:right="5103"/>
        <w:rPr>
          <w:rFonts w:ascii="Tahoma" w:hAnsi="Tahoma" w:cs="Tahoma"/>
          <w:sz w:val="18"/>
          <w:szCs w:val="18"/>
        </w:rPr>
      </w:pPr>
      <w:r w:rsidRPr="00CB24CB">
        <w:rPr>
          <w:rFonts w:ascii="Tahoma" w:hAnsi="Tahoma" w:cs="Tahoma"/>
          <w:sz w:val="18"/>
          <w:szCs w:val="18"/>
        </w:rPr>
        <w:t>1 Treasury Place</w:t>
      </w:r>
    </w:p>
    <w:p w:rsidR="00CB24CB" w:rsidRPr="00CB24CB" w:rsidRDefault="00CB24CB" w:rsidP="00CB24CB">
      <w:pPr>
        <w:tabs>
          <w:tab w:val="left" w:pos="4962"/>
        </w:tabs>
        <w:spacing w:after="0" w:line="240" w:lineRule="auto"/>
        <w:ind w:right="5103"/>
        <w:rPr>
          <w:rFonts w:ascii="Tahoma" w:hAnsi="Tahoma" w:cs="Tahoma"/>
          <w:sz w:val="18"/>
          <w:szCs w:val="18"/>
        </w:rPr>
      </w:pPr>
    </w:p>
    <w:p w:rsidR="00E219F9" w:rsidRPr="00CB24CB" w:rsidRDefault="00E219F9" w:rsidP="00CB24CB">
      <w:pPr>
        <w:tabs>
          <w:tab w:val="left" w:pos="4962"/>
        </w:tabs>
        <w:spacing w:after="0" w:line="240" w:lineRule="auto"/>
        <w:ind w:right="5103"/>
        <w:rPr>
          <w:rFonts w:ascii="Tahoma" w:hAnsi="Tahoma" w:cs="Tahoma"/>
          <w:sz w:val="18"/>
          <w:szCs w:val="18"/>
        </w:rPr>
      </w:pPr>
      <w:r w:rsidRPr="00CB24CB">
        <w:rPr>
          <w:rFonts w:ascii="Tahoma" w:hAnsi="Tahoma" w:cs="Tahoma"/>
          <w:sz w:val="18"/>
          <w:szCs w:val="18"/>
        </w:rPr>
        <w:t>June 201</w:t>
      </w:r>
      <w:r w:rsidR="00455279" w:rsidRPr="00CB24CB">
        <w:rPr>
          <w:rFonts w:ascii="Tahoma" w:hAnsi="Tahoma" w:cs="Tahoma"/>
          <w:sz w:val="18"/>
          <w:szCs w:val="18"/>
        </w:rPr>
        <w:t>4</w:t>
      </w:r>
    </w:p>
    <w:p w:rsidR="00CB24CB" w:rsidRPr="00CB24CB" w:rsidRDefault="00CB24CB" w:rsidP="00CB24CB">
      <w:pPr>
        <w:pStyle w:val="Pa2"/>
        <w:tabs>
          <w:tab w:val="left" w:pos="4962"/>
        </w:tabs>
        <w:spacing w:line="240" w:lineRule="auto"/>
        <w:ind w:right="5103"/>
        <w:rPr>
          <w:rFonts w:ascii="Tahoma" w:hAnsi="Tahoma" w:cs="Tahoma"/>
          <w:b/>
          <w:bCs/>
          <w:sz w:val="18"/>
          <w:szCs w:val="18"/>
        </w:rPr>
      </w:pPr>
    </w:p>
    <w:p w:rsidR="00CB24CB" w:rsidRPr="00CB24CB" w:rsidRDefault="00CB24CB" w:rsidP="00CB24CB">
      <w:pPr>
        <w:pStyle w:val="Pa2"/>
        <w:tabs>
          <w:tab w:val="left" w:pos="4962"/>
        </w:tabs>
        <w:spacing w:line="240" w:lineRule="auto"/>
        <w:ind w:right="5103"/>
        <w:rPr>
          <w:rFonts w:ascii="Tahoma" w:hAnsi="Tahoma" w:cs="Tahoma"/>
          <w:sz w:val="18"/>
          <w:szCs w:val="18"/>
        </w:rPr>
      </w:pPr>
      <w:r w:rsidRPr="00CB24CB">
        <w:rPr>
          <w:rFonts w:ascii="Tahoma" w:hAnsi="Tahoma" w:cs="Tahoma"/>
          <w:b/>
          <w:bCs/>
          <w:sz w:val="18"/>
          <w:szCs w:val="18"/>
        </w:rPr>
        <w:t>spatialanalysis.research@dtpli.vic.gov.au</w:t>
      </w:r>
    </w:p>
    <w:p w:rsidR="00CB24CB" w:rsidRPr="00CB24CB" w:rsidRDefault="00CB24CB" w:rsidP="00CB24CB">
      <w:pPr>
        <w:tabs>
          <w:tab w:val="left" w:pos="4962"/>
        </w:tabs>
        <w:spacing w:after="0" w:line="240" w:lineRule="auto"/>
        <w:ind w:right="5103"/>
        <w:rPr>
          <w:rFonts w:ascii="Tahoma" w:hAnsi="Tahoma" w:cs="Tahoma"/>
          <w:sz w:val="18"/>
          <w:szCs w:val="18"/>
        </w:rPr>
      </w:pPr>
      <w:r w:rsidRPr="003274A7">
        <w:rPr>
          <w:rFonts w:ascii="Tahoma" w:hAnsi="Tahoma" w:cs="Tahoma"/>
          <w:b/>
          <w:bCs/>
          <w:sz w:val="18"/>
          <w:szCs w:val="18"/>
        </w:rPr>
        <w:t>www.dtpli.vic.gov.au/</w:t>
      </w:r>
      <w:r w:rsidR="00EC14CE" w:rsidRPr="003274A7">
        <w:rPr>
          <w:rFonts w:ascii="Tahoma" w:hAnsi="Tahoma" w:cs="Tahoma"/>
          <w:b/>
          <w:bCs/>
          <w:sz w:val="18"/>
          <w:szCs w:val="18"/>
        </w:rPr>
        <w:t>victorian-population-bulletin</w:t>
      </w:r>
    </w:p>
    <w:p w:rsidR="00371262" w:rsidRPr="00CB24CB" w:rsidRDefault="00371262" w:rsidP="00CB24CB">
      <w:pPr>
        <w:pStyle w:val="Default"/>
        <w:tabs>
          <w:tab w:val="left" w:pos="4962"/>
        </w:tabs>
        <w:ind w:right="5103"/>
        <w:rPr>
          <w:rFonts w:ascii="Tahoma" w:hAnsi="Tahoma" w:cs="Tahoma"/>
          <w:sz w:val="18"/>
          <w:szCs w:val="18"/>
        </w:rPr>
      </w:pPr>
    </w:p>
    <w:p w:rsidR="00E219F9" w:rsidRPr="00CB24CB" w:rsidRDefault="00E219F9" w:rsidP="00CB24CB">
      <w:pPr>
        <w:pStyle w:val="Pa2"/>
        <w:tabs>
          <w:tab w:val="left" w:pos="4962"/>
        </w:tabs>
        <w:spacing w:line="240" w:lineRule="auto"/>
        <w:ind w:right="5103"/>
        <w:rPr>
          <w:rFonts w:ascii="Tahoma" w:hAnsi="Tahoma" w:cs="Tahoma"/>
          <w:sz w:val="18"/>
          <w:szCs w:val="18"/>
        </w:rPr>
      </w:pPr>
      <w:r w:rsidRPr="00CB24CB">
        <w:rPr>
          <w:rFonts w:ascii="Tahoma" w:hAnsi="Tahoma" w:cs="Tahoma"/>
          <w:sz w:val="18"/>
          <w:szCs w:val="18"/>
        </w:rPr>
        <w:t xml:space="preserve">Unless indicated otherwise, this work is made available under the terms of the Creative Commons Attribution 3.0 Australia licence. To view a copy of this licence, visit </w:t>
      </w:r>
      <w:hyperlink r:id="rId20" w:history="1">
        <w:r w:rsidR="00371262" w:rsidRPr="00CB24CB">
          <w:rPr>
            <w:rStyle w:val="Hyperlink"/>
            <w:rFonts w:ascii="Tahoma" w:hAnsi="Tahoma" w:cs="Tahoma"/>
            <w:color w:val="auto"/>
            <w:sz w:val="18"/>
            <w:szCs w:val="18"/>
            <w:u w:val="none"/>
          </w:rPr>
          <w:t>creativecommons.org/licenses/by/3.0/au</w:t>
        </w:r>
      </w:hyperlink>
    </w:p>
    <w:p w:rsidR="00CB24CB" w:rsidRPr="00CB24CB" w:rsidRDefault="00CB24CB" w:rsidP="00CB24CB">
      <w:pPr>
        <w:pStyle w:val="Pa2"/>
        <w:tabs>
          <w:tab w:val="left" w:pos="4962"/>
        </w:tabs>
        <w:spacing w:line="240" w:lineRule="auto"/>
        <w:ind w:right="5103"/>
        <w:rPr>
          <w:rFonts w:ascii="Tahoma" w:hAnsi="Tahoma" w:cs="Tahoma"/>
          <w:color w:val="000000"/>
          <w:sz w:val="18"/>
          <w:szCs w:val="18"/>
        </w:rPr>
      </w:pPr>
    </w:p>
    <w:p w:rsidR="00371262" w:rsidRPr="00CB24CB" w:rsidRDefault="00E219F9" w:rsidP="00CB24CB">
      <w:pPr>
        <w:pStyle w:val="Pa2"/>
        <w:tabs>
          <w:tab w:val="left" w:pos="4962"/>
        </w:tabs>
        <w:spacing w:after="60" w:line="240" w:lineRule="auto"/>
        <w:ind w:right="5103"/>
        <w:rPr>
          <w:rFonts w:ascii="Tahoma" w:hAnsi="Tahoma" w:cs="Tahoma"/>
          <w:sz w:val="18"/>
          <w:szCs w:val="18"/>
        </w:rPr>
      </w:pPr>
      <w:r w:rsidRPr="00CB24CB">
        <w:rPr>
          <w:rFonts w:ascii="Tahoma" w:hAnsi="Tahoma" w:cs="Tahoma"/>
          <w:sz w:val="18"/>
          <w:szCs w:val="18"/>
        </w:rPr>
        <w:t xml:space="preserve">It is a condition of this Creative Commons Attribution 3.0 Licence that you must give credit to the original author who is the State of Victoria. </w:t>
      </w:r>
    </w:p>
    <w:p w:rsidR="00CB24CB" w:rsidRPr="00CB24CB" w:rsidRDefault="00E219F9" w:rsidP="00CB24CB">
      <w:pPr>
        <w:pStyle w:val="Pa2"/>
        <w:tabs>
          <w:tab w:val="left" w:pos="4962"/>
        </w:tabs>
        <w:spacing w:after="60" w:line="240" w:lineRule="auto"/>
        <w:ind w:right="5103"/>
        <w:rPr>
          <w:rFonts w:ascii="Tahoma" w:hAnsi="Tahoma" w:cs="Tahoma"/>
          <w:sz w:val="18"/>
          <w:szCs w:val="18"/>
        </w:rPr>
      </w:pPr>
      <w:r w:rsidRPr="00CB24CB">
        <w:rPr>
          <w:rFonts w:ascii="Tahoma" w:hAnsi="Tahoma" w:cs="Tahoma"/>
          <w:sz w:val="18"/>
          <w:szCs w:val="18"/>
        </w:rPr>
        <w:t>This publication may be of assistance to you</w:t>
      </w:r>
      <w:r w:rsidR="00CB24CB" w:rsidRPr="00CB24CB">
        <w:rPr>
          <w:rFonts w:ascii="Tahoma" w:hAnsi="Tahoma" w:cs="Tahoma"/>
          <w:sz w:val="18"/>
          <w:szCs w:val="18"/>
        </w:rPr>
        <w:t>,</w:t>
      </w:r>
      <w:r w:rsidRPr="00CB24CB">
        <w:rPr>
          <w:rFonts w:ascii="Tahoma" w:hAnsi="Tahoma" w:cs="Tahoma"/>
          <w:sz w:val="18"/>
          <w:szCs w:val="18"/>
        </w:rPr>
        <w:t xml:space="preserve"> but the State of Victoria and its employees do not guarantee that the publication is without flaw of any kind or is wholly appropriate for your particular purposes and therefore disclaims all liability for any error, loss or other consequences which may arise from you relying on any information in this publication.</w:t>
      </w:r>
    </w:p>
    <w:sectPr w:rsidR="00CB24CB" w:rsidRPr="00CB24CB" w:rsidSect="009140E2">
      <w:type w:val="continuous"/>
      <w:pgSz w:w="11906" w:h="16838"/>
      <w:pgMar w:top="993" w:right="707" w:bottom="993"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F33" w:rsidRDefault="00884F33" w:rsidP="00AC1609">
      <w:pPr>
        <w:spacing w:after="0" w:line="240" w:lineRule="auto"/>
      </w:pPr>
      <w:r>
        <w:separator/>
      </w:r>
    </w:p>
  </w:endnote>
  <w:endnote w:type="continuationSeparator" w:id="0">
    <w:p w:rsidR="00884F33" w:rsidRDefault="00884F33" w:rsidP="00AC1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DINOT">
    <w:altName w:val="DINO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C" w:rsidRDefault="00A473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C" w:rsidRDefault="00A473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C" w:rsidRDefault="00A47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F33" w:rsidRDefault="00884F33" w:rsidP="00AC1609">
      <w:pPr>
        <w:spacing w:after="0" w:line="240" w:lineRule="auto"/>
      </w:pPr>
      <w:r>
        <w:separator/>
      </w:r>
    </w:p>
  </w:footnote>
  <w:footnote w:type="continuationSeparator" w:id="0">
    <w:p w:rsidR="00884F33" w:rsidRDefault="00884F33" w:rsidP="00AC1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C" w:rsidRDefault="00A473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33" w:rsidRDefault="00884F33" w:rsidP="00AC1609">
    <w:pPr>
      <w:pStyle w:val="Header"/>
      <w:ind w:left="-141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33" w:rsidRDefault="00884F3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33" w:rsidRDefault="00884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56BEC4"/>
    <w:multiLevelType w:val="hybridMultilevel"/>
    <w:tmpl w:val="2B2CD9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38083E"/>
    <w:multiLevelType w:val="hybridMultilevel"/>
    <w:tmpl w:val="C5A6BB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52334"/>
    <w:multiLevelType w:val="hybridMultilevel"/>
    <w:tmpl w:val="7506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F4D38"/>
    <w:multiLevelType w:val="hybridMultilevel"/>
    <w:tmpl w:val="A16E8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2009F"/>
    <w:multiLevelType w:val="hybridMultilevel"/>
    <w:tmpl w:val="024A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76388E"/>
    <w:multiLevelType w:val="hybridMultilevel"/>
    <w:tmpl w:val="CA083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42D1C2"/>
    <w:multiLevelType w:val="hybridMultilevel"/>
    <w:tmpl w:val="C8A68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D04790F"/>
    <w:multiLevelType w:val="hybridMultilevel"/>
    <w:tmpl w:val="0FD01A06"/>
    <w:lvl w:ilvl="0" w:tplc="0C090001">
      <w:start w:val="1"/>
      <w:numFmt w:val="bullet"/>
      <w:lvlText w:val=""/>
      <w:lvlJc w:val="left"/>
      <w:pPr>
        <w:ind w:left="51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19158F"/>
    <w:multiLevelType w:val="hybridMultilevel"/>
    <w:tmpl w:val="7F6A9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A435721"/>
    <w:multiLevelType w:val="hybridMultilevel"/>
    <w:tmpl w:val="A0A442CE"/>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0">
    <w:nsid w:val="7D544990"/>
    <w:multiLevelType w:val="hybridMultilevel"/>
    <w:tmpl w:val="D11E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
  </w:num>
  <w:num w:numId="5">
    <w:abstractNumId w:val="2"/>
  </w:num>
  <w:num w:numId="6">
    <w:abstractNumId w:val="0"/>
  </w:num>
  <w:num w:numId="7">
    <w:abstractNumId w:val="4"/>
  </w:num>
  <w:num w:numId="8">
    <w:abstractNumId w:val="7"/>
  </w:num>
  <w:num w:numId="9">
    <w:abstractNumId w:val="9"/>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docVars>
    <w:docVar w:name="_AMO_XmlVersion" w:val="Empty"/>
  </w:docVars>
  <w:rsids>
    <w:rsidRoot w:val="00FF156F"/>
    <w:rsid w:val="00001076"/>
    <w:rsid w:val="000148EC"/>
    <w:rsid w:val="00015E2E"/>
    <w:rsid w:val="00016D86"/>
    <w:rsid w:val="0001780A"/>
    <w:rsid w:val="00022A63"/>
    <w:rsid w:val="000256D7"/>
    <w:rsid w:val="00030847"/>
    <w:rsid w:val="0003092F"/>
    <w:rsid w:val="00034D35"/>
    <w:rsid w:val="00035D64"/>
    <w:rsid w:val="0003774F"/>
    <w:rsid w:val="0004315D"/>
    <w:rsid w:val="00043C80"/>
    <w:rsid w:val="00052453"/>
    <w:rsid w:val="00052858"/>
    <w:rsid w:val="00056DC6"/>
    <w:rsid w:val="00060C0E"/>
    <w:rsid w:val="00062799"/>
    <w:rsid w:val="000639D5"/>
    <w:rsid w:val="00066E52"/>
    <w:rsid w:val="000703AD"/>
    <w:rsid w:val="00072A68"/>
    <w:rsid w:val="000766D8"/>
    <w:rsid w:val="000951CB"/>
    <w:rsid w:val="000A46DD"/>
    <w:rsid w:val="000A5D58"/>
    <w:rsid w:val="000A6C49"/>
    <w:rsid w:val="000B1041"/>
    <w:rsid w:val="000B20C7"/>
    <w:rsid w:val="000B40FE"/>
    <w:rsid w:val="000B67CC"/>
    <w:rsid w:val="000B6A27"/>
    <w:rsid w:val="000B77E4"/>
    <w:rsid w:val="000C12A2"/>
    <w:rsid w:val="000C1CA9"/>
    <w:rsid w:val="000D7246"/>
    <w:rsid w:val="000D7A2B"/>
    <w:rsid w:val="000E0ECD"/>
    <w:rsid w:val="000E47AF"/>
    <w:rsid w:val="000E6B8A"/>
    <w:rsid w:val="000E75D4"/>
    <w:rsid w:val="000F00B6"/>
    <w:rsid w:val="000F6C3C"/>
    <w:rsid w:val="0010066A"/>
    <w:rsid w:val="00102EC6"/>
    <w:rsid w:val="00104905"/>
    <w:rsid w:val="00112DC8"/>
    <w:rsid w:val="00123055"/>
    <w:rsid w:val="0012317F"/>
    <w:rsid w:val="001320BA"/>
    <w:rsid w:val="001325D1"/>
    <w:rsid w:val="00133094"/>
    <w:rsid w:val="00137F20"/>
    <w:rsid w:val="00140B4E"/>
    <w:rsid w:val="00141093"/>
    <w:rsid w:val="001414CE"/>
    <w:rsid w:val="00144913"/>
    <w:rsid w:val="00150E23"/>
    <w:rsid w:val="0015200B"/>
    <w:rsid w:val="00171952"/>
    <w:rsid w:val="00172989"/>
    <w:rsid w:val="0017440D"/>
    <w:rsid w:val="00175A84"/>
    <w:rsid w:val="00176133"/>
    <w:rsid w:val="00177044"/>
    <w:rsid w:val="0018087B"/>
    <w:rsid w:val="0018141D"/>
    <w:rsid w:val="00182AAE"/>
    <w:rsid w:val="001A6D22"/>
    <w:rsid w:val="001B39A2"/>
    <w:rsid w:val="001C0BAF"/>
    <w:rsid w:val="001C2628"/>
    <w:rsid w:val="001D09B4"/>
    <w:rsid w:val="001D2DF0"/>
    <w:rsid w:val="001D326C"/>
    <w:rsid w:val="001D75ED"/>
    <w:rsid w:val="001D7BEC"/>
    <w:rsid w:val="001E6E61"/>
    <w:rsid w:val="001F0E80"/>
    <w:rsid w:val="00200699"/>
    <w:rsid w:val="00201A6D"/>
    <w:rsid w:val="00203B58"/>
    <w:rsid w:val="0021499E"/>
    <w:rsid w:val="00215F6E"/>
    <w:rsid w:val="002168EB"/>
    <w:rsid w:val="00222DE2"/>
    <w:rsid w:val="00233117"/>
    <w:rsid w:val="00235FB9"/>
    <w:rsid w:val="0024231B"/>
    <w:rsid w:val="00242FF5"/>
    <w:rsid w:val="00243D77"/>
    <w:rsid w:val="00247AAE"/>
    <w:rsid w:val="00247AD4"/>
    <w:rsid w:val="00247FD8"/>
    <w:rsid w:val="00255A8F"/>
    <w:rsid w:val="00265186"/>
    <w:rsid w:val="002664F5"/>
    <w:rsid w:val="002667F7"/>
    <w:rsid w:val="00267F85"/>
    <w:rsid w:val="00270C74"/>
    <w:rsid w:val="00272834"/>
    <w:rsid w:val="00272DDB"/>
    <w:rsid w:val="00276EAE"/>
    <w:rsid w:val="00281717"/>
    <w:rsid w:val="00281C25"/>
    <w:rsid w:val="00283537"/>
    <w:rsid w:val="00283A52"/>
    <w:rsid w:val="0029247B"/>
    <w:rsid w:val="00294BD1"/>
    <w:rsid w:val="0029512A"/>
    <w:rsid w:val="002A1069"/>
    <w:rsid w:val="002A2F02"/>
    <w:rsid w:val="002A35F9"/>
    <w:rsid w:val="002B2933"/>
    <w:rsid w:val="002B3B1E"/>
    <w:rsid w:val="002C53F8"/>
    <w:rsid w:val="002C7276"/>
    <w:rsid w:val="002D0808"/>
    <w:rsid w:val="002D259A"/>
    <w:rsid w:val="002D2852"/>
    <w:rsid w:val="002E0FDD"/>
    <w:rsid w:val="002E7D93"/>
    <w:rsid w:val="00304FED"/>
    <w:rsid w:val="00307F2B"/>
    <w:rsid w:val="0031195F"/>
    <w:rsid w:val="00313737"/>
    <w:rsid w:val="00315B69"/>
    <w:rsid w:val="00321897"/>
    <w:rsid w:val="003274A7"/>
    <w:rsid w:val="003356BA"/>
    <w:rsid w:val="00335D1B"/>
    <w:rsid w:val="00337C1E"/>
    <w:rsid w:val="00345EC1"/>
    <w:rsid w:val="00345F03"/>
    <w:rsid w:val="00345FAD"/>
    <w:rsid w:val="00346645"/>
    <w:rsid w:val="003478D0"/>
    <w:rsid w:val="003507A0"/>
    <w:rsid w:val="00352DCD"/>
    <w:rsid w:val="00354E47"/>
    <w:rsid w:val="00371262"/>
    <w:rsid w:val="00375087"/>
    <w:rsid w:val="00383351"/>
    <w:rsid w:val="00383B74"/>
    <w:rsid w:val="00385684"/>
    <w:rsid w:val="00385856"/>
    <w:rsid w:val="00386170"/>
    <w:rsid w:val="00386740"/>
    <w:rsid w:val="00391488"/>
    <w:rsid w:val="0039608A"/>
    <w:rsid w:val="00397B42"/>
    <w:rsid w:val="003A74D4"/>
    <w:rsid w:val="003B3D6E"/>
    <w:rsid w:val="003B78EC"/>
    <w:rsid w:val="003C45B2"/>
    <w:rsid w:val="003C65BF"/>
    <w:rsid w:val="003D0B52"/>
    <w:rsid w:val="003D2517"/>
    <w:rsid w:val="003D314A"/>
    <w:rsid w:val="003D523F"/>
    <w:rsid w:val="003D691A"/>
    <w:rsid w:val="003E53CD"/>
    <w:rsid w:val="003E55CA"/>
    <w:rsid w:val="003E6069"/>
    <w:rsid w:val="003F0A78"/>
    <w:rsid w:val="003F380D"/>
    <w:rsid w:val="003F7D03"/>
    <w:rsid w:val="00403260"/>
    <w:rsid w:val="0041604E"/>
    <w:rsid w:val="00420AB0"/>
    <w:rsid w:val="00421297"/>
    <w:rsid w:val="00422552"/>
    <w:rsid w:val="00425685"/>
    <w:rsid w:val="00427742"/>
    <w:rsid w:val="004334A9"/>
    <w:rsid w:val="0043466F"/>
    <w:rsid w:val="00437D8F"/>
    <w:rsid w:val="00443FD5"/>
    <w:rsid w:val="00444AC3"/>
    <w:rsid w:val="00446AB0"/>
    <w:rsid w:val="004519F0"/>
    <w:rsid w:val="004534FE"/>
    <w:rsid w:val="00455279"/>
    <w:rsid w:val="00456C67"/>
    <w:rsid w:val="00463D13"/>
    <w:rsid w:val="00464109"/>
    <w:rsid w:val="00467221"/>
    <w:rsid w:val="004713A2"/>
    <w:rsid w:val="00480D3E"/>
    <w:rsid w:val="004837B4"/>
    <w:rsid w:val="004851F2"/>
    <w:rsid w:val="00490DDB"/>
    <w:rsid w:val="00492E96"/>
    <w:rsid w:val="00493EB3"/>
    <w:rsid w:val="004A2747"/>
    <w:rsid w:val="004B04C8"/>
    <w:rsid w:val="004B4991"/>
    <w:rsid w:val="004B62CE"/>
    <w:rsid w:val="004C3E02"/>
    <w:rsid w:val="004D1E2B"/>
    <w:rsid w:val="004D1F38"/>
    <w:rsid w:val="004D3FEC"/>
    <w:rsid w:val="004E0058"/>
    <w:rsid w:val="004E4823"/>
    <w:rsid w:val="004F2D15"/>
    <w:rsid w:val="004F6531"/>
    <w:rsid w:val="0050703E"/>
    <w:rsid w:val="005073C9"/>
    <w:rsid w:val="005133B4"/>
    <w:rsid w:val="005147FD"/>
    <w:rsid w:val="005149EA"/>
    <w:rsid w:val="005207A5"/>
    <w:rsid w:val="005233E7"/>
    <w:rsid w:val="0052451B"/>
    <w:rsid w:val="00536E97"/>
    <w:rsid w:val="00537BFD"/>
    <w:rsid w:val="00542FEC"/>
    <w:rsid w:val="00554CAF"/>
    <w:rsid w:val="00556321"/>
    <w:rsid w:val="00560EB0"/>
    <w:rsid w:val="00563A8C"/>
    <w:rsid w:val="00563EE5"/>
    <w:rsid w:val="005674BE"/>
    <w:rsid w:val="00572DA1"/>
    <w:rsid w:val="005762B1"/>
    <w:rsid w:val="00577579"/>
    <w:rsid w:val="0058094D"/>
    <w:rsid w:val="0058185F"/>
    <w:rsid w:val="0058207C"/>
    <w:rsid w:val="00584176"/>
    <w:rsid w:val="005859BE"/>
    <w:rsid w:val="00590DE5"/>
    <w:rsid w:val="00592F34"/>
    <w:rsid w:val="005A676B"/>
    <w:rsid w:val="005B7D67"/>
    <w:rsid w:val="005C0740"/>
    <w:rsid w:val="005C6F06"/>
    <w:rsid w:val="005C721D"/>
    <w:rsid w:val="005C78B7"/>
    <w:rsid w:val="005C79CF"/>
    <w:rsid w:val="005D196F"/>
    <w:rsid w:val="005D524E"/>
    <w:rsid w:val="005D7F29"/>
    <w:rsid w:val="005E0BA8"/>
    <w:rsid w:val="005E3244"/>
    <w:rsid w:val="005E69FA"/>
    <w:rsid w:val="005F0EB5"/>
    <w:rsid w:val="005F4052"/>
    <w:rsid w:val="005F4DD6"/>
    <w:rsid w:val="00605F77"/>
    <w:rsid w:val="006079F7"/>
    <w:rsid w:val="00611217"/>
    <w:rsid w:val="00616029"/>
    <w:rsid w:val="00623F3B"/>
    <w:rsid w:val="00634688"/>
    <w:rsid w:val="006373E3"/>
    <w:rsid w:val="006411A4"/>
    <w:rsid w:val="00642CAB"/>
    <w:rsid w:val="00651536"/>
    <w:rsid w:val="00655990"/>
    <w:rsid w:val="00656540"/>
    <w:rsid w:val="00667BC1"/>
    <w:rsid w:val="00677F43"/>
    <w:rsid w:val="00684B87"/>
    <w:rsid w:val="006876C8"/>
    <w:rsid w:val="00694C1A"/>
    <w:rsid w:val="006950AB"/>
    <w:rsid w:val="006A126B"/>
    <w:rsid w:val="006A14ED"/>
    <w:rsid w:val="006A287E"/>
    <w:rsid w:val="006A2FD0"/>
    <w:rsid w:val="006A5D75"/>
    <w:rsid w:val="006B0F89"/>
    <w:rsid w:val="006B60D6"/>
    <w:rsid w:val="006B6F02"/>
    <w:rsid w:val="006C069A"/>
    <w:rsid w:val="006C3D89"/>
    <w:rsid w:val="006C4E2C"/>
    <w:rsid w:val="006C4F3B"/>
    <w:rsid w:val="006C6DA8"/>
    <w:rsid w:val="006C7DAC"/>
    <w:rsid w:val="006D397B"/>
    <w:rsid w:val="006E1920"/>
    <w:rsid w:val="006E2CAF"/>
    <w:rsid w:val="006E41EB"/>
    <w:rsid w:val="006E7D77"/>
    <w:rsid w:val="006F569F"/>
    <w:rsid w:val="0070279A"/>
    <w:rsid w:val="00710712"/>
    <w:rsid w:val="0071211B"/>
    <w:rsid w:val="00716515"/>
    <w:rsid w:val="0072113E"/>
    <w:rsid w:val="00721655"/>
    <w:rsid w:val="00722935"/>
    <w:rsid w:val="007273F5"/>
    <w:rsid w:val="00730008"/>
    <w:rsid w:val="007342C2"/>
    <w:rsid w:val="00737F2A"/>
    <w:rsid w:val="00750020"/>
    <w:rsid w:val="00750519"/>
    <w:rsid w:val="00753944"/>
    <w:rsid w:val="0075536D"/>
    <w:rsid w:val="00755764"/>
    <w:rsid w:val="00756A5D"/>
    <w:rsid w:val="00757532"/>
    <w:rsid w:val="0075787D"/>
    <w:rsid w:val="00760089"/>
    <w:rsid w:val="0076053C"/>
    <w:rsid w:val="007647BC"/>
    <w:rsid w:val="00765CB0"/>
    <w:rsid w:val="00767850"/>
    <w:rsid w:val="00770304"/>
    <w:rsid w:val="00773E64"/>
    <w:rsid w:val="00794301"/>
    <w:rsid w:val="007A10F7"/>
    <w:rsid w:val="007A23AE"/>
    <w:rsid w:val="007A26CE"/>
    <w:rsid w:val="007A3DF1"/>
    <w:rsid w:val="007B08F9"/>
    <w:rsid w:val="007B3328"/>
    <w:rsid w:val="007B6CB4"/>
    <w:rsid w:val="007C562E"/>
    <w:rsid w:val="007C7A80"/>
    <w:rsid w:val="007D4A60"/>
    <w:rsid w:val="007D6196"/>
    <w:rsid w:val="007E630D"/>
    <w:rsid w:val="007F1AC6"/>
    <w:rsid w:val="007F2800"/>
    <w:rsid w:val="007F4758"/>
    <w:rsid w:val="007F476A"/>
    <w:rsid w:val="0080060A"/>
    <w:rsid w:val="008053D1"/>
    <w:rsid w:val="0080677A"/>
    <w:rsid w:val="00811DD6"/>
    <w:rsid w:val="0081584D"/>
    <w:rsid w:val="00820626"/>
    <w:rsid w:val="00823A3E"/>
    <w:rsid w:val="00825B88"/>
    <w:rsid w:val="0082765C"/>
    <w:rsid w:val="00834C9D"/>
    <w:rsid w:val="00840289"/>
    <w:rsid w:val="00841568"/>
    <w:rsid w:val="00850D21"/>
    <w:rsid w:val="00854345"/>
    <w:rsid w:val="0085448E"/>
    <w:rsid w:val="00860CCF"/>
    <w:rsid w:val="00861358"/>
    <w:rsid w:val="00865CF3"/>
    <w:rsid w:val="00866C24"/>
    <w:rsid w:val="00867F3E"/>
    <w:rsid w:val="008763D4"/>
    <w:rsid w:val="008776ED"/>
    <w:rsid w:val="00884F33"/>
    <w:rsid w:val="0088502A"/>
    <w:rsid w:val="00887D99"/>
    <w:rsid w:val="00891372"/>
    <w:rsid w:val="00892B25"/>
    <w:rsid w:val="00894924"/>
    <w:rsid w:val="008A3C25"/>
    <w:rsid w:val="008A6DDA"/>
    <w:rsid w:val="008A73B4"/>
    <w:rsid w:val="008B6C0D"/>
    <w:rsid w:val="008C572F"/>
    <w:rsid w:val="008C62E7"/>
    <w:rsid w:val="008C6368"/>
    <w:rsid w:val="008C6A87"/>
    <w:rsid w:val="008C6CD0"/>
    <w:rsid w:val="008D25B7"/>
    <w:rsid w:val="008D25BF"/>
    <w:rsid w:val="008D53EE"/>
    <w:rsid w:val="008E38B5"/>
    <w:rsid w:val="008E716C"/>
    <w:rsid w:val="008F025B"/>
    <w:rsid w:val="008F517D"/>
    <w:rsid w:val="00901300"/>
    <w:rsid w:val="00901AE9"/>
    <w:rsid w:val="009136F7"/>
    <w:rsid w:val="00913E95"/>
    <w:rsid w:val="009140E2"/>
    <w:rsid w:val="00915BBC"/>
    <w:rsid w:val="00915DD1"/>
    <w:rsid w:val="009219EC"/>
    <w:rsid w:val="00922B9F"/>
    <w:rsid w:val="009236A3"/>
    <w:rsid w:val="00925E66"/>
    <w:rsid w:val="0092749A"/>
    <w:rsid w:val="00933DCB"/>
    <w:rsid w:val="00937A28"/>
    <w:rsid w:val="00940CC3"/>
    <w:rsid w:val="00946316"/>
    <w:rsid w:val="009464E7"/>
    <w:rsid w:val="009473A6"/>
    <w:rsid w:val="00957100"/>
    <w:rsid w:val="009637E2"/>
    <w:rsid w:val="0096586D"/>
    <w:rsid w:val="009705D5"/>
    <w:rsid w:val="009738F5"/>
    <w:rsid w:val="009754E1"/>
    <w:rsid w:val="0097710F"/>
    <w:rsid w:val="00992623"/>
    <w:rsid w:val="0099305B"/>
    <w:rsid w:val="00993BF6"/>
    <w:rsid w:val="00994896"/>
    <w:rsid w:val="009975AD"/>
    <w:rsid w:val="00997AF0"/>
    <w:rsid w:val="009A0277"/>
    <w:rsid w:val="009B62A0"/>
    <w:rsid w:val="009B789A"/>
    <w:rsid w:val="009C5586"/>
    <w:rsid w:val="009C64F1"/>
    <w:rsid w:val="009C6BED"/>
    <w:rsid w:val="009D1AA8"/>
    <w:rsid w:val="009D3607"/>
    <w:rsid w:val="009D53F2"/>
    <w:rsid w:val="009D58FD"/>
    <w:rsid w:val="009D78A4"/>
    <w:rsid w:val="009E148A"/>
    <w:rsid w:val="009E16A2"/>
    <w:rsid w:val="009E6E02"/>
    <w:rsid w:val="009F08E4"/>
    <w:rsid w:val="009F4BB7"/>
    <w:rsid w:val="009F79B2"/>
    <w:rsid w:val="00A022AA"/>
    <w:rsid w:val="00A04848"/>
    <w:rsid w:val="00A04AD7"/>
    <w:rsid w:val="00A07E7F"/>
    <w:rsid w:val="00A11F0B"/>
    <w:rsid w:val="00A1775D"/>
    <w:rsid w:val="00A3046A"/>
    <w:rsid w:val="00A312DD"/>
    <w:rsid w:val="00A3351B"/>
    <w:rsid w:val="00A342A3"/>
    <w:rsid w:val="00A3462B"/>
    <w:rsid w:val="00A42289"/>
    <w:rsid w:val="00A426DE"/>
    <w:rsid w:val="00A47156"/>
    <w:rsid w:val="00A4739C"/>
    <w:rsid w:val="00A50EB3"/>
    <w:rsid w:val="00A558A3"/>
    <w:rsid w:val="00A61720"/>
    <w:rsid w:val="00A66284"/>
    <w:rsid w:val="00A66A24"/>
    <w:rsid w:val="00A67601"/>
    <w:rsid w:val="00A704B1"/>
    <w:rsid w:val="00A73D1E"/>
    <w:rsid w:val="00A77F05"/>
    <w:rsid w:val="00A82FB8"/>
    <w:rsid w:val="00A84BE7"/>
    <w:rsid w:val="00A91C1E"/>
    <w:rsid w:val="00A94B61"/>
    <w:rsid w:val="00A954A3"/>
    <w:rsid w:val="00A96840"/>
    <w:rsid w:val="00AA39A8"/>
    <w:rsid w:val="00AA4A61"/>
    <w:rsid w:val="00AA5188"/>
    <w:rsid w:val="00AA611C"/>
    <w:rsid w:val="00AA703D"/>
    <w:rsid w:val="00AB0131"/>
    <w:rsid w:val="00AB18E4"/>
    <w:rsid w:val="00AB5342"/>
    <w:rsid w:val="00AC044D"/>
    <w:rsid w:val="00AC0E3A"/>
    <w:rsid w:val="00AC1609"/>
    <w:rsid w:val="00AC195E"/>
    <w:rsid w:val="00AC6004"/>
    <w:rsid w:val="00AC6F56"/>
    <w:rsid w:val="00AD2F07"/>
    <w:rsid w:val="00AD3727"/>
    <w:rsid w:val="00AD3D16"/>
    <w:rsid w:val="00AD5FBB"/>
    <w:rsid w:val="00AE2AB3"/>
    <w:rsid w:val="00AE3A82"/>
    <w:rsid w:val="00AE56CD"/>
    <w:rsid w:val="00AF65DC"/>
    <w:rsid w:val="00AF70F5"/>
    <w:rsid w:val="00AF75C9"/>
    <w:rsid w:val="00AF7974"/>
    <w:rsid w:val="00B03B6D"/>
    <w:rsid w:val="00B0721A"/>
    <w:rsid w:val="00B11B23"/>
    <w:rsid w:val="00B22F9D"/>
    <w:rsid w:val="00B23687"/>
    <w:rsid w:val="00B33F63"/>
    <w:rsid w:val="00B41418"/>
    <w:rsid w:val="00B41683"/>
    <w:rsid w:val="00B41E9F"/>
    <w:rsid w:val="00B44F8F"/>
    <w:rsid w:val="00B46720"/>
    <w:rsid w:val="00B528EB"/>
    <w:rsid w:val="00B571A6"/>
    <w:rsid w:val="00B72648"/>
    <w:rsid w:val="00B72C90"/>
    <w:rsid w:val="00B7774D"/>
    <w:rsid w:val="00B77AED"/>
    <w:rsid w:val="00B84556"/>
    <w:rsid w:val="00B84797"/>
    <w:rsid w:val="00B84C37"/>
    <w:rsid w:val="00B86DA0"/>
    <w:rsid w:val="00B8793D"/>
    <w:rsid w:val="00B87FEC"/>
    <w:rsid w:val="00B90C24"/>
    <w:rsid w:val="00B911E9"/>
    <w:rsid w:val="00B91CC3"/>
    <w:rsid w:val="00B920FC"/>
    <w:rsid w:val="00B92416"/>
    <w:rsid w:val="00B93D3E"/>
    <w:rsid w:val="00B96739"/>
    <w:rsid w:val="00B97745"/>
    <w:rsid w:val="00BA00A9"/>
    <w:rsid w:val="00BA0786"/>
    <w:rsid w:val="00BA695C"/>
    <w:rsid w:val="00BB7538"/>
    <w:rsid w:val="00BB7F49"/>
    <w:rsid w:val="00BC3AD8"/>
    <w:rsid w:val="00BC5024"/>
    <w:rsid w:val="00BD1CB7"/>
    <w:rsid w:val="00BD1F44"/>
    <w:rsid w:val="00BD5452"/>
    <w:rsid w:val="00BE325E"/>
    <w:rsid w:val="00BE76BC"/>
    <w:rsid w:val="00BF2347"/>
    <w:rsid w:val="00BF7FF0"/>
    <w:rsid w:val="00C0010B"/>
    <w:rsid w:val="00C005C0"/>
    <w:rsid w:val="00C01ED3"/>
    <w:rsid w:val="00C04510"/>
    <w:rsid w:val="00C13DFE"/>
    <w:rsid w:val="00C15699"/>
    <w:rsid w:val="00C22C28"/>
    <w:rsid w:val="00C36F3F"/>
    <w:rsid w:val="00C424C3"/>
    <w:rsid w:val="00C54A11"/>
    <w:rsid w:val="00C54B28"/>
    <w:rsid w:val="00C55D0D"/>
    <w:rsid w:val="00C608B6"/>
    <w:rsid w:val="00C61768"/>
    <w:rsid w:val="00C633F9"/>
    <w:rsid w:val="00C76806"/>
    <w:rsid w:val="00C76E15"/>
    <w:rsid w:val="00C80A4E"/>
    <w:rsid w:val="00C8373C"/>
    <w:rsid w:val="00C84D0D"/>
    <w:rsid w:val="00C924BB"/>
    <w:rsid w:val="00C96AC9"/>
    <w:rsid w:val="00CA6A63"/>
    <w:rsid w:val="00CB05A7"/>
    <w:rsid w:val="00CB24CB"/>
    <w:rsid w:val="00CC0DAB"/>
    <w:rsid w:val="00CC6F2B"/>
    <w:rsid w:val="00CC7F95"/>
    <w:rsid w:val="00CD2B93"/>
    <w:rsid w:val="00CE00E6"/>
    <w:rsid w:val="00CE4ACE"/>
    <w:rsid w:val="00CE4CE0"/>
    <w:rsid w:val="00CF533B"/>
    <w:rsid w:val="00CF5CFC"/>
    <w:rsid w:val="00CF63C2"/>
    <w:rsid w:val="00D02E12"/>
    <w:rsid w:val="00D037CF"/>
    <w:rsid w:val="00D13965"/>
    <w:rsid w:val="00D17A3B"/>
    <w:rsid w:val="00D17C26"/>
    <w:rsid w:val="00D2066B"/>
    <w:rsid w:val="00D30A90"/>
    <w:rsid w:val="00D3404C"/>
    <w:rsid w:val="00D44E83"/>
    <w:rsid w:val="00D45D8B"/>
    <w:rsid w:val="00D51D5D"/>
    <w:rsid w:val="00D5430B"/>
    <w:rsid w:val="00D54ADB"/>
    <w:rsid w:val="00D569D1"/>
    <w:rsid w:val="00D632BC"/>
    <w:rsid w:val="00D63381"/>
    <w:rsid w:val="00D65ED3"/>
    <w:rsid w:val="00D663D0"/>
    <w:rsid w:val="00D7503C"/>
    <w:rsid w:val="00D81EF1"/>
    <w:rsid w:val="00D82797"/>
    <w:rsid w:val="00D925CA"/>
    <w:rsid w:val="00D936CA"/>
    <w:rsid w:val="00DA2EE1"/>
    <w:rsid w:val="00DA4A5C"/>
    <w:rsid w:val="00DA5B3B"/>
    <w:rsid w:val="00DB0BD9"/>
    <w:rsid w:val="00DB0BF6"/>
    <w:rsid w:val="00DB3D76"/>
    <w:rsid w:val="00DD286C"/>
    <w:rsid w:val="00DD7828"/>
    <w:rsid w:val="00DE3F0C"/>
    <w:rsid w:val="00DE5F38"/>
    <w:rsid w:val="00DE7B5D"/>
    <w:rsid w:val="00DF0749"/>
    <w:rsid w:val="00DF2319"/>
    <w:rsid w:val="00E04415"/>
    <w:rsid w:val="00E06E2B"/>
    <w:rsid w:val="00E12F8D"/>
    <w:rsid w:val="00E2024D"/>
    <w:rsid w:val="00E219F9"/>
    <w:rsid w:val="00E228DF"/>
    <w:rsid w:val="00E24A31"/>
    <w:rsid w:val="00E25235"/>
    <w:rsid w:val="00E263F5"/>
    <w:rsid w:val="00E318EF"/>
    <w:rsid w:val="00E31E0D"/>
    <w:rsid w:val="00E332D8"/>
    <w:rsid w:val="00E33674"/>
    <w:rsid w:val="00E3418E"/>
    <w:rsid w:val="00E4481D"/>
    <w:rsid w:val="00E52F54"/>
    <w:rsid w:val="00E606FA"/>
    <w:rsid w:val="00E609B7"/>
    <w:rsid w:val="00E612FD"/>
    <w:rsid w:val="00E621B4"/>
    <w:rsid w:val="00E65958"/>
    <w:rsid w:val="00E671A3"/>
    <w:rsid w:val="00E676BC"/>
    <w:rsid w:val="00E67939"/>
    <w:rsid w:val="00E71AAD"/>
    <w:rsid w:val="00E75350"/>
    <w:rsid w:val="00E7573C"/>
    <w:rsid w:val="00E84185"/>
    <w:rsid w:val="00E91524"/>
    <w:rsid w:val="00E91F7E"/>
    <w:rsid w:val="00E92BC5"/>
    <w:rsid w:val="00E9543D"/>
    <w:rsid w:val="00E96AC5"/>
    <w:rsid w:val="00E97E11"/>
    <w:rsid w:val="00EA3B46"/>
    <w:rsid w:val="00EB0C26"/>
    <w:rsid w:val="00EC14CE"/>
    <w:rsid w:val="00EC4520"/>
    <w:rsid w:val="00EC783B"/>
    <w:rsid w:val="00EE1360"/>
    <w:rsid w:val="00EE46F0"/>
    <w:rsid w:val="00EF10CC"/>
    <w:rsid w:val="00EF265A"/>
    <w:rsid w:val="00F03E4F"/>
    <w:rsid w:val="00F17AB2"/>
    <w:rsid w:val="00F20CAD"/>
    <w:rsid w:val="00F301F8"/>
    <w:rsid w:val="00F361B8"/>
    <w:rsid w:val="00F37AEC"/>
    <w:rsid w:val="00F44612"/>
    <w:rsid w:val="00F47891"/>
    <w:rsid w:val="00F51AE5"/>
    <w:rsid w:val="00F52B6C"/>
    <w:rsid w:val="00F5696E"/>
    <w:rsid w:val="00F62AAD"/>
    <w:rsid w:val="00F66B83"/>
    <w:rsid w:val="00F8457E"/>
    <w:rsid w:val="00F85585"/>
    <w:rsid w:val="00F873C7"/>
    <w:rsid w:val="00F94510"/>
    <w:rsid w:val="00F95988"/>
    <w:rsid w:val="00FA09F2"/>
    <w:rsid w:val="00FA27A1"/>
    <w:rsid w:val="00FA3AAA"/>
    <w:rsid w:val="00FA3B94"/>
    <w:rsid w:val="00FA3E3C"/>
    <w:rsid w:val="00FA4827"/>
    <w:rsid w:val="00FA5650"/>
    <w:rsid w:val="00FB3EBB"/>
    <w:rsid w:val="00FC181D"/>
    <w:rsid w:val="00FC20D8"/>
    <w:rsid w:val="00FD4498"/>
    <w:rsid w:val="00FD5C63"/>
    <w:rsid w:val="00FE0D78"/>
    <w:rsid w:val="00FE2619"/>
    <w:rsid w:val="00FE4928"/>
    <w:rsid w:val="00FE55DD"/>
    <w:rsid w:val="00FF142B"/>
    <w:rsid w:val="00FF156F"/>
    <w:rsid w:val="00FF3E10"/>
    <w:rsid w:val="00FF63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56F"/>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FF156F"/>
    <w:rPr>
      <w:rFonts w:ascii="DINOT" w:hAnsi="DINOT" w:cs="DINOT"/>
      <w:color w:val="221E1F"/>
      <w:sz w:val="19"/>
      <w:szCs w:val="19"/>
    </w:rPr>
  </w:style>
  <w:style w:type="character" w:customStyle="1" w:styleId="A7">
    <w:name w:val="A7"/>
    <w:uiPriority w:val="99"/>
    <w:rsid w:val="00FF156F"/>
    <w:rPr>
      <w:rFonts w:cs="Helvetica 45 Light"/>
      <w:color w:val="008B80"/>
      <w:sz w:val="42"/>
      <w:szCs w:val="42"/>
    </w:rPr>
  </w:style>
  <w:style w:type="character" w:styleId="Strong">
    <w:name w:val="Strong"/>
    <w:basedOn w:val="DefaultParagraphFont"/>
    <w:uiPriority w:val="22"/>
    <w:qFormat/>
    <w:rsid w:val="00E219F9"/>
    <w:rPr>
      <w:b/>
      <w:bCs/>
    </w:rPr>
  </w:style>
  <w:style w:type="paragraph" w:customStyle="1" w:styleId="Pa2">
    <w:name w:val="Pa2"/>
    <w:basedOn w:val="Default"/>
    <w:next w:val="Default"/>
    <w:uiPriority w:val="99"/>
    <w:rsid w:val="00E219F9"/>
    <w:pPr>
      <w:spacing w:line="141" w:lineRule="atLeast"/>
    </w:pPr>
    <w:rPr>
      <w:rFonts w:cstheme="minorBidi"/>
      <w:color w:val="auto"/>
    </w:rPr>
  </w:style>
  <w:style w:type="paragraph" w:styleId="ListParagraph">
    <w:name w:val="List Paragraph"/>
    <w:basedOn w:val="Normal"/>
    <w:uiPriority w:val="34"/>
    <w:qFormat/>
    <w:rsid w:val="00375087"/>
    <w:pPr>
      <w:ind w:left="720"/>
      <w:contextualSpacing/>
    </w:pPr>
  </w:style>
  <w:style w:type="table" w:styleId="TableGrid">
    <w:name w:val="Table Grid"/>
    <w:basedOn w:val="TableNormal"/>
    <w:uiPriority w:val="59"/>
    <w:rsid w:val="00BA6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49"/>
    <w:rPr>
      <w:rFonts w:ascii="Tahoma" w:hAnsi="Tahoma" w:cs="Tahoma"/>
      <w:sz w:val="16"/>
      <w:szCs w:val="16"/>
    </w:rPr>
  </w:style>
  <w:style w:type="character" w:styleId="Hyperlink">
    <w:name w:val="Hyperlink"/>
    <w:basedOn w:val="DefaultParagraphFont"/>
    <w:uiPriority w:val="99"/>
    <w:unhideWhenUsed/>
    <w:rsid w:val="00371262"/>
    <w:rPr>
      <w:color w:val="0000FF" w:themeColor="hyperlink"/>
      <w:u w:val="single"/>
    </w:rPr>
  </w:style>
  <w:style w:type="paragraph" w:styleId="Header">
    <w:name w:val="header"/>
    <w:basedOn w:val="Normal"/>
    <w:link w:val="HeaderChar"/>
    <w:uiPriority w:val="99"/>
    <w:semiHidden/>
    <w:unhideWhenUsed/>
    <w:rsid w:val="00AC16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1609"/>
  </w:style>
  <w:style w:type="paragraph" w:styleId="Footer">
    <w:name w:val="footer"/>
    <w:basedOn w:val="Normal"/>
    <w:link w:val="FooterChar"/>
    <w:uiPriority w:val="99"/>
    <w:semiHidden/>
    <w:unhideWhenUsed/>
    <w:rsid w:val="00AC16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1609"/>
  </w:style>
  <w:style w:type="paragraph" w:styleId="EndnoteText">
    <w:name w:val="endnote text"/>
    <w:basedOn w:val="Normal"/>
    <w:link w:val="EndnoteTextChar"/>
    <w:uiPriority w:val="99"/>
    <w:semiHidden/>
    <w:unhideWhenUsed/>
    <w:rsid w:val="005818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185F"/>
    <w:rPr>
      <w:sz w:val="20"/>
      <w:szCs w:val="20"/>
    </w:rPr>
  </w:style>
  <w:style w:type="character" w:styleId="EndnoteReference">
    <w:name w:val="endnote reference"/>
    <w:basedOn w:val="DefaultParagraphFont"/>
    <w:uiPriority w:val="99"/>
    <w:semiHidden/>
    <w:unhideWhenUsed/>
    <w:rsid w:val="0058185F"/>
    <w:rPr>
      <w:vertAlign w:val="superscript"/>
    </w:rPr>
  </w:style>
  <w:style w:type="paragraph" w:styleId="FootnoteText">
    <w:name w:val="footnote text"/>
    <w:basedOn w:val="Normal"/>
    <w:link w:val="FootnoteTextChar"/>
    <w:uiPriority w:val="99"/>
    <w:semiHidden/>
    <w:unhideWhenUsed/>
    <w:rsid w:val="004F65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531"/>
    <w:rPr>
      <w:sz w:val="20"/>
      <w:szCs w:val="20"/>
    </w:rPr>
  </w:style>
  <w:style w:type="character" w:styleId="FootnoteReference">
    <w:name w:val="footnote reference"/>
    <w:basedOn w:val="DefaultParagraphFont"/>
    <w:uiPriority w:val="99"/>
    <w:semiHidden/>
    <w:unhideWhenUsed/>
    <w:rsid w:val="004F6531"/>
    <w:rPr>
      <w:vertAlign w:val="superscript"/>
    </w:rPr>
  </w:style>
  <w:style w:type="paragraph" w:styleId="Caption">
    <w:name w:val="caption"/>
    <w:basedOn w:val="Normal"/>
    <w:next w:val="Normal"/>
    <w:uiPriority w:val="35"/>
    <w:unhideWhenUsed/>
    <w:qFormat/>
    <w:rsid w:val="009219E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4765067">
      <w:bodyDiv w:val="1"/>
      <w:marLeft w:val="0"/>
      <w:marRight w:val="0"/>
      <w:marTop w:val="0"/>
      <w:marBottom w:val="0"/>
      <w:divBdr>
        <w:top w:val="none" w:sz="0" w:space="0" w:color="auto"/>
        <w:left w:val="none" w:sz="0" w:space="0" w:color="auto"/>
        <w:bottom w:val="none" w:sz="0" w:space="0" w:color="auto"/>
        <w:right w:val="none" w:sz="0" w:space="0" w:color="auto"/>
      </w:divBdr>
    </w:div>
    <w:div w:id="459033520">
      <w:bodyDiv w:val="1"/>
      <w:marLeft w:val="0"/>
      <w:marRight w:val="0"/>
      <w:marTop w:val="0"/>
      <w:marBottom w:val="0"/>
      <w:divBdr>
        <w:top w:val="none" w:sz="0" w:space="0" w:color="auto"/>
        <w:left w:val="none" w:sz="0" w:space="0" w:color="auto"/>
        <w:bottom w:val="none" w:sz="0" w:space="0" w:color="auto"/>
        <w:right w:val="none" w:sz="0" w:space="0" w:color="auto"/>
      </w:divBdr>
    </w:div>
    <w:div w:id="1286354211">
      <w:bodyDiv w:val="1"/>
      <w:marLeft w:val="0"/>
      <w:marRight w:val="0"/>
      <w:marTop w:val="0"/>
      <w:marBottom w:val="0"/>
      <w:divBdr>
        <w:top w:val="none" w:sz="0" w:space="0" w:color="auto"/>
        <w:left w:val="none" w:sz="0" w:space="0" w:color="auto"/>
        <w:bottom w:val="none" w:sz="0" w:space="0" w:color="auto"/>
        <w:right w:val="none" w:sz="0" w:space="0" w:color="auto"/>
      </w:divBdr>
    </w:div>
    <w:div w:id="1899245221">
      <w:bodyDiv w:val="1"/>
      <w:marLeft w:val="0"/>
      <w:marRight w:val="0"/>
      <w:marTop w:val="0"/>
      <w:marBottom w:val="0"/>
      <w:divBdr>
        <w:top w:val="none" w:sz="0" w:space="0" w:color="auto"/>
        <w:left w:val="none" w:sz="0" w:space="0" w:color="auto"/>
        <w:bottom w:val="none" w:sz="0" w:space="0" w:color="auto"/>
        <w:right w:val="none" w:sz="0" w:space="0" w:color="auto"/>
      </w:divBdr>
    </w:div>
    <w:div w:id="20935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nternal.vic.gov.au\DTPLI\Groupdata\data2\SPRF\SAR\Ongoing\Newsletters%20&amp;%20Bulletins\Population%20Bulletin\Pop%20Bulletin%2021%20-%202013%20Special%20Edition%20part%202\Pop%20bulletin%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nternal.vic.gov.au\DTPLI\Groupdata\data2\SPRF\SAR\Ongoing\Newsletters%20&amp;%20Bulletins\Population%20Bulletin\Pop%20Bulletin%2021%20-%202013%20Special%20Edition%20part%202\Pop%20bulletin%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nternal.vic.gov.au\DTPLI\Groupdata\data2\SPRF\SAR\Ongoing\Newsletters%20&amp;%20Bulletins\Population%20Bulletin\Pop%20Bulletin%2021%20-%202013%20Special%20Edition%20part%202\Pop%20bulleti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plotArea>
      <c:layout/>
      <c:barChart>
        <c:barDir val="col"/>
        <c:grouping val="clustered"/>
        <c:ser>
          <c:idx val="0"/>
          <c:order val="0"/>
          <c:tx>
            <c:strRef>
              <c:f>'Part Two data - T2'!$R$3</c:f>
              <c:strCache>
                <c:ptCount val="1"/>
                <c:pt idx="0">
                  <c:v>Capital city</c:v>
                </c:pt>
              </c:strCache>
            </c:strRef>
          </c:tx>
          <c:spPr>
            <a:solidFill>
              <a:srgbClr val="006F97"/>
            </a:solidFill>
          </c:spPr>
          <c:cat>
            <c:strRef>
              <c:f>'Part Two data - T2'!$Q$4:$Q$11</c:f>
              <c:strCache>
                <c:ptCount val="8"/>
                <c:pt idx="0">
                  <c:v>NSW</c:v>
                </c:pt>
                <c:pt idx="1">
                  <c:v>Vic</c:v>
                </c:pt>
                <c:pt idx="2">
                  <c:v>Qld</c:v>
                </c:pt>
                <c:pt idx="3">
                  <c:v>SA</c:v>
                </c:pt>
                <c:pt idx="4">
                  <c:v>WA</c:v>
                </c:pt>
                <c:pt idx="5">
                  <c:v>Tas</c:v>
                </c:pt>
                <c:pt idx="6">
                  <c:v>NT</c:v>
                </c:pt>
                <c:pt idx="7">
                  <c:v>ACT</c:v>
                </c:pt>
              </c:strCache>
            </c:strRef>
          </c:cat>
          <c:val>
            <c:numRef>
              <c:f>'Part Two data - T2'!$R$4:$R$11</c:f>
              <c:numCache>
                <c:formatCode>0%</c:formatCode>
                <c:ptCount val="8"/>
                <c:pt idx="0">
                  <c:v>0.63900216042672642</c:v>
                </c:pt>
                <c:pt idx="1">
                  <c:v>0.80686508663983225</c:v>
                </c:pt>
                <c:pt idx="2">
                  <c:v>0.45310599616880881</c:v>
                </c:pt>
                <c:pt idx="3">
                  <c:v>0.86505346985210452</c:v>
                </c:pt>
                <c:pt idx="4">
                  <c:v>0.83794086528288236</c:v>
                </c:pt>
                <c:pt idx="5">
                  <c:v>0.52176174940481435</c:v>
                </c:pt>
                <c:pt idx="6">
                  <c:v>0.61904271178988435</c:v>
                </c:pt>
                <c:pt idx="7">
                  <c:v>1</c:v>
                </c:pt>
              </c:numCache>
            </c:numRef>
          </c:val>
        </c:ser>
        <c:ser>
          <c:idx val="1"/>
          <c:order val="1"/>
          <c:tx>
            <c:strRef>
              <c:f>'Part Two data - T2'!$S$3</c:f>
              <c:strCache>
                <c:ptCount val="1"/>
                <c:pt idx="0">
                  <c:v>Balance of State</c:v>
                </c:pt>
              </c:strCache>
            </c:strRef>
          </c:tx>
          <c:spPr>
            <a:solidFill>
              <a:schemeClr val="accent5">
                <a:lumMod val="40000"/>
                <a:lumOff val="60000"/>
              </a:schemeClr>
            </a:solidFill>
          </c:spPr>
          <c:cat>
            <c:strRef>
              <c:f>'Part Two data - T2'!$Q$4:$Q$11</c:f>
              <c:strCache>
                <c:ptCount val="8"/>
                <c:pt idx="0">
                  <c:v>NSW</c:v>
                </c:pt>
                <c:pt idx="1">
                  <c:v>Vic</c:v>
                </c:pt>
                <c:pt idx="2">
                  <c:v>Qld</c:v>
                </c:pt>
                <c:pt idx="3">
                  <c:v>SA</c:v>
                </c:pt>
                <c:pt idx="4">
                  <c:v>WA</c:v>
                </c:pt>
                <c:pt idx="5">
                  <c:v>Tas</c:v>
                </c:pt>
                <c:pt idx="6">
                  <c:v>NT</c:v>
                </c:pt>
                <c:pt idx="7">
                  <c:v>ACT</c:v>
                </c:pt>
              </c:strCache>
            </c:strRef>
          </c:cat>
          <c:val>
            <c:numRef>
              <c:f>'Part Two data - T2'!$S$4:$S$11</c:f>
              <c:numCache>
                <c:formatCode>0%</c:formatCode>
                <c:ptCount val="8"/>
                <c:pt idx="0">
                  <c:v>0.36099783957327358</c:v>
                </c:pt>
                <c:pt idx="1">
                  <c:v>0.19313491336016927</c:v>
                </c:pt>
                <c:pt idx="2">
                  <c:v>0.54689400383119291</c:v>
                </c:pt>
                <c:pt idx="3">
                  <c:v>0.13494653014789601</c:v>
                </c:pt>
                <c:pt idx="4">
                  <c:v>0.16205913471711944</c:v>
                </c:pt>
                <c:pt idx="5">
                  <c:v>0.47823825059518493</c:v>
                </c:pt>
                <c:pt idx="6">
                  <c:v>0.38095728821011698</c:v>
                </c:pt>
              </c:numCache>
            </c:numRef>
          </c:val>
        </c:ser>
        <c:axId val="306445312"/>
        <c:axId val="306471680"/>
      </c:barChart>
      <c:catAx>
        <c:axId val="306445312"/>
        <c:scaling>
          <c:orientation val="minMax"/>
        </c:scaling>
        <c:axPos val="b"/>
        <c:numFmt formatCode="General" sourceLinked="1"/>
        <c:majorTickMark val="none"/>
        <c:tickLblPos val="nextTo"/>
        <c:crossAx val="306471680"/>
        <c:crosses val="autoZero"/>
        <c:auto val="1"/>
        <c:lblAlgn val="ctr"/>
        <c:lblOffset val="100"/>
      </c:catAx>
      <c:valAx>
        <c:axId val="306471680"/>
        <c:scaling>
          <c:orientation val="minMax"/>
          <c:max val="1"/>
        </c:scaling>
        <c:axPos val="l"/>
        <c:majorGridlines/>
        <c:numFmt formatCode="0%" sourceLinked="1"/>
        <c:majorTickMark val="none"/>
        <c:tickLblPos val="nextTo"/>
        <c:spPr>
          <a:ln>
            <a:noFill/>
          </a:ln>
        </c:spPr>
        <c:crossAx val="306445312"/>
        <c:crosses val="autoZero"/>
        <c:crossBetween val="between"/>
      </c:valAx>
    </c:plotArea>
    <c:legend>
      <c:legendPos val="b"/>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style val="3"/>
  <c:chart>
    <c:plotArea>
      <c:layout>
        <c:manualLayout>
          <c:layoutTarget val="inner"/>
          <c:xMode val="edge"/>
          <c:yMode val="edge"/>
          <c:x val="0.13328132148619098"/>
          <c:y val="0.10426799453806591"/>
          <c:w val="0.84206891569746445"/>
          <c:h val="0.67087399121839053"/>
        </c:manualLayout>
      </c:layout>
      <c:barChart>
        <c:barDir val="col"/>
        <c:grouping val="clustered"/>
        <c:ser>
          <c:idx val="0"/>
          <c:order val="0"/>
          <c:tx>
            <c:strRef>
              <c:f>'Part Two data - T2'!$A$6</c:f>
              <c:strCache>
                <c:ptCount val="1"/>
                <c:pt idx="0">
                  <c:v>Greater Melbourne</c:v>
                </c:pt>
              </c:strCache>
            </c:strRef>
          </c:tx>
          <c:spPr>
            <a:solidFill>
              <a:srgbClr val="006F97"/>
            </a:solidFill>
          </c:spPr>
          <c:cat>
            <c:strRef>
              <c:f>'Part Two data - T2'!$B$2:$E$2</c:f>
              <c:strCache>
                <c:ptCount val="4"/>
                <c:pt idx="0">
                  <c:v>1971-1981</c:v>
                </c:pt>
                <c:pt idx="1">
                  <c:v>1981-1991</c:v>
                </c:pt>
                <c:pt idx="2">
                  <c:v>1991-2001</c:v>
                </c:pt>
                <c:pt idx="3">
                  <c:v>2001-2011</c:v>
                </c:pt>
              </c:strCache>
            </c:strRef>
          </c:cat>
          <c:val>
            <c:numRef>
              <c:f>'Part Two data - T2'!$B$6:$E$6</c:f>
              <c:numCache>
                <c:formatCode>#,##0</c:formatCode>
                <c:ptCount val="4"/>
                <c:pt idx="0">
                  <c:v>251007</c:v>
                </c:pt>
                <c:pt idx="1">
                  <c:v>336800</c:v>
                </c:pt>
                <c:pt idx="2">
                  <c:v>305542</c:v>
                </c:pt>
                <c:pt idx="3">
                  <c:v>669117</c:v>
                </c:pt>
              </c:numCache>
            </c:numRef>
          </c:val>
        </c:ser>
        <c:ser>
          <c:idx val="1"/>
          <c:order val="1"/>
          <c:tx>
            <c:strRef>
              <c:f>'Part Two data - T2'!$A$7</c:f>
              <c:strCache>
                <c:ptCount val="1"/>
                <c:pt idx="0">
                  <c:v>Balance of Victoria</c:v>
                </c:pt>
              </c:strCache>
            </c:strRef>
          </c:tx>
          <c:spPr>
            <a:solidFill>
              <a:schemeClr val="accent5">
                <a:lumMod val="40000"/>
                <a:lumOff val="60000"/>
              </a:schemeClr>
            </a:solidFill>
          </c:spPr>
          <c:cat>
            <c:strRef>
              <c:f>'Part Two data - T2'!$B$2:$E$2</c:f>
              <c:strCache>
                <c:ptCount val="4"/>
                <c:pt idx="0">
                  <c:v>1971-1981</c:v>
                </c:pt>
                <c:pt idx="1">
                  <c:v>1981-1991</c:v>
                </c:pt>
                <c:pt idx="2">
                  <c:v>1991-2001</c:v>
                </c:pt>
                <c:pt idx="3">
                  <c:v>2001-2011</c:v>
                </c:pt>
              </c:strCache>
            </c:strRef>
          </c:cat>
          <c:val>
            <c:numRef>
              <c:f>'Part Two data - T2'!$B$7:$E$7</c:f>
              <c:numCache>
                <c:formatCode>#,##0</c:formatCode>
                <c:ptCount val="4"/>
                <c:pt idx="0">
                  <c:v>94558</c:v>
                </c:pt>
                <c:pt idx="1">
                  <c:v>136656</c:v>
                </c:pt>
                <c:pt idx="2">
                  <c:v>37700</c:v>
                </c:pt>
                <c:pt idx="3">
                  <c:v>105085</c:v>
                </c:pt>
              </c:numCache>
            </c:numRef>
          </c:val>
        </c:ser>
        <c:axId val="306505216"/>
        <c:axId val="306506752"/>
      </c:barChart>
      <c:catAx>
        <c:axId val="306505216"/>
        <c:scaling>
          <c:orientation val="minMax"/>
        </c:scaling>
        <c:axPos val="b"/>
        <c:majorTickMark val="none"/>
        <c:tickLblPos val="nextTo"/>
        <c:crossAx val="306506752"/>
        <c:crosses val="autoZero"/>
        <c:auto val="1"/>
        <c:lblAlgn val="ctr"/>
        <c:lblOffset val="100"/>
      </c:catAx>
      <c:valAx>
        <c:axId val="306506752"/>
        <c:scaling>
          <c:orientation val="minMax"/>
          <c:max val="700000"/>
        </c:scaling>
        <c:axPos val="l"/>
        <c:majorGridlines/>
        <c:title>
          <c:tx>
            <c:rich>
              <a:bodyPr rot="0" vert="horz"/>
              <a:lstStyle/>
              <a:p>
                <a:pPr>
                  <a:defRPr/>
                </a:pPr>
                <a:r>
                  <a:rPr lang="en-AU"/>
                  <a:t>Persons</a:t>
                </a:r>
              </a:p>
            </c:rich>
          </c:tx>
          <c:layout>
            <c:manualLayout>
              <c:xMode val="edge"/>
              <c:yMode val="edge"/>
              <c:x val="2.8843844060776898E-2"/>
              <c:y val="1.7658073114692461E-3"/>
            </c:manualLayout>
          </c:layout>
        </c:title>
        <c:numFmt formatCode="#,##0" sourceLinked="1"/>
        <c:majorTickMark val="none"/>
        <c:tickLblPos val="nextTo"/>
        <c:spPr>
          <a:ln>
            <a:noFill/>
          </a:ln>
        </c:spPr>
        <c:crossAx val="306505216"/>
        <c:crosses val="autoZero"/>
        <c:crossBetween val="between"/>
      </c:valAx>
    </c:plotArea>
    <c:legend>
      <c:legendPos val="b"/>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chart>
    <c:plotArea>
      <c:layout/>
      <c:barChart>
        <c:barDir val="col"/>
        <c:grouping val="clustered"/>
        <c:ser>
          <c:idx val="0"/>
          <c:order val="0"/>
          <c:tx>
            <c:strRef>
              <c:f>'Part Two data - T3'!$A$5</c:f>
              <c:strCache>
                <c:ptCount val="1"/>
                <c:pt idx="0">
                  <c:v>Greater Melbourne</c:v>
                </c:pt>
              </c:strCache>
            </c:strRef>
          </c:tx>
          <c:spPr>
            <a:solidFill>
              <a:srgbClr val="006F97"/>
            </a:solidFill>
          </c:spPr>
          <c:cat>
            <c:strRef>
              <c:f>'Part Two data - T3'!$B$2:$E$2</c:f>
              <c:strCache>
                <c:ptCount val="4"/>
                <c:pt idx="0">
                  <c:v>1971-1981</c:v>
                </c:pt>
                <c:pt idx="1">
                  <c:v>1981-1991</c:v>
                </c:pt>
                <c:pt idx="2">
                  <c:v>1991-2001</c:v>
                </c:pt>
                <c:pt idx="3">
                  <c:v>2001-2011</c:v>
                </c:pt>
              </c:strCache>
            </c:strRef>
          </c:cat>
          <c:val>
            <c:numRef>
              <c:f>'Part Two data - T3'!$G$5:$J$5</c:f>
              <c:numCache>
                <c:formatCode>0.0%</c:formatCode>
                <c:ptCount val="4"/>
                <c:pt idx="0">
                  <c:v>9.2351596209168108E-3</c:v>
                </c:pt>
                <c:pt idx="1">
                  <c:v>1.1202871305374925E-2</c:v>
                </c:pt>
                <c:pt idx="2">
                  <c:v>9.1757142111406412E-3</c:v>
                </c:pt>
                <c:pt idx="3">
                  <c:v>1.7646886086631459E-2</c:v>
                </c:pt>
              </c:numCache>
            </c:numRef>
          </c:val>
        </c:ser>
        <c:ser>
          <c:idx val="1"/>
          <c:order val="1"/>
          <c:tx>
            <c:strRef>
              <c:f>'Part Two data - T3'!$A$6</c:f>
              <c:strCache>
                <c:ptCount val="1"/>
                <c:pt idx="0">
                  <c:v>Balance of Victoria</c:v>
                </c:pt>
              </c:strCache>
            </c:strRef>
          </c:tx>
          <c:spPr>
            <a:solidFill>
              <a:schemeClr val="accent5">
                <a:lumMod val="40000"/>
                <a:lumOff val="60000"/>
              </a:schemeClr>
            </a:solidFill>
          </c:spPr>
          <c:cat>
            <c:strRef>
              <c:f>'Part Two data - T3'!$B$2:$E$2</c:f>
              <c:strCache>
                <c:ptCount val="4"/>
                <c:pt idx="0">
                  <c:v>1971-1981</c:v>
                </c:pt>
                <c:pt idx="1">
                  <c:v>1981-1991</c:v>
                </c:pt>
                <c:pt idx="2">
                  <c:v>1991-2001</c:v>
                </c:pt>
                <c:pt idx="3">
                  <c:v>2001-2011</c:v>
                </c:pt>
              </c:strCache>
            </c:strRef>
          </c:cat>
          <c:val>
            <c:numRef>
              <c:f>'Part Two data - T3'!$G$6:$J$6</c:f>
              <c:numCache>
                <c:formatCode>0.0%</c:formatCode>
                <c:ptCount val="4"/>
                <c:pt idx="0">
                  <c:v>9.1246252743821827E-3</c:v>
                </c:pt>
                <c:pt idx="1">
                  <c:v>1.1891684801398577E-2</c:v>
                </c:pt>
                <c:pt idx="2">
                  <c:v>3.0341154270556742E-3</c:v>
                </c:pt>
                <c:pt idx="3">
                  <c:v>8.0219906799223768E-3</c:v>
                </c:pt>
              </c:numCache>
            </c:numRef>
          </c:val>
        </c:ser>
        <c:axId val="306684288"/>
        <c:axId val="306685824"/>
      </c:barChart>
      <c:catAx>
        <c:axId val="306684288"/>
        <c:scaling>
          <c:orientation val="minMax"/>
        </c:scaling>
        <c:axPos val="b"/>
        <c:majorTickMark val="none"/>
        <c:tickLblPos val="nextTo"/>
        <c:crossAx val="306685824"/>
        <c:crosses val="autoZero"/>
        <c:auto val="1"/>
        <c:lblAlgn val="ctr"/>
        <c:lblOffset val="100"/>
      </c:catAx>
      <c:valAx>
        <c:axId val="306685824"/>
        <c:scaling>
          <c:orientation val="minMax"/>
        </c:scaling>
        <c:axPos val="l"/>
        <c:majorGridlines/>
        <c:numFmt formatCode="0.0%" sourceLinked="1"/>
        <c:majorTickMark val="none"/>
        <c:tickLblPos val="nextTo"/>
        <c:spPr>
          <a:ln>
            <a:noFill/>
          </a:ln>
        </c:spPr>
        <c:crossAx val="306684288"/>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3431-01EE-457E-A052-A6347E5B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Nardia Smits</dc:creator>
  <cp:lastModifiedBy>bd36</cp:lastModifiedBy>
  <cp:revision>3</cp:revision>
  <cp:lastPrinted>2014-06-20T05:20:00Z</cp:lastPrinted>
  <dcterms:created xsi:type="dcterms:W3CDTF">2014-06-20T05:22:00Z</dcterms:created>
  <dcterms:modified xsi:type="dcterms:W3CDTF">2014-06-20T05:33:00Z</dcterms:modified>
</cp:coreProperties>
</file>