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37695A" w:rsidRDefault="005E67D7" w:rsidP="0037695A">
            <w:pPr>
              <w:pStyle w:val="Title"/>
            </w:pPr>
            <w:bookmarkStart w:id="0" w:name="_GoBack"/>
            <w:bookmarkEnd w:id="0"/>
            <w:r>
              <w:t xml:space="preserve">Surplus Victorian Government </w:t>
            </w:r>
            <w:r w:rsidR="00C73E7D">
              <w:t>l</w:t>
            </w:r>
            <w:r w:rsidR="002A5056">
              <w:t xml:space="preserve">and </w:t>
            </w:r>
          </w:p>
          <w:p w:rsidR="00975ED3" w:rsidRPr="00975ED3" w:rsidRDefault="0037695A" w:rsidP="0037695A">
            <w:pPr>
              <w:pStyle w:val="Title"/>
            </w:pPr>
            <w:r>
              <w:t>F</w:t>
            </w:r>
            <w:r w:rsidR="002A5056">
              <w:t>act</w:t>
            </w:r>
            <w:r w:rsidR="00F01C00">
              <w:t xml:space="preserve"> </w:t>
            </w:r>
            <w:r w:rsidR="00C73E7D">
              <w:t>s</w:t>
            </w:r>
            <w:r w:rsidR="002A5056">
              <w:t>heet</w:t>
            </w:r>
          </w:p>
        </w:tc>
      </w:tr>
      <w:tr w:rsidR="00975ED3" w:rsidTr="003F46E9">
        <w:trPr>
          <w:trHeight w:val="1247"/>
        </w:trPr>
        <w:tc>
          <w:tcPr>
            <w:tcW w:w="7761" w:type="dxa"/>
            <w:vAlign w:val="center"/>
          </w:tcPr>
          <w:p w:rsidR="00975ED3" w:rsidRDefault="002A5A39" w:rsidP="003F46E9">
            <w:pPr>
              <w:pStyle w:val="Subtitle"/>
            </w:pPr>
            <w:r>
              <w:t>September</w:t>
            </w:r>
            <w:r w:rsidR="002A5056">
              <w:t xml:space="preserve"> 2017</w:t>
            </w:r>
          </w:p>
        </w:tc>
      </w:tr>
    </w:tbl>
    <w:p w:rsidR="00806AB6" w:rsidRDefault="00806AB6" w:rsidP="00806AB6">
      <w:pPr>
        <w:pStyle w:val="BodyText"/>
        <w:sectPr w:rsidR="00806AB6" w:rsidSect="00E97294">
          <w:headerReference w:type="even" r:id="rId9"/>
          <w:footerReference w:type="even" r:id="rId10"/>
          <w:footerReference w:type="default" r:id="rId11"/>
          <w:headerReference w:type="first" r:id="rId12"/>
          <w:footerReference w:type="first" r:id="rId13"/>
          <w:pgSz w:w="11907" w:h="16840" w:code="9"/>
          <w:pgMar w:top="2211" w:right="737" w:bottom="794" w:left="851" w:header="284" w:footer="284" w:gutter="0"/>
          <w:cols w:space="284"/>
          <w:titlePg/>
          <w:docGrid w:linePitch="360"/>
        </w:sectPr>
      </w:pPr>
    </w:p>
    <w:tbl>
      <w:tblPr>
        <w:tblStyle w:val="TableGrid"/>
        <w:tblW w:w="10206" w:type="dxa"/>
        <w:tblLayout w:type="fixed"/>
        <w:tblLook w:val="04A0" w:firstRow="1" w:lastRow="0" w:firstColumn="1" w:lastColumn="0" w:noHBand="0" w:noVBand="1"/>
      </w:tblPr>
      <w:tblGrid>
        <w:gridCol w:w="2127"/>
        <w:gridCol w:w="8079"/>
      </w:tblGrid>
      <w:tr w:rsidR="0037695A" w:rsidTr="007819A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0206" w:type="dxa"/>
            <w:gridSpan w:val="2"/>
          </w:tcPr>
          <w:p w:rsidR="0037695A" w:rsidRPr="006E091C" w:rsidRDefault="008A69FB" w:rsidP="00F35F2B">
            <w:pPr>
              <w:pStyle w:val="BodyText"/>
              <w:rPr>
                <w:b/>
                <w:lang w:eastAsia="en-AU"/>
              </w:rPr>
            </w:pPr>
            <w:r>
              <w:rPr>
                <w:b/>
                <w:color w:val="FFFFFF" w:themeColor="background1"/>
                <w:lang w:eastAsia="en-AU"/>
              </w:rPr>
              <w:lastRenderedPageBreak/>
              <w:t>Surplus Statement f</w:t>
            </w:r>
            <w:r w:rsidR="00785AA7">
              <w:rPr>
                <w:b/>
                <w:color w:val="FFFFFF" w:themeColor="background1"/>
                <w:lang w:eastAsia="en-AU"/>
              </w:rPr>
              <w:t xml:space="preserve">or </w:t>
            </w:r>
            <w:r w:rsidR="00CA6FE8">
              <w:rPr>
                <w:b/>
                <w:color w:val="FFFFFF" w:themeColor="background1"/>
                <w:lang w:eastAsia="en-AU"/>
              </w:rPr>
              <w:t xml:space="preserve">1000 Whitehorse Road </w:t>
            </w:r>
          </w:p>
        </w:tc>
      </w:tr>
      <w:tr w:rsidR="0037695A" w:rsidTr="007819AD">
        <w:tc>
          <w:tcPr>
            <w:tcW w:w="2127" w:type="dxa"/>
            <w:shd w:val="clear" w:color="auto" w:fill="auto"/>
          </w:tcPr>
          <w:p w:rsidR="0037695A" w:rsidRDefault="0037695A" w:rsidP="00301D2A">
            <w:pPr>
              <w:pStyle w:val="BodyText"/>
              <w:rPr>
                <w:lang w:eastAsia="en-AU"/>
              </w:rPr>
            </w:pPr>
            <w:r w:rsidRPr="00727720">
              <w:rPr>
                <w:b/>
                <w:sz w:val="20"/>
                <w:szCs w:val="16"/>
              </w:rPr>
              <w:t>Landowner</w:t>
            </w:r>
          </w:p>
        </w:tc>
        <w:tc>
          <w:tcPr>
            <w:tcW w:w="8079" w:type="dxa"/>
            <w:shd w:val="clear" w:color="auto" w:fill="auto"/>
          </w:tcPr>
          <w:p w:rsidR="0037695A" w:rsidRDefault="008D1B76" w:rsidP="0050188F">
            <w:pPr>
              <w:pStyle w:val="BodyText"/>
              <w:jc w:val="both"/>
              <w:rPr>
                <w:lang w:eastAsia="en-AU"/>
              </w:rPr>
            </w:pPr>
            <w:r>
              <w:rPr>
                <w:sz w:val="20"/>
                <w:szCs w:val="16"/>
              </w:rPr>
              <w:t xml:space="preserve">Department of </w:t>
            </w:r>
            <w:r w:rsidR="00785AA7">
              <w:rPr>
                <w:sz w:val="20"/>
                <w:szCs w:val="16"/>
              </w:rPr>
              <w:t xml:space="preserve">Environment, Land, Water and Planning </w:t>
            </w:r>
          </w:p>
        </w:tc>
      </w:tr>
      <w:tr w:rsidR="0037695A" w:rsidTr="007819AD">
        <w:tc>
          <w:tcPr>
            <w:tcW w:w="2127" w:type="dxa"/>
            <w:shd w:val="clear" w:color="auto" w:fill="EFE9F0" w:themeFill="background2"/>
          </w:tcPr>
          <w:p w:rsidR="0037695A" w:rsidRDefault="0037695A" w:rsidP="00301D2A">
            <w:pPr>
              <w:pStyle w:val="BodyText"/>
              <w:rPr>
                <w:lang w:eastAsia="en-AU"/>
              </w:rPr>
            </w:pPr>
            <w:r w:rsidRPr="00727720">
              <w:rPr>
                <w:b/>
                <w:sz w:val="20"/>
                <w:szCs w:val="16"/>
              </w:rPr>
              <w:t>Date declared surplus</w:t>
            </w:r>
          </w:p>
        </w:tc>
        <w:tc>
          <w:tcPr>
            <w:tcW w:w="8079" w:type="dxa"/>
            <w:shd w:val="clear" w:color="auto" w:fill="EFE9F0" w:themeFill="background2"/>
          </w:tcPr>
          <w:p w:rsidR="0037695A" w:rsidRDefault="002B0093" w:rsidP="0050188F">
            <w:pPr>
              <w:pStyle w:val="BodyText"/>
              <w:ind w:right="-283"/>
              <w:jc w:val="both"/>
              <w:rPr>
                <w:lang w:eastAsia="en-AU"/>
              </w:rPr>
            </w:pPr>
            <w:r>
              <w:rPr>
                <w:sz w:val="20"/>
                <w:szCs w:val="16"/>
              </w:rPr>
              <w:t>15 Feb</w:t>
            </w:r>
            <w:r w:rsidR="00CA6FE8">
              <w:rPr>
                <w:sz w:val="20"/>
                <w:szCs w:val="16"/>
              </w:rPr>
              <w:t>ruary 2017</w:t>
            </w:r>
          </w:p>
        </w:tc>
      </w:tr>
      <w:tr w:rsidR="0037695A" w:rsidTr="007819AD">
        <w:tc>
          <w:tcPr>
            <w:tcW w:w="2127" w:type="dxa"/>
            <w:shd w:val="clear" w:color="auto" w:fill="auto"/>
          </w:tcPr>
          <w:p w:rsidR="0037695A" w:rsidRPr="00727720" w:rsidRDefault="0037695A" w:rsidP="00301D2A">
            <w:pPr>
              <w:pStyle w:val="BodyText"/>
              <w:rPr>
                <w:b/>
                <w:szCs w:val="16"/>
              </w:rPr>
            </w:pPr>
            <w:r w:rsidRPr="00727720">
              <w:rPr>
                <w:b/>
                <w:sz w:val="20"/>
                <w:szCs w:val="16"/>
              </w:rPr>
              <w:t>First right of refusal dates</w:t>
            </w:r>
          </w:p>
        </w:tc>
        <w:tc>
          <w:tcPr>
            <w:tcW w:w="8079" w:type="dxa"/>
            <w:shd w:val="clear" w:color="auto" w:fill="auto"/>
          </w:tcPr>
          <w:p w:rsidR="0037695A" w:rsidRDefault="00CA6FE8" w:rsidP="0050188F">
            <w:pPr>
              <w:pStyle w:val="BodyText"/>
              <w:jc w:val="both"/>
              <w:rPr>
                <w:szCs w:val="16"/>
              </w:rPr>
            </w:pPr>
            <w:r>
              <w:rPr>
                <w:sz w:val="20"/>
                <w:szCs w:val="16"/>
              </w:rPr>
              <w:t xml:space="preserve">The Minister for Finance granted a one off exemption from the First Right of Refusal process on 15 February 2017. </w:t>
            </w:r>
          </w:p>
        </w:tc>
      </w:tr>
      <w:tr w:rsidR="0037695A" w:rsidTr="007819AD">
        <w:tc>
          <w:tcPr>
            <w:tcW w:w="2127" w:type="dxa"/>
            <w:shd w:val="clear" w:color="auto" w:fill="EFE9F0" w:themeFill="background2"/>
          </w:tcPr>
          <w:p w:rsidR="0037695A" w:rsidRPr="00727720" w:rsidRDefault="0037695A" w:rsidP="00301D2A">
            <w:pPr>
              <w:pStyle w:val="BodyText"/>
              <w:rPr>
                <w:b/>
                <w:szCs w:val="16"/>
              </w:rPr>
            </w:pPr>
            <w:r w:rsidRPr="00727720">
              <w:rPr>
                <w:b/>
                <w:sz w:val="20"/>
                <w:szCs w:val="16"/>
              </w:rPr>
              <w:t>Surplus statement</w:t>
            </w:r>
          </w:p>
        </w:tc>
        <w:tc>
          <w:tcPr>
            <w:tcW w:w="8079" w:type="dxa"/>
            <w:shd w:val="clear" w:color="auto" w:fill="EFE9F0" w:themeFill="background2"/>
          </w:tcPr>
          <w:p w:rsidR="0037695A" w:rsidRPr="0050188F" w:rsidRDefault="0050188F" w:rsidP="0050188F">
            <w:pPr>
              <w:pStyle w:val="BodyText"/>
              <w:jc w:val="both"/>
              <w:rPr>
                <w:sz w:val="20"/>
                <w:szCs w:val="16"/>
              </w:rPr>
            </w:pPr>
            <w:r w:rsidRPr="0050188F">
              <w:rPr>
                <w:sz w:val="20"/>
                <w:szCs w:val="16"/>
              </w:rPr>
              <w:t xml:space="preserve">As part of a broader Campus Modernisation Program, Box Hill Institute is seeking to consolidate its geographic footprint within Box Hill and provide ‘fit for purpose’ facilities to provide a better utilisation of resources and improve the student experience. </w:t>
            </w:r>
          </w:p>
          <w:p w:rsidR="0050188F" w:rsidRDefault="0050188F" w:rsidP="0050188F">
            <w:pPr>
              <w:pStyle w:val="BodyText"/>
              <w:jc w:val="both"/>
              <w:rPr>
                <w:szCs w:val="16"/>
              </w:rPr>
            </w:pPr>
            <w:r w:rsidRPr="0050188F">
              <w:rPr>
                <w:sz w:val="20"/>
                <w:szCs w:val="16"/>
              </w:rPr>
              <w:t>The Campus Modernisation Program has identified that this land is surplus to the current and future needs of the Box Hill Institute.</w:t>
            </w:r>
            <w:r>
              <w:rPr>
                <w:szCs w:val="16"/>
              </w:rPr>
              <w:t xml:space="preserve"> </w:t>
            </w:r>
          </w:p>
        </w:tc>
      </w:tr>
    </w:tbl>
    <w:p w:rsidR="008D1B76" w:rsidRDefault="008D1B76" w:rsidP="0037695A">
      <w:pPr>
        <w:pStyle w:val="BodyText"/>
        <w:rPr>
          <w:lang w:eastAsia="en-AU"/>
        </w:rPr>
        <w:sectPr w:rsidR="008D1B76" w:rsidSect="0037695A">
          <w:type w:val="continuous"/>
          <w:pgSz w:w="11907" w:h="16840" w:code="9"/>
          <w:pgMar w:top="2211" w:right="851" w:bottom="794" w:left="851" w:header="284" w:footer="284" w:gutter="0"/>
          <w:cols w:space="569"/>
          <w:docGrid w:linePitch="360"/>
        </w:sectPr>
      </w:pPr>
    </w:p>
    <w:p w:rsidR="00DC104F" w:rsidRDefault="00DC104F" w:rsidP="008D1B76">
      <w:pPr>
        <w:pStyle w:val="Heading2"/>
        <w:numPr>
          <w:ilvl w:val="0"/>
          <w:numId w:val="0"/>
        </w:numPr>
        <w:spacing w:after="0" w:line="240" w:lineRule="auto"/>
        <w:jc w:val="both"/>
      </w:pPr>
      <w:r>
        <w:lastRenderedPageBreak/>
        <w:t xml:space="preserve">Why does Victorian Government land become surplus? </w:t>
      </w:r>
    </w:p>
    <w:p w:rsidR="00DC104F" w:rsidRDefault="00DC104F" w:rsidP="00DC104F">
      <w:pPr>
        <w:pStyle w:val="BodyText"/>
        <w:jc w:val="both"/>
      </w:pPr>
      <w:r>
        <w:t xml:space="preserve">The </w:t>
      </w:r>
      <w:r w:rsidRPr="00123D50">
        <w:rPr>
          <w:i/>
        </w:rPr>
        <w:t>Victorian Government Landholding Policy and Guidelines 2015</w:t>
      </w:r>
      <w:r>
        <w:rPr>
          <w:i/>
        </w:rPr>
        <w:t xml:space="preserve"> </w:t>
      </w:r>
      <w:r w:rsidRPr="002A5ED2">
        <w:t>requires</w:t>
      </w:r>
      <w:r>
        <w:rPr>
          <w:i/>
        </w:rPr>
        <w:t xml:space="preserve"> </w:t>
      </w:r>
      <w:r>
        <w:t>Victorian Government departments and agencies to review their land assets annually to identify land where it no longer contributes to an agency’s current or future service deli</w:t>
      </w:r>
      <w:r w:rsidR="007541BE">
        <w:t>very requirements</w:t>
      </w:r>
      <w:r>
        <w:t>.</w:t>
      </w:r>
    </w:p>
    <w:p w:rsidR="006D070B" w:rsidRDefault="00DC104F" w:rsidP="00DC104F">
      <w:pPr>
        <w:pStyle w:val="BodyText"/>
        <w:jc w:val="both"/>
      </w:pPr>
      <w:r>
        <w:t>When a department or agency identifies land as surplus, it is offered through a ‘first right of refusal’ process to all other government departments and agencies as well as to local government and the Commonwealth Government. This process allows for surplus government land to be considered for community use, or for an alternative public service need, before it is released for sale on the open market.</w:t>
      </w:r>
    </w:p>
    <w:tbl>
      <w:tblPr>
        <w:tblStyle w:val="TableGrid"/>
        <w:tblW w:w="4820" w:type="dxa"/>
        <w:tblLook w:val="00A0" w:firstRow="1" w:lastRow="0" w:firstColumn="1" w:lastColumn="0" w:noHBand="0" w:noVBand="0"/>
      </w:tblPr>
      <w:tblGrid>
        <w:gridCol w:w="4820"/>
      </w:tblGrid>
      <w:tr w:rsidR="00DC104F" w:rsidRPr="00050253" w:rsidTr="00CE5F42">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820" w:type="dxa"/>
          </w:tcPr>
          <w:p w:rsidR="00DC104F" w:rsidRPr="00727720" w:rsidRDefault="00DC104F" w:rsidP="00CE5F42">
            <w:pPr>
              <w:pStyle w:val="TableHeadingLeft"/>
              <w:jc w:val="both"/>
              <w:rPr>
                <w:sz w:val="20"/>
                <w:szCs w:val="16"/>
              </w:rPr>
            </w:pPr>
            <w:r w:rsidRPr="00727720">
              <w:rPr>
                <w:color w:val="FFFFFF" w:themeColor="background1"/>
                <w:sz w:val="20"/>
                <w:szCs w:val="16"/>
                <w:lang w:val="en-US"/>
              </w:rPr>
              <w:t xml:space="preserve">How is government land declared surplus </w:t>
            </w:r>
          </w:p>
        </w:tc>
      </w:tr>
      <w:tr w:rsidR="00DC104F" w:rsidRPr="00050253" w:rsidTr="00CE5F42">
        <w:tc>
          <w:tcPr>
            <w:tcW w:w="4820" w:type="dxa"/>
            <w:tcBorders>
              <w:bottom w:val="single" w:sz="8" w:space="0" w:color="642667" w:themeColor="text2"/>
            </w:tcBorders>
            <w:shd w:val="clear" w:color="auto" w:fill="auto"/>
          </w:tcPr>
          <w:p w:rsidR="00DC104F" w:rsidRPr="00B40BE4" w:rsidRDefault="00DC104F" w:rsidP="00CE5F42">
            <w:pPr>
              <w:pStyle w:val="TableTextLeft"/>
              <w:spacing w:before="120" w:after="120" w:line="240" w:lineRule="auto"/>
              <w:jc w:val="both"/>
              <w:rPr>
                <w:b/>
                <w:sz w:val="16"/>
              </w:rPr>
            </w:pPr>
            <w:r w:rsidRPr="00B40BE4">
              <w:rPr>
                <w:b/>
                <w:sz w:val="16"/>
              </w:rPr>
              <w:t xml:space="preserve">Step 1: </w:t>
            </w:r>
            <w:r w:rsidRPr="00B40BE4">
              <w:rPr>
                <w:sz w:val="16"/>
              </w:rPr>
              <w:t>Land is declared surplus to government department or agency requirements.</w:t>
            </w:r>
            <w:r w:rsidRPr="00B40BE4">
              <w:rPr>
                <w:b/>
                <w:sz w:val="16"/>
              </w:rPr>
              <w:t xml:space="preserve"> </w:t>
            </w:r>
          </w:p>
        </w:tc>
      </w:tr>
      <w:tr w:rsidR="00DC104F" w:rsidRPr="00050253" w:rsidTr="00CE5F42">
        <w:tc>
          <w:tcPr>
            <w:tcW w:w="4820" w:type="dxa"/>
            <w:tcBorders>
              <w:bottom w:val="single" w:sz="4" w:space="0" w:color="auto"/>
            </w:tcBorders>
            <w:shd w:val="clear" w:color="auto" w:fill="EFE9F0" w:themeFill="background2"/>
          </w:tcPr>
          <w:p w:rsidR="00DC104F" w:rsidRPr="00B40BE4" w:rsidRDefault="00DC104F" w:rsidP="00CE5F42">
            <w:pPr>
              <w:pStyle w:val="TableTextLeft"/>
              <w:spacing w:before="120" w:after="120" w:line="240" w:lineRule="auto"/>
              <w:jc w:val="both"/>
              <w:rPr>
                <w:b/>
                <w:sz w:val="16"/>
              </w:rPr>
            </w:pPr>
            <w:r w:rsidRPr="00B40BE4">
              <w:rPr>
                <w:b/>
                <w:sz w:val="16"/>
              </w:rPr>
              <w:t xml:space="preserve">Step 2: </w:t>
            </w:r>
            <w:r w:rsidRPr="00B40BE4">
              <w:rPr>
                <w:sz w:val="16"/>
              </w:rPr>
              <w:t xml:space="preserve">Land is offered to all government departments, agencies, local government and Commonwealth Government for 60 days known as ‘first right of refusal’. </w:t>
            </w:r>
          </w:p>
        </w:tc>
      </w:tr>
      <w:tr w:rsidR="00DC104F" w:rsidRPr="00050253" w:rsidTr="00CE5F42">
        <w:tc>
          <w:tcPr>
            <w:tcW w:w="4820" w:type="dxa"/>
            <w:tcBorders>
              <w:top w:val="single" w:sz="4" w:space="0" w:color="auto"/>
            </w:tcBorders>
            <w:shd w:val="clear" w:color="auto" w:fill="auto"/>
          </w:tcPr>
          <w:p w:rsidR="00DC104F" w:rsidRPr="00B40BE4" w:rsidRDefault="00DC104F" w:rsidP="00CE5F42">
            <w:pPr>
              <w:pStyle w:val="TableTextLeft"/>
              <w:spacing w:before="120" w:after="120" w:line="240" w:lineRule="auto"/>
              <w:jc w:val="both"/>
              <w:rPr>
                <w:b/>
                <w:sz w:val="16"/>
              </w:rPr>
            </w:pPr>
            <w:r w:rsidRPr="00B40BE4">
              <w:rPr>
                <w:b/>
                <w:sz w:val="16"/>
              </w:rPr>
              <w:t xml:space="preserve">Step 3: </w:t>
            </w:r>
            <w:r w:rsidRPr="00B40BE4">
              <w:rPr>
                <w:sz w:val="16"/>
              </w:rPr>
              <w:t xml:space="preserve">Land is declared surplus to government requirements after no interest in the land is made by any department, agency, local government or Commonwealth Government. </w:t>
            </w:r>
          </w:p>
        </w:tc>
      </w:tr>
    </w:tbl>
    <w:p w:rsidR="006700D7" w:rsidRDefault="006700D7" w:rsidP="008D1B76">
      <w:pPr>
        <w:pStyle w:val="Heading2"/>
        <w:spacing w:before="120"/>
        <w:jc w:val="both"/>
      </w:pPr>
      <w:r>
        <w:lastRenderedPageBreak/>
        <w:t xml:space="preserve">What happens if local government want to purchase surplus land? </w:t>
      </w:r>
    </w:p>
    <w:p w:rsidR="006700D7" w:rsidRDefault="006700D7" w:rsidP="00F01C00">
      <w:pPr>
        <w:pStyle w:val="BodyText"/>
        <w:jc w:val="both"/>
      </w:pPr>
      <w:r>
        <w:t>Local government can express an interest in purchasing land for community purposes through the ‘first right of refusal’ process. Local government and the landowning agency are required to negotiate in</w:t>
      </w:r>
      <w:r w:rsidR="00852759">
        <w:t xml:space="preserve"> </w:t>
      </w:r>
      <w:r>
        <w:t xml:space="preserve">good faith to attempt to agree on the terms of sale within 30 days after the close of the expression of interest period (or such other period as may be agreed between the parties). </w:t>
      </w:r>
    </w:p>
    <w:p w:rsidR="006700D7" w:rsidRDefault="006700D7" w:rsidP="00F01C00">
      <w:pPr>
        <w:pStyle w:val="BodyText"/>
        <w:jc w:val="both"/>
      </w:pPr>
      <w:r>
        <w:t xml:space="preserve">If the terms of sale are agreed between the parties, transfer of the surplus land may proceed according to the agreed terms, at a price equal to the current market value of the land as determined by the </w:t>
      </w:r>
      <w:proofErr w:type="spellStart"/>
      <w:r>
        <w:t>Valuer</w:t>
      </w:r>
      <w:proofErr w:type="spellEnd"/>
      <w:r>
        <w:rPr>
          <w:rFonts w:ascii="Cambria Math" w:hAnsi="Cambria Math" w:cs="Cambria Math"/>
        </w:rPr>
        <w:t>‐</w:t>
      </w:r>
      <w:r>
        <w:t>General Victoria.</w:t>
      </w:r>
    </w:p>
    <w:p w:rsidR="00852759" w:rsidRDefault="00852759" w:rsidP="00F01C00">
      <w:pPr>
        <w:pStyle w:val="Heading2"/>
        <w:jc w:val="both"/>
      </w:pPr>
      <w:r>
        <w:t>Why does the Victorian Government sell land?</w:t>
      </w:r>
    </w:p>
    <w:p w:rsidR="00B40BE4" w:rsidRDefault="00B40BE4" w:rsidP="00B40BE4">
      <w:pPr>
        <w:pStyle w:val="BodyText"/>
        <w:jc w:val="both"/>
      </w:pPr>
      <w:r>
        <w:t>Funds realised through the sale of government land are returned to consolidated revenue and will be used to:</w:t>
      </w:r>
    </w:p>
    <w:p w:rsidR="00625E61" w:rsidRPr="00625E61" w:rsidRDefault="00625E61" w:rsidP="00625E61">
      <w:pPr>
        <w:pStyle w:val="ListBullet"/>
        <w:numPr>
          <w:ilvl w:val="0"/>
          <w:numId w:val="14"/>
        </w:numPr>
        <w:jc w:val="both"/>
      </w:pPr>
      <w:r w:rsidRPr="00625E61">
        <w:t>Reinvest in new infrastructure such as schools, hospitals and public transport.</w:t>
      </w:r>
    </w:p>
    <w:p w:rsidR="00625E61" w:rsidRPr="00625E61" w:rsidRDefault="00625E61" w:rsidP="00625E61">
      <w:pPr>
        <w:pStyle w:val="ListBullet"/>
        <w:numPr>
          <w:ilvl w:val="0"/>
          <w:numId w:val="14"/>
        </w:numPr>
        <w:jc w:val="both"/>
      </w:pPr>
      <w:r w:rsidRPr="00625E61">
        <w:t xml:space="preserve">Reduce the cost of government services and deliver more services. </w:t>
      </w:r>
    </w:p>
    <w:p w:rsidR="00625E61" w:rsidRPr="00625E61" w:rsidRDefault="00625E61" w:rsidP="00625E61">
      <w:pPr>
        <w:pStyle w:val="ListBullet"/>
        <w:numPr>
          <w:ilvl w:val="0"/>
          <w:numId w:val="14"/>
        </w:numPr>
        <w:jc w:val="both"/>
      </w:pPr>
      <w:r w:rsidRPr="00625E61">
        <w:t xml:space="preserve">Eliminate unnecessary expenditure on maintenance and security services at vacated sites. </w:t>
      </w:r>
    </w:p>
    <w:p w:rsidR="00625E61" w:rsidRPr="00625E61" w:rsidRDefault="00625E61" w:rsidP="00625E61">
      <w:pPr>
        <w:pStyle w:val="ListBullet"/>
        <w:numPr>
          <w:ilvl w:val="0"/>
          <w:numId w:val="14"/>
        </w:numPr>
        <w:jc w:val="both"/>
      </w:pPr>
      <w:r w:rsidRPr="00625E61">
        <w:lastRenderedPageBreak/>
        <w:t xml:space="preserve">Provide for the renewal of sites which are no longer required. </w:t>
      </w:r>
    </w:p>
    <w:p w:rsidR="00DC104F" w:rsidRDefault="00DC104F" w:rsidP="00DC104F">
      <w:pPr>
        <w:pStyle w:val="Heading2"/>
        <w:numPr>
          <w:ilvl w:val="0"/>
          <w:numId w:val="0"/>
        </w:numPr>
        <w:jc w:val="both"/>
      </w:pPr>
      <w:r>
        <w:t xml:space="preserve">Why does this land need changes to planning provisions? </w:t>
      </w:r>
    </w:p>
    <w:p w:rsidR="00DC104F" w:rsidRDefault="00DC104F" w:rsidP="00DC104F">
      <w:pPr>
        <w:pStyle w:val="BodyText"/>
        <w:jc w:val="both"/>
      </w:pPr>
      <w:r>
        <w:t xml:space="preserve">Often land owned by the government is zoned Public Use Zone to reflect its public use. Land zoned Public Use Zone cannot be held in private ownership. </w:t>
      </w:r>
    </w:p>
    <w:p w:rsidR="007335A4" w:rsidRDefault="00252F78" w:rsidP="007335A4">
      <w:pPr>
        <w:pStyle w:val="BodyText"/>
        <w:jc w:val="both"/>
      </w:pPr>
      <w:r>
        <w:t>P</w:t>
      </w:r>
      <w:r w:rsidR="00DC104F">
        <w:t xml:space="preserve">rior to offering land for sale by a public process, a department or agency must have in place the most appropriate planning provisions (including zoning) so that the land can be sold on the basis of its highest and best use. </w:t>
      </w:r>
    </w:p>
    <w:p w:rsidR="00B40BE4" w:rsidRDefault="00B40BE4" w:rsidP="00B40BE4">
      <w:pPr>
        <w:pStyle w:val="BodyText"/>
        <w:jc w:val="both"/>
      </w:pPr>
      <w:r>
        <w:t>The Fast Track Government Land Service is assisting in changing the planning provisions for this site.</w:t>
      </w:r>
      <w:r w:rsidRPr="009B47D7">
        <w:t xml:space="preserve"> </w:t>
      </w:r>
    </w:p>
    <w:p w:rsidR="00B40BE4" w:rsidRDefault="00B40BE4" w:rsidP="00B40BE4">
      <w:pPr>
        <w:pStyle w:val="Heading2"/>
        <w:numPr>
          <w:ilvl w:val="0"/>
          <w:numId w:val="0"/>
        </w:numPr>
        <w:jc w:val="both"/>
      </w:pPr>
      <w:r>
        <w:lastRenderedPageBreak/>
        <w:t xml:space="preserve">How can I find out more information? </w:t>
      </w:r>
    </w:p>
    <w:p w:rsidR="00F35F2B" w:rsidRPr="00686A58" w:rsidRDefault="00F35F2B" w:rsidP="00F35F2B">
      <w:pPr>
        <w:spacing w:line="240" w:lineRule="auto"/>
        <w:jc w:val="both"/>
        <w:rPr>
          <w:rFonts w:ascii="Arial" w:hAnsi="Arial"/>
          <w:color w:val="000000"/>
        </w:rPr>
      </w:pPr>
      <w:r w:rsidRPr="0050188F">
        <w:rPr>
          <w:rFonts w:cs="Times New Roman"/>
          <w:lang w:eastAsia="en-US"/>
        </w:rPr>
        <w:t xml:space="preserve">If you have questions about the site and the selection of the proposed planning provisions, please contact Box Hill Institute on (03) 9286 9339 or email </w:t>
      </w:r>
      <w:hyperlink r:id="rId14" w:history="1">
        <w:r w:rsidRPr="002F73DB">
          <w:rPr>
            <w:color w:val="0070C0"/>
            <w:u w:val="single"/>
          </w:rPr>
          <w:t>d.nelson@boxhill.edu.au</w:t>
        </w:r>
      </w:hyperlink>
      <w:r w:rsidRPr="002F73DB">
        <w:rPr>
          <w:color w:val="0070C0"/>
          <w:u w:val="single"/>
        </w:rPr>
        <w:t>.</w:t>
      </w:r>
    </w:p>
    <w:p w:rsidR="00F35F2B" w:rsidRPr="00686A58" w:rsidRDefault="00F35F2B" w:rsidP="00F35F2B">
      <w:pPr>
        <w:spacing w:line="240" w:lineRule="auto"/>
        <w:jc w:val="both"/>
        <w:rPr>
          <w:rFonts w:ascii="Arial" w:hAnsi="Arial"/>
          <w:color w:val="000000"/>
        </w:rPr>
      </w:pPr>
    </w:p>
    <w:p w:rsidR="00F35F2B" w:rsidRPr="00686A58" w:rsidRDefault="00F35F2B" w:rsidP="00F35F2B">
      <w:pPr>
        <w:spacing w:line="240" w:lineRule="auto"/>
        <w:jc w:val="both"/>
        <w:rPr>
          <w:rFonts w:ascii="Arial" w:hAnsi="Arial"/>
          <w:color w:val="000000"/>
        </w:rPr>
      </w:pPr>
      <w:r w:rsidRPr="0050188F">
        <w:rPr>
          <w:rFonts w:cs="Times New Roman"/>
          <w:lang w:eastAsia="en-US"/>
        </w:rPr>
        <w:t>If you have questions about the Advisory Committee process or timing, please contact Planning Panels Victoria on (03) 8392 5120 or email</w:t>
      </w:r>
      <w:r w:rsidRPr="00686A58">
        <w:rPr>
          <w:rFonts w:ascii="Arial" w:hAnsi="Arial"/>
          <w:color w:val="000000"/>
        </w:rPr>
        <w:t xml:space="preserve"> </w:t>
      </w:r>
      <w:hyperlink r:id="rId15" w:history="1">
        <w:r w:rsidRPr="002F73DB">
          <w:rPr>
            <w:color w:val="0070C0"/>
            <w:u w:val="single"/>
          </w:rPr>
          <w:t>planning.panels@delwp.vic.gov.au</w:t>
        </w:r>
      </w:hyperlink>
      <w:r w:rsidRPr="002F73DB">
        <w:rPr>
          <w:color w:val="0070C0"/>
          <w:u w:val="single"/>
        </w:rPr>
        <w:t>.</w:t>
      </w:r>
    </w:p>
    <w:p w:rsidR="00F35F2B" w:rsidRPr="00686A58" w:rsidRDefault="00F35F2B" w:rsidP="00F35F2B">
      <w:pPr>
        <w:spacing w:line="240" w:lineRule="auto"/>
        <w:jc w:val="both"/>
        <w:rPr>
          <w:rFonts w:ascii="Arial" w:hAnsi="Arial"/>
          <w:color w:val="000000"/>
        </w:rPr>
      </w:pPr>
    </w:p>
    <w:p w:rsidR="00252F78" w:rsidRDefault="00F35F2B" w:rsidP="0050188F">
      <w:pPr>
        <w:spacing w:line="240" w:lineRule="auto"/>
        <w:jc w:val="both"/>
        <w:rPr>
          <w:color w:val="0070C0"/>
          <w:u w:val="single"/>
        </w:rPr>
      </w:pPr>
      <w:r w:rsidRPr="0050188F">
        <w:rPr>
          <w:rFonts w:cs="Times New Roman"/>
          <w:lang w:eastAsia="en-US"/>
        </w:rPr>
        <w:t>All other questions should be directed to the Fast Track Government Land Service on (03) 8683 0950 or email</w:t>
      </w:r>
      <w:r w:rsidRPr="00686A58">
        <w:rPr>
          <w:rFonts w:ascii="Arial" w:hAnsi="Arial"/>
          <w:color w:val="000000"/>
        </w:rPr>
        <w:t xml:space="preserve"> </w:t>
      </w:r>
      <w:hyperlink r:id="rId16" w:history="1">
        <w:r w:rsidRPr="002F73DB">
          <w:rPr>
            <w:color w:val="0070C0"/>
            <w:u w:val="single"/>
          </w:rPr>
          <w:t>ftgl.service@delwp.vic.gov.au</w:t>
        </w:r>
      </w:hyperlink>
      <w:r w:rsidRPr="002F73DB">
        <w:rPr>
          <w:color w:val="0070C0"/>
          <w:u w:val="single"/>
        </w:rPr>
        <w:t>.</w:t>
      </w:r>
    </w:p>
    <w:p w:rsidR="0050188F" w:rsidRPr="0050188F" w:rsidRDefault="0050188F" w:rsidP="0050188F">
      <w:pPr>
        <w:spacing w:line="240" w:lineRule="auto"/>
        <w:jc w:val="both"/>
        <w:rPr>
          <w:rFonts w:ascii="Arial" w:hAnsi="Arial"/>
          <w:color w:val="000000"/>
        </w:rPr>
      </w:pPr>
    </w:p>
    <w:p w:rsidR="00252F78" w:rsidRDefault="00252F78">
      <w:pPr>
        <w:pStyle w:val="BodyText"/>
        <w:jc w:val="both"/>
      </w:pPr>
    </w:p>
    <w:p w:rsidR="00252F78" w:rsidRDefault="00252F78">
      <w:pPr>
        <w:pStyle w:val="BodyText"/>
        <w:jc w:val="both"/>
        <w:sectPr w:rsidR="00252F78" w:rsidSect="008A69FB">
          <w:type w:val="continuous"/>
          <w:pgSz w:w="11907" w:h="16840" w:code="9"/>
          <w:pgMar w:top="2211" w:right="851" w:bottom="794" w:left="851" w:header="284" w:footer="284" w:gutter="0"/>
          <w:cols w:num="2" w:space="569"/>
          <w:docGrid w:linePitch="360"/>
        </w:sectPr>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C3246C" w:rsidTr="00301D2A">
        <w:trPr>
          <w:trHeight w:val="2608"/>
        </w:trPr>
        <w:tc>
          <w:tcPr>
            <w:tcW w:w="5216" w:type="dxa"/>
            <w:shd w:val="clear" w:color="auto" w:fill="auto"/>
          </w:tcPr>
          <w:p w:rsidR="00C3246C" w:rsidRDefault="00C3246C" w:rsidP="00C3246C">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4939C3">
              <w:rPr>
                <w:noProof/>
              </w:rPr>
              <w:t>2017</w:t>
            </w:r>
            <w:r>
              <w:fldChar w:fldCharType="end"/>
            </w:r>
          </w:p>
          <w:p w:rsidR="00C3246C" w:rsidRDefault="00C3246C" w:rsidP="00C3246C">
            <w:pPr>
              <w:pStyle w:val="SmallBodyText"/>
            </w:pPr>
            <w:r>
              <w:rPr>
                <w:noProof/>
              </w:rPr>
              <w:drawing>
                <wp:anchor distT="0" distB="0" distL="114300" distR="36195" simplePos="0" relativeHeight="251661312" behindDoc="0" locked="1" layoutInCell="1" allowOverlap="1" wp14:anchorId="62000A59" wp14:editId="3699F64A">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C3246C" w:rsidRDefault="00C3246C" w:rsidP="00C3246C">
            <w:pPr>
              <w:pStyle w:val="SmallBodyText"/>
            </w:pPr>
            <w:r w:rsidRPr="00C255C2">
              <w:t>Printed</w:t>
            </w:r>
            <w:r>
              <w:t xml:space="preserve"> by the Department of Environment, Land, Water and Planning</w:t>
            </w:r>
          </w:p>
          <w:p w:rsidR="00C3246C" w:rsidRDefault="00C3246C" w:rsidP="00C3246C">
            <w:pPr>
              <w:pStyle w:val="SmallBodyText"/>
            </w:pPr>
            <w:r w:rsidRPr="00C3246C">
              <w:t>ISBN 978-1-76047-656-4</w:t>
            </w:r>
            <w:r>
              <w:rPr>
                <w:rFonts w:ascii="Calibri" w:hAnsi="Calibri" w:cs="Calibri"/>
                <w:b/>
                <w:bCs/>
                <w:color w:val="000000"/>
                <w:sz w:val="24"/>
                <w:szCs w:val="24"/>
              </w:rPr>
              <w:t xml:space="preserve"> </w:t>
            </w:r>
            <w:r>
              <w:t xml:space="preserve"> (print)</w:t>
            </w:r>
          </w:p>
          <w:p w:rsidR="00C3246C" w:rsidRPr="008F559C" w:rsidRDefault="00C3246C" w:rsidP="00C3246C">
            <w:pPr>
              <w:pStyle w:val="SmallHeading"/>
            </w:pPr>
            <w:r w:rsidRPr="00C255C2">
              <w:t>Disclaimer</w:t>
            </w:r>
          </w:p>
          <w:p w:rsidR="00C3246C" w:rsidRDefault="00C3246C" w:rsidP="00C3246C">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C3246C" w:rsidRPr="00E97294" w:rsidRDefault="00C3246C" w:rsidP="00C3246C">
            <w:pPr>
              <w:pStyle w:val="xAccessibilityHeading"/>
            </w:pPr>
            <w:bookmarkStart w:id="3" w:name="_Accessibility"/>
            <w:bookmarkEnd w:id="3"/>
            <w:r w:rsidRPr="00E97294">
              <w:t>Accessibility</w:t>
            </w:r>
          </w:p>
          <w:p w:rsidR="00C3246C" w:rsidRDefault="00C3246C" w:rsidP="00C3246C">
            <w:pPr>
              <w:pStyle w:val="xAccessibilityText"/>
            </w:pPr>
            <w:r>
              <w:t>If you would like to receive this publication in an alternative format, please telephone the DELWP Customer Service Centre on 136186, email </w:t>
            </w:r>
            <w:hyperlink r:id="rId18" w:history="1">
              <w:r w:rsidRPr="003C5C56">
                <w:t>customer.service@delwp.vic.gov.au</w:t>
              </w:r>
            </w:hyperlink>
            <w:r>
              <w:t xml:space="preserve">, or via the National Relay Service on 133 677 </w:t>
            </w:r>
            <w:hyperlink r:id="rId19" w:history="1">
              <w:r w:rsidRPr="00AE3298">
                <w:t>www.relayservice.com.au</w:t>
              </w:r>
            </w:hyperlink>
            <w:r>
              <w:t xml:space="preserve">. This document is also available on the internet at </w:t>
            </w:r>
            <w:hyperlink r:id="rId20" w:history="1">
              <w:r w:rsidRPr="00AE3298">
                <w:t>www.delwp.vic.gov.au</w:t>
              </w:r>
            </w:hyperlink>
            <w:r>
              <w:t xml:space="preserve">. </w:t>
            </w:r>
          </w:p>
          <w:p w:rsidR="00C3246C" w:rsidRDefault="00C3246C" w:rsidP="00C3246C">
            <w:pPr>
              <w:pStyle w:val="SmallBodyText"/>
            </w:pPr>
          </w:p>
        </w:tc>
      </w:tr>
    </w:tbl>
    <w:p w:rsidR="00B40BE4" w:rsidRDefault="00B40BE4" w:rsidP="00B40BE4">
      <w:pPr>
        <w:pStyle w:val="BodyText"/>
        <w:jc w:val="both"/>
      </w:pPr>
      <w:r>
        <w:lastRenderedPageBreak/>
        <w:t xml:space="preserve">You can read more about the Victorian Government policies and procedures on managing its land assets: </w:t>
      </w:r>
    </w:p>
    <w:p w:rsidR="00B40BE4" w:rsidRPr="00011C1C" w:rsidRDefault="00B40BE4" w:rsidP="00B40BE4">
      <w:pPr>
        <w:pStyle w:val="ListBullet"/>
        <w:numPr>
          <w:ilvl w:val="0"/>
          <w:numId w:val="14"/>
        </w:numPr>
        <w:jc w:val="both"/>
        <w:rPr>
          <w:i/>
        </w:rPr>
      </w:pPr>
      <w:r w:rsidRPr="00011C1C">
        <w:rPr>
          <w:i/>
        </w:rPr>
        <w:t>Victorian Government Landholding Policy and Guidelines 2015</w:t>
      </w:r>
    </w:p>
    <w:p w:rsidR="00B40BE4" w:rsidRPr="00011C1C" w:rsidRDefault="00B40BE4" w:rsidP="00B40BE4">
      <w:pPr>
        <w:pStyle w:val="ListBullet"/>
        <w:numPr>
          <w:ilvl w:val="0"/>
          <w:numId w:val="14"/>
        </w:numPr>
        <w:jc w:val="both"/>
        <w:rPr>
          <w:i/>
        </w:rPr>
      </w:pPr>
      <w:r w:rsidRPr="00011C1C">
        <w:rPr>
          <w:i/>
        </w:rPr>
        <w:t>Victorian Government Land Transactions Policy and Guidelines 2016</w:t>
      </w:r>
    </w:p>
    <w:p w:rsidR="00B40BE4" w:rsidRDefault="00B40BE4" w:rsidP="00B40BE4">
      <w:pPr>
        <w:pStyle w:val="ListBullet"/>
        <w:numPr>
          <w:ilvl w:val="0"/>
          <w:numId w:val="14"/>
        </w:numPr>
        <w:jc w:val="both"/>
        <w:rPr>
          <w:i/>
        </w:rPr>
      </w:pPr>
      <w:r w:rsidRPr="00011C1C">
        <w:rPr>
          <w:i/>
        </w:rPr>
        <w:t>Victorian Government Crown Land Strategic Assessment Policy and Guidelines 2016</w:t>
      </w:r>
    </w:p>
    <w:p w:rsidR="0050188F" w:rsidRPr="00011C1C" w:rsidRDefault="0050188F" w:rsidP="0050188F">
      <w:pPr>
        <w:pStyle w:val="ListBullet"/>
        <w:ind w:left="360"/>
        <w:jc w:val="both"/>
        <w:rPr>
          <w:i/>
        </w:rPr>
      </w:pPr>
    </w:p>
    <w:p w:rsidR="00B40BE4" w:rsidRDefault="00B40BE4" w:rsidP="00B40BE4">
      <w:pPr>
        <w:pStyle w:val="BodyText"/>
        <w:jc w:val="both"/>
      </w:pPr>
      <w:r>
        <w:t xml:space="preserve">All documents are available: </w:t>
      </w:r>
      <w:hyperlink r:id="rId21" w:history="1">
        <w:r w:rsidR="00785AA7" w:rsidRPr="0050188F">
          <w:rPr>
            <w:rFonts w:cs="Arial"/>
            <w:color w:val="0070C0"/>
            <w:u w:val="single"/>
            <w:lang w:eastAsia="en-AU"/>
          </w:rPr>
          <w:t>www.planning.vic.gov.au/ftgls</w:t>
        </w:r>
      </w:hyperlink>
      <w:r w:rsidR="00785AA7" w:rsidRPr="0050188F">
        <w:rPr>
          <w:rFonts w:cs="Arial"/>
          <w:color w:val="0070C0"/>
          <w:u w:val="single"/>
          <w:lang w:eastAsia="en-AU"/>
        </w:rPr>
        <w:t>.</w:t>
      </w:r>
      <w:r w:rsidR="00785AA7">
        <w:t xml:space="preserve"> </w:t>
      </w:r>
    </w:p>
    <w:p w:rsidR="000B590E" w:rsidRDefault="000B590E" w:rsidP="00B40BE4">
      <w:pPr>
        <w:pStyle w:val="BodyText"/>
        <w:jc w:val="both"/>
      </w:pPr>
    </w:p>
    <w:p w:rsidR="00B40BE4" w:rsidRDefault="00B40BE4" w:rsidP="00B40BE4">
      <w:pPr>
        <w:pStyle w:val="BodyText"/>
        <w:jc w:val="both"/>
      </w:pPr>
    </w:p>
    <w:p w:rsidR="00B40BE4" w:rsidRDefault="00B40BE4" w:rsidP="00B40BE4">
      <w:pPr>
        <w:pStyle w:val="BodyText"/>
        <w:jc w:val="both"/>
      </w:pPr>
    </w:p>
    <w:p w:rsidR="00B40BE4" w:rsidRDefault="00B40BE4" w:rsidP="00B40BE4">
      <w:pPr>
        <w:pStyle w:val="BodyText"/>
        <w:jc w:val="both"/>
      </w:pPr>
    </w:p>
    <w:p w:rsidR="00B40BE4" w:rsidRDefault="00B40BE4" w:rsidP="00B40BE4">
      <w:pPr>
        <w:pStyle w:val="BodyText"/>
        <w:jc w:val="both"/>
      </w:pPr>
    </w:p>
    <w:p w:rsidR="00B40BE4" w:rsidRDefault="00B40BE4" w:rsidP="00B40BE4">
      <w:pPr>
        <w:pStyle w:val="BodyText"/>
        <w:jc w:val="both"/>
      </w:pPr>
    </w:p>
    <w:p w:rsidR="00B40BE4" w:rsidRDefault="00B40BE4" w:rsidP="00B40BE4">
      <w:pPr>
        <w:pStyle w:val="BodyText"/>
        <w:jc w:val="both"/>
      </w:pPr>
    </w:p>
    <w:p w:rsidR="00B40BE4" w:rsidRDefault="00B40BE4" w:rsidP="00B40BE4">
      <w:pPr>
        <w:pStyle w:val="BodyText"/>
        <w:jc w:val="both"/>
      </w:pPr>
    </w:p>
    <w:p w:rsidR="00B40BE4" w:rsidRDefault="00B40BE4" w:rsidP="00B40BE4">
      <w:pPr>
        <w:pStyle w:val="BodyText"/>
        <w:jc w:val="both"/>
      </w:pPr>
    </w:p>
    <w:p w:rsidR="00B40BE4" w:rsidRDefault="00B40BE4" w:rsidP="00B40BE4">
      <w:pPr>
        <w:pStyle w:val="BodyText"/>
        <w:jc w:val="both"/>
      </w:pPr>
    </w:p>
    <w:sectPr w:rsidR="00B40BE4" w:rsidSect="00252F78">
      <w:type w:val="continuous"/>
      <w:pgSz w:w="11907" w:h="16840" w:code="9"/>
      <w:pgMar w:top="2211" w:right="851" w:bottom="794" w:left="851" w:header="284" w:footer="284" w:gutter="0"/>
      <w:cols w:num="2" w:space="56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6B6" w:rsidRDefault="002936B6">
      <w:r>
        <w:separator/>
      </w:r>
    </w:p>
    <w:p w:rsidR="002936B6" w:rsidRDefault="002936B6"/>
    <w:p w:rsidR="002936B6" w:rsidRDefault="002936B6"/>
  </w:endnote>
  <w:endnote w:type="continuationSeparator" w:id="0">
    <w:p w:rsidR="002936B6" w:rsidRDefault="002936B6">
      <w:r>
        <w:continuationSeparator/>
      </w:r>
    </w:p>
    <w:p w:rsidR="002936B6" w:rsidRDefault="002936B6"/>
    <w:p w:rsidR="002936B6" w:rsidRDefault="00293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Pr="00B5221E" w:rsidRDefault="00A209C4" w:rsidP="00E97294">
    <w:pPr>
      <w:pStyle w:val="FooterEven"/>
    </w:pPr>
    <w:r w:rsidRPr="00D55628">
      <w:rPr>
        <w:noProof/>
      </w:rPr>
      <mc:AlternateContent>
        <mc:Choice Requires="wps">
          <w:drawing>
            <wp:anchor distT="0" distB="0" distL="114300" distR="114300" simplePos="0" relativeHeight="251652608" behindDoc="1" locked="1" layoutInCell="1" allowOverlap="1" wp14:anchorId="0B6D03EF" wp14:editId="703CA39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38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Default="00A209C4" w:rsidP="00213C82">
    <w:pPr>
      <w:pStyle w:val="Footer"/>
    </w:pPr>
    <w:r w:rsidRPr="00D55628">
      <w:rPr>
        <w:noProof/>
      </w:rPr>
      <mc:AlternateContent>
        <mc:Choice Requires="wps">
          <w:drawing>
            <wp:anchor distT="0" distB="0" distL="114300" distR="114300" simplePos="0" relativeHeight="251653632" behindDoc="1" locked="1" layoutInCell="1" allowOverlap="1" wp14:anchorId="615DBC4A" wp14:editId="640D3F4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28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Default="00A209C4" w:rsidP="00BF3066">
    <w:pPr>
      <w:pStyle w:val="Footer"/>
      <w:spacing w:before="1600"/>
    </w:pPr>
    <w:r>
      <w:rPr>
        <w:noProof/>
        <w:sz w:val="18"/>
      </w:rPr>
      <mc:AlternateContent>
        <mc:Choice Requires="wps">
          <w:drawing>
            <wp:anchor distT="0" distB="0" distL="114300" distR="114300" simplePos="0" relativeHeight="251662848" behindDoc="0" locked="1" layoutInCell="1" allowOverlap="1" wp14:anchorId="7C54F779" wp14:editId="62A6CB10">
              <wp:simplePos x="0" y="0"/>
              <wp:positionH relativeFrom="page">
                <wp:align>left</wp:align>
              </wp:positionH>
              <wp:positionV relativeFrom="page">
                <wp:align>bottom</wp:align>
              </wp:positionV>
              <wp:extent cx="4171950" cy="719455"/>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417195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1" w:name="Here"/>
                          <w:r w:rsidRPr="009F69FA">
                            <w:t>de</w:t>
                          </w:r>
                          <w:r>
                            <w:t>lwp</w:t>
                          </w:r>
                          <w:r w:rsidRPr="009F69FA">
                            <w:t>.vic.gov.au</w:t>
                          </w:r>
                          <w:bookmarkEnd w:id="1"/>
                          <w:r w:rsidR="00F01C00">
                            <w:t>/fast-track-government-land</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ebAddress" o:spid="_x0000_s1028" type="#_x0000_t202" style="position:absolute;margin-left:0;margin-top:0;width:328.5pt;height:56.65pt;z-index:2516628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" filled="f" stroked="f" strokeweight=".5pt">
              <v:textbox inset="15mm">
                <w:txbxContent>
                  <w:p w:rsidR="00A209C4" w:rsidRPr="009F69FA" w:rsidRDefault="00A209C4" w:rsidP="00213C82">
                    <w:pPr>
                      <w:pStyle w:val="xWeb"/>
                    </w:pPr>
                    <w:bookmarkStart w:id="1" w:name="Here"/>
                    <w:r w:rsidRPr="009F69FA">
                      <w:t>de</w:t>
                    </w:r>
                    <w:r>
                      <w:t>lwp</w:t>
                    </w:r>
                    <w:r w:rsidRPr="009F69FA">
                      <w:t>.vic.gov.au</w:t>
                    </w:r>
                    <w:bookmarkEnd w:id="1"/>
                    <w:r w:rsidR="00F01C00">
                      <w:t>/fast-track-government-land</w:t>
                    </w:r>
                  </w:p>
                </w:txbxContent>
              </v:textbox>
              <w10:wrap anchorx="page" anchory="page"/>
              <w10:anchorlock/>
            </v:shape>
          </w:pict>
        </mc:Fallback>
      </mc:AlternateContent>
    </w:r>
    <w:r>
      <w:rPr>
        <w:noProof/>
        <w:sz w:val="18"/>
      </w:rPr>
      <w:drawing>
        <wp:anchor distT="0" distB="0" distL="114300" distR="114300" simplePos="0" relativeHeight="251661824" behindDoc="1" locked="1" layoutInCell="1" allowOverlap="1" wp14:anchorId="33C90ED6" wp14:editId="434B0268">
          <wp:simplePos x="0" y="0"/>
          <wp:positionH relativeFrom="page">
            <wp:align>right</wp:align>
          </wp:positionH>
          <wp:positionV relativeFrom="page">
            <wp:align>bottom</wp:align>
          </wp:positionV>
          <wp:extent cx="2422800" cy="1083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6B6" w:rsidRPr="008F5280" w:rsidRDefault="002936B6" w:rsidP="008F5280">
      <w:pPr>
        <w:pStyle w:val="FootnoteSeparator"/>
      </w:pPr>
    </w:p>
    <w:p w:rsidR="002936B6" w:rsidRDefault="002936B6"/>
  </w:footnote>
  <w:footnote w:type="continuationSeparator" w:id="0">
    <w:p w:rsidR="002936B6" w:rsidRDefault="002936B6" w:rsidP="008F5280">
      <w:pPr>
        <w:pStyle w:val="FootnoteSeparator"/>
      </w:pPr>
    </w:p>
    <w:p w:rsidR="002936B6" w:rsidRDefault="002936B6"/>
    <w:p w:rsidR="002936B6" w:rsidRDefault="002936B6"/>
  </w:footnote>
  <w:footnote w:type="continuationNotice" w:id="1">
    <w:p w:rsidR="002936B6" w:rsidRDefault="002936B6" w:rsidP="00D55628"/>
    <w:p w:rsidR="002936B6" w:rsidRDefault="002936B6"/>
    <w:p w:rsidR="002936B6" w:rsidRDefault="002936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476B58" w:rsidRDefault="00476B58" w:rsidP="00920652">
          <w:pPr>
            <w:pStyle w:val="Header"/>
          </w:pPr>
          <w:r>
            <w:t>Surplus Victorian Government Land</w:t>
          </w:r>
        </w:p>
        <w:p w:rsidR="00A209C4" w:rsidRPr="00975ED3" w:rsidRDefault="002936B6" w:rsidP="00920652">
          <w:pPr>
            <w:pStyle w:val="Header"/>
          </w:pPr>
          <w:r>
            <w:fldChar w:fldCharType="begin"/>
          </w:r>
          <w:r>
            <w:instrText xml:space="preserve"> STYLEREF  Title  \* MERGEFORMAT </w:instrText>
          </w:r>
          <w:r>
            <w:fldChar w:fldCharType="separate"/>
          </w:r>
          <w:r w:rsidR="004939C3">
            <w:rPr>
              <w:noProof/>
            </w:rPr>
            <w:t>Fact sheet</w:t>
          </w:r>
          <w:r>
            <w:rPr>
              <w:noProof/>
            </w:rPr>
            <w:fldChar w:fldCharType="end"/>
          </w:r>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60800" behindDoc="1" locked="0" layoutInCell="1" allowOverlap="1" wp14:anchorId="74136DF6" wp14:editId="286E761F">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E67FF5" id="TriangleRight" o:spid="_x0000_s1026" style="position:absolute;margin-left:56.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30B65190" wp14:editId="5D63D408">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C3B2C7" id="TriangleLeft" o:spid="_x0000_s1026" style="position:absolute;margin-left:22.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642667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59CA2520" wp14:editId="3AFF1DE2">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6F7F7E" id="Rectangle" o:spid="_x0000_s1026" style="position:absolute;margin-left:22.7pt;margin-top:22.7pt;width:552.7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Pr="00E97294" w:rsidRDefault="00A209C4" w:rsidP="00E97294">
    <w:pPr>
      <w:pStyle w:val="Header"/>
    </w:pPr>
    <w:r w:rsidRPr="00806AB6">
      <w:rPr>
        <w:noProof/>
      </w:rPr>
      <mc:AlternateContent>
        <mc:Choice Requires="wps">
          <w:drawing>
            <wp:anchor distT="0" distB="0" distL="114300" distR="114300" simplePos="0" relativeHeight="251656704" behindDoc="1" locked="0" layoutInCell="1" allowOverlap="1" wp14:anchorId="6B41127B" wp14:editId="3A6EDF69">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EEF8D1" id="TriangleRight" o:spid="_x0000_s1026" style="position:absolute;margin-left:56.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4A7D9A2F" wp14:editId="4F90CB26">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26DF6E" id="TriangleBottom" o:spid="_x0000_s1026" style="position:absolute;margin-left:56.7pt;margin-top:93.55pt;width:68.0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c1a8c2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00CE54FD" wp14:editId="069F1BC5">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982E9A" id="TriangleLeft" o:spid="_x0000_s1026" style="position:absolute;margin-left:22.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642667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20F90E57" wp14:editId="0DA7E04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660A1F" id="Rectangle" o:spid="_x0000_s1026" style="position:absolute;margin-left:22.7pt;margin-top:22.7pt;width:552.7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4D07"/>
    <w:multiLevelType w:val="hybridMultilevel"/>
    <w:tmpl w:val="A6407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8B37FE"/>
    <w:multiLevelType w:val="multilevel"/>
    <w:tmpl w:val="A2EE2272"/>
    <w:name w:val="DEPIListBullets"/>
    <w:lvl w:ilvl="0">
      <w:start w:val="1"/>
      <w:numFmt w:val="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642667"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350709B8"/>
    <w:multiLevelType w:val="hybridMultilevel"/>
    <w:tmpl w:val="1006F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D545EC4"/>
    <w:multiLevelType w:val="multilevel"/>
    <w:tmpl w:val="32CC059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3">
    <w:nsid w:val="4E957AFB"/>
    <w:multiLevelType w:val="singleLevel"/>
    <w:tmpl w:val="E7647B84"/>
    <w:lvl w:ilvl="0">
      <w:start w:val="1"/>
      <w:numFmt w:val="bullet"/>
      <w:lvlText w:val=""/>
      <w:lvlJc w:val="left"/>
      <w:pPr>
        <w:tabs>
          <w:tab w:val="num" w:pos="360"/>
        </w:tabs>
        <w:ind w:left="360" w:hanging="360"/>
      </w:pPr>
      <w:rPr>
        <w:rFonts w:ascii="Symbol" w:hAnsi="Symbol" w:hint="default"/>
      </w:rPr>
    </w:lvl>
  </w:abstractNum>
  <w:abstractNum w:abstractNumId="14">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5">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nsid w:val="52C17C07"/>
    <w:multiLevelType w:val="hybridMultilevel"/>
    <w:tmpl w:val="F8D6B55C"/>
    <w:lvl w:ilvl="0" w:tplc="0C090003">
      <w:start w:val="1"/>
      <w:numFmt w:val="bullet"/>
      <w:lvlText w:val="o"/>
      <w:lvlJc w:val="left"/>
      <w:pPr>
        <w:ind w:left="1074" w:hanging="360"/>
      </w:pPr>
      <w:rPr>
        <w:rFonts w:ascii="Courier New" w:hAnsi="Courier New" w:cs="Courier New"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7">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8">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9">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64266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1">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0"/>
  </w:num>
  <w:num w:numId="2">
    <w:abstractNumId w:val="19"/>
  </w:num>
  <w:num w:numId="3">
    <w:abstractNumId w:val="17"/>
  </w:num>
  <w:num w:numId="4">
    <w:abstractNumId w:val="21"/>
  </w:num>
  <w:num w:numId="5">
    <w:abstractNumId w:val="6"/>
  </w:num>
  <w:num w:numId="6">
    <w:abstractNumId w:val="3"/>
  </w:num>
  <w:num w:numId="7">
    <w:abstractNumId w:val="2"/>
  </w:num>
  <w:num w:numId="8">
    <w:abstractNumId w:val="20"/>
  </w:num>
  <w:num w:numId="9">
    <w:abstractNumId w:val="4"/>
  </w:num>
  <w:num w:numId="10">
    <w:abstractNumId w:val="8"/>
  </w:num>
  <w:num w:numId="11">
    <w:abstractNumId w:val="5"/>
  </w:num>
  <w:num w:numId="12">
    <w:abstractNumId w:val="11"/>
  </w:num>
  <w:num w:numId="13">
    <w:abstractNumId w:val="12"/>
  </w:num>
  <w:num w:numId="14">
    <w:abstractNumId w:val="7"/>
  </w:num>
  <w:num w:numId="15">
    <w:abstractNumId w:val="2"/>
  </w:num>
  <w:num w:numId="16">
    <w:abstractNumId w:val="2"/>
  </w:num>
  <w:num w:numId="17">
    <w:abstractNumId w:val="0"/>
  </w:num>
  <w:num w:numId="18">
    <w:abstractNumId w:val="2"/>
  </w:num>
  <w:num w:numId="19">
    <w:abstractNumId w:val="13"/>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ctiveWritingStyle w:appName="MSWord" w:lang="en-US" w:vendorID="64" w:dllVersion="0" w:nlCheck="1" w:checkStyle="1"/>
  <w:activeWritingStyle w:appName="MSWord" w:lang="en-AU" w:vendorID="64" w:dllVersion="0" w:nlCheck="1" w:checkStyle="1"/>
  <w:activeWritingStyle w:appName="MSWord" w:lang="en-AU"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Planning"/>
    <w:docVar w:name="TOC" w:val="True"/>
    <w:docVar w:name="TOCNew" w:val="True"/>
    <w:docVar w:name="Version" w:val="1"/>
  </w:docVars>
  <w:rsids>
    <w:rsidRoot w:val="006700D7"/>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C1C"/>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AE6"/>
    <w:rsid w:val="00022F51"/>
    <w:rsid w:val="000230FD"/>
    <w:rsid w:val="0002325E"/>
    <w:rsid w:val="00023536"/>
    <w:rsid w:val="000236AE"/>
    <w:rsid w:val="00023AFB"/>
    <w:rsid w:val="0002404B"/>
    <w:rsid w:val="00024118"/>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ED"/>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0BF"/>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90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2904"/>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ACD"/>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3F1"/>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D50"/>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116"/>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16E"/>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E89"/>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70"/>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883"/>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3B5C"/>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1CF"/>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2F78"/>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049"/>
    <w:rsid w:val="002634C6"/>
    <w:rsid w:val="0026369F"/>
    <w:rsid w:val="002636AB"/>
    <w:rsid w:val="0026373B"/>
    <w:rsid w:val="00263BE7"/>
    <w:rsid w:val="002641FD"/>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487"/>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36B6"/>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056"/>
    <w:rsid w:val="002A5358"/>
    <w:rsid w:val="002A5A39"/>
    <w:rsid w:val="002A5D8B"/>
    <w:rsid w:val="002A5ED2"/>
    <w:rsid w:val="002A67CE"/>
    <w:rsid w:val="002A6829"/>
    <w:rsid w:val="002A6C11"/>
    <w:rsid w:val="002A6C41"/>
    <w:rsid w:val="002A6CDD"/>
    <w:rsid w:val="002A6FC7"/>
    <w:rsid w:val="002A7217"/>
    <w:rsid w:val="002A783B"/>
    <w:rsid w:val="002A7AC5"/>
    <w:rsid w:val="002A7DF3"/>
    <w:rsid w:val="002B009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573"/>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2E2"/>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A1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695A"/>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118"/>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6D5A"/>
    <w:rsid w:val="003C71FE"/>
    <w:rsid w:val="003C7B87"/>
    <w:rsid w:val="003D0360"/>
    <w:rsid w:val="003D0CA7"/>
    <w:rsid w:val="003D1288"/>
    <w:rsid w:val="003D12AE"/>
    <w:rsid w:val="003D142B"/>
    <w:rsid w:val="003D14BC"/>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63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3D1"/>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829"/>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B58"/>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39C3"/>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2532"/>
    <w:rsid w:val="004B3987"/>
    <w:rsid w:val="004B3A9B"/>
    <w:rsid w:val="004B3C6B"/>
    <w:rsid w:val="004B441C"/>
    <w:rsid w:val="004B44C5"/>
    <w:rsid w:val="004B45A2"/>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88F"/>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A1B"/>
    <w:rsid w:val="00505CE1"/>
    <w:rsid w:val="00506058"/>
    <w:rsid w:val="00506259"/>
    <w:rsid w:val="005062DD"/>
    <w:rsid w:val="00506A1F"/>
    <w:rsid w:val="005071A3"/>
    <w:rsid w:val="005077C6"/>
    <w:rsid w:val="00507CFB"/>
    <w:rsid w:val="00510245"/>
    <w:rsid w:val="0051067C"/>
    <w:rsid w:val="00510833"/>
    <w:rsid w:val="0051089A"/>
    <w:rsid w:val="005108EF"/>
    <w:rsid w:val="00510979"/>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48A"/>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85F"/>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7D7"/>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6D49"/>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5E61"/>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0D7"/>
    <w:rsid w:val="0067011C"/>
    <w:rsid w:val="00670C77"/>
    <w:rsid w:val="00670F64"/>
    <w:rsid w:val="00671260"/>
    <w:rsid w:val="006712C2"/>
    <w:rsid w:val="00671492"/>
    <w:rsid w:val="006717E1"/>
    <w:rsid w:val="00671D89"/>
    <w:rsid w:val="00671FFF"/>
    <w:rsid w:val="00672399"/>
    <w:rsid w:val="0067295F"/>
    <w:rsid w:val="00672BB1"/>
    <w:rsid w:val="00672D08"/>
    <w:rsid w:val="00673793"/>
    <w:rsid w:val="00673B0F"/>
    <w:rsid w:val="00673B43"/>
    <w:rsid w:val="00673F70"/>
    <w:rsid w:val="00674720"/>
    <w:rsid w:val="00674C30"/>
    <w:rsid w:val="00675203"/>
    <w:rsid w:val="00675E8D"/>
    <w:rsid w:val="006760A1"/>
    <w:rsid w:val="00676A93"/>
    <w:rsid w:val="00676B02"/>
    <w:rsid w:val="00676DE5"/>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5742"/>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0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1B5"/>
    <w:rsid w:val="006D070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1C"/>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720"/>
    <w:rsid w:val="00727BF4"/>
    <w:rsid w:val="00727D59"/>
    <w:rsid w:val="007312FD"/>
    <w:rsid w:val="00731798"/>
    <w:rsid w:val="007322F9"/>
    <w:rsid w:val="00732B3E"/>
    <w:rsid w:val="00732B4D"/>
    <w:rsid w:val="0073302E"/>
    <w:rsid w:val="007334AC"/>
    <w:rsid w:val="007335A4"/>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1BE"/>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9AD"/>
    <w:rsid w:val="007819DB"/>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A7"/>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7A9"/>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2DFB"/>
    <w:rsid w:val="007B3314"/>
    <w:rsid w:val="007B384D"/>
    <w:rsid w:val="007B3BA0"/>
    <w:rsid w:val="007B4113"/>
    <w:rsid w:val="007B431B"/>
    <w:rsid w:val="007B4412"/>
    <w:rsid w:val="007B47D4"/>
    <w:rsid w:val="007B4823"/>
    <w:rsid w:val="007B4EC0"/>
    <w:rsid w:val="007B5135"/>
    <w:rsid w:val="007B5174"/>
    <w:rsid w:val="007B51F1"/>
    <w:rsid w:val="007B5742"/>
    <w:rsid w:val="007B5837"/>
    <w:rsid w:val="007B5BC4"/>
    <w:rsid w:val="007B608C"/>
    <w:rsid w:val="007B6535"/>
    <w:rsid w:val="007B6996"/>
    <w:rsid w:val="007B6D2E"/>
    <w:rsid w:val="007B6D7A"/>
    <w:rsid w:val="007B6D8F"/>
    <w:rsid w:val="007B74C4"/>
    <w:rsid w:val="007B7559"/>
    <w:rsid w:val="007B76C3"/>
    <w:rsid w:val="007B76F2"/>
    <w:rsid w:val="007B7A2B"/>
    <w:rsid w:val="007C03F7"/>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2B57"/>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86A"/>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759"/>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1B1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5F4"/>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32B"/>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ACC"/>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201"/>
    <w:rsid w:val="008A6926"/>
    <w:rsid w:val="008A69FB"/>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B76"/>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899"/>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5D66"/>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251"/>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226"/>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0D"/>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5B6"/>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134"/>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222"/>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C78FA"/>
    <w:rsid w:val="00AD02B7"/>
    <w:rsid w:val="00AD03D6"/>
    <w:rsid w:val="00AD0593"/>
    <w:rsid w:val="00AD05B0"/>
    <w:rsid w:val="00AD0B66"/>
    <w:rsid w:val="00AD135F"/>
    <w:rsid w:val="00AD1831"/>
    <w:rsid w:val="00AD18EE"/>
    <w:rsid w:val="00AD2747"/>
    <w:rsid w:val="00AD3037"/>
    <w:rsid w:val="00AD3296"/>
    <w:rsid w:val="00AD33BC"/>
    <w:rsid w:val="00AD391C"/>
    <w:rsid w:val="00AD416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72B"/>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0AD"/>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777"/>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004"/>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BE4"/>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88E"/>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3E67"/>
    <w:rsid w:val="00B84996"/>
    <w:rsid w:val="00B8504C"/>
    <w:rsid w:val="00B862EF"/>
    <w:rsid w:val="00B86500"/>
    <w:rsid w:val="00B8691D"/>
    <w:rsid w:val="00B870F1"/>
    <w:rsid w:val="00B87146"/>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6E9F"/>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056"/>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44AE"/>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142"/>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4CD"/>
    <w:rsid w:val="00C31C12"/>
    <w:rsid w:val="00C31E6E"/>
    <w:rsid w:val="00C3246C"/>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23F"/>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CF3"/>
    <w:rsid w:val="00C72E75"/>
    <w:rsid w:val="00C734A5"/>
    <w:rsid w:val="00C7376F"/>
    <w:rsid w:val="00C73B96"/>
    <w:rsid w:val="00C73C80"/>
    <w:rsid w:val="00C73E7D"/>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87C64"/>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6FE8"/>
    <w:rsid w:val="00CA77E7"/>
    <w:rsid w:val="00CA7FBB"/>
    <w:rsid w:val="00CB0597"/>
    <w:rsid w:val="00CB0687"/>
    <w:rsid w:val="00CB08DC"/>
    <w:rsid w:val="00CB1C0C"/>
    <w:rsid w:val="00CB1C2D"/>
    <w:rsid w:val="00CB1CA5"/>
    <w:rsid w:val="00CB1CC6"/>
    <w:rsid w:val="00CB1FB7"/>
    <w:rsid w:val="00CB2443"/>
    <w:rsid w:val="00CB2579"/>
    <w:rsid w:val="00CB2A23"/>
    <w:rsid w:val="00CB2D0D"/>
    <w:rsid w:val="00CB33B9"/>
    <w:rsid w:val="00CB395E"/>
    <w:rsid w:val="00CB3A8F"/>
    <w:rsid w:val="00CB4229"/>
    <w:rsid w:val="00CB43FE"/>
    <w:rsid w:val="00CB45F8"/>
    <w:rsid w:val="00CB4A05"/>
    <w:rsid w:val="00CB5131"/>
    <w:rsid w:val="00CB5179"/>
    <w:rsid w:val="00CB568D"/>
    <w:rsid w:val="00CB5968"/>
    <w:rsid w:val="00CB6767"/>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13F"/>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5AC"/>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895"/>
    <w:rsid w:val="00D45A41"/>
    <w:rsid w:val="00D45ADC"/>
    <w:rsid w:val="00D460F1"/>
    <w:rsid w:val="00D46251"/>
    <w:rsid w:val="00D468F2"/>
    <w:rsid w:val="00D472AF"/>
    <w:rsid w:val="00D4761C"/>
    <w:rsid w:val="00D47C8E"/>
    <w:rsid w:val="00D47FF7"/>
    <w:rsid w:val="00D500BD"/>
    <w:rsid w:val="00D503C0"/>
    <w:rsid w:val="00D50623"/>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DD2"/>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AE"/>
    <w:rsid w:val="00DC02B2"/>
    <w:rsid w:val="00DC04E1"/>
    <w:rsid w:val="00DC104F"/>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11F"/>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4"/>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99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89B"/>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B7C82"/>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5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5F5"/>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15E"/>
    <w:rsid w:val="00EF7A5F"/>
    <w:rsid w:val="00F004EB"/>
    <w:rsid w:val="00F00518"/>
    <w:rsid w:val="00F0072E"/>
    <w:rsid w:val="00F009B0"/>
    <w:rsid w:val="00F01211"/>
    <w:rsid w:val="00F018EC"/>
    <w:rsid w:val="00F01C00"/>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65"/>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2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5FA"/>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199"/>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58F9"/>
    <w:rsid w:val="00FF60E5"/>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head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642667"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642667"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642667"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642667"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642667"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642667" w:themeColor="text2"/>
        <w:bottom w:val="single" w:sz="8" w:space="0" w:color="642667" w:themeColor="text2"/>
        <w:insideH w:val="single" w:sz="8" w:space="0" w:color="642667"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642667" w:themeFill="text2"/>
      </w:tcPr>
    </w:tblStylePr>
    <w:tblStylePr w:type="lastRow">
      <w:rPr>
        <w:b w:val="0"/>
      </w:rPr>
    </w:tblStylePr>
    <w:tblStylePr w:type="lastCol">
      <w:pPr>
        <w:jc w:val="left"/>
      </w:pPr>
    </w:tblStylePr>
    <w:tblStylePr w:type="band1Vert">
      <w:tblPr/>
      <w:tcPr>
        <w:shd w:val="clear" w:color="auto" w:fill="EFE9F0"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642667"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642667"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9"/>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642667"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642667"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642667"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642667"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642667"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642667"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642667"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642667"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642667"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FE9F0"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FE9F0"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0"/>
      </w:numPr>
    </w:pPr>
  </w:style>
  <w:style w:type="paragraph" w:customStyle="1" w:styleId="PullOutBoxBullet2">
    <w:name w:val="Pull Out Box Bullet 2"/>
    <w:basedOn w:val="PullOutBoxBodyText"/>
    <w:qFormat/>
    <w:rsid w:val="004D4063"/>
    <w:pPr>
      <w:numPr>
        <w:ilvl w:val="1"/>
        <w:numId w:val="10"/>
      </w:numPr>
    </w:pPr>
  </w:style>
  <w:style w:type="paragraph" w:customStyle="1" w:styleId="PullOutBoxBullet3">
    <w:name w:val="Pull Out Box Bullet 3"/>
    <w:basedOn w:val="PullOutBoxBodyText"/>
    <w:qFormat/>
    <w:rsid w:val="004D4063"/>
    <w:pPr>
      <w:numPr>
        <w:ilvl w:val="2"/>
        <w:numId w:val="10"/>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642667"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642667" w:themeColor="text2"/>
        <w:left w:val="single" w:sz="4" w:space="0" w:color="642667" w:themeColor="text2"/>
        <w:bottom w:val="single" w:sz="4" w:space="0" w:color="642667" w:themeColor="text2"/>
        <w:right w:val="single" w:sz="4" w:space="0" w:color="642667"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8"/>
      </w:numPr>
    </w:pPr>
  </w:style>
  <w:style w:type="paragraph" w:customStyle="1" w:styleId="QuoteBullet2">
    <w:name w:val="Quote Bullet 2"/>
    <w:basedOn w:val="Quote"/>
    <w:qFormat/>
    <w:rsid w:val="004D4063"/>
    <w:pPr>
      <w:numPr>
        <w:ilvl w:val="1"/>
        <w:numId w:val="8"/>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642667"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642667"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642667" w:themeFill="text2"/>
    </w:tcPr>
  </w:style>
  <w:style w:type="paragraph" w:customStyle="1" w:styleId="BodyText100ThemeColour">
    <w:name w:val="Body Text 100% Theme Colour"/>
    <w:basedOn w:val="BodyText"/>
    <w:qFormat/>
    <w:rsid w:val="00096B2D"/>
    <w:rPr>
      <w:color w:val="642667"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1"/>
      </w:numPr>
      <w:spacing w:before="120" w:after="120"/>
    </w:pPr>
  </w:style>
  <w:style w:type="paragraph" w:customStyle="1" w:styleId="ListAlpha2">
    <w:name w:val="List Alpha 2"/>
    <w:basedOn w:val="Normal"/>
    <w:qFormat/>
    <w:rsid w:val="00893106"/>
    <w:pPr>
      <w:numPr>
        <w:ilvl w:val="1"/>
        <w:numId w:val="11"/>
      </w:numPr>
      <w:spacing w:before="120" w:after="120"/>
    </w:pPr>
  </w:style>
  <w:style w:type="paragraph" w:customStyle="1" w:styleId="ListAlpha3">
    <w:name w:val="List Alpha 3"/>
    <w:basedOn w:val="Normal"/>
    <w:qFormat/>
    <w:rsid w:val="00893106"/>
    <w:pPr>
      <w:numPr>
        <w:ilvl w:val="2"/>
        <w:numId w:val="11"/>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2"/>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642667" w:themeColor="text2"/>
      <w:kern w:val="32"/>
      <w:sz w:val="40"/>
      <w:szCs w:val="32"/>
    </w:rPr>
  </w:style>
  <w:style w:type="character" w:customStyle="1" w:styleId="Heading2Char">
    <w:name w:val="Heading 2 Char"/>
    <w:basedOn w:val="DefaultParagraphFont"/>
    <w:link w:val="Heading2"/>
    <w:rsid w:val="001306D2"/>
    <w:rPr>
      <w:b/>
      <w:bCs/>
      <w:iCs/>
      <w:color w:val="642667"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Style4">
    <w:name w:val="Style4"/>
    <w:uiPriority w:val="1"/>
    <w:rsid w:val="00625E61"/>
    <w:rPr>
      <w:rFonts w:ascii="Calibri" w:hAnsi="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head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642667"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642667"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642667"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642667"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642667"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642667" w:themeColor="text2"/>
        <w:bottom w:val="single" w:sz="8" w:space="0" w:color="642667" w:themeColor="text2"/>
        <w:insideH w:val="single" w:sz="8" w:space="0" w:color="642667"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642667" w:themeFill="text2"/>
      </w:tcPr>
    </w:tblStylePr>
    <w:tblStylePr w:type="lastRow">
      <w:rPr>
        <w:b w:val="0"/>
      </w:rPr>
    </w:tblStylePr>
    <w:tblStylePr w:type="lastCol">
      <w:pPr>
        <w:jc w:val="left"/>
      </w:pPr>
    </w:tblStylePr>
    <w:tblStylePr w:type="band1Vert">
      <w:tblPr/>
      <w:tcPr>
        <w:shd w:val="clear" w:color="auto" w:fill="EFE9F0"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642667"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642667"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9"/>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642667"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642667"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642667"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642667"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642667"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642667"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642667"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642667"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642667"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FE9F0"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FE9F0"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0"/>
      </w:numPr>
    </w:pPr>
  </w:style>
  <w:style w:type="paragraph" w:customStyle="1" w:styleId="PullOutBoxBullet2">
    <w:name w:val="Pull Out Box Bullet 2"/>
    <w:basedOn w:val="PullOutBoxBodyText"/>
    <w:qFormat/>
    <w:rsid w:val="004D4063"/>
    <w:pPr>
      <w:numPr>
        <w:ilvl w:val="1"/>
        <w:numId w:val="10"/>
      </w:numPr>
    </w:pPr>
  </w:style>
  <w:style w:type="paragraph" w:customStyle="1" w:styleId="PullOutBoxBullet3">
    <w:name w:val="Pull Out Box Bullet 3"/>
    <w:basedOn w:val="PullOutBoxBodyText"/>
    <w:qFormat/>
    <w:rsid w:val="004D4063"/>
    <w:pPr>
      <w:numPr>
        <w:ilvl w:val="2"/>
        <w:numId w:val="10"/>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642667"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642667" w:themeColor="text2"/>
        <w:left w:val="single" w:sz="4" w:space="0" w:color="642667" w:themeColor="text2"/>
        <w:bottom w:val="single" w:sz="4" w:space="0" w:color="642667" w:themeColor="text2"/>
        <w:right w:val="single" w:sz="4" w:space="0" w:color="642667"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8"/>
      </w:numPr>
    </w:pPr>
  </w:style>
  <w:style w:type="paragraph" w:customStyle="1" w:styleId="QuoteBullet2">
    <w:name w:val="Quote Bullet 2"/>
    <w:basedOn w:val="Quote"/>
    <w:qFormat/>
    <w:rsid w:val="004D4063"/>
    <w:pPr>
      <w:numPr>
        <w:ilvl w:val="1"/>
        <w:numId w:val="8"/>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642667"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642667"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642667" w:themeFill="text2"/>
    </w:tcPr>
  </w:style>
  <w:style w:type="paragraph" w:customStyle="1" w:styleId="BodyText100ThemeColour">
    <w:name w:val="Body Text 100% Theme Colour"/>
    <w:basedOn w:val="BodyText"/>
    <w:qFormat/>
    <w:rsid w:val="00096B2D"/>
    <w:rPr>
      <w:color w:val="642667"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1"/>
      </w:numPr>
      <w:spacing w:before="120" w:after="120"/>
    </w:pPr>
  </w:style>
  <w:style w:type="paragraph" w:customStyle="1" w:styleId="ListAlpha2">
    <w:name w:val="List Alpha 2"/>
    <w:basedOn w:val="Normal"/>
    <w:qFormat/>
    <w:rsid w:val="00893106"/>
    <w:pPr>
      <w:numPr>
        <w:ilvl w:val="1"/>
        <w:numId w:val="11"/>
      </w:numPr>
      <w:spacing w:before="120" w:after="120"/>
    </w:pPr>
  </w:style>
  <w:style w:type="paragraph" w:customStyle="1" w:styleId="ListAlpha3">
    <w:name w:val="List Alpha 3"/>
    <w:basedOn w:val="Normal"/>
    <w:qFormat/>
    <w:rsid w:val="00893106"/>
    <w:pPr>
      <w:numPr>
        <w:ilvl w:val="2"/>
        <w:numId w:val="11"/>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2"/>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642667" w:themeColor="text2"/>
      <w:kern w:val="32"/>
      <w:sz w:val="40"/>
      <w:szCs w:val="32"/>
    </w:rPr>
  </w:style>
  <w:style w:type="character" w:customStyle="1" w:styleId="Heading2Char">
    <w:name w:val="Heading 2 Char"/>
    <w:basedOn w:val="DefaultParagraphFont"/>
    <w:link w:val="Heading2"/>
    <w:rsid w:val="001306D2"/>
    <w:rPr>
      <w:b/>
      <w:bCs/>
      <w:iCs/>
      <w:color w:val="642667"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Style4">
    <w:name w:val="Style4"/>
    <w:uiPriority w:val="1"/>
    <w:rsid w:val="00625E61"/>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customer.service@delwp.vic.gov.au" TargetMode="External"/><Relationship Id="rId3" Type="http://schemas.openxmlformats.org/officeDocument/2006/relationships/styles" Target="styles.xml"/><Relationship Id="rId21" Type="http://schemas.openxmlformats.org/officeDocument/2006/relationships/hyperlink" Target="http://www.planning.vic.gov.au/ftgls"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mailto:ftgl.service@delwp.vic.gov.au" TargetMode="External"/><Relationship Id="rId20"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planning.panels@delwp.vic.gov.a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relayservice.com.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d.nelson@boxhill.edu.au"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71\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642667"/>
      </a:dk2>
      <a:lt2>
        <a:srgbClr val="EFE9F0"/>
      </a:lt2>
      <a:accent1>
        <a:srgbClr val="00B2A9"/>
      </a:accent1>
      <a:accent2>
        <a:srgbClr val="642667"/>
      </a:accent2>
      <a:accent3>
        <a:srgbClr val="201547"/>
      </a:accent3>
      <a:accent4>
        <a:srgbClr val="99E0DD"/>
      </a:accent4>
      <a:accent5>
        <a:srgbClr val="C1A8C2"/>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B0ACD-9640-4480-BF02-55BC238A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15</TotalTime>
  <Pages>1</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Victorian Government</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Lazarus Cinnabar</dc:creator>
  <cp:lastModifiedBy>Darcy J Daniher (DELWP)</cp:lastModifiedBy>
  <cp:revision>8</cp:revision>
  <cp:lastPrinted>2017-09-19T05:54:00Z</cp:lastPrinted>
  <dcterms:created xsi:type="dcterms:W3CDTF">2017-08-27T23:42:00Z</dcterms:created>
  <dcterms:modified xsi:type="dcterms:W3CDTF">2017-09-19T05:54:00Z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