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F20F5D" w:rsidRPr="00191FC9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i/>
          <w:sz w:val="22"/>
          <w:szCs w:val="22"/>
        </w:rPr>
      </w:pPr>
      <w:r w:rsidRPr="00191FC9">
        <w:rPr>
          <w:rFonts w:asciiTheme="minorHAnsi" w:hAnsiTheme="minorHAnsi" w:cstheme="minorHAnsi"/>
          <w:i/>
          <w:sz w:val="22"/>
          <w:szCs w:val="22"/>
        </w:rPr>
        <w:t>The purpose of this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brochure is to answer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common questions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about panel procedures,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and particularly aims to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help anyone attending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a Panel Hearing for</w:t>
      </w:r>
      <w:r w:rsidRPr="00191F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91FC9">
        <w:rPr>
          <w:rFonts w:asciiTheme="minorHAnsi" w:hAnsiTheme="minorHAnsi" w:cstheme="minorHAnsi"/>
          <w:i/>
          <w:sz w:val="22"/>
          <w:szCs w:val="22"/>
        </w:rPr>
        <w:t>the first time.</w:t>
      </w:r>
    </w:p>
    <w:p w:rsidR="00F20F5D" w:rsidRPr="00F20F5D" w:rsidRDefault="00F20F5D" w:rsidP="00F20F5D">
      <w:pPr>
        <w:pStyle w:val="Heading2"/>
        <w:spacing w:after="24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What is a Panel?</w:t>
      </w:r>
    </w:p>
    <w:p w:rsidR="00F20F5D" w:rsidRP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 xml:space="preserve">Under the </w:t>
      </w:r>
      <w:r w:rsidRPr="00191FC9">
        <w:rPr>
          <w:rFonts w:asciiTheme="minorHAnsi" w:hAnsiTheme="minorHAnsi" w:cstheme="minorHAnsi"/>
          <w:i/>
          <w:sz w:val="22"/>
          <w:szCs w:val="22"/>
        </w:rPr>
        <w:t>Planning and Environment Act 1987</w:t>
      </w:r>
      <w:r w:rsidRPr="00F20F5D">
        <w:rPr>
          <w:rFonts w:asciiTheme="minorHAnsi" w:hAnsiTheme="minorHAnsi" w:cstheme="minorHAnsi"/>
          <w:sz w:val="22"/>
          <w:szCs w:val="22"/>
        </w:rPr>
        <w:t xml:space="preserve"> (the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Act), a Panel is appointed by the Minister for Planning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hear submissions made about amendments to planning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schemes and to make recommendations or provide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advice about whether or not the amendment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proceed. It will have one or more members, depending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on the complexity of the issues involved.</w:t>
      </w:r>
      <w:bookmarkStart w:id="0" w:name="_GoBack"/>
      <w:bookmarkEnd w:id="0"/>
    </w:p>
    <w:p w:rsidR="00F20F5D" w:rsidRPr="00F20F5D" w:rsidRDefault="00F20F5D" w:rsidP="00F20F5D">
      <w:pPr>
        <w:pStyle w:val="Heading2"/>
        <w:spacing w:after="24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What does a Panel do?</w:t>
      </w:r>
    </w:p>
    <w:p w:rsidR="00F20F5D" w:rsidRP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basic role of a Panel is to: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Give submitters an opportunity to be heard in an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informal, non-judicial manner. A Panel is not a court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and is not bound by legal rules of evidence.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Give expert advice to the Planning Authority (usually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local Council) or the Minister about an amendment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and about submissions referred to it.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Panel may inquire into all aspects of the amendment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and submissions.</w:t>
      </w:r>
    </w:p>
    <w:p w:rsidR="00F20F5D" w:rsidRPr="00F20F5D" w:rsidRDefault="00F20F5D" w:rsidP="00F20F5D">
      <w:pPr>
        <w:pStyle w:val="Heading2"/>
        <w:spacing w:after="24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Are submissions public documents?</w:t>
      </w:r>
    </w:p>
    <w:p w:rsid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Yes. All submissions received and all information provided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 respect of the Amendment at the Hearing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treated as public documents.</w:t>
      </w:r>
    </w:p>
    <w:p w:rsidR="00F20F5D" w:rsidRP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Please note: Planning Panels Victoria is bound by the terms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 xml:space="preserve">of the </w:t>
      </w:r>
      <w:r w:rsidRPr="00191FC9">
        <w:rPr>
          <w:rFonts w:asciiTheme="minorHAnsi" w:hAnsiTheme="minorHAnsi" w:cstheme="minorHAnsi"/>
          <w:i/>
          <w:sz w:val="22"/>
          <w:szCs w:val="22"/>
        </w:rPr>
        <w:t>Information Privacy Act 2001</w:t>
      </w:r>
      <w:r w:rsidRPr="00F20F5D">
        <w:rPr>
          <w:rFonts w:asciiTheme="minorHAnsi" w:hAnsiTheme="minorHAnsi" w:cstheme="minorHAnsi"/>
          <w:sz w:val="22"/>
          <w:szCs w:val="22"/>
        </w:rPr>
        <w:t xml:space="preserve"> with regard to the use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submissions from individuals and other personal information.</w:t>
      </w:r>
    </w:p>
    <w:p w:rsidR="00F20F5D" w:rsidRPr="00F20F5D" w:rsidRDefault="00F20F5D" w:rsidP="00F20F5D">
      <w:pPr>
        <w:pStyle w:val="Heading2"/>
        <w:spacing w:after="24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Can I read other submissions that have been made?</w:t>
      </w:r>
    </w:p>
    <w:p w:rsidR="00F20F5D" w:rsidRP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Yes. You can inspect the submissions at the office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 xml:space="preserve">Planning Authority that prepared the amendment.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It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recommended you contact the Planning Authority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arrange a time to inspect the submissions, as from time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to time, the Planning Authority may need time to organise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inspection of the submissions.</w:t>
      </w:r>
    </w:p>
    <w:p w:rsidR="00F20F5D" w:rsidRPr="00F20F5D" w:rsidRDefault="00F20F5D" w:rsidP="00F20F5D">
      <w:pPr>
        <w:pStyle w:val="Heading2"/>
        <w:spacing w:after="24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How does the Panel consider submissions?</w:t>
      </w:r>
    </w:p>
    <w:p w:rsid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Panel will consider all written submissions sent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Planning Authority. It also gives anyone who made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 written submission an opportunity to present their key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points at a public hearing.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directed by the Planning Authority or the Minister,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Panel also hears other people (e.g. late submitters).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F5D" w:rsidRDefault="00F20F5D" w:rsidP="00F20F5D">
      <w:pPr>
        <w:pStyle w:val="Normalnum"/>
        <w:spacing w:before="0" w:after="120"/>
        <w:ind w:left="0" w:firstLine="0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You may make your submission to the Panel in person,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or you may be represented by another person.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submission may be oral or partly oral and written.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If represented by another person, written authority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should be available to be given to the Panel if you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not present. You can also call expert witnesses to give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evidence to the Panel.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lastRenderedPageBreak/>
        <w:t>What happens at a Panel Hearing?</w:t>
      </w:r>
    </w:p>
    <w:p w:rsid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 Hearing is conducted in a relatively informal manner.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People are encouraged to represent themselves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may be present at the Hearing at any time. People not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wishing to make a submission at the Hearing are welcome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to attend the Hearing which is open to the public.</w:t>
      </w:r>
    </w:p>
    <w:p w:rsid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you call an expert witness, normally cross-examination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(questioning) of the witness by other presenters will be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allowed by the Panel. Submitters are not cross-examined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but may be asked questions by the Panel to clarify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their submission.</w:t>
      </w:r>
    </w:p>
    <w:p w:rsid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Panel will usually hold a short separate Hearing before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main Hearing at which any submissions are presented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so that organisational and other matters (e.g. exchange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information) can be arranged. This is commonly called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‘Directions Hearing’.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 xml:space="preserve">All people who made </w:t>
      </w:r>
      <w:r>
        <w:rPr>
          <w:rFonts w:asciiTheme="minorHAnsi" w:hAnsiTheme="minorHAnsi" w:cstheme="minorHAnsi"/>
          <w:sz w:val="22"/>
          <w:szCs w:val="22"/>
        </w:rPr>
        <w:t xml:space="preserve">a submission about the amendment. </w:t>
      </w:r>
      <w:r w:rsidRPr="00F20F5D">
        <w:rPr>
          <w:rFonts w:asciiTheme="minorHAnsi" w:hAnsiTheme="minorHAnsi" w:cstheme="minorHAnsi"/>
          <w:sz w:val="22"/>
          <w:szCs w:val="22"/>
        </w:rPr>
        <w:t>will be sent a ‘Request to be Heard’ form. They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complete and return the form if they wish to be heard at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Panel Hearing.</w:t>
      </w:r>
    </w:p>
    <w:p w:rsid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Panel prepares a timetable based on the information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 the ‘Request to be Heard’ forms.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Usually the procedure at the main Hearing is: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chair of the Panel commences the Hearing,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describes the amendment and introduces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members of the Panel.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 representative of the Planning Authority outlines the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purpose of the amendment, what changes (if any) are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proposed to the amendment as a result of considering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submissions, and the Planning Authority’s attitude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referred submissions.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the municipal Council is not the Planning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Authority, a representative of the Council gives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its view of the amendment.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someone asked the Planning Authority to prepare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amendment (the proponent), that person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presents submissions (and usually evidence)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support the request.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Submitters are heard in the order set out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timetable or decided by the chairperson.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 short response to the submission made during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Hearing (known as a ‘right of reply’) by the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Authority and the proponent is usually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allowed by the Panel.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you need clarification on any aspect of the Hearing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or the amendment, you may ask the Panel. The Panel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ask the Planning Authority (or someone else) to respond.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Panel may adjourn the Hearing to other dates if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it considers this necessary. It may inform itself on any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matters as it sees fit.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Presentation of submissions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F20F5D">
        <w:rPr>
          <w:rFonts w:asciiTheme="minorHAnsi" w:hAnsiTheme="minorHAnsi" w:cstheme="minorHAnsi"/>
          <w:caps w:val="0"/>
          <w:sz w:val="28"/>
          <w:szCs w:val="28"/>
        </w:rPr>
        <w:t>at the main Panel Hearing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You should: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Identify your main arguments. This should be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as brief as possible if they are matters already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covered in your written submission to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Authority.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Avoid lengthy repeating points made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previous speakers.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F20F5D" w:rsidRPr="00F20F5D" w:rsidRDefault="00F20F5D" w:rsidP="00F20F5D">
      <w:pPr>
        <w:pStyle w:val="Bulletts"/>
        <w:numPr>
          <w:ilvl w:val="0"/>
          <w:numId w:val="44"/>
        </w:numPr>
        <w:spacing w:after="12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Make sure that your presentation relates to the matters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under discussion, is based on fact, and relates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matters.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Provide the Panel with copies of documents referred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 your presentation. If possible, use visual aids such 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photographs and plans to highlight the main points.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lastRenderedPageBreak/>
        <w:t>You should provide one copy of written material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reports for each Panel member, the Planning Authority,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and the proponent. One spare copy should also be</w:t>
      </w:r>
      <w:r w:rsidRPr="00F20F5D"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provided. As a general rule, six to ten copies should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be adequate.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Will the Hearing be recorded?</w:t>
      </w:r>
    </w:p>
    <w:p w:rsid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Hearings are not usually recorded by the Panel. Parties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may record all or part of the Hearing with the knowledge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and consent of the Panel and on any conditions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Panel specifies. Photographs and video recordings of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Hearing are only allowed if the Panel consents.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What happens after the Hearing is finished?</w:t>
      </w:r>
    </w:p>
    <w:p w:rsidR="00F20F5D" w:rsidRDefault="00F20F5D" w:rsidP="00191F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After considering all submissions and hearing all those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who wish to be heard, making site inspections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considering all information presented to it, the Panel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will send the Planning Authority a written report on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amendment. (This usually occurs from 20 to 40 business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days after the close of the Hearings, depending upon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number of Panel members and the complexity of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matter.)</w:t>
      </w:r>
    </w:p>
    <w:p w:rsidR="00F20F5D" w:rsidRDefault="00F20F5D" w:rsidP="00191F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The Planning Authority must consider the Panel’s report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before it decides whether or not to adopt the amendment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(that is before it decides whether or not to forward it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Minister recommending approval).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If it decides to adopt the amendment, as it was exhibited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or in some modified form, the Planning Authority may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accept or not accept all or part of the Panel’s report and/or change the amendment. If the amendment is adopted,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 copy of all submissions and the Panel report are given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Minister.</w:t>
      </w:r>
    </w:p>
    <w:p w:rsidR="00F20F5D" w:rsidRPr="00F20F5D" w:rsidRDefault="00F20F5D" w:rsidP="00191F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the Planning Authority disagrees with the Panel, it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tell the Minister why, and why changes were made. It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also give the Minister other information as set out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and Environment Regulations 1988.</w:t>
      </w:r>
    </w:p>
    <w:p w:rsidR="00F20F5D" w:rsidRPr="00F20F5D" w:rsidRDefault="00F20F5D" w:rsidP="00191FC9">
      <w:pPr>
        <w:pStyle w:val="Heading2"/>
        <w:spacing w:after="120"/>
        <w:ind w:left="0" w:firstLine="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What happens if the Planning Authority does not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F20F5D">
        <w:rPr>
          <w:rFonts w:asciiTheme="minorHAnsi" w:hAnsiTheme="minorHAnsi" w:cstheme="minorHAnsi"/>
          <w:caps w:val="0"/>
          <w:sz w:val="28"/>
          <w:szCs w:val="28"/>
        </w:rPr>
        <w:t>make a decision on the amendment?</w:t>
      </w:r>
    </w:p>
    <w:p w:rsidR="00F20F5D" w:rsidRPr="00F20F5D" w:rsidRDefault="00F20F5D" w:rsidP="00191F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the Planning Authority has not adopted the amendment,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or been granted an extension of time by the Minister,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amendment will lapse two years after the date that public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notice of it was given (in particular as published in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Government Gazette).</w:t>
      </w:r>
    </w:p>
    <w:p w:rsidR="00F20F5D" w:rsidRPr="00F20F5D" w:rsidRDefault="00F20F5D" w:rsidP="00191FC9">
      <w:pPr>
        <w:pStyle w:val="Heading2"/>
        <w:spacing w:after="120"/>
        <w:ind w:left="0" w:firstLine="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How do I know when a report has been submitted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F20F5D">
        <w:rPr>
          <w:rFonts w:asciiTheme="minorHAnsi" w:hAnsiTheme="minorHAnsi" w:cstheme="minorHAnsi"/>
          <w:caps w:val="0"/>
          <w:sz w:val="28"/>
          <w:szCs w:val="28"/>
        </w:rPr>
        <w:t>and/or is available for inspection by the public?</w:t>
      </w:r>
    </w:p>
    <w:p w:rsidR="00F20F5D" w:rsidRDefault="00F20F5D" w:rsidP="00191FC9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you would like to know when the Panel submits its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report, you should contact the Planning Authority and ask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to be advised of the date it receives the report.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In accordance with the Act, the Panel’s report is available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for public inspection once the Planning Authority has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decided whether or not to adopt the amendment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after it has been with the Planning Authority for 28 days,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whichever is the earlier.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How do submitters know if the amendment</w:t>
      </w:r>
      <w:r>
        <w:rPr>
          <w:rFonts w:asciiTheme="minorHAnsi" w:hAnsiTheme="minorHAnsi" w:cstheme="minorHAnsi"/>
          <w:caps w:val="0"/>
          <w:sz w:val="28"/>
          <w:szCs w:val="28"/>
        </w:rPr>
        <w:t xml:space="preserve"> </w:t>
      </w:r>
      <w:r w:rsidRPr="00F20F5D">
        <w:rPr>
          <w:rFonts w:asciiTheme="minorHAnsi" w:hAnsiTheme="minorHAnsi" w:cstheme="minorHAnsi"/>
          <w:caps w:val="0"/>
          <w:sz w:val="28"/>
          <w:szCs w:val="28"/>
        </w:rPr>
        <w:t>has been approved?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If the Minister has decided to approve the amendment,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 xml:space="preserve">notice will be published in the Government </w:t>
      </w:r>
      <w:r>
        <w:rPr>
          <w:rFonts w:asciiTheme="minorHAnsi" w:hAnsiTheme="minorHAnsi" w:cstheme="minorHAnsi"/>
          <w:sz w:val="22"/>
          <w:szCs w:val="22"/>
        </w:rPr>
        <w:t xml:space="preserve"> G</w:t>
      </w:r>
      <w:r w:rsidRPr="00F20F5D">
        <w:rPr>
          <w:rFonts w:asciiTheme="minorHAnsi" w:hAnsiTheme="minorHAnsi" w:cstheme="minorHAnsi"/>
          <w:sz w:val="22"/>
          <w:szCs w:val="22"/>
        </w:rPr>
        <w:t>azette, and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20F5D">
        <w:rPr>
          <w:rFonts w:asciiTheme="minorHAnsi" w:hAnsiTheme="minorHAnsi" w:cstheme="minorHAnsi"/>
          <w:sz w:val="22"/>
          <w:szCs w:val="22"/>
        </w:rPr>
        <w:t xml:space="preserve"> Planning Authority must give notice to the Minister’s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satisfaction. This may take the form of a newspaper notice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or a personal notice to the submitters.</w:t>
      </w:r>
    </w:p>
    <w:p w:rsidR="00F20F5D" w:rsidRPr="00F20F5D" w:rsidRDefault="00F20F5D" w:rsidP="00F20F5D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F20F5D">
        <w:rPr>
          <w:rFonts w:asciiTheme="minorHAnsi" w:hAnsiTheme="minorHAnsi" w:cstheme="minorHAnsi"/>
          <w:caps w:val="0"/>
          <w:sz w:val="28"/>
          <w:szCs w:val="28"/>
        </w:rPr>
        <w:t>Other types of Panels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t>A Panel may be appointed under the Act to consider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other matters (e.g. planning permits referred to 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called in by the Minister or applied for in conjunction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with an amendment) or under other Acts (for example,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an Environment Effects Statement prepared under the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i/>
          <w:sz w:val="22"/>
          <w:szCs w:val="22"/>
        </w:rPr>
        <w:t>Environment Effects Act 1978</w:t>
      </w:r>
      <w:r w:rsidRPr="00F20F5D">
        <w:rPr>
          <w:rFonts w:asciiTheme="minorHAnsi" w:hAnsiTheme="minorHAnsi" w:cstheme="minorHAnsi"/>
          <w:sz w:val="22"/>
          <w:szCs w:val="22"/>
        </w:rPr>
        <w:t>).</w:t>
      </w:r>
    </w:p>
    <w:p w:rsidR="00F20F5D" w:rsidRPr="00F20F5D" w:rsidRDefault="00F20F5D" w:rsidP="00F20F5D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20F5D">
        <w:rPr>
          <w:rFonts w:asciiTheme="minorHAnsi" w:hAnsiTheme="minorHAnsi" w:cstheme="minorHAnsi"/>
          <w:sz w:val="22"/>
          <w:szCs w:val="22"/>
        </w:rPr>
        <w:lastRenderedPageBreak/>
        <w:t>Advisory Committees may also be appointed 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the Minister under the Planning and Environment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Act 1987 to consider specific proposals or to review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policies.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When one of these other types of Panels or an Advisory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Committee holds a Public Hearing, similar procedures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are followed to those described for a Hearing about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planning scheme amendments. There is no obligation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release the reports of these types of Panels and Advisory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20F5D">
        <w:rPr>
          <w:rFonts w:asciiTheme="minorHAnsi" w:hAnsiTheme="minorHAnsi" w:cstheme="minorHAnsi"/>
          <w:sz w:val="22"/>
          <w:szCs w:val="22"/>
        </w:rPr>
        <w:t>Committees to the public.</w:t>
      </w:r>
    </w:p>
    <w:p w:rsidR="006A123E" w:rsidRPr="002F0CFE" w:rsidRDefault="006A123E" w:rsidP="006A123E">
      <w:pPr>
        <w:pStyle w:val="Heading2"/>
        <w:spacing w:after="120"/>
        <w:jc w:val="both"/>
        <w:rPr>
          <w:rFonts w:asciiTheme="minorHAnsi" w:hAnsiTheme="minorHAnsi" w:cstheme="minorHAnsi"/>
          <w:caps w:val="0"/>
          <w:sz w:val="28"/>
          <w:szCs w:val="28"/>
        </w:rPr>
      </w:pPr>
      <w:r w:rsidRPr="002F0CFE">
        <w:rPr>
          <w:rFonts w:asciiTheme="minorHAnsi" w:hAnsiTheme="minorHAnsi" w:cstheme="minorHAnsi"/>
          <w:caps w:val="0"/>
          <w:sz w:val="28"/>
          <w:szCs w:val="28"/>
        </w:rPr>
        <w:t xml:space="preserve">Further Information </w:t>
      </w:r>
    </w:p>
    <w:p w:rsidR="006A123E" w:rsidRPr="002F0CFE" w:rsidRDefault="006A123E" w:rsidP="006A123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F0CFE">
        <w:rPr>
          <w:rFonts w:asciiTheme="minorHAnsi" w:hAnsiTheme="minorHAnsi" w:cstheme="minorHAnsi"/>
          <w:sz w:val="22"/>
          <w:szCs w:val="22"/>
        </w:rPr>
        <w:t xml:space="preserve">Further information about Planning Panels Victoria can be found on the </w:t>
      </w:r>
      <w:r w:rsidR="002F0CFE">
        <w:rPr>
          <w:rFonts w:asciiTheme="minorHAnsi" w:hAnsiTheme="minorHAnsi" w:cstheme="minorHAnsi"/>
          <w:sz w:val="22"/>
          <w:szCs w:val="22"/>
        </w:rPr>
        <w:t xml:space="preserve">department’s </w:t>
      </w:r>
      <w:r w:rsidRPr="002F0CFE">
        <w:rPr>
          <w:rFonts w:asciiTheme="minorHAnsi" w:hAnsiTheme="minorHAnsi" w:cstheme="minorHAnsi"/>
          <w:sz w:val="22"/>
          <w:szCs w:val="22"/>
        </w:rPr>
        <w:t xml:space="preserve">website: </w:t>
      </w:r>
    </w:p>
    <w:p w:rsidR="00160EC8" w:rsidRPr="004809ED" w:rsidRDefault="00191FC9" w:rsidP="00160EC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160EC8" w:rsidRPr="008717F8">
          <w:rPr>
            <w:rStyle w:val="Hyperlink"/>
            <w:rFonts w:asciiTheme="minorHAnsi" w:hAnsiTheme="minorHAnsi" w:cstheme="minorHAnsi"/>
            <w:sz w:val="22"/>
            <w:szCs w:val="22"/>
          </w:rPr>
          <w:t>http://www.dtpli.vic.gov.au/planning/panels-and-committees</w:t>
        </w:r>
      </w:hyperlink>
      <w:r w:rsidR="00160EC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B17C4" w:rsidRPr="002F0CFE" w:rsidRDefault="00AB17C4" w:rsidP="006A123E">
      <w:pPr>
        <w:rPr>
          <w:szCs w:val="22"/>
        </w:rPr>
      </w:pPr>
    </w:p>
    <w:sectPr w:rsidR="00AB17C4" w:rsidRPr="002F0CFE" w:rsidSect="004809ED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90" w:right="1134" w:bottom="1560" w:left="1134" w:header="720" w:footer="248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2D2" w:rsidRDefault="00D702D2" w:rsidP="00481DC8">
      <w:r>
        <w:separator/>
      </w:r>
    </w:p>
  </w:endnote>
  <w:endnote w:type="continuationSeparator" w:id="0">
    <w:p w:rsidR="00D702D2" w:rsidRDefault="00D702D2" w:rsidP="0048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IN-Regular">
    <w:altName w:val="Lucida Sans Typewriter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D" w:rsidRPr="00892D4F" w:rsidRDefault="004809ED" w:rsidP="004809ED">
    <w:pPr>
      <w:pBdr>
        <w:top w:val="single" w:sz="12" w:space="1" w:color="404040" w:themeColor="text1" w:themeTint="BF"/>
      </w:pBdr>
      <w:ind w:left="7938"/>
      <w:jc w:val="right"/>
      <w:rPr>
        <w:rFonts w:asciiTheme="minorHAnsi" w:hAnsiTheme="minorHAnsi" w:cstheme="minorHAnsi"/>
        <w:sz w:val="20"/>
      </w:rPr>
    </w:pPr>
    <w:r w:rsidRPr="003D77DE">
      <w:rPr>
        <w:rFonts w:asciiTheme="minorHAnsi" w:hAnsiTheme="minorHAnsi" w:cstheme="minorHAnsi"/>
        <w:sz w:val="20"/>
      </w:rPr>
      <w:t xml:space="preserve">Page </w:t>
    </w:r>
    <w:r w:rsidR="009F3804" w:rsidRPr="003D77DE">
      <w:rPr>
        <w:rFonts w:asciiTheme="minorHAnsi" w:hAnsiTheme="minorHAnsi" w:cstheme="minorHAnsi"/>
        <w:sz w:val="20"/>
      </w:rPr>
      <w:fldChar w:fldCharType="begin"/>
    </w:r>
    <w:r w:rsidRPr="003D77DE">
      <w:rPr>
        <w:rFonts w:asciiTheme="minorHAnsi" w:hAnsiTheme="minorHAnsi" w:cstheme="minorHAnsi"/>
        <w:sz w:val="20"/>
      </w:rPr>
      <w:instrText xml:space="preserve"> PAGE   \* MERGEFORMAT </w:instrText>
    </w:r>
    <w:r w:rsidR="009F3804" w:rsidRPr="003D77DE">
      <w:rPr>
        <w:rFonts w:asciiTheme="minorHAnsi" w:hAnsiTheme="minorHAnsi" w:cstheme="minorHAnsi"/>
        <w:sz w:val="20"/>
      </w:rPr>
      <w:fldChar w:fldCharType="separate"/>
    </w:r>
    <w:r w:rsidR="00191FC9">
      <w:rPr>
        <w:rFonts w:asciiTheme="minorHAnsi" w:hAnsiTheme="minorHAnsi" w:cstheme="minorHAnsi"/>
        <w:noProof/>
        <w:sz w:val="20"/>
      </w:rPr>
      <w:t>2</w:t>
    </w:r>
    <w:r w:rsidR="009F3804" w:rsidRPr="003D77DE">
      <w:rPr>
        <w:rFonts w:asciiTheme="minorHAnsi" w:hAnsiTheme="minorHAnsi" w:cstheme="minorHAnsi"/>
        <w:sz w:val="20"/>
      </w:rPr>
      <w:fldChar w:fldCharType="end"/>
    </w:r>
  </w:p>
  <w:p w:rsidR="004809ED" w:rsidRDefault="004809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2D2" w:rsidRPr="004809ED" w:rsidRDefault="00160EC8" w:rsidP="00160EC8">
    <w:pPr>
      <w:pStyle w:val="Footer"/>
      <w:jc w:val="right"/>
      <w:rPr>
        <w:szCs w:val="18"/>
      </w:rPr>
    </w:pPr>
    <w:r>
      <w:rPr>
        <w:noProof/>
      </w:rPr>
      <w:drawing>
        <wp:inline distT="0" distB="0" distL="0" distR="0" wp14:anchorId="7445CEED" wp14:editId="3520508F">
          <wp:extent cx="2157984" cy="400097"/>
          <wp:effectExtent l="0" t="0" r="0" b="0"/>
          <wp:docPr id="8" name="Picture 8" descr="C:\Users\jc1p\AppData\Local\Temp\notes47ABEA\PPV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c1p\AppData\Local\Temp\notes47ABEA\PPV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996" cy="40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2D2" w:rsidRDefault="00D702D2" w:rsidP="00481DC8">
      <w:r>
        <w:separator/>
      </w:r>
    </w:p>
  </w:footnote>
  <w:footnote w:type="continuationSeparator" w:id="0">
    <w:p w:rsidR="00D702D2" w:rsidRDefault="00D702D2" w:rsidP="0048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9ED" w:rsidRPr="00892D4F" w:rsidRDefault="004809ED" w:rsidP="004809ED">
    <w:pPr>
      <w:pStyle w:val="Header"/>
      <w:pBdr>
        <w:bottom w:val="single" w:sz="12" w:space="1" w:color="404040" w:themeColor="text1" w:themeTint="BF"/>
      </w:pBdr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Planning Panels Victoria </w:t>
    </w:r>
    <w:r w:rsidRPr="00892D4F">
      <w:rPr>
        <w:rFonts w:asciiTheme="minorHAnsi" w:hAnsiTheme="minorHAnsi" w:cstheme="minorHAnsi"/>
        <w:sz w:val="20"/>
      </w:rPr>
      <w:sym w:font="Symbol" w:char="007C"/>
    </w:r>
    <w:r w:rsidRPr="00892D4F">
      <w:rPr>
        <w:rFonts w:asciiTheme="minorHAnsi" w:hAnsiTheme="minorHAnsi" w:cstheme="minorHAnsi"/>
        <w:sz w:val="20"/>
      </w:rPr>
      <w:t xml:space="preserve"> </w:t>
    </w:r>
    <w:r w:rsidR="00191FC9">
      <w:rPr>
        <w:rFonts w:asciiTheme="minorHAnsi" w:hAnsiTheme="minorHAnsi" w:cstheme="minorHAnsi"/>
        <w:sz w:val="20"/>
      </w:rPr>
      <w:t>What is a Panel?</w:t>
    </w:r>
  </w:p>
  <w:p w:rsidR="004809ED" w:rsidRDefault="004809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160EC8" w:rsidRPr="0096606F" w:rsidTr="004C71B4">
      <w:tc>
        <w:tcPr>
          <w:tcW w:w="10632" w:type="dxa"/>
          <w:shd w:val="clear" w:color="auto" w:fill="37474F"/>
        </w:tcPr>
        <w:p w:rsidR="00160EC8" w:rsidRPr="009F081D" w:rsidRDefault="00F20F5D" w:rsidP="004C71B4">
          <w:pPr>
            <w:pStyle w:val="PPVHeader"/>
            <w:spacing w:before="180" w:after="180"/>
            <w:ind w:firstLine="601"/>
            <w:rPr>
              <w:color w:val="FFFFFF" w:themeColor="background1"/>
              <w:sz w:val="36"/>
              <w:szCs w:val="36"/>
            </w:rPr>
          </w:pPr>
          <w:r>
            <w:rPr>
              <w:color w:val="FFFFFF" w:themeColor="background1"/>
              <w:sz w:val="36"/>
              <w:szCs w:val="36"/>
            </w:rPr>
            <w:t xml:space="preserve">What is a Panel? </w:t>
          </w:r>
        </w:p>
      </w:tc>
    </w:tr>
    <w:tr w:rsidR="00160EC8" w:rsidRPr="0096606F" w:rsidTr="004C71B4">
      <w:tc>
        <w:tcPr>
          <w:tcW w:w="10632" w:type="dxa"/>
          <w:shd w:val="clear" w:color="auto" w:fill="01838F"/>
        </w:tcPr>
        <w:p w:rsidR="00160EC8" w:rsidRPr="004D0BD1" w:rsidRDefault="00160EC8" w:rsidP="004C71B4">
          <w:pPr>
            <w:pStyle w:val="Header"/>
            <w:ind w:firstLine="601"/>
            <w:rPr>
              <w:rFonts w:asciiTheme="minorHAnsi" w:hAnsiTheme="minorHAnsi"/>
              <w:color w:val="FFFFFF" w:themeColor="background1"/>
            </w:rPr>
          </w:pPr>
        </w:p>
      </w:tc>
    </w:tr>
  </w:tbl>
  <w:p w:rsidR="00D702D2" w:rsidRPr="00160EC8" w:rsidRDefault="00D702D2" w:rsidP="00160EC8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26B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3C74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B4EB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886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37A2B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3267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5678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326C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2E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C40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D37A4D"/>
    <w:multiLevelType w:val="hybridMultilevel"/>
    <w:tmpl w:val="37342B9C"/>
    <w:lvl w:ilvl="0" w:tplc="EA88FEC4">
      <w:start w:val="1"/>
      <w:numFmt w:val="bullet"/>
      <w:pStyle w:val="FormtextBullet"/>
      <w:lvlText w:val=""/>
      <w:lvlJc w:val="left"/>
      <w:pPr>
        <w:tabs>
          <w:tab w:val="num" w:pos="363"/>
        </w:tabs>
        <w:ind w:left="0" w:firstLine="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>
    <w:nsid w:val="32DD73A6"/>
    <w:multiLevelType w:val="hybridMultilevel"/>
    <w:tmpl w:val="81F2C7C0"/>
    <w:lvl w:ilvl="0" w:tplc="06F8D63E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52B0267"/>
    <w:multiLevelType w:val="hybridMultilevel"/>
    <w:tmpl w:val="915849C4"/>
    <w:lvl w:ilvl="0" w:tplc="0C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3">
    <w:nsid w:val="49DE1E47"/>
    <w:multiLevelType w:val="hybridMultilevel"/>
    <w:tmpl w:val="FD8A5518"/>
    <w:lvl w:ilvl="0" w:tplc="0C1CCC3A">
      <w:start w:val="1"/>
      <w:numFmt w:val="bullet"/>
      <w:pStyle w:val="Checkbox"/>
      <w:lvlText w:val=""/>
      <w:lvlJc w:val="left"/>
      <w:pPr>
        <w:tabs>
          <w:tab w:val="num" w:pos="720"/>
        </w:tabs>
        <w:ind w:left="720" w:hanging="360"/>
      </w:pPr>
      <w:rPr>
        <w:rFonts w:ascii="ZapfDingbats" w:hAnsi="ZapfDingbat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1E4667"/>
    <w:multiLevelType w:val="hybridMultilevel"/>
    <w:tmpl w:val="C3484196"/>
    <w:lvl w:ilvl="0" w:tplc="9898659A">
      <w:start w:val="1"/>
      <w:numFmt w:val="bullet"/>
      <w:pStyle w:val="Normalnumbu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E75F0F"/>
    <w:multiLevelType w:val="hybridMultilevel"/>
    <w:tmpl w:val="54A810C0"/>
    <w:lvl w:ilvl="0" w:tplc="EE36471E">
      <w:start w:val="1"/>
      <w:numFmt w:val="bullet"/>
      <w:pStyle w:val="Bullet1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F6A83"/>
    <w:multiLevelType w:val="hybridMultilevel"/>
    <w:tmpl w:val="AE1AB970"/>
    <w:lvl w:ilvl="0" w:tplc="929A92E4">
      <w:start w:val="1"/>
      <w:numFmt w:val="bullet"/>
      <w:pStyle w:val="Bullettscheck"/>
      <w:lvlText w:val=""/>
      <w:lvlJc w:val="left"/>
      <w:pPr>
        <w:tabs>
          <w:tab w:val="num" w:pos="927"/>
        </w:tabs>
        <w:ind w:left="927" w:hanging="360"/>
      </w:pPr>
      <w:rPr>
        <w:rFonts w:ascii="ZapfDingbats" w:hAnsi="ZapfDingbat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BB60FD"/>
    <w:multiLevelType w:val="hybridMultilevel"/>
    <w:tmpl w:val="0F0CBA28"/>
    <w:lvl w:ilvl="0" w:tplc="410E46DE">
      <w:start w:val="1"/>
      <w:numFmt w:val="bullet"/>
      <w:pStyle w:val="Bullett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15"/>
  </w:num>
  <w:num w:numId="9">
    <w:abstractNumId w:val="15"/>
  </w:num>
  <w:num w:numId="10">
    <w:abstractNumId w:val="15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2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6"/>
  </w:num>
  <w:num w:numId="30">
    <w:abstractNumId w:val="16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 w:numId="37">
    <w:abstractNumId w:val="13"/>
  </w:num>
  <w:num w:numId="38">
    <w:abstractNumId w:val="13"/>
  </w:num>
  <w:num w:numId="39">
    <w:abstractNumId w:val="16"/>
  </w:num>
  <w:num w:numId="40">
    <w:abstractNumId w:val="13"/>
  </w:num>
  <w:num w:numId="41">
    <w:abstractNumId w:val="13"/>
  </w:num>
  <w:num w:numId="42">
    <w:abstractNumId w:val="16"/>
  </w:num>
  <w:num w:numId="43">
    <w:abstractNumId w:val="13"/>
  </w:num>
  <w:num w:numId="44">
    <w:abstractNumId w:val="14"/>
  </w:num>
  <w:num w:numId="45">
    <w:abstractNumId w:val="17"/>
  </w:num>
  <w:num w:numId="46">
    <w:abstractNumId w:val="11"/>
  </w:num>
  <w:num w:numId="47">
    <w:abstractNumId w:val="17"/>
  </w:num>
  <w:num w:numId="48">
    <w:abstractNumId w:val="17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C7E"/>
    <w:rsid w:val="00005004"/>
    <w:rsid w:val="000224E3"/>
    <w:rsid w:val="00047678"/>
    <w:rsid w:val="00056BDA"/>
    <w:rsid w:val="00063DFA"/>
    <w:rsid w:val="00076C0D"/>
    <w:rsid w:val="0008055E"/>
    <w:rsid w:val="0008157E"/>
    <w:rsid w:val="00082677"/>
    <w:rsid w:val="00097D8F"/>
    <w:rsid w:val="000A1C36"/>
    <w:rsid w:val="000B0A27"/>
    <w:rsid w:val="000C251E"/>
    <w:rsid w:val="000D3599"/>
    <w:rsid w:val="000D6859"/>
    <w:rsid w:val="000E3A38"/>
    <w:rsid w:val="000E5065"/>
    <w:rsid w:val="00106DB7"/>
    <w:rsid w:val="001179E1"/>
    <w:rsid w:val="001368DF"/>
    <w:rsid w:val="00147F27"/>
    <w:rsid w:val="001500F6"/>
    <w:rsid w:val="0015122E"/>
    <w:rsid w:val="00153A95"/>
    <w:rsid w:val="00160EC8"/>
    <w:rsid w:val="00162FCB"/>
    <w:rsid w:val="001664D2"/>
    <w:rsid w:val="001676CE"/>
    <w:rsid w:val="00175510"/>
    <w:rsid w:val="00183F7E"/>
    <w:rsid w:val="00191FC9"/>
    <w:rsid w:val="00197B0C"/>
    <w:rsid w:val="001A0221"/>
    <w:rsid w:val="001A12E9"/>
    <w:rsid w:val="001B50FF"/>
    <w:rsid w:val="001C0872"/>
    <w:rsid w:val="001C0ACF"/>
    <w:rsid w:val="001C61BF"/>
    <w:rsid w:val="001C6DE8"/>
    <w:rsid w:val="001C79AA"/>
    <w:rsid w:val="001D2947"/>
    <w:rsid w:val="001D5DE0"/>
    <w:rsid w:val="001E0146"/>
    <w:rsid w:val="001E35D1"/>
    <w:rsid w:val="001F225B"/>
    <w:rsid w:val="00205162"/>
    <w:rsid w:val="002155DA"/>
    <w:rsid w:val="00216739"/>
    <w:rsid w:val="0022274D"/>
    <w:rsid w:val="002340FC"/>
    <w:rsid w:val="002412A5"/>
    <w:rsid w:val="0026080D"/>
    <w:rsid w:val="00271625"/>
    <w:rsid w:val="00291DD5"/>
    <w:rsid w:val="002A586C"/>
    <w:rsid w:val="002C4086"/>
    <w:rsid w:val="002C4C86"/>
    <w:rsid w:val="002C54B7"/>
    <w:rsid w:val="002D7BB3"/>
    <w:rsid w:val="002E0549"/>
    <w:rsid w:val="002E7BE4"/>
    <w:rsid w:val="002E7F78"/>
    <w:rsid w:val="002F0CFE"/>
    <w:rsid w:val="00305DF4"/>
    <w:rsid w:val="00316AAD"/>
    <w:rsid w:val="003173F7"/>
    <w:rsid w:val="00317F4D"/>
    <w:rsid w:val="003227CE"/>
    <w:rsid w:val="0033182D"/>
    <w:rsid w:val="00340A90"/>
    <w:rsid w:val="003546BF"/>
    <w:rsid w:val="003740BA"/>
    <w:rsid w:val="003770B6"/>
    <w:rsid w:val="00382F2A"/>
    <w:rsid w:val="003926C2"/>
    <w:rsid w:val="00392DC2"/>
    <w:rsid w:val="003972F3"/>
    <w:rsid w:val="003A1A87"/>
    <w:rsid w:val="003B27FC"/>
    <w:rsid w:val="003B29A6"/>
    <w:rsid w:val="003B2CAE"/>
    <w:rsid w:val="003C71E2"/>
    <w:rsid w:val="003D1DA5"/>
    <w:rsid w:val="003D33B0"/>
    <w:rsid w:val="003D5603"/>
    <w:rsid w:val="003E47BD"/>
    <w:rsid w:val="003E72FE"/>
    <w:rsid w:val="003E7CD0"/>
    <w:rsid w:val="003F45D7"/>
    <w:rsid w:val="003F74CE"/>
    <w:rsid w:val="0040150B"/>
    <w:rsid w:val="00407517"/>
    <w:rsid w:val="004160D6"/>
    <w:rsid w:val="00416443"/>
    <w:rsid w:val="00431595"/>
    <w:rsid w:val="00433879"/>
    <w:rsid w:val="00435A1A"/>
    <w:rsid w:val="00437D21"/>
    <w:rsid w:val="004421EF"/>
    <w:rsid w:val="004428F9"/>
    <w:rsid w:val="0044701C"/>
    <w:rsid w:val="004628D3"/>
    <w:rsid w:val="00465DE7"/>
    <w:rsid w:val="004733FF"/>
    <w:rsid w:val="00474FE9"/>
    <w:rsid w:val="004770E2"/>
    <w:rsid w:val="00480714"/>
    <w:rsid w:val="004809ED"/>
    <w:rsid w:val="00480D5A"/>
    <w:rsid w:val="00481DC8"/>
    <w:rsid w:val="00496BBF"/>
    <w:rsid w:val="004B0487"/>
    <w:rsid w:val="004B193A"/>
    <w:rsid w:val="004C55AC"/>
    <w:rsid w:val="004C7B8C"/>
    <w:rsid w:val="004F4FC9"/>
    <w:rsid w:val="0050446D"/>
    <w:rsid w:val="00504BC2"/>
    <w:rsid w:val="00514103"/>
    <w:rsid w:val="005254FD"/>
    <w:rsid w:val="00535497"/>
    <w:rsid w:val="00537E10"/>
    <w:rsid w:val="00541427"/>
    <w:rsid w:val="005414C6"/>
    <w:rsid w:val="00542426"/>
    <w:rsid w:val="00551551"/>
    <w:rsid w:val="0055232F"/>
    <w:rsid w:val="00567023"/>
    <w:rsid w:val="00572096"/>
    <w:rsid w:val="005762A4"/>
    <w:rsid w:val="00583476"/>
    <w:rsid w:val="0059771B"/>
    <w:rsid w:val="005C141F"/>
    <w:rsid w:val="005C39E3"/>
    <w:rsid w:val="005D4807"/>
    <w:rsid w:val="005E4E6A"/>
    <w:rsid w:val="005E58CD"/>
    <w:rsid w:val="005F2A59"/>
    <w:rsid w:val="005F72AA"/>
    <w:rsid w:val="00603588"/>
    <w:rsid w:val="00610207"/>
    <w:rsid w:val="0061207E"/>
    <w:rsid w:val="00653292"/>
    <w:rsid w:val="006545A2"/>
    <w:rsid w:val="00661C4C"/>
    <w:rsid w:val="00672ACA"/>
    <w:rsid w:val="00682458"/>
    <w:rsid w:val="00684C63"/>
    <w:rsid w:val="006853F9"/>
    <w:rsid w:val="0069611E"/>
    <w:rsid w:val="00696548"/>
    <w:rsid w:val="00697A70"/>
    <w:rsid w:val="006A1114"/>
    <w:rsid w:val="006A123E"/>
    <w:rsid w:val="006A5512"/>
    <w:rsid w:val="006B3AE0"/>
    <w:rsid w:val="006B3AFB"/>
    <w:rsid w:val="006B5992"/>
    <w:rsid w:val="006B7F23"/>
    <w:rsid w:val="006C6349"/>
    <w:rsid w:val="006E6728"/>
    <w:rsid w:val="007139CB"/>
    <w:rsid w:val="007145FE"/>
    <w:rsid w:val="00716112"/>
    <w:rsid w:val="00717E2E"/>
    <w:rsid w:val="00717E39"/>
    <w:rsid w:val="00722E36"/>
    <w:rsid w:val="00735CA5"/>
    <w:rsid w:val="0074259E"/>
    <w:rsid w:val="00743014"/>
    <w:rsid w:val="00744FE4"/>
    <w:rsid w:val="00750282"/>
    <w:rsid w:val="00751F79"/>
    <w:rsid w:val="00764FE4"/>
    <w:rsid w:val="0077173D"/>
    <w:rsid w:val="00777056"/>
    <w:rsid w:val="007A251D"/>
    <w:rsid w:val="007A64D6"/>
    <w:rsid w:val="007B0502"/>
    <w:rsid w:val="007C4658"/>
    <w:rsid w:val="007C49AD"/>
    <w:rsid w:val="007E3F5C"/>
    <w:rsid w:val="007E68B2"/>
    <w:rsid w:val="007F1645"/>
    <w:rsid w:val="008041EE"/>
    <w:rsid w:val="00807906"/>
    <w:rsid w:val="00814C3A"/>
    <w:rsid w:val="008337A4"/>
    <w:rsid w:val="00837466"/>
    <w:rsid w:val="00843C50"/>
    <w:rsid w:val="00850714"/>
    <w:rsid w:val="00864C7E"/>
    <w:rsid w:val="00875E45"/>
    <w:rsid w:val="008802C2"/>
    <w:rsid w:val="00884F3F"/>
    <w:rsid w:val="00887BCD"/>
    <w:rsid w:val="00895494"/>
    <w:rsid w:val="00896FC3"/>
    <w:rsid w:val="008A766A"/>
    <w:rsid w:val="008B3CF9"/>
    <w:rsid w:val="008B428D"/>
    <w:rsid w:val="008B6716"/>
    <w:rsid w:val="008C592D"/>
    <w:rsid w:val="008E1956"/>
    <w:rsid w:val="008E1CED"/>
    <w:rsid w:val="008E37FF"/>
    <w:rsid w:val="008F1DB6"/>
    <w:rsid w:val="008F3C7A"/>
    <w:rsid w:val="008F51F5"/>
    <w:rsid w:val="008F69CD"/>
    <w:rsid w:val="008F6F01"/>
    <w:rsid w:val="00900135"/>
    <w:rsid w:val="00904D1C"/>
    <w:rsid w:val="009102BD"/>
    <w:rsid w:val="00926681"/>
    <w:rsid w:val="00941237"/>
    <w:rsid w:val="009453D1"/>
    <w:rsid w:val="009475BC"/>
    <w:rsid w:val="00953C5C"/>
    <w:rsid w:val="00974413"/>
    <w:rsid w:val="00976409"/>
    <w:rsid w:val="009800BC"/>
    <w:rsid w:val="0098374D"/>
    <w:rsid w:val="00990B7B"/>
    <w:rsid w:val="00991D0B"/>
    <w:rsid w:val="009B5C2C"/>
    <w:rsid w:val="009B7561"/>
    <w:rsid w:val="009C5A23"/>
    <w:rsid w:val="009D1683"/>
    <w:rsid w:val="009D3BF7"/>
    <w:rsid w:val="009D69F4"/>
    <w:rsid w:val="009E2FFA"/>
    <w:rsid w:val="009F05DF"/>
    <w:rsid w:val="009F3804"/>
    <w:rsid w:val="00A06ED3"/>
    <w:rsid w:val="00A130BD"/>
    <w:rsid w:val="00A32EE9"/>
    <w:rsid w:val="00A344C9"/>
    <w:rsid w:val="00A34B6C"/>
    <w:rsid w:val="00A47907"/>
    <w:rsid w:val="00A67751"/>
    <w:rsid w:val="00A7107E"/>
    <w:rsid w:val="00A81BD5"/>
    <w:rsid w:val="00A84925"/>
    <w:rsid w:val="00A905E5"/>
    <w:rsid w:val="00A91DBE"/>
    <w:rsid w:val="00A94BBD"/>
    <w:rsid w:val="00AA1DD0"/>
    <w:rsid w:val="00AA32DF"/>
    <w:rsid w:val="00AB17C4"/>
    <w:rsid w:val="00AB36D4"/>
    <w:rsid w:val="00AB4A17"/>
    <w:rsid w:val="00AC0217"/>
    <w:rsid w:val="00AC1BCD"/>
    <w:rsid w:val="00AC47B4"/>
    <w:rsid w:val="00AC74CB"/>
    <w:rsid w:val="00AD4503"/>
    <w:rsid w:val="00AE32F5"/>
    <w:rsid w:val="00B06C17"/>
    <w:rsid w:val="00B10152"/>
    <w:rsid w:val="00B1479D"/>
    <w:rsid w:val="00B259BA"/>
    <w:rsid w:val="00B37E22"/>
    <w:rsid w:val="00B41BEC"/>
    <w:rsid w:val="00B4364D"/>
    <w:rsid w:val="00B5035A"/>
    <w:rsid w:val="00B571CF"/>
    <w:rsid w:val="00B605A3"/>
    <w:rsid w:val="00B72228"/>
    <w:rsid w:val="00B73915"/>
    <w:rsid w:val="00B848E6"/>
    <w:rsid w:val="00B921FD"/>
    <w:rsid w:val="00B9653C"/>
    <w:rsid w:val="00BA432D"/>
    <w:rsid w:val="00BB10C9"/>
    <w:rsid w:val="00BC139F"/>
    <w:rsid w:val="00BC3945"/>
    <w:rsid w:val="00BC5F4B"/>
    <w:rsid w:val="00BD2B6D"/>
    <w:rsid w:val="00BD7C51"/>
    <w:rsid w:val="00BE5CFD"/>
    <w:rsid w:val="00BF1FA3"/>
    <w:rsid w:val="00BF4725"/>
    <w:rsid w:val="00C00151"/>
    <w:rsid w:val="00C0718E"/>
    <w:rsid w:val="00C07C72"/>
    <w:rsid w:val="00C1052A"/>
    <w:rsid w:val="00C156AF"/>
    <w:rsid w:val="00C2019D"/>
    <w:rsid w:val="00C2083B"/>
    <w:rsid w:val="00C26B4D"/>
    <w:rsid w:val="00C34427"/>
    <w:rsid w:val="00C417E5"/>
    <w:rsid w:val="00C45D5D"/>
    <w:rsid w:val="00C471C7"/>
    <w:rsid w:val="00C47DD6"/>
    <w:rsid w:val="00C6399E"/>
    <w:rsid w:val="00C64758"/>
    <w:rsid w:val="00C7657C"/>
    <w:rsid w:val="00C81549"/>
    <w:rsid w:val="00CB2BFC"/>
    <w:rsid w:val="00CC3490"/>
    <w:rsid w:val="00CE2E80"/>
    <w:rsid w:val="00CF2A80"/>
    <w:rsid w:val="00CF58BC"/>
    <w:rsid w:val="00D002C0"/>
    <w:rsid w:val="00D00F9F"/>
    <w:rsid w:val="00D019F9"/>
    <w:rsid w:val="00D04C7E"/>
    <w:rsid w:val="00D16353"/>
    <w:rsid w:val="00D17354"/>
    <w:rsid w:val="00D216E3"/>
    <w:rsid w:val="00D30186"/>
    <w:rsid w:val="00D370B4"/>
    <w:rsid w:val="00D4284C"/>
    <w:rsid w:val="00D451BC"/>
    <w:rsid w:val="00D45622"/>
    <w:rsid w:val="00D502D4"/>
    <w:rsid w:val="00D60B81"/>
    <w:rsid w:val="00D629CC"/>
    <w:rsid w:val="00D62DDD"/>
    <w:rsid w:val="00D702D2"/>
    <w:rsid w:val="00D7097B"/>
    <w:rsid w:val="00D754C4"/>
    <w:rsid w:val="00D75C55"/>
    <w:rsid w:val="00D87BAB"/>
    <w:rsid w:val="00D93D17"/>
    <w:rsid w:val="00DB1204"/>
    <w:rsid w:val="00DC3BBA"/>
    <w:rsid w:val="00DC3FFF"/>
    <w:rsid w:val="00DD0E47"/>
    <w:rsid w:val="00DD13E4"/>
    <w:rsid w:val="00DE5989"/>
    <w:rsid w:val="00DF2A6A"/>
    <w:rsid w:val="00DF7329"/>
    <w:rsid w:val="00DF7533"/>
    <w:rsid w:val="00E00A30"/>
    <w:rsid w:val="00E0647B"/>
    <w:rsid w:val="00E0767C"/>
    <w:rsid w:val="00E144FB"/>
    <w:rsid w:val="00E361AD"/>
    <w:rsid w:val="00E41E95"/>
    <w:rsid w:val="00E51736"/>
    <w:rsid w:val="00E62B23"/>
    <w:rsid w:val="00E64526"/>
    <w:rsid w:val="00E67871"/>
    <w:rsid w:val="00E90ADB"/>
    <w:rsid w:val="00E95BDE"/>
    <w:rsid w:val="00EA6C1B"/>
    <w:rsid w:val="00EC3022"/>
    <w:rsid w:val="00ED6D2E"/>
    <w:rsid w:val="00ED740F"/>
    <w:rsid w:val="00EE0CF8"/>
    <w:rsid w:val="00EE48B8"/>
    <w:rsid w:val="00EE4D78"/>
    <w:rsid w:val="00EE5CF1"/>
    <w:rsid w:val="00EF42C4"/>
    <w:rsid w:val="00F10715"/>
    <w:rsid w:val="00F11E12"/>
    <w:rsid w:val="00F1289B"/>
    <w:rsid w:val="00F15F6D"/>
    <w:rsid w:val="00F20F5D"/>
    <w:rsid w:val="00F3236D"/>
    <w:rsid w:val="00F36FAD"/>
    <w:rsid w:val="00F44CB5"/>
    <w:rsid w:val="00F56C5A"/>
    <w:rsid w:val="00F67688"/>
    <w:rsid w:val="00F7434C"/>
    <w:rsid w:val="00F7780D"/>
    <w:rsid w:val="00F93B67"/>
    <w:rsid w:val="00F971AD"/>
    <w:rsid w:val="00FA72FA"/>
    <w:rsid w:val="00FB1F30"/>
    <w:rsid w:val="00FC7857"/>
    <w:rsid w:val="00FD1C9B"/>
    <w:rsid w:val="00FD3909"/>
    <w:rsid w:val="00FD6CE8"/>
    <w:rsid w:val="00FD71FE"/>
    <w:rsid w:val="00FD7E63"/>
    <w:rsid w:val="00FE7A99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560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C39E3"/>
    <w:pPr>
      <w:keepNext/>
      <w:spacing w:before="240" w:after="60"/>
      <w:ind w:left="709" w:hanging="709"/>
      <w:outlineLvl w:val="1"/>
    </w:pPr>
    <w:rPr>
      <w:rFonts w:ascii="Palatino Linotype" w:hAnsi="Palatino Linotype"/>
      <w:b/>
      <w:caps/>
      <w:noProof/>
      <w:snapToGrid w:val="0"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848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Bullet">
    <w:name w:val="Form text Bullet"/>
    <w:basedOn w:val="Formtext"/>
    <w:rsid w:val="006853F9"/>
    <w:pPr>
      <w:numPr>
        <w:numId w:val="15"/>
      </w:numPr>
      <w:spacing w:before="80"/>
    </w:pPr>
  </w:style>
  <w:style w:type="paragraph" w:styleId="Title">
    <w:name w:val="Title"/>
    <w:basedOn w:val="Normal"/>
    <w:qFormat/>
    <w:rsid w:val="007C46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rmtextTable">
    <w:name w:val="Form text Table"/>
    <w:basedOn w:val="Formtext"/>
    <w:rsid w:val="00F93B67"/>
    <w:pPr>
      <w:spacing w:before="0"/>
    </w:pPr>
  </w:style>
  <w:style w:type="paragraph" w:customStyle="1" w:styleId="Bullet1">
    <w:name w:val="Bullet 1"/>
    <w:basedOn w:val="Normal"/>
    <w:rsid w:val="00864C7E"/>
    <w:pPr>
      <w:numPr>
        <w:numId w:val="1"/>
      </w:num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Regular" w:hAnsi="DIN-Regular" w:cs="DIN-Regular"/>
      <w:color w:val="000000"/>
      <w:sz w:val="20"/>
      <w:szCs w:val="20"/>
      <w:lang w:val="en-GB"/>
    </w:rPr>
  </w:style>
  <w:style w:type="paragraph" w:customStyle="1" w:styleId="BodyText1">
    <w:name w:val="Body Text1"/>
    <w:basedOn w:val="Normal"/>
    <w:rsid w:val="00864C7E"/>
    <w:pPr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DIN-Regular" w:hAnsi="DIN-Regular" w:cs="DIN-Regular"/>
      <w:color w:val="00000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713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B921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921FD"/>
  </w:style>
  <w:style w:type="paragraph" w:customStyle="1" w:styleId="Formtext">
    <w:name w:val="Form text"/>
    <w:basedOn w:val="BodyText1"/>
    <w:rsid w:val="00F93B67"/>
    <w:pPr>
      <w:spacing w:before="240" w:after="0" w:line="240" w:lineRule="auto"/>
    </w:pPr>
    <w:rPr>
      <w:rFonts w:ascii="Arial Narrow" w:hAnsi="Arial Narrow" w:cs="Arial"/>
      <w:color w:val="auto"/>
    </w:rPr>
  </w:style>
  <w:style w:type="paragraph" w:styleId="Header">
    <w:name w:val="header"/>
    <w:basedOn w:val="Normal"/>
    <w:link w:val="HeaderChar"/>
    <w:rsid w:val="00496B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6BBF"/>
    <w:pPr>
      <w:tabs>
        <w:tab w:val="center" w:pos="4153"/>
        <w:tab w:val="right" w:pos="8306"/>
      </w:tabs>
    </w:pPr>
  </w:style>
  <w:style w:type="paragraph" w:styleId="CommentSubject">
    <w:name w:val="annotation subject"/>
    <w:basedOn w:val="CommentText"/>
    <w:next w:val="CommentText"/>
    <w:link w:val="CommentSubjectChar"/>
    <w:rsid w:val="00B92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1FD"/>
    <w:rPr>
      <w:b/>
      <w:bCs/>
    </w:rPr>
  </w:style>
  <w:style w:type="paragraph" w:styleId="BalloonText">
    <w:name w:val="Balloon Text"/>
    <w:basedOn w:val="Normal"/>
    <w:link w:val="BalloonTextChar"/>
    <w:rsid w:val="00B921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21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30186"/>
    <w:rPr>
      <w:color w:val="132F8A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F7329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5C39E3"/>
    <w:rPr>
      <w:rFonts w:ascii="Palatino Linotype" w:hAnsi="Palatino Linotype"/>
      <w:b/>
      <w:caps/>
      <w:noProof/>
      <w:snapToGrid w:val="0"/>
      <w:sz w:val="36"/>
      <w:szCs w:val="36"/>
    </w:rPr>
  </w:style>
  <w:style w:type="paragraph" w:customStyle="1" w:styleId="Normalnum">
    <w:name w:val="Normal (num)"/>
    <w:basedOn w:val="Normal"/>
    <w:rsid w:val="005C39E3"/>
    <w:pPr>
      <w:spacing w:before="120"/>
      <w:ind w:left="709" w:hanging="709"/>
      <w:jc w:val="both"/>
    </w:pPr>
    <w:rPr>
      <w:rFonts w:ascii="Palatino Linotype" w:hAnsi="Palatino Linotype"/>
      <w:sz w:val="21"/>
      <w:szCs w:val="21"/>
    </w:rPr>
  </w:style>
  <w:style w:type="paragraph" w:customStyle="1" w:styleId="Bullettscheck">
    <w:name w:val="Bulletts (check)"/>
    <w:basedOn w:val="Normal"/>
    <w:rsid w:val="005C39E3"/>
    <w:pPr>
      <w:numPr>
        <w:numId w:val="29"/>
      </w:numPr>
    </w:pPr>
    <w:rPr>
      <w:rFonts w:ascii="Palatino Linotype" w:hAnsi="Palatino Linotype"/>
      <w:sz w:val="21"/>
      <w:szCs w:val="21"/>
    </w:rPr>
  </w:style>
  <w:style w:type="paragraph" w:customStyle="1" w:styleId="Checkbox">
    <w:name w:val="Checkbox"/>
    <w:basedOn w:val="Heading3"/>
    <w:rsid w:val="00B848E6"/>
    <w:pPr>
      <w:keepLines w:val="0"/>
      <w:numPr>
        <w:numId w:val="31"/>
      </w:numPr>
      <w:tabs>
        <w:tab w:val="left" w:pos="851"/>
      </w:tabs>
      <w:spacing w:before="240"/>
    </w:pPr>
    <w:rPr>
      <w:rFonts w:ascii="Arial" w:eastAsia="Times New Roman" w:hAnsi="Arial" w:cs="Times New Roman"/>
      <w:bCs w:val="0"/>
      <w:color w:val="auto"/>
    </w:rPr>
  </w:style>
  <w:style w:type="character" w:customStyle="1" w:styleId="Heading3Char">
    <w:name w:val="Heading 3 Char"/>
    <w:basedOn w:val="DefaultParagraphFont"/>
    <w:link w:val="Heading3"/>
    <w:semiHidden/>
    <w:rsid w:val="00B848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Normalnumbul">
    <w:name w:val="Normal (num bul)"/>
    <w:basedOn w:val="Normal"/>
    <w:rsid w:val="00183F7E"/>
    <w:pPr>
      <w:numPr>
        <w:numId w:val="44"/>
      </w:numPr>
      <w:tabs>
        <w:tab w:val="clear" w:pos="720"/>
        <w:tab w:val="num" w:pos="1620"/>
      </w:tabs>
      <w:spacing w:line="260" w:lineRule="atLeast"/>
      <w:ind w:left="1620"/>
      <w:jc w:val="both"/>
    </w:pPr>
    <w:rPr>
      <w:rFonts w:ascii="Palatino Linotype" w:hAnsi="Palatino Linotype"/>
      <w:sz w:val="21"/>
      <w:szCs w:val="21"/>
    </w:rPr>
  </w:style>
  <w:style w:type="paragraph" w:customStyle="1" w:styleId="Bulletts">
    <w:name w:val="Bulletts"/>
    <w:basedOn w:val="Normal"/>
    <w:rsid w:val="00183F7E"/>
    <w:pPr>
      <w:numPr>
        <w:numId w:val="45"/>
      </w:numPr>
      <w:jc w:val="both"/>
    </w:pPr>
    <w:rPr>
      <w:rFonts w:ascii="Palatino Linotype" w:hAnsi="Palatino Linotype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4809ED"/>
    <w:rPr>
      <w:sz w:val="24"/>
      <w:szCs w:val="24"/>
    </w:rPr>
  </w:style>
  <w:style w:type="character" w:styleId="FollowedHyperlink">
    <w:name w:val="FollowedHyperlink"/>
    <w:basedOn w:val="DefaultParagraphFont"/>
    <w:rsid w:val="004809ED"/>
    <w:rPr>
      <w:color w:val="800080" w:themeColor="followedHyperlink"/>
      <w:u w:val="single"/>
    </w:rPr>
  </w:style>
  <w:style w:type="paragraph" w:customStyle="1" w:styleId="Normalnum2">
    <w:name w:val="Normal (num2)"/>
    <w:basedOn w:val="Normal"/>
    <w:rsid w:val="00764FE4"/>
    <w:pPr>
      <w:ind w:left="1260" w:hanging="540"/>
      <w:jc w:val="both"/>
    </w:pPr>
    <w:rPr>
      <w:rFonts w:ascii="Palatino Linotype" w:hAnsi="Palatino Linotype"/>
      <w:sz w:val="21"/>
      <w:szCs w:val="21"/>
    </w:rPr>
  </w:style>
  <w:style w:type="paragraph" w:customStyle="1" w:styleId="PPVHeader">
    <w:name w:val="PPV Header"/>
    <w:basedOn w:val="Normal"/>
    <w:link w:val="PPVHeaderChar"/>
    <w:qFormat/>
    <w:rsid w:val="00160EC8"/>
    <w:pPr>
      <w:jc w:val="both"/>
    </w:pPr>
    <w:rPr>
      <w:rFonts w:asciiTheme="minorHAnsi" w:hAnsiTheme="minorHAnsi" w:cstheme="minorHAnsi"/>
      <w:b/>
      <w:noProof/>
      <w:sz w:val="48"/>
      <w:szCs w:val="48"/>
    </w:rPr>
  </w:style>
  <w:style w:type="character" w:customStyle="1" w:styleId="PPVHeaderChar">
    <w:name w:val="PPV Header Char"/>
    <w:basedOn w:val="DefaultParagraphFont"/>
    <w:link w:val="PPVHeader"/>
    <w:rsid w:val="00160EC8"/>
    <w:rPr>
      <w:rFonts w:asciiTheme="minorHAnsi" w:hAnsiTheme="minorHAnsi" w:cstheme="minorHAnsi"/>
      <w:b/>
      <w:noProof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tpli.vic.gov.au/planning/panels-and-committees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840C9-4FB7-40E3-96C8-43FDF0C2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1497</Words>
  <Characters>7624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SPSR guidelines for managing submissions</vt:lpstr>
    </vt:vector>
  </TitlesOfParts>
  <Company>DSEDPI</Company>
  <LinksUpToDate>false</LinksUpToDate>
  <CharactersWithSpaces>9103</CharactersWithSpaces>
  <SharedDoc>false</SharedDoc>
  <HLinks>
    <vt:vector size="18" baseType="variant">
      <vt:variant>
        <vt:i4>7405601</vt:i4>
      </vt:variant>
      <vt:variant>
        <vt:i4>18</vt:i4>
      </vt:variant>
      <vt:variant>
        <vt:i4>0</vt:i4>
      </vt:variant>
      <vt:variant>
        <vt:i4>5</vt:i4>
      </vt:variant>
      <vt:variant>
        <vt:lpwstr>http://www.dpcd.vic.gov.au/</vt:lpwstr>
      </vt:variant>
      <vt:variant>
        <vt:lpwstr/>
      </vt:variant>
      <vt:variant>
        <vt:i4>7405601</vt:i4>
      </vt:variant>
      <vt:variant>
        <vt:i4>13</vt:i4>
      </vt:variant>
      <vt:variant>
        <vt:i4>0</vt:i4>
      </vt:variant>
      <vt:variant>
        <vt:i4>5</vt:i4>
      </vt:variant>
      <vt:variant>
        <vt:lpwstr>http://www.dpcd.vic.gov.au/</vt:lpwstr>
      </vt:variant>
      <vt:variant>
        <vt:lpwstr/>
      </vt:variant>
      <vt:variant>
        <vt:i4>7340037</vt:i4>
      </vt:variant>
      <vt:variant>
        <vt:i4>4</vt:i4>
      </vt:variant>
      <vt:variant>
        <vt:i4>0</vt:i4>
      </vt:variant>
      <vt:variant>
        <vt:i4>5</vt:i4>
      </vt:variant>
      <vt:variant>
        <vt:lpwstr>mailto:planning.panels@dpcd.vic.gov.au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SPSR guidelines for managing submissions</dc:title>
  <dc:creator>Colleen Dooley</dc:creator>
  <cp:lastModifiedBy>jc1p</cp:lastModifiedBy>
  <cp:revision>3</cp:revision>
  <cp:lastPrinted>2013-02-18T00:45:00Z</cp:lastPrinted>
  <dcterms:created xsi:type="dcterms:W3CDTF">2015-05-07T04:15:00Z</dcterms:created>
  <dcterms:modified xsi:type="dcterms:W3CDTF">2015-05-07T04:25:00Z</dcterms:modified>
</cp:coreProperties>
</file>