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C7169" w14:textId="5339EB9A" w:rsidR="001A6E1A" w:rsidRDefault="00AC2F6D" w:rsidP="002E55BC">
      <w:pPr>
        <w:pStyle w:val="BodyText1"/>
      </w:pPr>
      <w:r>
        <w:rPr>
          <w:noProof/>
        </w:rPr>
        <mc:AlternateContent>
          <mc:Choice Requires="wps">
            <w:drawing>
              <wp:anchor distT="0" distB="0" distL="114300" distR="114300" simplePos="0" relativeHeight="251658257" behindDoc="0" locked="0" layoutInCell="1" allowOverlap="1" wp14:anchorId="1C894768" wp14:editId="6F637F8B">
                <wp:simplePos x="0" y="0"/>
                <wp:positionH relativeFrom="column">
                  <wp:posOffset>5133783</wp:posOffset>
                </wp:positionH>
                <wp:positionV relativeFrom="paragraph">
                  <wp:posOffset>4701891</wp:posOffset>
                </wp:positionV>
                <wp:extent cx="443884" cy="1746885"/>
                <wp:effectExtent l="0" t="0" r="0" b="5715"/>
                <wp:wrapNone/>
                <wp:docPr id="40" name="Text Box 40">
                  <a:hlinkClick xmlns:a="http://schemas.openxmlformats.org/drawingml/2006/main" r:id="rId13"/>
                </wp:docPr>
                <wp:cNvGraphicFramePr/>
                <a:graphic xmlns:a="http://schemas.openxmlformats.org/drawingml/2006/main">
                  <a:graphicData uri="http://schemas.microsoft.com/office/word/2010/wordprocessingShape">
                    <wps:wsp>
                      <wps:cNvSpPr txBox="1"/>
                      <wps:spPr>
                        <a:xfrm rot="10800000">
                          <a:off x="0" y="0"/>
                          <a:ext cx="443884" cy="1746885"/>
                        </a:xfrm>
                        <a:prstGeom prst="rect">
                          <a:avLst/>
                        </a:prstGeom>
                        <a:solidFill>
                          <a:srgbClr val="00B2A9"/>
                        </a:solidFill>
                        <a:ln w="6350">
                          <a:noFill/>
                        </a:ln>
                      </wps:spPr>
                      <wps:txbx>
                        <w:txbxContent>
                          <w:p w14:paraId="3D8E5EA4" w14:textId="4A23D1B8" w:rsidR="00D57A75" w:rsidRPr="00E2090D" w:rsidRDefault="000D53F8" w:rsidP="00DB35C5">
                            <w:pPr>
                              <w:spacing w:before="120" w:after="120"/>
                              <w:jc w:val="center"/>
                              <w:rPr>
                                <w:rFonts w:ascii="VIC" w:hAnsi="VIC"/>
                                <w:b/>
                                <w:bCs/>
                                <w:color w:val="FFFFFF" w:themeColor="background1"/>
                                <w:sz w:val="16"/>
                                <w:szCs w:val="16"/>
                              </w:rPr>
                            </w:pPr>
                            <w:hyperlink w:anchor="_Appendix_1_–" w:history="1">
                              <w:r w:rsidR="00D57A75" w:rsidRPr="00E2090D">
                                <w:rPr>
                                  <w:rStyle w:val="Hyperlink"/>
                                  <w:rFonts w:ascii="VIC" w:hAnsi="VIC"/>
                                  <w:b/>
                                  <w:bCs/>
                                  <w:color w:val="FFFFFF" w:themeColor="background1"/>
                                  <w:sz w:val="16"/>
                                  <w:szCs w:val="16"/>
                                  <w:u w:val="none"/>
                                </w:rPr>
                                <w:t>APPENDICES</w:t>
                              </w:r>
                            </w:hyperlink>
                          </w:p>
                        </w:txbxContent>
                      </wps:txbx>
                      <wps:bodyPr rot="0" spcFirstLastPara="0" vertOverflow="overflow" horzOverflow="overflow" vert="vert" wrap="square" lIns="108000" tIns="72000" rIns="108000" bIns="72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C894768" id="_x0000_t202" coordsize="21600,21600" o:spt="202" path="m,l,21600r21600,l21600,xe">
                <v:stroke joinstyle="miter"/>
                <v:path gradientshapeok="t" o:connecttype="rect"/>
              </v:shapetype>
              <v:shape id="Text Box 40" o:spid="_x0000_s1026" type="#_x0000_t202" href="#_Appendix_1_–" style="position:absolute;margin-left:404.25pt;margin-top:370.25pt;width:34.95pt;height:137.55pt;rotation:180;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" o:button="t" fillcolor="#00b2a9" stroked="f" strokeweight=".5pt">
                <v:fill o:detectmouseclick="t"/>
                <v:textbox style="layout-flow:vertical" inset="3mm,2mm,3mm,2mm">
                  <w:txbxContent>
                    <w:p w14:paraId="3D8E5EA4" w14:textId="4A23D1B8" w:rsidR="00D57A75" w:rsidRPr="00E2090D" w:rsidRDefault="003D6FBF" w:rsidP="00DB35C5">
                      <w:pPr>
                        <w:spacing w:before="120" w:after="120"/>
                        <w:jc w:val="center"/>
                        <w:rPr>
                          <w:rFonts w:ascii="VIC" w:hAnsi="VIC"/>
                          <w:b/>
                          <w:bCs/>
                          <w:color w:val="FFFFFF" w:themeColor="background1"/>
                          <w:sz w:val="16"/>
                          <w:szCs w:val="16"/>
                        </w:rPr>
                      </w:pPr>
                      <w:hyperlink w:anchor="_Appendix_1_–" w:history="1">
                        <w:r w:rsidR="00D57A75" w:rsidRPr="00E2090D">
                          <w:rPr>
                            <w:rStyle w:val="Hyperlink"/>
                            <w:rFonts w:ascii="VIC" w:hAnsi="VIC"/>
                            <w:b/>
                            <w:bCs/>
                            <w:color w:val="FFFFFF" w:themeColor="background1"/>
                            <w:sz w:val="16"/>
                            <w:szCs w:val="16"/>
                            <w:u w:val="none"/>
                          </w:rPr>
                          <w:t>APPENDICES</w:t>
                        </w:r>
                      </w:hyperlink>
                    </w:p>
                  </w:txbxContent>
                </v:textbox>
              </v:shape>
            </w:pict>
          </mc:Fallback>
        </mc:AlternateContent>
      </w:r>
      <w:r>
        <w:rPr>
          <w:noProof/>
        </w:rPr>
        <mc:AlternateContent>
          <mc:Choice Requires="wps">
            <w:drawing>
              <wp:anchor distT="0" distB="0" distL="114300" distR="114300" simplePos="0" relativeHeight="251658256" behindDoc="0" locked="0" layoutInCell="1" allowOverlap="1" wp14:anchorId="5F308879" wp14:editId="7486B891">
                <wp:simplePos x="0" y="0"/>
                <wp:positionH relativeFrom="column">
                  <wp:posOffset>5133783</wp:posOffset>
                </wp:positionH>
                <wp:positionV relativeFrom="paragraph">
                  <wp:posOffset>3153225</wp:posOffset>
                </wp:positionV>
                <wp:extent cx="440280" cy="1671955"/>
                <wp:effectExtent l="0" t="0" r="0" b="4445"/>
                <wp:wrapNone/>
                <wp:docPr id="35" name="Text Box 35">
                  <a:hlinkClick xmlns:a="http://schemas.openxmlformats.org/drawingml/2006/main" r:id="rId14"/>
                </wp:docPr>
                <wp:cNvGraphicFramePr/>
                <a:graphic xmlns:a="http://schemas.openxmlformats.org/drawingml/2006/main">
                  <a:graphicData uri="http://schemas.microsoft.com/office/word/2010/wordprocessingShape">
                    <wps:wsp>
                      <wps:cNvSpPr txBox="1"/>
                      <wps:spPr>
                        <a:xfrm rot="10800000">
                          <a:off x="0" y="0"/>
                          <a:ext cx="440280" cy="1671955"/>
                        </a:xfrm>
                        <a:prstGeom prst="rect">
                          <a:avLst/>
                        </a:prstGeom>
                        <a:solidFill>
                          <a:srgbClr val="8DC6C0"/>
                        </a:solidFill>
                        <a:ln w="6350">
                          <a:noFill/>
                        </a:ln>
                      </wps:spPr>
                      <wps:txbx>
                        <w:txbxContent>
                          <w:p w14:paraId="1C8E9FCB" w14:textId="2773807A" w:rsidR="00D57A75" w:rsidRPr="00E2090D" w:rsidRDefault="000D53F8" w:rsidP="00F66FDE">
                            <w:pPr>
                              <w:spacing w:before="120" w:after="120"/>
                              <w:jc w:val="center"/>
                              <w:rPr>
                                <w:rFonts w:ascii="VIC" w:hAnsi="VIC"/>
                                <w:b/>
                                <w:bCs/>
                                <w:color w:val="FFFFFF" w:themeColor="background1"/>
                                <w:sz w:val="16"/>
                                <w:szCs w:val="16"/>
                              </w:rPr>
                            </w:pPr>
                            <w:hyperlink w:anchor="_6_How_to…" w:history="1">
                              <w:r w:rsidR="00D57A75" w:rsidRPr="00E2090D">
                                <w:rPr>
                                  <w:rStyle w:val="Hyperlink"/>
                                  <w:rFonts w:ascii="VIC" w:hAnsi="VIC"/>
                                  <w:b/>
                                  <w:bCs/>
                                  <w:color w:val="FFFFFF" w:themeColor="background1"/>
                                  <w:sz w:val="16"/>
                                  <w:szCs w:val="16"/>
                                  <w:u w:val="none"/>
                                </w:rPr>
                                <w:t>6.  HOW TO</w:t>
                              </w:r>
                            </w:hyperlink>
                          </w:p>
                        </w:txbxContent>
                      </wps:txbx>
                      <wps:bodyPr rot="0" spcFirstLastPara="0" vertOverflow="overflow" horzOverflow="overflow" vert="vert" wrap="square" lIns="108000" tIns="72000" rIns="108000" bIns="72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308879" id="Text Box 35" o:spid="_x0000_s1027" type="#_x0000_t202" href="#_6_How_to…" style="position:absolute;margin-left:404.25pt;margin-top:248.3pt;width:34.65pt;height:131.65pt;rotation:180;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" o:button="t" fillcolor="#8dc6c0" stroked="f" strokeweight=".5pt">
                <v:fill o:detectmouseclick="t"/>
                <v:textbox style="layout-flow:vertical" inset="3mm,2mm,3mm,2mm">
                  <w:txbxContent>
                    <w:p w14:paraId="1C8E9FCB" w14:textId="2773807A" w:rsidR="00D57A75" w:rsidRPr="00E2090D" w:rsidRDefault="003D6FBF" w:rsidP="00F66FDE">
                      <w:pPr>
                        <w:spacing w:before="120" w:after="120"/>
                        <w:jc w:val="center"/>
                        <w:rPr>
                          <w:rFonts w:ascii="VIC" w:hAnsi="VIC"/>
                          <w:b/>
                          <w:bCs/>
                          <w:color w:val="FFFFFF" w:themeColor="background1"/>
                          <w:sz w:val="16"/>
                          <w:szCs w:val="16"/>
                        </w:rPr>
                      </w:pPr>
                      <w:hyperlink w:anchor="_6_How_to…" w:history="1">
                        <w:r w:rsidR="00D57A75" w:rsidRPr="00E2090D">
                          <w:rPr>
                            <w:rStyle w:val="Hyperlink"/>
                            <w:rFonts w:ascii="VIC" w:hAnsi="VIC"/>
                            <w:b/>
                            <w:bCs/>
                            <w:color w:val="FFFFFF" w:themeColor="background1"/>
                            <w:sz w:val="16"/>
                            <w:szCs w:val="16"/>
                            <w:u w:val="none"/>
                          </w:rPr>
                          <w:t>6.  HOW TO</w:t>
                        </w:r>
                      </w:hyperlink>
                    </w:p>
                  </w:txbxContent>
                </v:textbox>
              </v:shape>
            </w:pict>
          </mc:Fallback>
        </mc:AlternateContent>
      </w:r>
      <w:r w:rsidR="00322BF1">
        <w:rPr>
          <w:noProof/>
        </w:rPr>
        <mc:AlternateContent>
          <mc:Choice Requires="wps">
            <w:drawing>
              <wp:anchor distT="0" distB="0" distL="114300" distR="114300" simplePos="0" relativeHeight="251658255" behindDoc="0" locked="0" layoutInCell="1" allowOverlap="1" wp14:anchorId="7AE39783" wp14:editId="42DB5CDF">
                <wp:simplePos x="0" y="0"/>
                <wp:positionH relativeFrom="column">
                  <wp:posOffset>5133783</wp:posOffset>
                </wp:positionH>
                <wp:positionV relativeFrom="paragraph">
                  <wp:posOffset>1578133</wp:posOffset>
                </wp:positionV>
                <wp:extent cx="443884" cy="1573530"/>
                <wp:effectExtent l="0" t="0" r="0" b="7620"/>
                <wp:wrapNone/>
                <wp:docPr id="33" name="Text Box 33">
                  <a:hlinkClick xmlns:a="http://schemas.openxmlformats.org/drawingml/2006/main" r:id="rId15"/>
                </wp:docPr>
                <wp:cNvGraphicFramePr/>
                <a:graphic xmlns:a="http://schemas.openxmlformats.org/drawingml/2006/main">
                  <a:graphicData uri="http://schemas.microsoft.com/office/word/2010/wordprocessingShape">
                    <wps:wsp>
                      <wps:cNvSpPr txBox="1"/>
                      <wps:spPr>
                        <a:xfrm rot="10800000">
                          <a:off x="0" y="0"/>
                          <a:ext cx="443884" cy="1573530"/>
                        </a:xfrm>
                        <a:prstGeom prst="rect">
                          <a:avLst/>
                        </a:prstGeom>
                        <a:solidFill>
                          <a:srgbClr val="00B2A9"/>
                        </a:solidFill>
                        <a:ln w="6350">
                          <a:noFill/>
                        </a:ln>
                      </wps:spPr>
                      <wps:txbx>
                        <w:txbxContent>
                          <w:p w14:paraId="1D087941" w14:textId="4A6FBC16" w:rsidR="00D57A75" w:rsidRPr="00E2090D" w:rsidRDefault="000D53F8" w:rsidP="00335923">
                            <w:pPr>
                              <w:spacing w:before="40" w:after="120"/>
                              <w:jc w:val="center"/>
                              <w:rPr>
                                <w:rFonts w:ascii="VIC" w:hAnsi="VIC"/>
                                <w:b/>
                                <w:bCs/>
                                <w:color w:val="FFFFFF" w:themeColor="background1"/>
                                <w:sz w:val="16"/>
                                <w:szCs w:val="16"/>
                              </w:rPr>
                            </w:pPr>
                            <w:hyperlink w:anchor="_5_Choosing_and" w:history="1">
                              <w:r w:rsidR="00D57A75" w:rsidRPr="00E2090D">
                                <w:rPr>
                                  <w:rStyle w:val="Hyperlink"/>
                                  <w:rFonts w:ascii="VIC" w:hAnsi="VIC"/>
                                  <w:b/>
                                  <w:bCs/>
                                  <w:color w:val="FFFFFF" w:themeColor="background1"/>
                                  <w:sz w:val="16"/>
                                  <w:szCs w:val="16"/>
                                  <w:u w:val="none"/>
                                </w:rPr>
                                <w:t>5.  CHOOSING AND APPLYING PROVISIONS</w:t>
                              </w:r>
                            </w:hyperlink>
                          </w:p>
                        </w:txbxContent>
                      </wps:txbx>
                      <wps:bodyPr rot="0" spcFirstLastPara="0" vertOverflow="overflow" horzOverflow="overflow" vert="vert" wrap="square" lIns="72000" tIns="36000" rIns="72000" bIns="72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E39783" id="Text Box 33" o:spid="_x0000_s1028" type="#_x0000_t202" href="#_5_Choosing_and" style="position:absolute;margin-left:404.25pt;margin-top:124.25pt;width:34.95pt;height:123.9pt;rotation:180;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" o:button="t" fillcolor="#00b2a9" stroked="f" strokeweight=".5pt">
                <v:fill o:detectmouseclick="t"/>
                <v:textbox style="layout-flow:vertical" inset="2mm,1mm,2mm,2mm">
                  <w:txbxContent>
                    <w:p w14:paraId="1D087941" w14:textId="4A6FBC16" w:rsidR="00D57A75" w:rsidRPr="00E2090D" w:rsidRDefault="003D6FBF" w:rsidP="00335923">
                      <w:pPr>
                        <w:spacing w:before="40" w:after="120"/>
                        <w:jc w:val="center"/>
                        <w:rPr>
                          <w:rFonts w:ascii="VIC" w:hAnsi="VIC"/>
                          <w:b/>
                          <w:bCs/>
                          <w:color w:val="FFFFFF" w:themeColor="background1"/>
                          <w:sz w:val="16"/>
                          <w:szCs w:val="16"/>
                        </w:rPr>
                      </w:pPr>
                      <w:hyperlink w:anchor="_5_Choosing_and" w:history="1">
                        <w:r w:rsidR="00D57A75" w:rsidRPr="00E2090D">
                          <w:rPr>
                            <w:rStyle w:val="Hyperlink"/>
                            <w:rFonts w:ascii="VIC" w:hAnsi="VIC"/>
                            <w:b/>
                            <w:bCs/>
                            <w:color w:val="FFFFFF" w:themeColor="background1"/>
                            <w:sz w:val="16"/>
                            <w:szCs w:val="16"/>
                            <w:u w:val="none"/>
                          </w:rPr>
                          <w:t>5.  CHOOSING AND APPLYING PROVISIONS</w:t>
                        </w:r>
                      </w:hyperlink>
                    </w:p>
                  </w:txbxContent>
                </v:textbox>
              </v:shape>
            </w:pict>
          </mc:Fallback>
        </mc:AlternateContent>
      </w:r>
      <w:r w:rsidR="00E17805">
        <w:rPr>
          <w:noProof/>
        </w:rPr>
        <mc:AlternateContent>
          <mc:Choice Requires="wps">
            <w:drawing>
              <wp:anchor distT="0" distB="0" distL="114300" distR="114300" simplePos="0" relativeHeight="251658249" behindDoc="0" locked="0" layoutInCell="1" allowOverlap="1" wp14:anchorId="7B4B59CB" wp14:editId="0F578C00">
                <wp:simplePos x="0" y="0"/>
                <wp:positionH relativeFrom="column">
                  <wp:posOffset>2582017</wp:posOffset>
                </wp:positionH>
                <wp:positionV relativeFrom="paragraph">
                  <wp:posOffset>2112079</wp:posOffset>
                </wp:positionV>
                <wp:extent cx="1828800" cy="766445"/>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766445"/>
                        </a:xfrm>
                        <a:prstGeom prst="rect">
                          <a:avLst/>
                        </a:prstGeom>
                        <a:noFill/>
                        <a:ln w="9525">
                          <a:noFill/>
                          <a:miter lim="800000"/>
                          <a:headEnd/>
                          <a:tailEnd/>
                        </a:ln>
                      </wps:spPr>
                      <wps:txbx>
                        <w:txbxContent>
                          <w:p w14:paraId="2E4D3CCF" w14:textId="70569E58" w:rsidR="00D57A75" w:rsidRPr="00563691" w:rsidRDefault="0028407E" w:rsidP="00D57A75">
                            <w:pPr>
                              <w:spacing w:after="0"/>
                              <w:jc w:val="right"/>
                              <w:rPr>
                                <w:rFonts w:ascii="VIC Medium" w:hAnsi="VIC Medium"/>
                                <w:color w:val="FFFFFF" w:themeColor="background1"/>
                                <w:sz w:val="36"/>
                                <w:szCs w:val="36"/>
                              </w:rPr>
                            </w:pPr>
                            <w:r w:rsidRPr="004F6A20">
                              <w:rPr>
                                <w:rFonts w:ascii="VIC Medium" w:hAnsi="VIC Medium"/>
                                <w:color w:val="FFFFFF" w:themeColor="background1"/>
                                <w:sz w:val="36"/>
                                <w:szCs w:val="36"/>
                              </w:rPr>
                              <w:t>March</w:t>
                            </w:r>
                            <w:r w:rsidR="00D57A75" w:rsidRPr="004F6A20">
                              <w:rPr>
                                <w:rFonts w:ascii="VIC Medium" w:hAnsi="VIC Medium"/>
                                <w:color w:val="FFFFFF" w:themeColor="background1"/>
                                <w:sz w:val="36"/>
                                <w:szCs w:val="36"/>
                              </w:rPr>
                              <w:t xml:space="preserve"> </w:t>
                            </w:r>
                            <w:r w:rsidR="00D57A75" w:rsidRPr="00563691">
                              <w:rPr>
                                <w:rFonts w:ascii="VIC Medium" w:hAnsi="VIC Medium"/>
                                <w:color w:val="FFFFFF" w:themeColor="background1"/>
                                <w:sz w:val="36"/>
                                <w:szCs w:val="36"/>
                              </w:rPr>
                              <w:t>202</w:t>
                            </w:r>
                            <w:r w:rsidR="009D34E1">
                              <w:rPr>
                                <w:rFonts w:ascii="VIC Medium" w:hAnsi="VIC Medium"/>
                                <w:color w:val="FFFFFF" w:themeColor="background1"/>
                                <w:sz w:val="36"/>
                                <w:szCs w:val="36"/>
                              </w:rPr>
                              <w:t>4</w:t>
                            </w:r>
                          </w:p>
                        </w:txbxContent>
                      </wps:txbx>
                      <wps:bodyPr rot="0" vert="horz" wrap="square" lIns="91440" tIns="45720" rIns="91440" bIns="45720" anchor="t" anchorCtr="0">
                        <a:spAutoFit/>
                      </wps:bodyPr>
                    </wps:wsp>
                  </a:graphicData>
                </a:graphic>
              </wp:anchor>
            </w:drawing>
          </mc:Choice>
          <mc:Fallback>
            <w:pict>
              <v:shape w14:anchorId="7B4B59CB" id="Text Box 217" o:spid="_x0000_s1029" type="#_x0000_t202" style="position:absolute;margin-left:203.3pt;margin-top:166.3pt;width:2in;height:60.3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" filled="f" stroked="f">
                <v:textbox style="mso-fit-shape-to-text:t">
                  <w:txbxContent>
                    <w:p w14:paraId="2E4D3CCF" w14:textId="70569E58" w:rsidR="00D57A75" w:rsidRPr="00563691" w:rsidRDefault="0028407E" w:rsidP="00D57A75">
                      <w:pPr>
                        <w:spacing w:after="0"/>
                        <w:jc w:val="right"/>
                        <w:rPr>
                          <w:rFonts w:ascii="VIC Medium" w:hAnsi="VIC Medium"/>
                          <w:color w:val="FFFFFF" w:themeColor="background1"/>
                          <w:sz w:val="36"/>
                          <w:szCs w:val="36"/>
                        </w:rPr>
                      </w:pPr>
                      <w:r w:rsidRPr="004F6A20">
                        <w:rPr>
                          <w:rFonts w:ascii="VIC Medium" w:hAnsi="VIC Medium"/>
                          <w:color w:val="FFFFFF" w:themeColor="background1"/>
                          <w:sz w:val="36"/>
                          <w:szCs w:val="36"/>
                        </w:rPr>
                        <w:t>March</w:t>
                      </w:r>
                      <w:r w:rsidR="00D57A75" w:rsidRPr="004F6A20">
                        <w:rPr>
                          <w:rFonts w:ascii="VIC Medium" w:hAnsi="VIC Medium"/>
                          <w:color w:val="FFFFFF" w:themeColor="background1"/>
                          <w:sz w:val="36"/>
                          <w:szCs w:val="36"/>
                        </w:rPr>
                        <w:t xml:space="preserve"> </w:t>
                      </w:r>
                      <w:r w:rsidR="00D57A75" w:rsidRPr="00563691">
                        <w:rPr>
                          <w:rFonts w:ascii="VIC Medium" w:hAnsi="VIC Medium"/>
                          <w:color w:val="FFFFFF" w:themeColor="background1"/>
                          <w:sz w:val="36"/>
                          <w:szCs w:val="36"/>
                        </w:rPr>
                        <w:t>202</w:t>
                      </w:r>
                      <w:r w:rsidR="009D34E1">
                        <w:rPr>
                          <w:rFonts w:ascii="VIC Medium" w:hAnsi="VIC Medium"/>
                          <w:color w:val="FFFFFF" w:themeColor="background1"/>
                          <w:sz w:val="36"/>
                          <w:szCs w:val="36"/>
                        </w:rPr>
                        <w:t>4</w:t>
                      </w:r>
                    </w:p>
                  </w:txbxContent>
                </v:textbox>
              </v:shape>
            </w:pict>
          </mc:Fallback>
        </mc:AlternateContent>
      </w:r>
      <w:r w:rsidR="00E17805">
        <w:rPr>
          <w:noProof/>
        </w:rPr>
        <mc:AlternateContent>
          <mc:Choice Requires="wps">
            <w:drawing>
              <wp:anchor distT="0" distB="0" distL="114300" distR="114300" simplePos="0" relativeHeight="251658250" behindDoc="0" locked="0" layoutInCell="1" allowOverlap="1" wp14:anchorId="7A3C65F6" wp14:editId="6813C0A6">
                <wp:simplePos x="0" y="0"/>
                <wp:positionH relativeFrom="column">
                  <wp:posOffset>-1726565</wp:posOffset>
                </wp:positionH>
                <wp:positionV relativeFrom="paragraph">
                  <wp:posOffset>907333</wp:posOffset>
                </wp:positionV>
                <wp:extent cx="6318250" cy="46863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468630"/>
                        </a:xfrm>
                        <a:prstGeom prst="rect">
                          <a:avLst/>
                        </a:prstGeom>
                        <a:noFill/>
                        <a:ln w="9525">
                          <a:noFill/>
                          <a:miter lim="800000"/>
                          <a:headEnd/>
                          <a:tailEnd/>
                        </a:ln>
                      </wps:spPr>
                      <wps:txbx>
                        <w:txbxContent>
                          <w:p w14:paraId="1FCF1E67" w14:textId="2D2FA280" w:rsidR="00D57A75" w:rsidRPr="00563691" w:rsidRDefault="006371E7" w:rsidP="00D57A75">
                            <w:pPr>
                              <w:pStyle w:val="Subtitle"/>
                              <w:spacing w:after="0"/>
                              <w:jc w:val="right"/>
                              <w:rPr>
                                <w:b/>
                                <w:bCs/>
                                <w:color w:val="FFFFFF" w:themeColor="background1"/>
                                <w:sz w:val="60"/>
                                <w:szCs w:val="60"/>
                              </w:rPr>
                            </w:pPr>
                            <w:r>
                              <w:rPr>
                                <w:rFonts w:ascii="VIC Medium" w:hAnsi="VIC Medium"/>
                                <w:b/>
                                <w:bCs/>
                                <w:i w:val="0"/>
                                <w:iCs w:val="0"/>
                                <w:color w:val="FFFFFF" w:themeColor="background1"/>
                                <w:sz w:val="56"/>
                                <w:szCs w:val="56"/>
                              </w:rPr>
                              <w:t xml:space="preserve">Practitioner’s </w:t>
                            </w:r>
                            <w:r w:rsidR="009D34E1">
                              <w:rPr>
                                <w:rFonts w:ascii="VIC Medium" w:hAnsi="VIC Medium"/>
                                <w:b/>
                                <w:bCs/>
                                <w:i w:val="0"/>
                                <w:iCs w:val="0"/>
                                <w:color w:val="FFFFFF" w:themeColor="background1"/>
                                <w:sz w:val="56"/>
                                <w:szCs w:val="56"/>
                              </w:rPr>
                              <w:t>G</w:t>
                            </w:r>
                            <w:r>
                              <w:rPr>
                                <w:rFonts w:ascii="VIC Medium" w:hAnsi="VIC Medium"/>
                                <w:b/>
                                <w:bCs/>
                                <w:i w:val="0"/>
                                <w:iCs w:val="0"/>
                                <w:color w:val="FFFFFF" w:themeColor="background1"/>
                                <w:sz w:val="56"/>
                                <w:szCs w:val="56"/>
                              </w:rPr>
                              <w:t xml:space="preserve">uide to Victoria’s </w:t>
                            </w:r>
                            <w:r w:rsidR="009D34E1">
                              <w:rPr>
                                <w:rFonts w:ascii="VIC Medium" w:hAnsi="VIC Medium"/>
                                <w:b/>
                                <w:bCs/>
                                <w:i w:val="0"/>
                                <w:iCs w:val="0"/>
                                <w:color w:val="FFFFFF" w:themeColor="background1"/>
                                <w:sz w:val="56"/>
                                <w:szCs w:val="56"/>
                              </w:rPr>
                              <w:t>P</w:t>
                            </w:r>
                            <w:r>
                              <w:rPr>
                                <w:rFonts w:ascii="VIC Medium" w:hAnsi="VIC Medium"/>
                                <w:b/>
                                <w:bCs/>
                                <w:i w:val="0"/>
                                <w:iCs w:val="0"/>
                                <w:color w:val="FFFFFF" w:themeColor="background1"/>
                                <w:sz w:val="56"/>
                                <w:szCs w:val="56"/>
                              </w:rPr>
                              <w:t xml:space="preserve">lanning </w:t>
                            </w:r>
                            <w:r w:rsidR="009D34E1">
                              <w:rPr>
                                <w:rFonts w:ascii="VIC Medium" w:hAnsi="VIC Medium"/>
                                <w:b/>
                                <w:bCs/>
                                <w:i w:val="0"/>
                                <w:iCs w:val="0"/>
                                <w:color w:val="FFFFFF" w:themeColor="background1"/>
                                <w:sz w:val="56"/>
                                <w:szCs w:val="56"/>
                              </w:rPr>
                              <w:t>S</w:t>
                            </w:r>
                            <w:r>
                              <w:rPr>
                                <w:rFonts w:ascii="VIC Medium" w:hAnsi="VIC Medium"/>
                                <w:b/>
                                <w:bCs/>
                                <w:i w:val="0"/>
                                <w:iCs w:val="0"/>
                                <w:color w:val="FFFFFF" w:themeColor="background1"/>
                                <w:sz w:val="56"/>
                                <w:szCs w:val="56"/>
                              </w:rPr>
                              <w:t>chemes</w:t>
                            </w:r>
                          </w:p>
                          <w:p w14:paraId="67CE23A4" w14:textId="77777777" w:rsidR="00D57A75" w:rsidRPr="00563691" w:rsidRDefault="00D57A75" w:rsidP="00D57A75">
                            <w:pPr>
                              <w:spacing w:after="0"/>
                              <w:jc w:val="right"/>
                              <w:rPr>
                                <w:color w:val="FFFFFF" w:themeColor="background1"/>
                              </w:rPr>
                            </w:pPr>
                          </w:p>
                        </w:txbxContent>
                      </wps:txbx>
                      <wps:bodyPr rot="0" vert="horz" wrap="square" lIns="91440" tIns="45720" rIns="91440" bIns="45720" anchor="t" anchorCtr="0">
                        <a:spAutoFit/>
                      </wps:bodyPr>
                    </wps:wsp>
                  </a:graphicData>
                </a:graphic>
              </wp:anchor>
            </w:drawing>
          </mc:Choice>
          <mc:Fallback>
            <w:pict>
              <v:shape w14:anchorId="7A3C65F6" id="Text Box 32" o:spid="_x0000_s1030" type="#_x0000_t202" style="position:absolute;margin-left:-135.95pt;margin-top:71.45pt;width:497.5pt;height:36.9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" filled="f" stroked="f">
                <v:textbox style="mso-fit-shape-to-text:t">
                  <w:txbxContent>
                    <w:p w14:paraId="1FCF1E67" w14:textId="2D2FA280" w:rsidR="00D57A75" w:rsidRPr="00563691" w:rsidRDefault="006371E7" w:rsidP="00D57A75">
                      <w:pPr>
                        <w:pStyle w:val="Subtitle"/>
                        <w:spacing w:after="0"/>
                        <w:jc w:val="right"/>
                        <w:rPr>
                          <w:b/>
                          <w:bCs/>
                          <w:color w:val="FFFFFF" w:themeColor="background1"/>
                          <w:sz w:val="60"/>
                          <w:szCs w:val="60"/>
                        </w:rPr>
                      </w:pPr>
                      <w:r>
                        <w:rPr>
                          <w:rFonts w:ascii="VIC Medium" w:hAnsi="VIC Medium"/>
                          <w:b/>
                          <w:bCs/>
                          <w:i w:val="0"/>
                          <w:iCs w:val="0"/>
                          <w:color w:val="FFFFFF" w:themeColor="background1"/>
                          <w:sz w:val="56"/>
                          <w:szCs w:val="56"/>
                        </w:rPr>
                        <w:t xml:space="preserve">Practitioner’s </w:t>
                      </w:r>
                      <w:r w:rsidR="009D34E1">
                        <w:rPr>
                          <w:rFonts w:ascii="VIC Medium" w:hAnsi="VIC Medium"/>
                          <w:b/>
                          <w:bCs/>
                          <w:i w:val="0"/>
                          <w:iCs w:val="0"/>
                          <w:color w:val="FFFFFF" w:themeColor="background1"/>
                          <w:sz w:val="56"/>
                          <w:szCs w:val="56"/>
                        </w:rPr>
                        <w:t>G</w:t>
                      </w:r>
                      <w:r>
                        <w:rPr>
                          <w:rFonts w:ascii="VIC Medium" w:hAnsi="VIC Medium"/>
                          <w:b/>
                          <w:bCs/>
                          <w:i w:val="0"/>
                          <w:iCs w:val="0"/>
                          <w:color w:val="FFFFFF" w:themeColor="background1"/>
                          <w:sz w:val="56"/>
                          <w:szCs w:val="56"/>
                        </w:rPr>
                        <w:t xml:space="preserve">uide to Victoria’s </w:t>
                      </w:r>
                      <w:r w:rsidR="009D34E1">
                        <w:rPr>
                          <w:rFonts w:ascii="VIC Medium" w:hAnsi="VIC Medium"/>
                          <w:b/>
                          <w:bCs/>
                          <w:i w:val="0"/>
                          <w:iCs w:val="0"/>
                          <w:color w:val="FFFFFF" w:themeColor="background1"/>
                          <w:sz w:val="56"/>
                          <w:szCs w:val="56"/>
                        </w:rPr>
                        <w:t>P</w:t>
                      </w:r>
                      <w:r>
                        <w:rPr>
                          <w:rFonts w:ascii="VIC Medium" w:hAnsi="VIC Medium"/>
                          <w:b/>
                          <w:bCs/>
                          <w:i w:val="0"/>
                          <w:iCs w:val="0"/>
                          <w:color w:val="FFFFFF" w:themeColor="background1"/>
                          <w:sz w:val="56"/>
                          <w:szCs w:val="56"/>
                        </w:rPr>
                        <w:t xml:space="preserve">lanning </w:t>
                      </w:r>
                      <w:r w:rsidR="009D34E1">
                        <w:rPr>
                          <w:rFonts w:ascii="VIC Medium" w:hAnsi="VIC Medium"/>
                          <w:b/>
                          <w:bCs/>
                          <w:i w:val="0"/>
                          <w:iCs w:val="0"/>
                          <w:color w:val="FFFFFF" w:themeColor="background1"/>
                          <w:sz w:val="56"/>
                          <w:szCs w:val="56"/>
                        </w:rPr>
                        <w:t>S</w:t>
                      </w:r>
                      <w:r>
                        <w:rPr>
                          <w:rFonts w:ascii="VIC Medium" w:hAnsi="VIC Medium"/>
                          <w:b/>
                          <w:bCs/>
                          <w:i w:val="0"/>
                          <w:iCs w:val="0"/>
                          <w:color w:val="FFFFFF" w:themeColor="background1"/>
                          <w:sz w:val="56"/>
                          <w:szCs w:val="56"/>
                        </w:rPr>
                        <w:t>chemes</w:t>
                      </w:r>
                    </w:p>
                    <w:p w14:paraId="67CE23A4" w14:textId="77777777" w:rsidR="00D57A75" w:rsidRPr="00563691" w:rsidRDefault="00D57A75" w:rsidP="00D57A75">
                      <w:pPr>
                        <w:spacing w:after="0"/>
                        <w:jc w:val="right"/>
                        <w:rPr>
                          <w:color w:val="FFFFFF" w:themeColor="background1"/>
                        </w:rPr>
                      </w:pPr>
                    </w:p>
                  </w:txbxContent>
                </v:textbox>
              </v:shape>
            </w:pict>
          </mc:Fallback>
        </mc:AlternateContent>
      </w:r>
      <w:r w:rsidR="00D57A75">
        <w:rPr>
          <w:noProof/>
        </w:rPr>
        <mc:AlternateContent>
          <mc:Choice Requires="wps">
            <w:drawing>
              <wp:anchor distT="0" distB="0" distL="114300" distR="114300" simplePos="0" relativeHeight="251658241" behindDoc="0" locked="0" layoutInCell="1" allowOverlap="1" wp14:anchorId="0D61AABB" wp14:editId="43838B68">
                <wp:simplePos x="0" y="0"/>
                <wp:positionH relativeFrom="column">
                  <wp:posOffset>-1980565</wp:posOffset>
                </wp:positionH>
                <wp:positionV relativeFrom="paragraph">
                  <wp:posOffset>-4316013</wp:posOffset>
                </wp:positionV>
                <wp:extent cx="7560310" cy="8930640"/>
                <wp:effectExtent l="0" t="0" r="2540" b="3810"/>
                <wp:wrapNone/>
                <wp:docPr id="29" name="Rectangle 29"/>
                <wp:cNvGraphicFramePr/>
                <a:graphic xmlns:a="http://schemas.openxmlformats.org/drawingml/2006/main">
                  <a:graphicData uri="http://schemas.microsoft.com/office/word/2010/wordprocessingShape">
                    <wps:wsp>
                      <wps:cNvSpPr/>
                      <wps:spPr>
                        <a:xfrm>
                          <a:off x="0" y="0"/>
                          <a:ext cx="7560310" cy="8930640"/>
                        </a:xfrm>
                        <a:prstGeom prst="rect">
                          <a:avLst/>
                        </a:prstGeom>
                        <a:solidFill>
                          <a:srgbClr val="00B2A9">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rect w14:anchorId="11E949C8" id="Rectangle 29" o:spid="_x0000_s1026" style="position:absolute;margin-left:-155.95pt;margin-top:-339.85pt;width:595.3pt;height:703.2pt;z-index:2516602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" fillcolor="#00b2a9" stroked="f" strokeweight="1pt">
                <v:fill opacity="32896f"/>
              </v:rect>
            </w:pict>
          </mc:Fallback>
        </mc:AlternateContent>
      </w:r>
      <w:r w:rsidR="00D57A75">
        <w:rPr>
          <w:noProof/>
        </w:rPr>
        <mc:AlternateContent>
          <mc:Choice Requires="wps">
            <w:drawing>
              <wp:anchor distT="0" distB="0" distL="114300" distR="114300" simplePos="0" relativeHeight="251658242" behindDoc="0" locked="0" layoutInCell="1" allowOverlap="1" wp14:anchorId="7B366E52" wp14:editId="2887FDFB">
                <wp:simplePos x="0" y="0"/>
                <wp:positionH relativeFrom="column">
                  <wp:posOffset>2686496</wp:posOffset>
                </wp:positionH>
                <wp:positionV relativeFrom="paragraph">
                  <wp:posOffset>-4039883</wp:posOffset>
                </wp:positionV>
                <wp:extent cx="2280285" cy="2393950"/>
                <wp:effectExtent l="0" t="0" r="5715" b="6350"/>
                <wp:wrapNone/>
                <wp:docPr id="27" name="Freeform: Shap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0285"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 w14:anchorId="44BBAF52" id="Graphic-top right" o:spid="_x0000_s1026" alt="&quot;&quot;" style="position:absolute;margin-left:211.55pt;margin-top:-318.1pt;width:179.55pt;height:188.5pt;z-index:251661313;visibility:visible;mso-wrap-style:square;mso-wrap-distance-left:9pt;mso-wrap-distance-top:0;mso-wrap-distance-right:9pt;mso-wrap-distance-bottom:0;mso-position-horizontal:absolute;mso-position-horizontal-relative:text;mso-position-vertical:absolute;mso-position-vertical-relative:text;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" path="m2257911,2394432r18117,l2276028,,1130032,,,2394432r2257911,xe" fillcolor="#cedc00" stroked="f" strokeweight=".35181mm">
                <v:stroke joinstyle="miter"/>
                <v:path arrowok="t" o:connecttype="custom" o:connectlocs="2262135,2393951;2280286,2393951;2280286,0;1132146,0;0,2393951;2262135,2393951" o:connectangles="0,0,0,0,0,0"/>
              </v:shape>
            </w:pict>
          </mc:Fallback>
        </mc:AlternateContent>
      </w:r>
      <w:r w:rsidR="00D57A75">
        <w:rPr>
          <w:noProof/>
        </w:rPr>
        <mc:AlternateContent>
          <mc:Choice Requires="wps">
            <w:drawing>
              <wp:anchor distT="0" distB="0" distL="114300" distR="114300" simplePos="0" relativeHeight="251658243" behindDoc="0" locked="0" layoutInCell="1" allowOverlap="1" wp14:anchorId="461ADBA8" wp14:editId="69FB0360">
                <wp:simplePos x="0" y="0"/>
                <wp:positionH relativeFrom="column">
                  <wp:posOffset>1559340</wp:posOffset>
                </wp:positionH>
                <wp:positionV relativeFrom="paragraph">
                  <wp:posOffset>-1649768</wp:posOffset>
                </wp:positionV>
                <wp:extent cx="3406775" cy="2355850"/>
                <wp:effectExtent l="0" t="0" r="3175" b="6350"/>
                <wp:wrapNone/>
                <wp:docPr id="31" name="Freeform: Shap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06775" cy="235585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 w14:anchorId="65785A2E" id="Graphic-top right over image" o:spid="_x0000_s1026" alt="&quot;&quot;" style="position:absolute;margin-left:122.8pt;margin-top:-129.9pt;width:268.25pt;height:185.5pt;z-index:251662337;visibility:visible;mso-wrap-style:square;mso-wrap-distance-left:9pt;mso-wrap-distance-top:0;mso-wrap-distance-right:9pt;mso-wrap-distance-bottom:0;mso-position-horizontal:absolute;mso-position-horizontal-relative:text;mso-position-vertical:absolute;mso-position-vertical-relative:text;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" path="m2257785,2396966l3407200,,1131299,c1131299,,,2396966,,2396966r2257911,l2257785,2396966xe" fillcolor="#cedc00" stroked="f" strokeweight=".35181mm">
                <v:fill opacity="43176f"/>
                <v:stroke joinstyle="miter"/>
                <v:path arrowok="t" o:connecttype="custom" o:connectlocs="2257504,2355851;3406776,0;1131158,0;0,2355851;2257630,2355851" o:connectangles="0,0,0,0,0"/>
              </v:shape>
            </w:pict>
          </mc:Fallback>
        </mc:AlternateContent>
      </w:r>
      <w:r w:rsidR="00D57A75">
        <w:rPr>
          <w:noProof/>
        </w:rPr>
        <mc:AlternateContent>
          <mc:Choice Requires="wps">
            <w:drawing>
              <wp:anchor distT="0" distB="0" distL="114300" distR="114300" simplePos="0" relativeHeight="251658244" behindDoc="0" locked="0" layoutInCell="1" allowOverlap="1" wp14:anchorId="2BEEF55C" wp14:editId="3E4FD652">
                <wp:simplePos x="0" y="0"/>
                <wp:positionH relativeFrom="column">
                  <wp:posOffset>441237</wp:posOffset>
                </wp:positionH>
                <wp:positionV relativeFrom="paragraph">
                  <wp:posOffset>-1649768</wp:posOffset>
                </wp:positionV>
                <wp:extent cx="3383915" cy="2355850"/>
                <wp:effectExtent l="0" t="0" r="6985" b="6350"/>
                <wp:wrapNone/>
                <wp:docPr id="34" name="Freeform: Shap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83915" cy="235585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36C40E" id="Freeform: Shape 34" o:spid="_x0000_s1026" alt="&quot;&quot;" style="position:absolute;margin-left:34.75pt;margin-top:-129.9pt;width:266.45pt;height:185.5pt;z-index:251658244;visibility:visible;mso-wrap-style:square;mso-wrap-distance-left:9pt;mso-wrap-distance-top:0;mso-wrap-distance-right:9pt;mso-wrap-distance-bottom:0;mso-position-horizontal:absolute;mso-position-horizontal-relative:text;mso-position-vertical:absolute;mso-position-vertical-relative:text;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" path="m3384523,2396966l2257911,,,c,,1126612,2396966,1126612,2396966r2257911,xe" stroked="f" strokeweight=".35181mm">
                <v:fill opacity="21588f"/>
                <v:stroke joinstyle="miter"/>
                <v:path arrowok="t" o:connecttype="custom" o:connectlocs="3383915,2355851;2257505,0;0,0;1126410,2355851;3383915,2355851" o:connectangles="0,0,0,0,0"/>
              </v:shape>
            </w:pict>
          </mc:Fallback>
        </mc:AlternateContent>
      </w:r>
      <w:r w:rsidR="00D57A75">
        <w:rPr>
          <w:noProof/>
        </w:rPr>
        <mc:AlternateContent>
          <mc:Choice Requires="wps">
            <w:drawing>
              <wp:anchor distT="0" distB="0" distL="114300" distR="114300" simplePos="0" relativeHeight="251658245" behindDoc="0" locked="0" layoutInCell="1" allowOverlap="1" wp14:anchorId="15F7182D" wp14:editId="186A5647">
                <wp:simplePos x="0" y="0"/>
                <wp:positionH relativeFrom="column">
                  <wp:posOffset>-1695381</wp:posOffset>
                </wp:positionH>
                <wp:positionV relativeFrom="paragraph">
                  <wp:posOffset>2763797</wp:posOffset>
                </wp:positionV>
                <wp:extent cx="2624455" cy="3309620"/>
                <wp:effectExtent l="0" t="0" r="4445" b="5080"/>
                <wp:wrapNone/>
                <wp:docPr id="36" name="Freeform: Shap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24455" cy="3309620"/>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 w14:anchorId="4676FB6D" id="Graphic-bottom left over image" o:spid="_x0000_s1026" alt="&quot;&quot;" style="position:absolute;margin-left:-133.5pt;margin-top:217.6pt;width:206.65pt;height:260.6pt;z-index:251664385;visibility:visible;mso-wrap-style:square;mso-wrap-distance-left:9pt;mso-wrap-distance-top:0;mso-wrap-distance-right:9pt;mso-wrap-distance-bottom:0;mso-position-horizontal:absolute;mso-position-horizontal-relative:text;mso-position-vertical:absolute;mso-position-vertical-relative:text;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" path="m879007,l,1850897,,3310163r1059030,l2624504,,879007,xe" fillcolor="#00b2a9" stroked="f" strokeweight=".35086mm">
                <v:fill opacity="43176f"/>
                <v:stroke joinstyle="miter"/>
                <v:path arrowok="t" o:connecttype="custom" o:connectlocs="878991,0;0,1850594;0,3309621;1059010,3309621;2624455,0;878991,0" o:connectangles="0,0,0,0,0,0"/>
              </v:shape>
            </w:pict>
          </mc:Fallback>
        </mc:AlternateContent>
      </w:r>
      <w:r w:rsidR="00D57A75">
        <w:rPr>
          <w:noProof/>
        </w:rPr>
        <mc:AlternateContent>
          <mc:Choice Requires="wps">
            <w:drawing>
              <wp:anchor distT="0" distB="0" distL="114300" distR="114300" simplePos="0" relativeHeight="251658246" behindDoc="0" locked="0" layoutInCell="1" allowOverlap="1" wp14:anchorId="62BC1785" wp14:editId="3CD91212">
                <wp:simplePos x="0" y="0"/>
                <wp:positionH relativeFrom="column">
                  <wp:posOffset>-812668</wp:posOffset>
                </wp:positionH>
                <wp:positionV relativeFrom="paragraph">
                  <wp:posOffset>2763797</wp:posOffset>
                </wp:positionV>
                <wp:extent cx="2614930" cy="1850390"/>
                <wp:effectExtent l="0" t="0" r="0" b="0"/>
                <wp:wrapNone/>
                <wp:docPr id="30" name="Freeform: Shap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14930" cy="1850390"/>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 w14:anchorId="1BD257DB" id="Graphic-bottom over image" o:spid="_x0000_s1026" alt="&quot;&quot;" style="position:absolute;margin-left:-64pt;margin-top:217.6pt;width:205.9pt;height:145.7pt;z-index:251665409;visibility:visible;mso-wrap-style:square;mso-wrap-distance-left:9pt;mso-wrap-distance-top:0;mso-wrap-distance-right:9pt;mso-wrap-distance-bottom:0;mso-position-horizontal:absolute;mso-position-horizontal-relative:text;mso-position-vertical:absolute;mso-position-vertical-relative:text;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" path="m,l870157,1850897r1745371,c2615528,1850897,1745371,,1745371,l,xe" stroked="f" strokeweight=".35086mm">
                <v:fill opacity="21588f"/>
                <v:stroke joinstyle="miter"/>
                <v:path arrowok="t" o:connecttype="custom" o:connectlocs="0,0;869958,1850391;2614930,1850391;1744972,0;0,0" o:connectangles="0,0,0,0,0"/>
              </v:shape>
            </w:pict>
          </mc:Fallback>
        </mc:AlternateContent>
      </w:r>
      <w:r w:rsidR="00D57A75">
        <w:rPr>
          <w:noProof/>
        </w:rPr>
        <mc:AlternateContent>
          <mc:Choice Requires="wps">
            <w:drawing>
              <wp:anchor distT="0" distB="0" distL="114300" distR="114300" simplePos="0" relativeHeight="251658247" behindDoc="0" locked="0" layoutInCell="1" allowOverlap="1" wp14:anchorId="3FECC677" wp14:editId="3578F674">
                <wp:simplePos x="0" y="0"/>
                <wp:positionH relativeFrom="column">
                  <wp:posOffset>-1695381</wp:posOffset>
                </wp:positionH>
                <wp:positionV relativeFrom="paragraph">
                  <wp:posOffset>4606177</wp:posOffset>
                </wp:positionV>
                <wp:extent cx="1756410" cy="1468755"/>
                <wp:effectExtent l="0" t="0" r="0" b="0"/>
                <wp:wrapNone/>
                <wp:docPr id="37" name="Freeform: Shap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56410" cy="1468755"/>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 w14:anchorId="1437C6CC" id="Graphic-bottom left" o:spid="_x0000_s1026" alt="&quot;&quot;" style="position:absolute;margin-left:-133.5pt;margin-top:362.7pt;width:138.3pt;height:115.65pt;z-index:251666433;visibility:visible;mso-wrap-style:square;mso-wrap-distance-left:9pt;mso-wrap-distance-top:0;mso-wrap-distance-right:9pt;mso-wrap-distance-bottom:0;mso-position-horizontal:absolute;mso-position-horizontal-relative:text;mso-position-vertical:absolute;mso-position-vertical-relative:text;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" path="m,l,1100233r797909,l1317879,,,xe" fillcolor="#00b2a9" stroked="f">
                <v:stroke joinstyle="miter"/>
                <v:path arrowok="t" o:connecttype="custom" o:connectlocs="0,0;0,1468756;1063417,1468756;1756410,0;0,0" o:connectangles="0,0,0,0,0"/>
              </v:shape>
            </w:pict>
          </mc:Fallback>
        </mc:AlternateContent>
      </w:r>
      <w:r w:rsidR="00D57A75">
        <w:rPr>
          <w:noProof/>
        </w:rPr>
        <w:drawing>
          <wp:anchor distT="0" distB="0" distL="114300" distR="114300" simplePos="0" relativeHeight="251658248" behindDoc="0" locked="0" layoutInCell="1" allowOverlap="1" wp14:anchorId="68C0FFF2" wp14:editId="7D15F137">
            <wp:simplePos x="0" y="0"/>
            <wp:positionH relativeFrom="column">
              <wp:posOffset>2795138</wp:posOffset>
            </wp:positionH>
            <wp:positionV relativeFrom="paragraph">
              <wp:posOffset>5425515</wp:posOffset>
            </wp:positionV>
            <wp:extent cx="1799590" cy="549910"/>
            <wp:effectExtent l="0" t="0" r="0" b="2540"/>
            <wp:wrapNone/>
            <wp:docPr id="39" name="Graphic 39" descr="Logo: Victoria State Government Department of Transport and Planning">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 Victoria State Government Department of Transport and Planning" descr="Logo: Victoria State Government Department of Transport and Planning">
                      <a:extLst>
                        <a:ext uri="{FF2B5EF4-FFF2-40B4-BE49-F238E27FC236}">
                          <a16:creationId xmlns:a16="http://schemas.microsoft.com/office/drawing/2014/main" id="{D7EF04EB-0482-5775-6DD9-DFD8DBF5ADEF}"/>
                        </a:ext>
                      </a:extLst>
                    </pic:cNvPr>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99590" cy="549910"/>
                    </a:xfrm>
                    <a:prstGeom prst="rect">
                      <a:avLst/>
                    </a:prstGeom>
                  </pic:spPr>
                </pic:pic>
              </a:graphicData>
            </a:graphic>
          </wp:anchor>
        </w:drawing>
      </w:r>
      <w:r w:rsidR="00D57A75">
        <w:rPr>
          <w:noProof/>
        </w:rPr>
        <mc:AlternateContent>
          <mc:Choice Requires="wps">
            <w:drawing>
              <wp:anchor distT="0" distB="0" distL="114300" distR="114300" simplePos="0" relativeHeight="251658251" behindDoc="0" locked="0" layoutInCell="1" allowOverlap="1" wp14:anchorId="28C1EA13" wp14:editId="52B95BA2">
                <wp:simplePos x="0" y="0"/>
                <wp:positionH relativeFrom="column">
                  <wp:posOffset>5135459</wp:posOffset>
                </wp:positionH>
                <wp:positionV relativeFrom="paragraph">
                  <wp:posOffset>-4316013</wp:posOffset>
                </wp:positionV>
                <wp:extent cx="441325" cy="1550670"/>
                <wp:effectExtent l="0" t="0" r="0" b="0"/>
                <wp:wrapNone/>
                <wp:docPr id="41" name="Text Box 41">
                  <a:hlinkClick xmlns:a="http://schemas.openxmlformats.org/drawingml/2006/main" r:id="rId18"/>
                </wp:docPr>
                <wp:cNvGraphicFramePr/>
                <a:graphic xmlns:a="http://schemas.openxmlformats.org/drawingml/2006/main">
                  <a:graphicData uri="http://schemas.microsoft.com/office/word/2010/wordprocessingShape">
                    <wps:wsp>
                      <wps:cNvSpPr txBox="1"/>
                      <wps:spPr>
                        <a:xfrm rot="10800000">
                          <a:off x="0" y="0"/>
                          <a:ext cx="441325" cy="1550670"/>
                        </a:xfrm>
                        <a:prstGeom prst="rect">
                          <a:avLst/>
                        </a:prstGeom>
                        <a:solidFill>
                          <a:srgbClr val="00B2A9"/>
                        </a:solidFill>
                        <a:ln w="6350">
                          <a:noFill/>
                        </a:ln>
                      </wps:spPr>
                      <wps:txbx>
                        <w:txbxContent>
                          <w:p w14:paraId="573744A4" w14:textId="02782286" w:rsidR="00D57A75" w:rsidRPr="001C7537" w:rsidRDefault="000D53F8" w:rsidP="00DB35C5">
                            <w:pPr>
                              <w:spacing w:before="120" w:after="120"/>
                              <w:jc w:val="center"/>
                              <w:rPr>
                                <w:rFonts w:ascii="VIC" w:hAnsi="VIC"/>
                                <w:b/>
                                <w:bCs/>
                                <w:color w:val="FFFFFF" w:themeColor="background1"/>
                                <w:sz w:val="16"/>
                                <w:szCs w:val="16"/>
                              </w:rPr>
                            </w:pPr>
                            <w:hyperlink w:anchor="_1_Using_this" w:history="1">
                              <w:r w:rsidR="00D57A75" w:rsidRPr="001C7537">
                                <w:rPr>
                                  <w:rStyle w:val="Hyperlink"/>
                                  <w:rFonts w:ascii="VIC" w:hAnsi="VIC"/>
                                  <w:b/>
                                  <w:bCs/>
                                  <w:color w:val="FFFFFF" w:themeColor="background1"/>
                                  <w:sz w:val="16"/>
                                  <w:szCs w:val="16"/>
                                  <w:u w:val="none"/>
                                </w:rPr>
                                <w:t>1. U</w:t>
                              </w:r>
                              <w:r w:rsidR="005936AB" w:rsidRPr="001C7537">
                                <w:rPr>
                                  <w:rStyle w:val="Hyperlink"/>
                                  <w:rFonts w:ascii="VIC" w:hAnsi="VIC"/>
                                  <w:b/>
                                  <w:bCs/>
                                  <w:color w:val="FFFFFF" w:themeColor="background1"/>
                                  <w:sz w:val="16"/>
                                  <w:szCs w:val="16"/>
                                  <w:u w:val="none"/>
                                </w:rPr>
                                <w:t>SING THIS GUIDE</w:t>
                              </w:r>
                            </w:hyperlink>
                          </w:p>
                        </w:txbxContent>
                      </wps:txbx>
                      <wps:bodyPr rot="0" spcFirstLastPara="0" vertOverflow="overflow" horzOverflow="overflow" vert="vert" wrap="square" lIns="72000" tIns="72000" rIns="36000" bIns="288000" numCol="1" spcCol="0" rtlCol="0" fromWordArt="0" anchor="b" anchorCtr="0" forceAA="0" compatLnSpc="1">
                        <a:prstTxWarp prst="textNoShape">
                          <a:avLst/>
                        </a:prstTxWarp>
                        <a:noAutofit/>
                      </wps:bodyPr>
                    </wps:wsp>
                  </a:graphicData>
                </a:graphic>
              </wp:anchor>
            </w:drawing>
          </mc:Choice>
          <mc:Fallback>
            <w:pict>
              <v:shape w14:anchorId="28C1EA13" id="Text Box 41" o:spid="_x0000_s1031" type="#_x0000_t202" href="#_1_Using_this" style="position:absolute;margin-left:404.35pt;margin-top:-339.85pt;width:34.75pt;height:122.1pt;rotation:180;z-index:251658251;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" o:button="t" fillcolor="#00b2a9" stroked="f" strokeweight=".5pt">
                <v:fill o:detectmouseclick="t"/>
                <v:textbox style="layout-flow:vertical" inset="2mm,2mm,1mm,8mm">
                  <w:txbxContent>
                    <w:p w14:paraId="573744A4" w14:textId="02782286" w:rsidR="00D57A75" w:rsidRPr="001C7537" w:rsidRDefault="003D6FBF" w:rsidP="00DB35C5">
                      <w:pPr>
                        <w:spacing w:before="120" w:after="120"/>
                        <w:jc w:val="center"/>
                        <w:rPr>
                          <w:rFonts w:ascii="VIC" w:hAnsi="VIC"/>
                          <w:b/>
                          <w:bCs/>
                          <w:color w:val="FFFFFF" w:themeColor="background1"/>
                          <w:sz w:val="16"/>
                          <w:szCs w:val="16"/>
                        </w:rPr>
                      </w:pPr>
                      <w:hyperlink w:anchor="_1_Using_this" w:history="1">
                        <w:r w:rsidR="00D57A75" w:rsidRPr="001C7537">
                          <w:rPr>
                            <w:rStyle w:val="Hyperlink"/>
                            <w:rFonts w:ascii="VIC" w:hAnsi="VIC"/>
                            <w:b/>
                            <w:bCs/>
                            <w:color w:val="FFFFFF" w:themeColor="background1"/>
                            <w:sz w:val="16"/>
                            <w:szCs w:val="16"/>
                            <w:u w:val="none"/>
                          </w:rPr>
                          <w:t>1. U</w:t>
                        </w:r>
                        <w:r w:rsidR="005936AB" w:rsidRPr="001C7537">
                          <w:rPr>
                            <w:rStyle w:val="Hyperlink"/>
                            <w:rFonts w:ascii="VIC" w:hAnsi="VIC"/>
                            <w:b/>
                            <w:bCs/>
                            <w:color w:val="FFFFFF" w:themeColor="background1"/>
                            <w:sz w:val="16"/>
                            <w:szCs w:val="16"/>
                            <w:u w:val="none"/>
                          </w:rPr>
                          <w:t>SING THIS GUIDE</w:t>
                        </w:r>
                      </w:hyperlink>
                    </w:p>
                  </w:txbxContent>
                </v:textbox>
              </v:shape>
            </w:pict>
          </mc:Fallback>
        </mc:AlternateContent>
      </w:r>
      <w:r w:rsidR="00D57A75">
        <w:rPr>
          <w:noProof/>
        </w:rPr>
        <mc:AlternateContent>
          <mc:Choice Requires="wps">
            <w:drawing>
              <wp:anchor distT="0" distB="0" distL="114300" distR="114300" simplePos="0" relativeHeight="251658252" behindDoc="0" locked="0" layoutInCell="1" allowOverlap="1" wp14:anchorId="0334D416" wp14:editId="2BE420C6">
                <wp:simplePos x="0" y="0"/>
                <wp:positionH relativeFrom="column">
                  <wp:posOffset>5130932</wp:posOffset>
                </wp:positionH>
                <wp:positionV relativeFrom="paragraph">
                  <wp:posOffset>-2767871</wp:posOffset>
                </wp:positionV>
                <wp:extent cx="450850" cy="1452245"/>
                <wp:effectExtent l="0" t="0" r="6350" b="0"/>
                <wp:wrapNone/>
                <wp:docPr id="42" name="Text Box 42">
                  <a:hlinkClick xmlns:a="http://schemas.openxmlformats.org/drawingml/2006/main" r:id="rId19"/>
                </wp:docPr>
                <wp:cNvGraphicFramePr/>
                <a:graphic xmlns:a="http://schemas.openxmlformats.org/drawingml/2006/main">
                  <a:graphicData uri="http://schemas.microsoft.com/office/word/2010/wordprocessingShape">
                    <wps:wsp>
                      <wps:cNvSpPr txBox="1"/>
                      <wps:spPr>
                        <a:xfrm rot="10800000">
                          <a:off x="0" y="0"/>
                          <a:ext cx="450850" cy="1452245"/>
                        </a:xfrm>
                        <a:prstGeom prst="rect">
                          <a:avLst/>
                        </a:prstGeom>
                        <a:solidFill>
                          <a:srgbClr val="8DC6C0"/>
                        </a:solidFill>
                        <a:ln w="6350">
                          <a:noFill/>
                        </a:ln>
                      </wps:spPr>
                      <wps:txbx>
                        <w:txbxContent>
                          <w:p w14:paraId="0A8A0B64" w14:textId="409D5276" w:rsidR="00D57A75" w:rsidRPr="00E2090D" w:rsidRDefault="000D53F8" w:rsidP="008D0028">
                            <w:pPr>
                              <w:spacing w:before="80" w:after="120"/>
                              <w:jc w:val="center"/>
                              <w:rPr>
                                <w:rFonts w:ascii="VIC" w:hAnsi="VIC"/>
                                <w:b/>
                                <w:bCs/>
                                <w:color w:val="FFFFFF" w:themeColor="background1"/>
                                <w:sz w:val="16"/>
                                <w:szCs w:val="16"/>
                              </w:rPr>
                            </w:pPr>
                            <w:hyperlink w:anchor="_2_The_VPP" w:history="1">
                              <w:r w:rsidR="00D57A75" w:rsidRPr="00E2090D">
                                <w:rPr>
                                  <w:rStyle w:val="Hyperlink"/>
                                  <w:rFonts w:ascii="VIC" w:hAnsi="VIC"/>
                                  <w:b/>
                                  <w:bCs/>
                                  <w:color w:val="FFFFFF" w:themeColor="background1"/>
                                  <w:sz w:val="16"/>
                                  <w:szCs w:val="16"/>
                                  <w:u w:val="none"/>
                                </w:rPr>
                                <w:t>2.  THE VPP AND</w:t>
                              </w:r>
                              <w:r w:rsidR="008D0028" w:rsidRPr="00E2090D">
                                <w:rPr>
                                  <w:rStyle w:val="Hyperlink"/>
                                  <w:rFonts w:ascii="VIC" w:hAnsi="VIC"/>
                                  <w:b/>
                                  <w:bCs/>
                                  <w:color w:val="FFFFFF" w:themeColor="background1"/>
                                  <w:sz w:val="16"/>
                                  <w:szCs w:val="16"/>
                                  <w:u w:val="none"/>
                                </w:rPr>
                                <w:t xml:space="preserve">          </w:t>
                              </w:r>
                              <w:r w:rsidR="00D57A75" w:rsidRPr="00E2090D">
                                <w:rPr>
                                  <w:rStyle w:val="Hyperlink"/>
                                  <w:rFonts w:ascii="VIC" w:hAnsi="VIC"/>
                                  <w:b/>
                                  <w:bCs/>
                                  <w:color w:val="FFFFFF" w:themeColor="background1"/>
                                  <w:sz w:val="16"/>
                                  <w:szCs w:val="16"/>
                                  <w:u w:val="none"/>
                                </w:rPr>
                                <w:t xml:space="preserve"> PLANNING SCHEMES</w:t>
                              </w:r>
                            </w:hyperlink>
                          </w:p>
                        </w:txbxContent>
                      </wps:txbx>
                      <wps:bodyPr rot="0" spcFirstLastPara="0" vertOverflow="overflow" horzOverflow="overflow" vert="vert" wrap="square" lIns="91440" tIns="36000" rIns="36000" bIns="45720" numCol="1" spcCol="0" rtlCol="0" fromWordArt="0" anchor="t" anchorCtr="0" forceAA="0" compatLnSpc="1">
                        <a:prstTxWarp prst="textNoShape">
                          <a:avLst/>
                        </a:prstTxWarp>
                        <a:noAutofit/>
                      </wps:bodyPr>
                    </wps:wsp>
                  </a:graphicData>
                </a:graphic>
              </wp:anchor>
            </w:drawing>
          </mc:Choice>
          <mc:Fallback>
            <w:pict>
              <v:shape w14:anchorId="0334D416" id="Text Box 42" o:spid="_x0000_s1032" type="#_x0000_t202" href="#_2_The_VPP" style="position:absolute;margin-left:404pt;margin-top:-217.95pt;width:35.5pt;height:114.35pt;rotation:180;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" o:button="t" fillcolor="#8dc6c0" stroked="f" strokeweight=".5pt">
                <v:fill o:detectmouseclick="t"/>
                <v:textbox style="layout-flow:vertical" inset=",1mm,1mm">
                  <w:txbxContent>
                    <w:p w14:paraId="0A8A0B64" w14:textId="409D5276" w:rsidR="00D57A75" w:rsidRPr="00E2090D" w:rsidRDefault="003D6FBF" w:rsidP="008D0028">
                      <w:pPr>
                        <w:spacing w:before="80" w:after="120"/>
                        <w:jc w:val="center"/>
                        <w:rPr>
                          <w:rFonts w:ascii="VIC" w:hAnsi="VIC"/>
                          <w:b/>
                          <w:bCs/>
                          <w:color w:val="FFFFFF" w:themeColor="background1"/>
                          <w:sz w:val="16"/>
                          <w:szCs w:val="16"/>
                        </w:rPr>
                      </w:pPr>
                      <w:hyperlink w:anchor="_2_The_VPP" w:history="1">
                        <w:r w:rsidR="00D57A75" w:rsidRPr="00E2090D">
                          <w:rPr>
                            <w:rStyle w:val="Hyperlink"/>
                            <w:rFonts w:ascii="VIC" w:hAnsi="VIC"/>
                            <w:b/>
                            <w:bCs/>
                            <w:color w:val="FFFFFF" w:themeColor="background1"/>
                            <w:sz w:val="16"/>
                            <w:szCs w:val="16"/>
                            <w:u w:val="none"/>
                          </w:rPr>
                          <w:t>2.  THE VPP AND</w:t>
                        </w:r>
                        <w:r w:rsidR="008D0028" w:rsidRPr="00E2090D">
                          <w:rPr>
                            <w:rStyle w:val="Hyperlink"/>
                            <w:rFonts w:ascii="VIC" w:hAnsi="VIC"/>
                            <w:b/>
                            <w:bCs/>
                            <w:color w:val="FFFFFF" w:themeColor="background1"/>
                            <w:sz w:val="16"/>
                            <w:szCs w:val="16"/>
                            <w:u w:val="none"/>
                          </w:rPr>
                          <w:t xml:space="preserve">          </w:t>
                        </w:r>
                        <w:r w:rsidR="00D57A75" w:rsidRPr="00E2090D">
                          <w:rPr>
                            <w:rStyle w:val="Hyperlink"/>
                            <w:rFonts w:ascii="VIC" w:hAnsi="VIC"/>
                            <w:b/>
                            <w:bCs/>
                            <w:color w:val="FFFFFF" w:themeColor="background1"/>
                            <w:sz w:val="16"/>
                            <w:szCs w:val="16"/>
                            <w:u w:val="none"/>
                          </w:rPr>
                          <w:t xml:space="preserve"> PLANNING SCHEMES</w:t>
                        </w:r>
                      </w:hyperlink>
                    </w:p>
                  </w:txbxContent>
                </v:textbox>
              </v:shape>
            </w:pict>
          </mc:Fallback>
        </mc:AlternateContent>
      </w:r>
      <w:r w:rsidR="00D57A75">
        <w:rPr>
          <w:noProof/>
        </w:rPr>
        <mc:AlternateContent>
          <mc:Choice Requires="wps">
            <w:drawing>
              <wp:anchor distT="0" distB="0" distL="114300" distR="114300" simplePos="0" relativeHeight="251658253" behindDoc="0" locked="0" layoutInCell="1" allowOverlap="1" wp14:anchorId="7F9EBA43" wp14:editId="3D79CF54">
                <wp:simplePos x="0" y="0"/>
                <wp:positionH relativeFrom="column">
                  <wp:posOffset>5130932</wp:posOffset>
                </wp:positionH>
                <wp:positionV relativeFrom="paragraph">
                  <wp:posOffset>-1310263</wp:posOffset>
                </wp:positionV>
                <wp:extent cx="450850" cy="1359535"/>
                <wp:effectExtent l="0" t="0" r="6350" b="0"/>
                <wp:wrapNone/>
                <wp:docPr id="43" name="Text Box 43"/>
                <wp:cNvGraphicFramePr/>
                <a:graphic xmlns:a="http://schemas.openxmlformats.org/drawingml/2006/main">
                  <a:graphicData uri="http://schemas.microsoft.com/office/word/2010/wordprocessingShape">
                    <wps:wsp>
                      <wps:cNvSpPr txBox="1"/>
                      <wps:spPr>
                        <a:xfrm rot="10800000">
                          <a:off x="0" y="0"/>
                          <a:ext cx="450850" cy="1359535"/>
                        </a:xfrm>
                        <a:prstGeom prst="rect">
                          <a:avLst/>
                        </a:prstGeom>
                        <a:solidFill>
                          <a:srgbClr val="00B2A9"/>
                        </a:solidFill>
                        <a:ln w="6350">
                          <a:noFill/>
                        </a:ln>
                      </wps:spPr>
                      <wps:txbx>
                        <w:txbxContent>
                          <w:p w14:paraId="7514EDBF" w14:textId="163DC7CF" w:rsidR="00D57A75" w:rsidRPr="00E2090D" w:rsidRDefault="000D53F8" w:rsidP="00335923">
                            <w:pPr>
                              <w:spacing w:before="20" w:after="80"/>
                              <w:jc w:val="center"/>
                              <w:rPr>
                                <w:rFonts w:ascii="VIC" w:hAnsi="VIC"/>
                                <w:b/>
                                <w:bCs/>
                                <w:color w:val="FFFFFF" w:themeColor="background1"/>
                                <w:sz w:val="16"/>
                                <w:szCs w:val="16"/>
                              </w:rPr>
                            </w:pPr>
                            <w:hyperlink w:anchor="_3_How_provisions_1" w:history="1">
                              <w:r w:rsidR="00D57A75" w:rsidRPr="00E2090D">
                                <w:rPr>
                                  <w:rStyle w:val="Hyperlink"/>
                                  <w:rFonts w:ascii="VIC" w:hAnsi="VIC"/>
                                  <w:b/>
                                  <w:bCs/>
                                  <w:color w:val="FFFFFF" w:themeColor="background1"/>
                                  <w:sz w:val="16"/>
                                  <w:szCs w:val="16"/>
                                  <w:u w:val="none"/>
                                </w:rPr>
                                <w:t>3.  HOW PROVISIONS WORK</w:t>
                              </w:r>
                            </w:hyperlink>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9EBA43" id="Text Box 43" o:spid="_x0000_s1033" type="#_x0000_t202" style="position:absolute;margin-left:404pt;margin-top:-103.15pt;width:35.5pt;height:107.05pt;rotation:180;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" fillcolor="#00b2a9" stroked="f" strokeweight=".5pt">
                <v:textbox style="layout-flow:vertical">
                  <w:txbxContent>
                    <w:p w14:paraId="7514EDBF" w14:textId="163DC7CF" w:rsidR="00D57A75" w:rsidRPr="00E2090D" w:rsidRDefault="003D6FBF" w:rsidP="00335923">
                      <w:pPr>
                        <w:spacing w:before="20" w:after="80"/>
                        <w:jc w:val="center"/>
                        <w:rPr>
                          <w:rFonts w:ascii="VIC" w:hAnsi="VIC"/>
                          <w:b/>
                          <w:bCs/>
                          <w:color w:val="FFFFFF" w:themeColor="background1"/>
                          <w:sz w:val="16"/>
                          <w:szCs w:val="16"/>
                        </w:rPr>
                      </w:pPr>
                      <w:hyperlink w:anchor="_3_How_provisions_1" w:history="1">
                        <w:r w:rsidR="00D57A75" w:rsidRPr="00E2090D">
                          <w:rPr>
                            <w:rStyle w:val="Hyperlink"/>
                            <w:rFonts w:ascii="VIC" w:hAnsi="VIC"/>
                            <w:b/>
                            <w:bCs/>
                            <w:color w:val="FFFFFF" w:themeColor="background1"/>
                            <w:sz w:val="16"/>
                            <w:szCs w:val="16"/>
                            <w:u w:val="none"/>
                          </w:rPr>
                          <w:t>3.  HOW PROVISIONS WORK</w:t>
                        </w:r>
                      </w:hyperlink>
                    </w:p>
                  </w:txbxContent>
                </v:textbox>
              </v:shape>
            </w:pict>
          </mc:Fallback>
        </mc:AlternateContent>
      </w:r>
      <w:r w:rsidR="00D57A75">
        <w:rPr>
          <w:noProof/>
        </w:rPr>
        <mc:AlternateContent>
          <mc:Choice Requires="wps">
            <w:drawing>
              <wp:anchor distT="0" distB="0" distL="114300" distR="114300" simplePos="0" relativeHeight="251658254" behindDoc="0" locked="0" layoutInCell="1" allowOverlap="1" wp14:anchorId="607DADEE" wp14:editId="4084D490">
                <wp:simplePos x="0" y="0"/>
                <wp:positionH relativeFrom="column">
                  <wp:posOffset>5126405</wp:posOffset>
                </wp:positionH>
                <wp:positionV relativeFrom="paragraph">
                  <wp:posOffset>47757</wp:posOffset>
                </wp:positionV>
                <wp:extent cx="450850" cy="1533525"/>
                <wp:effectExtent l="0" t="0" r="6350" b="9525"/>
                <wp:wrapNone/>
                <wp:docPr id="44" name="Text Box 44">
                  <a:hlinkClick xmlns:a="http://schemas.openxmlformats.org/drawingml/2006/main" r:id="rId20"/>
                </wp:docPr>
                <wp:cNvGraphicFramePr/>
                <a:graphic xmlns:a="http://schemas.openxmlformats.org/drawingml/2006/main">
                  <a:graphicData uri="http://schemas.microsoft.com/office/word/2010/wordprocessingShape">
                    <wps:wsp>
                      <wps:cNvSpPr txBox="1"/>
                      <wps:spPr>
                        <a:xfrm rot="10800000">
                          <a:off x="0" y="0"/>
                          <a:ext cx="450850" cy="1533525"/>
                        </a:xfrm>
                        <a:prstGeom prst="rect">
                          <a:avLst/>
                        </a:prstGeom>
                        <a:solidFill>
                          <a:srgbClr val="8DC6C0"/>
                        </a:solidFill>
                        <a:ln w="6350">
                          <a:noFill/>
                        </a:ln>
                      </wps:spPr>
                      <wps:txbx>
                        <w:txbxContent>
                          <w:p w14:paraId="5A4ECA15" w14:textId="4916DC87" w:rsidR="00D57A75" w:rsidRPr="00E2090D" w:rsidRDefault="000D53F8" w:rsidP="00335923">
                            <w:pPr>
                              <w:spacing w:before="40" w:after="40"/>
                              <w:jc w:val="center"/>
                              <w:rPr>
                                <w:rFonts w:ascii="VIC" w:hAnsi="VIC"/>
                                <w:b/>
                                <w:bCs/>
                                <w:color w:val="FFFFFF" w:themeColor="background1"/>
                                <w:sz w:val="15"/>
                                <w:szCs w:val="15"/>
                              </w:rPr>
                            </w:pPr>
                            <w:hyperlink w:anchor="_4_Rules_for" w:history="1">
                              <w:r w:rsidR="00D57A75" w:rsidRPr="00E2090D">
                                <w:rPr>
                                  <w:rStyle w:val="Hyperlink"/>
                                  <w:rFonts w:ascii="VIC" w:hAnsi="VIC"/>
                                  <w:b/>
                                  <w:bCs/>
                                  <w:color w:val="FFFFFF" w:themeColor="background1"/>
                                  <w:sz w:val="14"/>
                                  <w:szCs w:val="14"/>
                                  <w:u w:val="none"/>
                                </w:rPr>
                                <w:t xml:space="preserve">4.  </w:t>
                              </w:r>
                              <w:r w:rsidR="006F6FC9" w:rsidRPr="00E2090D">
                                <w:rPr>
                                  <w:rStyle w:val="Hyperlink"/>
                                  <w:rFonts w:ascii="VIC" w:hAnsi="VIC"/>
                                  <w:b/>
                                  <w:bCs/>
                                  <w:color w:val="FFFFFF" w:themeColor="background1"/>
                                  <w:sz w:val="14"/>
                                  <w:szCs w:val="14"/>
                                  <w:u w:val="none"/>
                                </w:rPr>
                                <w:t xml:space="preserve">RULES FOR </w:t>
                              </w:r>
                              <w:r w:rsidR="00D57A75" w:rsidRPr="00E2090D">
                                <w:rPr>
                                  <w:rStyle w:val="Hyperlink"/>
                                  <w:rFonts w:ascii="VIC" w:hAnsi="VIC"/>
                                  <w:b/>
                                  <w:bCs/>
                                  <w:color w:val="FFFFFF" w:themeColor="background1"/>
                                  <w:sz w:val="14"/>
                                  <w:szCs w:val="14"/>
                                  <w:u w:val="none"/>
                                </w:rPr>
                                <w:t>WRITING A PLANNING SCHEME</w:t>
                              </w:r>
                              <w:r w:rsidR="00D57A75" w:rsidRPr="00E2090D">
                                <w:rPr>
                                  <w:rStyle w:val="Hyperlink"/>
                                  <w:rFonts w:ascii="VIC" w:hAnsi="VIC"/>
                                  <w:b/>
                                  <w:bCs/>
                                  <w:color w:val="FFFFFF" w:themeColor="background1"/>
                                  <w:sz w:val="15"/>
                                  <w:szCs w:val="15"/>
                                  <w:u w:val="none"/>
                                </w:rPr>
                                <w:t xml:space="preserve"> PROVISION</w:t>
                              </w:r>
                            </w:hyperlink>
                          </w:p>
                        </w:txbxContent>
                      </wps:txbx>
                      <wps:bodyPr rot="0" spcFirstLastPara="0" vertOverflow="overflow" horzOverflow="overflow" vert="vert" wrap="square" lIns="91440" tIns="36000" rIns="36000" bIns="45720" numCol="1" spcCol="0" rtlCol="0" fromWordArt="0" anchor="t" anchorCtr="0" forceAA="0" compatLnSpc="1">
                        <a:prstTxWarp prst="textNoShape">
                          <a:avLst/>
                        </a:prstTxWarp>
                        <a:noAutofit/>
                      </wps:bodyPr>
                    </wps:wsp>
                  </a:graphicData>
                </a:graphic>
              </wp:anchor>
            </w:drawing>
          </mc:Choice>
          <mc:Fallback>
            <w:pict>
              <v:shape w14:anchorId="607DADEE" id="Text Box 44" o:spid="_x0000_s1034" type="#_x0000_t202" href="#_4_Rules_for" style="position:absolute;margin-left:403.65pt;margin-top:3.75pt;width:35.5pt;height:120.75pt;rotation:180;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" o:button="t" fillcolor="#8dc6c0" stroked="f" strokeweight=".5pt">
                <v:fill o:detectmouseclick="t"/>
                <v:textbox style="layout-flow:vertical" inset=",1mm,1mm">
                  <w:txbxContent>
                    <w:p w14:paraId="5A4ECA15" w14:textId="4916DC87" w:rsidR="00D57A75" w:rsidRPr="00E2090D" w:rsidRDefault="003D6FBF" w:rsidP="00335923">
                      <w:pPr>
                        <w:spacing w:before="40" w:after="40"/>
                        <w:jc w:val="center"/>
                        <w:rPr>
                          <w:rFonts w:ascii="VIC" w:hAnsi="VIC"/>
                          <w:b/>
                          <w:bCs/>
                          <w:color w:val="FFFFFF" w:themeColor="background1"/>
                          <w:sz w:val="15"/>
                          <w:szCs w:val="15"/>
                        </w:rPr>
                      </w:pPr>
                      <w:hyperlink w:anchor="_4_Rules_for" w:history="1">
                        <w:r w:rsidR="00D57A75" w:rsidRPr="00E2090D">
                          <w:rPr>
                            <w:rStyle w:val="Hyperlink"/>
                            <w:rFonts w:ascii="VIC" w:hAnsi="VIC"/>
                            <w:b/>
                            <w:bCs/>
                            <w:color w:val="FFFFFF" w:themeColor="background1"/>
                            <w:sz w:val="14"/>
                            <w:szCs w:val="14"/>
                            <w:u w:val="none"/>
                          </w:rPr>
                          <w:t xml:space="preserve">4.  </w:t>
                        </w:r>
                        <w:r w:rsidR="006F6FC9" w:rsidRPr="00E2090D">
                          <w:rPr>
                            <w:rStyle w:val="Hyperlink"/>
                            <w:rFonts w:ascii="VIC" w:hAnsi="VIC"/>
                            <w:b/>
                            <w:bCs/>
                            <w:color w:val="FFFFFF" w:themeColor="background1"/>
                            <w:sz w:val="14"/>
                            <w:szCs w:val="14"/>
                            <w:u w:val="none"/>
                          </w:rPr>
                          <w:t xml:space="preserve">RULES FOR </w:t>
                        </w:r>
                        <w:r w:rsidR="00D57A75" w:rsidRPr="00E2090D">
                          <w:rPr>
                            <w:rStyle w:val="Hyperlink"/>
                            <w:rFonts w:ascii="VIC" w:hAnsi="VIC"/>
                            <w:b/>
                            <w:bCs/>
                            <w:color w:val="FFFFFF" w:themeColor="background1"/>
                            <w:sz w:val="14"/>
                            <w:szCs w:val="14"/>
                            <w:u w:val="none"/>
                          </w:rPr>
                          <w:t>WRITING A PLANNING SCHEME</w:t>
                        </w:r>
                        <w:r w:rsidR="00D57A75" w:rsidRPr="00E2090D">
                          <w:rPr>
                            <w:rStyle w:val="Hyperlink"/>
                            <w:rFonts w:ascii="VIC" w:hAnsi="VIC"/>
                            <w:b/>
                            <w:bCs/>
                            <w:color w:val="FFFFFF" w:themeColor="background1"/>
                            <w:sz w:val="15"/>
                            <w:szCs w:val="15"/>
                            <w:u w:val="none"/>
                          </w:rPr>
                          <w:t xml:space="preserve"> PROVISION</w:t>
                        </w:r>
                      </w:hyperlink>
                    </w:p>
                  </w:txbxContent>
                </v:textbox>
              </v:shape>
            </w:pict>
          </mc:Fallback>
        </mc:AlternateContent>
      </w:r>
    </w:p>
    <w:p w14:paraId="489C716A" w14:textId="77777777" w:rsidR="001A6E1A" w:rsidRDefault="001A6E1A" w:rsidP="00DB35C5">
      <w:pPr>
        <w:pStyle w:val="Heading3nonumber"/>
        <w:spacing w:before="120" w:after="120"/>
        <w:jc w:val="center"/>
        <w:outlineLvl w:val="9"/>
        <w:sectPr w:rsidR="001A6E1A" w:rsidSect="00153B1A">
          <w:footerReference w:type="even" r:id="rId21"/>
          <w:footerReference w:type="first" r:id="rId22"/>
          <w:pgSz w:w="11906" w:h="16838" w:code="9"/>
          <w:pgMar w:top="6804" w:right="1700" w:bottom="3402" w:left="3119" w:header="454" w:footer="454" w:gutter="0"/>
          <w:cols w:space="720"/>
          <w:noEndnote/>
        </w:sectPr>
      </w:pPr>
    </w:p>
    <w:p w14:paraId="489C716B" w14:textId="140F29A4" w:rsidR="00DC2411" w:rsidRPr="001D5C7E" w:rsidRDefault="003B2A5D" w:rsidP="00F15CC7">
      <w:pPr>
        <w:pStyle w:val="Heading1small"/>
      </w:pPr>
      <w:r>
        <w:lastRenderedPageBreak/>
        <w:t>Acronyms</w:t>
      </w:r>
    </w:p>
    <w:p w14:paraId="48057DEF" w14:textId="34149549" w:rsidR="008B4AFC" w:rsidRPr="007F3A8F" w:rsidRDefault="008B4AFC" w:rsidP="002E55BC">
      <w:pPr>
        <w:pStyle w:val="BodyText1"/>
        <w:rPr>
          <w:rStyle w:val="Strong"/>
          <w:b/>
          <w:bCs/>
        </w:rPr>
      </w:pPr>
      <w:r w:rsidRPr="007F3A8F">
        <w:rPr>
          <w:rStyle w:val="Strong"/>
        </w:rPr>
        <w:t xml:space="preserve">In this guide, the following </w:t>
      </w:r>
      <w:r w:rsidR="00213D28">
        <w:rPr>
          <w:rStyle w:val="Strong"/>
        </w:rPr>
        <w:t xml:space="preserve">key </w:t>
      </w:r>
      <w:r w:rsidRPr="007F3A8F">
        <w:rPr>
          <w:rStyle w:val="Strong"/>
        </w:rPr>
        <w:t xml:space="preserve">terms </w:t>
      </w:r>
      <w:r w:rsidR="007F3A8F" w:rsidRPr="007F3A8F">
        <w:rPr>
          <w:rStyle w:val="Strong"/>
        </w:rPr>
        <w:t>are abbreviated</w:t>
      </w:r>
      <w:r w:rsidR="00213D28">
        <w:rPr>
          <w:rStyle w:val="Strong"/>
        </w:rPr>
        <w:t xml:space="preserve"> as</w:t>
      </w:r>
      <w:r w:rsidR="00A46818">
        <w:rPr>
          <w:rStyle w:val="Strong"/>
        </w:rPr>
        <w:t xml:space="preserve"> follows</w:t>
      </w:r>
      <w:r w:rsidR="00213D28">
        <w:rPr>
          <w:rStyle w:val="Strong"/>
        </w:rPr>
        <w:t>:</w:t>
      </w:r>
    </w:p>
    <w:p w14:paraId="489C716C" w14:textId="3364B910" w:rsidR="00DC2411" w:rsidRPr="005A2258" w:rsidRDefault="005A2258" w:rsidP="00A705A5">
      <w:pPr>
        <w:pStyle w:val="BodyText1"/>
        <w:numPr>
          <w:ilvl w:val="0"/>
          <w:numId w:val="25"/>
        </w:numPr>
      </w:pPr>
      <w:r w:rsidRPr="007522D7">
        <w:rPr>
          <w:rStyle w:val="Strong"/>
          <w:b/>
          <w:bCs/>
        </w:rPr>
        <w:t>The Act</w:t>
      </w:r>
      <w:r w:rsidRPr="007522D7">
        <w:rPr>
          <w:b/>
          <w:bCs/>
        </w:rPr>
        <w:tab/>
      </w:r>
      <w:r w:rsidR="009B29D0">
        <w:tab/>
      </w:r>
      <w:proofErr w:type="gramStart"/>
      <w:r w:rsidR="00AB2C0B" w:rsidRPr="005A2258">
        <w:t>The</w:t>
      </w:r>
      <w:proofErr w:type="gramEnd"/>
      <w:r w:rsidR="00AB2C0B" w:rsidRPr="005A2258">
        <w:rPr>
          <w:rStyle w:val="Emphasis"/>
          <w:i w:val="0"/>
          <w:iCs w:val="0"/>
        </w:rPr>
        <w:t xml:space="preserve"> </w:t>
      </w:r>
      <w:r w:rsidR="00AB2C0B" w:rsidRPr="005A2258">
        <w:rPr>
          <w:rStyle w:val="Emphasis"/>
          <w:iCs w:val="0"/>
        </w:rPr>
        <w:t>Planning and Environment Act 1987</w:t>
      </w:r>
      <w:r w:rsidR="002051F0" w:rsidRPr="005A2258">
        <w:rPr>
          <w:rStyle w:val="Emphasis"/>
          <w:iCs w:val="0"/>
        </w:rPr>
        <w:tab/>
      </w:r>
    </w:p>
    <w:p w14:paraId="489C716D" w14:textId="454AEE84" w:rsidR="00DC2411" w:rsidRPr="005A2258" w:rsidRDefault="005A2258" w:rsidP="00A705A5">
      <w:pPr>
        <w:pStyle w:val="BodyText1"/>
        <w:numPr>
          <w:ilvl w:val="0"/>
          <w:numId w:val="25"/>
        </w:numPr>
      </w:pPr>
      <w:proofErr w:type="gramStart"/>
      <w:r w:rsidRPr="005A2258">
        <w:rPr>
          <w:b/>
          <w:bCs/>
        </w:rPr>
        <w:t>MPS</w:t>
      </w:r>
      <w:r w:rsidRPr="005A2258">
        <w:t xml:space="preserve">  </w:t>
      </w:r>
      <w:r>
        <w:tab/>
      </w:r>
      <w:proofErr w:type="gramEnd"/>
      <w:r w:rsidR="009B29D0">
        <w:tab/>
      </w:r>
      <w:r w:rsidR="00AB2C0B" w:rsidRPr="005A2258">
        <w:t>Municipal Planning Strategy</w:t>
      </w:r>
      <w:r w:rsidR="00950994" w:rsidRPr="005A2258">
        <w:tab/>
      </w:r>
    </w:p>
    <w:p w14:paraId="489C716E" w14:textId="66AD1398" w:rsidR="00DC2411" w:rsidRPr="005A2258" w:rsidRDefault="005A2258" w:rsidP="00A705A5">
      <w:pPr>
        <w:pStyle w:val="BodyText1"/>
        <w:numPr>
          <w:ilvl w:val="0"/>
          <w:numId w:val="25"/>
        </w:numPr>
      </w:pPr>
      <w:proofErr w:type="gramStart"/>
      <w:r w:rsidRPr="005A2258">
        <w:rPr>
          <w:b/>
          <w:bCs/>
        </w:rPr>
        <w:t>PPF</w:t>
      </w:r>
      <w:r w:rsidRPr="005A2258">
        <w:t xml:space="preserve">  </w:t>
      </w:r>
      <w:r>
        <w:tab/>
      </w:r>
      <w:proofErr w:type="gramEnd"/>
      <w:r w:rsidR="009B29D0">
        <w:tab/>
      </w:r>
      <w:r w:rsidR="00AB2C0B" w:rsidRPr="005A2258">
        <w:t>Planning Policy Framework</w:t>
      </w:r>
      <w:r w:rsidR="000A5A46" w:rsidRPr="005A2258">
        <w:tab/>
      </w:r>
    </w:p>
    <w:p w14:paraId="489C716F" w14:textId="18D59FAA" w:rsidR="00DC2411" w:rsidRPr="005A2258" w:rsidRDefault="005A2258" w:rsidP="00A705A5">
      <w:pPr>
        <w:pStyle w:val="BodyText1"/>
        <w:numPr>
          <w:ilvl w:val="0"/>
          <w:numId w:val="25"/>
        </w:numPr>
      </w:pPr>
      <w:proofErr w:type="gramStart"/>
      <w:r w:rsidRPr="005A2258">
        <w:rPr>
          <w:b/>
          <w:bCs/>
        </w:rPr>
        <w:t xml:space="preserve">PPN </w:t>
      </w:r>
      <w:r w:rsidRPr="005A2258">
        <w:t xml:space="preserve"> </w:t>
      </w:r>
      <w:r>
        <w:tab/>
      </w:r>
      <w:proofErr w:type="gramEnd"/>
      <w:r w:rsidR="009B29D0">
        <w:tab/>
      </w:r>
      <w:r w:rsidR="00AB2C0B" w:rsidRPr="005A2258">
        <w:t>Planning Practice Note</w:t>
      </w:r>
      <w:r w:rsidR="000A5A46" w:rsidRPr="005A2258">
        <w:tab/>
      </w:r>
    </w:p>
    <w:p w14:paraId="58035A8D" w14:textId="565AF062" w:rsidR="003369E4" w:rsidRDefault="005A2258" w:rsidP="00A705A5">
      <w:pPr>
        <w:pStyle w:val="BodyText1"/>
        <w:numPr>
          <w:ilvl w:val="0"/>
          <w:numId w:val="25"/>
        </w:numPr>
        <w:rPr>
          <w:rStyle w:val="Strong"/>
        </w:rPr>
      </w:pPr>
      <w:proofErr w:type="gramStart"/>
      <w:r w:rsidRPr="005A2258">
        <w:rPr>
          <w:b/>
          <w:bCs/>
        </w:rPr>
        <w:t>VPP</w:t>
      </w:r>
      <w:r w:rsidRPr="005A2258">
        <w:t xml:space="preserve">  </w:t>
      </w:r>
      <w:r>
        <w:tab/>
      </w:r>
      <w:proofErr w:type="gramEnd"/>
      <w:r w:rsidR="009B29D0">
        <w:tab/>
      </w:r>
      <w:r w:rsidR="003369E4" w:rsidRPr="005A2258">
        <w:t>Victoria Planning Provisions</w:t>
      </w:r>
      <w:r w:rsidR="000A5A46">
        <w:tab/>
      </w:r>
    </w:p>
    <w:p w14:paraId="1D39728B" w14:textId="5E7C0CC9" w:rsidR="003369E4" w:rsidRPr="003369E4" w:rsidRDefault="003369E4" w:rsidP="003369E4">
      <w:pPr>
        <w:pStyle w:val="Heading1small"/>
      </w:pPr>
      <w:r w:rsidRPr="003369E4">
        <w:t>Glossary</w:t>
      </w:r>
    </w:p>
    <w:p w14:paraId="69C2DE94" w14:textId="6D22D202" w:rsidR="006827C6" w:rsidRDefault="006827C6" w:rsidP="002E55BC">
      <w:pPr>
        <w:pStyle w:val="BodyText1"/>
        <w:rPr>
          <w:rStyle w:val="Strong"/>
        </w:rPr>
      </w:pPr>
      <w:r w:rsidRPr="006827C6">
        <w:rPr>
          <w:rStyle w:val="Strong"/>
        </w:rPr>
        <w:t>In this guid</w:t>
      </w:r>
      <w:r w:rsidR="00E35EBE">
        <w:rPr>
          <w:rStyle w:val="Strong"/>
        </w:rPr>
        <w:t>e, the terms below are defined as</w:t>
      </w:r>
      <w:r w:rsidR="00491D65">
        <w:rPr>
          <w:rStyle w:val="Strong"/>
        </w:rPr>
        <w:t xml:space="preserve"> follows</w:t>
      </w:r>
      <w:r>
        <w:rPr>
          <w:rStyle w:val="Strong"/>
        </w:rPr>
        <w:t>:</w:t>
      </w:r>
    </w:p>
    <w:p w14:paraId="489C7170" w14:textId="7F4CF8F1" w:rsidR="00DC2411" w:rsidRDefault="00AB2C0B" w:rsidP="00E826CE">
      <w:pPr>
        <w:pStyle w:val="DELWPbullet1"/>
      </w:pPr>
      <w:r w:rsidRPr="007522D7">
        <w:rPr>
          <w:rStyle w:val="Strong"/>
          <w:b/>
          <w:bCs/>
        </w:rPr>
        <w:t>provision</w:t>
      </w:r>
      <w:r w:rsidRPr="001E2504">
        <w:rPr>
          <w:rStyle w:val="Strong"/>
        </w:rPr>
        <w:t xml:space="preserve"> </w:t>
      </w:r>
      <w:r w:rsidR="00B32712">
        <w:rPr>
          <w:rStyle w:val="Strong"/>
        </w:rPr>
        <w:t xml:space="preserve">- </w:t>
      </w:r>
      <w:r w:rsidRPr="001E2504">
        <w:t>Any provision in a planning scheme, whether a policy or a requirement</w:t>
      </w:r>
    </w:p>
    <w:p w14:paraId="42C3D577" w14:textId="25EADC19" w:rsidR="00F54413" w:rsidRPr="001E2504" w:rsidRDefault="00F54413" w:rsidP="00E826CE">
      <w:pPr>
        <w:pStyle w:val="DELWPbullet1"/>
      </w:pPr>
      <w:r w:rsidRPr="007522D7">
        <w:rPr>
          <w:rStyle w:val="Strong"/>
          <w:b/>
          <w:bCs/>
        </w:rPr>
        <w:t>parent</w:t>
      </w:r>
      <w:r w:rsidRPr="007522D7">
        <w:rPr>
          <w:b/>
          <w:bCs/>
        </w:rPr>
        <w:t xml:space="preserve"> provision</w:t>
      </w:r>
      <w:r w:rsidR="00E826CE">
        <w:t xml:space="preserve"> </w:t>
      </w:r>
      <w:r w:rsidR="00B32712">
        <w:t xml:space="preserve">- </w:t>
      </w:r>
      <w:r w:rsidR="00206020">
        <w:t xml:space="preserve">A VPP provision in a planning scheme </w:t>
      </w:r>
      <w:r w:rsidR="008F480D">
        <w:t>(</w:t>
      </w:r>
      <w:r w:rsidR="00206020">
        <w:t xml:space="preserve">as opposed to a </w:t>
      </w:r>
      <w:r w:rsidR="00172984" w:rsidRPr="00D70759">
        <w:t xml:space="preserve">local </w:t>
      </w:r>
      <w:r w:rsidR="005635DC">
        <w:t>schedule</w:t>
      </w:r>
      <w:r w:rsidR="00B32712">
        <w:t xml:space="preserve"> </w:t>
      </w:r>
      <w:r w:rsidR="00CB5927">
        <w:t>p</w:t>
      </w:r>
      <w:r w:rsidR="00172984" w:rsidRPr="00D70759">
        <w:t>rovision</w:t>
      </w:r>
      <w:r w:rsidR="008F480D">
        <w:t>)</w:t>
      </w:r>
    </w:p>
    <w:p w14:paraId="489C7171" w14:textId="538ED667" w:rsidR="00DC2411" w:rsidRPr="001E2504" w:rsidRDefault="00DC2411" w:rsidP="002E55BC">
      <w:pPr>
        <w:pStyle w:val="BodyText1"/>
      </w:pPr>
    </w:p>
    <w:p w14:paraId="6C566AC3" w14:textId="590D46C6" w:rsidR="00BF4FA4" w:rsidRPr="004D42CC" w:rsidRDefault="00BF4FA4" w:rsidP="00BF4FA4">
      <w:pPr>
        <w:pStyle w:val="Heading1small"/>
        <w:rPr>
          <w:color w:val="FF0000"/>
        </w:rPr>
      </w:pPr>
      <w:r w:rsidRPr="001D5C7E">
        <w:t>N</w:t>
      </w:r>
      <w:r>
        <w:t>ote to V</w:t>
      </w:r>
      <w:r w:rsidRPr="001D5C7E">
        <w:t xml:space="preserve">ersion </w:t>
      </w:r>
      <w:r w:rsidR="00372B13" w:rsidRPr="00FD61A8">
        <w:t>6</w:t>
      </w:r>
    </w:p>
    <w:p w14:paraId="489C7177" w14:textId="22A16FB2" w:rsidR="00D47653" w:rsidRPr="00D47653" w:rsidRDefault="00BF4FA4" w:rsidP="002E55BC">
      <w:pPr>
        <w:pStyle w:val="BodyText1"/>
      </w:pPr>
      <w:r>
        <w:t xml:space="preserve">This </w:t>
      </w:r>
      <w:r w:rsidR="00E538CC">
        <w:t>g</w:t>
      </w:r>
      <w:r>
        <w:t xml:space="preserve">uide is made available now as </w:t>
      </w:r>
      <w:r w:rsidRPr="004D42CC">
        <w:t>Version</w:t>
      </w:r>
      <w:r w:rsidRPr="004D42CC">
        <w:rPr>
          <w:color w:val="FF0000"/>
        </w:rPr>
        <w:t xml:space="preserve"> </w:t>
      </w:r>
      <w:r w:rsidR="00372B13" w:rsidRPr="00FD61A8">
        <w:t>6</w:t>
      </w:r>
      <w:r w:rsidR="003C5E71" w:rsidRPr="00FD61A8">
        <w:t xml:space="preserve"> </w:t>
      </w:r>
      <w:r>
        <w:t xml:space="preserve">to assist practitioners who need to prepare or consider new planning scheme provisions. The </w:t>
      </w:r>
      <w:r w:rsidR="00E538CC">
        <w:t>g</w:t>
      </w:r>
      <w:r>
        <w:t xml:space="preserve">uide will be updated to respond to changes </w:t>
      </w:r>
      <w:r w:rsidRPr="004D6081">
        <w:t xml:space="preserve">to </w:t>
      </w:r>
      <w:r w:rsidR="00BA40EE">
        <w:t xml:space="preserve">Victoria’s </w:t>
      </w:r>
      <w:r>
        <w:t xml:space="preserve">planning system and feedback provided by users. If you have any feedback, you are encouraged to send your comments to </w:t>
      </w:r>
      <w:r w:rsidR="003C5E71">
        <w:t>planning.systems</w:t>
      </w:r>
      <w:r>
        <w:t>@delwp.vic.gov.au.</w:t>
      </w:r>
      <w:r w:rsidR="00D47653" w:rsidRPr="00D47653">
        <w:br w:type="page"/>
      </w:r>
    </w:p>
    <w:p w14:paraId="489C7178" w14:textId="592DA657" w:rsidR="00DC2411" w:rsidRPr="00583FAE" w:rsidRDefault="00AB2C0B" w:rsidP="00D2198E">
      <w:pPr>
        <w:pStyle w:val="Heading1"/>
        <w:rPr>
          <w:lang w:val="en-GB" w:eastAsia="en-AU"/>
        </w:rPr>
      </w:pPr>
      <w:bookmarkStart w:id="0" w:name="_Toc158706957"/>
      <w:r w:rsidRPr="00A4630E">
        <w:lastRenderedPageBreak/>
        <w:t>Contents</w:t>
      </w:r>
      <w:bookmarkEnd w:id="0"/>
    </w:p>
    <w:p w14:paraId="798E0367" w14:textId="3DC609D6" w:rsidR="00536BC9" w:rsidRDefault="00907708">
      <w:pPr>
        <w:pStyle w:val="TOC1"/>
        <w:rPr>
          <w:rFonts w:asciiTheme="minorHAnsi" w:eastAsiaTheme="minorEastAsia" w:hAnsiTheme="minorHAnsi" w:cstheme="minorBidi"/>
          <w:b w:val="0"/>
          <w:color w:val="auto"/>
          <w:kern w:val="2"/>
          <w:sz w:val="22"/>
          <w:szCs w:val="22"/>
          <w:lang w:eastAsia="en-AU"/>
          <w14:ligatures w14:val="standardContextual"/>
        </w:rPr>
      </w:pPr>
      <w:r w:rsidRPr="00417CAB">
        <w:rPr>
          <w:shd w:val="clear" w:color="auto" w:fill="E6E6E6"/>
        </w:rPr>
        <w:fldChar w:fldCharType="begin"/>
      </w:r>
      <w:r w:rsidRPr="00417CAB">
        <w:instrText xml:space="preserve"> TOC \h \z \t "Heading 1,1,Heading 2,2,Heading 1 appendices,1" </w:instrText>
      </w:r>
      <w:r w:rsidRPr="00417CAB">
        <w:rPr>
          <w:shd w:val="clear" w:color="auto" w:fill="E6E6E6"/>
        </w:rPr>
        <w:fldChar w:fldCharType="separate"/>
      </w:r>
      <w:hyperlink w:anchor="_Toc158706957" w:history="1">
        <w:r w:rsidR="00536BC9" w:rsidRPr="00C14875">
          <w:rPr>
            <w:rStyle w:val="Hyperlink"/>
          </w:rPr>
          <w:t>Contents</w:t>
        </w:r>
        <w:r w:rsidR="00536BC9">
          <w:rPr>
            <w:webHidden/>
          </w:rPr>
          <w:tab/>
        </w:r>
        <w:r w:rsidR="00536BC9">
          <w:rPr>
            <w:webHidden/>
          </w:rPr>
          <w:fldChar w:fldCharType="begin"/>
        </w:r>
        <w:r w:rsidR="00536BC9">
          <w:rPr>
            <w:webHidden/>
          </w:rPr>
          <w:instrText xml:space="preserve"> PAGEREF _Toc158706957 \h </w:instrText>
        </w:r>
        <w:r w:rsidR="00536BC9">
          <w:rPr>
            <w:webHidden/>
          </w:rPr>
        </w:r>
        <w:r w:rsidR="00536BC9">
          <w:rPr>
            <w:webHidden/>
          </w:rPr>
          <w:fldChar w:fldCharType="separate"/>
        </w:r>
        <w:r w:rsidR="00286A34">
          <w:rPr>
            <w:webHidden/>
          </w:rPr>
          <w:t>3</w:t>
        </w:r>
        <w:r w:rsidR="00536BC9">
          <w:rPr>
            <w:webHidden/>
          </w:rPr>
          <w:fldChar w:fldCharType="end"/>
        </w:r>
      </w:hyperlink>
    </w:p>
    <w:p w14:paraId="58257E14" w14:textId="12786A4B" w:rsidR="00536BC9" w:rsidRDefault="000D53F8">
      <w:pPr>
        <w:pStyle w:val="TOC1"/>
        <w:rPr>
          <w:rFonts w:asciiTheme="minorHAnsi" w:eastAsiaTheme="minorEastAsia" w:hAnsiTheme="minorHAnsi" w:cstheme="minorBidi"/>
          <w:b w:val="0"/>
          <w:color w:val="auto"/>
          <w:kern w:val="2"/>
          <w:sz w:val="22"/>
          <w:szCs w:val="22"/>
          <w:lang w:eastAsia="en-AU"/>
          <w14:ligatures w14:val="standardContextual"/>
        </w:rPr>
      </w:pPr>
      <w:hyperlink w:anchor="_Toc158706958" w:history="1">
        <w:r w:rsidR="00536BC9" w:rsidRPr="00C14875">
          <w:rPr>
            <w:rStyle w:val="Hyperlink"/>
          </w:rPr>
          <w:t>Preface</w:t>
        </w:r>
        <w:r w:rsidR="00536BC9">
          <w:rPr>
            <w:webHidden/>
          </w:rPr>
          <w:tab/>
        </w:r>
        <w:r w:rsidR="00536BC9">
          <w:rPr>
            <w:webHidden/>
          </w:rPr>
          <w:fldChar w:fldCharType="begin"/>
        </w:r>
        <w:r w:rsidR="00536BC9">
          <w:rPr>
            <w:webHidden/>
          </w:rPr>
          <w:instrText xml:space="preserve"> PAGEREF _Toc158706958 \h </w:instrText>
        </w:r>
        <w:r w:rsidR="00536BC9">
          <w:rPr>
            <w:webHidden/>
          </w:rPr>
        </w:r>
        <w:r w:rsidR="00536BC9">
          <w:rPr>
            <w:webHidden/>
          </w:rPr>
          <w:fldChar w:fldCharType="separate"/>
        </w:r>
        <w:r w:rsidR="00286A34">
          <w:rPr>
            <w:webHidden/>
          </w:rPr>
          <w:t>5</w:t>
        </w:r>
        <w:r w:rsidR="00536BC9">
          <w:rPr>
            <w:webHidden/>
          </w:rPr>
          <w:fldChar w:fldCharType="end"/>
        </w:r>
      </w:hyperlink>
    </w:p>
    <w:p w14:paraId="3162A241" w14:textId="7FC0586C" w:rsidR="00536BC9" w:rsidRDefault="000D53F8">
      <w:pPr>
        <w:pStyle w:val="TOC1"/>
        <w:rPr>
          <w:rFonts w:asciiTheme="minorHAnsi" w:eastAsiaTheme="minorEastAsia" w:hAnsiTheme="minorHAnsi" w:cstheme="minorBidi"/>
          <w:b w:val="0"/>
          <w:color w:val="auto"/>
          <w:kern w:val="2"/>
          <w:sz w:val="22"/>
          <w:szCs w:val="22"/>
          <w:lang w:eastAsia="en-AU"/>
          <w14:ligatures w14:val="standardContextual"/>
        </w:rPr>
      </w:pPr>
      <w:hyperlink w:anchor="_Toc158706959" w:history="1">
        <w:r w:rsidR="00536BC9" w:rsidRPr="00C14875">
          <w:rPr>
            <w:rStyle w:val="Hyperlink"/>
          </w:rPr>
          <w:t>1</w:t>
        </w:r>
        <w:r w:rsidR="00536BC9">
          <w:rPr>
            <w:rFonts w:asciiTheme="minorHAnsi" w:eastAsiaTheme="minorEastAsia" w:hAnsiTheme="minorHAnsi" w:cstheme="minorBidi"/>
            <w:b w:val="0"/>
            <w:color w:val="auto"/>
            <w:kern w:val="2"/>
            <w:sz w:val="22"/>
            <w:szCs w:val="22"/>
            <w:lang w:eastAsia="en-AU"/>
            <w14:ligatures w14:val="standardContextual"/>
          </w:rPr>
          <w:tab/>
        </w:r>
        <w:r w:rsidR="00536BC9" w:rsidRPr="00C14875">
          <w:rPr>
            <w:rStyle w:val="Hyperlink"/>
          </w:rPr>
          <w:t>Using this guide</w:t>
        </w:r>
        <w:r w:rsidR="00536BC9">
          <w:rPr>
            <w:webHidden/>
          </w:rPr>
          <w:tab/>
        </w:r>
        <w:r w:rsidR="00536BC9">
          <w:rPr>
            <w:webHidden/>
          </w:rPr>
          <w:fldChar w:fldCharType="begin"/>
        </w:r>
        <w:r w:rsidR="00536BC9">
          <w:rPr>
            <w:webHidden/>
          </w:rPr>
          <w:instrText xml:space="preserve"> PAGEREF _Toc158706959 \h </w:instrText>
        </w:r>
        <w:r w:rsidR="00536BC9">
          <w:rPr>
            <w:webHidden/>
          </w:rPr>
        </w:r>
        <w:r w:rsidR="00536BC9">
          <w:rPr>
            <w:webHidden/>
          </w:rPr>
          <w:fldChar w:fldCharType="separate"/>
        </w:r>
        <w:r w:rsidR="00286A34">
          <w:rPr>
            <w:webHidden/>
          </w:rPr>
          <w:t>6</w:t>
        </w:r>
        <w:r w:rsidR="00536BC9">
          <w:rPr>
            <w:webHidden/>
          </w:rPr>
          <w:fldChar w:fldCharType="end"/>
        </w:r>
      </w:hyperlink>
    </w:p>
    <w:p w14:paraId="2FF75B0D" w14:textId="42B9EDE6" w:rsidR="00536BC9" w:rsidRDefault="000D53F8">
      <w:pPr>
        <w:pStyle w:val="TOC2"/>
        <w:rPr>
          <w:rFonts w:asciiTheme="minorHAnsi" w:eastAsiaTheme="minorEastAsia" w:hAnsiTheme="minorHAnsi" w:cstheme="minorBidi"/>
          <w:color w:val="auto"/>
          <w:kern w:val="2"/>
          <w:sz w:val="22"/>
          <w:szCs w:val="22"/>
          <w:lang w:eastAsia="en-AU"/>
          <w14:ligatures w14:val="standardContextual"/>
        </w:rPr>
      </w:pPr>
      <w:hyperlink w:anchor="_Toc158706960" w:history="1">
        <w:r w:rsidR="00536BC9" w:rsidRPr="00C14875">
          <w:rPr>
            <w:rStyle w:val="Hyperlink"/>
          </w:rPr>
          <w:t>1.1</w:t>
        </w:r>
        <w:r w:rsidR="00536BC9">
          <w:rPr>
            <w:rFonts w:asciiTheme="minorHAnsi" w:eastAsiaTheme="minorEastAsia" w:hAnsiTheme="minorHAnsi" w:cstheme="minorBidi"/>
            <w:color w:val="auto"/>
            <w:kern w:val="2"/>
            <w:sz w:val="22"/>
            <w:szCs w:val="22"/>
            <w:lang w:eastAsia="en-AU"/>
            <w14:ligatures w14:val="standardContextual"/>
          </w:rPr>
          <w:tab/>
        </w:r>
        <w:r w:rsidR="00536BC9" w:rsidRPr="00C14875">
          <w:rPr>
            <w:rStyle w:val="Hyperlink"/>
          </w:rPr>
          <w:t>Who this guide is for</w:t>
        </w:r>
        <w:r w:rsidR="00536BC9">
          <w:rPr>
            <w:webHidden/>
          </w:rPr>
          <w:tab/>
        </w:r>
        <w:r w:rsidR="00536BC9">
          <w:rPr>
            <w:webHidden/>
          </w:rPr>
          <w:fldChar w:fldCharType="begin"/>
        </w:r>
        <w:r w:rsidR="00536BC9">
          <w:rPr>
            <w:webHidden/>
          </w:rPr>
          <w:instrText xml:space="preserve"> PAGEREF _Toc158706960 \h </w:instrText>
        </w:r>
        <w:r w:rsidR="00536BC9">
          <w:rPr>
            <w:webHidden/>
          </w:rPr>
        </w:r>
        <w:r w:rsidR="00536BC9">
          <w:rPr>
            <w:webHidden/>
          </w:rPr>
          <w:fldChar w:fldCharType="separate"/>
        </w:r>
        <w:r w:rsidR="00286A34">
          <w:rPr>
            <w:webHidden/>
          </w:rPr>
          <w:t>6</w:t>
        </w:r>
        <w:r w:rsidR="00536BC9">
          <w:rPr>
            <w:webHidden/>
          </w:rPr>
          <w:fldChar w:fldCharType="end"/>
        </w:r>
      </w:hyperlink>
    </w:p>
    <w:p w14:paraId="3F6CC77B" w14:textId="7A15EF94" w:rsidR="00536BC9" w:rsidRDefault="000D53F8">
      <w:pPr>
        <w:pStyle w:val="TOC2"/>
        <w:rPr>
          <w:rFonts w:asciiTheme="minorHAnsi" w:eastAsiaTheme="minorEastAsia" w:hAnsiTheme="minorHAnsi" w:cstheme="minorBidi"/>
          <w:color w:val="auto"/>
          <w:kern w:val="2"/>
          <w:sz w:val="22"/>
          <w:szCs w:val="22"/>
          <w:lang w:eastAsia="en-AU"/>
          <w14:ligatures w14:val="standardContextual"/>
        </w:rPr>
      </w:pPr>
      <w:hyperlink w:anchor="_Toc158706961" w:history="1">
        <w:r w:rsidR="00536BC9" w:rsidRPr="00C14875">
          <w:rPr>
            <w:rStyle w:val="Hyperlink"/>
          </w:rPr>
          <w:t>1.2</w:t>
        </w:r>
        <w:r w:rsidR="00536BC9">
          <w:rPr>
            <w:rFonts w:asciiTheme="minorHAnsi" w:eastAsiaTheme="minorEastAsia" w:hAnsiTheme="minorHAnsi" w:cstheme="minorBidi"/>
            <w:color w:val="auto"/>
            <w:kern w:val="2"/>
            <w:sz w:val="22"/>
            <w:szCs w:val="22"/>
            <w:lang w:eastAsia="en-AU"/>
            <w14:ligatures w14:val="standardContextual"/>
          </w:rPr>
          <w:tab/>
        </w:r>
        <w:r w:rsidR="00536BC9" w:rsidRPr="00C14875">
          <w:rPr>
            <w:rStyle w:val="Hyperlink"/>
          </w:rPr>
          <w:t>Other useful documents</w:t>
        </w:r>
        <w:r w:rsidR="00536BC9">
          <w:rPr>
            <w:webHidden/>
          </w:rPr>
          <w:tab/>
        </w:r>
        <w:r w:rsidR="00536BC9">
          <w:rPr>
            <w:webHidden/>
          </w:rPr>
          <w:fldChar w:fldCharType="begin"/>
        </w:r>
        <w:r w:rsidR="00536BC9">
          <w:rPr>
            <w:webHidden/>
          </w:rPr>
          <w:instrText xml:space="preserve"> PAGEREF _Toc158706961 \h </w:instrText>
        </w:r>
        <w:r w:rsidR="00536BC9">
          <w:rPr>
            <w:webHidden/>
          </w:rPr>
        </w:r>
        <w:r w:rsidR="00536BC9">
          <w:rPr>
            <w:webHidden/>
          </w:rPr>
          <w:fldChar w:fldCharType="separate"/>
        </w:r>
        <w:r w:rsidR="00286A34">
          <w:rPr>
            <w:webHidden/>
          </w:rPr>
          <w:t>6</w:t>
        </w:r>
        <w:r w:rsidR="00536BC9">
          <w:rPr>
            <w:webHidden/>
          </w:rPr>
          <w:fldChar w:fldCharType="end"/>
        </w:r>
      </w:hyperlink>
    </w:p>
    <w:p w14:paraId="4B2D97A5" w14:textId="0CF6FFFB" w:rsidR="00536BC9" w:rsidRDefault="000D53F8">
      <w:pPr>
        <w:pStyle w:val="TOC1"/>
        <w:rPr>
          <w:rFonts w:asciiTheme="minorHAnsi" w:eastAsiaTheme="minorEastAsia" w:hAnsiTheme="minorHAnsi" w:cstheme="minorBidi"/>
          <w:b w:val="0"/>
          <w:color w:val="auto"/>
          <w:kern w:val="2"/>
          <w:sz w:val="22"/>
          <w:szCs w:val="22"/>
          <w:lang w:eastAsia="en-AU"/>
          <w14:ligatures w14:val="standardContextual"/>
        </w:rPr>
      </w:pPr>
      <w:hyperlink w:anchor="_Toc158706962" w:history="1">
        <w:r w:rsidR="00536BC9" w:rsidRPr="00C14875">
          <w:rPr>
            <w:rStyle w:val="Hyperlink"/>
          </w:rPr>
          <w:t>2</w:t>
        </w:r>
        <w:r w:rsidR="00536BC9">
          <w:rPr>
            <w:rFonts w:asciiTheme="minorHAnsi" w:eastAsiaTheme="minorEastAsia" w:hAnsiTheme="minorHAnsi" w:cstheme="minorBidi"/>
            <w:b w:val="0"/>
            <w:color w:val="auto"/>
            <w:kern w:val="2"/>
            <w:sz w:val="22"/>
            <w:szCs w:val="22"/>
            <w:lang w:eastAsia="en-AU"/>
            <w14:ligatures w14:val="standardContextual"/>
          </w:rPr>
          <w:tab/>
        </w:r>
        <w:r w:rsidR="00536BC9" w:rsidRPr="00C14875">
          <w:rPr>
            <w:rStyle w:val="Hyperlink"/>
          </w:rPr>
          <w:t>The VPP and planning schemes</w:t>
        </w:r>
        <w:r w:rsidR="00536BC9">
          <w:rPr>
            <w:webHidden/>
          </w:rPr>
          <w:tab/>
        </w:r>
        <w:r w:rsidR="00536BC9">
          <w:rPr>
            <w:webHidden/>
          </w:rPr>
          <w:fldChar w:fldCharType="begin"/>
        </w:r>
        <w:r w:rsidR="00536BC9">
          <w:rPr>
            <w:webHidden/>
          </w:rPr>
          <w:instrText xml:space="preserve"> PAGEREF _Toc158706962 \h </w:instrText>
        </w:r>
        <w:r w:rsidR="00536BC9">
          <w:rPr>
            <w:webHidden/>
          </w:rPr>
        </w:r>
        <w:r w:rsidR="00536BC9">
          <w:rPr>
            <w:webHidden/>
          </w:rPr>
          <w:fldChar w:fldCharType="separate"/>
        </w:r>
        <w:r w:rsidR="00286A34">
          <w:rPr>
            <w:webHidden/>
          </w:rPr>
          <w:t>8</w:t>
        </w:r>
        <w:r w:rsidR="00536BC9">
          <w:rPr>
            <w:webHidden/>
          </w:rPr>
          <w:fldChar w:fldCharType="end"/>
        </w:r>
      </w:hyperlink>
    </w:p>
    <w:p w14:paraId="2F1F663D" w14:textId="40FC63D9" w:rsidR="00536BC9" w:rsidRDefault="000D53F8">
      <w:pPr>
        <w:pStyle w:val="TOC2"/>
        <w:rPr>
          <w:rFonts w:asciiTheme="minorHAnsi" w:eastAsiaTheme="minorEastAsia" w:hAnsiTheme="minorHAnsi" w:cstheme="minorBidi"/>
          <w:color w:val="auto"/>
          <w:kern w:val="2"/>
          <w:sz w:val="22"/>
          <w:szCs w:val="22"/>
          <w:lang w:eastAsia="en-AU"/>
          <w14:ligatures w14:val="standardContextual"/>
        </w:rPr>
      </w:pPr>
      <w:hyperlink w:anchor="_Toc158706963" w:history="1">
        <w:r w:rsidR="00536BC9" w:rsidRPr="00C14875">
          <w:rPr>
            <w:rStyle w:val="Hyperlink"/>
          </w:rPr>
          <w:t>2.1</w:t>
        </w:r>
        <w:r w:rsidR="00536BC9">
          <w:rPr>
            <w:rFonts w:asciiTheme="minorHAnsi" w:eastAsiaTheme="minorEastAsia" w:hAnsiTheme="minorHAnsi" w:cstheme="minorBidi"/>
            <w:color w:val="auto"/>
            <w:kern w:val="2"/>
            <w:sz w:val="22"/>
            <w:szCs w:val="22"/>
            <w:lang w:eastAsia="en-AU"/>
            <w14:ligatures w14:val="standardContextual"/>
          </w:rPr>
          <w:tab/>
        </w:r>
        <w:r w:rsidR="00536BC9" w:rsidRPr="00C14875">
          <w:rPr>
            <w:rStyle w:val="Hyperlink"/>
          </w:rPr>
          <w:t>Planning schemes and legislation</w:t>
        </w:r>
        <w:r w:rsidR="00536BC9">
          <w:rPr>
            <w:webHidden/>
          </w:rPr>
          <w:tab/>
        </w:r>
        <w:r w:rsidR="00536BC9">
          <w:rPr>
            <w:webHidden/>
          </w:rPr>
          <w:fldChar w:fldCharType="begin"/>
        </w:r>
        <w:r w:rsidR="00536BC9">
          <w:rPr>
            <w:webHidden/>
          </w:rPr>
          <w:instrText xml:space="preserve"> PAGEREF _Toc158706963 \h </w:instrText>
        </w:r>
        <w:r w:rsidR="00536BC9">
          <w:rPr>
            <w:webHidden/>
          </w:rPr>
        </w:r>
        <w:r w:rsidR="00536BC9">
          <w:rPr>
            <w:webHidden/>
          </w:rPr>
          <w:fldChar w:fldCharType="separate"/>
        </w:r>
        <w:r w:rsidR="00286A34">
          <w:rPr>
            <w:webHidden/>
          </w:rPr>
          <w:t>8</w:t>
        </w:r>
        <w:r w:rsidR="00536BC9">
          <w:rPr>
            <w:webHidden/>
          </w:rPr>
          <w:fldChar w:fldCharType="end"/>
        </w:r>
      </w:hyperlink>
    </w:p>
    <w:p w14:paraId="62A20F12" w14:textId="6C6F54D4" w:rsidR="00536BC9" w:rsidRDefault="000D53F8">
      <w:pPr>
        <w:pStyle w:val="TOC2"/>
        <w:rPr>
          <w:rFonts w:asciiTheme="minorHAnsi" w:eastAsiaTheme="minorEastAsia" w:hAnsiTheme="minorHAnsi" w:cstheme="minorBidi"/>
          <w:color w:val="auto"/>
          <w:kern w:val="2"/>
          <w:sz w:val="22"/>
          <w:szCs w:val="22"/>
          <w:lang w:eastAsia="en-AU"/>
          <w14:ligatures w14:val="standardContextual"/>
        </w:rPr>
      </w:pPr>
      <w:hyperlink w:anchor="_Toc158706964" w:history="1">
        <w:r w:rsidR="00536BC9" w:rsidRPr="00C14875">
          <w:rPr>
            <w:rStyle w:val="Hyperlink"/>
          </w:rPr>
          <w:t>2.2</w:t>
        </w:r>
        <w:r w:rsidR="00536BC9">
          <w:rPr>
            <w:rFonts w:asciiTheme="minorHAnsi" w:eastAsiaTheme="minorEastAsia" w:hAnsiTheme="minorHAnsi" w:cstheme="minorBidi"/>
            <w:color w:val="auto"/>
            <w:kern w:val="2"/>
            <w:sz w:val="22"/>
            <w:szCs w:val="22"/>
            <w:lang w:eastAsia="en-AU"/>
            <w14:ligatures w14:val="standardContextual"/>
          </w:rPr>
          <w:tab/>
        </w:r>
        <w:r w:rsidR="00536BC9" w:rsidRPr="00C14875">
          <w:rPr>
            <w:rStyle w:val="Hyperlink"/>
          </w:rPr>
          <w:t>What is the VPP?</w:t>
        </w:r>
        <w:r w:rsidR="00536BC9">
          <w:rPr>
            <w:webHidden/>
          </w:rPr>
          <w:tab/>
        </w:r>
        <w:r w:rsidR="00536BC9">
          <w:rPr>
            <w:webHidden/>
          </w:rPr>
          <w:fldChar w:fldCharType="begin"/>
        </w:r>
        <w:r w:rsidR="00536BC9">
          <w:rPr>
            <w:webHidden/>
          </w:rPr>
          <w:instrText xml:space="preserve"> PAGEREF _Toc158706964 \h </w:instrText>
        </w:r>
        <w:r w:rsidR="00536BC9">
          <w:rPr>
            <w:webHidden/>
          </w:rPr>
        </w:r>
        <w:r w:rsidR="00536BC9">
          <w:rPr>
            <w:webHidden/>
          </w:rPr>
          <w:fldChar w:fldCharType="separate"/>
        </w:r>
        <w:r w:rsidR="00286A34">
          <w:rPr>
            <w:webHidden/>
          </w:rPr>
          <w:t>8</w:t>
        </w:r>
        <w:r w:rsidR="00536BC9">
          <w:rPr>
            <w:webHidden/>
          </w:rPr>
          <w:fldChar w:fldCharType="end"/>
        </w:r>
      </w:hyperlink>
    </w:p>
    <w:p w14:paraId="7E29085E" w14:textId="1FE13CA5" w:rsidR="00536BC9" w:rsidRDefault="000D53F8">
      <w:pPr>
        <w:pStyle w:val="TOC2"/>
        <w:rPr>
          <w:rFonts w:asciiTheme="minorHAnsi" w:eastAsiaTheme="minorEastAsia" w:hAnsiTheme="minorHAnsi" w:cstheme="minorBidi"/>
          <w:color w:val="auto"/>
          <w:kern w:val="2"/>
          <w:sz w:val="22"/>
          <w:szCs w:val="22"/>
          <w:lang w:eastAsia="en-AU"/>
          <w14:ligatures w14:val="standardContextual"/>
        </w:rPr>
      </w:pPr>
      <w:hyperlink w:anchor="_Toc158706965" w:history="1">
        <w:r w:rsidR="00536BC9" w:rsidRPr="00C14875">
          <w:rPr>
            <w:rStyle w:val="Hyperlink"/>
          </w:rPr>
          <w:t>2.3</w:t>
        </w:r>
        <w:r w:rsidR="00536BC9">
          <w:rPr>
            <w:rFonts w:asciiTheme="minorHAnsi" w:eastAsiaTheme="minorEastAsia" w:hAnsiTheme="minorHAnsi" w:cstheme="minorBidi"/>
            <w:color w:val="auto"/>
            <w:kern w:val="2"/>
            <w:sz w:val="22"/>
            <w:szCs w:val="22"/>
            <w:lang w:eastAsia="en-AU"/>
            <w14:ligatures w14:val="standardContextual"/>
          </w:rPr>
          <w:tab/>
        </w:r>
        <w:r w:rsidR="00536BC9" w:rsidRPr="00C14875">
          <w:rPr>
            <w:rStyle w:val="Hyperlink"/>
          </w:rPr>
          <w:t>The VPP principles</w:t>
        </w:r>
        <w:r w:rsidR="00536BC9">
          <w:rPr>
            <w:webHidden/>
          </w:rPr>
          <w:tab/>
        </w:r>
        <w:r w:rsidR="00536BC9">
          <w:rPr>
            <w:webHidden/>
          </w:rPr>
          <w:fldChar w:fldCharType="begin"/>
        </w:r>
        <w:r w:rsidR="00536BC9">
          <w:rPr>
            <w:webHidden/>
          </w:rPr>
          <w:instrText xml:space="preserve"> PAGEREF _Toc158706965 \h </w:instrText>
        </w:r>
        <w:r w:rsidR="00536BC9">
          <w:rPr>
            <w:webHidden/>
          </w:rPr>
        </w:r>
        <w:r w:rsidR="00536BC9">
          <w:rPr>
            <w:webHidden/>
          </w:rPr>
          <w:fldChar w:fldCharType="separate"/>
        </w:r>
        <w:r w:rsidR="00286A34">
          <w:rPr>
            <w:webHidden/>
          </w:rPr>
          <w:t>9</w:t>
        </w:r>
        <w:r w:rsidR="00536BC9">
          <w:rPr>
            <w:webHidden/>
          </w:rPr>
          <w:fldChar w:fldCharType="end"/>
        </w:r>
      </w:hyperlink>
    </w:p>
    <w:p w14:paraId="0732EE65" w14:textId="1DAB1127" w:rsidR="00536BC9" w:rsidRDefault="000D53F8">
      <w:pPr>
        <w:pStyle w:val="TOC2"/>
        <w:rPr>
          <w:rFonts w:asciiTheme="minorHAnsi" w:eastAsiaTheme="minorEastAsia" w:hAnsiTheme="minorHAnsi" w:cstheme="minorBidi"/>
          <w:color w:val="auto"/>
          <w:kern w:val="2"/>
          <w:sz w:val="22"/>
          <w:szCs w:val="22"/>
          <w:lang w:eastAsia="en-AU"/>
          <w14:ligatures w14:val="standardContextual"/>
        </w:rPr>
      </w:pPr>
      <w:hyperlink w:anchor="_Toc158706966" w:history="1">
        <w:r w:rsidR="00536BC9" w:rsidRPr="00C14875">
          <w:rPr>
            <w:rStyle w:val="Hyperlink"/>
          </w:rPr>
          <w:t>2.4</w:t>
        </w:r>
        <w:r w:rsidR="00536BC9">
          <w:rPr>
            <w:rFonts w:asciiTheme="minorHAnsi" w:eastAsiaTheme="minorEastAsia" w:hAnsiTheme="minorHAnsi" w:cstheme="minorBidi"/>
            <w:color w:val="auto"/>
            <w:kern w:val="2"/>
            <w:sz w:val="22"/>
            <w:szCs w:val="22"/>
            <w:lang w:eastAsia="en-AU"/>
            <w14:ligatures w14:val="standardContextual"/>
          </w:rPr>
          <w:tab/>
        </w:r>
        <w:r w:rsidR="00536BC9" w:rsidRPr="00C14875">
          <w:rPr>
            <w:rStyle w:val="Hyperlink"/>
          </w:rPr>
          <w:t>How a planning scheme is created from the VPP</w:t>
        </w:r>
        <w:r w:rsidR="00536BC9">
          <w:rPr>
            <w:webHidden/>
          </w:rPr>
          <w:tab/>
        </w:r>
        <w:r w:rsidR="00536BC9">
          <w:rPr>
            <w:webHidden/>
          </w:rPr>
          <w:fldChar w:fldCharType="begin"/>
        </w:r>
        <w:r w:rsidR="00536BC9">
          <w:rPr>
            <w:webHidden/>
          </w:rPr>
          <w:instrText xml:space="preserve"> PAGEREF _Toc158706966 \h </w:instrText>
        </w:r>
        <w:r w:rsidR="00536BC9">
          <w:rPr>
            <w:webHidden/>
          </w:rPr>
        </w:r>
        <w:r w:rsidR="00536BC9">
          <w:rPr>
            <w:webHidden/>
          </w:rPr>
          <w:fldChar w:fldCharType="separate"/>
        </w:r>
        <w:r w:rsidR="00286A34">
          <w:rPr>
            <w:webHidden/>
          </w:rPr>
          <w:t>10</w:t>
        </w:r>
        <w:r w:rsidR="00536BC9">
          <w:rPr>
            <w:webHidden/>
          </w:rPr>
          <w:fldChar w:fldCharType="end"/>
        </w:r>
      </w:hyperlink>
    </w:p>
    <w:p w14:paraId="47F05010" w14:textId="7BA89256" w:rsidR="00536BC9" w:rsidRDefault="000D53F8">
      <w:pPr>
        <w:pStyle w:val="TOC2"/>
        <w:rPr>
          <w:rFonts w:asciiTheme="minorHAnsi" w:eastAsiaTheme="minorEastAsia" w:hAnsiTheme="minorHAnsi" w:cstheme="minorBidi"/>
          <w:color w:val="auto"/>
          <w:kern w:val="2"/>
          <w:sz w:val="22"/>
          <w:szCs w:val="22"/>
          <w:lang w:eastAsia="en-AU"/>
          <w14:ligatures w14:val="standardContextual"/>
        </w:rPr>
      </w:pPr>
      <w:hyperlink w:anchor="_Toc158706967" w:history="1">
        <w:r w:rsidR="00536BC9" w:rsidRPr="00C14875">
          <w:rPr>
            <w:rStyle w:val="Hyperlink"/>
          </w:rPr>
          <w:t>2.5</w:t>
        </w:r>
        <w:r w:rsidR="00536BC9">
          <w:rPr>
            <w:rFonts w:asciiTheme="minorHAnsi" w:eastAsiaTheme="minorEastAsia" w:hAnsiTheme="minorHAnsi" w:cstheme="minorBidi"/>
            <w:color w:val="auto"/>
            <w:kern w:val="2"/>
            <w:sz w:val="22"/>
            <w:szCs w:val="22"/>
            <w:lang w:eastAsia="en-AU"/>
            <w14:ligatures w14:val="standardContextual"/>
          </w:rPr>
          <w:tab/>
        </w:r>
        <w:r w:rsidR="00536BC9" w:rsidRPr="00C14875">
          <w:rPr>
            <w:rStyle w:val="Hyperlink"/>
          </w:rPr>
          <w:t>The elements of a planning scheme</w:t>
        </w:r>
        <w:r w:rsidR="00536BC9">
          <w:rPr>
            <w:webHidden/>
          </w:rPr>
          <w:tab/>
        </w:r>
        <w:r w:rsidR="00536BC9">
          <w:rPr>
            <w:webHidden/>
          </w:rPr>
          <w:fldChar w:fldCharType="begin"/>
        </w:r>
        <w:r w:rsidR="00536BC9">
          <w:rPr>
            <w:webHidden/>
          </w:rPr>
          <w:instrText xml:space="preserve"> PAGEREF _Toc158706967 \h </w:instrText>
        </w:r>
        <w:r w:rsidR="00536BC9">
          <w:rPr>
            <w:webHidden/>
          </w:rPr>
        </w:r>
        <w:r w:rsidR="00536BC9">
          <w:rPr>
            <w:webHidden/>
          </w:rPr>
          <w:fldChar w:fldCharType="separate"/>
        </w:r>
        <w:r w:rsidR="00286A34">
          <w:rPr>
            <w:webHidden/>
          </w:rPr>
          <w:t>12</w:t>
        </w:r>
        <w:r w:rsidR="00536BC9">
          <w:rPr>
            <w:webHidden/>
          </w:rPr>
          <w:fldChar w:fldCharType="end"/>
        </w:r>
      </w:hyperlink>
    </w:p>
    <w:p w14:paraId="693C5891" w14:textId="44B51C3A" w:rsidR="00536BC9" w:rsidRDefault="000D53F8">
      <w:pPr>
        <w:pStyle w:val="TOC1"/>
        <w:rPr>
          <w:rFonts w:asciiTheme="minorHAnsi" w:eastAsiaTheme="minorEastAsia" w:hAnsiTheme="minorHAnsi" w:cstheme="minorBidi"/>
          <w:b w:val="0"/>
          <w:color w:val="auto"/>
          <w:kern w:val="2"/>
          <w:sz w:val="22"/>
          <w:szCs w:val="22"/>
          <w:lang w:eastAsia="en-AU"/>
          <w14:ligatures w14:val="standardContextual"/>
        </w:rPr>
      </w:pPr>
      <w:hyperlink w:anchor="_Toc158706968" w:history="1">
        <w:r w:rsidR="00536BC9" w:rsidRPr="00C14875">
          <w:rPr>
            <w:rStyle w:val="Hyperlink"/>
          </w:rPr>
          <w:t>3</w:t>
        </w:r>
        <w:r w:rsidR="00536BC9">
          <w:rPr>
            <w:rFonts w:asciiTheme="minorHAnsi" w:eastAsiaTheme="minorEastAsia" w:hAnsiTheme="minorHAnsi" w:cstheme="minorBidi"/>
            <w:b w:val="0"/>
            <w:color w:val="auto"/>
            <w:kern w:val="2"/>
            <w:sz w:val="22"/>
            <w:szCs w:val="22"/>
            <w:lang w:eastAsia="en-AU"/>
            <w14:ligatures w14:val="standardContextual"/>
          </w:rPr>
          <w:tab/>
        </w:r>
        <w:r w:rsidR="00536BC9" w:rsidRPr="00C14875">
          <w:rPr>
            <w:rStyle w:val="Hyperlink"/>
          </w:rPr>
          <w:t>How provisions work</w:t>
        </w:r>
        <w:r w:rsidR="00536BC9">
          <w:rPr>
            <w:webHidden/>
          </w:rPr>
          <w:tab/>
        </w:r>
        <w:r w:rsidR="00536BC9">
          <w:rPr>
            <w:webHidden/>
          </w:rPr>
          <w:fldChar w:fldCharType="begin"/>
        </w:r>
        <w:r w:rsidR="00536BC9">
          <w:rPr>
            <w:webHidden/>
          </w:rPr>
          <w:instrText xml:space="preserve"> PAGEREF _Toc158706968 \h </w:instrText>
        </w:r>
        <w:r w:rsidR="00536BC9">
          <w:rPr>
            <w:webHidden/>
          </w:rPr>
        </w:r>
        <w:r w:rsidR="00536BC9">
          <w:rPr>
            <w:webHidden/>
          </w:rPr>
          <w:fldChar w:fldCharType="separate"/>
        </w:r>
        <w:r w:rsidR="00286A34">
          <w:rPr>
            <w:webHidden/>
          </w:rPr>
          <w:t>14</w:t>
        </w:r>
        <w:r w:rsidR="00536BC9">
          <w:rPr>
            <w:webHidden/>
          </w:rPr>
          <w:fldChar w:fldCharType="end"/>
        </w:r>
      </w:hyperlink>
    </w:p>
    <w:p w14:paraId="4B1E9BF3" w14:textId="307D78E5" w:rsidR="00536BC9" w:rsidRDefault="000D53F8">
      <w:pPr>
        <w:pStyle w:val="TOC2"/>
        <w:rPr>
          <w:rFonts w:asciiTheme="minorHAnsi" w:eastAsiaTheme="minorEastAsia" w:hAnsiTheme="minorHAnsi" w:cstheme="minorBidi"/>
          <w:color w:val="auto"/>
          <w:kern w:val="2"/>
          <w:sz w:val="22"/>
          <w:szCs w:val="22"/>
          <w:lang w:eastAsia="en-AU"/>
          <w14:ligatures w14:val="standardContextual"/>
        </w:rPr>
      </w:pPr>
      <w:hyperlink w:anchor="_Toc158706969" w:history="1">
        <w:r w:rsidR="00536BC9" w:rsidRPr="00C14875">
          <w:rPr>
            <w:rStyle w:val="Hyperlink"/>
          </w:rPr>
          <w:t>3.1</w:t>
        </w:r>
        <w:r w:rsidR="00536BC9">
          <w:rPr>
            <w:rFonts w:asciiTheme="minorHAnsi" w:eastAsiaTheme="minorEastAsia" w:hAnsiTheme="minorHAnsi" w:cstheme="minorBidi"/>
            <w:color w:val="auto"/>
            <w:kern w:val="2"/>
            <w:sz w:val="22"/>
            <w:szCs w:val="22"/>
            <w:lang w:eastAsia="en-AU"/>
            <w14:ligatures w14:val="standardContextual"/>
          </w:rPr>
          <w:tab/>
        </w:r>
        <w:r w:rsidR="00536BC9" w:rsidRPr="00C14875">
          <w:rPr>
            <w:rStyle w:val="Hyperlink"/>
          </w:rPr>
          <w:t>How policy works</w:t>
        </w:r>
        <w:r w:rsidR="00536BC9">
          <w:rPr>
            <w:webHidden/>
          </w:rPr>
          <w:tab/>
        </w:r>
        <w:r w:rsidR="00536BC9">
          <w:rPr>
            <w:webHidden/>
          </w:rPr>
          <w:fldChar w:fldCharType="begin"/>
        </w:r>
        <w:r w:rsidR="00536BC9">
          <w:rPr>
            <w:webHidden/>
          </w:rPr>
          <w:instrText xml:space="preserve"> PAGEREF _Toc158706969 \h </w:instrText>
        </w:r>
        <w:r w:rsidR="00536BC9">
          <w:rPr>
            <w:webHidden/>
          </w:rPr>
        </w:r>
        <w:r w:rsidR="00536BC9">
          <w:rPr>
            <w:webHidden/>
          </w:rPr>
          <w:fldChar w:fldCharType="separate"/>
        </w:r>
        <w:r w:rsidR="00286A34">
          <w:rPr>
            <w:webHidden/>
          </w:rPr>
          <w:t>14</w:t>
        </w:r>
        <w:r w:rsidR="00536BC9">
          <w:rPr>
            <w:webHidden/>
          </w:rPr>
          <w:fldChar w:fldCharType="end"/>
        </w:r>
      </w:hyperlink>
    </w:p>
    <w:p w14:paraId="70519AFB" w14:textId="36942841" w:rsidR="00536BC9" w:rsidRDefault="000D53F8">
      <w:pPr>
        <w:pStyle w:val="TOC2"/>
        <w:rPr>
          <w:rFonts w:asciiTheme="minorHAnsi" w:eastAsiaTheme="minorEastAsia" w:hAnsiTheme="minorHAnsi" w:cstheme="minorBidi"/>
          <w:color w:val="auto"/>
          <w:kern w:val="2"/>
          <w:sz w:val="22"/>
          <w:szCs w:val="22"/>
          <w:lang w:eastAsia="en-AU"/>
          <w14:ligatures w14:val="standardContextual"/>
        </w:rPr>
      </w:pPr>
      <w:hyperlink w:anchor="_Toc158706970" w:history="1">
        <w:r w:rsidR="00536BC9" w:rsidRPr="00C14875">
          <w:rPr>
            <w:rStyle w:val="Hyperlink"/>
          </w:rPr>
          <w:t>3.2</w:t>
        </w:r>
        <w:r w:rsidR="00536BC9">
          <w:rPr>
            <w:rFonts w:asciiTheme="minorHAnsi" w:eastAsiaTheme="minorEastAsia" w:hAnsiTheme="minorHAnsi" w:cstheme="minorBidi"/>
            <w:color w:val="auto"/>
            <w:kern w:val="2"/>
            <w:sz w:val="22"/>
            <w:szCs w:val="22"/>
            <w:lang w:eastAsia="en-AU"/>
            <w14:ligatures w14:val="standardContextual"/>
          </w:rPr>
          <w:tab/>
        </w:r>
        <w:r w:rsidR="00536BC9" w:rsidRPr="00C14875">
          <w:rPr>
            <w:rStyle w:val="Hyperlink"/>
          </w:rPr>
          <w:t>How a zone works</w:t>
        </w:r>
        <w:r w:rsidR="00536BC9">
          <w:rPr>
            <w:webHidden/>
          </w:rPr>
          <w:tab/>
        </w:r>
        <w:r w:rsidR="00536BC9">
          <w:rPr>
            <w:webHidden/>
          </w:rPr>
          <w:fldChar w:fldCharType="begin"/>
        </w:r>
        <w:r w:rsidR="00536BC9">
          <w:rPr>
            <w:webHidden/>
          </w:rPr>
          <w:instrText xml:space="preserve"> PAGEREF _Toc158706970 \h </w:instrText>
        </w:r>
        <w:r w:rsidR="00536BC9">
          <w:rPr>
            <w:webHidden/>
          </w:rPr>
        </w:r>
        <w:r w:rsidR="00536BC9">
          <w:rPr>
            <w:webHidden/>
          </w:rPr>
          <w:fldChar w:fldCharType="separate"/>
        </w:r>
        <w:r w:rsidR="00286A34">
          <w:rPr>
            <w:webHidden/>
          </w:rPr>
          <w:t>15</w:t>
        </w:r>
        <w:r w:rsidR="00536BC9">
          <w:rPr>
            <w:webHidden/>
          </w:rPr>
          <w:fldChar w:fldCharType="end"/>
        </w:r>
      </w:hyperlink>
    </w:p>
    <w:p w14:paraId="05B389FF" w14:textId="5DCF96E2" w:rsidR="00536BC9" w:rsidRDefault="000D53F8">
      <w:pPr>
        <w:pStyle w:val="TOC2"/>
        <w:rPr>
          <w:rFonts w:asciiTheme="minorHAnsi" w:eastAsiaTheme="minorEastAsia" w:hAnsiTheme="minorHAnsi" w:cstheme="minorBidi"/>
          <w:color w:val="auto"/>
          <w:kern w:val="2"/>
          <w:sz w:val="22"/>
          <w:szCs w:val="22"/>
          <w:lang w:eastAsia="en-AU"/>
          <w14:ligatures w14:val="standardContextual"/>
        </w:rPr>
      </w:pPr>
      <w:hyperlink w:anchor="_Toc158706971" w:history="1">
        <w:r w:rsidR="00536BC9" w:rsidRPr="00C14875">
          <w:rPr>
            <w:rStyle w:val="Hyperlink"/>
          </w:rPr>
          <w:t>3.3</w:t>
        </w:r>
        <w:r w:rsidR="00536BC9">
          <w:rPr>
            <w:rFonts w:asciiTheme="minorHAnsi" w:eastAsiaTheme="minorEastAsia" w:hAnsiTheme="minorHAnsi" w:cstheme="minorBidi"/>
            <w:color w:val="auto"/>
            <w:kern w:val="2"/>
            <w:sz w:val="22"/>
            <w:szCs w:val="22"/>
            <w:lang w:eastAsia="en-AU"/>
            <w14:ligatures w14:val="standardContextual"/>
          </w:rPr>
          <w:tab/>
        </w:r>
        <w:r w:rsidR="00536BC9" w:rsidRPr="00C14875">
          <w:rPr>
            <w:rStyle w:val="Hyperlink"/>
          </w:rPr>
          <w:t>How an overlay works</w:t>
        </w:r>
        <w:r w:rsidR="00536BC9">
          <w:rPr>
            <w:webHidden/>
          </w:rPr>
          <w:tab/>
        </w:r>
        <w:r w:rsidR="00536BC9">
          <w:rPr>
            <w:webHidden/>
          </w:rPr>
          <w:fldChar w:fldCharType="begin"/>
        </w:r>
        <w:r w:rsidR="00536BC9">
          <w:rPr>
            <w:webHidden/>
          </w:rPr>
          <w:instrText xml:space="preserve"> PAGEREF _Toc158706971 \h </w:instrText>
        </w:r>
        <w:r w:rsidR="00536BC9">
          <w:rPr>
            <w:webHidden/>
          </w:rPr>
        </w:r>
        <w:r w:rsidR="00536BC9">
          <w:rPr>
            <w:webHidden/>
          </w:rPr>
          <w:fldChar w:fldCharType="separate"/>
        </w:r>
        <w:r w:rsidR="00286A34">
          <w:rPr>
            <w:webHidden/>
          </w:rPr>
          <w:t>16</w:t>
        </w:r>
        <w:r w:rsidR="00536BC9">
          <w:rPr>
            <w:webHidden/>
          </w:rPr>
          <w:fldChar w:fldCharType="end"/>
        </w:r>
      </w:hyperlink>
    </w:p>
    <w:p w14:paraId="53C1A406" w14:textId="41B18652" w:rsidR="00536BC9" w:rsidRDefault="000D53F8">
      <w:pPr>
        <w:pStyle w:val="TOC2"/>
        <w:rPr>
          <w:rFonts w:asciiTheme="minorHAnsi" w:eastAsiaTheme="minorEastAsia" w:hAnsiTheme="minorHAnsi" w:cstheme="minorBidi"/>
          <w:color w:val="auto"/>
          <w:kern w:val="2"/>
          <w:sz w:val="22"/>
          <w:szCs w:val="22"/>
          <w:lang w:eastAsia="en-AU"/>
          <w14:ligatures w14:val="standardContextual"/>
        </w:rPr>
      </w:pPr>
      <w:hyperlink w:anchor="_Toc158706972" w:history="1">
        <w:r w:rsidR="00536BC9" w:rsidRPr="00C14875">
          <w:rPr>
            <w:rStyle w:val="Hyperlink"/>
          </w:rPr>
          <w:t>3.4</w:t>
        </w:r>
        <w:r w:rsidR="00536BC9">
          <w:rPr>
            <w:rFonts w:asciiTheme="minorHAnsi" w:eastAsiaTheme="minorEastAsia" w:hAnsiTheme="minorHAnsi" w:cstheme="minorBidi"/>
            <w:color w:val="auto"/>
            <w:kern w:val="2"/>
            <w:sz w:val="22"/>
            <w:szCs w:val="22"/>
            <w:lang w:eastAsia="en-AU"/>
            <w14:ligatures w14:val="standardContextual"/>
          </w:rPr>
          <w:tab/>
        </w:r>
        <w:r w:rsidR="00536BC9" w:rsidRPr="00C14875">
          <w:rPr>
            <w:rStyle w:val="Hyperlink"/>
          </w:rPr>
          <w:t>How a particular provision works</w:t>
        </w:r>
        <w:r w:rsidR="00536BC9">
          <w:rPr>
            <w:webHidden/>
          </w:rPr>
          <w:tab/>
        </w:r>
        <w:r w:rsidR="00536BC9">
          <w:rPr>
            <w:webHidden/>
          </w:rPr>
          <w:fldChar w:fldCharType="begin"/>
        </w:r>
        <w:r w:rsidR="00536BC9">
          <w:rPr>
            <w:webHidden/>
          </w:rPr>
          <w:instrText xml:space="preserve"> PAGEREF _Toc158706972 \h </w:instrText>
        </w:r>
        <w:r w:rsidR="00536BC9">
          <w:rPr>
            <w:webHidden/>
          </w:rPr>
        </w:r>
        <w:r w:rsidR="00536BC9">
          <w:rPr>
            <w:webHidden/>
          </w:rPr>
          <w:fldChar w:fldCharType="separate"/>
        </w:r>
        <w:r w:rsidR="00286A34">
          <w:rPr>
            <w:webHidden/>
          </w:rPr>
          <w:t>17</w:t>
        </w:r>
        <w:r w:rsidR="00536BC9">
          <w:rPr>
            <w:webHidden/>
          </w:rPr>
          <w:fldChar w:fldCharType="end"/>
        </w:r>
      </w:hyperlink>
    </w:p>
    <w:p w14:paraId="46BE5059" w14:textId="4DDCD2BF" w:rsidR="00536BC9" w:rsidRDefault="000D53F8">
      <w:pPr>
        <w:pStyle w:val="TOC2"/>
        <w:rPr>
          <w:rFonts w:asciiTheme="minorHAnsi" w:eastAsiaTheme="minorEastAsia" w:hAnsiTheme="minorHAnsi" w:cstheme="minorBidi"/>
          <w:color w:val="auto"/>
          <w:kern w:val="2"/>
          <w:sz w:val="22"/>
          <w:szCs w:val="22"/>
          <w:lang w:eastAsia="en-AU"/>
          <w14:ligatures w14:val="standardContextual"/>
        </w:rPr>
      </w:pPr>
      <w:hyperlink w:anchor="_Toc158706973" w:history="1">
        <w:r w:rsidR="00536BC9" w:rsidRPr="00C14875">
          <w:rPr>
            <w:rStyle w:val="Hyperlink"/>
          </w:rPr>
          <w:t>3.5</w:t>
        </w:r>
        <w:r w:rsidR="00536BC9">
          <w:rPr>
            <w:rFonts w:asciiTheme="minorHAnsi" w:eastAsiaTheme="minorEastAsia" w:hAnsiTheme="minorHAnsi" w:cstheme="minorBidi"/>
            <w:color w:val="auto"/>
            <w:kern w:val="2"/>
            <w:sz w:val="22"/>
            <w:szCs w:val="22"/>
            <w:lang w:eastAsia="en-AU"/>
            <w14:ligatures w14:val="standardContextual"/>
          </w:rPr>
          <w:tab/>
        </w:r>
        <w:r w:rsidR="00536BC9" w:rsidRPr="00C14875">
          <w:rPr>
            <w:rStyle w:val="Hyperlink"/>
          </w:rPr>
          <w:t>How the general provisions work</w:t>
        </w:r>
        <w:r w:rsidR="00536BC9">
          <w:rPr>
            <w:webHidden/>
          </w:rPr>
          <w:tab/>
        </w:r>
        <w:r w:rsidR="00536BC9">
          <w:rPr>
            <w:webHidden/>
          </w:rPr>
          <w:fldChar w:fldCharType="begin"/>
        </w:r>
        <w:r w:rsidR="00536BC9">
          <w:rPr>
            <w:webHidden/>
          </w:rPr>
          <w:instrText xml:space="preserve"> PAGEREF _Toc158706973 \h </w:instrText>
        </w:r>
        <w:r w:rsidR="00536BC9">
          <w:rPr>
            <w:webHidden/>
          </w:rPr>
        </w:r>
        <w:r w:rsidR="00536BC9">
          <w:rPr>
            <w:webHidden/>
          </w:rPr>
          <w:fldChar w:fldCharType="separate"/>
        </w:r>
        <w:r w:rsidR="00286A34">
          <w:rPr>
            <w:webHidden/>
          </w:rPr>
          <w:t>17</w:t>
        </w:r>
        <w:r w:rsidR="00536BC9">
          <w:rPr>
            <w:webHidden/>
          </w:rPr>
          <w:fldChar w:fldCharType="end"/>
        </w:r>
      </w:hyperlink>
    </w:p>
    <w:p w14:paraId="0E1D3BD4" w14:textId="76AA2F35" w:rsidR="00536BC9" w:rsidRDefault="000D53F8">
      <w:pPr>
        <w:pStyle w:val="TOC2"/>
        <w:rPr>
          <w:rFonts w:asciiTheme="minorHAnsi" w:eastAsiaTheme="minorEastAsia" w:hAnsiTheme="minorHAnsi" w:cstheme="minorBidi"/>
          <w:color w:val="auto"/>
          <w:kern w:val="2"/>
          <w:sz w:val="22"/>
          <w:szCs w:val="22"/>
          <w:lang w:eastAsia="en-AU"/>
          <w14:ligatures w14:val="standardContextual"/>
        </w:rPr>
      </w:pPr>
      <w:hyperlink w:anchor="_Toc158706974" w:history="1">
        <w:r w:rsidR="00536BC9" w:rsidRPr="00C14875">
          <w:rPr>
            <w:rStyle w:val="Hyperlink"/>
          </w:rPr>
          <w:t>3.6</w:t>
        </w:r>
        <w:r w:rsidR="00536BC9">
          <w:rPr>
            <w:rFonts w:asciiTheme="minorHAnsi" w:eastAsiaTheme="minorEastAsia" w:hAnsiTheme="minorHAnsi" w:cstheme="minorBidi"/>
            <w:color w:val="auto"/>
            <w:kern w:val="2"/>
            <w:sz w:val="22"/>
            <w:szCs w:val="22"/>
            <w:lang w:eastAsia="en-AU"/>
            <w14:ligatures w14:val="standardContextual"/>
          </w:rPr>
          <w:tab/>
        </w:r>
        <w:r w:rsidR="00536BC9" w:rsidRPr="00C14875">
          <w:rPr>
            <w:rStyle w:val="Hyperlink"/>
          </w:rPr>
          <w:t>How the operational provisions work</w:t>
        </w:r>
        <w:r w:rsidR="00536BC9">
          <w:rPr>
            <w:webHidden/>
          </w:rPr>
          <w:tab/>
        </w:r>
        <w:r w:rsidR="00536BC9">
          <w:rPr>
            <w:webHidden/>
          </w:rPr>
          <w:fldChar w:fldCharType="begin"/>
        </w:r>
        <w:r w:rsidR="00536BC9">
          <w:rPr>
            <w:webHidden/>
          </w:rPr>
          <w:instrText xml:space="preserve"> PAGEREF _Toc158706974 \h </w:instrText>
        </w:r>
        <w:r w:rsidR="00536BC9">
          <w:rPr>
            <w:webHidden/>
          </w:rPr>
        </w:r>
        <w:r w:rsidR="00536BC9">
          <w:rPr>
            <w:webHidden/>
          </w:rPr>
          <w:fldChar w:fldCharType="separate"/>
        </w:r>
        <w:r w:rsidR="00286A34">
          <w:rPr>
            <w:webHidden/>
          </w:rPr>
          <w:t>17</w:t>
        </w:r>
        <w:r w:rsidR="00536BC9">
          <w:rPr>
            <w:webHidden/>
          </w:rPr>
          <w:fldChar w:fldCharType="end"/>
        </w:r>
      </w:hyperlink>
    </w:p>
    <w:p w14:paraId="128CF129" w14:textId="6DC95A25" w:rsidR="00536BC9" w:rsidRDefault="000D53F8">
      <w:pPr>
        <w:pStyle w:val="TOC2"/>
        <w:rPr>
          <w:rFonts w:asciiTheme="minorHAnsi" w:eastAsiaTheme="minorEastAsia" w:hAnsiTheme="minorHAnsi" w:cstheme="minorBidi"/>
          <w:color w:val="auto"/>
          <w:kern w:val="2"/>
          <w:sz w:val="22"/>
          <w:szCs w:val="22"/>
          <w:lang w:eastAsia="en-AU"/>
          <w14:ligatures w14:val="standardContextual"/>
        </w:rPr>
      </w:pPr>
      <w:hyperlink w:anchor="_Toc158706975" w:history="1">
        <w:r w:rsidR="00536BC9" w:rsidRPr="00C14875">
          <w:rPr>
            <w:rStyle w:val="Hyperlink"/>
          </w:rPr>
          <w:t>3.7</w:t>
        </w:r>
        <w:r w:rsidR="00536BC9">
          <w:rPr>
            <w:rFonts w:asciiTheme="minorHAnsi" w:eastAsiaTheme="minorEastAsia" w:hAnsiTheme="minorHAnsi" w:cstheme="minorBidi"/>
            <w:color w:val="auto"/>
            <w:kern w:val="2"/>
            <w:sz w:val="22"/>
            <w:szCs w:val="22"/>
            <w:lang w:eastAsia="en-AU"/>
            <w14:ligatures w14:val="standardContextual"/>
          </w:rPr>
          <w:tab/>
        </w:r>
        <w:r w:rsidR="00536BC9" w:rsidRPr="00C14875">
          <w:rPr>
            <w:rStyle w:val="Hyperlink"/>
          </w:rPr>
          <w:t>How the land use terms work</w:t>
        </w:r>
        <w:r w:rsidR="00536BC9">
          <w:rPr>
            <w:webHidden/>
          </w:rPr>
          <w:tab/>
        </w:r>
        <w:r w:rsidR="00536BC9">
          <w:rPr>
            <w:webHidden/>
          </w:rPr>
          <w:fldChar w:fldCharType="begin"/>
        </w:r>
        <w:r w:rsidR="00536BC9">
          <w:rPr>
            <w:webHidden/>
          </w:rPr>
          <w:instrText xml:space="preserve"> PAGEREF _Toc158706975 \h </w:instrText>
        </w:r>
        <w:r w:rsidR="00536BC9">
          <w:rPr>
            <w:webHidden/>
          </w:rPr>
        </w:r>
        <w:r w:rsidR="00536BC9">
          <w:rPr>
            <w:webHidden/>
          </w:rPr>
          <w:fldChar w:fldCharType="separate"/>
        </w:r>
        <w:r w:rsidR="00286A34">
          <w:rPr>
            <w:webHidden/>
          </w:rPr>
          <w:t>18</w:t>
        </w:r>
        <w:r w:rsidR="00536BC9">
          <w:rPr>
            <w:webHidden/>
          </w:rPr>
          <w:fldChar w:fldCharType="end"/>
        </w:r>
      </w:hyperlink>
    </w:p>
    <w:p w14:paraId="440C6DC3" w14:textId="325E3111" w:rsidR="00536BC9" w:rsidRDefault="000D53F8">
      <w:pPr>
        <w:pStyle w:val="TOC1"/>
        <w:rPr>
          <w:rFonts w:asciiTheme="minorHAnsi" w:eastAsiaTheme="minorEastAsia" w:hAnsiTheme="minorHAnsi" w:cstheme="minorBidi"/>
          <w:b w:val="0"/>
          <w:color w:val="auto"/>
          <w:kern w:val="2"/>
          <w:sz w:val="22"/>
          <w:szCs w:val="22"/>
          <w:lang w:eastAsia="en-AU"/>
          <w14:ligatures w14:val="standardContextual"/>
        </w:rPr>
      </w:pPr>
      <w:hyperlink w:anchor="_Toc158706976" w:history="1">
        <w:r w:rsidR="00536BC9" w:rsidRPr="00C14875">
          <w:rPr>
            <w:rStyle w:val="Hyperlink"/>
          </w:rPr>
          <w:t>4</w:t>
        </w:r>
        <w:r w:rsidR="00536BC9">
          <w:rPr>
            <w:rFonts w:asciiTheme="minorHAnsi" w:eastAsiaTheme="minorEastAsia" w:hAnsiTheme="minorHAnsi" w:cstheme="minorBidi"/>
            <w:b w:val="0"/>
            <w:color w:val="auto"/>
            <w:kern w:val="2"/>
            <w:sz w:val="22"/>
            <w:szCs w:val="22"/>
            <w:lang w:eastAsia="en-AU"/>
            <w14:ligatures w14:val="standardContextual"/>
          </w:rPr>
          <w:tab/>
        </w:r>
        <w:r w:rsidR="00536BC9" w:rsidRPr="00C14875">
          <w:rPr>
            <w:rStyle w:val="Hyperlink"/>
          </w:rPr>
          <w:t>Rules for writing a planning scheme provision</w:t>
        </w:r>
        <w:r w:rsidR="00536BC9">
          <w:rPr>
            <w:webHidden/>
          </w:rPr>
          <w:tab/>
        </w:r>
        <w:r w:rsidR="00536BC9">
          <w:rPr>
            <w:webHidden/>
          </w:rPr>
          <w:fldChar w:fldCharType="begin"/>
        </w:r>
        <w:r w:rsidR="00536BC9">
          <w:rPr>
            <w:webHidden/>
          </w:rPr>
          <w:instrText xml:space="preserve"> PAGEREF _Toc158706976 \h </w:instrText>
        </w:r>
        <w:r w:rsidR="00536BC9">
          <w:rPr>
            <w:webHidden/>
          </w:rPr>
        </w:r>
        <w:r w:rsidR="00536BC9">
          <w:rPr>
            <w:webHidden/>
          </w:rPr>
          <w:fldChar w:fldCharType="separate"/>
        </w:r>
        <w:r w:rsidR="00286A34">
          <w:rPr>
            <w:webHidden/>
          </w:rPr>
          <w:t>19</w:t>
        </w:r>
        <w:r w:rsidR="00536BC9">
          <w:rPr>
            <w:webHidden/>
          </w:rPr>
          <w:fldChar w:fldCharType="end"/>
        </w:r>
      </w:hyperlink>
    </w:p>
    <w:p w14:paraId="2BDBB0B3" w14:textId="5ED98764" w:rsidR="00536BC9" w:rsidRDefault="000D53F8">
      <w:pPr>
        <w:pStyle w:val="TOC2"/>
        <w:rPr>
          <w:rFonts w:asciiTheme="minorHAnsi" w:eastAsiaTheme="minorEastAsia" w:hAnsiTheme="minorHAnsi" w:cstheme="minorBidi"/>
          <w:color w:val="auto"/>
          <w:kern w:val="2"/>
          <w:sz w:val="22"/>
          <w:szCs w:val="22"/>
          <w:lang w:eastAsia="en-AU"/>
          <w14:ligatures w14:val="standardContextual"/>
        </w:rPr>
      </w:pPr>
      <w:hyperlink w:anchor="_Toc158706977" w:history="1">
        <w:r w:rsidR="00536BC9" w:rsidRPr="00C14875">
          <w:rPr>
            <w:rStyle w:val="Hyperlink"/>
          </w:rPr>
          <w:t>4.1</w:t>
        </w:r>
        <w:r w:rsidR="00536BC9">
          <w:rPr>
            <w:rFonts w:asciiTheme="minorHAnsi" w:eastAsiaTheme="minorEastAsia" w:hAnsiTheme="minorHAnsi" w:cstheme="minorBidi"/>
            <w:color w:val="auto"/>
            <w:kern w:val="2"/>
            <w:sz w:val="22"/>
            <w:szCs w:val="22"/>
            <w:lang w:eastAsia="en-AU"/>
            <w14:ligatures w14:val="standardContextual"/>
          </w:rPr>
          <w:tab/>
        </w:r>
        <w:r w:rsidR="00536BC9" w:rsidRPr="00C14875">
          <w:rPr>
            <w:rStyle w:val="Hyperlink"/>
          </w:rPr>
          <w:t>The planning scheme rules</w:t>
        </w:r>
        <w:r w:rsidR="00536BC9">
          <w:rPr>
            <w:webHidden/>
          </w:rPr>
          <w:tab/>
        </w:r>
        <w:r w:rsidR="00536BC9">
          <w:rPr>
            <w:webHidden/>
          </w:rPr>
          <w:fldChar w:fldCharType="begin"/>
        </w:r>
        <w:r w:rsidR="00536BC9">
          <w:rPr>
            <w:webHidden/>
          </w:rPr>
          <w:instrText xml:space="preserve"> PAGEREF _Toc158706977 \h </w:instrText>
        </w:r>
        <w:r w:rsidR="00536BC9">
          <w:rPr>
            <w:webHidden/>
          </w:rPr>
        </w:r>
        <w:r w:rsidR="00536BC9">
          <w:rPr>
            <w:webHidden/>
          </w:rPr>
          <w:fldChar w:fldCharType="separate"/>
        </w:r>
        <w:r w:rsidR="00286A34">
          <w:rPr>
            <w:webHidden/>
          </w:rPr>
          <w:t>19</w:t>
        </w:r>
        <w:r w:rsidR="00536BC9">
          <w:rPr>
            <w:webHidden/>
          </w:rPr>
          <w:fldChar w:fldCharType="end"/>
        </w:r>
      </w:hyperlink>
    </w:p>
    <w:p w14:paraId="26169B38" w14:textId="60D45B82" w:rsidR="00536BC9" w:rsidRDefault="000D53F8">
      <w:pPr>
        <w:pStyle w:val="TOC2"/>
        <w:rPr>
          <w:rFonts w:asciiTheme="minorHAnsi" w:eastAsiaTheme="minorEastAsia" w:hAnsiTheme="minorHAnsi" w:cstheme="minorBidi"/>
          <w:color w:val="auto"/>
          <w:kern w:val="2"/>
          <w:sz w:val="22"/>
          <w:szCs w:val="22"/>
          <w:lang w:eastAsia="en-AU"/>
          <w14:ligatures w14:val="standardContextual"/>
        </w:rPr>
      </w:pPr>
      <w:hyperlink w:anchor="_Toc158706978" w:history="1">
        <w:r w:rsidR="00536BC9" w:rsidRPr="00C14875">
          <w:rPr>
            <w:rStyle w:val="Hyperlink"/>
          </w:rPr>
          <w:t>4.2</w:t>
        </w:r>
        <w:r w:rsidR="00536BC9">
          <w:rPr>
            <w:rFonts w:asciiTheme="minorHAnsi" w:eastAsiaTheme="minorEastAsia" w:hAnsiTheme="minorHAnsi" w:cstheme="minorBidi"/>
            <w:color w:val="auto"/>
            <w:kern w:val="2"/>
            <w:sz w:val="22"/>
            <w:szCs w:val="22"/>
            <w:lang w:eastAsia="en-AU"/>
            <w14:ligatures w14:val="standardContextual"/>
          </w:rPr>
          <w:tab/>
        </w:r>
        <w:r w:rsidR="00536BC9" w:rsidRPr="00C14875">
          <w:rPr>
            <w:rStyle w:val="Hyperlink"/>
          </w:rPr>
          <w:t>Entry rules</w:t>
        </w:r>
        <w:r w:rsidR="00536BC9">
          <w:rPr>
            <w:webHidden/>
          </w:rPr>
          <w:tab/>
        </w:r>
        <w:r w:rsidR="00536BC9">
          <w:rPr>
            <w:webHidden/>
          </w:rPr>
          <w:fldChar w:fldCharType="begin"/>
        </w:r>
        <w:r w:rsidR="00536BC9">
          <w:rPr>
            <w:webHidden/>
          </w:rPr>
          <w:instrText xml:space="preserve"> PAGEREF _Toc158706978 \h </w:instrText>
        </w:r>
        <w:r w:rsidR="00536BC9">
          <w:rPr>
            <w:webHidden/>
          </w:rPr>
        </w:r>
        <w:r w:rsidR="00536BC9">
          <w:rPr>
            <w:webHidden/>
          </w:rPr>
          <w:fldChar w:fldCharType="separate"/>
        </w:r>
        <w:r w:rsidR="00286A34">
          <w:rPr>
            <w:webHidden/>
          </w:rPr>
          <w:t>21</w:t>
        </w:r>
        <w:r w:rsidR="00536BC9">
          <w:rPr>
            <w:webHidden/>
          </w:rPr>
          <w:fldChar w:fldCharType="end"/>
        </w:r>
      </w:hyperlink>
    </w:p>
    <w:p w14:paraId="4C4D852A" w14:textId="756AD0F0" w:rsidR="00536BC9" w:rsidRDefault="000D53F8">
      <w:pPr>
        <w:pStyle w:val="TOC2"/>
        <w:rPr>
          <w:rFonts w:asciiTheme="minorHAnsi" w:eastAsiaTheme="minorEastAsia" w:hAnsiTheme="minorHAnsi" w:cstheme="minorBidi"/>
          <w:color w:val="auto"/>
          <w:kern w:val="2"/>
          <w:sz w:val="22"/>
          <w:szCs w:val="22"/>
          <w:lang w:eastAsia="en-AU"/>
          <w14:ligatures w14:val="standardContextual"/>
        </w:rPr>
      </w:pPr>
      <w:hyperlink w:anchor="_Toc158706979" w:history="1">
        <w:r w:rsidR="00536BC9" w:rsidRPr="00C14875">
          <w:rPr>
            <w:rStyle w:val="Hyperlink"/>
          </w:rPr>
          <w:t>4.3</w:t>
        </w:r>
        <w:r w:rsidR="00536BC9">
          <w:rPr>
            <w:rFonts w:asciiTheme="minorHAnsi" w:eastAsiaTheme="minorEastAsia" w:hAnsiTheme="minorHAnsi" w:cstheme="minorBidi"/>
            <w:color w:val="auto"/>
            <w:kern w:val="2"/>
            <w:sz w:val="22"/>
            <w:szCs w:val="22"/>
            <w:lang w:eastAsia="en-AU"/>
            <w14:ligatures w14:val="standardContextual"/>
          </w:rPr>
          <w:tab/>
        </w:r>
        <w:r w:rsidR="00536BC9" w:rsidRPr="00C14875">
          <w:rPr>
            <w:rStyle w:val="Hyperlink"/>
          </w:rPr>
          <w:t>Application rules</w:t>
        </w:r>
        <w:r w:rsidR="00536BC9">
          <w:rPr>
            <w:webHidden/>
          </w:rPr>
          <w:tab/>
        </w:r>
        <w:r w:rsidR="00536BC9">
          <w:rPr>
            <w:webHidden/>
          </w:rPr>
          <w:fldChar w:fldCharType="begin"/>
        </w:r>
        <w:r w:rsidR="00536BC9">
          <w:rPr>
            <w:webHidden/>
          </w:rPr>
          <w:instrText xml:space="preserve"> PAGEREF _Toc158706979 \h </w:instrText>
        </w:r>
        <w:r w:rsidR="00536BC9">
          <w:rPr>
            <w:webHidden/>
          </w:rPr>
        </w:r>
        <w:r w:rsidR="00536BC9">
          <w:rPr>
            <w:webHidden/>
          </w:rPr>
          <w:fldChar w:fldCharType="separate"/>
        </w:r>
        <w:r w:rsidR="00286A34">
          <w:rPr>
            <w:webHidden/>
          </w:rPr>
          <w:t>23</w:t>
        </w:r>
        <w:r w:rsidR="00536BC9">
          <w:rPr>
            <w:webHidden/>
          </w:rPr>
          <w:fldChar w:fldCharType="end"/>
        </w:r>
      </w:hyperlink>
    </w:p>
    <w:p w14:paraId="54FA8395" w14:textId="7E58A959" w:rsidR="00536BC9" w:rsidRDefault="000D53F8">
      <w:pPr>
        <w:pStyle w:val="TOC2"/>
        <w:rPr>
          <w:rFonts w:asciiTheme="minorHAnsi" w:eastAsiaTheme="minorEastAsia" w:hAnsiTheme="minorHAnsi" w:cstheme="minorBidi"/>
          <w:color w:val="auto"/>
          <w:kern w:val="2"/>
          <w:sz w:val="22"/>
          <w:szCs w:val="22"/>
          <w:lang w:eastAsia="en-AU"/>
          <w14:ligatures w14:val="standardContextual"/>
        </w:rPr>
      </w:pPr>
      <w:hyperlink w:anchor="_Toc158706980" w:history="1">
        <w:r w:rsidR="00536BC9" w:rsidRPr="00C14875">
          <w:rPr>
            <w:rStyle w:val="Hyperlink"/>
          </w:rPr>
          <w:t>4.4</w:t>
        </w:r>
        <w:r w:rsidR="00536BC9">
          <w:rPr>
            <w:rFonts w:asciiTheme="minorHAnsi" w:eastAsiaTheme="minorEastAsia" w:hAnsiTheme="minorHAnsi" w:cstheme="minorBidi"/>
            <w:color w:val="auto"/>
            <w:kern w:val="2"/>
            <w:sz w:val="22"/>
            <w:szCs w:val="22"/>
            <w:lang w:eastAsia="en-AU"/>
            <w14:ligatures w14:val="standardContextual"/>
          </w:rPr>
          <w:tab/>
        </w:r>
        <w:r w:rsidR="00536BC9" w:rsidRPr="00C14875">
          <w:rPr>
            <w:rStyle w:val="Hyperlink"/>
          </w:rPr>
          <w:t>Drafting rules</w:t>
        </w:r>
        <w:r w:rsidR="00536BC9">
          <w:rPr>
            <w:webHidden/>
          </w:rPr>
          <w:tab/>
        </w:r>
        <w:r w:rsidR="00536BC9">
          <w:rPr>
            <w:webHidden/>
          </w:rPr>
          <w:fldChar w:fldCharType="begin"/>
        </w:r>
        <w:r w:rsidR="00536BC9">
          <w:rPr>
            <w:webHidden/>
          </w:rPr>
          <w:instrText xml:space="preserve"> PAGEREF _Toc158706980 \h </w:instrText>
        </w:r>
        <w:r w:rsidR="00536BC9">
          <w:rPr>
            <w:webHidden/>
          </w:rPr>
        </w:r>
        <w:r w:rsidR="00536BC9">
          <w:rPr>
            <w:webHidden/>
          </w:rPr>
          <w:fldChar w:fldCharType="separate"/>
        </w:r>
        <w:r w:rsidR="00286A34">
          <w:rPr>
            <w:webHidden/>
          </w:rPr>
          <w:t>25</w:t>
        </w:r>
        <w:r w:rsidR="00536BC9">
          <w:rPr>
            <w:webHidden/>
          </w:rPr>
          <w:fldChar w:fldCharType="end"/>
        </w:r>
      </w:hyperlink>
    </w:p>
    <w:p w14:paraId="2996D77A" w14:textId="1BC9E93E" w:rsidR="00536BC9" w:rsidRDefault="000D53F8">
      <w:pPr>
        <w:pStyle w:val="TOC1"/>
        <w:rPr>
          <w:rFonts w:asciiTheme="minorHAnsi" w:eastAsiaTheme="minorEastAsia" w:hAnsiTheme="minorHAnsi" w:cstheme="minorBidi"/>
          <w:b w:val="0"/>
          <w:color w:val="auto"/>
          <w:kern w:val="2"/>
          <w:sz w:val="22"/>
          <w:szCs w:val="22"/>
          <w:lang w:eastAsia="en-AU"/>
          <w14:ligatures w14:val="standardContextual"/>
        </w:rPr>
      </w:pPr>
      <w:hyperlink w:anchor="_Toc158706981" w:history="1">
        <w:r w:rsidR="00536BC9" w:rsidRPr="00C14875">
          <w:rPr>
            <w:rStyle w:val="Hyperlink"/>
          </w:rPr>
          <w:t>5</w:t>
        </w:r>
        <w:r w:rsidR="00536BC9">
          <w:rPr>
            <w:rFonts w:asciiTheme="minorHAnsi" w:eastAsiaTheme="minorEastAsia" w:hAnsiTheme="minorHAnsi" w:cstheme="minorBidi"/>
            <w:b w:val="0"/>
            <w:color w:val="auto"/>
            <w:kern w:val="2"/>
            <w:sz w:val="22"/>
            <w:szCs w:val="22"/>
            <w:lang w:eastAsia="en-AU"/>
            <w14:ligatures w14:val="standardContextual"/>
          </w:rPr>
          <w:tab/>
        </w:r>
        <w:r w:rsidR="00536BC9" w:rsidRPr="00C14875">
          <w:rPr>
            <w:rStyle w:val="Hyperlink"/>
          </w:rPr>
          <w:t>Choosing and applying provisions</w:t>
        </w:r>
        <w:r w:rsidR="00536BC9">
          <w:rPr>
            <w:webHidden/>
          </w:rPr>
          <w:tab/>
        </w:r>
        <w:r w:rsidR="00536BC9">
          <w:rPr>
            <w:webHidden/>
          </w:rPr>
          <w:fldChar w:fldCharType="begin"/>
        </w:r>
        <w:r w:rsidR="00536BC9">
          <w:rPr>
            <w:webHidden/>
          </w:rPr>
          <w:instrText xml:space="preserve"> PAGEREF _Toc158706981 \h </w:instrText>
        </w:r>
        <w:r w:rsidR="00536BC9">
          <w:rPr>
            <w:webHidden/>
          </w:rPr>
        </w:r>
        <w:r w:rsidR="00536BC9">
          <w:rPr>
            <w:webHidden/>
          </w:rPr>
          <w:fldChar w:fldCharType="separate"/>
        </w:r>
        <w:r w:rsidR="00286A34">
          <w:rPr>
            <w:webHidden/>
          </w:rPr>
          <w:t>27</w:t>
        </w:r>
        <w:r w:rsidR="00536BC9">
          <w:rPr>
            <w:webHidden/>
          </w:rPr>
          <w:fldChar w:fldCharType="end"/>
        </w:r>
      </w:hyperlink>
    </w:p>
    <w:p w14:paraId="1AD52FD3" w14:textId="6EA7300A" w:rsidR="00536BC9" w:rsidRDefault="000D53F8">
      <w:pPr>
        <w:pStyle w:val="TOC2"/>
        <w:rPr>
          <w:rFonts w:asciiTheme="minorHAnsi" w:eastAsiaTheme="minorEastAsia" w:hAnsiTheme="minorHAnsi" w:cstheme="minorBidi"/>
          <w:color w:val="auto"/>
          <w:kern w:val="2"/>
          <w:sz w:val="22"/>
          <w:szCs w:val="22"/>
          <w:lang w:eastAsia="en-AU"/>
          <w14:ligatures w14:val="standardContextual"/>
        </w:rPr>
      </w:pPr>
      <w:hyperlink w:anchor="_Toc158706982" w:history="1">
        <w:r w:rsidR="00536BC9" w:rsidRPr="00C14875">
          <w:rPr>
            <w:rStyle w:val="Hyperlink"/>
          </w:rPr>
          <w:t>5.1</w:t>
        </w:r>
        <w:r w:rsidR="00536BC9">
          <w:rPr>
            <w:rFonts w:asciiTheme="minorHAnsi" w:eastAsiaTheme="minorEastAsia" w:hAnsiTheme="minorHAnsi" w:cstheme="minorBidi"/>
            <w:color w:val="auto"/>
            <w:kern w:val="2"/>
            <w:sz w:val="22"/>
            <w:szCs w:val="22"/>
            <w:lang w:eastAsia="en-AU"/>
            <w14:ligatures w14:val="standardContextual"/>
          </w:rPr>
          <w:tab/>
        </w:r>
        <w:r w:rsidR="00536BC9" w:rsidRPr="00C14875">
          <w:rPr>
            <w:rStyle w:val="Hyperlink"/>
          </w:rPr>
          <w:t>Applying a zone</w:t>
        </w:r>
        <w:r w:rsidR="00536BC9">
          <w:rPr>
            <w:webHidden/>
          </w:rPr>
          <w:tab/>
        </w:r>
        <w:r w:rsidR="00536BC9">
          <w:rPr>
            <w:webHidden/>
          </w:rPr>
          <w:fldChar w:fldCharType="begin"/>
        </w:r>
        <w:r w:rsidR="00536BC9">
          <w:rPr>
            <w:webHidden/>
          </w:rPr>
          <w:instrText xml:space="preserve"> PAGEREF _Toc158706982 \h </w:instrText>
        </w:r>
        <w:r w:rsidR="00536BC9">
          <w:rPr>
            <w:webHidden/>
          </w:rPr>
        </w:r>
        <w:r w:rsidR="00536BC9">
          <w:rPr>
            <w:webHidden/>
          </w:rPr>
          <w:fldChar w:fldCharType="separate"/>
        </w:r>
        <w:r w:rsidR="00286A34">
          <w:rPr>
            <w:webHidden/>
          </w:rPr>
          <w:t>27</w:t>
        </w:r>
        <w:r w:rsidR="00536BC9">
          <w:rPr>
            <w:webHidden/>
          </w:rPr>
          <w:fldChar w:fldCharType="end"/>
        </w:r>
      </w:hyperlink>
    </w:p>
    <w:p w14:paraId="7F987695" w14:textId="36A38F0B" w:rsidR="00536BC9" w:rsidRDefault="000D53F8">
      <w:pPr>
        <w:pStyle w:val="TOC2"/>
        <w:rPr>
          <w:rFonts w:asciiTheme="minorHAnsi" w:eastAsiaTheme="minorEastAsia" w:hAnsiTheme="minorHAnsi" w:cstheme="minorBidi"/>
          <w:color w:val="auto"/>
          <w:kern w:val="2"/>
          <w:sz w:val="22"/>
          <w:szCs w:val="22"/>
          <w:lang w:eastAsia="en-AU"/>
          <w14:ligatures w14:val="standardContextual"/>
        </w:rPr>
      </w:pPr>
      <w:hyperlink w:anchor="_Toc158706983" w:history="1">
        <w:r w:rsidR="00536BC9" w:rsidRPr="00C14875">
          <w:rPr>
            <w:rStyle w:val="Hyperlink"/>
          </w:rPr>
          <w:t>5.2</w:t>
        </w:r>
        <w:r w:rsidR="00536BC9">
          <w:rPr>
            <w:rFonts w:asciiTheme="minorHAnsi" w:eastAsiaTheme="minorEastAsia" w:hAnsiTheme="minorHAnsi" w:cstheme="minorBidi"/>
            <w:color w:val="auto"/>
            <w:kern w:val="2"/>
            <w:sz w:val="22"/>
            <w:szCs w:val="22"/>
            <w:lang w:eastAsia="en-AU"/>
            <w14:ligatures w14:val="standardContextual"/>
          </w:rPr>
          <w:tab/>
        </w:r>
        <w:r w:rsidR="00536BC9" w:rsidRPr="00C14875">
          <w:rPr>
            <w:rStyle w:val="Hyperlink"/>
          </w:rPr>
          <w:t>Applying an overlay</w:t>
        </w:r>
        <w:r w:rsidR="00536BC9">
          <w:rPr>
            <w:webHidden/>
          </w:rPr>
          <w:tab/>
        </w:r>
        <w:r w:rsidR="00536BC9">
          <w:rPr>
            <w:webHidden/>
          </w:rPr>
          <w:fldChar w:fldCharType="begin"/>
        </w:r>
        <w:r w:rsidR="00536BC9">
          <w:rPr>
            <w:webHidden/>
          </w:rPr>
          <w:instrText xml:space="preserve"> PAGEREF _Toc158706983 \h </w:instrText>
        </w:r>
        <w:r w:rsidR="00536BC9">
          <w:rPr>
            <w:webHidden/>
          </w:rPr>
        </w:r>
        <w:r w:rsidR="00536BC9">
          <w:rPr>
            <w:webHidden/>
          </w:rPr>
          <w:fldChar w:fldCharType="separate"/>
        </w:r>
        <w:r w:rsidR="00286A34">
          <w:rPr>
            <w:webHidden/>
          </w:rPr>
          <w:t>36</w:t>
        </w:r>
        <w:r w:rsidR="00536BC9">
          <w:rPr>
            <w:webHidden/>
          </w:rPr>
          <w:fldChar w:fldCharType="end"/>
        </w:r>
      </w:hyperlink>
    </w:p>
    <w:p w14:paraId="170A3688" w14:textId="6D82F656" w:rsidR="00536BC9" w:rsidRDefault="000D53F8">
      <w:pPr>
        <w:pStyle w:val="TOC2"/>
        <w:rPr>
          <w:rFonts w:asciiTheme="minorHAnsi" w:eastAsiaTheme="minorEastAsia" w:hAnsiTheme="minorHAnsi" w:cstheme="minorBidi"/>
          <w:color w:val="auto"/>
          <w:kern w:val="2"/>
          <w:sz w:val="22"/>
          <w:szCs w:val="22"/>
          <w:lang w:eastAsia="en-AU"/>
          <w14:ligatures w14:val="standardContextual"/>
        </w:rPr>
      </w:pPr>
      <w:hyperlink w:anchor="_Toc158706984" w:history="1">
        <w:r w:rsidR="00536BC9" w:rsidRPr="00C14875">
          <w:rPr>
            <w:rStyle w:val="Hyperlink"/>
          </w:rPr>
          <w:t>5.3</w:t>
        </w:r>
        <w:r w:rsidR="00536BC9">
          <w:rPr>
            <w:rFonts w:asciiTheme="minorHAnsi" w:eastAsiaTheme="minorEastAsia" w:hAnsiTheme="minorHAnsi" w:cstheme="minorBidi"/>
            <w:color w:val="auto"/>
            <w:kern w:val="2"/>
            <w:sz w:val="22"/>
            <w:szCs w:val="22"/>
            <w:lang w:eastAsia="en-AU"/>
            <w14:ligatures w14:val="standardContextual"/>
          </w:rPr>
          <w:tab/>
        </w:r>
        <w:r w:rsidR="00536BC9" w:rsidRPr="00C14875">
          <w:rPr>
            <w:rStyle w:val="Hyperlink"/>
          </w:rPr>
          <w:t>Using VicSmart</w:t>
        </w:r>
        <w:r w:rsidR="00536BC9">
          <w:rPr>
            <w:webHidden/>
          </w:rPr>
          <w:tab/>
        </w:r>
        <w:r w:rsidR="00536BC9">
          <w:rPr>
            <w:webHidden/>
          </w:rPr>
          <w:fldChar w:fldCharType="begin"/>
        </w:r>
        <w:r w:rsidR="00536BC9">
          <w:rPr>
            <w:webHidden/>
          </w:rPr>
          <w:instrText xml:space="preserve"> PAGEREF _Toc158706984 \h </w:instrText>
        </w:r>
        <w:r w:rsidR="00536BC9">
          <w:rPr>
            <w:webHidden/>
          </w:rPr>
        </w:r>
        <w:r w:rsidR="00536BC9">
          <w:rPr>
            <w:webHidden/>
          </w:rPr>
          <w:fldChar w:fldCharType="separate"/>
        </w:r>
        <w:r w:rsidR="00286A34">
          <w:rPr>
            <w:webHidden/>
          </w:rPr>
          <w:t>45</w:t>
        </w:r>
        <w:r w:rsidR="00536BC9">
          <w:rPr>
            <w:webHidden/>
          </w:rPr>
          <w:fldChar w:fldCharType="end"/>
        </w:r>
      </w:hyperlink>
    </w:p>
    <w:p w14:paraId="7DDAB161" w14:textId="7D360BC9" w:rsidR="00536BC9" w:rsidRDefault="000D53F8">
      <w:pPr>
        <w:pStyle w:val="TOC2"/>
        <w:rPr>
          <w:rFonts w:asciiTheme="minorHAnsi" w:eastAsiaTheme="minorEastAsia" w:hAnsiTheme="minorHAnsi" w:cstheme="minorBidi"/>
          <w:color w:val="auto"/>
          <w:kern w:val="2"/>
          <w:sz w:val="22"/>
          <w:szCs w:val="22"/>
          <w:lang w:eastAsia="en-AU"/>
          <w14:ligatures w14:val="standardContextual"/>
        </w:rPr>
      </w:pPr>
      <w:hyperlink w:anchor="_Toc158706985" w:history="1">
        <w:r w:rsidR="00536BC9" w:rsidRPr="00C14875">
          <w:rPr>
            <w:rStyle w:val="Hyperlink"/>
          </w:rPr>
          <w:t>5.4</w:t>
        </w:r>
        <w:r w:rsidR="00536BC9">
          <w:rPr>
            <w:rFonts w:asciiTheme="minorHAnsi" w:eastAsiaTheme="minorEastAsia" w:hAnsiTheme="minorHAnsi" w:cstheme="minorBidi"/>
            <w:color w:val="auto"/>
            <w:kern w:val="2"/>
            <w:sz w:val="22"/>
            <w:szCs w:val="22"/>
            <w:lang w:eastAsia="en-AU"/>
            <w14:ligatures w14:val="standardContextual"/>
          </w:rPr>
          <w:tab/>
        </w:r>
        <w:r w:rsidR="00536BC9" w:rsidRPr="00C14875">
          <w:rPr>
            <w:rStyle w:val="Hyperlink"/>
          </w:rPr>
          <w:t>Managing referral and notice requirements</w:t>
        </w:r>
        <w:r w:rsidR="00536BC9">
          <w:rPr>
            <w:webHidden/>
          </w:rPr>
          <w:tab/>
        </w:r>
        <w:r w:rsidR="00536BC9">
          <w:rPr>
            <w:webHidden/>
          </w:rPr>
          <w:fldChar w:fldCharType="begin"/>
        </w:r>
        <w:r w:rsidR="00536BC9">
          <w:rPr>
            <w:webHidden/>
          </w:rPr>
          <w:instrText xml:space="preserve"> PAGEREF _Toc158706985 \h </w:instrText>
        </w:r>
        <w:r w:rsidR="00536BC9">
          <w:rPr>
            <w:webHidden/>
          </w:rPr>
        </w:r>
        <w:r w:rsidR="00536BC9">
          <w:rPr>
            <w:webHidden/>
          </w:rPr>
          <w:fldChar w:fldCharType="separate"/>
        </w:r>
        <w:r w:rsidR="00286A34">
          <w:rPr>
            <w:webHidden/>
          </w:rPr>
          <w:t>48</w:t>
        </w:r>
        <w:r w:rsidR="00536BC9">
          <w:rPr>
            <w:webHidden/>
          </w:rPr>
          <w:fldChar w:fldCharType="end"/>
        </w:r>
      </w:hyperlink>
    </w:p>
    <w:p w14:paraId="49D3DC5C" w14:textId="4AB664BA" w:rsidR="00536BC9" w:rsidRDefault="000D53F8">
      <w:pPr>
        <w:pStyle w:val="TOC2"/>
        <w:rPr>
          <w:rFonts w:asciiTheme="minorHAnsi" w:eastAsiaTheme="minorEastAsia" w:hAnsiTheme="minorHAnsi" w:cstheme="minorBidi"/>
          <w:color w:val="auto"/>
          <w:kern w:val="2"/>
          <w:sz w:val="22"/>
          <w:szCs w:val="22"/>
          <w:lang w:eastAsia="en-AU"/>
          <w14:ligatures w14:val="standardContextual"/>
        </w:rPr>
      </w:pPr>
      <w:hyperlink w:anchor="_Toc158706986" w:history="1">
        <w:r w:rsidR="00536BC9" w:rsidRPr="00C14875">
          <w:rPr>
            <w:rStyle w:val="Hyperlink"/>
          </w:rPr>
          <w:t>5.5</w:t>
        </w:r>
        <w:r w:rsidR="00536BC9">
          <w:rPr>
            <w:rFonts w:asciiTheme="minorHAnsi" w:eastAsiaTheme="minorEastAsia" w:hAnsiTheme="minorHAnsi" w:cstheme="minorBidi"/>
            <w:color w:val="auto"/>
            <w:kern w:val="2"/>
            <w:sz w:val="22"/>
            <w:szCs w:val="22"/>
            <w:lang w:eastAsia="en-AU"/>
            <w14:ligatures w14:val="standardContextual"/>
          </w:rPr>
          <w:tab/>
        </w:r>
        <w:r w:rsidR="00536BC9" w:rsidRPr="00C14875">
          <w:rPr>
            <w:rStyle w:val="Hyperlink"/>
          </w:rPr>
          <w:t>Creating a schedule to a general or administrative  provision</w:t>
        </w:r>
        <w:r w:rsidR="00536BC9">
          <w:rPr>
            <w:webHidden/>
          </w:rPr>
          <w:tab/>
        </w:r>
        <w:r w:rsidR="00536BC9">
          <w:rPr>
            <w:webHidden/>
          </w:rPr>
          <w:fldChar w:fldCharType="begin"/>
        </w:r>
        <w:r w:rsidR="00536BC9">
          <w:rPr>
            <w:webHidden/>
          </w:rPr>
          <w:instrText xml:space="preserve"> PAGEREF _Toc158706986 \h </w:instrText>
        </w:r>
        <w:r w:rsidR="00536BC9">
          <w:rPr>
            <w:webHidden/>
          </w:rPr>
        </w:r>
        <w:r w:rsidR="00536BC9">
          <w:rPr>
            <w:webHidden/>
          </w:rPr>
          <w:fldChar w:fldCharType="separate"/>
        </w:r>
        <w:r w:rsidR="00286A34">
          <w:rPr>
            <w:webHidden/>
          </w:rPr>
          <w:t>53</w:t>
        </w:r>
        <w:r w:rsidR="00536BC9">
          <w:rPr>
            <w:webHidden/>
          </w:rPr>
          <w:fldChar w:fldCharType="end"/>
        </w:r>
      </w:hyperlink>
    </w:p>
    <w:p w14:paraId="5FB994A7" w14:textId="726BDB0C" w:rsidR="00536BC9" w:rsidRDefault="000D53F8">
      <w:pPr>
        <w:pStyle w:val="TOC2"/>
        <w:rPr>
          <w:rFonts w:asciiTheme="minorHAnsi" w:eastAsiaTheme="minorEastAsia" w:hAnsiTheme="minorHAnsi" w:cstheme="minorBidi"/>
          <w:color w:val="auto"/>
          <w:kern w:val="2"/>
          <w:sz w:val="22"/>
          <w:szCs w:val="22"/>
          <w:lang w:eastAsia="en-AU"/>
          <w14:ligatures w14:val="standardContextual"/>
        </w:rPr>
      </w:pPr>
      <w:hyperlink w:anchor="_Toc158706987" w:history="1">
        <w:r w:rsidR="00536BC9" w:rsidRPr="00C14875">
          <w:rPr>
            <w:rStyle w:val="Hyperlink"/>
          </w:rPr>
          <w:t>5.6</w:t>
        </w:r>
        <w:r w:rsidR="00536BC9">
          <w:rPr>
            <w:rFonts w:asciiTheme="minorHAnsi" w:eastAsiaTheme="minorEastAsia" w:hAnsiTheme="minorHAnsi" w:cstheme="minorBidi"/>
            <w:color w:val="auto"/>
            <w:kern w:val="2"/>
            <w:sz w:val="22"/>
            <w:szCs w:val="22"/>
            <w:lang w:eastAsia="en-AU"/>
            <w14:ligatures w14:val="standardContextual"/>
          </w:rPr>
          <w:tab/>
        </w:r>
        <w:r w:rsidR="00536BC9" w:rsidRPr="00C14875">
          <w:rPr>
            <w:rStyle w:val="Hyperlink"/>
          </w:rPr>
          <w:t>Considering a site specific provision</w:t>
        </w:r>
        <w:r w:rsidR="00536BC9">
          <w:rPr>
            <w:webHidden/>
          </w:rPr>
          <w:tab/>
        </w:r>
        <w:r w:rsidR="00536BC9">
          <w:rPr>
            <w:webHidden/>
          </w:rPr>
          <w:fldChar w:fldCharType="begin"/>
        </w:r>
        <w:r w:rsidR="00536BC9">
          <w:rPr>
            <w:webHidden/>
          </w:rPr>
          <w:instrText xml:space="preserve"> PAGEREF _Toc158706987 \h </w:instrText>
        </w:r>
        <w:r w:rsidR="00536BC9">
          <w:rPr>
            <w:webHidden/>
          </w:rPr>
        </w:r>
        <w:r w:rsidR="00536BC9">
          <w:rPr>
            <w:webHidden/>
          </w:rPr>
          <w:fldChar w:fldCharType="separate"/>
        </w:r>
        <w:r w:rsidR="00286A34">
          <w:rPr>
            <w:webHidden/>
          </w:rPr>
          <w:t>55</w:t>
        </w:r>
        <w:r w:rsidR="00536BC9">
          <w:rPr>
            <w:webHidden/>
          </w:rPr>
          <w:fldChar w:fldCharType="end"/>
        </w:r>
      </w:hyperlink>
    </w:p>
    <w:p w14:paraId="6D88C5B3" w14:textId="79A20919" w:rsidR="00536BC9" w:rsidRDefault="000D53F8">
      <w:pPr>
        <w:pStyle w:val="TOC2"/>
        <w:rPr>
          <w:rFonts w:asciiTheme="minorHAnsi" w:eastAsiaTheme="minorEastAsia" w:hAnsiTheme="minorHAnsi" w:cstheme="minorBidi"/>
          <w:color w:val="auto"/>
          <w:kern w:val="2"/>
          <w:sz w:val="22"/>
          <w:szCs w:val="22"/>
          <w:lang w:eastAsia="en-AU"/>
          <w14:ligatures w14:val="standardContextual"/>
        </w:rPr>
      </w:pPr>
      <w:hyperlink w:anchor="_Toc158706988" w:history="1">
        <w:r w:rsidR="00536BC9" w:rsidRPr="00C14875">
          <w:rPr>
            <w:rStyle w:val="Hyperlink"/>
          </w:rPr>
          <w:t>5.7</w:t>
        </w:r>
        <w:r w:rsidR="00536BC9">
          <w:rPr>
            <w:rFonts w:asciiTheme="minorHAnsi" w:eastAsiaTheme="minorEastAsia" w:hAnsiTheme="minorHAnsi" w:cstheme="minorBidi"/>
            <w:color w:val="auto"/>
            <w:kern w:val="2"/>
            <w:sz w:val="22"/>
            <w:szCs w:val="22"/>
            <w:lang w:eastAsia="en-AU"/>
            <w14:ligatures w14:val="standardContextual"/>
          </w:rPr>
          <w:tab/>
        </w:r>
        <w:r w:rsidR="00536BC9" w:rsidRPr="00C14875">
          <w:rPr>
            <w:rStyle w:val="Hyperlink"/>
          </w:rPr>
          <w:t>Considering mandatory provisions</w:t>
        </w:r>
        <w:r w:rsidR="00536BC9">
          <w:rPr>
            <w:webHidden/>
          </w:rPr>
          <w:tab/>
        </w:r>
        <w:r w:rsidR="00536BC9">
          <w:rPr>
            <w:webHidden/>
          </w:rPr>
          <w:fldChar w:fldCharType="begin"/>
        </w:r>
        <w:r w:rsidR="00536BC9">
          <w:rPr>
            <w:webHidden/>
          </w:rPr>
          <w:instrText xml:space="preserve"> PAGEREF _Toc158706988 \h </w:instrText>
        </w:r>
        <w:r w:rsidR="00536BC9">
          <w:rPr>
            <w:webHidden/>
          </w:rPr>
        </w:r>
        <w:r w:rsidR="00536BC9">
          <w:rPr>
            <w:webHidden/>
          </w:rPr>
          <w:fldChar w:fldCharType="separate"/>
        </w:r>
        <w:r w:rsidR="00286A34">
          <w:rPr>
            <w:webHidden/>
          </w:rPr>
          <w:t>56</w:t>
        </w:r>
        <w:r w:rsidR="00536BC9">
          <w:rPr>
            <w:webHidden/>
          </w:rPr>
          <w:fldChar w:fldCharType="end"/>
        </w:r>
      </w:hyperlink>
    </w:p>
    <w:p w14:paraId="3315479C" w14:textId="460043D9" w:rsidR="00536BC9" w:rsidRDefault="000D53F8">
      <w:pPr>
        <w:pStyle w:val="TOC1"/>
        <w:rPr>
          <w:rFonts w:asciiTheme="minorHAnsi" w:eastAsiaTheme="minorEastAsia" w:hAnsiTheme="minorHAnsi" w:cstheme="minorBidi"/>
          <w:b w:val="0"/>
          <w:color w:val="auto"/>
          <w:kern w:val="2"/>
          <w:sz w:val="22"/>
          <w:szCs w:val="22"/>
          <w:lang w:eastAsia="en-AU"/>
          <w14:ligatures w14:val="standardContextual"/>
        </w:rPr>
      </w:pPr>
      <w:hyperlink w:anchor="_Toc158706989" w:history="1">
        <w:r w:rsidR="00536BC9" w:rsidRPr="00C14875">
          <w:rPr>
            <w:rStyle w:val="Hyperlink"/>
          </w:rPr>
          <w:t>6</w:t>
        </w:r>
        <w:r w:rsidR="00536BC9">
          <w:rPr>
            <w:rFonts w:asciiTheme="minorHAnsi" w:eastAsiaTheme="minorEastAsia" w:hAnsiTheme="minorHAnsi" w:cstheme="minorBidi"/>
            <w:b w:val="0"/>
            <w:color w:val="auto"/>
            <w:kern w:val="2"/>
            <w:sz w:val="22"/>
            <w:szCs w:val="22"/>
            <w:lang w:eastAsia="en-AU"/>
            <w14:ligatures w14:val="standardContextual"/>
          </w:rPr>
          <w:tab/>
        </w:r>
        <w:r w:rsidR="00536BC9" w:rsidRPr="00C14875">
          <w:rPr>
            <w:rStyle w:val="Hyperlink"/>
          </w:rPr>
          <w:t>How to…</w:t>
        </w:r>
        <w:r w:rsidR="00536BC9">
          <w:rPr>
            <w:webHidden/>
          </w:rPr>
          <w:tab/>
        </w:r>
        <w:r w:rsidR="00536BC9">
          <w:rPr>
            <w:webHidden/>
          </w:rPr>
          <w:fldChar w:fldCharType="begin"/>
        </w:r>
        <w:r w:rsidR="00536BC9">
          <w:rPr>
            <w:webHidden/>
          </w:rPr>
          <w:instrText xml:space="preserve"> PAGEREF _Toc158706989 \h </w:instrText>
        </w:r>
        <w:r w:rsidR="00536BC9">
          <w:rPr>
            <w:webHidden/>
          </w:rPr>
        </w:r>
        <w:r w:rsidR="00536BC9">
          <w:rPr>
            <w:webHidden/>
          </w:rPr>
          <w:fldChar w:fldCharType="separate"/>
        </w:r>
        <w:r w:rsidR="00286A34">
          <w:rPr>
            <w:webHidden/>
          </w:rPr>
          <w:t>59</w:t>
        </w:r>
        <w:r w:rsidR="00536BC9">
          <w:rPr>
            <w:webHidden/>
          </w:rPr>
          <w:fldChar w:fldCharType="end"/>
        </w:r>
      </w:hyperlink>
    </w:p>
    <w:p w14:paraId="5268EE95" w14:textId="5B32F9CD" w:rsidR="00536BC9" w:rsidRDefault="000D53F8">
      <w:pPr>
        <w:pStyle w:val="TOC2"/>
        <w:rPr>
          <w:rFonts w:asciiTheme="minorHAnsi" w:eastAsiaTheme="minorEastAsia" w:hAnsiTheme="minorHAnsi" w:cstheme="minorBidi"/>
          <w:color w:val="auto"/>
          <w:kern w:val="2"/>
          <w:sz w:val="22"/>
          <w:szCs w:val="22"/>
          <w:lang w:eastAsia="en-AU"/>
          <w14:ligatures w14:val="standardContextual"/>
        </w:rPr>
      </w:pPr>
      <w:hyperlink w:anchor="_Toc158706990" w:history="1">
        <w:r w:rsidR="00536BC9" w:rsidRPr="00C14875">
          <w:rPr>
            <w:rStyle w:val="Hyperlink"/>
          </w:rPr>
          <w:t>6.1</w:t>
        </w:r>
        <w:r w:rsidR="00536BC9">
          <w:rPr>
            <w:rFonts w:asciiTheme="minorHAnsi" w:eastAsiaTheme="minorEastAsia" w:hAnsiTheme="minorHAnsi" w:cstheme="minorBidi"/>
            <w:color w:val="auto"/>
            <w:kern w:val="2"/>
            <w:sz w:val="22"/>
            <w:szCs w:val="22"/>
            <w:lang w:eastAsia="en-AU"/>
            <w14:ligatures w14:val="standardContextual"/>
          </w:rPr>
          <w:tab/>
        </w:r>
        <w:r w:rsidR="00536BC9" w:rsidRPr="00C14875">
          <w:rPr>
            <w:rStyle w:val="Hyperlink"/>
          </w:rPr>
          <w:t>How to write for a planning scheme</w:t>
        </w:r>
        <w:r w:rsidR="00536BC9">
          <w:rPr>
            <w:webHidden/>
          </w:rPr>
          <w:tab/>
        </w:r>
        <w:r w:rsidR="00536BC9">
          <w:rPr>
            <w:webHidden/>
          </w:rPr>
          <w:fldChar w:fldCharType="begin"/>
        </w:r>
        <w:r w:rsidR="00536BC9">
          <w:rPr>
            <w:webHidden/>
          </w:rPr>
          <w:instrText xml:space="preserve"> PAGEREF _Toc158706990 \h </w:instrText>
        </w:r>
        <w:r w:rsidR="00536BC9">
          <w:rPr>
            <w:webHidden/>
          </w:rPr>
        </w:r>
        <w:r w:rsidR="00536BC9">
          <w:rPr>
            <w:webHidden/>
          </w:rPr>
          <w:fldChar w:fldCharType="separate"/>
        </w:r>
        <w:r w:rsidR="00286A34">
          <w:rPr>
            <w:webHidden/>
          </w:rPr>
          <w:t>59</w:t>
        </w:r>
        <w:r w:rsidR="00536BC9">
          <w:rPr>
            <w:webHidden/>
          </w:rPr>
          <w:fldChar w:fldCharType="end"/>
        </w:r>
      </w:hyperlink>
    </w:p>
    <w:p w14:paraId="1E95ABD6" w14:textId="787896F1" w:rsidR="00536BC9" w:rsidRDefault="000D53F8">
      <w:pPr>
        <w:pStyle w:val="TOC2"/>
        <w:rPr>
          <w:rFonts w:asciiTheme="minorHAnsi" w:eastAsiaTheme="minorEastAsia" w:hAnsiTheme="minorHAnsi" w:cstheme="minorBidi"/>
          <w:color w:val="auto"/>
          <w:kern w:val="2"/>
          <w:sz w:val="22"/>
          <w:szCs w:val="22"/>
          <w:lang w:eastAsia="en-AU"/>
          <w14:ligatures w14:val="standardContextual"/>
        </w:rPr>
      </w:pPr>
      <w:hyperlink w:anchor="_Toc158706991" w:history="1">
        <w:r w:rsidR="00536BC9" w:rsidRPr="00C14875">
          <w:rPr>
            <w:rStyle w:val="Hyperlink"/>
          </w:rPr>
          <w:t>6.2</w:t>
        </w:r>
        <w:r w:rsidR="00536BC9">
          <w:rPr>
            <w:rFonts w:asciiTheme="minorHAnsi" w:eastAsiaTheme="minorEastAsia" w:hAnsiTheme="minorHAnsi" w:cstheme="minorBidi"/>
            <w:color w:val="auto"/>
            <w:kern w:val="2"/>
            <w:sz w:val="22"/>
            <w:szCs w:val="22"/>
            <w:lang w:eastAsia="en-AU"/>
            <w14:ligatures w14:val="standardContextual"/>
          </w:rPr>
          <w:tab/>
        </w:r>
        <w:r w:rsidR="00536BC9" w:rsidRPr="00C14875">
          <w:rPr>
            <w:rStyle w:val="Hyperlink"/>
          </w:rPr>
          <w:t>How to include a map or diagram</w:t>
        </w:r>
        <w:r w:rsidR="00536BC9">
          <w:rPr>
            <w:webHidden/>
          </w:rPr>
          <w:tab/>
        </w:r>
        <w:r w:rsidR="00536BC9">
          <w:rPr>
            <w:webHidden/>
          </w:rPr>
          <w:fldChar w:fldCharType="begin"/>
        </w:r>
        <w:r w:rsidR="00536BC9">
          <w:rPr>
            <w:webHidden/>
          </w:rPr>
          <w:instrText xml:space="preserve"> PAGEREF _Toc158706991 \h </w:instrText>
        </w:r>
        <w:r w:rsidR="00536BC9">
          <w:rPr>
            <w:webHidden/>
          </w:rPr>
        </w:r>
        <w:r w:rsidR="00536BC9">
          <w:rPr>
            <w:webHidden/>
          </w:rPr>
          <w:fldChar w:fldCharType="separate"/>
        </w:r>
        <w:r w:rsidR="00286A34">
          <w:rPr>
            <w:webHidden/>
          </w:rPr>
          <w:t>65</w:t>
        </w:r>
        <w:r w:rsidR="00536BC9">
          <w:rPr>
            <w:webHidden/>
          </w:rPr>
          <w:fldChar w:fldCharType="end"/>
        </w:r>
      </w:hyperlink>
    </w:p>
    <w:p w14:paraId="6EEE052F" w14:textId="4E4226DB" w:rsidR="00536BC9" w:rsidRDefault="000D53F8">
      <w:pPr>
        <w:pStyle w:val="TOC2"/>
        <w:rPr>
          <w:rFonts w:asciiTheme="minorHAnsi" w:eastAsiaTheme="minorEastAsia" w:hAnsiTheme="minorHAnsi" w:cstheme="minorBidi"/>
          <w:color w:val="auto"/>
          <w:kern w:val="2"/>
          <w:sz w:val="22"/>
          <w:szCs w:val="22"/>
          <w:lang w:eastAsia="en-AU"/>
          <w14:ligatures w14:val="standardContextual"/>
        </w:rPr>
      </w:pPr>
      <w:hyperlink w:anchor="_Toc158706992" w:history="1">
        <w:r w:rsidR="00536BC9" w:rsidRPr="00C14875">
          <w:rPr>
            <w:rStyle w:val="Hyperlink"/>
          </w:rPr>
          <w:t>6.3</w:t>
        </w:r>
        <w:r w:rsidR="00536BC9">
          <w:rPr>
            <w:rFonts w:asciiTheme="minorHAnsi" w:eastAsiaTheme="minorEastAsia" w:hAnsiTheme="minorHAnsi" w:cstheme="minorBidi"/>
            <w:color w:val="auto"/>
            <w:kern w:val="2"/>
            <w:sz w:val="22"/>
            <w:szCs w:val="22"/>
            <w:lang w:eastAsia="en-AU"/>
            <w14:ligatures w14:val="standardContextual"/>
          </w:rPr>
          <w:tab/>
        </w:r>
        <w:r w:rsidR="00536BC9" w:rsidRPr="00C14875">
          <w:rPr>
            <w:rStyle w:val="Hyperlink"/>
          </w:rPr>
          <w:t>How to write a Municipal Planning Strategy</w:t>
        </w:r>
        <w:r w:rsidR="00536BC9">
          <w:rPr>
            <w:webHidden/>
          </w:rPr>
          <w:tab/>
        </w:r>
        <w:r w:rsidR="00536BC9">
          <w:rPr>
            <w:webHidden/>
          </w:rPr>
          <w:fldChar w:fldCharType="begin"/>
        </w:r>
        <w:r w:rsidR="00536BC9">
          <w:rPr>
            <w:webHidden/>
          </w:rPr>
          <w:instrText xml:space="preserve"> PAGEREF _Toc158706992 \h </w:instrText>
        </w:r>
        <w:r w:rsidR="00536BC9">
          <w:rPr>
            <w:webHidden/>
          </w:rPr>
        </w:r>
        <w:r w:rsidR="00536BC9">
          <w:rPr>
            <w:webHidden/>
          </w:rPr>
          <w:fldChar w:fldCharType="separate"/>
        </w:r>
        <w:r w:rsidR="00286A34">
          <w:rPr>
            <w:webHidden/>
          </w:rPr>
          <w:t>66</w:t>
        </w:r>
        <w:r w:rsidR="00536BC9">
          <w:rPr>
            <w:webHidden/>
          </w:rPr>
          <w:fldChar w:fldCharType="end"/>
        </w:r>
      </w:hyperlink>
    </w:p>
    <w:p w14:paraId="3C49D11D" w14:textId="65D09BAE" w:rsidR="00536BC9" w:rsidRDefault="000D53F8">
      <w:pPr>
        <w:pStyle w:val="TOC2"/>
        <w:rPr>
          <w:rFonts w:asciiTheme="minorHAnsi" w:eastAsiaTheme="minorEastAsia" w:hAnsiTheme="minorHAnsi" w:cstheme="minorBidi"/>
          <w:color w:val="auto"/>
          <w:kern w:val="2"/>
          <w:sz w:val="22"/>
          <w:szCs w:val="22"/>
          <w:lang w:eastAsia="en-AU"/>
          <w14:ligatures w14:val="standardContextual"/>
        </w:rPr>
      </w:pPr>
      <w:hyperlink w:anchor="_Toc158706993" w:history="1">
        <w:r w:rsidR="00536BC9" w:rsidRPr="00C14875">
          <w:rPr>
            <w:rStyle w:val="Hyperlink"/>
          </w:rPr>
          <w:t>6.4</w:t>
        </w:r>
        <w:r w:rsidR="00536BC9">
          <w:rPr>
            <w:rFonts w:asciiTheme="minorHAnsi" w:eastAsiaTheme="minorEastAsia" w:hAnsiTheme="minorHAnsi" w:cstheme="minorBidi"/>
            <w:color w:val="auto"/>
            <w:kern w:val="2"/>
            <w:sz w:val="22"/>
            <w:szCs w:val="22"/>
            <w:lang w:eastAsia="en-AU"/>
            <w14:ligatures w14:val="standardContextual"/>
          </w:rPr>
          <w:tab/>
        </w:r>
        <w:r w:rsidR="00536BC9" w:rsidRPr="00C14875">
          <w:rPr>
            <w:rStyle w:val="Hyperlink"/>
          </w:rPr>
          <w:t>How to write a local policy</w:t>
        </w:r>
        <w:r w:rsidR="00536BC9">
          <w:rPr>
            <w:webHidden/>
          </w:rPr>
          <w:tab/>
        </w:r>
        <w:r w:rsidR="00536BC9">
          <w:rPr>
            <w:webHidden/>
          </w:rPr>
          <w:fldChar w:fldCharType="begin"/>
        </w:r>
        <w:r w:rsidR="00536BC9">
          <w:rPr>
            <w:webHidden/>
          </w:rPr>
          <w:instrText xml:space="preserve"> PAGEREF _Toc158706993 \h </w:instrText>
        </w:r>
        <w:r w:rsidR="00536BC9">
          <w:rPr>
            <w:webHidden/>
          </w:rPr>
        </w:r>
        <w:r w:rsidR="00536BC9">
          <w:rPr>
            <w:webHidden/>
          </w:rPr>
          <w:fldChar w:fldCharType="separate"/>
        </w:r>
        <w:r w:rsidR="00286A34">
          <w:rPr>
            <w:webHidden/>
          </w:rPr>
          <w:t>72</w:t>
        </w:r>
        <w:r w:rsidR="00536BC9">
          <w:rPr>
            <w:webHidden/>
          </w:rPr>
          <w:fldChar w:fldCharType="end"/>
        </w:r>
      </w:hyperlink>
    </w:p>
    <w:p w14:paraId="76E814E2" w14:textId="598ADA05" w:rsidR="00536BC9" w:rsidRDefault="000D53F8">
      <w:pPr>
        <w:pStyle w:val="TOC2"/>
        <w:rPr>
          <w:rFonts w:asciiTheme="minorHAnsi" w:eastAsiaTheme="minorEastAsia" w:hAnsiTheme="minorHAnsi" w:cstheme="minorBidi"/>
          <w:color w:val="auto"/>
          <w:kern w:val="2"/>
          <w:sz w:val="22"/>
          <w:szCs w:val="22"/>
          <w:lang w:eastAsia="en-AU"/>
          <w14:ligatures w14:val="standardContextual"/>
        </w:rPr>
      </w:pPr>
      <w:hyperlink w:anchor="_Toc158706994" w:history="1">
        <w:r w:rsidR="00536BC9" w:rsidRPr="00C14875">
          <w:rPr>
            <w:rStyle w:val="Hyperlink"/>
          </w:rPr>
          <w:t>6.5</w:t>
        </w:r>
        <w:r w:rsidR="00536BC9">
          <w:rPr>
            <w:rFonts w:asciiTheme="minorHAnsi" w:eastAsiaTheme="minorEastAsia" w:hAnsiTheme="minorHAnsi" w:cstheme="minorBidi"/>
            <w:color w:val="auto"/>
            <w:kern w:val="2"/>
            <w:sz w:val="22"/>
            <w:szCs w:val="22"/>
            <w:lang w:eastAsia="en-AU"/>
            <w14:ligatures w14:val="standardContextual"/>
          </w:rPr>
          <w:tab/>
        </w:r>
        <w:r w:rsidR="00536BC9" w:rsidRPr="00C14875">
          <w:rPr>
            <w:rStyle w:val="Hyperlink"/>
          </w:rPr>
          <w:t>How to write a schedule</w:t>
        </w:r>
        <w:r w:rsidR="00536BC9">
          <w:rPr>
            <w:webHidden/>
          </w:rPr>
          <w:tab/>
        </w:r>
        <w:r w:rsidR="00536BC9">
          <w:rPr>
            <w:webHidden/>
          </w:rPr>
          <w:fldChar w:fldCharType="begin"/>
        </w:r>
        <w:r w:rsidR="00536BC9">
          <w:rPr>
            <w:webHidden/>
          </w:rPr>
          <w:instrText xml:space="preserve"> PAGEREF _Toc158706994 \h </w:instrText>
        </w:r>
        <w:r w:rsidR="00536BC9">
          <w:rPr>
            <w:webHidden/>
          </w:rPr>
        </w:r>
        <w:r w:rsidR="00536BC9">
          <w:rPr>
            <w:webHidden/>
          </w:rPr>
          <w:fldChar w:fldCharType="separate"/>
        </w:r>
        <w:r w:rsidR="00286A34">
          <w:rPr>
            <w:webHidden/>
          </w:rPr>
          <w:t>92</w:t>
        </w:r>
        <w:r w:rsidR="00536BC9">
          <w:rPr>
            <w:webHidden/>
          </w:rPr>
          <w:fldChar w:fldCharType="end"/>
        </w:r>
      </w:hyperlink>
    </w:p>
    <w:p w14:paraId="407609A7" w14:textId="6D16C2EE" w:rsidR="00536BC9" w:rsidRDefault="000D53F8">
      <w:pPr>
        <w:pStyle w:val="TOC2"/>
        <w:rPr>
          <w:rFonts w:asciiTheme="minorHAnsi" w:eastAsiaTheme="minorEastAsia" w:hAnsiTheme="minorHAnsi" w:cstheme="minorBidi"/>
          <w:color w:val="auto"/>
          <w:kern w:val="2"/>
          <w:sz w:val="22"/>
          <w:szCs w:val="22"/>
          <w:lang w:eastAsia="en-AU"/>
          <w14:ligatures w14:val="standardContextual"/>
        </w:rPr>
      </w:pPr>
      <w:hyperlink w:anchor="_Toc158706995" w:history="1">
        <w:r w:rsidR="00536BC9" w:rsidRPr="00C14875">
          <w:rPr>
            <w:rStyle w:val="Hyperlink"/>
          </w:rPr>
          <w:t>6.6</w:t>
        </w:r>
        <w:r w:rsidR="00536BC9">
          <w:rPr>
            <w:rFonts w:asciiTheme="minorHAnsi" w:eastAsiaTheme="minorEastAsia" w:hAnsiTheme="minorHAnsi" w:cstheme="minorBidi"/>
            <w:color w:val="auto"/>
            <w:kern w:val="2"/>
            <w:sz w:val="22"/>
            <w:szCs w:val="22"/>
            <w:lang w:eastAsia="en-AU"/>
            <w14:ligatures w14:val="standardContextual"/>
          </w:rPr>
          <w:tab/>
        </w:r>
        <w:r w:rsidR="00536BC9" w:rsidRPr="00C14875">
          <w:rPr>
            <w:rStyle w:val="Hyperlink"/>
          </w:rPr>
          <w:t>How to apply external documents</w:t>
        </w:r>
        <w:r w:rsidR="00536BC9">
          <w:rPr>
            <w:webHidden/>
          </w:rPr>
          <w:tab/>
        </w:r>
        <w:r w:rsidR="00536BC9">
          <w:rPr>
            <w:webHidden/>
          </w:rPr>
          <w:fldChar w:fldCharType="begin"/>
        </w:r>
        <w:r w:rsidR="00536BC9">
          <w:rPr>
            <w:webHidden/>
          </w:rPr>
          <w:instrText xml:space="preserve"> PAGEREF _Toc158706995 \h </w:instrText>
        </w:r>
        <w:r w:rsidR="00536BC9">
          <w:rPr>
            <w:webHidden/>
          </w:rPr>
        </w:r>
        <w:r w:rsidR="00536BC9">
          <w:rPr>
            <w:webHidden/>
          </w:rPr>
          <w:fldChar w:fldCharType="separate"/>
        </w:r>
        <w:r w:rsidR="00286A34">
          <w:rPr>
            <w:webHidden/>
          </w:rPr>
          <w:t>103</w:t>
        </w:r>
        <w:r w:rsidR="00536BC9">
          <w:rPr>
            <w:webHidden/>
          </w:rPr>
          <w:fldChar w:fldCharType="end"/>
        </w:r>
      </w:hyperlink>
    </w:p>
    <w:p w14:paraId="0FA2BBD5" w14:textId="65BB4FDA" w:rsidR="00536BC9" w:rsidRDefault="000D53F8">
      <w:pPr>
        <w:pStyle w:val="TOC1"/>
        <w:rPr>
          <w:rFonts w:asciiTheme="minorHAnsi" w:eastAsiaTheme="minorEastAsia" w:hAnsiTheme="minorHAnsi" w:cstheme="minorBidi"/>
          <w:b w:val="0"/>
          <w:color w:val="auto"/>
          <w:kern w:val="2"/>
          <w:sz w:val="22"/>
          <w:szCs w:val="22"/>
          <w:lang w:eastAsia="en-AU"/>
          <w14:ligatures w14:val="standardContextual"/>
        </w:rPr>
      </w:pPr>
      <w:hyperlink w:anchor="_Toc158706997" w:history="1">
        <w:r w:rsidR="00536BC9" w:rsidRPr="00C14875">
          <w:rPr>
            <w:rStyle w:val="Hyperlink"/>
          </w:rPr>
          <w:t>Appendix 1 – Planning scheme style guide (A to Z)</w:t>
        </w:r>
        <w:r w:rsidR="00536BC9">
          <w:rPr>
            <w:webHidden/>
          </w:rPr>
          <w:tab/>
        </w:r>
        <w:r w:rsidR="00536BC9">
          <w:rPr>
            <w:webHidden/>
          </w:rPr>
          <w:fldChar w:fldCharType="begin"/>
        </w:r>
        <w:r w:rsidR="00536BC9">
          <w:rPr>
            <w:webHidden/>
          </w:rPr>
          <w:instrText xml:space="preserve"> PAGEREF _Toc158706997 \h </w:instrText>
        </w:r>
        <w:r w:rsidR="00536BC9">
          <w:rPr>
            <w:webHidden/>
          </w:rPr>
        </w:r>
        <w:r w:rsidR="00536BC9">
          <w:rPr>
            <w:webHidden/>
          </w:rPr>
          <w:fldChar w:fldCharType="separate"/>
        </w:r>
        <w:r w:rsidR="00286A34">
          <w:rPr>
            <w:webHidden/>
          </w:rPr>
          <w:t>108</w:t>
        </w:r>
        <w:r w:rsidR="00536BC9">
          <w:rPr>
            <w:webHidden/>
          </w:rPr>
          <w:fldChar w:fldCharType="end"/>
        </w:r>
      </w:hyperlink>
    </w:p>
    <w:p w14:paraId="710C9831" w14:textId="5A59F92B" w:rsidR="00536BC9" w:rsidRDefault="000D53F8">
      <w:pPr>
        <w:pStyle w:val="TOC1"/>
        <w:rPr>
          <w:rFonts w:asciiTheme="minorHAnsi" w:eastAsiaTheme="minorEastAsia" w:hAnsiTheme="minorHAnsi" w:cstheme="minorBidi"/>
          <w:b w:val="0"/>
          <w:color w:val="auto"/>
          <w:kern w:val="2"/>
          <w:sz w:val="22"/>
          <w:szCs w:val="22"/>
          <w:lang w:eastAsia="en-AU"/>
          <w14:ligatures w14:val="standardContextual"/>
        </w:rPr>
      </w:pPr>
      <w:hyperlink w:anchor="_Toc158706998" w:history="1">
        <w:r w:rsidR="00536BC9" w:rsidRPr="00C14875">
          <w:rPr>
            <w:rStyle w:val="Hyperlink"/>
          </w:rPr>
          <w:t>Appendix 2 – Planning Policy Framework Verbs</w:t>
        </w:r>
        <w:r w:rsidR="00536BC9">
          <w:rPr>
            <w:webHidden/>
          </w:rPr>
          <w:tab/>
        </w:r>
        <w:r w:rsidR="00536BC9">
          <w:rPr>
            <w:webHidden/>
          </w:rPr>
          <w:fldChar w:fldCharType="begin"/>
        </w:r>
        <w:r w:rsidR="00536BC9">
          <w:rPr>
            <w:webHidden/>
          </w:rPr>
          <w:instrText xml:space="preserve"> PAGEREF _Toc158706998 \h </w:instrText>
        </w:r>
        <w:r w:rsidR="00536BC9">
          <w:rPr>
            <w:webHidden/>
          </w:rPr>
        </w:r>
        <w:r w:rsidR="00536BC9">
          <w:rPr>
            <w:webHidden/>
          </w:rPr>
          <w:fldChar w:fldCharType="separate"/>
        </w:r>
        <w:r w:rsidR="00286A34">
          <w:rPr>
            <w:webHidden/>
          </w:rPr>
          <w:t>117</w:t>
        </w:r>
        <w:r w:rsidR="00536BC9">
          <w:rPr>
            <w:webHidden/>
          </w:rPr>
          <w:fldChar w:fldCharType="end"/>
        </w:r>
      </w:hyperlink>
    </w:p>
    <w:p w14:paraId="0B378A63" w14:textId="74688D44" w:rsidR="00536BC9" w:rsidRDefault="000D53F8">
      <w:pPr>
        <w:pStyle w:val="TOC1"/>
        <w:rPr>
          <w:rFonts w:asciiTheme="minorHAnsi" w:eastAsiaTheme="minorEastAsia" w:hAnsiTheme="minorHAnsi" w:cstheme="minorBidi"/>
          <w:b w:val="0"/>
          <w:color w:val="auto"/>
          <w:kern w:val="2"/>
          <w:sz w:val="22"/>
          <w:szCs w:val="22"/>
          <w:lang w:eastAsia="en-AU"/>
          <w14:ligatures w14:val="standardContextual"/>
        </w:rPr>
      </w:pPr>
      <w:hyperlink w:anchor="_Toc158706999" w:history="1">
        <w:r w:rsidR="00536BC9" w:rsidRPr="00C14875">
          <w:rPr>
            <w:rStyle w:val="Hyperlink"/>
          </w:rPr>
          <w:t>Appendix 3 – Example Municipal Planning Strategy</w:t>
        </w:r>
        <w:r w:rsidR="00536BC9">
          <w:rPr>
            <w:webHidden/>
          </w:rPr>
          <w:tab/>
        </w:r>
        <w:r w:rsidR="00536BC9">
          <w:rPr>
            <w:webHidden/>
          </w:rPr>
          <w:fldChar w:fldCharType="begin"/>
        </w:r>
        <w:r w:rsidR="00536BC9">
          <w:rPr>
            <w:webHidden/>
          </w:rPr>
          <w:instrText xml:space="preserve"> PAGEREF _Toc158706999 \h </w:instrText>
        </w:r>
        <w:r w:rsidR="00536BC9">
          <w:rPr>
            <w:webHidden/>
          </w:rPr>
        </w:r>
        <w:r w:rsidR="00536BC9">
          <w:rPr>
            <w:webHidden/>
          </w:rPr>
          <w:fldChar w:fldCharType="separate"/>
        </w:r>
        <w:r w:rsidR="00286A34">
          <w:rPr>
            <w:webHidden/>
          </w:rPr>
          <w:t>120</w:t>
        </w:r>
        <w:r w:rsidR="00536BC9">
          <w:rPr>
            <w:webHidden/>
          </w:rPr>
          <w:fldChar w:fldCharType="end"/>
        </w:r>
      </w:hyperlink>
    </w:p>
    <w:p w14:paraId="6CC4B1BB" w14:textId="2CD1DC45" w:rsidR="00536BC9" w:rsidRDefault="000D53F8">
      <w:pPr>
        <w:pStyle w:val="TOC1"/>
        <w:rPr>
          <w:rFonts w:asciiTheme="minorHAnsi" w:eastAsiaTheme="minorEastAsia" w:hAnsiTheme="minorHAnsi" w:cstheme="minorBidi"/>
          <w:b w:val="0"/>
          <w:color w:val="auto"/>
          <w:kern w:val="2"/>
          <w:sz w:val="22"/>
          <w:szCs w:val="22"/>
          <w:lang w:eastAsia="en-AU"/>
          <w14:ligatures w14:val="standardContextual"/>
        </w:rPr>
      </w:pPr>
      <w:hyperlink w:anchor="_Toc158707000" w:history="1">
        <w:r w:rsidR="00536BC9" w:rsidRPr="00C14875">
          <w:rPr>
            <w:rStyle w:val="Hyperlink"/>
          </w:rPr>
          <w:t>Appendix 4 - Place-based policy checklist</w:t>
        </w:r>
        <w:r w:rsidR="00536BC9">
          <w:rPr>
            <w:webHidden/>
          </w:rPr>
          <w:tab/>
        </w:r>
        <w:r w:rsidR="00536BC9">
          <w:rPr>
            <w:webHidden/>
          </w:rPr>
          <w:fldChar w:fldCharType="begin"/>
        </w:r>
        <w:r w:rsidR="00536BC9">
          <w:rPr>
            <w:webHidden/>
          </w:rPr>
          <w:instrText xml:space="preserve"> PAGEREF _Toc158707000 \h </w:instrText>
        </w:r>
        <w:r w:rsidR="00536BC9">
          <w:rPr>
            <w:webHidden/>
          </w:rPr>
        </w:r>
        <w:r w:rsidR="00536BC9">
          <w:rPr>
            <w:webHidden/>
          </w:rPr>
          <w:fldChar w:fldCharType="separate"/>
        </w:r>
        <w:r w:rsidR="00286A34">
          <w:rPr>
            <w:webHidden/>
          </w:rPr>
          <w:t>127</w:t>
        </w:r>
        <w:r w:rsidR="00536BC9">
          <w:rPr>
            <w:webHidden/>
          </w:rPr>
          <w:fldChar w:fldCharType="end"/>
        </w:r>
      </w:hyperlink>
    </w:p>
    <w:p w14:paraId="50E354DC" w14:textId="24028F17" w:rsidR="00536BC9" w:rsidRDefault="000D53F8">
      <w:pPr>
        <w:pStyle w:val="TOC1"/>
        <w:rPr>
          <w:rFonts w:asciiTheme="minorHAnsi" w:eastAsiaTheme="minorEastAsia" w:hAnsiTheme="minorHAnsi" w:cstheme="minorBidi"/>
          <w:b w:val="0"/>
          <w:color w:val="auto"/>
          <w:kern w:val="2"/>
          <w:sz w:val="22"/>
          <w:szCs w:val="22"/>
          <w:lang w:eastAsia="en-AU"/>
          <w14:ligatures w14:val="standardContextual"/>
        </w:rPr>
      </w:pPr>
      <w:hyperlink w:anchor="_Toc158707001" w:history="1">
        <w:r w:rsidR="00536BC9" w:rsidRPr="00C14875">
          <w:rPr>
            <w:rStyle w:val="Hyperlink"/>
          </w:rPr>
          <w:t>Appendix 5 - Local policy location list</w:t>
        </w:r>
        <w:r w:rsidR="00536BC9">
          <w:rPr>
            <w:webHidden/>
          </w:rPr>
          <w:tab/>
        </w:r>
        <w:r w:rsidR="00536BC9">
          <w:rPr>
            <w:webHidden/>
          </w:rPr>
          <w:fldChar w:fldCharType="begin"/>
        </w:r>
        <w:r w:rsidR="00536BC9">
          <w:rPr>
            <w:webHidden/>
          </w:rPr>
          <w:instrText xml:space="preserve"> PAGEREF _Toc158707001 \h </w:instrText>
        </w:r>
        <w:r w:rsidR="00536BC9">
          <w:rPr>
            <w:webHidden/>
          </w:rPr>
        </w:r>
        <w:r w:rsidR="00536BC9">
          <w:rPr>
            <w:webHidden/>
          </w:rPr>
          <w:fldChar w:fldCharType="separate"/>
        </w:r>
        <w:r w:rsidR="00286A34">
          <w:rPr>
            <w:webHidden/>
          </w:rPr>
          <w:t>128</w:t>
        </w:r>
        <w:r w:rsidR="00536BC9">
          <w:rPr>
            <w:webHidden/>
          </w:rPr>
          <w:fldChar w:fldCharType="end"/>
        </w:r>
      </w:hyperlink>
    </w:p>
    <w:p w14:paraId="368D9CDE" w14:textId="3C3B5490" w:rsidR="00DC2D42" w:rsidRDefault="00907708" w:rsidP="00DC2D42">
      <w:pPr>
        <w:pStyle w:val="TOC2"/>
      </w:pPr>
      <w:r w:rsidRPr="00417CAB">
        <w:rPr>
          <w:shd w:val="clear" w:color="auto" w:fill="E6E6E6"/>
        </w:rPr>
        <w:fldChar w:fldCharType="end"/>
      </w:r>
      <w:r w:rsidR="00DC2D42">
        <w:t xml:space="preserve"> </w:t>
      </w:r>
    </w:p>
    <w:p w14:paraId="489C71A4" w14:textId="145F3069" w:rsidR="00DC2411" w:rsidRDefault="00DC2411" w:rsidP="00DF71FD">
      <w:pPr>
        <w:pStyle w:val="Appendix-Contents"/>
        <w:numPr>
          <w:ilvl w:val="0"/>
          <w:numId w:val="0"/>
        </w:numPr>
      </w:pPr>
    </w:p>
    <w:p w14:paraId="489C71A5" w14:textId="77777777" w:rsidR="00DC2411" w:rsidRDefault="00AB2C0B" w:rsidP="00D2198E">
      <w:pPr>
        <w:pStyle w:val="Heading1"/>
      </w:pPr>
      <w:bookmarkStart w:id="1" w:name="_Toc158706958"/>
      <w:r w:rsidRPr="00B712CA">
        <w:lastRenderedPageBreak/>
        <w:t>Preface</w:t>
      </w:r>
      <w:bookmarkEnd w:id="1"/>
    </w:p>
    <w:p w14:paraId="489C71A6" w14:textId="77777777" w:rsidR="00754143" w:rsidRDefault="00AB2C0B" w:rsidP="002E55BC">
      <w:pPr>
        <w:pStyle w:val="BodyText1"/>
      </w:pPr>
      <w:r>
        <w:t>Planning schemes are the primary tool to enable state and local government land use planning policies to be implemented and effect positive change to the built environment.</w:t>
      </w:r>
    </w:p>
    <w:p w14:paraId="489C71A7" w14:textId="5B674789" w:rsidR="00754143" w:rsidRDefault="00AB2C0B" w:rsidP="002E55BC">
      <w:pPr>
        <w:pStyle w:val="BodyText1"/>
      </w:pPr>
      <w:r>
        <w:t>The efficiency and effectiveness of planning schemes is important to Victoria’s economy and liveability.</w:t>
      </w:r>
      <w:r w:rsidR="00DA5AF6">
        <w:t xml:space="preserve"> </w:t>
      </w:r>
      <w:r>
        <w:t>Each year the planning system processes around 55,000 planning permit applications, which represents around $30 billion of future investment in Victoria.</w:t>
      </w:r>
    </w:p>
    <w:p w14:paraId="489C71A8" w14:textId="3BE538FC" w:rsidR="00754143" w:rsidRPr="0088283B" w:rsidRDefault="00AB2C0B" w:rsidP="002E55BC">
      <w:pPr>
        <w:pStyle w:val="BodyText1"/>
        <w:rPr>
          <w:b/>
          <w:bCs/>
        </w:rPr>
      </w:pPr>
      <w:r>
        <w:t xml:space="preserve">The </w:t>
      </w:r>
      <w:r w:rsidRPr="00321B92">
        <w:rPr>
          <w:i/>
          <w:iCs/>
        </w:rPr>
        <w:t>Victoria Planning Provisions</w:t>
      </w:r>
      <w:r>
        <w:t xml:space="preserve"> (VPP) is the template on which </w:t>
      </w:r>
      <w:r w:rsidR="00BA40EE">
        <w:t>Victoria’s</w:t>
      </w:r>
      <w:r>
        <w:t xml:space="preserve"> planning schemes are based.</w:t>
      </w:r>
      <w:r w:rsidR="00DA5AF6">
        <w:t xml:space="preserve"> </w:t>
      </w:r>
      <w:r>
        <w:t xml:space="preserve">The VPP sets standardised planning scheme provisions that are designed to implement the six principles for planning schemes in Victoria set out in </w:t>
      </w:r>
      <w:r w:rsidR="0074503B" w:rsidRPr="0088283B">
        <w:rPr>
          <w:rStyle w:val="Strong"/>
        </w:rPr>
        <w:t>Chapter</w:t>
      </w:r>
      <w:r w:rsidR="00C47C57" w:rsidRPr="0088283B">
        <w:rPr>
          <w:rStyle w:val="Strong"/>
        </w:rPr>
        <w:t xml:space="preserve"> </w:t>
      </w:r>
      <w:r w:rsidR="007E3F82" w:rsidRPr="0088283B">
        <w:rPr>
          <w:rStyle w:val="Strong"/>
        </w:rPr>
        <w:t>2.3</w:t>
      </w:r>
      <w:r w:rsidRPr="0088283B">
        <w:t>:</w:t>
      </w:r>
    </w:p>
    <w:p w14:paraId="489C71AA" w14:textId="77777777" w:rsidR="00DC2411" w:rsidRDefault="00AB2C0B" w:rsidP="00723A0D">
      <w:pPr>
        <w:pStyle w:val="DELWPbullet1"/>
      </w:pPr>
      <w:r>
        <w:t>User focused</w:t>
      </w:r>
    </w:p>
    <w:p w14:paraId="489C71AB" w14:textId="77777777" w:rsidR="00DC2411" w:rsidRDefault="00AB2C0B" w:rsidP="00723A0D">
      <w:pPr>
        <w:pStyle w:val="DELWPbullet1"/>
      </w:pPr>
      <w:r>
        <w:t>Consistent</w:t>
      </w:r>
    </w:p>
    <w:p w14:paraId="489C71AC" w14:textId="77777777" w:rsidR="00DC2411" w:rsidRDefault="00AB2C0B" w:rsidP="00723A0D">
      <w:pPr>
        <w:pStyle w:val="DELWPbullet1"/>
      </w:pPr>
      <w:r>
        <w:t>Proportional</w:t>
      </w:r>
    </w:p>
    <w:p w14:paraId="489C71AD" w14:textId="77777777" w:rsidR="00DC2411" w:rsidRDefault="00AB2C0B" w:rsidP="00723A0D">
      <w:pPr>
        <w:pStyle w:val="DELWPbullet1"/>
      </w:pPr>
      <w:r>
        <w:t>Land use focused</w:t>
      </w:r>
    </w:p>
    <w:p w14:paraId="489C71AE" w14:textId="162651E3" w:rsidR="00A7755D" w:rsidRDefault="00AB2C0B" w:rsidP="00723A0D">
      <w:pPr>
        <w:pStyle w:val="DELWPbullet1"/>
      </w:pPr>
      <w:r>
        <w:t>Policy and outcome focused</w:t>
      </w:r>
    </w:p>
    <w:p w14:paraId="12F387CE" w14:textId="77777777" w:rsidR="00264F25" w:rsidRDefault="006321E5" w:rsidP="00264F25">
      <w:pPr>
        <w:pStyle w:val="DELWPbullet1"/>
      </w:pPr>
      <w:r w:rsidRPr="00A9186E">
        <w:t>Digital ready</w:t>
      </w:r>
    </w:p>
    <w:p w14:paraId="489C71AF" w14:textId="48FC5271" w:rsidR="00754143" w:rsidRDefault="00AB2C0B" w:rsidP="002E55BC">
      <w:pPr>
        <w:pStyle w:val="DELWPbodyafterbullets"/>
      </w:pPr>
      <w:r w:rsidRPr="00A9186E">
        <w:t>This guide help</w:t>
      </w:r>
      <w:r w:rsidR="006E277E" w:rsidRPr="00A9186E">
        <w:t>s</w:t>
      </w:r>
      <w:r w:rsidRPr="00A9186E">
        <w:t xml:space="preserve"> practitioners implement these principles in</w:t>
      </w:r>
      <w:r w:rsidR="00865E52" w:rsidRPr="00A9186E">
        <w:t xml:space="preserve"> the</w:t>
      </w:r>
      <w:r w:rsidRPr="00A9186E">
        <w:t xml:space="preserve"> formulation and drafting </w:t>
      </w:r>
      <w:r w:rsidR="00F109BE" w:rsidRPr="00A9186E">
        <w:t xml:space="preserve">of </w:t>
      </w:r>
      <w:r w:rsidRPr="00A9186E">
        <w:t>planning scheme provisions.</w:t>
      </w:r>
    </w:p>
    <w:p w14:paraId="489C71B0" w14:textId="618B8A94" w:rsidR="00754143" w:rsidRDefault="006E277E" w:rsidP="002E55BC">
      <w:pPr>
        <w:pStyle w:val="BodyText1"/>
      </w:pPr>
      <w:r>
        <w:t>T</w:t>
      </w:r>
      <w:r w:rsidR="00AB2C0B">
        <w:t>he guide sets out key rules for practitioners when preparing a planning scheme provision.</w:t>
      </w:r>
      <w:r w:rsidR="00DA5AF6">
        <w:t xml:space="preserve"> </w:t>
      </w:r>
      <w:r w:rsidR="00AB2C0B">
        <w:t>These rules complement existing directions and guidance and seek to ensure that:</w:t>
      </w:r>
    </w:p>
    <w:p w14:paraId="489C71B1" w14:textId="77777777" w:rsidR="00DC2411" w:rsidRDefault="00AB2C0B" w:rsidP="00723A0D">
      <w:pPr>
        <w:pStyle w:val="DELWPbullet1"/>
      </w:pPr>
      <w:r>
        <w:t xml:space="preserve">The intended outcome is within the scope of the objectives and power of the </w:t>
      </w:r>
      <w:r w:rsidRPr="005A3FC4">
        <w:t>Act</w:t>
      </w:r>
      <w:r>
        <w:t xml:space="preserve"> and has a sound basis in strategic planning and policy.</w:t>
      </w:r>
    </w:p>
    <w:p w14:paraId="489C71B2" w14:textId="77777777" w:rsidR="00DC2411" w:rsidRDefault="00AB2C0B" w:rsidP="00723A0D">
      <w:pPr>
        <w:pStyle w:val="DELWPbullet1"/>
      </w:pPr>
      <w:r>
        <w:t>A provision is necessary and proportional to the intended outcome and applies the VPP in a proper manner.</w:t>
      </w:r>
    </w:p>
    <w:p w14:paraId="489C71B3" w14:textId="77777777" w:rsidR="00754143" w:rsidRDefault="00AB2C0B" w:rsidP="00723A0D">
      <w:pPr>
        <w:pStyle w:val="DELWPbullet1"/>
      </w:pPr>
      <w:r>
        <w:t>A provision is clear, unambiguous and effective in achieving the intended outcome.</w:t>
      </w:r>
    </w:p>
    <w:p w14:paraId="489C71B4" w14:textId="5E8F42BD" w:rsidR="004773AD" w:rsidRDefault="0025073D" w:rsidP="00D2198E">
      <w:pPr>
        <w:pStyle w:val="Heading1"/>
      </w:pPr>
      <w:bookmarkStart w:id="2" w:name="_1_Using_this"/>
      <w:bookmarkStart w:id="3" w:name="_Toc528601717"/>
      <w:bookmarkStart w:id="4" w:name="_Toc158706959"/>
      <w:bookmarkEnd w:id="2"/>
      <w:r>
        <w:lastRenderedPageBreak/>
        <w:t>1</w:t>
      </w:r>
      <w:r w:rsidR="00EF0A93">
        <w:tab/>
      </w:r>
      <w:r w:rsidR="004773AD" w:rsidRPr="0055703A">
        <w:t>Using this guide</w:t>
      </w:r>
      <w:bookmarkEnd w:id="3"/>
      <w:bookmarkEnd w:id="4"/>
    </w:p>
    <w:p w14:paraId="489C71B5" w14:textId="69890BF8" w:rsidR="00C20A0C" w:rsidRDefault="000D53F8" w:rsidP="001720E1">
      <w:pPr>
        <w:pStyle w:val="ChapterCaption"/>
      </w:pPr>
      <w:hyperlink w:anchor="_1.1_Who_this" w:history="1">
        <w:r w:rsidR="00C20A0C" w:rsidRPr="00BC4C4B">
          <w:rPr>
            <w:rStyle w:val="Hyperlink"/>
            <w:shd w:val="clear" w:color="auto" w:fill="E6E6E6"/>
          </w:rPr>
          <w:fldChar w:fldCharType="begin"/>
        </w:r>
        <w:r w:rsidR="00C20A0C" w:rsidRPr="00BC4C4B">
          <w:rPr>
            <w:rStyle w:val="Hyperlink"/>
          </w:rPr>
          <w:instrText xml:space="preserve"> REF _Ref528679544 \h </w:instrText>
        </w:r>
        <w:r w:rsidR="001720E1" w:rsidRPr="00BC4C4B">
          <w:rPr>
            <w:rStyle w:val="Hyperlink"/>
            <w:shd w:val="clear" w:color="auto" w:fill="E6E6E6"/>
          </w:rPr>
          <w:instrText xml:space="preserve"> \* MERGEFORMAT </w:instrText>
        </w:r>
        <w:r w:rsidR="00C20A0C" w:rsidRPr="00BC4C4B">
          <w:rPr>
            <w:rStyle w:val="Hyperlink"/>
            <w:shd w:val="clear" w:color="auto" w:fill="E6E6E6"/>
          </w:rPr>
        </w:r>
        <w:r w:rsidR="00C20A0C" w:rsidRPr="00BC4C4B">
          <w:rPr>
            <w:rStyle w:val="Hyperlink"/>
            <w:shd w:val="clear" w:color="auto" w:fill="E6E6E6"/>
          </w:rPr>
          <w:fldChar w:fldCharType="separate"/>
        </w:r>
        <w:r w:rsidR="008A5B32" w:rsidRPr="008A5B32">
          <w:rPr>
            <w:rStyle w:val="Hyperlink"/>
          </w:rPr>
          <w:t>1.1</w:t>
        </w:r>
        <w:r w:rsidR="008A5B32" w:rsidRPr="008A5B32">
          <w:rPr>
            <w:rStyle w:val="Hyperlink"/>
          </w:rPr>
          <w:tab/>
          <w:t>Who this guide is for</w:t>
        </w:r>
        <w:r w:rsidR="00C20A0C" w:rsidRPr="00BC4C4B">
          <w:rPr>
            <w:rStyle w:val="Hyperlink"/>
            <w:shd w:val="clear" w:color="auto" w:fill="E6E6E6"/>
          </w:rPr>
          <w:fldChar w:fldCharType="end"/>
        </w:r>
      </w:hyperlink>
    </w:p>
    <w:p w14:paraId="489C71B6" w14:textId="00BDE052" w:rsidR="00C20A0C" w:rsidRPr="00C20A0C" w:rsidRDefault="000D53F8" w:rsidP="001720E1">
      <w:pPr>
        <w:pStyle w:val="ChapterCaption"/>
      </w:pPr>
      <w:hyperlink w:anchor="_1.2_Other_useful" w:history="1">
        <w:r w:rsidR="00C20A0C" w:rsidRPr="00BC4C4B">
          <w:rPr>
            <w:rStyle w:val="Hyperlink"/>
            <w:shd w:val="clear" w:color="auto" w:fill="E6E6E6"/>
          </w:rPr>
          <w:fldChar w:fldCharType="begin"/>
        </w:r>
        <w:r w:rsidR="00C20A0C" w:rsidRPr="00BC4C4B">
          <w:rPr>
            <w:rStyle w:val="Hyperlink"/>
          </w:rPr>
          <w:instrText xml:space="preserve"> REF _Ref528679556 \h </w:instrText>
        </w:r>
        <w:r w:rsidR="001720E1" w:rsidRPr="00BC4C4B">
          <w:rPr>
            <w:rStyle w:val="Hyperlink"/>
            <w:shd w:val="clear" w:color="auto" w:fill="E6E6E6"/>
          </w:rPr>
          <w:instrText xml:space="preserve"> \* MERGEFORMAT </w:instrText>
        </w:r>
        <w:r w:rsidR="00C20A0C" w:rsidRPr="00BC4C4B">
          <w:rPr>
            <w:rStyle w:val="Hyperlink"/>
            <w:shd w:val="clear" w:color="auto" w:fill="E6E6E6"/>
          </w:rPr>
        </w:r>
        <w:r w:rsidR="00C20A0C" w:rsidRPr="00BC4C4B">
          <w:rPr>
            <w:rStyle w:val="Hyperlink"/>
            <w:shd w:val="clear" w:color="auto" w:fill="E6E6E6"/>
          </w:rPr>
          <w:fldChar w:fldCharType="separate"/>
        </w:r>
        <w:r w:rsidR="008A5B32" w:rsidRPr="008A5B32">
          <w:rPr>
            <w:rStyle w:val="Hyperlink"/>
          </w:rPr>
          <w:t>1.2</w:t>
        </w:r>
        <w:r w:rsidR="008A5B32" w:rsidRPr="008A5B32">
          <w:rPr>
            <w:rStyle w:val="Hyperlink"/>
          </w:rPr>
          <w:tab/>
          <w:t>Other useful documents</w:t>
        </w:r>
        <w:r w:rsidR="00C20A0C" w:rsidRPr="00BC4C4B">
          <w:rPr>
            <w:rStyle w:val="Hyperlink"/>
            <w:shd w:val="clear" w:color="auto" w:fill="E6E6E6"/>
          </w:rPr>
          <w:fldChar w:fldCharType="end"/>
        </w:r>
      </w:hyperlink>
    </w:p>
    <w:p w14:paraId="489C71B7" w14:textId="181EBEB4" w:rsidR="00DC2411" w:rsidRPr="006D5E09" w:rsidRDefault="006D5E09" w:rsidP="00BA6981">
      <w:pPr>
        <w:pStyle w:val="Heading2"/>
      </w:pPr>
      <w:bookmarkStart w:id="5" w:name="_1.1_Who_this"/>
      <w:bookmarkStart w:id="6" w:name="_Toc528605064"/>
      <w:bookmarkStart w:id="7" w:name="_Ref528679535"/>
      <w:bookmarkStart w:id="8" w:name="_Ref528679544"/>
      <w:bookmarkStart w:id="9" w:name="_Toc158706960"/>
      <w:bookmarkEnd w:id="5"/>
      <w:r w:rsidRPr="006D5E09">
        <w:t>1.1</w:t>
      </w:r>
      <w:r w:rsidR="00431FBF">
        <w:tab/>
      </w:r>
      <w:r w:rsidR="00AB2C0B" w:rsidRPr="007B2782">
        <w:t>Who</w:t>
      </w:r>
      <w:r w:rsidR="00AB2C0B" w:rsidRPr="006D5E09">
        <w:t xml:space="preserve"> this guide is for</w:t>
      </w:r>
      <w:bookmarkEnd w:id="6"/>
      <w:bookmarkEnd w:id="7"/>
      <w:bookmarkEnd w:id="8"/>
      <w:bookmarkEnd w:id="9"/>
    </w:p>
    <w:p w14:paraId="489C71B8" w14:textId="31AC3B19" w:rsidR="00754143" w:rsidRDefault="00AB2C0B" w:rsidP="002E55BC">
      <w:pPr>
        <w:pStyle w:val="BodyText1"/>
      </w:pPr>
      <w:r>
        <w:t>The guide applies to the preparation and application of a planning scheme provision in Victoria. It is primarily intended for use by practitioners considering or preparing a new or revised provision for a planning scheme.</w:t>
      </w:r>
    </w:p>
    <w:p w14:paraId="489C71B9" w14:textId="28A89200" w:rsidR="00754143" w:rsidRDefault="00AB2C0B" w:rsidP="002E55BC">
      <w:pPr>
        <w:pStyle w:val="BodyText1"/>
      </w:pPr>
      <w:r>
        <w:t>The guide explains:</w:t>
      </w:r>
    </w:p>
    <w:p w14:paraId="489C71BA" w14:textId="77777777" w:rsidR="00DC2411" w:rsidRDefault="00AB2C0B" w:rsidP="00723A0D">
      <w:pPr>
        <w:pStyle w:val="DELWPbullet1"/>
      </w:pPr>
      <w:r>
        <w:t>The principles that should underpin the creation, selection and application of a planning scheme provision.</w:t>
      </w:r>
    </w:p>
    <w:p w14:paraId="489C71BB" w14:textId="77777777" w:rsidR="00DC2411" w:rsidRDefault="00AB2C0B" w:rsidP="00723A0D">
      <w:pPr>
        <w:pStyle w:val="DELWPbullet1"/>
      </w:pPr>
      <w:r>
        <w:t>How a planning scheme relates to the VPP.</w:t>
      </w:r>
    </w:p>
    <w:p w14:paraId="489C71BC" w14:textId="77777777" w:rsidR="00DC2411" w:rsidRDefault="00AB2C0B" w:rsidP="00723A0D">
      <w:pPr>
        <w:pStyle w:val="DELWPbullet1"/>
      </w:pPr>
      <w:r>
        <w:t>Rules and advice about how the various components of a planning scheme operate.</w:t>
      </w:r>
    </w:p>
    <w:p w14:paraId="489C71BD" w14:textId="77777777" w:rsidR="00DC2411" w:rsidRDefault="00AB2C0B" w:rsidP="00723A0D">
      <w:pPr>
        <w:pStyle w:val="DELWPbullet1"/>
      </w:pPr>
      <w:r>
        <w:t>How to select, write and apply various elements of a planning scheme.</w:t>
      </w:r>
    </w:p>
    <w:p w14:paraId="489C71BE" w14:textId="05D15C58" w:rsidR="00DA5AF6" w:rsidRPr="00986209" w:rsidRDefault="006D5E09" w:rsidP="00BA6981">
      <w:pPr>
        <w:pStyle w:val="Heading2"/>
      </w:pPr>
      <w:bookmarkStart w:id="10" w:name="_1.2_Other_useful"/>
      <w:bookmarkStart w:id="11" w:name="_Toc528605065"/>
      <w:bookmarkStart w:id="12" w:name="_Ref528679551"/>
      <w:bookmarkStart w:id="13" w:name="_Ref528679556"/>
      <w:bookmarkStart w:id="14" w:name="_Toc158706961"/>
      <w:bookmarkEnd w:id="10"/>
      <w:r>
        <w:t>1.2</w:t>
      </w:r>
      <w:r>
        <w:tab/>
      </w:r>
      <w:r w:rsidR="00AB2C0B" w:rsidRPr="00986209">
        <w:t>Other useful documents</w:t>
      </w:r>
      <w:bookmarkEnd w:id="11"/>
      <w:bookmarkEnd w:id="12"/>
      <w:bookmarkEnd w:id="13"/>
      <w:bookmarkEnd w:id="14"/>
    </w:p>
    <w:p w14:paraId="489C71BF" w14:textId="257C63BC" w:rsidR="00DC2411" w:rsidRDefault="00AB2C0B" w:rsidP="002E55BC">
      <w:pPr>
        <w:pStyle w:val="BodyText1"/>
      </w:pPr>
      <w:r>
        <w:t>The guide should be read in conjunction with the other documents that give instruction or advice about preparing and using planning scheme provisions</w:t>
      </w:r>
      <w:r w:rsidRPr="0088283B">
        <w:t>.</w:t>
      </w:r>
      <w:r w:rsidR="00DA5AF6" w:rsidRPr="0088283B">
        <w:t xml:space="preserve"> </w:t>
      </w:r>
      <w:r w:rsidRPr="0088283B">
        <w:t>Diagram 1</w:t>
      </w:r>
      <w:r>
        <w:t xml:space="preserve"> shows how the various documents about the VPP, planning schemes and planning scheme amendments relate to each other.</w:t>
      </w:r>
    </w:p>
    <w:p w14:paraId="489C71C0" w14:textId="6D3E386A" w:rsidR="005066A3" w:rsidRPr="00F53AC2" w:rsidRDefault="00DA6347" w:rsidP="002123AF">
      <w:pPr>
        <w:pStyle w:val="Heading4"/>
      </w:pPr>
      <w:r>
        <w:lastRenderedPageBreak/>
        <w:t xml:space="preserve">Diagram 1 - </w:t>
      </w:r>
      <w:r w:rsidR="005066A3" w:rsidRPr="00F53AC2">
        <w:t>Planning System Documents</w:t>
      </w:r>
    </w:p>
    <w:p w14:paraId="489C71C1" w14:textId="1339C734" w:rsidR="00DC2411" w:rsidRDefault="007902AC" w:rsidP="005066A3">
      <w:pPr>
        <w:pStyle w:val="DELWPdiagraminline"/>
      </w:pPr>
      <w:r>
        <w:rPr>
          <w:noProof/>
        </w:rPr>
        <w:drawing>
          <wp:inline distT="0" distB="0" distL="0" distR="0" wp14:anchorId="2A9BC59F" wp14:editId="0D631659">
            <wp:extent cx="5217459" cy="5915805"/>
            <wp:effectExtent l="0" t="0" r="2540" b="8890"/>
            <wp:docPr id="45" name="Picture 45" descr="Diagram 1: The key elements of this diagram are explained in the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 1: The key elements of this diagram are explained in the text that follows."/>
                    <pic:cNvPicPr/>
                  </pic:nvPicPr>
                  <pic:blipFill>
                    <a:blip r:embed="rId23"/>
                    <a:stretch>
                      <a:fillRect/>
                    </a:stretch>
                  </pic:blipFill>
                  <pic:spPr>
                    <a:xfrm>
                      <a:off x="0" y="0"/>
                      <a:ext cx="5234073" cy="5934643"/>
                    </a:xfrm>
                    <a:prstGeom prst="rect">
                      <a:avLst/>
                    </a:prstGeom>
                  </pic:spPr>
                </pic:pic>
              </a:graphicData>
            </a:graphic>
          </wp:inline>
        </w:drawing>
      </w:r>
    </w:p>
    <w:p w14:paraId="44C36AE8" w14:textId="77777777" w:rsidR="00671084" w:rsidRDefault="00671084" w:rsidP="00671084">
      <w:pPr>
        <w:pStyle w:val="BodyText1"/>
        <w:spacing w:before="240"/>
        <w:rPr>
          <w:rStyle w:val="Strongitalic"/>
          <w:b w:val="0"/>
          <w:bCs w:val="0"/>
        </w:rPr>
      </w:pPr>
    </w:p>
    <w:p w14:paraId="489C71C2" w14:textId="017D7378" w:rsidR="00754143" w:rsidRDefault="00AB2C0B" w:rsidP="00671084">
      <w:pPr>
        <w:pStyle w:val="BodyText1"/>
      </w:pPr>
      <w:r w:rsidRPr="0088283B">
        <w:rPr>
          <w:rStyle w:val="Strongitalic"/>
          <w:b w:val="0"/>
          <w:bCs w:val="0"/>
        </w:rPr>
        <w:t>Using Victoria’s Planning System</w:t>
      </w:r>
      <w:r>
        <w:t xml:space="preserve"> gives information about how the planning system and various planning processes work.</w:t>
      </w:r>
      <w:r w:rsidR="00DA5AF6">
        <w:t xml:space="preserve"> </w:t>
      </w:r>
      <w:r>
        <w:t>It includes an explanation of the planning scheme amendment process – the process by which any provision prepared using this guide will be introduced.</w:t>
      </w:r>
    </w:p>
    <w:p w14:paraId="489C71C3" w14:textId="3DC76C44" w:rsidR="00754143" w:rsidRDefault="00AB2C0B" w:rsidP="002E55BC">
      <w:pPr>
        <w:pStyle w:val="BodyText1"/>
      </w:pPr>
      <w:r>
        <w:t xml:space="preserve">The </w:t>
      </w:r>
      <w:r w:rsidRPr="0088283B">
        <w:rPr>
          <w:rStyle w:val="Strong"/>
          <w:i/>
          <w:iCs/>
        </w:rPr>
        <w:t>Ministerial Direction</w:t>
      </w:r>
      <w:r w:rsidRPr="0088283B">
        <w:rPr>
          <w:b/>
          <w:bCs/>
        </w:rPr>
        <w:t xml:space="preserve"> </w:t>
      </w:r>
      <w:r w:rsidR="00824368" w:rsidRPr="0088283B">
        <w:t xml:space="preserve">- </w:t>
      </w:r>
      <w:r w:rsidRPr="0088283B">
        <w:rPr>
          <w:rStyle w:val="Strongitalic"/>
          <w:b w:val="0"/>
          <w:bCs w:val="0"/>
        </w:rPr>
        <w:t>The Form and Content of Planning Schemes</w:t>
      </w:r>
      <w:r>
        <w:t xml:space="preserve"> sets out instructions about how planning schemes are constructed</w:t>
      </w:r>
      <w:r w:rsidR="00CE064E">
        <w:t xml:space="preserve"> and provides templates</w:t>
      </w:r>
      <w:r w:rsidR="00334D25">
        <w:t xml:space="preserve"> for local provisions</w:t>
      </w:r>
      <w:r>
        <w:t>.</w:t>
      </w:r>
    </w:p>
    <w:p w14:paraId="1C0911C9" w14:textId="77777777" w:rsidR="006C322A" w:rsidRPr="009D23F8" w:rsidRDefault="006C322A" w:rsidP="002E55BC">
      <w:pPr>
        <w:pStyle w:val="BodyText1"/>
      </w:pPr>
      <w:r w:rsidRPr="00E06E33">
        <w:rPr>
          <w:rStyle w:val="Strong"/>
          <w:i/>
          <w:iCs/>
        </w:rPr>
        <w:t>Planning Practice Notes</w:t>
      </w:r>
      <w:r w:rsidRPr="009D23F8">
        <w:rPr>
          <w:rStyle w:val="Strong"/>
        </w:rPr>
        <w:t xml:space="preserve"> </w:t>
      </w:r>
      <w:r w:rsidRPr="009D23F8">
        <w:t>give technical advice about the planning system, each dealing with separate aspects of the system.</w:t>
      </w:r>
    </w:p>
    <w:p w14:paraId="380E6A19" w14:textId="22FC0830" w:rsidR="006C322A" w:rsidRDefault="006C322A" w:rsidP="002E55BC">
      <w:pPr>
        <w:pStyle w:val="BodyText1"/>
      </w:pPr>
      <w:r w:rsidRPr="00E06E33">
        <w:rPr>
          <w:rStyle w:val="Strong"/>
          <w:i/>
          <w:iCs/>
        </w:rPr>
        <w:t>Planning Advisory Notes</w:t>
      </w:r>
      <w:r w:rsidRPr="009D23F8">
        <w:t xml:space="preserve"> give point-in-time information about a change to the planning system, particularly relating to VC Amendments.</w:t>
      </w:r>
    </w:p>
    <w:p w14:paraId="489C71C6" w14:textId="5A6F690F" w:rsidR="00DC2411" w:rsidRDefault="001036B8" w:rsidP="00D2198E">
      <w:pPr>
        <w:pStyle w:val="Heading1"/>
      </w:pPr>
      <w:bookmarkStart w:id="15" w:name="_2_The_VPP"/>
      <w:bookmarkStart w:id="16" w:name="_Toc158706962"/>
      <w:bookmarkEnd w:id="15"/>
      <w:r>
        <w:lastRenderedPageBreak/>
        <w:t>2</w:t>
      </w:r>
      <w:r>
        <w:tab/>
      </w:r>
      <w:r w:rsidR="00AB2C0B">
        <w:t>The VPP and planning schemes</w:t>
      </w:r>
      <w:bookmarkEnd w:id="16"/>
    </w:p>
    <w:p w14:paraId="01528A5B" w14:textId="50AF1AA1" w:rsidR="00913DA4" w:rsidRPr="00E367DE" w:rsidRDefault="000D53F8" w:rsidP="009413C1">
      <w:pPr>
        <w:pStyle w:val="ChapterCaption"/>
      </w:pPr>
      <w:hyperlink w:anchor="_2.1_Planning_schemes" w:history="1">
        <w:r w:rsidR="00764D95" w:rsidRPr="00BC4C4B">
          <w:rPr>
            <w:rStyle w:val="Hyperlink"/>
          </w:rPr>
          <w:fldChar w:fldCharType="begin"/>
        </w:r>
        <w:r w:rsidR="00764D95" w:rsidRPr="00BC4C4B">
          <w:rPr>
            <w:rStyle w:val="Hyperlink"/>
          </w:rPr>
          <w:instrText xml:space="preserve"> REF _Ref528679758 \h </w:instrText>
        </w:r>
        <w:r w:rsidR="00E367DE" w:rsidRPr="00BC4C4B">
          <w:rPr>
            <w:rStyle w:val="Hyperlink"/>
          </w:rPr>
          <w:instrText xml:space="preserve"> \* MERGEFORMAT </w:instrText>
        </w:r>
        <w:r w:rsidR="00764D95" w:rsidRPr="00BC4C4B">
          <w:rPr>
            <w:rStyle w:val="Hyperlink"/>
          </w:rPr>
        </w:r>
        <w:r w:rsidR="00764D95" w:rsidRPr="00BC4C4B">
          <w:rPr>
            <w:rStyle w:val="Hyperlink"/>
          </w:rPr>
          <w:fldChar w:fldCharType="separate"/>
        </w:r>
        <w:r w:rsidR="008A5B32" w:rsidRPr="008A5B32">
          <w:rPr>
            <w:rStyle w:val="Hyperlink"/>
          </w:rPr>
          <w:t>2.1</w:t>
        </w:r>
        <w:r w:rsidR="008A5B32" w:rsidRPr="008A5B32">
          <w:rPr>
            <w:rStyle w:val="Hyperlink"/>
          </w:rPr>
          <w:tab/>
          <w:t>Planning schemes and legislation</w:t>
        </w:r>
        <w:r w:rsidR="00764D95" w:rsidRPr="00BC4C4B">
          <w:rPr>
            <w:rStyle w:val="Hyperlink"/>
          </w:rPr>
          <w:fldChar w:fldCharType="end"/>
        </w:r>
      </w:hyperlink>
    </w:p>
    <w:p w14:paraId="489C71C8" w14:textId="5FAF1323" w:rsidR="00764D95" w:rsidRPr="00E367DE" w:rsidRDefault="000D53F8" w:rsidP="009413C1">
      <w:pPr>
        <w:pStyle w:val="ChapterCaption"/>
      </w:pPr>
      <w:hyperlink w:anchor="_2.2_What_is" w:history="1">
        <w:r w:rsidR="00764D95" w:rsidRPr="00BC4C4B">
          <w:rPr>
            <w:rStyle w:val="Hyperlink"/>
          </w:rPr>
          <w:fldChar w:fldCharType="begin"/>
        </w:r>
        <w:r w:rsidR="00764D95" w:rsidRPr="00BC4C4B">
          <w:rPr>
            <w:rStyle w:val="Hyperlink"/>
          </w:rPr>
          <w:instrText xml:space="preserve"> REF _Ref528679763 \h </w:instrText>
        </w:r>
        <w:r w:rsidR="00E367DE" w:rsidRPr="00BC4C4B">
          <w:rPr>
            <w:rStyle w:val="Hyperlink"/>
          </w:rPr>
          <w:instrText xml:space="preserve"> \* MERGEFORMAT </w:instrText>
        </w:r>
        <w:r w:rsidR="00764D95" w:rsidRPr="00BC4C4B">
          <w:rPr>
            <w:rStyle w:val="Hyperlink"/>
          </w:rPr>
        </w:r>
        <w:r w:rsidR="00764D95" w:rsidRPr="00BC4C4B">
          <w:rPr>
            <w:rStyle w:val="Hyperlink"/>
          </w:rPr>
          <w:fldChar w:fldCharType="separate"/>
        </w:r>
        <w:r w:rsidR="008A5B32" w:rsidRPr="008A5B32">
          <w:rPr>
            <w:rStyle w:val="Hyperlink"/>
          </w:rPr>
          <w:t>2.2</w:t>
        </w:r>
        <w:r w:rsidR="008A5B32" w:rsidRPr="008A5B32">
          <w:rPr>
            <w:rStyle w:val="Hyperlink"/>
          </w:rPr>
          <w:tab/>
          <w:t>What is the VPP?</w:t>
        </w:r>
        <w:r w:rsidR="00764D95" w:rsidRPr="00BC4C4B">
          <w:rPr>
            <w:rStyle w:val="Hyperlink"/>
          </w:rPr>
          <w:fldChar w:fldCharType="end"/>
        </w:r>
      </w:hyperlink>
    </w:p>
    <w:p w14:paraId="489C71C9" w14:textId="57C595E7" w:rsidR="00764D95" w:rsidRPr="00BC4C4B" w:rsidRDefault="000D53F8" w:rsidP="00BC4C4B">
      <w:pPr>
        <w:pStyle w:val="ChapterCaption"/>
        <w:rPr>
          <w:rStyle w:val="Hyperlink"/>
          <w:color w:val="00828D" w:themeColor="text2"/>
          <w:u w:val="none"/>
        </w:rPr>
      </w:pPr>
      <w:hyperlink w:anchor="_2.3_The_VPP" w:history="1">
        <w:r w:rsidR="00BC4C4B" w:rsidRPr="00BC4C4B">
          <w:rPr>
            <w:rStyle w:val="Hyperlink"/>
            <w:color w:val="00828D" w:themeColor="text2"/>
            <w:u w:val="none"/>
          </w:rPr>
          <w:t>2.3</w:t>
        </w:r>
        <w:r w:rsidR="00BC4C4B" w:rsidRPr="00BC4C4B">
          <w:rPr>
            <w:rStyle w:val="Hyperlink"/>
            <w:color w:val="00828D" w:themeColor="text2"/>
            <w:u w:val="none"/>
          </w:rPr>
          <w:tab/>
          <w:t>The VPP principles</w:t>
        </w:r>
      </w:hyperlink>
    </w:p>
    <w:p w14:paraId="489C71CA" w14:textId="43D6985C" w:rsidR="00764D95" w:rsidRPr="00E367DE" w:rsidRDefault="000D53F8" w:rsidP="009413C1">
      <w:pPr>
        <w:pStyle w:val="ChapterCaption"/>
      </w:pPr>
      <w:hyperlink w:anchor="_2.4_How_a" w:history="1">
        <w:r w:rsidR="00764D95" w:rsidRPr="00BC4C4B">
          <w:rPr>
            <w:rStyle w:val="Hyperlink"/>
          </w:rPr>
          <w:fldChar w:fldCharType="begin"/>
        </w:r>
        <w:r w:rsidR="00764D95" w:rsidRPr="00BC4C4B">
          <w:rPr>
            <w:rStyle w:val="Hyperlink"/>
          </w:rPr>
          <w:instrText xml:space="preserve"> REF _Ref528679775 \h </w:instrText>
        </w:r>
        <w:r w:rsidR="00E367DE" w:rsidRPr="00BC4C4B">
          <w:rPr>
            <w:rStyle w:val="Hyperlink"/>
          </w:rPr>
          <w:instrText xml:space="preserve"> \* MERGEFORMAT </w:instrText>
        </w:r>
        <w:r w:rsidR="00764D95" w:rsidRPr="00BC4C4B">
          <w:rPr>
            <w:rStyle w:val="Hyperlink"/>
          </w:rPr>
        </w:r>
        <w:r w:rsidR="00764D95" w:rsidRPr="00BC4C4B">
          <w:rPr>
            <w:rStyle w:val="Hyperlink"/>
          </w:rPr>
          <w:fldChar w:fldCharType="separate"/>
        </w:r>
        <w:r w:rsidR="008A5B32" w:rsidRPr="008A5B32">
          <w:rPr>
            <w:rStyle w:val="Hyperlink"/>
          </w:rPr>
          <w:t>2.4</w:t>
        </w:r>
        <w:r w:rsidR="008A5B32" w:rsidRPr="008A5B32">
          <w:rPr>
            <w:rStyle w:val="Hyperlink"/>
          </w:rPr>
          <w:tab/>
          <w:t>How a planning scheme is created from the VPP</w:t>
        </w:r>
        <w:r w:rsidR="00764D95" w:rsidRPr="00BC4C4B">
          <w:rPr>
            <w:rStyle w:val="Hyperlink"/>
          </w:rPr>
          <w:fldChar w:fldCharType="end"/>
        </w:r>
      </w:hyperlink>
    </w:p>
    <w:p w14:paraId="489C71CB" w14:textId="35D49571" w:rsidR="00764D95" w:rsidRPr="00E367DE" w:rsidRDefault="000D53F8" w:rsidP="009413C1">
      <w:pPr>
        <w:pStyle w:val="ChapterCaption"/>
      </w:pPr>
      <w:hyperlink w:anchor="_2.5_The_elements" w:history="1">
        <w:r w:rsidR="00764D95" w:rsidRPr="00BC4C4B">
          <w:rPr>
            <w:rStyle w:val="Hyperlink"/>
          </w:rPr>
          <w:fldChar w:fldCharType="begin"/>
        </w:r>
        <w:r w:rsidR="00764D95" w:rsidRPr="00BC4C4B">
          <w:rPr>
            <w:rStyle w:val="Hyperlink"/>
          </w:rPr>
          <w:instrText xml:space="preserve"> REF _Ref528679780 \h </w:instrText>
        </w:r>
        <w:r w:rsidR="00E367DE" w:rsidRPr="00BC4C4B">
          <w:rPr>
            <w:rStyle w:val="Hyperlink"/>
          </w:rPr>
          <w:instrText xml:space="preserve"> \* MERGEFORMAT </w:instrText>
        </w:r>
        <w:r w:rsidR="00764D95" w:rsidRPr="00BC4C4B">
          <w:rPr>
            <w:rStyle w:val="Hyperlink"/>
          </w:rPr>
        </w:r>
        <w:r w:rsidR="00764D95" w:rsidRPr="00BC4C4B">
          <w:rPr>
            <w:rStyle w:val="Hyperlink"/>
          </w:rPr>
          <w:fldChar w:fldCharType="separate"/>
        </w:r>
        <w:r w:rsidR="008A5B32" w:rsidRPr="008A5B32">
          <w:rPr>
            <w:rStyle w:val="Hyperlink"/>
          </w:rPr>
          <w:t>2.5</w:t>
        </w:r>
        <w:r w:rsidR="008A5B32" w:rsidRPr="008A5B32">
          <w:rPr>
            <w:rStyle w:val="Hyperlink"/>
          </w:rPr>
          <w:tab/>
          <w:t>The elements of a planning scheme</w:t>
        </w:r>
        <w:r w:rsidR="00764D95" w:rsidRPr="00BC4C4B">
          <w:rPr>
            <w:rStyle w:val="Hyperlink"/>
          </w:rPr>
          <w:fldChar w:fldCharType="end"/>
        </w:r>
      </w:hyperlink>
    </w:p>
    <w:p w14:paraId="489C71CC" w14:textId="337E07A0" w:rsidR="00DC2411" w:rsidRPr="00986209" w:rsidRDefault="00C67400" w:rsidP="00BA6981">
      <w:pPr>
        <w:pStyle w:val="Heading2"/>
      </w:pPr>
      <w:bookmarkStart w:id="17" w:name="_2.1_Planning_schemes"/>
      <w:bookmarkStart w:id="18" w:name="_Toc528656086"/>
      <w:bookmarkStart w:id="19" w:name="_Ref528679690"/>
      <w:bookmarkStart w:id="20" w:name="_Ref528679758"/>
      <w:bookmarkStart w:id="21" w:name="_Toc158706963"/>
      <w:bookmarkEnd w:id="17"/>
      <w:r>
        <w:t>2.1</w:t>
      </w:r>
      <w:r>
        <w:tab/>
      </w:r>
      <w:r w:rsidR="00AB2C0B" w:rsidRPr="00986209">
        <w:t>Planning schemes and legislation</w:t>
      </w:r>
      <w:bookmarkEnd w:id="18"/>
      <w:bookmarkEnd w:id="19"/>
      <w:bookmarkEnd w:id="20"/>
      <w:bookmarkEnd w:id="21"/>
    </w:p>
    <w:p w14:paraId="489C71CD" w14:textId="79350B19" w:rsidR="00754143" w:rsidRDefault="00AB2C0B" w:rsidP="002E55BC">
      <w:pPr>
        <w:pStyle w:val="BodyText1"/>
      </w:pPr>
      <w:r>
        <w:t xml:space="preserve">The </w:t>
      </w:r>
      <w:r w:rsidRPr="005A3FC4">
        <w:t>Act</w:t>
      </w:r>
      <w:r>
        <w:t xml:space="preserve"> establishes the statutory framework for Victoria</w:t>
      </w:r>
      <w:r w:rsidR="006E277E">
        <w:t>’s</w:t>
      </w:r>
      <w:r>
        <w:t xml:space="preserve"> planning system, including objectives for planning and the planning framework established by the </w:t>
      </w:r>
      <w:r w:rsidRPr="005A3FC4">
        <w:t>Act</w:t>
      </w:r>
      <w:r>
        <w:t>. It provides the machinery that gives effect to state planning policies.</w:t>
      </w:r>
    </w:p>
    <w:p w14:paraId="489C71CE" w14:textId="77777777" w:rsidR="00754143" w:rsidRPr="00B01DE8" w:rsidRDefault="00AB2C0B" w:rsidP="002E55BC">
      <w:pPr>
        <w:pStyle w:val="BodyText1"/>
      </w:pPr>
      <w:r w:rsidRPr="00B01DE8">
        <w:t xml:space="preserve">The planning system and planning </w:t>
      </w:r>
      <w:proofErr w:type="gramStart"/>
      <w:r w:rsidRPr="00B01DE8">
        <w:t>schemes in particular, are</w:t>
      </w:r>
      <w:proofErr w:type="gramEnd"/>
      <w:r w:rsidRPr="00B01DE8">
        <w:t xml:space="preserve"> important tools that enable land use strategies to be implemented and effect positive change to the built environment.</w:t>
      </w:r>
      <w:r w:rsidR="00DA5AF6" w:rsidRPr="00B01DE8">
        <w:t xml:space="preserve"> </w:t>
      </w:r>
      <w:r w:rsidRPr="00B01DE8">
        <w:t>However, the planning system alone cannot provide for all desired outcomes.</w:t>
      </w:r>
    </w:p>
    <w:p w14:paraId="24FDE595" w14:textId="14BC9B42" w:rsidR="00A436D0" w:rsidRDefault="00AB2C0B" w:rsidP="002E55BC">
      <w:pPr>
        <w:pStyle w:val="BodyText1"/>
      </w:pPr>
      <w:r>
        <w:t>The drive to implement an increasing range of outcomes through planning schemes (such as local policies that address social issues</w:t>
      </w:r>
      <w:r w:rsidR="0054105E">
        <w:t xml:space="preserve"> or energy efficiency</w:t>
      </w:r>
      <w:r>
        <w:t>) is challenging the traditional scope of planning and its relationship to other regulatory systems. This is particularly so given that not all controls about the use and development of land are controlled by planning schemes.</w:t>
      </w:r>
      <w:r w:rsidR="00DA5AF6">
        <w:t xml:space="preserve"> </w:t>
      </w:r>
    </w:p>
    <w:p w14:paraId="489C71CF" w14:textId="40BFE67E" w:rsidR="00754143" w:rsidRDefault="00AB2C0B" w:rsidP="002E55BC">
      <w:pPr>
        <w:pStyle w:val="BodyText1"/>
      </w:pPr>
      <w:r>
        <w:t xml:space="preserve">Legislation other than the </w:t>
      </w:r>
      <w:r w:rsidRPr="005A3FC4">
        <w:t>Act</w:t>
      </w:r>
      <w:r>
        <w:t xml:space="preserve"> can have a significant regulatory impact on use and development, such as the </w:t>
      </w:r>
      <w:r w:rsidRPr="007E64CD">
        <w:rPr>
          <w:rStyle w:val="Emphasis"/>
        </w:rPr>
        <w:t>Building Act 1993</w:t>
      </w:r>
      <w:r>
        <w:t xml:space="preserve">, the </w:t>
      </w:r>
      <w:r w:rsidRPr="007E64CD">
        <w:rPr>
          <w:rStyle w:val="Emphasis"/>
        </w:rPr>
        <w:t>Heritage Act 2017</w:t>
      </w:r>
      <w:r>
        <w:t xml:space="preserve">, the </w:t>
      </w:r>
      <w:r w:rsidRPr="007E64CD">
        <w:rPr>
          <w:rStyle w:val="Emphasis"/>
        </w:rPr>
        <w:t>Liquor Control Reform Act 1998</w:t>
      </w:r>
      <w:r w:rsidR="006321E5">
        <w:rPr>
          <w:rStyle w:val="Emphasis"/>
        </w:rPr>
        <w:t>, Road Management Act 2004</w:t>
      </w:r>
      <w:r w:rsidR="005558CC">
        <w:rPr>
          <w:rStyle w:val="Emphasis"/>
        </w:rPr>
        <w:t xml:space="preserve"> </w:t>
      </w:r>
      <w:r w:rsidR="005558CC" w:rsidRPr="00820C14">
        <w:rPr>
          <w:rStyle w:val="Emphasis"/>
          <w:i w:val="0"/>
          <w:iCs w:val="0"/>
        </w:rPr>
        <w:t>and the</w:t>
      </w:r>
      <w:r w:rsidR="006321E5">
        <w:rPr>
          <w:rStyle w:val="Emphasis"/>
        </w:rPr>
        <w:t xml:space="preserve"> Water Act 1989</w:t>
      </w:r>
      <w:r>
        <w:t>.</w:t>
      </w:r>
    </w:p>
    <w:p w14:paraId="489C71D0" w14:textId="4CB75FA3" w:rsidR="00754143" w:rsidRDefault="006321E5" w:rsidP="002E55BC">
      <w:pPr>
        <w:pStyle w:val="BodyText1"/>
      </w:pPr>
      <w:r>
        <w:t>For efficient regulation that avoids conflict and duplication, t</w:t>
      </w:r>
      <w:r w:rsidR="00AB2C0B">
        <w:t>he introduction of any new planning provision must be considered in the context of the wider landscape of available legislation</w:t>
      </w:r>
      <w:r>
        <w:t>.</w:t>
      </w:r>
    </w:p>
    <w:p w14:paraId="489C71D1" w14:textId="17F92400" w:rsidR="00DC2411" w:rsidRPr="00986209" w:rsidRDefault="00D6469B" w:rsidP="00BA6981">
      <w:pPr>
        <w:pStyle w:val="Heading2"/>
      </w:pPr>
      <w:bookmarkStart w:id="22" w:name="_2.2_What_is"/>
      <w:bookmarkStart w:id="23" w:name="_Toc528656087"/>
      <w:bookmarkStart w:id="24" w:name="_Ref528679709"/>
      <w:bookmarkStart w:id="25" w:name="_Ref528679763"/>
      <w:bookmarkStart w:id="26" w:name="_Toc158706964"/>
      <w:bookmarkEnd w:id="22"/>
      <w:r>
        <w:t>2.2</w:t>
      </w:r>
      <w:r>
        <w:tab/>
      </w:r>
      <w:r w:rsidR="00AB2C0B" w:rsidRPr="00986209">
        <w:t>What is the VPP?</w:t>
      </w:r>
      <w:bookmarkEnd w:id="23"/>
      <w:bookmarkEnd w:id="24"/>
      <w:bookmarkEnd w:id="25"/>
      <w:bookmarkEnd w:id="26"/>
    </w:p>
    <w:p w14:paraId="489C71D2" w14:textId="77777777" w:rsidR="00754143" w:rsidRDefault="00AB2C0B" w:rsidP="002E55BC">
      <w:pPr>
        <w:pStyle w:val="BodyText1"/>
      </w:pPr>
      <w:r>
        <w:t xml:space="preserve">The VPP is established under Part 1A of the </w:t>
      </w:r>
      <w:r w:rsidRPr="005A3FC4">
        <w:t>Act</w:t>
      </w:r>
      <w:r>
        <w:t xml:space="preserve"> as a statewide reference document or template from which a planning scheme or planning scheme provision must be sourced or constructed.</w:t>
      </w:r>
    </w:p>
    <w:p w14:paraId="489C71D3" w14:textId="77777777" w:rsidR="00754143" w:rsidRDefault="00AB2C0B" w:rsidP="002E55BC">
      <w:pPr>
        <w:pStyle w:val="BodyText1"/>
      </w:pPr>
      <w:r>
        <w:t>The VPP is not a planning scheme and does not apply to any land.</w:t>
      </w:r>
      <w:r w:rsidR="00DA5AF6">
        <w:t xml:space="preserve"> </w:t>
      </w:r>
      <w:r>
        <w:t>It is a statutory device to ensure that consistent provisions for various matters are maintained across Victoria and the construction and layout of planning schemes is always the same.</w:t>
      </w:r>
    </w:p>
    <w:p w14:paraId="489C71D4" w14:textId="77777777" w:rsidR="00754143" w:rsidRDefault="00AB2C0B" w:rsidP="002E55BC">
      <w:pPr>
        <w:pStyle w:val="BodyText1"/>
      </w:pPr>
      <w:r>
        <w:t>The VPP contains a complete set of standard planning provisions for Victoria and provides the standard format (including clause numbering) for a planning scheme.</w:t>
      </w:r>
    </w:p>
    <w:p w14:paraId="489C71D5" w14:textId="77777777" w:rsidR="00DC2411" w:rsidRPr="0088283B" w:rsidRDefault="00AB2C0B" w:rsidP="002E55BC">
      <w:pPr>
        <w:pStyle w:val="BodyText1"/>
        <w:rPr>
          <w:sz w:val="16"/>
          <w:szCs w:val="16"/>
        </w:rPr>
      </w:pPr>
      <w:r>
        <w:t xml:space="preserve">The structure of a planning scheme is shown in </w:t>
      </w:r>
      <w:r w:rsidRPr="0088283B">
        <w:t>Diagram 2.</w:t>
      </w:r>
    </w:p>
    <w:p w14:paraId="489C71D6" w14:textId="375C5D74" w:rsidR="005066A3" w:rsidRPr="00AD556C" w:rsidRDefault="00390170" w:rsidP="002123AF">
      <w:pPr>
        <w:pStyle w:val="Heading4"/>
      </w:pPr>
      <w:r>
        <w:lastRenderedPageBreak/>
        <w:t xml:space="preserve">Diagram 2 - </w:t>
      </w:r>
      <w:r w:rsidR="005066A3" w:rsidRPr="00AD556C">
        <w:t>The structure of a planning scheme</w:t>
      </w:r>
    </w:p>
    <w:p w14:paraId="489C71D7" w14:textId="7FCBEDF5" w:rsidR="00DC2411" w:rsidRDefault="007902AC" w:rsidP="005066A3">
      <w:pPr>
        <w:pStyle w:val="DELWPdiagraminline"/>
      </w:pPr>
      <w:r>
        <w:rPr>
          <w:noProof/>
        </w:rPr>
        <w:drawing>
          <wp:inline distT="0" distB="0" distL="0" distR="0" wp14:anchorId="4D74D6A6" wp14:editId="42D6FAC1">
            <wp:extent cx="5759450" cy="5604510"/>
            <wp:effectExtent l="0" t="0" r="0" b="0"/>
            <wp:docPr id="50" name="Picture 50" descr="Diagram 2: A planning scheme is comprised of three key parts. The first part is the policy settings, which includes the purpose and vision of a scheme, the MPS and the PPF.  The second part encompasses the decision rules, which includes the relevant zones and overlays, together with the particular provisions and general provisions. The last part contains the operational provisions, including the meaning of terms used in planning sc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agram 2: A planning scheme is comprised of three key parts. The first part is the policy settings, which includes the purpose and vision of a scheme, the MPS and the PPF.  The second part encompasses the decision rules, which includes the relevant zones and overlays, together with the particular provisions and general provisions. The last part contains the operational provisions, including the meaning of terms used in planning schemes."/>
                    <pic:cNvPicPr/>
                  </pic:nvPicPr>
                  <pic:blipFill>
                    <a:blip r:embed="rId24"/>
                    <a:stretch>
                      <a:fillRect/>
                    </a:stretch>
                  </pic:blipFill>
                  <pic:spPr>
                    <a:xfrm>
                      <a:off x="0" y="0"/>
                      <a:ext cx="5759450" cy="5604510"/>
                    </a:xfrm>
                    <a:prstGeom prst="rect">
                      <a:avLst/>
                    </a:prstGeom>
                  </pic:spPr>
                </pic:pic>
              </a:graphicData>
            </a:graphic>
          </wp:inline>
        </w:drawing>
      </w:r>
    </w:p>
    <w:p w14:paraId="5A1C0ED6" w14:textId="77777777" w:rsidR="00EE3039" w:rsidRDefault="00EE3039" w:rsidP="00BA6981">
      <w:pPr>
        <w:pStyle w:val="Heading2"/>
      </w:pPr>
    </w:p>
    <w:p w14:paraId="34D2B293" w14:textId="7D3AF6D4" w:rsidR="00BB6B8F" w:rsidRPr="00BB6B8F" w:rsidRDefault="00BB6B8F" w:rsidP="00BA6981">
      <w:pPr>
        <w:pStyle w:val="Heading2"/>
      </w:pPr>
      <w:bookmarkStart w:id="27" w:name="_2.3_The_VPP"/>
      <w:bookmarkStart w:id="28" w:name="_Toc158706965"/>
      <w:bookmarkEnd w:id="27"/>
      <w:r>
        <w:t>2.3</w:t>
      </w:r>
      <w:r>
        <w:tab/>
        <w:t>The VPP principles</w:t>
      </w:r>
      <w:bookmarkEnd w:id="28"/>
    </w:p>
    <w:p w14:paraId="489C71D9" w14:textId="77777777" w:rsidR="00754143" w:rsidRPr="00E55452" w:rsidRDefault="00AB2C0B" w:rsidP="002E55BC">
      <w:pPr>
        <w:pStyle w:val="BodyText1"/>
        <w:rPr>
          <w:rStyle w:val="Strong"/>
        </w:rPr>
      </w:pPr>
      <w:r>
        <w:t>The six principles for the VPP are set out below.</w:t>
      </w:r>
      <w:r w:rsidR="00DA5AF6">
        <w:t xml:space="preserve"> </w:t>
      </w:r>
      <w:r>
        <w:t>They describe the ideals against which the benefits and implications of any proposed change to the VPP and planning schemes should be measured.</w:t>
      </w:r>
    </w:p>
    <w:p w14:paraId="489C71DC" w14:textId="431497C9" w:rsidR="00754143" w:rsidRPr="00F46B60" w:rsidRDefault="00AB2C0B" w:rsidP="003D6FBF">
      <w:pPr>
        <w:pStyle w:val="Heading4"/>
      </w:pPr>
      <w:bookmarkStart w:id="29" w:name="_Toc528656090"/>
      <w:r w:rsidRPr="00F46B60">
        <w:t xml:space="preserve">User </w:t>
      </w:r>
      <w:r w:rsidRPr="000C2991">
        <w:t>focused</w:t>
      </w:r>
      <w:bookmarkEnd w:id="29"/>
    </w:p>
    <w:p w14:paraId="489C71DD" w14:textId="77777777" w:rsidR="00DC2411" w:rsidRDefault="00AB2C0B" w:rsidP="002E55BC">
      <w:pPr>
        <w:pStyle w:val="BodyText1"/>
      </w:pPr>
      <w:r w:rsidRPr="00F46B60">
        <w:t>Provisions are user focused and provide transparent and understandable pathways to navigate the planning approval process.</w:t>
      </w:r>
      <w:r w:rsidR="00DA5AF6" w:rsidRPr="00F46B60">
        <w:t xml:space="preserve"> </w:t>
      </w:r>
      <w:r w:rsidRPr="00F46B60">
        <w:t>Planning schemes are structured so users can easily and intuitively access relevant information, using spatial means wherever possible.</w:t>
      </w:r>
    </w:p>
    <w:p w14:paraId="39AA74A3" w14:textId="41A10095" w:rsidR="00713F9E" w:rsidRPr="00F46B60" w:rsidRDefault="00713F9E" w:rsidP="002E55BC">
      <w:pPr>
        <w:pStyle w:val="BodyText1"/>
      </w:pPr>
      <w:r w:rsidRPr="00713F9E">
        <w:t xml:space="preserve">The requirements of planning schemes </w:t>
      </w:r>
      <w:r w:rsidR="000200DF">
        <w:t xml:space="preserve">should </w:t>
      </w:r>
      <w:r w:rsidRPr="00713F9E">
        <w:t>be clear to users and easily identified</w:t>
      </w:r>
      <w:r>
        <w:t xml:space="preserve"> </w:t>
      </w:r>
      <w:r w:rsidRPr="00713F9E">
        <w:t xml:space="preserve">from </w:t>
      </w:r>
      <w:r w:rsidR="002657DF">
        <w:t>a</w:t>
      </w:r>
      <w:r w:rsidRPr="00713F9E">
        <w:t xml:space="preserve"> planning scheme map</w:t>
      </w:r>
      <w:r>
        <w:t>.</w:t>
      </w:r>
    </w:p>
    <w:p w14:paraId="489C71DE" w14:textId="77777777" w:rsidR="00DC2411" w:rsidRPr="00F46B60" w:rsidRDefault="00AB2C0B" w:rsidP="003D6FBF">
      <w:pPr>
        <w:pStyle w:val="Heading4"/>
      </w:pPr>
      <w:bookmarkStart w:id="30" w:name="_Toc528656091"/>
      <w:r w:rsidRPr="00F46B60">
        <w:lastRenderedPageBreak/>
        <w:t>Consistent</w:t>
      </w:r>
      <w:bookmarkEnd w:id="30"/>
    </w:p>
    <w:p w14:paraId="489C71DF" w14:textId="77777777" w:rsidR="00DC2411" w:rsidRPr="00F46B60" w:rsidRDefault="00AB2C0B" w:rsidP="002E55BC">
      <w:pPr>
        <w:pStyle w:val="BodyText1"/>
      </w:pPr>
      <w:r w:rsidRPr="00F46B60">
        <w:t>Provisions are written and applied in a logical and consistent way, regardless of the content, so that a provision is easily understood and applied.</w:t>
      </w:r>
      <w:r w:rsidR="00DA5AF6" w:rsidRPr="00F46B60">
        <w:t xml:space="preserve"> </w:t>
      </w:r>
      <w:r w:rsidRPr="00F46B60">
        <w:t>Drafting rules and technology ensure that new and amended provisions are created in a way that maintains the integrity of the system and delivers the desired policy outcomes.</w:t>
      </w:r>
    </w:p>
    <w:p w14:paraId="489C71E0" w14:textId="77777777" w:rsidR="00754143" w:rsidRPr="00F46B60" w:rsidRDefault="00AB2C0B" w:rsidP="003D6FBF">
      <w:pPr>
        <w:pStyle w:val="Heading4"/>
      </w:pPr>
      <w:bookmarkStart w:id="31" w:name="_Toc528656092"/>
      <w:r w:rsidRPr="00F46B60">
        <w:t>Proportional</w:t>
      </w:r>
      <w:bookmarkEnd w:id="31"/>
    </w:p>
    <w:p w14:paraId="489C71E1" w14:textId="7E5DFFAE" w:rsidR="00DC2411" w:rsidRPr="00F46B60" w:rsidRDefault="00AB2C0B" w:rsidP="002E55BC">
      <w:pPr>
        <w:pStyle w:val="BodyText1"/>
      </w:pPr>
      <w:r w:rsidRPr="00F46B60">
        <w:t xml:space="preserve">Provisions and approval processes only impose a level of regulatory burden </w:t>
      </w:r>
      <w:r w:rsidR="0010248E">
        <w:t xml:space="preserve">that is </w:t>
      </w:r>
      <w:r w:rsidRPr="00F46B60">
        <w:t>proportional to the planning risk of the proposal.</w:t>
      </w:r>
      <w:r w:rsidR="00DA5AF6" w:rsidRPr="00F46B60">
        <w:t xml:space="preserve"> </w:t>
      </w:r>
      <w:r w:rsidRPr="00F46B60">
        <w:t>Simple and low risk applications are assessed against objective criteria through a code assessment process.</w:t>
      </w:r>
    </w:p>
    <w:p w14:paraId="489C71E2" w14:textId="77777777" w:rsidR="00754143" w:rsidRPr="00F46B60" w:rsidRDefault="00AB2C0B" w:rsidP="003D6FBF">
      <w:pPr>
        <w:pStyle w:val="Heading4"/>
      </w:pPr>
      <w:bookmarkStart w:id="32" w:name="_Toc528656093"/>
      <w:r w:rsidRPr="00F46B60">
        <w:t>Land use focused</w:t>
      </w:r>
      <w:bookmarkEnd w:id="32"/>
    </w:p>
    <w:p w14:paraId="489C71E3" w14:textId="77777777" w:rsidR="00DC2411" w:rsidRPr="00F46B60" w:rsidRDefault="00AB2C0B" w:rsidP="002E55BC">
      <w:pPr>
        <w:pStyle w:val="BodyText1"/>
      </w:pPr>
      <w:r w:rsidRPr="00F46B60">
        <w:t>Provisions focus on land use and development and do not conflict with or duplicate other legislation and regulatory instruments.</w:t>
      </w:r>
    </w:p>
    <w:p w14:paraId="489C71E4" w14:textId="77777777" w:rsidR="00DC2411" w:rsidRPr="00F46B60" w:rsidRDefault="00AB2C0B" w:rsidP="003D6FBF">
      <w:pPr>
        <w:pStyle w:val="Heading4"/>
      </w:pPr>
      <w:bookmarkStart w:id="33" w:name="_Toc528656094"/>
      <w:r w:rsidRPr="00F46B60">
        <w:t>Policy and outcome focused</w:t>
      </w:r>
      <w:bookmarkEnd w:id="33"/>
    </w:p>
    <w:p w14:paraId="489C71E5" w14:textId="6CCE3CBA" w:rsidR="00DC2411" w:rsidRDefault="00AB2C0B" w:rsidP="002E55BC">
      <w:pPr>
        <w:pStyle w:val="BodyText1"/>
      </w:pPr>
      <w:r w:rsidRPr="00F46B60">
        <w:t>Provisions ensure requirements have a clear policy basis and are planning outcome driven. Technology and information data is applied to achieve strategy clarity and to create and apply requirements in a precise way.</w:t>
      </w:r>
    </w:p>
    <w:p w14:paraId="752DD64F" w14:textId="6E0D8421" w:rsidR="006321E5" w:rsidRPr="00F46B60" w:rsidRDefault="006321E5" w:rsidP="003D6FBF">
      <w:pPr>
        <w:pStyle w:val="Heading4"/>
      </w:pPr>
      <w:r w:rsidRPr="00F46B60">
        <w:t xml:space="preserve">Digital </w:t>
      </w:r>
      <w:r>
        <w:t>ready</w:t>
      </w:r>
    </w:p>
    <w:p w14:paraId="5DECC290" w14:textId="3F1DB8DF" w:rsidR="006321E5" w:rsidRDefault="006321E5" w:rsidP="002E55BC">
      <w:pPr>
        <w:pStyle w:val="BodyText1"/>
      </w:pPr>
      <w:r w:rsidRPr="00F46B60">
        <w:t>Provisions are optimised for efficient access and processing of planning information, including through better technology, digital interfaces and the user experience, to move from document driven to database driven planning schemes.</w:t>
      </w:r>
    </w:p>
    <w:p w14:paraId="489C71E6" w14:textId="32FBE58C" w:rsidR="00DC2411" w:rsidRPr="00986209" w:rsidRDefault="0017578B" w:rsidP="00BA6981">
      <w:pPr>
        <w:pStyle w:val="Heading2"/>
      </w:pPr>
      <w:bookmarkStart w:id="34" w:name="_2.4_How_a"/>
      <w:bookmarkStart w:id="35" w:name="_Toc528656095"/>
      <w:bookmarkStart w:id="36" w:name="_Ref528679730"/>
      <w:bookmarkStart w:id="37" w:name="_Ref528679775"/>
      <w:bookmarkStart w:id="38" w:name="_Toc158706966"/>
      <w:bookmarkEnd w:id="34"/>
      <w:r>
        <w:t>2.4</w:t>
      </w:r>
      <w:r>
        <w:tab/>
      </w:r>
      <w:r w:rsidR="00AB2C0B" w:rsidRPr="00986209">
        <w:t>How a planning scheme is created from the VPP</w:t>
      </w:r>
      <w:bookmarkEnd w:id="35"/>
      <w:bookmarkEnd w:id="36"/>
      <w:bookmarkEnd w:id="37"/>
      <w:bookmarkEnd w:id="38"/>
    </w:p>
    <w:p w14:paraId="489C71E7" w14:textId="2D5D7EE7" w:rsidR="00754143" w:rsidRDefault="00AB2C0B" w:rsidP="002E55BC">
      <w:pPr>
        <w:pStyle w:val="BodyText1"/>
      </w:pPr>
      <w:r w:rsidRPr="00ED6D42">
        <w:rPr>
          <w:i/>
          <w:iCs/>
        </w:rPr>
        <w:t>The Ministerial Direction</w:t>
      </w:r>
      <w:r>
        <w:t xml:space="preserve"> </w:t>
      </w:r>
      <w:r w:rsidR="00824368">
        <w:t xml:space="preserve">- </w:t>
      </w:r>
      <w:r w:rsidRPr="007E64CD">
        <w:rPr>
          <w:rStyle w:val="Emphasis"/>
        </w:rPr>
        <w:t>The Form and Content of Planning Schemes</w:t>
      </w:r>
      <w:r>
        <w:t xml:space="preserve"> applies to the form and content of all planning schemes and any amendment to a planning scheme.</w:t>
      </w:r>
    </w:p>
    <w:p w14:paraId="489C71E8" w14:textId="57FEF9AA" w:rsidR="00754143" w:rsidRDefault="00AB2C0B" w:rsidP="002E55BC">
      <w:pPr>
        <w:pStyle w:val="BodyText1"/>
      </w:pPr>
      <w:r>
        <w:t xml:space="preserve">A planning scheme must be prepared and presented in accordance with the style guide set out in </w:t>
      </w:r>
      <w:r w:rsidRPr="00037060">
        <w:t>Annexure 1</w:t>
      </w:r>
      <w:r>
        <w:t xml:space="preserve"> of the Ministerial Direction and be written in plain English.</w:t>
      </w:r>
    </w:p>
    <w:p w14:paraId="489C71E9" w14:textId="77777777" w:rsidR="00754143" w:rsidRDefault="00AB2C0B" w:rsidP="002E55BC">
      <w:pPr>
        <w:pStyle w:val="BodyText1"/>
      </w:pPr>
      <w:r>
        <w:t>A planning scheme is constructed by taking the VPP as a basic template and:</w:t>
      </w:r>
    </w:p>
    <w:p w14:paraId="489C71EA" w14:textId="77777777" w:rsidR="00DC2411" w:rsidRDefault="00AB2C0B" w:rsidP="00723A0D">
      <w:pPr>
        <w:pStyle w:val="DELWPbullet1"/>
      </w:pPr>
      <w:r>
        <w:t>including a Municipal Planning Strategy (MPS)</w:t>
      </w:r>
    </w:p>
    <w:p w14:paraId="489C71EB" w14:textId="3E8FAF31" w:rsidR="00DC2411" w:rsidRDefault="00AB2C0B" w:rsidP="00723A0D">
      <w:pPr>
        <w:pStyle w:val="DELWPbullet1"/>
      </w:pPr>
      <w:r>
        <w:t>including any relevant regional policies and appropriate local planning policies into the Planning Policy Framework (PPF)</w:t>
      </w:r>
    </w:p>
    <w:p w14:paraId="489C71EC" w14:textId="77777777" w:rsidR="00DC2411" w:rsidRDefault="00AB2C0B" w:rsidP="00723A0D">
      <w:pPr>
        <w:pStyle w:val="DELWPbullet1"/>
      </w:pPr>
      <w:r>
        <w:t>selecting and including the zones and overlays needed to both reflect local circumstances and implement planning policy objectives</w:t>
      </w:r>
    </w:p>
    <w:p w14:paraId="489C71ED" w14:textId="5668AE4D" w:rsidR="00DC2411" w:rsidRDefault="101DE9D8" w:rsidP="00723A0D">
      <w:pPr>
        <w:pStyle w:val="DELWPbullet1"/>
        <w:rPr>
          <w:rFonts w:eastAsia="Arial" w:cs="Arial"/>
          <w:sz w:val="22"/>
          <w:szCs w:val="22"/>
        </w:rPr>
      </w:pPr>
      <w:r>
        <w:t xml:space="preserve">including appropriate content in schedules to the zones, overlays and some </w:t>
      </w:r>
      <w:proofErr w:type="gramStart"/>
      <w:r>
        <w:t>particular provisions</w:t>
      </w:r>
      <w:proofErr w:type="gramEnd"/>
      <w:r>
        <w:t xml:space="preserve"> to achieve local planning policy objectives</w:t>
      </w:r>
    </w:p>
    <w:p w14:paraId="489C71EE" w14:textId="073A498F" w:rsidR="00DA5AF6" w:rsidRDefault="00AB2C0B" w:rsidP="00723A0D">
      <w:pPr>
        <w:pStyle w:val="DELWPbullet1"/>
      </w:pPr>
      <w:r>
        <w:t xml:space="preserve">including appropriate content in the schedules to the General Provisions and the Operational Provisions (including listing any incorporated documents in the schedule to </w:t>
      </w:r>
      <w:r w:rsidR="001F616D" w:rsidRPr="0088283B">
        <w:rPr>
          <w:rStyle w:val="Strong"/>
        </w:rPr>
        <w:t>c</w:t>
      </w:r>
      <w:r w:rsidRPr="0088283B">
        <w:rPr>
          <w:rStyle w:val="Strong"/>
        </w:rPr>
        <w:t>lause 72.04</w:t>
      </w:r>
      <w:r>
        <w:t>).</w:t>
      </w:r>
    </w:p>
    <w:p w14:paraId="489C71EF" w14:textId="77777777" w:rsidR="00754143" w:rsidRDefault="00AB2C0B" w:rsidP="002E55BC">
      <w:pPr>
        <w:pStyle w:val="DELWPbodyafterbullets"/>
      </w:pPr>
      <w:r>
        <w:t>A planning scheme must not include a provision other than a provision selected from or enabled by the VPP.</w:t>
      </w:r>
    </w:p>
    <w:p w14:paraId="489C71F0" w14:textId="77777777" w:rsidR="00754143" w:rsidRDefault="00AB2C0B" w:rsidP="002E55BC">
      <w:pPr>
        <w:pStyle w:val="BodyText1"/>
      </w:pPr>
      <w:r>
        <w:lastRenderedPageBreak/>
        <w:t>An amendment to a provision of the VPP will also amend any planning scheme that includes the provision. When a VPP amendment is approved, all affected schemes are amended at the same time.</w:t>
      </w:r>
    </w:p>
    <w:p w14:paraId="489C71F1" w14:textId="2B0F6F29" w:rsidR="005066A3" w:rsidRPr="00253584" w:rsidRDefault="000C3989" w:rsidP="004F6A20">
      <w:pPr>
        <w:pStyle w:val="Heading3"/>
      </w:pPr>
      <w:r>
        <w:t xml:space="preserve">Diagram 3 - </w:t>
      </w:r>
      <w:r w:rsidR="005066A3" w:rsidRPr="00253584">
        <w:t>Creating a planning scheme</w:t>
      </w:r>
    </w:p>
    <w:p w14:paraId="489C71F2" w14:textId="2C907672" w:rsidR="00DC2411" w:rsidRDefault="007522D7" w:rsidP="00D863E0">
      <w:pPr>
        <w:pStyle w:val="DELWPdiagraminline"/>
      </w:pPr>
      <w:r>
        <w:rPr>
          <w:noProof/>
        </w:rPr>
        <w:drawing>
          <wp:inline distT="0" distB="0" distL="0" distR="0" wp14:anchorId="3D1CC3BD" wp14:editId="1D2528AB">
            <wp:extent cx="3990110" cy="7015721"/>
            <wp:effectExtent l="0" t="0" r="0" b="0"/>
            <wp:docPr id="22" name="Picture 22" descr="Diagram 3: The key elements of this diagram are explained by the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3: The key elements of this diagram are explained by the preceding text."/>
                    <pic:cNvPicPr/>
                  </pic:nvPicPr>
                  <pic:blipFill>
                    <a:blip r:embed="rId25"/>
                    <a:stretch>
                      <a:fillRect/>
                    </a:stretch>
                  </pic:blipFill>
                  <pic:spPr>
                    <a:xfrm>
                      <a:off x="0" y="0"/>
                      <a:ext cx="3990110" cy="7015721"/>
                    </a:xfrm>
                    <a:prstGeom prst="rect">
                      <a:avLst/>
                    </a:prstGeom>
                  </pic:spPr>
                </pic:pic>
              </a:graphicData>
            </a:graphic>
          </wp:inline>
        </w:drawing>
      </w:r>
    </w:p>
    <w:p w14:paraId="4869DBEC" w14:textId="77777777" w:rsidR="00EF0BBB" w:rsidRDefault="00EF0BBB">
      <w:pPr>
        <w:suppressAutoHyphens w:val="0"/>
        <w:spacing w:after="0" w:line="240" w:lineRule="auto"/>
        <w:rPr>
          <w:rFonts w:ascii="VIC" w:hAnsi="VIC"/>
          <w:b/>
          <w:color w:val="00828D"/>
          <w:sz w:val="30"/>
          <w:szCs w:val="28"/>
          <w:lang w:eastAsia="en-US"/>
        </w:rPr>
      </w:pPr>
      <w:bookmarkStart w:id="39" w:name="_2.5_The_elements"/>
      <w:bookmarkStart w:id="40" w:name="_Toc528656096"/>
      <w:bookmarkStart w:id="41" w:name="_Ref528679735"/>
      <w:bookmarkStart w:id="42" w:name="_Ref528679780"/>
      <w:bookmarkStart w:id="43" w:name="_Toc158706967"/>
      <w:bookmarkEnd w:id="39"/>
      <w:r>
        <w:br w:type="page"/>
      </w:r>
    </w:p>
    <w:p w14:paraId="489C71F3" w14:textId="51370FE6" w:rsidR="00DC2411" w:rsidRPr="008762D8" w:rsidRDefault="0017578B" w:rsidP="00BA6981">
      <w:pPr>
        <w:pStyle w:val="Heading2"/>
      </w:pPr>
      <w:r>
        <w:lastRenderedPageBreak/>
        <w:t>2.5</w:t>
      </w:r>
      <w:r>
        <w:tab/>
      </w:r>
      <w:r w:rsidR="00AB2C0B" w:rsidRPr="008762D8">
        <w:t>The elements of a planning scheme</w:t>
      </w:r>
      <w:bookmarkEnd w:id="40"/>
      <w:bookmarkEnd w:id="41"/>
      <w:bookmarkEnd w:id="42"/>
      <w:bookmarkEnd w:id="43"/>
    </w:p>
    <w:p w14:paraId="489C71F4" w14:textId="77777777" w:rsidR="00DC2411" w:rsidRDefault="00AB2C0B" w:rsidP="002E55BC">
      <w:pPr>
        <w:pStyle w:val="BodyText1"/>
      </w:pPr>
      <w:r>
        <w:t xml:space="preserve">The main elements of a planning scheme and their function are described in </w:t>
      </w:r>
      <w:r w:rsidRPr="0088283B">
        <w:t>Table 1</w:t>
      </w:r>
      <w:r>
        <w:t xml:space="preserve"> below.</w:t>
      </w:r>
      <w:r w:rsidR="00DA5AF6">
        <w:t xml:space="preserve"> </w:t>
      </w:r>
      <w:r>
        <w:t>The headings in a planning scheme provision will reflect the elements relevant to the purpose of the provision.</w:t>
      </w:r>
    </w:p>
    <w:p w14:paraId="489C71F5" w14:textId="6661F346" w:rsidR="0060093D" w:rsidRPr="00F85646" w:rsidRDefault="0060093D" w:rsidP="005510AA">
      <w:pPr>
        <w:pStyle w:val="Tablecaption"/>
      </w:pPr>
      <w:r w:rsidRPr="00F85646">
        <w:t>Elements of a planning scheme</w:t>
      </w:r>
    </w:p>
    <w:tbl>
      <w:tblPr>
        <w:tblStyle w:val="TableGrid"/>
        <w:tblW w:w="9180" w:type="dxa"/>
        <w:tblInd w:w="0" w:type="dxa"/>
        <w:tblLayout w:type="fixed"/>
        <w:tblLook w:val="00A0" w:firstRow="1" w:lastRow="0" w:firstColumn="1" w:lastColumn="0" w:noHBand="0" w:noVBand="0"/>
      </w:tblPr>
      <w:tblGrid>
        <w:gridCol w:w="3232"/>
        <w:gridCol w:w="5948"/>
      </w:tblGrid>
      <w:tr w:rsidR="003D024E" w:rsidRPr="00DF371F" w14:paraId="3BDB16F4" w14:textId="77777777" w:rsidTr="00867E50">
        <w:trPr>
          <w:cnfStyle w:val="100000000000" w:firstRow="1" w:lastRow="0" w:firstColumn="0" w:lastColumn="0" w:oddVBand="0" w:evenVBand="0" w:oddHBand="0" w:evenHBand="0" w:firstRowFirstColumn="0" w:firstRowLastColumn="0" w:lastRowFirstColumn="0" w:lastRowLastColumn="0"/>
          <w:tblHeader/>
        </w:trPr>
        <w:tc>
          <w:tcPr>
            <w:tcW w:w="3232" w:type="dxa"/>
            <w:tcBorders>
              <w:left w:val="nil"/>
            </w:tcBorders>
          </w:tcPr>
          <w:p w14:paraId="7895059A" w14:textId="38CB4D0F" w:rsidR="003D024E" w:rsidRPr="00DF371F" w:rsidRDefault="003D024E" w:rsidP="00D02070">
            <w:pPr>
              <w:pStyle w:val="Tablecolhead"/>
            </w:pPr>
            <w:r>
              <w:t>Planning scheme element</w:t>
            </w:r>
          </w:p>
        </w:tc>
        <w:tc>
          <w:tcPr>
            <w:tcW w:w="5948" w:type="dxa"/>
            <w:tcBorders>
              <w:right w:val="nil"/>
            </w:tcBorders>
          </w:tcPr>
          <w:p w14:paraId="0804D138" w14:textId="0E1EFE10" w:rsidR="003D024E" w:rsidRPr="00DF371F" w:rsidRDefault="003D024E" w:rsidP="00D02070">
            <w:pPr>
              <w:pStyle w:val="Tablecolhead"/>
            </w:pPr>
            <w:r>
              <w:t>Function</w:t>
            </w:r>
          </w:p>
        </w:tc>
      </w:tr>
      <w:tr w:rsidR="00DC2411" w:rsidRPr="00DF371F" w14:paraId="489C71FB" w14:textId="77777777" w:rsidTr="00CE1E45">
        <w:tc>
          <w:tcPr>
            <w:tcW w:w="3232" w:type="dxa"/>
            <w:tcBorders>
              <w:left w:val="nil"/>
            </w:tcBorders>
          </w:tcPr>
          <w:p w14:paraId="489C71F9" w14:textId="77777777" w:rsidR="00DC2411" w:rsidRPr="00EC29E1" w:rsidRDefault="00AB2C0B" w:rsidP="00D02070">
            <w:pPr>
              <w:pStyle w:val="Tablebody"/>
              <w:rPr>
                <w:b/>
                <w:bCs/>
              </w:rPr>
            </w:pPr>
            <w:r w:rsidRPr="00EC29E1">
              <w:rPr>
                <w:b/>
                <w:bCs/>
              </w:rPr>
              <w:t>Policy</w:t>
            </w:r>
          </w:p>
        </w:tc>
        <w:tc>
          <w:tcPr>
            <w:tcW w:w="5948" w:type="dxa"/>
            <w:tcBorders>
              <w:right w:val="nil"/>
            </w:tcBorders>
          </w:tcPr>
          <w:p w14:paraId="489C71FA" w14:textId="19146647" w:rsidR="00DC2411" w:rsidRPr="00DF371F" w:rsidRDefault="00AB2C0B" w:rsidP="00D02070">
            <w:pPr>
              <w:pStyle w:val="Tablebody"/>
            </w:pPr>
            <w:r w:rsidRPr="00DF371F">
              <w:t>Sets out the strategic basis for the exercise of discretion under other provisions.</w:t>
            </w:r>
          </w:p>
        </w:tc>
      </w:tr>
      <w:tr w:rsidR="00DC2411" w:rsidRPr="00DF371F" w14:paraId="489C71FE" w14:textId="77777777" w:rsidTr="00CE1E45">
        <w:tc>
          <w:tcPr>
            <w:tcW w:w="3232" w:type="dxa"/>
            <w:tcBorders>
              <w:left w:val="nil"/>
            </w:tcBorders>
          </w:tcPr>
          <w:p w14:paraId="489C71FC" w14:textId="77777777" w:rsidR="00DC2411" w:rsidRPr="00EC29E1" w:rsidRDefault="00AB2C0B" w:rsidP="00D02070">
            <w:pPr>
              <w:pStyle w:val="Tablebody"/>
              <w:rPr>
                <w:b/>
                <w:bCs/>
              </w:rPr>
            </w:pPr>
            <w:r w:rsidRPr="00EC29E1">
              <w:rPr>
                <w:b/>
                <w:bCs/>
              </w:rPr>
              <w:t>Purpose</w:t>
            </w:r>
          </w:p>
        </w:tc>
        <w:tc>
          <w:tcPr>
            <w:tcW w:w="5948" w:type="dxa"/>
            <w:tcBorders>
              <w:right w:val="nil"/>
            </w:tcBorders>
          </w:tcPr>
          <w:p w14:paraId="489C71FD" w14:textId="77777777" w:rsidR="00DC2411" w:rsidRPr="00DF371F" w:rsidRDefault="00AB2C0B" w:rsidP="00D02070">
            <w:pPr>
              <w:pStyle w:val="Tablebody"/>
            </w:pPr>
            <w:r w:rsidRPr="00DF371F">
              <w:t>States the purpose of a provision and the planning outcomes it seeks to achieve.</w:t>
            </w:r>
            <w:r w:rsidR="00DA5AF6" w:rsidRPr="00DF371F">
              <w:t xml:space="preserve"> </w:t>
            </w:r>
            <w:r w:rsidRPr="00DF371F">
              <w:t>This guides a user to the correct application of a provision.</w:t>
            </w:r>
          </w:p>
        </w:tc>
      </w:tr>
      <w:tr w:rsidR="00DC2411" w:rsidRPr="00DF371F" w14:paraId="489C7201" w14:textId="77777777" w:rsidTr="00CE1E45">
        <w:tc>
          <w:tcPr>
            <w:tcW w:w="3232" w:type="dxa"/>
            <w:tcBorders>
              <w:left w:val="nil"/>
            </w:tcBorders>
          </w:tcPr>
          <w:p w14:paraId="489C71FF" w14:textId="77777777" w:rsidR="00DC2411" w:rsidRPr="00EC29E1" w:rsidRDefault="00AB2C0B" w:rsidP="00D02070">
            <w:pPr>
              <w:pStyle w:val="Tablebody"/>
              <w:rPr>
                <w:b/>
                <w:bCs/>
              </w:rPr>
            </w:pPr>
            <w:r w:rsidRPr="00EC29E1">
              <w:rPr>
                <w:b/>
                <w:bCs/>
              </w:rPr>
              <w:t>Application</w:t>
            </w:r>
          </w:p>
        </w:tc>
        <w:tc>
          <w:tcPr>
            <w:tcW w:w="5948" w:type="dxa"/>
            <w:tcBorders>
              <w:right w:val="nil"/>
            </w:tcBorders>
          </w:tcPr>
          <w:p w14:paraId="489C7200" w14:textId="77777777" w:rsidR="00DC2411" w:rsidRPr="00DF371F" w:rsidRDefault="00AB2C0B" w:rsidP="00D02070">
            <w:pPr>
              <w:pStyle w:val="Tablebody"/>
            </w:pPr>
            <w:r w:rsidRPr="00DF371F">
              <w:t>Specifies the area or classes of use or development a provision applies to.</w:t>
            </w:r>
          </w:p>
        </w:tc>
      </w:tr>
      <w:tr w:rsidR="00DC2411" w:rsidRPr="00DF371F" w14:paraId="489C7204" w14:textId="77777777" w:rsidTr="00CE1E45">
        <w:tc>
          <w:tcPr>
            <w:tcW w:w="3232" w:type="dxa"/>
            <w:tcBorders>
              <w:left w:val="nil"/>
            </w:tcBorders>
          </w:tcPr>
          <w:p w14:paraId="489C7202" w14:textId="77777777" w:rsidR="00DC2411" w:rsidRPr="00EC29E1" w:rsidRDefault="00AB2C0B" w:rsidP="00D02070">
            <w:pPr>
              <w:pStyle w:val="Tablebody"/>
              <w:rPr>
                <w:b/>
                <w:bCs/>
              </w:rPr>
            </w:pPr>
            <w:r w:rsidRPr="00EC29E1">
              <w:rPr>
                <w:b/>
                <w:bCs/>
              </w:rPr>
              <w:t>Objective</w:t>
            </w:r>
          </w:p>
        </w:tc>
        <w:tc>
          <w:tcPr>
            <w:tcW w:w="5948" w:type="dxa"/>
            <w:tcBorders>
              <w:right w:val="nil"/>
            </w:tcBorders>
          </w:tcPr>
          <w:p w14:paraId="489C7203" w14:textId="38312133" w:rsidR="00DC2411" w:rsidRPr="00DF371F" w:rsidRDefault="00AB2C0B" w:rsidP="00D02070">
            <w:pPr>
              <w:pStyle w:val="Tablebody"/>
            </w:pPr>
            <w:r w:rsidRPr="00DF371F">
              <w:t xml:space="preserve">Specifies the outcomes </w:t>
            </w:r>
            <w:r w:rsidR="005B02D9">
              <w:t>sought to be</w:t>
            </w:r>
            <w:r w:rsidR="008C7808">
              <w:t xml:space="preserve"> achieved by</w:t>
            </w:r>
            <w:r w:rsidRPr="00DF371F">
              <w:t xml:space="preserve"> a provision.</w:t>
            </w:r>
            <w:r w:rsidR="00DA5AF6" w:rsidRPr="00DF371F">
              <w:t xml:space="preserve"> </w:t>
            </w:r>
            <w:r w:rsidRPr="00DF371F">
              <w:t>Objectives can be general or specific to a particular class of use or development regulated by a provision.</w:t>
            </w:r>
          </w:p>
        </w:tc>
      </w:tr>
      <w:tr w:rsidR="00DC2411" w:rsidRPr="00DF371F" w14:paraId="489C7207" w14:textId="77777777" w:rsidTr="00CE1E45">
        <w:tc>
          <w:tcPr>
            <w:tcW w:w="3232" w:type="dxa"/>
            <w:tcBorders>
              <w:left w:val="nil"/>
            </w:tcBorders>
          </w:tcPr>
          <w:p w14:paraId="489C7205" w14:textId="77777777" w:rsidR="00DC2411" w:rsidRPr="00EC29E1" w:rsidRDefault="00AB2C0B" w:rsidP="00D02070">
            <w:pPr>
              <w:pStyle w:val="Tablebody"/>
              <w:rPr>
                <w:b/>
                <w:bCs/>
              </w:rPr>
            </w:pPr>
            <w:r w:rsidRPr="00EC29E1">
              <w:rPr>
                <w:b/>
                <w:bCs/>
              </w:rPr>
              <w:t>Permit requirement</w:t>
            </w:r>
          </w:p>
        </w:tc>
        <w:tc>
          <w:tcPr>
            <w:tcW w:w="5948" w:type="dxa"/>
            <w:tcBorders>
              <w:right w:val="nil"/>
            </w:tcBorders>
          </w:tcPr>
          <w:p w14:paraId="489C7206" w14:textId="77777777" w:rsidR="00DC2411" w:rsidRPr="00DF371F" w:rsidRDefault="00AB2C0B" w:rsidP="00D02070">
            <w:pPr>
              <w:pStyle w:val="Tablebody"/>
            </w:pPr>
            <w:r w:rsidRPr="00DF371F">
              <w:t>Specifies classes of use and development that must obtain a planning permit.</w:t>
            </w:r>
          </w:p>
        </w:tc>
      </w:tr>
      <w:tr w:rsidR="00DC2411" w:rsidRPr="00DF371F" w14:paraId="489C7211" w14:textId="77777777" w:rsidTr="00CE1E45">
        <w:tc>
          <w:tcPr>
            <w:tcW w:w="3232" w:type="dxa"/>
            <w:tcBorders>
              <w:left w:val="nil"/>
            </w:tcBorders>
          </w:tcPr>
          <w:p w14:paraId="489C7208" w14:textId="77777777" w:rsidR="00DC2411" w:rsidRPr="00EC29E1" w:rsidRDefault="00AB2C0B" w:rsidP="00D02070">
            <w:pPr>
              <w:pStyle w:val="Tablebody"/>
              <w:rPr>
                <w:b/>
                <w:bCs/>
              </w:rPr>
            </w:pPr>
            <w:r w:rsidRPr="00EC29E1">
              <w:rPr>
                <w:b/>
                <w:bCs/>
              </w:rPr>
              <w:t>Requirement</w:t>
            </w:r>
          </w:p>
        </w:tc>
        <w:tc>
          <w:tcPr>
            <w:tcW w:w="5948" w:type="dxa"/>
            <w:tcBorders>
              <w:right w:val="nil"/>
            </w:tcBorders>
          </w:tcPr>
          <w:p w14:paraId="489C7209" w14:textId="77777777" w:rsidR="00CB429B" w:rsidRPr="00DF371F" w:rsidRDefault="00AB2C0B" w:rsidP="00D02070">
            <w:pPr>
              <w:pStyle w:val="Tablebody"/>
            </w:pPr>
            <w:r w:rsidRPr="00DF371F">
              <w:t>Specifies the limits of a discretion or right under a provision or the conditions under which it must be exercised.</w:t>
            </w:r>
            <w:r w:rsidR="00DA5AF6" w:rsidRPr="00DF371F">
              <w:t xml:space="preserve"> </w:t>
            </w:r>
            <w:r w:rsidRPr="00DF371F">
              <w:t>Requirements can include:</w:t>
            </w:r>
          </w:p>
          <w:p w14:paraId="489C720A" w14:textId="77777777" w:rsidR="00DC2411" w:rsidRPr="00DF371F" w:rsidRDefault="00AB2C0B" w:rsidP="00A10EA3">
            <w:pPr>
              <w:pStyle w:val="Tablebullet1"/>
            </w:pPr>
            <w:r w:rsidRPr="00DF371F">
              <w:t>built form requirements (such as height or garden area)</w:t>
            </w:r>
          </w:p>
          <w:p w14:paraId="489C720B" w14:textId="1E7B0963" w:rsidR="00DA5AF6" w:rsidRPr="00DF371F" w:rsidRDefault="00AB2C0B" w:rsidP="00A10EA3">
            <w:pPr>
              <w:pStyle w:val="Tablebullet1"/>
            </w:pPr>
            <w:r w:rsidRPr="00DF371F">
              <w:t>requirements to include a condition on a particular type of permit</w:t>
            </w:r>
            <w:r w:rsidR="007B4C9B" w:rsidRPr="005A5C3B">
              <w:rPr>
                <w:rStyle w:val="Emphasis"/>
              </w:rPr>
              <w:t xml:space="preserve"> (</w:t>
            </w:r>
            <w:r w:rsidR="0074503B">
              <w:rPr>
                <w:rStyle w:val="Emphasis"/>
              </w:rPr>
              <w:t>s</w:t>
            </w:r>
            <w:r w:rsidR="007B4C9B" w:rsidRPr="005A5C3B">
              <w:rPr>
                <w:rStyle w:val="Emphasis"/>
              </w:rPr>
              <w:t>ection 62(1)(a) of the Act)</w:t>
            </w:r>
          </w:p>
          <w:p w14:paraId="489C720C" w14:textId="7123E3B8" w:rsidR="00DC2411" w:rsidRPr="00DF371F" w:rsidRDefault="00AB2C0B" w:rsidP="00A10EA3">
            <w:pPr>
              <w:pStyle w:val="Tablebullet1"/>
            </w:pPr>
            <w:r w:rsidRPr="00DF371F">
              <w:t>procedural requirements</w:t>
            </w:r>
            <w:r w:rsidR="00DA5AF6" w:rsidRPr="00DF371F">
              <w:t xml:space="preserve"> </w:t>
            </w:r>
            <w:r w:rsidRPr="00DF371F">
              <w:t>such as for</w:t>
            </w:r>
            <w:r w:rsidR="005A5C3B" w:rsidRPr="005A5C3B">
              <w:rPr>
                <w:rStyle w:val="Emphasis"/>
              </w:rPr>
              <w:t xml:space="preserve"> (</w:t>
            </w:r>
            <w:r w:rsidR="0074503B">
              <w:rPr>
                <w:rStyle w:val="Emphasis"/>
              </w:rPr>
              <w:t>s</w:t>
            </w:r>
            <w:r w:rsidR="005A5C3B" w:rsidRPr="005A5C3B">
              <w:rPr>
                <w:rStyle w:val="Emphasis"/>
              </w:rPr>
              <w:t>ection 6</w:t>
            </w:r>
            <w:r w:rsidR="0074503B">
              <w:rPr>
                <w:rStyle w:val="Emphasis"/>
              </w:rPr>
              <w:t>(</w:t>
            </w:r>
            <w:proofErr w:type="gramStart"/>
            <w:r w:rsidR="005A5C3B" w:rsidRPr="005A5C3B">
              <w:rPr>
                <w:rStyle w:val="Emphasis"/>
              </w:rPr>
              <w:t>2</w:t>
            </w:r>
            <w:r w:rsidR="0074503B">
              <w:rPr>
                <w:rStyle w:val="Emphasis"/>
              </w:rPr>
              <w:t>)</w:t>
            </w:r>
            <w:r w:rsidR="005A5C3B" w:rsidRPr="005A5C3B">
              <w:rPr>
                <w:rStyle w:val="Emphasis"/>
              </w:rPr>
              <w:t>(</w:t>
            </w:r>
            <w:proofErr w:type="spellStart"/>
            <w:proofErr w:type="gramEnd"/>
            <w:r w:rsidR="005A5C3B">
              <w:rPr>
                <w:rStyle w:val="Emphasis"/>
              </w:rPr>
              <w:t>hb</w:t>
            </w:r>
            <w:proofErr w:type="spellEnd"/>
            <w:r w:rsidR="005A5C3B" w:rsidRPr="005A5C3B">
              <w:rPr>
                <w:rStyle w:val="Emphasis"/>
              </w:rPr>
              <w:t>) of the Act)</w:t>
            </w:r>
            <w:r w:rsidRPr="00DF371F">
              <w:t>:</w:t>
            </w:r>
          </w:p>
          <w:p w14:paraId="489C720D" w14:textId="77777777" w:rsidR="00DC2411" w:rsidRPr="00DF371F" w:rsidRDefault="00AB2C0B" w:rsidP="00465F3D">
            <w:pPr>
              <w:pStyle w:val="DELWPtablebullet2"/>
              <w:numPr>
                <w:ilvl w:val="1"/>
                <w:numId w:val="55"/>
              </w:numPr>
            </w:pPr>
            <w:proofErr w:type="spellStart"/>
            <w:r w:rsidRPr="00DF371F">
              <w:t>VicSmart</w:t>
            </w:r>
            <w:proofErr w:type="spellEnd"/>
            <w:r w:rsidRPr="00DF371F">
              <w:t xml:space="preserve"> applications</w:t>
            </w:r>
          </w:p>
          <w:p w14:paraId="489C720E" w14:textId="77777777" w:rsidR="00DC2411" w:rsidRPr="00DF371F" w:rsidRDefault="00AB2C0B" w:rsidP="00465F3D">
            <w:pPr>
              <w:pStyle w:val="DELWPtablebullet2"/>
              <w:numPr>
                <w:ilvl w:val="1"/>
                <w:numId w:val="55"/>
              </w:numPr>
            </w:pPr>
            <w:r w:rsidRPr="00DF371F">
              <w:t>Exemption from notice and review</w:t>
            </w:r>
          </w:p>
          <w:p w14:paraId="489C720F" w14:textId="00CB6CAF" w:rsidR="00DA5AF6" w:rsidRPr="00DF371F" w:rsidRDefault="00AB2C0B" w:rsidP="00465F3D">
            <w:pPr>
              <w:pStyle w:val="DELWPtablebullet2"/>
              <w:numPr>
                <w:ilvl w:val="1"/>
                <w:numId w:val="55"/>
              </w:numPr>
            </w:pPr>
            <w:r w:rsidRPr="00DF371F">
              <w:t>Specific notice requirement settings</w:t>
            </w:r>
            <w:r w:rsidR="005A5C3B" w:rsidRPr="005A5C3B">
              <w:rPr>
                <w:rStyle w:val="Emphasis"/>
              </w:rPr>
              <w:t xml:space="preserve"> (</w:t>
            </w:r>
            <w:r w:rsidR="0074503B">
              <w:rPr>
                <w:rStyle w:val="Emphasis"/>
              </w:rPr>
              <w:t>s</w:t>
            </w:r>
            <w:r w:rsidR="005A5C3B" w:rsidRPr="005A5C3B">
              <w:rPr>
                <w:rStyle w:val="Emphasis"/>
              </w:rPr>
              <w:t>ection</w:t>
            </w:r>
            <w:r w:rsidR="00C016C9">
              <w:rPr>
                <w:rStyle w:val="Emphasis"/>
              </w:rPr>
              <w:t>s</w:t>
            </w:r>
            <w:r w:rsidR="00687B7D">
              <w:rPr>
                <w:rStyle w:val="Emphasis"/>
              </w:rPr>
              <w:t xml:space="preserve"> </w:t>
            </w:r>
            <w:r w:rsidR="00C016C9">
              <w:rPr>
                <w:rStyle w:val="Emphasis"/>
              </w:rPr>
              <w:t>52(1)(c), 5</w:t>
            </w:r>
            <w:r w:rsidR="00E43FA0">
              <w:rPr>
                <w:rStyle w:val="Emphasis"/>
              </w:rPr>
              <w:t>2</w:t>
            </w:r>
            <w:r w:rsidR="00C016C9">
              <w:rPr>
                <w:rStyle w:val="Emphasis"/>
              </w:rPr>
              <w:t xml:space="preserve">(4) and 52(5) </w:t>
            </w:r>
            <w:r w:rsidR="005A5C3B" w:rsidRPr="005A5C3B">
              <w:rPr>
                <w:rStyle w:val="Emphasis"/>
              </w:rPr>
              <w:t>of the Act)</w:t>
            </w:r>
          </w:p>
          <w:p w14:paraId="489C7210" w14:textId="22E23B0D" w:rsidR="00DC2411" w:rsidRPr="00DF371F" w:rsidRDefault="00AB2C0B" w:rsidP="00465F3D">
            <w:pPr>
              <w:pStyle w:val="DELWPtablebullet2"/>
              <w:numPr>
                <w:ilvl w:val="1"/>
                <w:numId w:val="55"/>
              </w:numPr>
            </w:pPr>
            <w:r w:rsidRPr="00092E0F">
              <w:t>Referral requirement</w:t>
            </w:r>
            <w:r w:rsidR="00FD46DC" w:rsidRPr="00092E0F">
              <w:t>.</w:t>
            </w:r>
          </w:p>
        </w:tc>
      </w:tr>
      <w:tr w:rsidR="00DC2411" w:rsidRPr="00DF371F" w14:paraId="489C7214" w14:textId="77777777" w:rsidTr="00CE1E45">
        <w:tc>
          <w:tcPr>
            <w:tcW w:w="3232" w:type="dxa"/>
            <w:tcBorders>
              <w:left w:val="nil"/>
            </w:tcBorders>
          </w:tcPr>
          <w:p w14:paraId="489C7212" w14:textId="77777777" w:rsidR="00DC2411" w:rsidRPr="00EC29E1" w:rsidRDefault="00AB2C0B" w:rsidP="00D02070">
            <w:pPr>
              <w:pStyle w:val="Tablebody"/>
              <w:rPr>
                <w:b/>
                <w:bCs/>
              </w:rPr>
            </w:pPr>
            <w:r w:rsidRPr="00EC29E1">
              <w:rPr>
                <w:b/>
                <w:bCs/>
              </w:rPr>
              <w:t>Standard</w:t>
            </w:r>
          </w:p>
        </w:tc>
        <w:tc>
          <w:tcPr>
            <w:tcW w:w="5948" w:type="dxa"/>
            <w:tcBorders>
              <w:right w:val="nil"/>
            </w:tcBorders>
          </w:tcPr>
          <w:p w14:paraId="489C7213" w14:textId="77777777" w:rsidR="00DC2411" w:rsidRPr="00DF371F" w:rsidRDefault="00AB2C0B" w:rsidP="00D02070">
            <w:pPr>
              <w:pStyle w:val="Tablebody"/>
            </w:pPr>
            <w:r w:rsidRPr="00DF371F">
              <w:t>Specifies an outcome or level of performance that is considered acceptable having regard to the objectives of a provision. A standard can be quantitative or qualitative. In some cases, a standard can be linked to an objective, so that if the standard is met the objective is deemed to be met.</w:t>
            </w:r>
          </w:p>
        </w:tc>
      </w:tr>
      <w:tr w:rsidR="00DC2411" w:rsidRPr="00DF371F" w14:paraId="489C7217" w14:textId="77777777" w:rsidTr="00CE1E45">
        <w:tc>
          <w:tcPr>
            <w:tcW w:w="3232" w:type="dxa"/>
            <w:tcBorders>
              <w:left w:val="nil"/>
            </w:tcBorders>
          </w:tcPr>
          <w:p w14:paraId="489C7215" w14:textId="77777777" w:rsidR="00DC2411" w:rsidRPr="00EC29E1" w:rsidRDefault="00AB2C0B" w:rsidP="00D02070">
            <w:pPr>
              <w:pStyle w:val="Tablebody"/>
              <w:rPr>
                <w:b/>
                <w:bCs/>
              </w:rPr>
            </w:pPr>
            <w:r w:rsidRPr="00EC29E1">
              <w:rPr>
                <w:b/>
                <w:bCs/>
              </w:rPr>
              <w:t>Application requirement</w:t>
            </w:r>
          </w:p>
        </w:tc>
        <w:tc>
          <w:tcPr>
            <w:tcW w:w="5948" w:type="dxa"/>
            <w:tcBorders>
              <w:right w:val="nil"/>
            </w:tcBorders>
          </w:tcPr>
          <w:p w14:paraId="489C7216" w14:textId="77777777" w:rsidR="00DC2411" w:rsidRPr="00DF371F" w:rsidRDefault="00AB2C0B" w:rsidP="00D02070">
            <w:pPr>
              <w:pStyle w:val="Tablebody"/>
            </w:pPr>
            <w:r w:rsidRPr="00DF371F">
              <w:t>Specifies the information that must accompany a class of application for a planning permit or a request for approval.</w:t>
            </w:r>
            <w:r w:rsidR="00DA5AF6" w:rsidRPr="00DF371F">
              <w:t xml:space="preserve"> </w:t>
            </w:r>
            <w:r w:rsidRPr="00DF371F">
              <w:t xml:space="preserve">These requirements should be proportionate to the planning risks associated with an activity and derive </w:t>
            </w:r>
            <w:r w:rsidRPr="00DF371F">
              <w:lastRenderedPageBreak/>
              <w:t>from the objectives, standards or decision guidelines relevant to the discretion being exercised.</w:t>
            </w:r>
          </w:p>
        </w:tc>
      </w:tr>
      <w:tr w:rsidR="00DC2411" w:rsidRPr="00DF371F" w14:paraId="489C721A" w14:textId="77777777" w:rsidTr="00CE1E45">
        <w:tc>
          <w:tcPr>
            <w:tcW w:w="3232" w:type="dxa"/>
            <w:tcBorders>
              <w:left w:val="nil"/>
            </w:tcBorders>
          </w:tcPr>
          <w:p w14:paraId="489C7218" w14:textId="77777777" w:rsidR="00DC2411" w:rsidRPr="00EC29E1" w:rsidRDefault="00AB2C0B" w:rsidP="00D02070">
            <w:pPr>
              <w:pStyle w:val="Tablebody"/>
              <w:rPr>
                <w:b/>
                <w:bCs/>
              </w:rPr>
            </w:pPr>
            <w:r w:rsidRPr="00EC29E1">
              <w:rPr>
                <w:b/>
                <w:bCs/>
              </w:rPr>
              <w:lastRenderedPageBreak/>
              <w:t>Decision guideline</w:t>
            </w:r>
          </w:p>
        </w:tc>
        <w:tc>
          <w:tcPr>
            <w:tcW w:w="5948" w:type="dxa"/>
            <w:tcBorders>
              <w:right w:val="nil"/>
            </w:tcBorders>
          </w:tcPr>
          <w:p w14:paraId="489C7219" w14:textId="532283F2" w:rsidR="00DC2411" w:rsidRPr="004F372F" w:rsidRDefault="00AB2C0B" w:rsidP="00D02070">
            <w:pPr>
              <w:pStyle w:val="Tablebody"/>
            </w:pPr>
            <w:r w:rsidRPr="004F372F">
              <w:t>Sets out, in policy neutral terms, matters that, if relevant, should be considered by the decision</w:t>
            </w:r>
            <w:r w:rsidR="00764EB8" w:rsidRPr="004F372F">
              <w:t>-</w:t>
            </w:r>
            <w:r w:rsidRPr="004F372F">
              <w:t>maker when exercising a discretion.</w:t>
            </w:r>
          </w:p>
        </w:tc>
      </w:tr>
      <w:tr w:rsidR="00DC2411" w:rsidRPr="00DF371F" w14:paraId="489C721D" w14:textId="77777777" w:rsidTr="00CE1E45">
        <w:tc>
          <w:tcPr>
            <w:tcW w:w="3232" w:type="dxa"/>
            <w:tcBorders>
              <w:left w:val="nil"/>
            </w:tcBorders>
          </w:tcPr>
          <w:p w14:paraId="489C721B" w14:textId="4A214133" w:rsidR="00DC2411" w:rsidRPr="00EC29E1" w:rsidRDefault="00092E40" w:rsidP="00D02070">
            <w:pPr>
              <w:pStyle w:val="Tablebody"/>
              <w:rPr>
                <w:b/>
                <w:bCs/>
              </w:rPr>
            </w:pPr>
            <w:r w:rsidRPr="00EC29E1">
              <w:rPr>
                <w:b/>
                <w:bCs/>
              </w:rPr>
              <w:t>Meaning of terms</w:t>
            </w:r>
          </w:p>
        </w:tc>
        <w:tc>
          <w:tcPr>
            <w:tcW w:w="5948" w:type="dxa"/>
            <w:tcBorders>
              <w:right w:val="nil"/>
            </w:tcBorders>
          </w:tcPr>
          <w:p w14:paraId="489C721C" w14:textId="685111F1" w:rsidR="00210546" w:rsidRPr="004F372F" w:rsidRDefault="00116E1B" w:rsidP="00D02070">
            <w:pPr>
              <w:pStyle w:val="Tablebody"/>
            </w:pPr>
            <w:r w:rsidRPr="004F372F">
              <w:t xml:space="preserve">In addition to the </w:t>
            </w:r>
            <w:r w:rsidRPr="005A3FC4">
              <w:t>Act</w:t>
            </w:r>
            <w:r w:rsidRPr="004F372F">
              <w:t xml:space="preserve">, the planning scheme lists definitions for </w:t>
            </w:r>
            <w:r w:rsidR="00EA3287" w:rsidRPr="004F372F">
              <w:t>common terms used in decision</w:t>
            </w:r>
            <w:r w:rsidR="00093198" w:rsidRPr="004F372F">
              <w:t xml:space="preserve"> </w:t>
            </w:r>
            <w:r w:rsidR="00EA3287" w:rsidRPr="004F372F">
              <w:t>making, including general, land use and sign terms.</w:t>
            </w:r>
          </w:p>
        </w:tc>
      </w:tr>
    </w:tbl>
    <w:p w14:paraId="0004133E" w14:textId="77777777" w:rsidR="004E2032" w:rsidRDefault="004E2032" w:rsidP="004E2032">
      <w:pPr>
        <w:pStyle w:val="ChapterCaption"/>
        <w:rPr>
          <w:b/>
          <w:bCs/>
          <w:color w:val="00828D"/>
          <w:sz w:val="44"/>
          <w:szCs w:val="44"/>
          <w:lang w:eastAsia="en-US"/>
        </w:rPr>
      </w:pPr>
      <w:bookmarkStart w:id="44" w:name="_3_How_provisions"/>
      <w:bookmarkEnd w:id="44"/>
    </w:p>
    <w:p w14:paraId="65548110" w14:textId="77777777" w:rsidR="004E2032" w:rsidRDefault="004E2032">
      <w:pPr>
        <w:suppressAutoHyphens w:val="0"/>
        <w:spacing w:after="0" w:line="240" w:lineRule="auto"/>
        <w:rPr>
          <w:rFonts w:ascii="VIC" w:hAnsi="VIC"/>
          <w:b/>
          <w:bCs/>
          <w:color w:val="00828D"/>
          <w:sz w:val="44"/>
          <w:szCs w:val="44"/>
          <w:lang w:eastAsia="en-US"/>
        </w:rPr>
      </w:pPr>
      <w:r>
        <w:rPr>
          <w:b/>
          <w:bCs/>
          <w:color w:val="00828D"/>
          <w:sz w:val="44"/>
          <w:szCs w:val="44"/>
          <w:lang w:eastAsia="en-US"/>
        </w:rPr>
        <w:br w:type="page"/>
      </w:r>
    </w:p>
    <w:bookmarkStart w:id="45" w:name="_3_How_provisions_1"/>
    <w:bookmarkEnd w:id="45"/>
    <w:p w14:paraId="489C721F" w14:textId="61694DF6" w:rsidR="008817F0" w:rsidRPr="004E2032" w:rsidRDefault="00BC4C4B" w:rsidP="00D2198E">
      <w:pPr>
        <w:pStyle w:val="Heading1"/>
        <w:rPr>
          <w:rStyle w:val="Hyperlink"/>
          <w:color w:val="00828D"/>
          <w:u w:val="none"/>
        </w:rPr>
      </w:pPr>
      <w:r>
        <w:lastRenderedPageBreak/>
        <w:fldChar w:fldCharType="begin"/>
      </w:r>
      <w:r w:rsidRPr="004C1681">
        <w:instrText>HYPERLINK  \l "_3.1_How_policy"</w:instrText>
      </w:r>
      <w:r>
        <w:fldChar w:fldCharType="separate"/>
      </w:r>
      <w:r w:rsidR="008817F0" w:rsidRPr="00BC4C4B">
        <w:rPr>
          <w:rStyle w:val="Hyperlink"/>
          <w:color w:val="00828D"/>
          <w:u w:val="none"/>
        </w:rPr>
        <w:fldChar w:fldCharType="begin"/>
      </w:r>
      <w:r w:rsidR="008817F0" w:rsidRPr="004C1681">
        <w:rPr>
          <w:rStyle w:val="Hyperlink"/>
          <w:color w:val="00828D"/>
          <w:u w:val="none"/>
        </w:rPr>
        <w:instrText xml:space="preserve"> REF _Ref528679830 \h </w:instrText>
      </w:r>
      <w:r w:rsidR="00593FA4" w:rsidRPr="004C1681">
        <w:rPr>
          <w:rStyle w:val="Hyperlink"/>
          <w:color w:val="00828D"/>
          <w:u w:val="none"/>
        </w:rPr>
        <w:instrText xml:space="preserve"> \* MERGEFORMAT </w:instrText>
      </w:r>
      <w:r w:rsidR="008817F0" w:rsidRPr="00BC4C4B">
        <w:rPr>
          <w:rStyle w:val="Hyperlink"/>
          <w:color w:val="00828D"/>
          <w:u w:val="none"/>
        </w:rPr>
      </w:r>
      <w:r w:rsidR="008817F0" w:rsidRPr="00BC4C4B">
        <w:rPr>
          <w:rStyle w:val="Hyperlink"/>
          <w:color w:val="00828D"/>
          <w:u w:val="none"/>
        </w:rPr>
        <w:fldChar w:fldCharType="separate"/>
      </w:r>
      <w:bookmarkStart w:id="46" w:name="_Toc158706968"/>
      <w:r w:rsidR="004E2032" w:rsidRPr="00452A05">
        <w:t>3</w:t>
      </w:r>
      <w:r w:rsidR="004E2032" w:rsidRPr="00452A05">
        <w:tab/>
        <w:t>How provisions work</w:t>
      </w:r>
      <w:bookmarkEnd w:id="46"/>
      <w:r w:rsidR="008817F0" w:rsidRPr="00BC4C4B">
        <w:rPr>
          <w:rStyle w:val="Hyperlink"/>
        </w:rPr>
        <w:fldChar w:fldCharType="end"/>
      </w:r>
    </w:p>
    <w:bookmarkStart w:id="47" w:name="_Toc528604686"/>
    <w:bookmarkStart w:id="48" w:name="_Toc528604920"/>
    <w:p w14:paraId="1077A25F" w14:textId="1C8953D5" w:rsidR="00452A05" w:rsidRDefault="00BC4C4B" w:rsidP="00452A05">
      <w:pPr>
        <w:pStyle w:val="ChapterCaption"/>
      </w:pPr>
      <w:r>
        <w:fldChar w:fldCharType="end"/>
      </w:r>
      <w:r w:rsidR="00452A05">
        <w:t>3.1</w:t>
      </w:r>
      <w:r w:rsidR="00452A05">
        <w:tab/>
        <w:t>How policy works</w:t>
      </w:r>
    </w:p>
    <w:p w14:paraId="489C7220" w14:textId="1CFC272D" w:rsidR="008817F0" w:rsidRPr="00452A05" w:rsidRDefault="00BC4C4B" w:rsidP="00452A05">
      <w:pPr>
        <w:pStyle w:val="ChapterCaption"/>
        <w:rPr>
          <w:rStyle w:val="Hyperlink"/>
          <w:color w:val="00828D" w:themeColor="text2"/>
          <w:u w:val="none"/>
        </w:rPr>
      </w:pPr>
      <w:r w:rsidRPr="00452A05">
        <w:fldChar w:fldCharType="begin"/>
      </w:r>
      <w:r w:rsidRPr="00452A05">
        <w:instrText>HYPERLINK  \l "_3.2_How_a"</w:instrText>
      </w:r>
      <w:r w:rsidRPr="00452A05">
        <w:fldChar w:fldCharType="separate"/>
      </w:r>
      <w:r w:rsidR="008817F0" w:rsidRPr="00452A05">
        <w:rPr>
          <w:rStyle w:val="Hyperlink"/>
          <w:color w:val="00828D" w:themeColor="text2"/>
          <w:u w:val="none"/>
        </w:rPr>
        <w:fldChar w:fldCharType="begin"/>
      </w:r>
      <w:r w:rsidR="008817F0" w:rsidRPr="00452A05">
        <w:rPr>
          <w:rStyle w:val="Hyperlink"/>
          <w:color w:val="00828D" w:themeColor="text2"/>
          <w:u w:val="none"/>
        </w:rPr>
        <w:instrText xml:space="preserve"> REF _Ref528679873 \h </w:instrText>
      </w:r>
      <w:r w:rsidR="00571E3D" w:rsidRPr="00452A05">
        <w:rPr>
          <w:rStyle w:val="Hyperlink"/>
          <w:color w:val="00828D" w:themeColor="text2"/>
          <w:u w:val="none"/>
        </w:rPr>
        <w:instrText xml:space="preserve"> \* MERGEFORMAT </w:instrText>
      </w:r>
      <w:r w:rsidR="008817F0" w:rsidRPr="00452A05">
        <w:rPr>
          <w:rStyle w:val="Hyperlink"/>
          <w:color w:val="00828D" w:themeColor="text2"/>
          <w:u w:val="none"/>
        </w:rPr>
      </w:r>
      <w:r w:rsidR="008817F0" w:rsidRPr="00452A05">
        <w:rPr>
          <w:rStyle w:val="Hyperlink"/>
          <w:color w:val="00828D" w:themeColor="text2"/>
          <w:u w:val="none"/>
        </w:rPr>
        <w:fldChar w:fldCharType="separate"/>
      </w:r>
      <w:r w:rsidR="008A5B32" w:rsidRPr="00452A05">
        <w:rPr>
          <w:rStyle w:val="Hyperlink"/>
          <w:color w:val="00828D" w:themeColor="text2"/>
          <w:u w:val="none"/>
        </w:rPr>
        <w:t>3.2</w:t>
      </w:r>
      <w:r w:rsidR="008A5B32" w:rsidRPr="00452A05">
        <w:rPr>
          <w:rStyle w:val="Hyperlink"/>
          <w:color w:val="00828D" w:themeColor="text2"/>
          <w:u w:val="none"/>
        </w:rPr>
        <w:tab/>
        <w:t>How a zone works</w:t>
      </w:r>
      <w:r w:rsidR="008817F0" w:rsidRPr="00452A05">
        <w:rPr>
          <w:rStyle w:val="Hyperlink"/>
          <w:color w:val="00828D" w:themeColor="text2"/>
          <w:u w:val="none"/>
        </w:rPr>
        <w:fldChar w:fldCharType="end"/>
      </w:r>
    </w:p>
    <w:p w14:paraId="489C7221" w14:textId="0D4E7138" w:rsidR="008817F0" w:rsidRPr="00BC4C4B" w:rsidRDefault="00BC4C4B" w:rsidP="00452A05">
      <w:pPr>
        <w:pStyle w:val="ChapterCaption"/>
        <w:rPr>
          <w:rStyle w:val="Hyperlink"/>
        </w:rPr>
      </w:pPr>
      <w:r w:rsidRPr="00452A05">
        <w:fldChar w:fldCharType="end"/>
      </w:r>
      <w:r>
        <w:fldChar w:fldCharType="begin"/>
      </w:r>
      <w:r>
        <w:instrText>HYPERLINK  \l "_3.3_How_an"</w:instrText>
      </w:r>
      <w:r>
        <w:fldChar w:fldCharType="separate"/>
      </w:r>
      <w:r w:rsidR="008817F0" w:rsidRPr="00BC4C4B">
        <w:rPr>
          <w:rStyle w:val="Hyperlink"/>
        </w:rPr>
        <w:fldChar w:fldCharType="begin"/>
      </w:r>
      <w:r w:rsidR="008817F0" w:rsidRPr="00BC4C4B">
        <w:rPr>
          <w:rStyle w:val="Hyperlink"/>
        </w:rPr>
        <w:instrText xml:space="preserve"> REF _Ref528679877 \h </w:instrText>
      </w:r>
      <w:r w:rsidR="008817F0" w:rsidRPr="00BC4C4B">
        <w:rPr>
          <w:rStyle w:val="Hyperlink"/>
        </w:rPr>
      </w:r>
      <w:r w:rsidR="008817F0" w:rsidRPr="00BC4C4B">
        <w:rPr>
          <w:rStyle w:val="Hyperlink"/>
        </w:rPr>
        <w:fldChar w:fldCharType="separate"/>
      </w:r>
      <w:r w:rsidR="008A5B32">
        <w:t>3.3</w:t>
      </w:r>
      <w:r w:rsidR="008A5B32">
        <w:tab/>
      </w:r>
      <w:r w:rsidR="008A5B32" w:rsidRPr="00986209">
        <w:t>How an overlay works</w:t>
      </w:r>
      <w:r w:rsidR="008817F0" w:rsidRPr="00BC4C4B">
        <w:rPr>
          <w:rStyle w:val="Hyperlink"/>
        </w:rPr>
        <w:fldChar w:fldCharType="end"/>
      </w:r>
    </w:p>
    <w:p w14:paraId="489C7222" w14:textId="64973389" w:rsidR="008817F0" w:rsidRPr="00BC4C4B" w:rsidRDefault="00BC4C4B" w:rsidP="00431FBF">
      <w:pPr>
        <w:pStyle w:val="ChapterCaption"/>
        <w:ind w:left="0" w:firstLine="709"/>
        <w:rPr>
          <w:rStyle w:val="Hyperlink"/>
        </w:rPr>
      </w:pPr>
      <w:r>
        <w:fldChar w:fldCharType="end"/>
      </w:r>
      <w:r>
        <w:fldChar w:fldCharType="begin"/>
      </w:r>
      <w:r>
        <w:instrText>HYPERLINK  \l "_3.4_How_a"</w:instrText>
      </w:r>
      <w:r>
        <w:fldChar w:fldCharType="separate"/>
      </w:r>
      <w:r w:rsidR="008817F0" w:rsidRPr="00BC4C4B">
        <w:rPr>
          <w:rStyle w:val="Hyperlink"/>
        </w:rPr>
        <w:fldChar w:fldCharType="begin"/>
      </w:r>
      <w:r w:rsidR="008817F0" w:rsidRPr="00BC4C4B">
        <w:rPr>
          <w:rStyle w:val="Hyperlink"/>
        </w:rPr>
        <w:instrText xml:space="preserve"> REF _Ref528679881 \h </w:instrText>
      </w:r>
      <w:r w:rsidR="008817F0" w:rsidRPr="00BC4C4B">
        <w:rPr>
          <w:rStyle w:val="Hyperlink"/>
        </w:rPr>
      </w:r>
      <w:r w:rsidR="008817F0" w:rsidRPr="00BC4C4B">
        <w:rPr>
          <w:rStyle w:val="Hyperlink"/>
        </w:rPr>
        <w:fldChar w:fldCharType="separate"/>
      </w:r>
      <w:r w:rsidR="008A5B32">
        <w:t>3.4</w:t>
      </w:r>
      <w:r w:rsidR="008A5B32">
        <w:tab/>
      </w:r>
      <w:r w:rsidR="008A5B32" w:rsidRPr="00986209">
        <w:t>How a particular provision works</w:t>
      </w:r>
      <w:r w:rsidR="008817F0" w:rsidRPr="00BC4C4B">
        <w:rPr>
          <w:rStyle w:val="Hyperlink"/>
        </w:rPr>
        <w:fldChar w:fldCharType="end"/>
      </w:r>
    </w:p>
    <w:p w14:paraId="489C7223" w14:textId="7F4F0D8E" w:rsidR="008817F0" w:rsidRPr="00BC4C4B" w:rsidRDefault="00BC4C4B" w:rsidP="00431FBF">
      <w:pPr>
        <w:pStyle w:val="ChapterCaption"/>
        <w:ind w:left="0" w:firstLine="709"/>
        <w:rPr>
          <w:rStyle w:val="Hyperlink"/>
        </w:rPr>
      </w:pPr>
      <w:r>
        <w:fldChar w:fldCharType="end"/>
      </w:r>
      <w:r>
        <w:fldChar w:fldCharType="begin"/>
      </w:r>
      <w:r>
        <w:instrText>HYPERLINK  \l "_3.5_How_the"</w:instrText>
      </w:r>
      <w:r>
        <w:fldChar w:fldCharType="separate"/>
      </w:r>
      <w:r w:rsidR="008817F0" w:rsidRPr="00BC4C4B">
        <w:rPr>
          <w:rStyle w:val="Hyperlink"/>
        </w:rPr>
        <w:fldChar w:fldCharType="begin"/>
      </w:r>
      <w:r w:rsidR="008817F0" w:rsidRPr="00BC4C4B">
        <w:rPr>
          <w:rStyle w:val="Hyperlink"/>
        </w:rPr>
        <w:instrText xml:space="preserve"> REF _Ref528679886 \h </w:instrText>
      </w:r>
      <w:r w:rsidR="008817F0" w:rsidRPr="00BC4C4B">
        <w:rPr>
          <w:rStyle w:val="Hyperlink"/>
        </w:rPr>
      </w:r>
      <w:r w:rsidR="008817F0" w:rsidRPr="00BC4C4B">
        <w:rPr>
          <w:rStyle w:val="Hyperlink"/>
        </w:rPr>
        <w:fldChar w:fldCharType="separate"/>
      </w:r>
      <w:r w:rsidR="008A5B32">
        <w:t>3.5</w:t>
      </w:r>
      <w:r w:rsidR="008A5B32">
        <w:tab/>
      </w:r>
      <w:r w:rsidR="008A5B32" w:rsidRPr="00986209">
        <w:t>How the general provisions work</w:t>
      </w:r>
      <w:r w:rsidR="008817F0" w:rsidRPr="00BC4C4B">
        <w:rPr>
          <w:rStyle w:val="Hyperlink"/>
        </w:rPr>
        <w:fldChar w:fldCharType="end"/>
      </w:r>
    </w:p>
    <w:p w14:paraId="489C7224" w14:textId="4F69749B" w:rsidR="008817F0" w:rsidRPr="00BC4C4B" w:rsidRDefault="00BC4C4B" w:rsidP="00431FBF">
      <w:pPr>
        <w:pStyle w:val="ChapterCaption"/>
        <w:ind w:left="0" w:firstLine="709"/>
        <w:rPr>
          <w:rStyle w:val="Hyperlink"/>
        </w:rPr>
      </w:pPr>
      <w:r>
        <w:fldChar w:fldCharType="end"/>
      </w:r>
      <w:r>
        <w:fldChar w:fldCharType="begin"/>
      </w:r>
      <w:r>
        <w:instrText>HYPERLINK  \l "_3.6_How_the"</w:instrText>
      </w:r>
      <w:r>
        <w:fldChar w:fldCharType="separate"/>
      </w:r>
      <w:r w:rsidR="008817F0" w:rsidRPr="00BC4C4B">
        <w:rPr>
          <w:rStyle w:val="Hyperlink"/>
        </w:rPr>
        <w:fldChar w:fldCharType="begin"/>
      </w:r>
      <w:r w:rsidR="008817F0" w:rsidRPr="00BC4C4B">
        <w:rPr>
          <w:rStyle w:val="Hyperlink"/>
        </w:rPr>
        <w:instrText xml:space="preserve"> REF _Ref528679890 \h </w:instrText>
      </w:r>
      <w:r w:rsidR="008817F0" w:rsidRPr="00BC4C4B">
        <w:rPr>
          <w:rStyle w:val="Hyperlink"/>
        </w:rPr>
      </w:r>
      <w:r w:rsidR="008817F0" w:rsidRPr="00BC4C4B">
        <w:rPr>
          <w:rStyle w:val="Hyperlink"/>
        </w:rPr>
        <w:fldChar w:fldCharType="separate"/>
      </w:r>
      <w:r w:rsidR="008A5B32">
        <w:t>3.6</w:t>
      </w:r>
      <w:r w:rsidR="008A5B32">
        <w:tab/>
      </w:r>
      <w:r w:rsidR="008A5B32" w:rsidRPr="00986209">
        <w:t>How the operational provisions work</w:t>
      </w:r>
      <w:r w:rsidR="008817F0" w:rsidRPr="00BC4C4B">
        <w:rPr>
          <w:rStyle w:val="Hyperlink"/>
        </w:rPr>
        <w:fldChar w:fldCharType="end"/>
      </w:r>
    </w:p>
    <w:p w14:paraId="489C7225" w14:textId="74DFD7D3" w:rsidR="008817F0" w:rsidRPr="00BC4C4B" w:rsidRDefault="00BC4C4B" w:rsidP="00431FBF">
      <w:pPr>
        <w:pStyle w:val="ChapterCaption"/>
        <w:ind w:left="0" w:firstLine="709"/>
        <w:rPr>
          <w:rStyle w:val="Hyperlink"/>
        </w:rPr>
      </w:pPr>
      <w:r>
        <w:fldChar w:fldCharType="end"/>
      </w:r>
      <w:r>
        <w:fldChar w:fldCharType="begin"/>
      </w:r>
      <w:r>
        <w:instrText>HYPERLINK  \l "_3.7_How_the"</w:instrText>
      </w:r>
      <w:r>
        <w:fldChar w:fldCharType="separate"/>
      </w:r>
      <w:r w:rsidR="008817F0" w:rsidRPr="00BC4C4B">
        <w:rPr>
          <w:rStyle w:val="Hyperlink"/>
        </w:rPr>
        <w:fldChar w:fldCharType="begin"/>
      </w:r>
      <w:r w:rsidR="008817F0" w:rsidRPr="00BC4C4B">
        <w:rPr>
          <w:rStyle w:val="Hyperlink"/>
        </w:rPr>
        <w:instrText xml:space="preserve"> REF _Ref528679894 \h </w:instrText>
      </w:r>
      <w:r w:rsidR="008817F0" w:rsidRPr="00BC4C4B">
        <w:rPr>
          <w:rStyle w:val="Hyperlink"/>
        </w:rPr>
      </w:r>
      <w:r w:rsidR="008817F0" w:rsidRPr="00BC4C4B">
        <w:rPr>
          <w:rStyle w:val="Hyperlink"/>
        </w:rPr>
        <w:fldChar w:fldCharType="separate"/>
      </w:r>
      <w:r w:rsidR="008A5B32">
        <w:t>3.7</w:t>
      </w:r>
      <w:r w:rsidR="008A5B32">
        <w:tab/>
      </w:r>
      <w:r w:rsidR="008A5B32" w:rsidRPr="00986209">
        <w:t>How the land use terms work</w:t>
      </w:r>
      <w:r w:rsidR="008817F0" w:rsidRPr="00BC4C4B">
        <w:rPr>
          <w:rStyle w:val="Hyperlink"/>
        </w:rPr>
        <w:fldChar w:fldCharType="end"/>
      </w:r>
    </w:p>
    <w:bookmarkStart w:id="49" w:name="_3.1_How_policy"/>
    <w:bookmarkStart w:id="50" w:name="_Ref528679830"/>
    <w:bookmarkEnd w:id="49"/>
    <w:p w14:paraId="489C7226" w14:textId="42098675" w:rsidR="00DC2411" w:rsidRPr="00E50316" w:rsidRDefault="00BC4C4B" w:rsidP="00BA6981">
      <w:pPr>
        <w:pStyle w:val="Heading2"/>
      </w:pPr>
      <w:r>
        <w:rPr>
          <w:color w:val="00828D" w:themeColor="text2"/>
          <w:sz w:val="20"/>
          <w:szCs w:val="20"/>
          <w:lang w:eastAsia="en-AU"/>
        </w:rPr>
        <w:fldChar w:fldCharType="end"/>
      </w:r>
      <w:bookmarkStart w:id="51" w:name="_Toc158706969"/>
      <w:r w:rsidR="001811AB">
        <w:t>3.1</w:t>
      </w:r>
      <w:r w:rsidR="001811AB">
        <w:tab/>
      </w:r>
      <w:r w:rsidR="00AB2C0B" w:rsidRPr="00E50316">
        <w:t>How policy works</w:t>
      </w:r>
      <w:bookmarkEnd w:id="47"/>
      <w:bookmarkEnd w:id="48"/>
      <w:bookmarkEnd w:id="50"/>
      <w:bookmarkEnd w:id="51"/>
    </w:p>
    <w:p w14:paraId="489C7227" w14:textId="5332DF68" w:rsidR="00754143" w:rsidRPr="00092E0F" w:rsidRDefault="00AB2C0B" w:rsidP="002E55BC">
      <w:pPr>
        <w:pStyle w:val="BodyText1"/>
      </w:pPr>
      <w:r>
        <w:t xml:space="preserve">The PPF is the policy content of a planning scheme and provides a context for spatial planning and </w:t>
      </w:r>
      <w:r w:rsidRPr="00555178">
        <w:t>decision</w:t>
      </w:r>
      <w:r w:rsidR="00555178">
        <w:t xml:space="preserve"> </w:t>
      </w:r>
      <w:r w:rsidRPr="00555178">
        <w:t>making</w:t>
      </w:r>
      <w:r>
        <w:t xml:space="preserve"> by planning a</w:t>
      </w:r>
      <w:r w:rsidRPr="00092E0F">
        <w:t>nd responsible authorities.</w:t>
      </w:r>
    </w:p>
    <w:p w14:paraId="489C7228" w14:textId="283B8D61" w:rsidR="00754143" w:rsidRDefault="00AB2C0B" w:rsidP="002E55BC">
      <w:pPr>
        <w:pStyle w:val="BodyText1"/>
      </w:pPr>
      <w:r w:rsidRPr="00092E0F">
        <w:t>The PPF comprises</w:t>
      </w:r>
      <w:r w:rsidRPr="007E64CD">
        <w:rPr>
          <w:rStyle w:val="Strong"/>
        </w:rPr>
        <w:t xml:space="preserve"> </w:t>
      </w:r>
      <w:r w:rsidR="00092E0F" w:rsidRPr="0088283B">
        <w:rPr>
          <w:rStyle w:val="Strong"/>
        </w:rPr>
        <w:t xml:space="preserve">clauses </w:t>
      </w:r>
      <w:r w:rsidRPr="0088283B">
        <w:rPr>
          <w:rStyle w:val="Strong"/>
        </w:rPr>
        <w:t>10 to 19</w:t>
      </w:r>
      <w:r>
        <w:t xml:space="preserve"> of the planning scheme and is a single integrated policy source that includes state content in the form of state</w:t>
      </w:r>
      <w:r w:rsidR="004762BE">
        <w:t>wide</w:t>
      </w:r>
      <w:r>
        <w:t xml:space="preserve"> and regional planning policy and local content in the form of local planning policy.</w:t>
      </w:r>
    </w:p>
    <w:p w14:paraId="6E3E4D28" w14:textId="126A7E1B" w:rsidR="00AA54B6" w:rsidRDefault="00C90DDF" w:rsidP="002E55BC">
      <w:pPr>
        <w:pStyle w:val="BodyText1"/>
      </w:pPr>
      <w:r>
        <w:rPr>
          <w:noProof/>
        </w:rPr>
        <w:drawing>
          <wp:inline distT="0" distB="0" distL="0" distR="0" wp14:anchorId="1A7494F2" wp14:editId="545D3CA8">
            <wp:extent cx="5759450" cy="2994660"/>
            <wp:effectExtent l="0" t="0" r="0" b="0"/>
            <wp:docPr id="28" name="Picture 28" descr="Diagram showing the Planning Policy Framework, including the State Planning Policy (comprised of statewide and regional policies) and Local Planning Policy, reflected in a Victori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showing the Planning Policy Framework, including the State Planning Policy (comprised of statewide and regional policies) and Local Planning Policy, reflected in a Victoria Map."/>
                    <pic:cNvPicPr/>
                  </pic:nvPicPr>
                  <pic:blipFill>
                    <a:blip r:embed="rId26"/>
                    <a:stretch>
                      <a:fillRect/>
                    </a:stretch>
                  </pic:blipFill>
                  <pic:spPr>
                    <a:xfrm>
                      <a:off x="0" y="0"/>
                      <a:ext cx="5759450" cy="2994660"/>
                    </a:xfrm>
                    <a:prstGeom prst="rect">
                      <a:avLst/>
                    </a:prstGeom>
                  </pic:spPr>
                </pic:pic>
              </a:graphicData>
            </a:graphic>
          </wp:inline>
        </w:drawing>
      </w:r>
    </w:p>
    <w:p w14:paraId="489C7229" w14:textId="77777777" w:rsidR="00754143" w:rsidRDefault="00AB2C0B" w:rsidP="002E55BC">
      <w:pPr>
        <w:pStyle w:val="BodyText1"/>
      </w:pPr>
      <w:r>
        <w:t>The policy content in the PPF is complemented by the MPS. The MPS outlines the planning outcomes the municipality seeks to achieve that will be implemented by the policies and requirements of the planning scheme.</w:t>
      </w:r>
    </w:p>
    <w:p w14:paraId="489C722A" w14:textId="17151FFD" w:rsidR="00754143" w:rsidRDefault="00AB2C0B" w:rsidP="002E55BC">
      <w:pPr>
        <w:pStyle w:val="BodyText1"/>
      </w:pPr>
      <w:r>
        <w:t xml:space="preserve">The MPS sits outside the PPF at </w:t>
      </w:r>
      <w:r w:rsidR="001F616D" w:rsidRPr="0088283B">
        <w:t>c</w:t>
      </w:r>
      <w:r w:rsidRPr="0088283B">
        <w:rPr>
          <w:rStyle w:val="Strong"/>
        </w:rPr>
        <w:t>lause 02</w:t>
      </w:r>
      <w:r>
        <w:t xml:space="preserve"> of the planning scheme.</w:t>
      </w:r>
      <w:r w:rsidR="00B3274A">
        <w:t xml:space="preserve"> </w:t>
      </w:r>
      <w:r>
        <w:t xml:space="preserve">The PPF and the MPS together form the strategic foundation of the </w:t>
      </w:r>
      <w:r w:rsidR="008D024A">
        <w:t xml:space="preserve">planning </w:t>
      </w:r>
      <w:r>
        <w:t>scheme.</w:t>
      </w:r>
    </w:p>
    <w:p w14:paraId="489C722B" w14:textId="0F7A408F" w:rsidR="00754143" w:rsidRDefault="00AB2C0B" w:rsidP="002E55BC">
      <w:pPr>
        <w:pStyle w:val="BodyText1"/>
      </w:pPr>
      <w:r>
        <w:t xml:space="preserve">A planning authority must </w:t>
      </w:r>
      <w:proofErr w:type="gramStart"/>
      <w:r>
        <w:t>take into account</w:t>
      </w:r>
      <w:proofErr w:type="gramEnd"/>
      <w:r>
        <w:t xml:space="preserve"> the MPS and the PPF when preparing an amendment to a planning scheme. A responsible authority must also </w:t>
      </w:r>
      <w:proofErr w:type="gramStart"/>
      <w:r>
        <w:t>take into account</w:t>
      </w:r>
      <w:proofErr w:type="gramEnd"/>
      <w:r>
        <w:t xml:space="preserve"> and give effect to the MPS and</w:t>
      </w:r>
      <w:r w:rsidR="006E5FDB">
        <w:t xml:space="preserve"> objectives and strategies of</w:t>
      </w:r>
      <w:r>
        <w:t xml:space="preserve"> the PPF when it makes a decision.</w:t>
      </w:r>
    </w:p>
    <w:p w14:paraId="489C722C" w14:textId="77777777" w:rsidR="00754143" w:rsidRDefault="00AB2C0B" w:rsidP="002E55BC">
      <w:pPr>
        <w:pStyle w:val="BodyText1"/>
      </w:pPr>
      <w:r>
        <w:lastRenderedPageBreak/>
        <w:t>A planning policy applies to all land in the planning scheme unless the policy specifies otherwise.</w:t>
      </w:r>
    </w:p>
    <w:p w14:paraId="489C722D" w14:textId="502386CF" w:rsidR="00754143" w:rsidRDefault="00AB2C0B" w:rsidP="002E55BC">
      <w:pPr>
        <w:pStyle w:val="BodyText1"/>
      </w:pPr>
      <w:r>
        <w:t>A planning policy may include policy guidelines. Policy guidelines indicate how an objective can be met and how a strategy can be implemented.</w:t>
      </w:r>
      <w:r w:rsidR="00DA5AF6">
        <w:t xml:space="preserve"> </w:t>
      </w:r>
      <w:r>
        <w:t xml:space="preserve">A responsible authority must take a relevant policy guideline into account when it makes a </w:t>
      </w:r>
      <w:proofErr w:type="gramStart"/>
      <w:r>
        <w:t>decision, but</w:t>
      </w:r>
      <w:proofErr w:type="gramEnd"/>
      <w:r>
        <w:t xml:space="preserve"> is not required</w:t>
      </w:r>
      <w:r w:rsidR="00D74FC8">
        <w:t xml:space="preserve"> to</w:t>
      </w:r>
      <w:r>
        <w:t xml:space="preserve"> give effect to it.</w:t>
      </w:r>
      <w:r w:rsidR="00DA5AF6">
        <w:t xml:space="preserve"> </w:t>
      </w:r>
      <w:r>
        <w:t>If the responsible authority is satisfied that an alternative approach meets the policy objective, the alternative may be considered.</w:t>
      </w:r>
    </w:p>
    <w:p w14:paraId="489C722E" w14:textId="301FDFD7" w:rsidR="00DC2411" w:rsidRDefault="00AB2C0B" w:rsidP="002E55BC">
      <w:pPr>
        <w:pStyle w:val="BodyText1"/>
      </w:pPr>
      <w:r>
        <w:t xml:space="preserve">A planning policy may include reference to a policy document. A policy document may be an incorporated, background or other document such as an </w:t>
      </w:r>
      <w:r w:rsidRPr="00037060">
        <w:t>Act</w:t>
      </w:r>
      <w:r>
        <w:t>.</w:t>
      </w:r>
    </w:p>
    <w:p w14:paraId="489C722F" w14:textId="63BFE211" w:rsidR="00DC2411" w:rsidRPr="00986209" w:rsidRDefault="001811AB" w:rsidP="00BA6981">
      <w:pPr>
        <w:pStyle w:val="Heading2"/>
      </w:pPr>
      <w:bookmarkStart w:id="52" w:name="_3.2_How_a"/>
      <w:bookmarkStart w:id="53" w:name="_Toc528604687"/>
      <w:bookmarkStart w:id="54" w:name="_Toc528604921"/>
      <w:bookmarkStart w:id="55" w:name="_Ref528679834"/>
      <w:bookmarkStart w:id="56" w:name="_Ref528679873"/>
      <w:bookmarkStart w:id="57" w:name="_Toc158706970"/>
      <w:bookmarkEnd w:id="52"/>
      <w:r>
        <w:t>3.2</w:t>
      </w:r>
      <w:r>
        <w:tab/>
      </w:r>
      <w:r w:rsidR="00AB2C0B" w:rsidRPr="00986209">
        <w:t>How a zone works</w:t>
      </w:r>
      <w:bookmarkEnd w:id="53"/>
      <w:bookmarkEnd w:id="54"/>
      <w:bookmarkEnd w:id="55"/>
      <w:bookmarkEnd w:id="56"/>
      <w:bookmarkEnd w:id="57"/>
    </w:p>
    <w:p w14:paraId="489C7230" w14:textId="77777777" w:rsidR="00754143" w:rsidRDefault="00AB2C0B" w:rsidP="002E55BC">
      <w:pPr>
        <w:pStyle w:val="BodyText1"/>
      </w:pPr>
      <w:r>
        <w:t>Zones are the primary tool for guiding the fair and orderly use and development of land. A zone sets expectations about what land use and development activity is or may be acceptable.</w:t>
      </w:r>
      <w:r w:rsidR="00DA5AF6">
        <w:t xml:space="preserve"> </w:t>
      </w:r>
      <w:r>
        <w:t>Each zone broadly deals with a particular predominant land use theme, such as residential, commercial, industrial or public land uses.</w:t>
      </w:r>
    </w:p>
    <w:p w14:paraId="489C7231" w14:textId="1F3294F8" w:rsidR="00754143" w:rsidRDefault="00AB2C0B" w:rsidP="002E55BC">
      <w:pPr>
        <w:pStyle w:val="BodyText1"/>
      </w:pPr>
      <w:r>
        <w:t xml:space="preserve">Zones are applied </w:t>
      </w:r>
      <w:proofErr w:type="gramStart"/>
      <w:r>
        <w:t>spatially</w:t>
      </w:r>
      <w:proofErr w:type="gramEnd"/>
      <w:r>
        <w:t xml:space="preserve"> and all land must be included in a zone, except Commonwealth land</w:t>
      </w:r>
      <w:r w:rsidR="008C5D40">
        <w:t xml:space="preserve"> which is </w:t>
      </w:r>
      <w:r w:rsidR="00DB2189">
        <w:t xml:space="preserve">not </w:t>
      </w:r>
      <w:r w:rsidR="00285679">
        <w:t>covered by</w:t>
      </w:r>
      <w:r w:rsidR="00DB2189">
        <w:t xml:space="preserve"> a planning scheme</w:t>
      </w:r>
      <w:r>
        <w:t>.</w:t>
      </w:r>
      <w:r w:rsidR="00DA5AF6">
        <w:t xml:space="preserve"> </w:t>
      </w:r>
      <w:r>
        <w:t>The zone selected for any land is determined by the historic land use and the planning strategies set out in the planning scheme.</w:t>
      </w:r>
    </w:p>
    <w:p w14:paraId="489C7232" w14:textId="77777777" w:rsidR="00754143" w:rsidRDefault="00AB2C0B" w:rsidP="002E55BC">
      <w:pPr>
        <w:pStyle w:val="BodyText1"/>
      </w:pPr>
      <w:r>
        <w:t>Each zone contains purposes that describe the planning outcome sought by the zone.</w:t>
      </w:r>
      <w:r w:rsidR="00DA5AF6">
        <w:t xml:space="preserve"> </w:t>
      </w:r>
      <w:r>
        <w:t>These purposes are achieved through the application of the controls on use and development in the zone.</w:t>
      </w:r>
    </w:p>
    <w:p w14:paraId="489C7233" w14:textId="77777777" w:rsidR="00754143" w:rsidRDefault="00AB2C0B" w:rsidP="002E55BC">
      <w:pPr>
        <w:pStyle w:val="BodyText1"/>
      </w:pPr>
      <w:r>
        <w:t>The use of land is controlled by the ‘Table of uses’ in the zone.</w:t>
      </w:r>
      <w:r w:rsidR="00DA5AF6">
        <w:t xml:space="preserve"> </w:t>
      </w:r>
      <w:r>
        <w:t>This table places particular land uses in one of three categories:</w:t>
      </w:r>
    </w:p>
    <w:p w14:paraId="489C7234" w14:textId="77777777" w:rsidR="00DC2411" w:rsidRPr="00465F3D" w:rsidRDefault="00AB2C0B" w:rsidP="00A705A5">
      <w:pPr>
        <w:pStyle w:val="BodyText1"/>
        <w:numPr>
          <w:ilvl w:val="0"/>
          <w:numId w:val="38"/>
        </w:numPr>
      </w:pPr>
      <w:r w:rsidRPr="00097555">
        <w:rPr>
          <w:rStyle w:val="Strong"/>
          <w:b/>
          <w:bCs/>
        </w:rPr>
        <w:t>Section 1</w:t>
      </w:r>
      <w:r w:rsidRPr="00465F3D">
        <w:t xml:space="preserve"> – Permit not required</w:t>
      </w:r>
    </w:p>
    <w:p w14:paraId="489C7235" w14:textId="77777777" w:rsidR="00DC2411" w:rsidRPr="00465F3D" w:rsidRDefault="00AB2C0B" w:rsidP="00A705A5">
      <w:pPr>
        <w:pStyle w:val="BodyText1"/>
        <w:numPr>
          <w:ilvl w:val="0"/>
          <w:numId w:val="38"/>
        </w:numPr>
      </w:pPr>
      <w:r w:rsidRPr="00097555">
        <w:rPr>
          <w:rStyle w:val="Strong"/>
          <w:b/>
          <w:bCs/>
        </w:rPr>
        <w:t>Section 2</w:t>
      </w:r>
      <w:r w:rsidRPr="00465F3D">
        <w:t xml:space="preserve"> – Permit required</w:t>
      </w:r>
    </w:p>
    <w:p w14:paraId="489C7236" w14:textId="77777777" w:rsidR="00CB429B" w:rsidRDefault="00AB2C0B" w:rsidP="00A705A5">
      <w:pPr>
        <w:pStyle w:val="BodyText1"/>
        <w:numPr>
          <w:ilvl w:val="0"/>
          <w:numId w:val="38"/>
        </w:numPr>
      </w:pPr>
      <w:r w:rsidRPr="00097555">
        <w:rPr>
          <w:rStyle w:val="Strong"/>
          <w:b/>
          <w:bCs/>
        </w:rPr>
        <w:t>Section 3</w:t>
      </w:r>
      <w:r w:rsidRPr="00465F3D">
        <w:t xml:space="preserve"> – Prohibited</w:t>
      </w:r>
    </w:p>
    <w:p w14:paraId="489C7237" w14:textId="77777777" w:rsidR="00754143" w:rsidRDefault="00AB2C0B" w:rsidP="002E55BC">
      <w:pPr>
        <w:pStyle w:val="BodyText1"/>
      </w:pPr>
      <w:r>
        <w:t>The table may include a condition next to a land use that must be met.</w:t>
      </w:r>
      <w:r w:rsidR="00DA5AF6">
        <w:t xml:space="preserve"> </w:t>
      </w:r>
      <w:r>
        <w:t>If the condition is not met, a more restrictive land use category will apply to the use.</w:t>
      </w:r>
    </w:p>
    <w:p w14:paraId="489C7238" w14:textId="14581183" w:rsidR="00754143" w:rsidRDefault="00355E71" w:rsidP="002E55BC">
      <w:pPr>
        <w:pStyle w:val="BodyText1"/>
      </w:pPr>
      <w:r>
        <w:t>Z</w:t>
      </w:r>
      <w:r w:rsidR="00AB2C0B">
        <w:t>one</w:t>
      </w:r>
      <w:r>
        <w:t>s</w:t>
      </w:r>
      <w:r w:rsidR="00AB2C0B">
        <w:t xml:space="preserve"> also controls development by requiring a planning permit for specified types of development. Some zones seek to promote a specific outcome by exempting a preferred form of development from the need for a permit.</w:t>
      </w:r>
      <w:r w:rsidR="00DA5AF6">
        <w:t xml:space="preserve"> </w:t>
      </w:r>
      <w:r w:rsidR="00AB2C0B">
        <w:t>Some zones may include mandatory requirements, such as a maximum building height.</w:t>
      </w:r>
    </w:p>
    <w:p w14:paraId="489C7239" w14:textId="77777777" w:rsidR="00754143" w:rsidRDefault="00AB2C0B" w:rsidP="002E55BC">
      <w:pPr>
        <w:pStyle w:val="BodyText1"/>
      </w:pPr>
      <w:r>
        <w:t>A zone may require certain information to be provided with a particular type of planning permit application.</w:t>
      </w:r>
    </w:p>
    <w:p w14:paraId="489C723A" w14:textId="77777777" w:rsidR="00754143" w:rsidRDefault="00AB2C0B" w:rsidP="002E55BC">
      <w:pPr>
        <w:pStyle w:val="BodyText1"/>
      </w:pPr>
      <w:r>
        <w:t xml:space="preserve">Where a permit is required, the zone may exempt certain types of application from the notice and review requirements of the </w:t>
      </w:r>
      <w:r w:rsidRPr="005A3FC4">
        <w:t>Act</w:t>
      </w:r>
      <w:r>
        <w:t>.</w:t>
      </w:r>
    </w:p>
    <w:p w14:paraId="489C723B" w14:textId="122776DA" w:rsidR="00754143" w:rsidRDefault="00DD0499" w:rsidP="002E55BC">
      <w:pPr>
        <w:pStyle w:val="BodyText1"/>
      </w:pPr>
      <w:r>
        <w:t>Z</w:t>
      </w:r>
      <w:r w:rsidR="00AB2C0B">
        <w:t>one</w:t>
      </w:r>
      <w:r>
        <w:t>s</w:t>
      </w:r>
      <w:r w:rsidR="00AB2C0B">
        <w:t xml:space="preserve"> include decision guidelines that apply generally or to a specific type of application. </w:t>
      </w:r>
      <w:r w:rsidR="00EF3598">
        <w:t xml:space="preserve">In addition to the </w:t>
      </w:r>
      <w:r w:rsidR="002972E9">
        <w:t xml:space="preserve">decision guidelines of </w:t>
      </w:r>
      <w:r w:rsidR="001F616D" w:rsidRPr="0088283B">
        <w:t>c</w:t>
      </w:r>
      <w:r w:rsidR="002972E9" w:rsidRPr="0088283B">
        <w:t>lause 65</w:t>
      </w:r>
      <w:r w:rsidR="002972E9">
        <w:t xml:space="preserve"> of the planning scheme, these </w:t>
      </w:r>
      <w:r w:rsidR="00AB2C0B">
        <w:t xml:space="preserve">decision </w:t>
      </w:r>
      <w:r w:rsidR="00AB2C0B">
        <w:lastRenderedPageBreak/>
        <w:t xml:space="preserve">guidelines must be </w:t>
      </w:r>
      <w:proofErr w:type="gramStart"/>
      <w:r w:rsidR="00AB2C0B">
        <w:t>taken into account</w:t>
      </w:r>
      <w:proofErr w:type="gramEnd"/>
      <w:r w:rsidR="00AB2C0B">
        <w:t xml:space="preserve"> by the responsible authority when it makes a decision about the application.</w:t>
      </w:r>
    </w:p>
    <w:p w14:paraId="489C723C" w14:textId="0F073F12" w:rsidR="00754143" w:rsidRDefault="00657095" w:rsidP="002E55BC">
      <w:pPr>
        <w:pStyle w:val="BodyText1"/>
      </w:pPr>
      <w:r>
        <w:t>Each</w:t>
      </w:r>
      <w:r w:rsidR="00AB2C0B">
        <w:t xml:space="preserve"> zone also specifies the sign category that applies to the land.</w:t>
      </w:r>
    </w:p>
    <w:p w14:paraId="489C723D" w14:textId="77777777" w:rsidR="00754143" w:rsidRDefault="00AB2C0B" w:rsidP="002E55BC">
      <w:pPr>
        <w:pStyle w:val="BodyText1"/>
      </w:pPr>
      <w:r>
        <w:t>Some zones allow the planning authority to set specific objectives for the zone through a statement in a schedule to the zone.</w:t>
      </w:r>
      <w:r w:rsidR="00DA5AF6">
        <w:t xml:space="preserve"> </w:t>
      </w:r>
      <w:r>
        <w:t>These objectives may be general or may relate to a specific matter, such as building design.</w:t>
      </w:r>
    </w:p>
    <w:p w14:paraId="489C723E" w14:textId="2F3F68BF" w:rsidR="00754143" w:rsidRDefault="00AB2C0B" w:rsidP="002E55BC">
      <w:pPr>
        <w:pStyle w:val="BodyText1"/>
      </w:pPr>
      <w:r>
        <w:t xml:space="preserve">A </w:t>
      </w:r>
      <w:r w:rsidR="005563D6">
        <w:t xml:space="preserve">zone may have a </w:t>
      </w:r>
      <w:r>
        <w:t xml:space="preserve">schedule </w:t>
      </w:r>
      <w:r w:rsidR="007402FB">
        <w:t xml:space="preserve">that enables a planning authority </w:t>
      </w:r>
      <w:r w:rsidR="00033D74">
        <w:t xml:space="preserve">to </w:t>
      </w:r>
      <w:r w:rsidR="00C945EB">
        <w:t>specify</w:t>
      </w:r>
      <w:r>
        <w:t xml:space="preserve"> certain use and development controls or standards to achieve local planning objectives.</w:t>
      </w:r>
    </w:p>
    <w:p w14:paraId="489C723F" w14:textId="77777777" w:rsidR="00DC2411" w:rsidRPr="00517FEB" w:rsidRDefault="00AB2C0B" w:rsidP="003D6FBF">
      <w:pPr>
        <w:pStyle w:val="Heading4"/>
      </w:pPr>
      <w:bookmarkStart w:id="58" w:name="_Toc528604688"/>
      <w:bookmarkStart w:id="59" w:name="_Toc528604922"/>
      <w:r w:rsidRPr="00517FEB">
        <w:t>Placing a zone boundary</w:t>
      </w:r>
      <w:bookmarkEnd w:id="58"/>
      <w:bookmarkEnd w:id="59"/>
    </w:p>
    <w:p w14:paraId="489C7240" w14:textId="7A44350E" w:rsidR="00DC2411" w:rsidRDefault="00AB2C0B" w:rsidP="002E55BC">
      <w:pPr>
        <w:pStyle w:val="BodyText1"/>
      </w:pPr>
      <w:r>
        <w:t>A zone boundary should align with title boundaries or other clearly defined feature such as a road centreline or watercourse.</w:t>
      </w:r>
    </w:p>
    <w:p w14:paraId="489C7241" w14:textId="240B6005" w:rsidR="00754143" w:rsidRDefault="00AB2C0B" w:rsidP="002E55BC">
      <w:pPr>
        <w:pStyle w:val="BodyText1"/>
      </w:pPr>
      <w:r>
        <w:t xml:space="preserve">The planning scheme does not </w:t>
      </w:r>
      <w:r w:rsidR="00847DCC">
        <w:t xml:space="preserve">generally </w:t>
      </w:r>
      <w:r>
        <w:t>contain special provisions for land in more than one zone.</w:t>
      </w:r>
      <w:r w:rsidR="00DA5AF6">
        <w:t xml:space="preserve"> </w:t>
      </w:r>
      <w:r w:rsidR="00214722">
        <w:t xml:space="preserve">The exception being </w:t>
      </w:r>
      <w:r w:rsidR="001F616D" w:rsidRPr="00465F3D">
        <w:t>c</w:t>
      </w:r>
      <w:r w:rsidR="00214722" w:rsidRPr="00465F3D">
        <w:t>lause 64.03</w:t>
      </w:r>
      <w:r w:rsidR="00214722">
        <w:t xml:space="preserve"> that deals with </w:t>
      </w:r>
      <w:r w:rsidR="00BC2773">
        <w:t xml:space="preserve">the subdivision of </w:t>
      </w:r>
      <w:r w:rsidR="00BC19BA">
        <w:t>land in more than one zone</w:t>
      </w:r>
      <w:r w:rsidR="00BC2773">
        <w:t>.</w:t>
      </w:r>
      <w:r w:rsidR="00BC19BA">
        <w:t xml:space="preserve"> </w:t>
      </w:r>
      <w:r>
        <w:t>If land is in more than one zone, the provisions of each zone apply to that part of the land included in the zone.</w:t>
      </w:r>
    </w:p>
    <w:p w14:paraId="489C7242" w14:textId="44D7B017" w:rsidR="00DC2411" w:rsidRPr="00986209" w:rsidRDefault="00760DDD" w:rsidP="00BA6981">
      <w:pPr>
        <w:pStyle w:val="Heading2"/>
      </w:pPr>
      <w:bookmarkStart w:id="60" w:name="_3.3_How_an"/>
      <w:bookmarkStart w:id="61" w:name="_Toc528604689"/>
      <w:bookmarkStart w:id="62" w:name="_Toc528604923"/>
      <w:bookmarkStart w:id="63" w:name="_Ref528679838"/>
      <w:bookmarkStart w:id="64" w:name="_Ref528679877"/>
      <w:bookmarkStart w:id="65" w:name="_Toc158706971"/>
      <w:bookmarkEnd w:id="60"/>
      <w:r>
        <w:t>3.3</w:t>
      </w:r>
      <w:r>
        <w:tab/>
      </w:r>
      <w:r w:rsidR="00AB2C0B" w:rsidRPr="00986209">
        <w:t>How an overlay works</w:t>
      </w:r>
      <w:bookmarkEnd w:id="61"/>
      <w:bookmarkEnd w:id="62"/>
      <w:bookmarkEnd w:id="63"/>
      <w:bookmarkEnd w:id="64"/>
      <w:bookmarkEnd w:id="65"/>
    </w:p>
    <w:p w14:paraId="489C7243" w14:textId="07E7DF9C" w:rsidR="00754143" w:rsidRDefault="00AB2C0B" w:rsidP="002E55BC">
      <w:pPr>
        <w:pStyle w:val="BodyText1"/>
      </w:pPr>
      <w:r>
        <w:t>An overlay is a complementary planning control to the zone.</w:t>
      </w:r>
      <w:r w:rsidR="00DA5AF6">
        <w:t xml:space="preserve"> </w:t>
      </w:r>
      <w:r>
        <w:t>Unlike zones, that deal primarily with the broader aspects of the use and development of land, an overlay generally seeks to control a specific aspect of the development of land.</w:t>
      </w:r>
      <w:r w:rsidR="00F123C9">
        <w:t xml:space="preserve"> </w:t>
      </w:r>
    </w:p>
    <w:p w14:paraId="489C7244" w14:textId="44C508C2" w:rsidR="00754143" w:rsidRDefault="00AB2C0B" w:rsidP="002E55BC">
      <w:pPr>
        <w:pStyle w:val="BodyText1"/>
      </w:pPr>
      <w:r>
        <w:t>Overlays control a broad range of development matters such as the protection of vegetation or heritage values, the design of built form or mitigating flood risk.</w:t>
      </w:r>
      <w:r w:rsidR="00DA5AF6">
        <w:t xml:space="preserve"> </w:t>
      </w:r>
      <w:r w:rsidR="00AF1779">
        <w:t>Some o</w:t>
      </w:r>
      <w:r w:rsidR="00D812E1">
        <w:t xml:space="preserve">verlays can </w:t>
      </w:r>
      <w:r w:rsidR="00AF1779">
        <w:t xml:space="preserve">also specify </w:t>
      </w:r>
      <w:r w:rsidR="00D812E1">
        <w:t xml:space="preserve">requirements for the use of land. </w:t>
      </w:r>
      <w:r>
        <w:t>The application of an overlay may reflect a policy objective in the scheme or a condition of the land.</w:t>
      </w:r>
    </w:p>
    <w:p w14:paraId="489C7245" w14:textId="189D83AB" w:rsidR="00754143" w:rsidRDefault="00AB2C0B" w:rsidP="002E55BC">
      <w:pPr>
        <w:pStyle w:val="BodyText1"/>
      </w:pPr>
      <w:r>
        <w:t>While a parcel of land will always be included in a zone, it will only be affected by an overlay where a specific development outcome is sought for that land.</w:t>
      </w:r>
      <w:r w:rsidR="00DA5AF6">
        <w:t xml:space="preserve"> </w:t>
      </w:r>
      <w:r>
        <w:t>Land can be subject to more than one overlay.</w:t>
      </w:r>
    </w:p>
    <w:p w14:paraId="489C7246" w14:textId="77777777" w:rsidR="00754143" w:rsidRDefault="00AB2C0B" w:rsidP="002E55BC">
      <w:pPr>
        <w:pStyle w:val="BodyText1"/>
      </w:pPr>
      <w:r>
        <w:t>Each overlay contains purposes that specify the planning outcome sought by the overlay.</w:t>
      </w:r>
      <w:r w:rsidR="00DA5AF6">
        <w:t xml:space="preserve"> </w:t>
      </w:r>
      <w:r>
        <w:t>These purposes are achieved through the application of the controls in the overlay.</w:t>
      </w:r>
    </w:p>
    <w:p w14:paraId="489C7247" w14:textId="77777777" w:rsidR="00754143" w:rsidRDefault="00AB2C0B" w:rsidP="002E55BC">
      <w:pPr>
        <w:pStyle w:val="BodyText1"/>
      </w:pPr>
      <w:r>
        <w:t>An overlay may also contain application requirements, notice and review exemptions and decision guidelines.</w:t>
      </w:r>
    </w:p>
    <w:p w14:paraId="489C7248" w14:textId="1611FEE1" w:rsidR="00754143" w:rsidRDefault="00AB2C0B" w:rsidP="002E55BC">
      <w:pPr>
        <w:pStyle w:val="BodyText1"/>
      </w:pPr>
      <w:r>
        <w:t>An overlay may include a schedule that enables more specific</w:t>
      </w:r>
      <w:r w:rsidR="00286172">
        <w:t xml:space="preserve"> local</w:t>
      </w:r>
      <w:r>
        <w:t xml:space="preserve"> objectives</w:t>
      </w:r>
      <w:r w:rsidR="00911692">
        <w:t>,</w:t>
      </w:r>
      <w:r>
        <w:t xml:space="preserve"> purposes</w:t>
      </w:r>
      <w:r w:rsidR="00911692">
        <w:t xml:space="preserve"> or requirements</w:t>
      </w:r>
      <w:r w:rsidR="00547E0A">
        <w:t xml:space="preserve"> for</w:t>
      </w:r>
      <w:r>
        <w:t xml:space="preserve"> specified land.</w:t>
      </w:r>
      <w:r w:rsidR="00DA5AF6">
        <w:t xml:space="preserve"> </w:t>
      </w:r>
      <w:r>
        <w:t>The schedule may also specify development that requires planning permission, is exempt from the permit requirements or is prohibited.</w:t>
      </w:r>
      <w:r w:rsidR="00777422">
        <w:t xml:space="preserve"> Schedules </w:t>
      </w:r>
      <w:r w:rsidR="00262BE6">
        <w:t xml:space="preserve">must </w:t>
      </w:r>
      <w:r w:rsidR="00777422">
        <w:t xml:space="preserve">meet the requirements of the </w:t>
      </w:r>
      <w:r w:rsidR="00133F1F" w:rsidRPr="00824368">
        <w:rPr>
          <w:i/>
          <w:iCs/>
        </w:rPr>
        <w:t>Ministerial Direction</w:t>
      </w:r>
      <w:r w:rsidR="00AC3462">
        <w:rPr>
          <w:i/>
          <w:iCs/>
        </w:rPr>
        <w:t xml:space="preserve"> -</w:t>
      </w:r>
      <w:r w:rsidR="00133F1F">
        <w:t xml:space="preserve"> </w:t>
      </w:r>
      <w:r w:rsidR="00133F1F" w:rsidRPr="007E64CD">
        <w:rPr>
          <w:rStyle w:val="Emphasis"/>
        </w:rPr>
        <w:t>The Form and Content of Planning Schemes</w:t>
      </w:r>
      <w:r w:rsidR="00133F1F">
        <w:t>.</w:t>
      </w:r>
    </w:p>
    <w:p w14:paraId="489C7249" w14:textId="77777777" w:rsidR="00754143" w:rsidRDefault="00AB2C0B" w:rsidP="002E55BC">
      <w:pPr>
        <w:pStyle w:val="BodyText1"/>
      </w:pPr>
      <w:r>
        <w:t>An overlay may require permission for or prohibit development that is allowed by the zone.</w:t>
      </w:r>
      <w:r w:rsidR="00DA5AF6">
        <w:t xml:space="preserve"> </w:t>
      </w:r>
      <w:r>
        <w:t>Neither control takes precedence over the other and both must be satisfied before a development can be carried out.</w:t>
      </w:r>
    </w:p>
    <w:p w14:paraId="489C724A" w14:textId="273258D3" w:rsidR="00DC2411" w:rsidRPr="00986209" w:rsidRDefault="00FA0B74" w:rsidP="00BA6981">
      <w:pPr>
        <w:pStyle w:val="Heading2"/>
      </w:pPr>
      <w:bookmarkStart w:id="66" w:name="_3.4_How_a"/>
      <w:bookmarkStart w:id="67" w:name="_Toc528604690"/>
      <w:bookmarkStart w:id="68" w:name="_Toc528604924"/>
      <w:bookmarkStart w:id="69" w:name="_Ref528679842"/>
      <w:bookmarkStart w:id="70" w:name="_Ref528679881"/>
      <w:bookmarkStart w:id="71" w:name="_Toc158706972"/>
      <w:bookmarkEnd w:id="66"/>
      <w:r>
        <w:lastRenderedPageBreak/>
        <w:t>3.4</w:t>
      </w:r>
      <w:r>
        <w:tab/>
      </w:r>
      <w:r w:rsidR="00AB2C0B" w:rsidRPr="00986209">
        <w:t>How a particular provision works</w:t>
      </w:r>
      <w:bookmarkEnd w:id="67"/>
      <w:bookmarkEnd w:id="68"/>
      <w:bookmarkEnd w:id="69"/>
      <w:bookmarkEnd w:id="70"/>
      <w:bookmarkEnd w:id="71"/>
    </w:p>
    <w:p w14:paraId="489C724B" w14:textId="77777777" w:rsidR="00754143" w:rsidRDefault="00AB2C0B" w:rsidP="002E55BC">
      <w:pPr>
        <w:pStyle w:val="BodyText1"/>
      </w:pPr>
      <w:proofErr w:type="gramStart"/>
      <w:r>
        <w:t>Particular provisions</w:t>
      </w:r>
      <w:proofErr w:type="gramEnd"/>
      <w:r>
        <w:t xml:space="preserve"> are planning controls that apply only to certain uses and development or to particular aspects of certain uses and development.</w:t>
      </w:r>
    </w:p>
    <w:p w14:paraId="489C724C" w14:textId="77777777" w:rsidR="00754143" w:rsidRDefault="00AB2C0B" w:rsidP="002E55BC">
      <w:pPr>
        <w:pStyle w:val="BodyText1"/>
      </w:pPr>
      <w:proofErr w:type="gramStart"/>
      <w:r>
        <w:t>Particular provisions</w:t>
      </w:r>
      <w:proofErr w:type="gramEnd"/>
      <w:r>
        <w:t xml:space="preserve"> operate differently to zones and overlays in that they are issue-based, rather than land-based controls.</w:t>
      </w:r>
      <w:r w:rsidR="00DA5AF6">
        <w:t xml:space="preserve"> </w:t>
      </w:r>
      <w:r>
        <w:t>They apply to a use or development irrespective of the zone or overlay that applies to the land.</w:t>
      </w:r>
    </w:p>
    <w:p w14:paraId="489C724D" w14:textId="4483B8A3" w:rsidR="00754143" w:rsidRDefault="00AB2C0B" w:rsidP="002E55BC">
      <w:pPr>
        <w:pStyle w:val="BodyText1"/>
      </w:pPr>
      <w:r>
        <w:t xml:space="preserve">The </w:t>
      </w:r>
      <w:proofErr w:type="gramStart"/>
      <w:r>
        <w:t>particular provisions</w:t>
      </w:r>
      <w:proofErr w:type="gramEnd"/>
      <w:r>
        <w:t xml:space="preserve"> apply consistently across the state</w:t>
      </w:r>
      <w:r w:rsidR="00A85753">
        <w:t>;</w:t>
      </w:r>
      <w:r>
        <w:t xml:space="preserve"> however</w:t>
      </w:r>
      <w:r w:rsidR="009D669B">
        <w:t>,</w:t>
      </w:r>
      <w:r>
        <w:t xml:space="preserve"> some particular provisions allow a planning authority to include local content through a schedule.</w:t>
      </w:r>
    </w:p>
    <w:p w14:paraId="489C724E" w14:textId="77777777" w:rsidR="00754143" w:rsidRDefault="00AB2C0B" w:rsidP="002E55BC">
      <w:pPr>
        <w:pStyle w:val="BodyText1"/>
      </w:pPr>
      <w:r>
        <w:t xml:space="preserve">The </w:t>
      </w:r>
      <w:proofErr w:type="gramStart"/>
      <w:r>
        <w:t>particular provisions</w:t>
      </w:r>
      <w:proofErr w:type="gramEnd"/>
      <w:r>
        <w:t xml:space="preserve"> may include permit requirements, permit exemptions, prohibitions or development standards.</w:t>
      </w:r>
    </w:p>
    <w:p w14:paraId="489C724F" w14:textId="77777777" w:rsidR="00754143" w:rsidRDefault="00AB2C0B" w:rsidP="002E55BC">
      <w:pPr>
        <w:pStyle w:val="BodyText1"/>
      </w:pPr>
      <w:r>
        <w:t xml:space="preserve">A particular provision also sets out the information requirements and decision guidelines for all classes of </w:t>
      </w:r>
      <w:proofErr w:type="spellStart"/>
      <w:r>
        <w:t>VicSmart</w:t>
      </w:r>
      <w:proofErr w:type="spellEnd"/>
      <w:r>
        <w:t xml:space="preserve"> applications.</w:t>
      </w:r>
    </w:p>
    <w:p w14:paraId="489C7250" w14:textId="17A253FD" w:rsidR="00754143" w:rsidRDefault="00AB2C0B" w:rsidP="002E55BC">
      <w:pPr>
        <w:pStyle w:val="BodyText1"/>
      </w:pPr>
      <w:r>
        <w:t xml:space="preserve">Unless specified otherwise, the </w:t>
      </w:r>
      <w:proofErr w:type="gramStart"/>
      <w:r>
        <w:t>particular provisions</w:t>
      </w:r>
      <w:proofErr w:type="gramEnd"/>
      <w:r>
        <w:t xml:space="preserve"> apply in addition to the requirements of a zone or overlay.</w:t>
      </w:r>
    </w:p>
    <w:p w14:paraId="489C7251" w14:textId="5007558B" w:rsidR="00DC2411" w:rsidRPr="00986209" w:rsidRDefault="00FA0B74" w:rsidP="00BA6981">
      <w:pPr>
        <w:pStyle w:val="Heading2"/>
      </w:pPr>
      <w:bookmarkStart w:id="72" w:name="_3.5_How_the"/>
      <w:bookmarkStart w:id="73" w:name="_Toc528604691"/>
      <w:bookmarkStart w:id="74" w:name="_Toc528604925"/>
      <w:bookmarkStart w:id="75" w:name="_Ref528679846"/>
      <w:bookmarkStart w:id="76" w:name="_Ref528679886"/>
      <w:bookmarkStart w:id="77" w:name="_Toc158706973"/>
      <w:bookmarkEnd w:id="72"/>
      <w:r>
        <w:t>3.5</w:t>
      </w:r>
      <w:r>
        <w:tab/>
      </w:r>
      <w:r w:rsidR="00AB2C0B" w:rsidRPr="00986209">
        <w:t>How the general provisions work</w:t>
      </w:r>
      <w:bookmarkEnd w:id="73"/>
      <w:bookmarkEnd w:id="74"/>
      <w:bookmarkEnd w:id="75"/>
      <w:bookmarkEnd w:id="76"/>
      <w:bookmarkEnd w:id="77"/>
    </w:p>
    <w:p w14:paraId="489C7252" w14:textId="77777777" w:rsidR="00754143" w:rsidRDefault="00AB2C0B" w:rsidP="002E55BC">
      <w:pPr>
        <w:pStyle w:val="BodyText1"/>
      </w:pPr>
      <w:r>
        <w:t>The general provisions set out standard provisions about matters that benefit from a consistent treatment across all land.</w:t>
      </w:r>
      <w:r w:rsidR="00DA5AF6">
        <w:t xml:space="preserve"> </w:t>
      </w:r>
      <w:r>
        <w:t>The general provisions include:</w:t>
      </w:r>
    </w:p>
    <w:p w14:paraId="489C7253" w14:textId="77777777" w:rsidR="00DC2411" w:rsidRDefault="00AB2C0B" w:rsidP="00723A0D">
      <w:pPr>
        <w:pStyle w:val="DELWPbullet1"/>
      </w:pPr>
      <w:r>
        <w:t>General exemptions from planning control for a specified range of classes of use and development.</w:t>
      </w:r>
    </w:p>
    <w:p w14:paraId="489C7254" w14:textId="77777777" w:rsidR="00DC2411" w:rsidRDefault="00AB2C0B" w:rsidP="00723A0D">
      <w:pPr>
        <w:pStyle w:val="DELWPbullet1"/>
      </w:pPr>
      <w:r>
        <w:t>Provisions about dealing with existing uses.</w:t>
      </w:r>
    </w:p>
    <w:p w14:paraId="489C7255" w14:textId="77777777" w:rsidR="00DC2411" w:rsidRDefault="00AB2C0B" w:rsidP="00723A0D">
      <w:pPr>
        <w:pStyle w:val="DELWPbullet1"/>
      </w:pPr>
      <w:r>
        <w:t>Decision guidelines that apply to all applications.</w:t>
      </w:r>
    </w:p>
    <w:p w14:paraId="489C7256" w14:textId="0A01B253" w:rsidR="00DC2411" w:rsidRDefault="00AB2C0B" w:rsidP="00723A0D">
      <w:pPr>
        <w:pStyle w:val="DELWPbullet1"/>
      </w:pPr>
      <w:r>
        <w:t>Requirements about referral and notice of applications.</w:t>
      </w:r>
    </w:p>
    <w:p w14:paraId="489C7257" w14:textId="77777777" w:rsidR="00754143" w:rsidRDefault="00AB2C0B" w:rsidP="002E55BC">
      <w:pPr>
        <w:pStyle w:val="DELWPbodyafterbullets"/>
      </w:pPr>
      <w:r>
        <w:t>Some general provisions have schedules for local requirements.</w:t>
      </w:r>
    </w:p>
    <w:p w14:paraId="489C7258" w14:textId="31DB4796" w:rsidR="00DC2411" w:rsidRPr="00986209" w:rsidRDefault="00FA0B74" w:rsidP="00BA6981">
      <w:pPr>
        <w:pStyle w:val="Heading2"/>
      </w:pPr>
      <w:bookmarkStart w:id="78" w:name="_3.6_How_the"/>
      <w:bookmarkStart w:id="79" w:name="_Toc528604692"/>
      <w:bookmarkStart w:id="80" w:name="_Toc528604926"/>
      <w:bookmarkStart w:id="81" w:name="_Ref528679850"/>
      <w:bookmarkStart w:id="82" w:name="_Ref528679890"/>
      <w:bookmarkStart w:id="83" w:name="_Toc158706974"/>
      <w:bookmarkEnd w:id="78"/>
      <w:r>
        <w:t>3.6</w:t>
      </w:r>
      <w:r>
        <w:tab/>
      </w:r>
      <w:r w:rsidR="00AB2C0B" w:rsidRPr="00986209">
        <w:t>How the operational provisions work</w:t>
      </w:r>
      <w:bookmarkEnd w:id="79"/>
      <w:bookmarkEnd w:id="80"/>
      <w:bookmarkEnd w:id="81"/>
      <w:bookmarkEnd w:id="82"/>
      <w:bookmarkEnd w:id="83"/>
    </w:p>
    <w:p w14:paraId="489C7259" w14:textId="77777777" w:rsidR="00754143" w:rsidRDefault="00AB2C0B" w:rsidP="002E55BC">
      <w:pPr>
        <w:pStyle w:val="BodyText1"/>
      </w:pPr>
      <w:r>
        <w:t>The operational provisions set out provisions for the operation, administration and enforcement of the planning scheme.</w:t>
      </w:r>
      <w:r w:rsidR="00DA5AF6">
        <w:t xml:space="preserve"> </w:t>
      </w:r>
      <w:r>
        <w:t>They include matters such as:</w:t>
      </w:r>
    </w:p>
    <w:p w14:paraId="489C725A" w14:textId="77777777" w:rsidR="00DC2411" w:rsidRDefault="00AB2C0B" w:rsidP="00723A0D">
      <w:pPr>
        <w:pStyle w:val="DELWPbullet1"/>
      </w:pPr>
      <w:r>
        <w:t xml:space="preserve">The operation of the MPS, the PPF, zones, overlays, particular provisions and </w:t>
      </w:r>
      <w:proofErr w:type="spellStart"/>
      <w:r>
        <w:t>VicSmart</w:t>
      </w:r>
      <w:proofErr w:type="spellEnd"/>
      <w:r>
        <w:t xml:space="preserve"> applications.</w:t>
      </w:r>
    </w:p>
    <w:p w14:paraId="489C725B" w14:textId="77777777" w:rsidR="00DC2411" w:rsidRDefault="00AB2C0B" w:rsidP="00723A0D">
      <w:pPr>
        <w:pStyle w:val="DELWPbullet1"/>
      </w:pPr>
      <w:r>
        <w:t>The commencement and application of the scheme, the effect of the scheme, who is the responsible authority for the scheme and what the scheme consists of.</w:t>
      </w:r>
    </w:p>
    <w:p w14:paraId="489C725C" w14:textId="77777777" w:rsidR="00DC2411" w:rsidRDefault="00AB2C0B" w:rsidP="00723A0D">
      <w:pPr>
        <w:pStyle w:val="DELWPbullet1"/>
      </w:pPr>
      <w:r>
        <w:t>The meaning of words, including general terms, sign terms and land use terms.</w:t>
      </w:r>
    </w:p>
    <w:p w14:paraId="489C725D" w14:textId="77777777" w:rsidR="00DC2411" w:rsidRDefault="00AB2C0B" w:rsidP="00723A0D">
      <w:pPr>
        <w:pStyle w:val="DELWPbullet1"/>
      </w:pPr>
      <w:r>
        <w:t>The strategic implementation of zones, overlays and particular provisions in relation to the PPF.</w:t>
      </w:r>
    </w:p>
    <w:p w14:paraId="489C725E" w14:textId="77777777" w:rsidR="00DC2411" w:rsidRDefault="00AB2C0B" w:rsidP="00723A0D">
      <w:pPr>
        <w:pStyle w:val="DELWPbullet1"/>
      </w:pPr>
      <w:r>
        <w:t>The incorporated documents and background documents related to the scheme.</w:t>
      </w:r>
    </w:p>
    <w:p w14:paraId="489C725F" w14:textId="77777777" w:rsidR="00754143" w:rsidRDefault="00AB2C0B" w:rsidP="002E55BC">
      <w:pPr>
        <w:pStyle w:val="DELWPbodyafterbullets"/>
      </w:pPr>
      <w:r>
        <w:t>Some operational provisions have schedules that require information specific to the scheme to be included, such as when the scheme commenced.</w:t>
      </w:r>
    </w:p>
    <w:p w14:paraId="489C7260" w14:textId="3E9D0D8F" w:rsidR="00DC2411" w:rsidRPr="00452A05" w:rsidRDefault="00FA0B74" w:rsidP="00BA6981">
      <w:pPr>
        <w:pStyle w:val="Heading2"/>
      </w:pPr>
      <w:bookmarkStart w:id="84" w:name="_3.7_How_the"/>
      <w:bookmarkStart w:id="85" w:name="_Toc528604693"/>
      <w:bookmarkStart w:id="86" w:name="_Toc528604927"/>
      <w:bookmarkStart w:id="87" w:name="_Ref528679854"/>
      <w:bookmarkStart w:id="88" w:name="_Ref528679894"/>
      <w:bookmarkStart w:id="89" w:name="_Toc158706975"/>
      <w:bookmarkEnd w:id="84"/>
      <w:r w:rsidRPr="00452A05">
        <w:lastRenderedPageBreak/>
        <w:t>3.7</w:t>
      </w:r>
      <w:r w:rsidRPr="00452A05">
        <w:tab/>
      </w:r>
      <w:r w:rsidR="00AB2C0B" w:rsidRPr="00452A05">
        <w:t>How the land use terms work</w:t>
      </w:r>
      <w:bookmarkEnd w:id="85"/>
      <w:bookmarkEnd w:id="86"/>
      <w:bookmarkEnd w:id="87"/>
      <w:bookmarkEnd w:id="88"/>
      <w:bookmarkEnd w:id="89"/>
    </w:p>
    <w:p w14:paraId="489C7261" w14:textId="77777777" w:rsidR="00754143" w:rsidRDefault="00AB2C0B" w:rsidP="002E55BC">
      <w:pPr>
        <w:pStyle w:val="BodyText1"/>
      </w:pPr>
      <w:r w:rsidRPr="00097555">
        <w:rPr>
          <w:rStyle w:val="Strong"/>
        </w:rPr>
        <w:t>Clause 73</w:t>
      </w:r>
      <w:r>
        <w:t xml:space="preserve"> sets out a list of terms that may be used to characterise a land use.</w:t>
      </w:r>
    </w:p>
    <w:p w14:paraId="489C7262" w14:textId="77777777" w:rsidR="00754143" w:rsidRDefault="00AB2C0B" w:rsidP="002E55BC">
      <w:pPr>
        <w:pStyle w:val="BodyText1"/>
      </w:pPr>
      <w:r>
        <w:t>A land use term has the meaning set out next to it in the table.</w:t>
      </w:r>
    </w:p>
    <w:p w14:paraId="489C7263" w14:textId="65F0A39C" w:rsidR="00754143" w:rsidRDefault="00AB2C0B" w:rsidP="002E55BC">
      <w:pPr>
        <w:pStyle w:val="BodyText1"/>
      </w:pPr>
      <w:r>
        <w:t>Where a land use term does not have a defined meaning, it has its ordinary meaning.</w:t>
      </w:r>
      <w:r w:rsidR="00DA5AF6">
        <w:t xml:space="preserve"> </w:t>
      </w:r>
      <w:r w:rsidRPr="00D25C70">
        <w:rPr>
          <w:i/>
          <w:iCs/>
        </w:rPr>
        <w:t>The Macquarie Dictionary</w:t>
      </w:r>
      <w:r w:rsidR="00347B08">
        <w:t xml:space="preserve"> is the preferred </w:t>
      </w:r>
      <w:r w:rsidR="00B360C1">
        <w:t xml:space="preserve">source </w:t>
      </w:r>
      <w:r w:rsidR="00E83D75">
        <w:t xml:space="preserve">to determine the </w:t>
      </w:r>
      <w:r w:rsidR="00381E19">
        <w:t>ordinary meaning of undefined</w:t>
      </w:r>
      <w:r w:rsidR="002D3359">
        <w:t xml:space="preserve"> planning</w:t>
      </w:r>
      <w:r w:rsidR="00381E19">
        <w:t xml:space="preserve"> terms</w:t>
      </w:r>
      <w:r>
        <w:t>.</w:t>
      </w:r>
    </w:p>
    <w:p w14:paraId="489C7264" w14:textId="3802E571" w:rsidR="00754143" w:rsidRDefault="00AB2C0B" w:rsidP="002E55BC">
      <w:pPr>
        <w:pStyle w:val="BodyText1"/>
      </w:pPr>
      <w:r>
        <w:t xml:space="preserve">Terms may be included (or ‘nested’) within other </w:t>
      </w:r>
      <w:proofErr w:type="gramStart"/>
      <w:r>
        <w:t>terms, or</w:t>
      </w:r>
      <w:proofErr w:type="gramEnd"/>
      <w:r>
        <w:t xml:space="preserve"> may themselves include other terms.</w:t>
      </w:r>
      <w:r w:rsidR="00DA5AF6">
        <w:t xml:space="preserve"> </w:t>
      </w:r>
      <w:r>
        <w:t xml:space="preserve">The relationship of how terms are nested is described visually in the nesting diagrams at </w:t>
      </w:r>
      <w:r w:rsidR="001F616D" w:rsidRPr="00097555">
        <w:rPr>
          <w:rStyle w:val="Strong"/>
        </w:rPr>
        <w:t>c</w:t>
      </w:r>
      <w:r w:rsidRPr="00097555">
        <w:rPr>
          <w:rStyle w:val="Strong"/>
        </w:rPr>
        <w:t>lause 73.04</w:t>
      </w:r>
      <w:r w:rsidRPr="00097555">
        <w:t>.</w:t>
      </w:r>
    </w:p>
    <w:p w14:paraId="489C7265" w14:textId="77777777" w:rsidR="00DC2411" w:rsidRDefault="00AB2C0B" w:rsidP="002E55BC">
      <w:pPr>
        <w:pStyle w:val="BodyText1"/>
      </w:pPr>
      <w:r>
        <w:t>A term describing a use of land must not be characterised as a separate use of land where the term is commonly or obviously included in one or more of the terms in the table.</w:t>
      </w:r>
    </w:p>
    <w:p w14:paraId="489C7266" w14:textId="14E980AA" w:rsidR="00DC2411" w:rsidRDefault="006C670A" w:rsidP="00D2198E">
      <w:pPr>
        <w:pStyle w:val="Heading1"/>
        <w:ind w:left="709" w:hanging="709"/>
      </w:pPr>
      <w:bookmarkStart w:id="90" w:name="_4_Rules_for"/>
      <w:bookmarkStart w:id="91" w:name="_Toc158706976"/>
      <w:bookmarkEnd w:id="90"/>
      <w:r>
        <w:lastRenderedPageBreak/>
        <w:t>4</w:t>
      </w:r>
      <w:r>
        <w:tab/>
      </w:r>
      <w:r w:rsidR="00AB2C0B">
        <w:t>Rules for writing a</w:t>
      </w:r>
      <w:r w:rsidR="00CB429B">
        <w:t xml:space="preserve"> </w:t>
      </w:r>
      <w:r w:rsidR="00AB2C0B">
        <w:t>planning scheme</w:t>
      </w:r>
      <w:r w:rsidR="00CB429B">
        <w:t xml:space="preserve"> </w:t>
      </w:r>
      <w:r w:rsidR="00AB2C0B">
        <w:t>provision</w:t>
      </w:r>
      <w:bookmarkEnd w:id="91"/>
    </w:p>
    <w:p w14:paraId="489C7267" w14:textId="287947B5" w:rsidR="000B19F3" w:rsidRPr="000B19F3" w:rsidRDefault="00431FBF" w:rsidP="00BC4C4B">
      <w:pPr>
        <w:pStyle w:val="ChapterCaption"/>
        <w:ind w:left="0" w:firstLine="567"/>
      </w:pPr>
      <w:r>
        <w:tab/>
      </w:r>
      <w:hyperlink w:anchor="_4.1_The_planning" w:history="1">
        <w:r w:rsidR="007D2E07" w:rsidRPr="00BC4C4B">
          <w:rPr>
            <w:rStyle w:val="Hyperlink"/>
          </w:rPr>
          <w:fldChar w:fldCharType="begin"/>
        </w:r>
        <w:r w:rsidR="007D2E07" w:rsidRPr="00BC4C4B">
          <w:rPr>
            <w:rStyle w:val="Hyperlink"/>
          </w:rPr>
          <w:instrText xml:space="preserve"> REF _Ref528679935 \h </w:instrText>
        </w:r>
        <w:r w:rsidR="00332A1D" w:rsidRPr="00BC4C4B">
          <w:rPr>
            <w:rStyle w:val="Hyperlink"/>
          </w:rPr>
          <w:instrText xml:space="preserve"> \* MERGEFORMAT </w:instrText>
        </w:r>
        <w:r w:rsidR="007D2E07" w:rsidRPr="00BC4C4B">
          <w:rPr>
            <w:rStyle w:val="Hyperlink"/>
          </w:rPr>
        </w:r>
        <w:r w:rsidR="007D2E07" w:rsidRPr="00BC4C4B">
          <w:rPr>
            <w:rStyle w:val="Hyperlink"/>
          </w:rPr>
          <w:fldChar w:fldCharType="separate"/>
        </w:r>
        <w:r w:rsidR="008A5B32" w:rsidRPr="008A5B32">
          <w:rPr>
            <w:rStyle w:val="Hyperlink"/>
          </w:rPr>
          <w:t>4.1</w:t>
        </w:r>
        <w:r w:rsidR="008A5B32" w:rsidRPr="008A5B32">
          <w:rPr>
            <w:rStyle w:val="Hyperlink"/>
          </w:rPr>
          <w:tab/>
          <w:t>The planning scheme rules</w:t>
        </w:r>
        <w:r w:rsidR="007D2E07" w:rsidRPr="00BC4C4B">
          <w:rPr>
            <w:rStyle w:val="Hyperlink"/>
          </w:rPr>
          <w:fldChar w:fldCharType="end"/>
        </w:r>
      </w:hyperlink>
    </w:p>
    <w:p w14:paraId="489C7268" w14:textId="77229018" w:rsidR="007D2E07" w:rsidRPr="000B19F3" w:rsidRDefault="00431FBF" w:rsidP="00BC4C4B">
      <w:pPr>
        <w:pStyle w:val="ChapterCaption"/>
        <w:ind w:left="0" w:firstLine="567"/>
      </w:pPr>
      <w:r>
        <w:tab/>
      </w:r>
      <w:hyperlink w:anchor="_4.2_Entry_rules" w:history="1">
        <w:r w:rsidR="007D2E07" w:rsidRPr="00BC4C4B">
          <w:rPr>
            <w:rStyle w:val="Hyperlink"/>
          </w:rPr>
          <w:fldChar w:fldCharType="begin"/>
        </w:r>
        <w:r w:rsidR="007D2E07" w:rsidRPr="00BC4C4B">
          <w:rPr>
            <w:rStyle w:val="Hyperlink"/>
          </w:rPr>
          <w:instrText xml:space="preserve"> REF _Ref528600972 \h </w:instrText>
        </w:r>
        <w:r w:rsidR="00332A1D" w:rsidRPr="00BC4C4B">
          <w:rPr>
            <w:rStyle w:val="Hyperlink"/>
          </w:rPr>
          <w:instrText xml:space="preserve"> \* MERGEFORMAT </w:instrText>
        </w:r>
        <w:r w:rsidR="007D2E07" w:rsidRPr="00BC4C4B">
          <w:rPr>
            <w:rStyle w:val="Hyperlink"/>
          </w:rPr>
        </w:r>
        <w:r w:rsidR="007D2E07" w:rsidRPr="00BC4C4B">
          <w:rPr>
            <w:rStyle w:val="Hyperlink"/>
          </w:rPr>
          <w:fldChar w:fldCharType="separate"/>
        </w:r>
        <w:r w:rsidR="008A5B32" w:rsidRPr="008A5B32">
          <w:rPr>
            <w:rStyle w:val="Hyperlink"/>
          </w:rPr>
          <w:t>4.2</w:t>
        </w:r>
        <w:r w:rsidR="008A5B32" w:rsidRPr="008A5B32">
          <w:rPr>
            <w:rStyle w:val="Hyperlink"/>
          </w:rPr>
          <w:tab/>
          <w:t>Entry rules</w:t>
        </w:r>
        <w:r w:rsidR="007D2E07" w:rsidRPr="00BC4C4B">
          <w:rPr>
            <w:rStyle w:val="Hyperlink"/>
          </w:rPr>
          <w:fldChar w:fldCharType="end"/>
        </w:r>
      </w:hyperlink>
    </w:p>
    <w:p w14:paraId="489C7269" w14:textId="1B48CAD7" w:rsidR="007D2E07" w:rsidRPr="000B19F3" w:rsidRDefault="00431FBF" w:rsidP="00BC4C4B">
      <w:pPr>
        <w:pStyle w:val="ChapterCaption"/>
        <w:ind w:left="0" w:firstLine="567"/>
      </w:pPr>
      <w:r>
        <w:tab/>
      </w:r>
      <w:hyperlink w:anchor="_4.3_Application_rules" w:history="1">
        <w:r w:rsidR="007D2E07" w:rsidRPr="00BC4C4B">
          <w:rPr>
            <w:rStyle w:val="Hyperlink"/>
          </w:rPr>
          <w:fldChar w:fldCharType="begin"/>
        </w:r>
        <w:r w:rsidR="007D2E07" w:rsidRPr="00BC4C4B">
          <w:rPr>
            <w:rStyle w:val="Hyperlink"/>
          </w:rPr>
          <w:instrText xml:space="preserve"> REF _Ref528679970 \h </w:instrText>
        </w:r>
        <w:r w:rsidR="00332A1D" w:rsidRPr="00BC4C4B">
          <w:rPr>
            <w:rStyle w:val="Hyperlink"/>
          </w:rPr>
          <w:instrText xml:space="preserve"> \* MERGEFORMAT </w:instrText>
        </w:r>
        <w:r w:rsidR="007D2E07" w:rsidRPr="00BC4C4B">
          <w:rPr>
            <w:rStyle w:val="Hyperlink"/>
          </w:rPr>
        </w:r>
        <w:r w:rsidR="007D2E07" w:rsidRPr="00BC4C4B">
          <w:rPr>
            <w:rStyle w:val="Hyperlink"/>
          </w:rPr>
          <w:fldChar w:fldCharType="separate"/>
        </w:r>
        <w:r w:rsidR="008A5B32" w:rsidRPr="008A5B32">
          <w:rPr>
            <w:rStyle w:val="Hyperlink"/>
          </w:rPr>
          <w:t>4.3</w:t>
        </w:r>
        <w:r w:rsidR="008A5B32" w:rsidRPr="008A5B32">
          <w:rPr>
            <w:rStyle w:val="Hyperlink"/>
          </w:rPr>
          <w:tab/>
          <w:t>Application rules</w:t>
        </w:r>
        <w:r w:rsidR="007D2E07" w:rsidRPr="00BC4C4B">
          <w:rPr>
            <w:rStyle w:val="Hyperlink"/>
          </w:rPr>
          <w:fldChar w:fldCharType="end"/>
        </w:r>
      </w:hyperlink>
    </w:p>
    <w:p w14:paraId="489C726A" w14:textId="5A474589" w:rsidR="007D2E07" w:rsidRPr="000B19F3" w:rsidRDefault="00431FBF" w:rsidP="00BC4C4B">
      <w:pPr>
        <w:pStyle w:val="ChapterCaption"/>
        <w:ind w:left="0" w:firstLine="567"/>
      </w:pPr>
      <w:r>
        <w:tab/>
      </w:r>
      <w:hyperlink w:anchor="_4.4_Drafting_rules" w:history="1">
        <w:r w:rsidR="007D2E07" w:rsidRPr="00BC4C4B">
          <w:rPr>
            <w:rStyle w:val="Hyperlink"/>
          </w:rPr>
          <w:fldChar w:fldCharType="begin"/>
        </w:r>
        <w:r w:rsidR="007D2E07" w:rsidRPr="00BC4C4B">
          <w:rPr>
            <w:rStyle w:val="Hyperlink"/>
          </w:rPr>
          <w:instrText xml:space="preserve"> REF _Ref528679974 \h </w:instrText>
        </w:r>
        <w:r w:rsidR="00332A1D" w:rsidRPr="00BC4C4B">
          <w:rPr>
            <w:rStyle w:val="Hyperlink"/>
          </w:rPr>
          <w:instrText xml:space="preserve"> \* MERGEFORMAT </w:instrText>
        </w:r>
        <w:r w:rsidR="007D2E07" w:rsidRPr="00BC4C4B">
          <w:rPr>
            <w:rStyle w:val="Hyperlink"/>
          </w:rPr>
        </w:r>
        <w:r w:rsidR="007D2E07" w:rsidRPr="00BC4C4B">
          <w:rPr>
            <w:rStyle w:val="Hyperlink"/>
          </w:rPr>
          <w:fldChar w:fldCharType="separate"/>
        </w:r>
        <w:r w:rsidR="008A5B32" w:rsidRPr="008A5B32">
          <w:rPr>
            <w:rStyle w:val="Hyperlink"/>
          </w:rPr>
          <w:t>4.4</w:t>
        </w:r>
        <w:r w:rsidR="008A5B32" w:rsidRPr="008A5B32">
          <w:rPr>
            <w:rStyle w:val="Hyperlink"/>
          </w:rPr>
          <w:tab/>
          <w:t>Drafting rules</w:t>
        </w:r>
        <w:r w:rsidR="007D2E07" w:rsidRPr="00BC4C4B">
          <w:rPr>
            <w:rStyle w:val="Hyperlink"/>
          </w:rPr>
          <w:fldChar w:fldCharType="end"/>
        </w:r>
      </w:hyperlink>
    </w:p>
    <w:p w14:paraId="489C726B" w14:textId="0F798719" w:rsidR="00DC2411" w:rsidRPr="00986209" w:rsidRDefault="00651F9E" w:rsidP="00BA6981">
      <w:pPr>
        <w:pStyle w:val="Heading2"/>
      </w:pPr>
      <w:bookmarkStart w:id="92" w:name="_4.1_The_planning"/>
      <w:bookmarkStart w:id="93" w:name="_Ref528679935"/>
      <w:bookmarkStart w:id="94" w:name="_Toc158706977"/>
      <w:bookmarkEnd w:id="92"/>
      <w:r>
        <w:t>4.1</w:t>
      </w:r>
      <w:r w:rsidR="00FA0B74">
        <w:tab/>
      </w:r>
      <w:r w:rsidR="00AB2C0B" w:rsidRPr="00986209">
        <w:t>The planning scheme rules</w:t>
      </w:r>
      <w:bookmarkEnd w:id="93"/>
      <w:bookmarkEnd w:id="94"/>
    </w:p>
    <w:p w14:paraId="489C726D" w14:textId="1DE83A48" w:rsidR="00754143" w:rsidRDefault="00AB2C0B" w:rsidP="002E55BC">
      <w:pPr>
        <w:pStyle w:val="BodyText1"/>
      </w:pPr>
      <w:r>
        <w:t xml:space="preserve">This </w:t>
      </w:r>
      <w:r w:rsidR="0074503B">
        <w:t>chapter</w:t>
      </w:r>
      <w:r>
        <w:t xml:space="preserve"> sets out the rules that should be applied to the preparation of all new VPP and planning scheme provisions.</w:t>
      </w:r>
      <w:r w:rsidR="0024160D">
        <w:t xml:space="preserve"> </w:t>
      </w:r>
      <w:r>
        <w:t>These rules should be applied to all new provisions, both policy and controls.</w:t>
      </w:r>
    </w:p>
    <w:p w14:paraId="489C726E" w14:textId="77777777" w:rsidR="00DC2411" w:rsidRDefault="00AB2C0B" w:rsidP="002E55BC">
      <w:pPr>
        <w:pStyle w:val="BodyText1"/>
      </w:pPr>
      <w:r>
        <w:t>The rules are structured in three parts.</w:t>
      </w:r>
    </w:p>
    <w:p w14:paraId="33EB257E" w14:textId="2998523C" w:rsidR="00651F9E" w:rsidRPr="00651F9E" w:rsidRDefault="00651F9E" w:rsidP="004F6A20">
      <w:pPr>
        <w:pStyle w:val="Heading3"/>
      </w:pPr>
      <w:r w:rsidRPr="00E52467">
        <w:t xml:space="preserve">Diagram </w:t>
      </w:r>
      <w:r w:rsidR="0027565E">
        <w:t>4</w:t>
      </w:r>
      <w:r w:rsidR="005E534B" w:rsidRPr="00E52467">
        <w:t xml:space="preserve"> - The planning scheme rules</w:t>
      </w:r>
    </w:p>
    <w:p w14:paraId="489C727C" w14:textId="77777777" w:rsidR="007E4A7A" w:rsidRDefault="000E6BEB" w:rsidP="007E4A7A">
      <w:pPr>
        <w:pStyle w:val="DELWPdiagraminline"/>
      </w:pPr>
      <w:r>
        <w:rPr>
          <w:noProof/>
          <w:color w:val="2B579A"/>
          <w:shd w:val="clear" w:color="auto" w:fill="E6E6E6"/>
          <w:lang w:val="en-US"/>
        </w:rPr>
        <w:drawing>
          <wp:inline distT="0" distB="0" distL="0" distR="0" wp14:anchorId="489C7ABA" wp14:editId="48F49A17">
            <wp:extent cx="4043383" cy="4860000"/>
            <wp:effectExtent l="0" t="0" r="0" b="0"/>
            <wp:docPr id="19" name="Picture 19" descr="A graphic presentation of the nine rules:&#10;Entry Rules&#10;1. A provision must be within the scope of the objectives and power of the Act.&#10;2. A provision must implement the objectives of planning and be supported by a sound strategic planning and policy basis.&#10;3. A provision must not conflict with or duplicate other legislation, instruments or planning scheme provisions.&#10;Application Rules&#10;4. The application of a provision must be necessary and proportional to the intended planning outcome.&#10;5. A provision must be consistent with the operational provisions of the scheme, any parent provision and any relevant Ministerial Direction.&#10;6. The application of a provision must be clear.&#10;Drafting Rules&#10;7. The requirements of a provision must be clear and unambiguous.&#10;8. A provision must be structured to be clear and unambiguous.&#10;9. A provision must be written to be clear and unambigu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ic presentation of the nine rules:&#10;Entry Rules&#10;1. A provision must be within the scope of the objectives and power of the Act.&#10;2. A provision must implement the objectives of planning and be supported by a sound strategic planning and policy basis.&#10;3. A provision must not conflict with or duplicate other legislation, instruments or planning scheme provisions.&#10;Application Rules&#10;4. The application of a provision must be necessary and proportional to the intended planning outcome.&#10;5. A provision must be consistent with the operational provisions of the scheme, any parent provision and any relevant Ministerial Direction.&#10;6. The application of a provision must be clear.&#10;Drafting Rules&#10;7. The requirements of a provision must be clear and unambiguous.&#10;8. A provision must be structured to be clear and unambiguous.&#10;9. A provision must be written to be clear and unambiguous."/>
                    <pic:cNvPicPr/>
                  </pic:nvPicPr>
                  <pic:blipFill>
                    <a:blip r:embed="rId27">
                      <a:extLst>
                        <a:ext uri="{28A0092B-C50C-407E-A947-70E740481C1C}">
                          <a14:useLocalDpi xmlns:a14="http://schemas.microsoft.com/office/drawing/2010/main" val="0"/>
                        </a:ext>
                      </a:extLst>
                    </a:blip>
                    <a:stretch>
                      <a:fillRect/>
                    </a:stretch>
                  </pic:blipFill>
                  <pic:spPr>
                    <a:xfrm>
                      <a:off x="0" y="0"/>
                      <a:ext cx="4043383" cy="4860000"/>
                    </a:xfrm>
                    <a:prstGeom prst="rect">
                      <a:avLst/>
                    </a:prstGeom>
                  </pic:spPr>
                </pic:pic>
              </a:graphicData>
            </a:graphic>
          </wp:inline>
        </w:drawing>
      </w:r>
    </w:p>
    <w:p w14:paraId="02BD4956" w14:textId="77777777" w:rsidR="00B47604" w:rsidRDefault="00B47604">
      <w:pPr>
        <w:suppressAutoHyphens w:val="0"/>
        <w:spacing w:after="0" w:line="240" w:lineRule="auto"/>
        <w:rPr>
          <w:rFonts w:eastAsia="Times"/>
          <w:lang w:eastAsia="en-US"/>
        </w:rPr>
      </w:pPr>
      <w:r>
        <w:br w:type="page"/>
      </w:r>
    </w:p>
    <w:p w14:paraId="489C727D" w14:textId="6228EDAD" w:rsidR="00754143" w:rsidRPr="00097555" w:rsidRDefault="00AB2C0B" w:rsidP="00097555">
      <w:pPr>
        <w:pStyle w:val="BodyText10"/>
        <w:widowControl w:val="0"/>
        <w:suppressAutoHyphens/>
        <w:spacing w:before="120" w:after="0" w:line="288" w:lineRule="auto"/>
        <w:ind w:left="0"/>
        <w:rPr>
          <w:rFonts w:ascii="VIC" w:eastAsia="Times" w:hAnsi="VIC"/>
          <w:lang w:eastAsia="en-US"/>
        </w:rPr>
      </w:pPr>
      <w:r w:rsidRPr="00097555">
        <w:rPr>
          <w:rFonts w:ascii="VIC" w:eastAsia="Times" w:hAnsi="VIC"/>
          <w:lang w:eastAsia="en-US"/>
        </w:rPr>
        <w:lastRenderedPageBreak/>
        <w:t xml:space="preserve">The VPP principles set out in </w:t>
      </w:r>
      <w:r w:rsidR="0074503B" w:rsidRPr="00097555">
        <w:rPr>
          <w:rFonts w:ascii="VIC" w:eastAsia="Times" w:hAnsi="VIC"/>
          <w:lang w:eastAsia="en-US"/>
        </w:rPr>
        <w:t>Chapter</w:t>
      </w:r>
      <w:r w:rsidRPr="00097555">
        <w:rPr>
          <w:rFonts w:ascii="VIC" w:eastAsia="Times" w:hAnsi="VIC"/>
          <w:lang w:eastAsia="en-US"/>
        </w:rPr>
        <w:t xml:space="preserve"> </w:t>
      </w:r>
      <w:r w:rsidR="00174D8D" w:rsidRPr="00097555">
        <w:rPr>
          <w:rFonts w:ascii="VIC" w:eastAsia="Times" w:hAnsi="VIC"/>
          <w:lang w:eastAsia="en-US"/>
        </w:rPr>
        <w:t>2.3</w:t>
      </w:r>
      <w:r w:rsidRPr="00097555">
        <w:rPr>
          <w:rFonts w:ascii="VIC" w:eastAsia="Times" w:hAnsi="VIC"/>
          <w:lang w:eastAsia="en-US"/>
        </w:rPr>
        <w:t xml:space="preserve"> describe a set of ideals for a modern planning scheme against which the benefits and implications of any proposed change should be measured.</w:t>
      </w:r>
      <w:r w:rsidR="00DA5AF6" w:rsidRPr="00097555">
        <w:rPr>
          <w:rFonts w:ascii="VIC" w:eastAsia="Times" w:hAnsi="VIC"/>
          <w:lang w:eastAsia="en-US"/>
        </w:rPr>
        <w:t xml:space="preserve"> </w:t>
      </w:r>
      <w:r w:rsidRPr="00097555">
        <w:rPr>
          <w:rFonts w:ascii="VIC" w:eastAsia="Times" w:hAnsi="VIC"/>
          <w:lang w:eastAsia="en-US"/>
        </w:rPr>
        <w:t>The rules seek to ensure that the VPP and planning scheme provisions are prepared in a manner that is consistent with their statutory framework and the VPP principles.</w:t>
      </w:r>
    </w:p>
    <w:p w14:paraId="489C727E" w14:textId="4B615B41" w:rsidR="00754143" w:rsidRPr="00097555" w:rsidRDefault="00AB2C0B" w:rsidP="00097555">
      <w:pPr>
        <w:pStyle w:val="BodyText10"/>
        <w:widowControl w:val="0"/>
        <w:suppressAutoHyphens/>
        <w:spacing w:before="120" w:after="0" w:line="288" w:lineRule="auto"/>
        <w:ind w:left="0"/>
        <w:rPr>
          <w:rFonts w:ascii="VIC" w:eastAsia="Times" w:hAnsi="VIC"/>
          <w:lang w:eastAsia="en-US"/>
        </w:rPr>
      </w:pPr>
      <w:r w:rsidRPr="00097555">
        <w:rPr>
          <w:rFonts w:ascii="VIC" w:eastAsia="Times" w:hAnsi="VIC"/>
          <w:lang w:eastAsia="en-US"/>
        </w:rPr>
        <w:t>The entry rules seek to ensure the intended outcome sought by the provision is within the power of the Act and has a sound basis in strategic planning and policy.</w:t>
      </w:r>
      <w:r w:rsidR="00DA5AF6" w:rsidRPr="00097555">
        <w:rPr>
          <w:rFonts w:ascii="VIC" w:eastAsia="Times" w:hAnsi="VIC"/>
          <w:lang w:eastAsia="en-US"/>
        </w:rPr>
        <w:t xml:space="preserve"> </w:t>
      </w:r>
      <w:r w:rsidRPr="00097555">
        <w:rPr>
          <w:rFonts w:ascii="VIC" w:eastAsia="Times" w:hAnsi="VIC"/>
          <w:lang w:eastAsia="en-US"/>
        </w:rPr>
        <w:t>Part 2 of the Act provides the legislative framework for the preparation of planning schemes, which must be within</w:t>
      </w:r>
      <w:r w:rsidR="00D403D1" w:rsidRPr="00097555">
        <w:rPr>
          <w:rFonts w:ascii="VIC" w:eastAsia="Times" w:hAnsi="VIC"/>
          <w:lang w:eastAsia="en-US"/>
        </w:rPr>
        <w:t xml:space="preserve"> the</w:t>
      </w:r>
      <w:r w:rsidRPr="00097555">
        <w:rPr>
          <w:rFonts w:ascii="VIC" w:eastAsia="Times" w:hAnsi="VIC"/>
          <w:lang w:eastAsia="en-US"/>
        </w:rPr>
        <w:t xml:space="preserve"> scope of its objectives and powers it confers on a planning authority.</w:t>
      </w:r>
      <w:r w:rsidR="00DA5AF6" w:rsidRPr="00097555">
        <w:rPr>
          <w:rFonts w:ascii="VIC" w:eastAsia="Times" w:hAnsi="VIC"/>
          <w:lang w:eastAsia="en-US"/>
        </w:rPr>
        <w:t xml:space="preserve"> </w:t>
      </w:r>
      <w:r w:rsidRPr="00097555">
        <w:rPr>
          <w:rFonts w:ascii="VIC" w:eastAsia="Times" w:hAnsi="VIC"/>
          <w:lang w:eastAsia="en-US"/>
        </w:rPr>
        <w:t>Local provisions in planning schemes must also be within the scope of the objectives and power provided by the relevant parent provision.</w:t>
      </w:r>
    </w:p>
    <w:p w14:paraId="489C727F" w14:textId="1AA2F5CE" w:rsidR="00754143" w:rsidRDefault="00AB2C0B" w:rsidP="002E55BC">
      <w:pPr>
        <w:pStyle w:val="BodyText1"/>
      </w:pPr>
      <w:r w:rsidRPr="00ED6D42">
        <w:rPr>
          <w:i/>
          <w:iCs/>
        </w:rPr>
        <w:t>Ministerial Direction No. 11</w:t>
      </w:r>
      <w:r w:rsidR="00ED6D42">
        <w:rPr>
          <w:i/>
          <w:iCs/>
        </w:rPr>
        <w:t xml:space="preserve"> -</w:t>
      </w:r>
      <w:r>
        <w:t xml:space="preserve"> </w:t>
      </w:r>
      <w:r w:rsidRPr="007E64CD">
        <w:rPr>
          <w:rStyle w:val="Emphasis"/>
        </w:rPr>
        <w:t xml:space="preserve">Strategic Assessment of Amendments </w:t>
      </w:r>
      <w:r>
        <w:t>requires a planning authority to consider how an amendment will implement the objectives of planning in Victoria and make proper use of the VPP.</w:t>
      </w:r>
      <w:r w:rsidR="00DA5AF6">
        <w:t xml:space="preserve"> </w:t>
      </w:r>
      <w:r>
        <w:t xml:space="preserve">An </w:t>
      </w:r>
      <w:r w:rsidRPr="00F60636">
        <w:t>evidence</w:t>
      </w:r>
      <w:r w:rsidR="00803D8E" w:rsidRPr="00F60636">
        <w:t>-</w:t>
      </w:r>
      <w:r w:rsidRPr="00F60636">
        <w:t>based</w:t>
      </w:r>
      <w:r>
        <w:t xml:space="preserve"> planning policy development process and an evaluation of strategic considerations should precede any decision to change the planning scheme and the drafting of provisions. </w:t>
      </w:r>
      <w:r w:rsidRPr="00AC3462">
        <w:rPr>
          <w:i/>
          <w:iCs/>
        </w:rPr>
        <w:t xml:space="preserve">Planning Practice Note </w:t>
      </w:r>
      <w:r w:rsidRPr="00AC3462">
        <w:rPr>
          <w:rStyle w:val="Strong"/>
          <w:i/>
          <w:iCs/>
        </w:rPr>
        <w:t>46</w:t>
      </w:r>
      <w:r w:rsidRPr="00AC3462">
        <w:rPr>
          <w:b/>
          <w:bCs/>
          <w:i/>
          <w:iCs/>
        </w:rPr>
        <w:t xml:space="preserve"> </w:t>
      </w:r>
      <w:r w:rsidR="0029499A" w:rsidRPr="0029499A">
        <w:rPr>
          <w:i/>
          <w:iCs/>
        </w:rPr>
        <w:t xml:space="preserve">- </w:t>
      </w:r>
      <w:r w:rsidRPr="00D25C70">
        <w:rPr>
          <w:rStyle w:val="Emphasis"/>
        </w:rPr>
        <w:t>Strategic Assessment Guidelines</w:t>
      </w:r>
      <w:r>
        <w:t xml:space="preserve"> provides the framework for preparing and evaluating a proposed planning scheme amendment and its outcomes.</w:t>
      </w:r>
    </w:p>
    <w:p w14:paraId="489C7280" w14:textId="77777777" w:rsidR="00754143" w:rsidRPr="006C315A" w:rsidRDefault="00AB2C0B" w:rsidP="006C315A">
      <w:pPr>
        <w:pStyle w:val="BodyText10"/>
        <w:suppressAutoHyphens/>
        <w:spacing w:before="120" w:after="0" w:line="288" w:lineRule="auto"/>
        <w:ind w:left="0"/>
        <w:rPr>
          <w:rFonts w:ascii="VIC" w:eastAsia="Times" w:hAnsi="VIC"/>
          <w:lang w:eastAsia="en-US"/>
        </w:rPr>
      </w:pPr>
      <w:r w:rsidRPr="006C315A">
        <w:rPr>
          <w:rFonts w:ascii="VIC" w:eastAsia="Times" w:hAnsi="VIC"/>
          <w:lang w:eastAsia="en-US"/>
        </w:rPr>
        <w:t>The application rules seek to ensure that an amendment to a planning scheme is necessary and proportional to the intended outcomes and applies the VPP in a proper manner.</w:t>
      </w:r>
    </w:p>
    <w:p w14:paraId="489C7281" w14:textId="43CD644E" w:rsidR="00754143" w:rsidRDefault="00AB2C0B" w:rsidP="002E55BC">
      <w:pPr>
        <w:pStyle w:val="BodyText1"/>
      </w:pPr>
      <w:r>
        <w:t xml:space="preserve">Achieving greater consistency in the application and performance of planning scheme provisions is particularly important in aligning the VPP and planning schemes with the VPP principle of ‘digital </w:t>
      </w:r>
      <w:r w:rsidR="00177B72" w:rsidRPr="00EF281A">
        <w:t>ready</w:t>
      </w:r>
      <w:r w:rsidRPr="00EF281A">
        <w:t>’.</w:t>
      </w:r>
      <w:r>
        <w:t xml:space="preserve"> To successfully transition planning schemes from paper-based to data base driven information, it is essential the provisions are drafted to reinforce user expectations about their operation and effect.</w:t>
      </w:r>
    </w:p>
    <w:p w14:paraId="489C7282" w14:textId="77777777" w:rsidR="00754143" w:rsidRDefault="00AB2C0B" w:rsidP="002E55BC">
      <w:pPr>
        <w:pStyle w:val="BodyText1"/>
      </w:pPr>
      <w:r>
        <w:t xml:space="preserve">The </w:t>
      </w:r>
      <w:r w:rsidRPr="006C315A">
        <w:t>drafting rules</w:t>
      </w:r>
      <w:r>
        <w:t xml:space="preserve"> seek to ensure that a provision is drafted clearly and unambiguously and will be effective in achieving the intended outcome.</w:t>
      </w:r>
      <w:r w:rsidR="00DA5AF6">
        <w:t xml:space="preserve"> </w:t>
      </w:r>
      <w:r>
        <w:t>For a planning scheme to be effective, both legally and in meeting policy objectives, the intent and operation of all provisions must be clear.</w:t>
      </w:r>
      <w:r w:rsidR="00DA5AF6">
        <w:t xml:space="preserve"> </w:t>
      </w:r>
      <w:r>
        <w:t>It is also important that anyone affected by a planning scheme can easily understand a provision and the obligations it imposes.</w:t>
      </w:r>
    </w:p>
    <w:p w14:paraId="489C7283" w14:textId="58F7B20A" w:rsidR="00DC2411" w:rsidRPr="00986209" w:rsidRDefault="00C421B8" w:rsidP="00BA6981">
      <w:pPr>
        <w:pStyle w:val="Heading2"/>
      </w:pPr>
      <w:bookmarkStart w:id="95" w:name="_4.2_Entry_rules"/>
      <w:bookmarkStart w:id="96" w:name="_Ref528600972"/>
      <w:bookmarkStart w:id="97" w:name="_Ref528600987"/>
      <w:bookmarkStart w:id="98" w:name="_Toc158706978"/>
      <w:bookmarkEnd w:id="95"/>
      <w:r>
        <w:lastRenderedPageBreak/>
        <w:t>4.</w:t>
      </w:r>
      <w:r w:rsidR="00B47604">
        <w:t>2</w:t>
      </w:r>
      <w:r>
        <w:tab/>
      </w:r>
      <w:r w:rsidR="00AB2C0B" w:rsidRPr="00986209">
        <w:t>Entry rules</w:t>
      </w:r>
      <w:bookmarkEnd w:id="96"/>
      <w:bookmarkEnd w:id="97"/>
      <w:bookmarkEnd w:id="98"/>
    </w:p>
    <w:p w14:paraId="489C7284" w14:textId="77777777" w:rsidR="00DC2411" w:rsidRPr="00501397" w:rsidRDefault="00AB2C0B" w:rsidP="00F2019E">
      <w:pPr>
        <w:pStyle w:val="Head5"/>
      </w:pPr>
      <w:r w:rsidRPr="00501397">
        <w:t xml:space="preserve">The intended outcome must be within the scope of the objectives and power of the </w:t>
      </w:r>
      <w:r w:rsidRPr="005A3FC4">
        <w:t>Act</w:t>
      </w:r>
      <w:r w:rsidRPr="00501397">
        <w:t xml:space="preserve"> and have a sound basis in strategic planning and policy.</w:t>
      </w:r>
    </w:p>
    <w:p w14:paraId="489C7285" w14:textId="77777777" w:rsidR="00DC2411" w:rsidRPr="002C7EC5" w:rsidRDefault="007E4A7A" w:rsidP="006F20D5">
      <w:pPr>
        <w:pStyle w:val="DELWPdiagraminline"/>
      </w:pPr>
      <w:r>
        <w:rPr>
          <w:noProof/>
          <w:color w:val="2B579A"/>
          <w:shd w:val="clear" w:color="auto" w:fill="E6E6E6"/>
          <w:lang w:val="en-US"/>
        </w:rPr>
        <w:drawing>
          <wp:inline distT="0" distB="0" distL="0" distR="0" wp14:anchorId="489C7ABC" wp14:editId="6F7F9B90">
            <wp:extent cx="5015620" cy="1665605"/>
            <wp:effectExtent l="0" t="0" r="0" b="0"/>
            <wp:docPr id="11" name="Picture 11" descr="This image repeats the graphic for the entry rules (rules 1 to 3) presented in section 4.1. Each of these rules is explained in further detail in the following sub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image repeats the graphic for the entry rules (rules 1 to 3) presented in section 4.1. Each of these rules is explained in further detail in the following sub sections."/>
                    <pic:cNvPicPr/>
                  </pic:nvPicPr>
                  <pic:blipFill rotWithShape="1">
                    <a:blip r:embed="rId28">
                      <a:extLst>
                        <a:ext uri="{28A0092B-C50C-407E-A947-70E740481C1C}">
                          <a14:useLocalDpi xmlns:a14="http://schemas.microsoft.com/office/drawing/2010/main" val="0"/>
                        </a:ext>
                      </a:extLst>
                    </a:blip>
                    <a:srcRect r="477"/>
                    <a:stretch/>
                  </pic:blipFill>
                  <pic:spPr bwMode="auto">
                    <a:xfrm>
                      <a:off x="0" y="0"/>
                      <a:ext cx="5015966" cy="1665720"/>
                    </a:xfrm>
                    <a:prstGeom prst="rect">
                      <a:avLst/>
                    </a:prstGeom>
                    <a:ln>
                      <a:noFill/>
                    </a:ln>
                    <a:extLst>
                      <a:ext uri="{53640926-AAD7-44D8-BBD7-CCE9431645EC}">
                        <a14:shadowObscured xmlns:a14="http://schemas.microsoft.com/office/drawing/2010/main"/>
                      </a:ext>
                    </a:extLst>
                  </pic:spPr>
                </pic:pic>
              </a:graphicData>
            </a:graphic>
          </wp:inline>
        </w:drawing>
      </w:r>
    </w:p>
    <w:p w14:paraId="489C7286" w14:textId="11745396" w:rsidR="00CB429B" w:rsidRPr="006F20D5" w:rsidRDefault="00AB2C0B" w:rsidP="0022148A">
      <w:pPr>
        <w:pStyle w:val="Heading4"/>
      </w:pPr>
      <w:r w:rsidRPr="006F20D5">
        <w:t>RULE 1:</w:t>
      </w:r>
      <w:r w:rsidR="00DA5AF6" w:rsidRPr="000F51B6">
        <w:rPr>
          <w:rStyle w:val="DELWPunboldH3"/>
        </w:rPr>
        <w:t xml:space="preserve"> </w:t>
      </w:r>
      <w:r w:rsidRPr="000F51B6">
        <w:rPr>
          <w:rStyle w:val="DELWPunboldH3"/>
        </w:rPr>
        <w:t>A provision must be within the scope of the objectives and power of the Act</w:t>
      </w:r>
      <w:r w:rsidR="001B6D3F">
        <w:rPr>
          <w:rStyle w:val="DELWPunboldH3"/>
        </w:rPr>
        <w:t>.</w:t>
      </w:r>
    </w:p>
    <w:p w14:paraId="489C7287" w14:textId="77777777" w:rsidR="00DC2411" w:rsidRDefault="00AB2C0B" w:rsidP="002E55BC">
      <w:pPr>
        <w:pStyle w:val="DELWPbodyboldspacebefore"/>
      </w:pPr>
      <w:r>
        <w:t>A provision must:</w:t>
      </w:r>
    </w:p>
    <w:p w14:paraId="489C7288" w14:textId="472F0F1E" w:rsidR="00DC2411" w:rsidRDefault="00AB2C0B" w:rsidP="00723A0D">
      <w:pPr>
        <w:pStyle w:val="DELWPbullet1"/>
      </w:pPr>
      <w:r>
        <w:t>Be consistent with the Act and the VPP.</w:t>
      </w:r>
    </w:p>
    <w:p w14:paraId="489C7289" w14:textId="77777777" w:rsidR="00DC2411" w:rsidRDefault="00AB2C0B" w:rsidP="00723A0D">
      <w:pPr>
        <w:pStyle w:val="DELWPbullet1"/>
      </w:pPr>
      <w:r>
        <w:t>Be relevant to the exercise of a discretion in the planning scheme.</w:t>
      </w:r>
    </w:p>
    <w:p w14:paraId="489C728A" w14:textId="77777777" w:rsidR="00DC2411" w:rsidRDefault="00AB2C0B" w:rsidP="00723A0D">
      <w:pPr>
        <w:pStyle w:val="DELWPbullet1"/>
      </w:pPr>
      <w:r>
        <w:t>Relate to a land use or development matter.</w:t>
      </w:r>
    </w:p>
    <w:p w14:paraId="489C728B" w14:textId="0C4F170A" w:rsidR="00CB429B" w:rsidRDefault="00AB2C0B" w:rsidP="00723A0D">
      <w:pPr>
        <w:pStyle w:val="DELWPbullet1"/>
      </w:pPr>
      <w:r>
        <w:t>Be capable of being applied to a parcel of land</w:t>
      </w:r>
      <w:r w:rsidR="009D669B">
        <w:t>.</w:t>
      </w:r>
    </w:p>
    <w:p w14:paraId="489C728C" w14:textId="48EAD2BC" w:rsidR="00754143" w:rsidRPr="007E64CD" w:rsidRDefault="00AB2C0B" w:rsidP="002E55BC">
      <w:pPr>
        <w:pStyle w:val="DELWPbodyafterbullets"/>
        <w:rPr>
          <w:rStyle w:val="Emphasis"/>
        </w:rPr>
      </w:pPr>
      <w:r>
        <w:t>The Act sets out the objectives of planning and the planning framework that define the scope of outcomes a planning scheme can seek to achieve.</w:t>
      </w:r>
      <w:r w:rsidR="00DA5AF6">
        <w:t xml:space="preserve"> </w:t>
      </w:r>
      <w:r w:rsidRPr="005038AE">
        <w:rPr>
          <w:rStyle w:val="Strong"/>
        </w:rPr>
        <w:t>Part 2</w:t>
      </w:r>
      <w:r>
        <w:t xml:space="preserve"> of the Act sets out requirements for planning schemes, including matters that a planning scheme may or may not regulate, such as ensuring that the function of a provision is authorised by the matters set out in</w:t>
      </w:r>
      <w:r w:rsidRPr="007E64CD">
        <w:rPr>
          <w:rStyle w:val="Strong"/>
        </w:rPr>
        <w:t xml:space="preserve"> </w:t>
      </w:r>
      <w:r w:rsidR="00180162" w:rsidRPr="00180162">
        <w:rPr>
          <w:rStyle w:val="Strong"/>
        </w:rPr>
        <w:t>section</w:t>
      </w:r>
      <w:r w:rsidRPr="00180162">
        <w:rPr>
          <w:rStyle w:val="Strong"/>
        </w:rPr>
        <w:t xml:space="preserve"> 6</w:t>
      </w:r>
      <w:r w:rsidR="00647462">
        <w:rPr>
          <w:rStyle w:val="Strong"/>
        </w:rPr>
        <w:t xml:space="preserve"> of the Act -</w:t>
      </w:r>
      <w:r>
        <w:t xml:space="preserve"> </w:t>
      </w:r>
      <w:r w:rsidRPr="004E1F5C">
        <w:rPr>
          <w:rStyle w:val="Emphasis"/>
        </w:rPr>
        <w:t>What can a planning scheme provide for</w:t>
      </w:r>
      <w:r w:rsidRPr="007E64CD">
        <w:rPr>
          <w:rStyle w:val="Emphasis"/>
        </w:rPr>
        <w:t>?</w:t>
      </w:r>
    </w:p>
    <w:p w14:paraId="489C728D" w14:textId="73A34C16" w:rsidR="00754143" w:rsidRDefault="00AB2C0B" w:rsidP="002E55BC">
      <w:pPr>
        <w:pStyle w:val="BodyText1"/>
      </w:pPr>
      <w:r>
        <w:t xml:space="preserve">To ensure that provisions are legally effective and land use focused, take care to </w:t>
      </w:r>
      <w:r w:rsidR="00961452">
        <w:t xml:space="preserve">check </w:t>
      </w:r>
      <w:r>
        <w:t>that the subject matter of a provision is within the scope of the objectives and power conferred on a planning scheme by the Act.</w:t>
      </w:r>
    </w:p>
    <w:p w14:paraId="489C728E" w14:textId="3AC778DC" w:rsidR="00754143" w:rsidRPr="00B32A74" w:rsidRDefault="00AB2C0B" w:rsidP="0022148A">
      <w:pPr>
        <w:pStyle w:val="Heading4"/>
      </w:pPr>
      <w:bookmarkStart w:id="99" w:name="_Ref528601046"/>
      <w:r w:rsidRPr="000D789C">
        <w:t>RULE 2:</w:t>
      </w:r>
      <w:r w:rsidRPr="000D789C">
        <w:rPr>
          <w:rStyle w:val="DELWPunboldH3"/>
        </w:rPr>
        <w:t xml:space="preserve"> A provision must implement</w:t>
      </w:r>
      <w:r w:rsidRPr="000F51B6">
        <w:rPr>
          <w:rStyle w:val="DELWPunboldH3"/>
        </w:rPr>
        <w:t xml:space="preserve"> the objectives of planning and be supported by a sound strategic planning and policy basis</w:t>
      </w:r>
      <w:bookmarkEnd w:id="99"/>
      <w:r w:rsidR="001B6D3F">
        <w:rPr>
          <w:rStyle w:val="DELWPunboldH3"/>
        </w:rPr>
        <w:t>.</w:t>
      </w:r>
    </w:p>
    <w:p w14:paraId="489C728F" w14:textId="77777777" w:rsidR="00DC2411" w:rsidRDefault="00AB2C0B" w:rsidP="002E55BC">
      <w:pPr>
        <w:pStyle w:val="DELWPbodyboldspacebefore"/>
      </w:pPr>
      <w:r>
        <w:t>A provision must:</w:t>
      </w:r>
    </w:p>
    <w:p w14:paraId="489C7290" w14:textId="77777777" w:rsidR="00DC2411" w:rsidRDefault="00AB2C0B" w:rsidP="00723A0D">
      <w:pPr>
        <w:pStyle w:val="DELWPbullet1"/>
      </w:pPr>
      <w:r>
        <w:t>Clearly set out its purpose and the intended planning outcome.</w:t>
      </w:r>
    </w:p>
    <w:p w14:paraId="489C7291" w14:textId="77777777" w:rsidR="00DC2411" w:rsidRDefault="00AB2C0B" w:rsidP="00723A0D">
      <w:pPr>
        <w:pStyle w:val="DELWPbullet1"/>
      </w:pPr>
      <w:r>
        <w:t>Seek to implement the objectives of planning.</w:t>
      </w:r>
    </w:p>
    <w:p w14:paraId="489C7292" w14:textId="77777777" w:rsidR="00DA5AF6" w:rsidRDefault="00AB2C0B" w:rsidP="00723A0D">
      <w:pPr>
        <w:pStyle w:val="DELWPbullet1"/>
      </w:pPr>
      <w:r>
        <w:t xml:space="preserve">Show an </w:t>
      </w:r>
      <w:proofErr w:type="gramStart"/>
      <w:r>
        <w:t>evidence based</w:t>
      </w:r>
      <w:proofErr w:type="gramEnd"/>
      <w:r>
        <w:t xml:space="preserve"> justification for the planning intervention.</w:t>
      </w:r>
    </w:p>
    <w:p w14:paraId="489C7293" w14:textId="77777777" w:rsidR="00DC2411" w:rsidRDefault="00AB2C0B" w:rsidP="00723A0D">
      <w:pPr>
        <w:pStyle w:val="DELWPbullet1"/>
      </w:pPr>
      <w:r>
        <w:t>Be consistent with the MPS and PPF.</w:t>
      </w:r>
    </w:p>
    <w:p w14:paraId="489C7294" w14:textId="77777777" w:rsidR="00CB429B" w:rsidRDefault="00AB2C0B" w:rsidP="00723A0D">
      <w:pPr>
        <w:pStyle w:val="DELWPbullet1"/>
      </w:pPr>
      <w:r>
        <w:t>Be relevant to an exercise of a discretion in the planning scheme.</w:t>
      </w:r>
    </w:p>
    <w:p w14:paraId="489C7295" w14:textId="01C490ED" w:rsidR="00754143" w:rsidRDefault="00AB2C0B" w:rsidP="002E55BC">
      <w:pPr>
        <w:pStyle w:val="DELWPbodyafterbullets"/>
      </w:pPr>
      <w:r>
        <w:t xml:space="preserve">Both </w:t>
      </w:r>
      <w:r w:rsidRPr="00ED6D42">
        <w:rPr>
          <w:i/>
          <w:iCs/>
        </w:rPr>
        <w:t>Ministerial Direction No. 11</w:t>
      </w:r>
      <w:r w:rsidR="00ED6D42">
        <w:rPr>
          <w:i/>
          <w:iCs/>
        </w:rPr>
        <w:t xml:space="preserve"> -</w:t>
      </w:r>
      <w:r>
        <w:t xml:space="preserve"> </w:t>
      </w:r>
      <w:r w:rsidRPr="007E64CD">
        <w:rPr>
          <w:rStyle w:val="Emphasis"/>
        </w:rPr>
        <w:t>Strategic Assessment of Amendments</w:t>
      </w:r>
      <w:r>
        <w:t xml:space="preserve"> and </w:t>
      </w:r>
      <w:r w:rsidRPr="00ED6D42">
        <w:rPr>
          <w:rStyle w:val="Strong"/>
          <w:i/>
          <w:iCs/>
        </w:rPr>
        <w:t>PPN 46</w:t>
      </w:r>
      <w:r>
        <w:t xml:space="preserve"> </w:t>
      </w:r>
      <w:r w:rsidR="00ED6D42">
        <w:rPr>
          <w:i/>
          <w:iCs/>
        </w:rPr>
        <w:t>-</w:t>
      </w:r>
      <w:r w:rsidRPr="007E64CD">
        <w:rPr>
          <w:rStyle w:val="Emphasis"/>
        </w:rPr>
        <w:t xml:space="preserve">Strategic Assessment Guidelines </w:t>
      </w:r>
      <w:r>
        <w:t>seek to ensure a comprehensive strategic evaluation of a planning scheme amendment and the outcomes it produces.</w:t>
      </w:r>
      <w:r w:rsidR="00DA5AF6">
        <w:t xml:space="preserve"> </w:t>
      </w:r>
      <w:r>
        <w:t xml:space="preserve">The strategic considerations set out in these documents require an examination of the outcomes that a provision seeks to </w:t>
      </w:r>
      <w:r>
        <w:lastRenderedPageBreak/>
        <w:t>achieve, including whether it implements the objectives of planning and implements state and local planning policy.</w:t>
      </w:r>
    </w:p>
    <w:p w14:paraId="489C7296" w14:textId="77777777" w:rsidR="00754143" w:rsidRDefault="00AB2C0B" w:rsidP="002E55BC">
      <w:pPr>
        <w:pStyle w:val="BodyText1"/>
      </w:pPr>
      <w:r>
        <w:t>These considerations highlight the importance of clearly identifying at the start of the amendment process the intended planning outcomes and confirming that they can be properly achieved within the planning framework.</w:t>
      </w:r>
    </w:p>
    <w:p w14:paraId="489C7297" w14:textId="77777777" w:rsidR="00754143" w:rsidRPr="00B32A74" w:rsidRDefault="00AB2C0B" w:rsidP="0022148A">
      <w:pPr>
        <w:pStyle w:val="Heading4"/>
      </w:pPr>
      <w:bookmarkStart w:id="100" w:name="_Ref528601105"/>
      <w:r w:rsidRPr="00B32A74">
        <w:t>RULE 3:</w:t>
      </w:r>
      <w:r w:rsidRPr="000F51B6">
        <w:rPr>
          <w:rStyle w:val="DELWPunboldH3"/>
        </w:rPr>
        <w:t xml:space="preserve"> A provision must not conflict with or duplicate other legislation, instruments or planning scheme provisions</w:t>
      </w:r>
      <w:bookmarkEnd w:id="100"/>
    </w:p>
    <w:p w14:paraId="489C7298" w14:textId="77777777" w:rsidR="00DC2411" w:rsidRDefault="00AB2C0B" w:rsidP="002E55BC">
      <w:pPr>
        <w:pStyle w:val="Bodybold"/>
      </w:pPr>
      <w:r>
        <w:t>A provision must:</w:t>
      </w:r>
    </w:p>
    <w:p w14:paraId="489C7299" w14:textId="77777777" w:rsidR="00CB429B" w:rsidRDefault="00AB2C0B" w:rsidP="00723A0D">
      <w:pPr>
        <w:pStyle w:val="DELWPbullet1"/>
      </w:pPr>
      <w:r>
        <w:t>Not conflict with or duplicate any other relevant legislation or planning scheme provision.</w:t>
      </w:r>
    </w:p>
    <w:p w14:paraId="489C729A" w14:textId="07CC6035" w:rsidR="00754143" w:rsidRDefault="00AB2C0B" w:rsidP="002E55BC">
      <w:pPr>
        <w:pStyle w:val="DELWPbodyafterbullets"/>
      </w:pPr>
      <w:r>
        <w:t xml:space="preserve">A principle of the VPP is that they are ‘land use </w:t>
      </w:r>
      <w:r w:rsidR="00066BB2">
        <w:t xml:space="preserve">and development </w:t>
      </w:r>
      <w:r>
        <w:t>focused’.</w:t>
      </w:r>
      <w:r w:rsidR="00DA5AF6">
        <w:t xml:space="preserve"> </w:t>
      </w:r>
      <w:r>
        <w:t xml:space="preserve">Planning provisions must avoid conflict and duplication with other related regulatory regimes, </w:t>
      </w:r>
      <w:proofErr w:type="gramStart"/>
      <w:r>
        <w:t>in particular where</w:t>
      </w:r>
      <w:proofErr w:type="gramEnd"/>
      <w:r>
        <w:t xml:space="preserve"> better technical expertise and resources reside elsewhere.</w:t>
      </w:r>
      <w:r w:rsidR="00DA5AF6">
        <w:t xml:space="preserve"> </w:t>
      </w:r>
      <w:r>
        <w:t xml:space="preserve">Focusing provisions on land use and development issues </w:t>
      </w:r>
      <w:r w:rsidRPr="00746027">
        <w:t>not only</w:t>
      </w:r>
      <w:r w:rsidR="00746027" w:rsidRPr="00746027">
        <w:t xml:space="preserve"> </w:t>
      </w:r>
      <w:r w:rsidRPr="00746027">
        <w:t xml:space="preserve">provides </w:t>
      </w:r>
      <w:r w:rsidRPr="00746027" w:rsidDel="00746027">
        <w:t xml:space="preserve">for legally </w:t>
      </w:r>
      <w:r w:rsidRPr="00746027">
        <w:t xml:space="preserve">certain provisions </w:t>
      </w:r>
      <w:r>
        <w:t>that are within power, but also serves to better use the finite resources of the planning system.</w:t>
      </w:r>
    </w:p>
    <w:p w14:paraId="489C729B" w14:textId="1603EDD5" w:rsidR="00754143" w:rsidRDefault="00AB2C0B" w:rsidP="002E55BC">
      <w:pPr>
        <w:pStyle w:val="BodyText1"/>
      </w:pPr>
      <w:r>
        <w:t>The planning system performs an important role</w:t>
      </w:r>
      <w:r w:rsidR="00FC64A0">
        <w:t xml:space="preserve"> in</w:t>
      </w:r>
      <w:r>
        <w:t xml:space="preserve"> integrating a range of policy considerations through land use and development regulation.</w:t>
      </w:r>
      <w:r w:rsidR="00DA5AF6">
        <w:t xml:space="preserve"> </w:t>
      </w:r>
      <w:r>
        <w:t>It also plays a role in the coordination of permit approvals with related approvals and instruments issued under other statutory regimes.</w:t>
      </w:r>
      <w:r w:rsidR="00DA5AF6">
        <w:t xml:space="preserve"> </w:t>
      </w:r>
      <w:r>
        <w:t>The subject matter and sequencing of permits and related approvals can sometimes overlap.</w:t>
      </w:r>
    </w:p>
    <w:p w14:paraId="489C729C" w14:textId="77777777" w:rsidR="00754143" w:rsidRDefault="00AB2C0B" w:rsidP="002E55BC">
      <w:pPr>
        <w:pStyle w:val="BodyText1"/>
      </w:pPr>
      <w:r>
        <w:t>Provisions should be drafted so that they maintain the focus of the planning scheme on matters that need to be ‘planned for’ or ‘designed in’ to a land use or development proposal, so that any impacts can be properly mitigated into the future.</w:t>
      </w:r>
      <w:r w:rsidR="00DA5AF6">
        <w:t xml:space="preserve"> </w:t>
      </w:r>
      <w:r>
        <w:t>Where another statutory regime regulates the same activity, or imposes specific requirements, it is not appropriate for a planning scheme to impose different requirements or to seek to enforce the requirements of the other regime through the planning system.</w:t>
      </w:r>
    </w:p>
    <w:p w14:paraId="489C729D" w14:textId="77777777" w:rsidR="00754143" w:rsidRDefault="00AB2C0B" w:rsidP="002E55BC">
      <w:pPr>
        <w:pStyle w:val="BodyText1"/>
      </w:pPr>
      <w:r>
        <w:t>In some circumstances, it may be necessary to regulate an aspect or a particular class of development for different purposes under separate controls (such as buildings and works under both a zone and a Land Subject to Inundation Overlay). These requirements will each seek to achieve different objectives (such as neighbourhood character and flood risk mitigation).</w:t>
      </w:r>
      <w:r w:rsidR="00DA5AF6">
        <w:t xml:space="preserve"> </w:t>
      </w:r>
      <w:r>
        <w:t xml:space="preserve">In some cases, these objectives may have the potential to </w:t>
      </w:r>
      <w:proofErr w:type="gramStart"/>
      <w:r>
        <w:t>conflict</w:t>
      </w:r>
      <w:proofErr w:type="gramEnd"/>
      <w:r>
        <w:t xml:space="preserve"> and the decision will need to be balanced by the responsible authority to achieve an overall outcome that is acceptable.</w:t>
      </w:r>
    </w:p>
    <w:p w14:paraId="489C729E" w14:textId="77777777" w:rsidR="00754143" w:rsidRDefault="00AB2C0B" w:rsidP="002E55BC">
      <w:pPr>
        <w:pStyle w:val="BodyText1"/>
      </w:pPr>
      <w:r>
        <w:t>However, in many instances it will result in a similar planning outcome being achieved.</w:t>
      </w:r>
      <w:r w:rsidR="00DA5AF6">
        <w:t xml:space="preserve"> </w:t>
      </w:r>
      <w:r>
        <w:t>For example, where a zone regulates or prohibits an aspect of development such as building height for neighbourhood character purposes, it may be unnecessary to impose an additional layer of control on building height through an overlay.</w:t>
      </w:r>
    </w:p>
    <w:p w14:paraId="489C729F" w14:textId="77777777" w:rsidR="00754143" w:rsidRDefault="00AB2C0B" w:rsidP="002E55BC">
      <w:pPr>
        <w:pStyle w:val="BodyText1"/>
      </w:pPr>
      <w:r>
        <w:t>A provision should not repeat or contradict another provision within the planning scheme.</w:t>
      </w:r>
      <w:r w:rsidR="00DA5AF6">
        <w:t xml:space="preserve"> </w:t>
      </w:r>
      <w:r>
        <w:t xml:space="preserve">However, some policies may have objectives that are in tension and deciding between them </w:t>
      </w:r>
      <w:r>
        <w:lastRenderedPageBreak/>
        <w:t>is a normal function of the planning system.</w:t>
      </w:r>
      <w:r w:rsidR="00DA5AF6">
        <w:t xml:space="preserve"> </w:t>
      </w:r>
      <w:r>
        <w:t>Repetitive or contradictory policy for the same theme or area will confuse and weaken the ability to achieve an appropriate outcome.</w:t>
      </w:r>
    </w:p>
    <w:p w14:paraId="489C72A0" w14:textId="38FD24F5" w:rsidR="00DC2411" w:rsidRPr="00B47604" w:rsidRDefault="00C421B8" w:rsidP="00BA6981">
      <w:pPr>
        <w:pStyle w:val="Heading2"/>
      </w:pPr>
      <w:bookmarkStart w:id="101" w:name="_4.3_Application_rules"/>
      <w:bookmarkStart w:id="102" w:name="_Ref528679947"/>
      <w:bookmarkStart w:id="103" w:name="_Ref528679970"/>
      <w:bookmarkStart w:id="104" w:name="_Toc158706979"/>
      <w:bookmarkEnd w:id="101"/>
      <w:r w:rsidRPr="00B47604">
        <w:t>4.</w:t>
      </w:r>
      <w:r w:rsidR="00B47604">
        <w:t>3</w:t>
      </w:r>
      <w:r w:rsidRPr="00B47604">
        <w:tab/>
      </w:r>
      <w:r w:rsidR="00AB2C0B" w:rsidRPr="00B47604">
        <w:t>Application rules</w:t>
      </w:r>
      <w:bookmarkEnd w:id="102"/>
      <w:bookmarkEnd w:id="103"/>
      <w:bookmarkEnd w:id="104"/>
    </w:p>
    <w:p w14:paraId="489C72A1" w14:textId="77777777" w:rsidR="00DC2411" w:rsidRPr="002C7EC5" w:rsidRDefault="00AB2C0B" w:rsidP="00F2019E">
      <w:pPr>
        <w:pStyle w:val="Head5"/>
      </w:pPr>
      <w:r w:rsidRPr="002C7EC5">
        <w:t>A provision must be necessary and proportional to the intended outcome and apply the VPP in a proper manner.</w:t>
      </w:r>
    </w:p>
    <w:p w14:paraId="489C72A2" w14:textId="77777777" w:rsidR="00DC2411" w:rsidRPr="002C7EC5" w:rsidRDefault="008D0950" w:rsidP="00B32A74">
      <w:pPr>
        <w:pStyle w:val="DELWPdiagraminline"/>
      </w:pPr>
      <w:r>
        <w:rPr>
          <w:noProof/>
          <w:color w:val="2B579A"/>
          <w:shd w:val="clear" w:color="auto" w:fill="E6E6E6"/>
          <w:lang w:val="en-US"/>
        </w:rPr>
        <w:drawing>
          <wp:inline distT="0" distB="0" distL="0" distR="0" wp14:anchorId="489C7ABE" wp14:editId="395A6760">
            <wp:extent cx="4997513" cy="1644650"/>
            <wp:effectExtent l="0" t="0" r="0" b="0"/>
            <wp:docPr id="12" name="Picture 12" descr="This image repeats the graphic for the application rules (rules 4 to 6) presented in section 4.1. Each of these rules is explained in further detail in the following sub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04.2.png"/>
                    <pic:cNvPicPr/>
                  </pic:nvPicPr>
                  <pic:blipFill rotWithShape="1">
                    <a:blip r:embed="rId29">
                      <a:extLst>
                        <a:ext uri="{28A0092B-C50C-407E-A947-70E740481C1C}">
                          <a14:useLocalDpi xmlns:a14="http://schemas.microsoft.com/office/drawing/2010/main" val="0"/>
                        </a:ext>
                      </a:extLst>
                    </a:blip>
                    <a:srcRect r="832"/>
                    <a:stretch/>
                  </pic:blipFill>
                  <pic:spPr bwMode="auto">
                    <a:xfrm>
                      <a:off x="0" y="0"/>
                      <a:ext cx="4998090" cy="1644840"/>
                    </a:xfrm>
                    <a:prstGeom prst="rect">
                      <a:avLst/>
                    </a:prstGeom>
                    <a:ln>
                      <a:noFill/>
                    </a:ln>
                    <a:extLst>
                      <a:ext uri="{53640926-AAD7-44D8-BBD7-CCE9431645EC}">
                        <a14:shadowObscured xmlns:a14="http://schemas.microsoft.com/office/drawing/2010/main"/>
                      </a:ext>
                    </a:extLst>
                  </pic:spPr>
                </pic:pic>
              </a:graphicData>
            </a:graphic>
          </wp:inline>
        </w:drawing>
      </w:r>
    </w:p>
    <w:p w14:paraId="489C72A3" w14:textId="77777777" w:rsidR="00CB429B" w:rsidRPr="00944AB1" w:rsidRDefault="00AB2C0B" w:rsidP="0022148A">
      <w:pPr>
        <w:pStyle w:val="Heading4"/>
      </w:pPr>
      <w:bookmarkStart w:id="105" w:name="_Ref528601060"/>
      <w:r w:rsidRPr="00944AB1">
        <w:t>RULE 4:</w:t>
      </w:r>
      <w:r w:rsidR="00DA5AF6" w:rsidRPr="00833AB7">
        <w:rPr>
          <w:rStyle w:val="DELWPunboldH3"/>
        </w:rPr>
        <w:t xml:space="preserve"> </w:t>
      </w:r>
      <w:r w:rsidRPr="00833AB7">
        <w:rPr>
          <w:rStyle w:val="DELWPunboldH3"/>
        </w:rPr>
        <w:t>The application of a provision must be necessary and proportional to the intended planning outcome.</w:t>
      </w:r>
      <w:bookmarkEnd w:id="105"/>
    </w:p>
    <w:p w14:paraId="489C72A4" w14:textId="77777777" w:rsidR="00DC2411" w:rsidRDefault="00AB2C0B" w:rsidP="002E55BC">
      <w:pPr>
        <w:pStyle w:val="DELWPbodyboldspacebefore"/>
      </w:pPr>
      <w:r>
        <w:t>A provision must:</w:t>
      </w:r>
    </w:p>
    <w:p w14:paraId="489C72A5" w14:textId="77777777" w:rsidR="00DC2411" w:rsidRDefault="00AB2C0B" w:rsidP="00723A0D">
      <w:pPr>
        <w:pStyle w:val="DELWPbullet1"/>
      </w:pPr>
      <w:r>
        <w:t>Be necessary to achieve the intended planning outcomes, having regard to other possible means of implementation, including non-statutory initiatives.</w:t>
      </w:r>
    </w:p>
    <w:p w14:paraId="489C72A6" w14:textId="39A7D706" w:rsidR="00DC2411" w:rsidRDefault="00AB2C0B" w:rsidP="00723A0D">
      <w:pPr>
        <w:pStyle w:val="DELWPbullet1"/>
      </w:pPr>
      <w:r>
        <w:t>Impose a level of regulatory burden that is the minimum</w:t>
      </w:r>
      <w:r w:rsidR="00A21D75">
        <w:t>,</w:t>
      </w:r>
      <w:r>
        <w:t xml:space="preserve"> necessary to satisfactorily address the planning and environmental risks.</w:t>
      </w:r>
    </w:p>
    <w:p w14:paraId="489C72A7" w14:textId="77777777" w:rsidR="00DC2411" w:rsidRDefault="00AB2C0B" w:rsidP="00723A0D">
      <w:pPr>
        <w:pStyle w:val="DELWPbullet1"/>
      </w:pPr>
      <w:r>
        <w:t>Where appropriate, implement a streamlined pathway of assessment.</w:t>
      </w:r>
    </w:p>
    <w:p w14:paraId="489C72A8" w14:textId="77777777" w:rsidR="00754143" w:rsidRDefault="00AB2C0B" w:rsidP="002E55BC">
      <w:pPr>
        <w:pStyle w:val="DELWPbodyafterbullets"/>
      </w:pPr>
      <w:r>
        <w:t>The VPP principle of being ‘proportional’ means that a provision should be designed to only impose a level of regulatory burden that is proportional to the planning and environmental risk.</w:t>
      </w:r>
    </w:p>
    <w:p w14:paraId="489C72A9" w14:textId="77777777" w:rsidR="00754143" w:rsidRDefault="00AB2C0B" w:rsidP="002E55BC">
      <w:pPr>
        <w:pStyle w:val="BodyText1"/>
      </w:pPr>
      <w:r>
        <w:t>Where a change to the planning scheme is necessary, the VPP and its elements provide opportunities for planning authorities to apply alternative assessment pathways for simpler, lower risk proposals where a normal permit application process is not warranted. These alternative pathways can be more effective in achieving the intended planning outcomes and can reduce the administrative and economic burden on both responsible authorities and the community.</w:t>
      </w:r>
    </w:p>
    <w:p w14:paraId="489C72AA" w14:textId="36B755CB" w:rsidR="00CB429B" w:rsidRPr="00673C46" w:rsidRDefault="00AB2C0B" w:rsidP="0022148A">
      <w:pPr>
        <w:pStyle w:val="Heading4"/>
      </w:pPr>
      <w:bookmarkStart w:id="106" w:name="_Ref528601098"/>
      <w:r w:rsidRPr="00673C46">
        <w:t>RULE 5:</w:t>
      </w:r>
      <w:r w:rsidR="00DA5AF6" w:rsidRPr="00833AB7">
        <w:rPr>
          <w:rStyle w:val="DELWPunboldH3"/>
        </w:rPr>
        <w:t xml:space="preserve"> </w:t>
      </w:r>
      <w:r w:rsidRPr="00833AB7">
        <w:rPr>
          <w:rStyle w:val="DELWPunboldH3"/>
        </w:rPr>
        <w:t>A provision must be consistent with the operational provisions of the scheme, any parent provision and any relevant Ministerial Direction</w:t>
      </w:r>
      <w:bookmarkEnd w:id="106"/>
      <w:r w:rsidR="001B6D3F">
        <w:rPr>
          <w:rStyle w:val="DELWPunboldH3"/>
        </w:rPr>
        <w:t>.</w:t>
      </w:r>
    </w:p>
    <w:p w14:paraId="489C72AB" w14:textId="77777777" w:rsidR="00DC2411" w:rsidRDefault="00AB2C0B" w:rsidP="002E55BC">
      <w:pPr>
        <w:pStyle w:val="DELWPbodyboldspacebefore"/>
      </w:pPr>
      <w:r>
        <w:t>A provision must:</w:t>
      </w:r>
    </w:p>
    <w:p w14:paraId="489C72AC" w14:textId="5AAAE75E" w:rsidR="00DC2411" w:rsidRDefault="00AB2C0B" w:rsidP="00723A0D">
      <w:pPr>
        <w:pStyle w:val="DELWPbullet1"/>
      </w:pPr>
      <w:r>
        <w:t xml:space="preserve">Be expressed in a manner that is consistent with the operational rules at </w:t>
      </w:r>
      <w:r w:rsidR="001F616D" w:rsidRPr="006C315A">
        <w:t>c</w:t>
      </w:r>
      <w:r w:rsidR="00283339" w:rsidRPr="006C315A">
        <w:t>l</w:t>
      </w:r>
      <w:r w:rsidRPr="006C315A">
        <w:t>ause 71</w:t>
      </w:r>
      <w:r>
        <w:t>.</w:t>
      </w:r>
    </w:p>
    <w:p w14:paraId="489C72AD" w14:textId="2C8DD4C1" w:rsidR="00DC2411" w:rsidRDefault="00AB2C0B" w:rsidP="00723A0D">
      <w:pPr>
        <w:pStyle w:val="DELWPbullet1"/>
      </w:pPr>
      <w:r>
        <w:t xml:space="preserve">Be prepared in accordance with the </w:t>
      </w:r>
      <w:r w:rsidRPr="00ED6D42">
        <w:rPr>
          <w:i/>
          <w:iCs/>
        </w:rPr>
        <w:t>Ministerial Direction</w:t>
      </w:r>
      <w:r>
        <w:t xml:space="preserve"> </w:t>
      </w:r>
      <w:r w:rsidR="00ED6D42">
        <w:t>-</w:t>
      </w:r>
      <w:r w:rsidRPr="007E64CD">
        <w:rPr>
          <w:rStyle w:val="Emphasis"/>
        </w:rPr>
        <w:t>The Form and Content of Planning Schemes</w:t>
      </w:r>
      <w:r>
        <w:t xml:space="preserve"> and any other relevant Ministerial Direction.</w:t>
      </w:r>
    </w:p>
    <w:p w14:paraId="489C72AE" w14:textId="77777777" w:rsidR="00DC2411" w:rsidRDefault="00AB2C0B" w:rsidP="00723A0D">
      <w:pPr>
        <w:pStyle w:val="DELWPbullet1"/>
      </w:pPr>
      <w:r>
        <w:t>Not include a matter outside the purpose or scope of a state standard provision.</w:t>
      </w:r>
    </w:p>
    <w:p w14:paraId="489C72AF" w14:textId="2DB93956" w:rsidR="00DC2411" w:rsidRDefault="00B35499" w:rsidP="00723A0D">
      <w:pPr>
        <w:pStyle w:val="DELWPbullet1"/>
      </w:pPr>
      <w:r>
        <w:t>Only</w:t>
      </w:r>
      <w:r w:rsidR="00AB2C0B">
        <w:t xml:space="preserve"> include a function that is enabled by the relevant state standard provision.</w:t>
      </w:r>
    </w:p>
    <w:p w14:paraId="489C72B0" w14:textId="77777777" w:rsidR="00754143" w:rsidRDefault="00AB2C0B" w:rsidP="002E55BC">
      <w:pPr>
        <w:pStyle w:val="DELWPbodyafterbullets"/>
      </w:pPr>
      <w:r w:rsidRPr="006C315A">
        <w:lastRenderedPageBreak/>
        <w:t>Clause 71</w:t>
      </w:r>
      <w:r>
        <w:t xml:space="preserve"> sets out operational requirements that apply to different provisions.</w:t>
      </w:r>
      <w:r w:rsidR="00DA5AF6">
        <w:t xml:space="preserve"> </w:t>
      </w:r>
      <w:r>
        <w:t>These requirements are important in defining the effect of a provision and its relationship with other provisions in the planning scheme.</w:t>
      </w:r>
    </w:p>
    <w:p w14:paraId="489C72B1" w14:textId="77777777" w:rsidR="00754143" w:rsidRDefault="00AB2C0B" w:rsidP="002E55BC">
      <w:pPr>
        <w:pStyle w:val="BodyText1"/>
      </w:pPr>
      <w:r>
        <w:t>A provision should not be drafted in a manner that is contrary to its operational limits or in conflict with other provisions, such as a policy that seeks to prohibit a class of land use or development that is discretionary in a zone.</w:t>
      </w:r>
      <w:r w:rsidR="00DA5AF6">
        <w:t xml:space="preserve"> </w:t>
      </w:r>
      <w:r>
        <w:t>This causes confusion about the intended effect of a provision.</w:t>
      </w:r>
    </w:p>
    <w:p w14:paraId="489C72B2" w14:textId="77777777" w:rsidR="00754143" w:rsidRDefault="00AB2C0B" w:rsidP="002E55BC">
      <w:pPr>
        <w:pStyle w:val="BodyText1"/>
      </w:pPr>
      <w:r>
        <w:t>Local provisions derive their power and scope from parent state standard provisions. A state provision may limit the functions a local provision can perform.</w:t>
      </w:r>
      <w:r w:rsidR="00DA5AF6">
        <w:t xml:space="preserve"> </w:t>
      </w:r>
      <w:r>
        <w:t>To maintain the benefits of statewide consistency and ensure that local provisions are legally effective, they must be drafted so that their scope and functions do not exceed those of their parent provision.</w:t>
      </w:r>
    </w:p>
    <w:p w14:paraId="489C72B3" w14:textId="77777777" w:rsidR="00754143" w:rsidRDefault="00AB2C0B" w:rsidP="002E55BC">
      <w:pPr>
        <w:pStyle w:val="BodyText1"/>
      </w:pPr>
      <w:r>
        <w:t>For example, a schedule to an overlay should not include a requirement to give notice to third parties where the parent provision excludes third party notice and review.</w:t>
      </w:r>
      <w:r w:rsidR="00DA5AF6">
        <w:t xml:space="preserve"> </w:t>
      </w:r>
      <w:r>
        <w:t>A provision that exceeds its lawful scope creates uncertainty for the decision-maker and stakeholders in planning processes and will result in unnecessary cost and delay.</w:t>
      </w:r>
    </w:p>
    <w:p w14:paraId="489C72B4" w14:textId="32631E58" w:rsidR="00CB429B" w:rsidRPr="000F51B6" w:rsidRDefault="00AB2C0B" w:rsidP="0022148A">
      <w:pPr>
        <w:pStyle w:val="Heading4"/>
      </w:pPr>
      <w:bookmarkStart w:id="107" w:name="_Ref528601087"/>
      <w:r w:rsidRPr="000F51B6">
        <w:t>RULE 6:</w:t>
      </w:r>
      <w:r w:rsidR="00DA5AF6" w:rsidRPr="000F51B6">
        <w:rPr>
          <w:rStyle w:val="DELWPunboldH3"/>
        </w:rPr>
        <w:t xml:space="preserve"> </w:t>
      </w:r>
      <w:r w:rsidRPr="000F51B6">
        <w:rPr>
          <w:rStyle w:val="DELWPunboldH3"/>
        </w:rPr>
        <w:t>The application of a provision must be clear</w:t>
      </w:r>
      <w:bookmarkEnd w:id="107"/>
      <w:r w:rsidR="001B6D3F">
        <w:rPr>
          <w:rStyle w:val="DELWPunboldH3"/>
        </w:rPr>
        <w:t>.</w:t>
      </w:r>
    </w:p>
    <w:p w14:paraId="489C72B5" w14:textId="77777777" w:rsidR="00DC2411" w:rsidRDefault="00AB2C0B" w:rsidP="002E55BC">
      <w:pPr>
        <w:pStyle w:val="DELWPbodyboldspacebefore"/>
      </w:pPr>
      <w:r>
        <w:t>A provision must:</w:t>
      </w:r>
    </w:p>
    <w:p w14:paraId="489C72B6" w14:textId="77777777" w:rsidR="00DC2411" w:rsidRDefault="00AB2C0B" w:rsidP="00723A0D">
      <w:pPr>
        <w:pStyle w:val="DELWPbullet1"/>
      </w:pPr>
      <w:r>
        <w:t>Clearly identify the scope of its application to an area or specified classes of use or development.</w:t>
      </w:r>
    </w:p>
    <w:p w14:paraId="489C72B7" w14:textId="77777777" w:rsidR="00DC2411" w:rsidRDefault="00AB2C0B" w:rsidP="00723A0D">
      <w:pPr>
        <w:pStyle w:val="DELWPbullet1"/>
      </w:pPr>
      <w:r>
        <w:t>Define its application by reference to land use or development terms defined in the Act or the VPP.</w:t>
      </w:r>
    </w:p>
    <w:p w14:paraId="489C72B8" w14:textId="77777777" w:rsidR="00DC2411" w:rsidRDefault="00AB2C0B" w:rsidP="00723A0D">
      <w:pPr>
        <w:pStyle w:val="DELWPbullet1"/>
      </w:pPr>
      <w:r>
        <w:t>Where a provision is applied to an area, clearly define the area.</w:t>
      </w:r>
    </w:p>
    <w:p w14:paraId="489C72B9" w14:textId="77777777" w:rsidR="00754143" w:rsidRDefault="00AB2C0B" w:rsidP="002E55BC">
      <w:pPr>
        <w:pStyle w:val="DELWPbodyafterbullets"/>
      </w:pPr>
      <w:r>
        <w:t>Planning schemes contain a range of provisions that apply to a broad range of activities and land. In most cases, only a few provisions will be relevant to a given piece of land or a class of land use or development. It is important that provisions allow users to quickly identify the obligations and requirements that affect them, without having to interrogate many provisions that are not relevant to their proposal.</w:t>
      </w:r>
    </w:p>
    <w:p w14:paraId="489C72BA" w14:textId="77777777" w:rsidR="00754143" w:rsidRDefault="00AB2C0B" w:rsidP="002E55BC">
      <w:pPr>
        <w:pStyle w:val="BodyText1"/>
      </w:pPr>
      <w:r>
        <w:t>A provision should therefore clearly identify the scope of its application to an area or activity.</w:t>
      </w:r>
    </w:p>
    <w:p w14:paraId="489C72BB" w14:textId="3509DBE3" w:rsidR="00754143" w:rsidRDefault="00AB2C0B" w:rsidP="002E55BC">
      <w:pPr>
        <w:pStyle w:val="BodyText1"/>
      </w:pPr>
      <w:r>
        <w:t xml:space="preserve">Where a provision applies to a particular class of use or development, care should be taken to ensure its application is </w:t>
      </w:r>
      <w:r w:rsidRPr="00B2101A">
        <w:t xml:space="preserve">expressed </w:t>
      </w:r>
      <w:r w:rsidR="0051226D" w:rsidRPr="00B2101A">
        <w:t>using</w:t>
      </w:r>
      <w:r w:rsidRPr="00B2101A">
        <w:t xml:space="preserve"> land use or development terms </w:t>
      </w:r>
      <w:r w:rsidR="0051226D" w:rsidRPr="00B2101A">
        <w:t xml:space="preserve">that </w:t>
      </w:r>
      <w:r w:rsidRPr="00B2101A">
        <w:t>are defined or have a clear meaning.</w:t>
      </w:r>
    </w:p>
    <w:p w14:paraId="489C72BC" w14:textId="77777777" w:rsidR="00754143" w:rsidRDefault="00AB2C0B" w:rsidP="002E55BC">
      <w:pPr>
        <w:pStyle w:val="BodyText1"/>
      </w:pPr>
      <w:r>
        <w:t>Where a provision is applied to an area that has not already been mapped in the planning scheme (such as by an overlay) a map should be used to define the area. A written description of the area should not be used.</w:t>
      </w:r>
    </w:p>
    <w:p w14:paraId="489C72BD" w14:textId="68CA1616" w:rsidR="00DC2411" w:rsidRPr="00986209" w:rsidRDefault="00C421B8" w:rsidP="00BA6981">
      <w:pPr>
        <w:pStyle w:val="Heading2"/>
      </w:pPr>
      <w:bookmarkStart w:id="108" w:name="_4.4_Drafting_rules"/>
      <w:bookmarkStart w:id="109" w:name="_Ref528679951"/>
      <w:bookmarkStart w:id="110" w:name="_Ref528679974"/>
      <w:bookmarkStart w:id="111" w:name="_Toc158706980"/>
      <w:bookmarkEnd w:id="108"/>
      <w:r>
        <w:lastRenderedPageBreak/>
        <w:t>4.</w:t>
      </w:r>
      <w:r w:rsidR="00B47604">
        <w:t>4</w:t>
      </w:r>
      <w:r>
        <w:tab/>
      </w:r>
      <w:r w:rsidR="00AB2C0B" w:rsidRPr="00986209">
        <w:t>Drafting rules</w:t>
      </w:r>
      <w:bookmarkEnd w:id="109"/>
      <w:bookmarkEnd w:id="110"/>
      <w:bookmarkEnd w:id="111"/>
    </w:p>
    <w:p w14:paraId="489C72BE" w14:textId="77777777" w:rsidR="00DC2411" w:rsidRPr="002C7EC5" w:rsidRDefault="00AB2C0B" w:rsidP="00F2019E">
      <w:pPr>
        <w:pStyle w:val="Head5"/>
      </w:pPr>
      <w:r w:rsidRPr="002C7EC5">
        <w:t>A provision must be clear, unambiguous and effective in achieving the intended outcome.</w:t>
      </w:r>
    </w:p>
    <w:p w14:paraId="489C72BF" w14:textId="77777777" w:rsidR="00DC2411" w:rsidRDefault="008D0950" w:rsidP="00F05639">
      <w:pPr>
        <w:pStyle w:val="DELWPdiagraminline"/>
      </w:pPr>
      <w:r>
        <w:rPr>
          <w:noProof/>
          <w:color w:val="2B579A"/>
          <w:shd w:val="clear" w:color="auto" w:fill="E6E6E6"/>
          <w:lang w:val="en-US"/>
        </w:rPr>
        <w:drawing>
          <wp:inline distT="0" distB="0" distL="0" distR="0" wp14:anchorId="489C7AC0" wp14:editId="1779DE86">
            <wp:extent cx="4997449" cy="1633855"/>
            <wp:effectExtent l="0" t="0" r="0" b="4445"/>
            <wp:docPr id="13" name="Picture 13" descr="This image repeats the graphic for the drafting rules (rules 7 to 9) presented in section 4.1. Each of these rules is explained in further detail in the following sub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04.3.png"/>
                    <pic:cNvPicPr/>
                  </pic:nvPicPr>
                  <pic:blipFill rotWithShape="1">
                    <a:blip r:embed="rId30">
                      <a:extLst>
                        <a:ext uri="{28A0092B-C50C-407E-A947-70E740481C1C}">
                          <a14:useLocalDpi xmlns:a14="http://schemas.microsoft.com/office/drawing/2010/main" val="0"/>
                        </a:ext>
                      </a:extLst>
                    </a:blip>
                    <a:srcRect l="1" r="832"/>
                    <a:stretch/>
                  </pic:blipFill>
                  <pic:spPr bwMode="auto">
                    <a:xfrm>
                      <a:off x="0" y="0"/>
                      <a:ext cx="4997449" cy="1633855"/>
                    </a:xfrm>
                    <a:prstGeom prst="rect">
                      <a:avLst/>
                    </a:prstGeom>
                    <a:ln>
                      <a:noFill/>
                    </a:ln>
                    <a:extLst>
                      <a:ext uri="{53640926-AAD7-44D8-BBD7-CCE9431645EC}">
                        <a14:shadowObscured xmlns:a14="http://schemas.microsoft.com/office/drawing/2010/main"/>
                      </a:ext>
                    </a:extLst>
                  </pic:spPr>
                </pic:pic>
              </a:graphicData>
            </a:graphic>
          </wp:inline>
        </w:drawing>
      </w:r>
    </w:p>
    <w:p w14:paraId="489C72C0" w14:textId="1F8FE864" w:rsidR="00CB429B" w:rsidRPr="00F05639" w:rsidRDefault="00AB2C0B" w:rsidP="0022148A">
      <w:pPr>
        <w:pStyle w:val="Heading4"/>
      </w:pPr>
      <w:bookmarkStart w:id="112" w:name="_Ref528601115"/>
      <w:r w:rsidRPr="00F05639">
        <w:t>RULE 7:</w:t>
      </w:r>
      <w:r w:rsidR="00DA5AF6" w:rsidRPr="00F05639">
        <w:rPr>
          <w:rStyle w:val="DELWPunboldH3"/>
        </w:rPr>
        <w:t xml:space="preserve"> </w:t>
      </w:r>
      <w:r w:rsidRPr="00F05639">
        <w:rPr>
          <w:rStyle w:val="DELWPunboldH3"/>
        </w:rPr>
        <w:t>The requirements of a provision must be clear and unambiguous</w:t>
      </w:r>
      <w:bookmarkEnd w:id="112"/>
      <w:r w:rsidR="001B6D3F">
        <w:rPr>
          <w:rStyle w:val="DELWPunboldH3"/>
        </w:rPr>
        <w:t>.</w:t>
      </w:r>
    </w:p>
    <w:p w14:paraId="489C72C1" w14:textId="77777777" w:rsidR="00DC2411" w:rsidRDefault="00AB2C0B" w:rsidP="002E55BC">
      <w:pPr>
        <w:pStyle w:val="DELWPbodyboldspacebefore"/>
      </w:pPr>
      <w:r>
        <w:t>A provision must:</w:t>
      </w:r>
    </w:p>
    <w:p w14:paraId="489C72C2" w14:textId="77777777" w:rsidR="00DC2411" w:rsidRDefault="00AB2C0B" w:rsidP="00723A0D">
      <w:pPr>
        <w:pStyle w:val="DELWPbullet1"/>
      </w:pPr>
      <w:r>
        <w:t>Not set or define the scope of a requirement by reference to terms that are undefined or that are capable of more than one meaning.</w:t>
      </w:r>
    </w:p>
    <w:p w14:paraId="489C72C3" w14:textId="6DF3624B" w:rsidR="00DC2411" w:rsidRDefault="00AB2C0B" w:rsidP="00723A0D">
      <w:pPr>
        <w:pStyle w:val="DELWPbullet1"/>
      </w:pPr>
      <w:r>
        <w:t>When relying on a list of conditions to trigger or exempt a requirement</w:t>
      </w:r>
      <w:r w:rsidR="008D0318">
        <w:t xml:space="preserve"> in a control</w:t>
      </w:r>
      <w:r>
        <w:t>, clearly identify the intended meaning of each condition.</w:t>
      </w:r>
    </w:p>
    <w:p w14:paraId="489C72C4" w14:textId="77777777" w:rsidR="00DC2411" w:rsidRDefault="00AB2C0B" w:rsidP="00723A0D">
      <w:pPr>
        <w:pStyle w:val="DELWPbullet1"/>
      </w:pPr>
      <w:r>
        <w:t>Not make a permit requirement contingent on the opinion or satisfaction of a decision-maker or other body (including the responsible authority).</w:t>
      </w:r>
    </w:p>
    <w:p w14:paraId="489C72C5" w14:textId="28B5B429" w:rsidR="00DC2411" w:rsidRDefault="00AB2C0B" w:rsidP="00723A0D">
      <w:pPr>
        <w:pStyle w:val="DELWPbullet1"/>
      </w:pPr>
      <w:r>
        <w:t>Avoid expressions where a requirement is contingent upon the existence of a set of facts or circumstances that are not objective or readily ascertainable (such as by requiring expert opinion or an external document).</w:t>
      </w:r>
    </w:p>
    <w:p w14:paraId="489C72C6" w14:textId="77777777" w:rsidR="00754143" w:rsidRDefault="00AB2C0B" w:rsidP="002E55BC">
      <w:pPr>
        <w:pStyle w:val="DELWPbodyafterbullets"/>
      </w:pPr>
      <w:r>
        <w:t>The planning scheme specifies when a permit or other approval needs to be obtained before an activity on land can commence.</w:t>
      </w:r>
      <w:r w:rsidR="00DA5AF6">
        <w:t xml:space="preserve"> </w:t>
      </w:r>
      <w:r>
        <w:t>Failing to understand and comply with these obligations can have serious consequences for a landowner or proponent.</w:t>
      </w:r>
      <w:r w:rsidR="00DA5AF6">
        <w:t xml:space="preserve"> </w:t>
      </w:r>
      <w:r>
        <w:t>It is important that a provision clearly and objectively sets out the scope of its application so that a user is in no doubt about the extent of their obligation to obtain a permit or to meet a requirement.</w:t>
      </w:r>
    </w:p>
    <w:p w14:paraId="489C72C7" w14:textId="16B9E8C2" w:rsidR="00754143" w:rsidRDefault="00AB2C0B" w:rsidP="002E55BC">
      <w:pPr>
        <w:pStyle w:val="BodyText1"/>
      </w:pPr>
      <w:r>
        <w:t>Planning schemes also include requirements that impose limitations on how land may be used or developed and on how a discretion may be exercised.</w:t>
      </w:r>
      <w:r w:rsidR="00DA5AF6">
        <w:t xml:space="preserve"> </w:t>
      </w:r>
      <w:r>
        <w:t>Applying these requirements to a particular piece of land can impose a significant burden on an owner or land user.</w:t>
      </w:r>
      <w:r w:rsidR="00DA5AF6">
        <w:t xml:space="preserve"> </w:t>
      </w:r>
      <w:r>
        <w:t>Where the scope of a requirement is unclear</w:t>
      </w:r>
      <w:r w:rsidR="0039207F">
        <w:t>,</w:t>
      </w:r>
      <w:r>
        <w:t xml:space="preserve"> unnecessary disputes can result, causing delay and cost to all system users.</w:t>
      </w:r>
    </w:p>
    <w:p w14:paraId="489C72C8" w14:textId="77777777" w:rsidR="00DC2411" w:rsidRDefault="00AB2C0B" w:rsidP="002E55BC">
      <w:pPr>
        <w:pStyle w:val="BodyText1"/>
      </w:pPr>
      <w:r>
        <w:t>Similarly, the ability of a provision to set procedural requirements (such as referral) relies on identifying the subject classes of application in clear and unambiguous terms.</w:t>
      </w:r>
    </w:p>
    <w:p w14:paraId="489C72C9" w14:textId="6940FB3F" w:rsidR="00754143" w:rsidRDefault="00AB2C0B" w:rsidP="002E55BC">
      <w:pPr>
        <w:pStyle w:val="BodyText1"/>
      </w:pPr>
      <w:r>
        <w:t xml:space="preserve">Procedural requirements ensure that important issues are considered by </w:t>
      </w:r>
      <w:r w:rsidRPr="004C2AEB">
        <w:t>decision</w:t>
      </w:r>
      <w:r w:rsidR="008F22CF" w:rsidRPr="004C2AEB">
        <w:t>-</w:t>
      </w:r>
      <w:r w:rsidRPr="004C2AEB">
        <w:t>makers and</w:t>
      </w:r>
      <w:r>
        <w:t xml:space="preserve"> can affect the rights of third parties.</w:t>
      </w:r>
      <w:r w:rsidR="00DA5AF6">
        <w:t xml:space="preserve"> </w:t>
      </w:r>
      <w:r>
        <w:t>There can be serious consequences for the validity of decisions and permits if procedural requirements are not complied with.</w:t>
      </w:r>
    </w:p>
    <w:p w14:paraId="7D774454" w14:textId="77777777" w:rsidR="003B32C1" w:rsidRDefault="003B32C1">
      <w:pPr>
        <w:suppressAutoHyphens w:val="0"/>
        <w:spacing w:after="0" w:line="240" w:lineRule="auto"/>
        <w:rPr>
          <w:rFonts w:ascii="VIC" w:eastAsia="MS Mincho" w:hAnsi="VIC"/>
          <w:b/>
          <w:bCs/>
          <w:color w:val="00828D" w:themeColor="text2"/>
          <w:sz w:val="22"/>
          <w:szCs w:val="22"/>
          <w:lang w:eastAsia="en-US"/>
        </w:rPr>
      </w:pPr>
      <w:bookmarkStart w:id="113" w:name="_Ref528601148"/>
      <w:r>
        <w:br w:type="page"/>
      </w:r>
    </w:p>
    <w:p w14:paraId="489C72CA" w14:textId="6ED316AC" w:rsidR="00CB429B" w:rsidRPr="00F05639" w:rsidRDefault="00AB2C0B" w:rsidP="0022148A">
      <w:pPr>
        <w:pStyle w:val="Heading4"/>
      </w:pPr>
      <w:r w:rsidRPr="00F05639">
        <w:lastRenderedPageBreak/>
        <w:t>RULE 8</w:t>
      </w:r>
      <w:r w:rsidRPr="00F05639">
        <w:rPr>
          <w:rStyle w:val="DELWPunboldH3"/>
        </w:rPr>
        <w:t>:</w:t>
      </w:r>
      <w:r w:rsidR="00DA5AF6" w:rsidRPr="00F05639">
        <w:rPr>
          <w:rStyle w:val="DELWPunboldH3"/>
        </w:rPr>
        <w:t xml:space="preserve"> </w:t>
      </w:r>
      <w:r w:rsidRPr="00F05639">
        <w:rPr>
          <w:rStyle w:val="DELWPunboldH3"/>
        </w:rPr>
        <w:t>A provision must be structured to be clear and unambiguous</w:t>
      </w:r>
      <w:bookmarkEnd w:id="113"/>
      <w:r w:rsidR="001B6D3F">
        <w:rPr>
          <w:rStyle w:val="DELWPunboldH3"/>
        </w:rPr>
        <w:t>.</w:t>
      </w:r>
    </w:p>
    <w:p w14:paraId="489C72CB" w14:textId="77777777" w:rsidR="00DC2411" w:rsidRDefault="00AB2C0B" w:rsidP="002E55BC">
      <w:pPr>
        <w:pStyle w:val="DELWPbodyboldspacebefore"/>
      </w:pPr>
      <w:r>
        <w:t>A provision must:</w:t>
      </w:r>
    </w:p>
    <w:p w14:paraId="489C72CC" w14:textId="77777777" w:rsidR="00DC2411" w:rsidRDefault="00AB2C0B" w:rsidP="00723A0D">
      <w:pPr>
        <w:pStyle w:val="DELWPbullet1"/>
      </w:pPr>
      <w:r>
        <w:t>Set requirements in a logical and consistent manner.</w:t>
      </w:r>
    </w:p>
    <w:p w14:paraId="489C72CD" w14:textId="77777777" w:rsidR="00DC2411" w:rsidRDefault="00AB2C0B" w:rsidP="00723A0D">
      <w:pPr>
        <w:pStyle w:val="DELWPbullet1"/>
      </w:pPr>
      <w:r>
        <w:t>Be self-contained when setting requirements and not rely upon documents, standards or conditions that are not contained in the planning scheme.</w:t>
      </w:r>
    </w:p>
    <w:p w14:paraId="489C72CE" w14:textId="2263A21C" w:rsidR="00754143" w:rsidRDefault="00AB2C0B" w:rsidP="002E55BC">
      <w:pPr>
        <w:pStyle w:val="BodyText1"/>
      </w:pPr>
      <w:r>
        <w:t>The clarity of a provision is affected by how it is organised.</w:t>
      </w:r>
      <w:r w:rsidR="00DA5AF6">
        <w:t xml:space="preserve"> </w:t>
      </w:r>
      <w:proofErr w:type="gramStart"/>
      <w:r>
        <w:t>In particular, by</w:t>
      </w:r>
      <w:proofErr w:type="gramEnd"/>
      <w:r>
        <w:t xml:space="preserve"> the way information and requirements are structured, such as through the use of headings</w:t>
      </w:r>
      <w:r w:rsidR="0088154A">
        <w:t>,</w:t>
      </w:r>
      <w:r w:rsidDel="0088154A">
        <w:t xml:space="preserve"> </w:t>
      </w:r>
      <w:r>
        <w:t>tables and the sequencing of lists.</w:t>
      </w:r>
    </w:p>
    <w:p w14:paraId="489C72CF" w14:textId="77777777" w:rsidR="00754143" w:rsidRDefault="00AB2C0B" w:rsidP="002E55BC">
      <w:pPr>
        <w:pStyle w:val="BodyText1"/>
      </w:pPr>
      <w:r>
        <w:t>The usability of provisions is enhanced if provisions are presented in a clear and consistent manner across all planning schemes.</w:t>
      </w:r>
    </w:p>
    <w:p w14:paraId="489C72D0" w14:textId="15DBA227" w:rsidR="00754143" w:rsidRDefault="00AB2C0B" w:rsidP="002E55BC">
      <w:pPr>
        <w:pStyle w:val="BodyText1"/>
      </w:pPr>
      <w:r>
        <w:t xml:space="preserve">The form and content of provisions are largely determined by the </w:t>
      </w:r>
      <w:r w:rsidRPr="00ED6D42">
        <w:rPr>
          <w:i/>
          <w:iCs/>
        </w:rPr>
        <w:t>Ministerial Direction</w:t>
      </w:r>
      <w:r w:rsidR="00ED6D42">
        <w:rPr>
          <w:rStyle w:val="Emphasis"/>
        </w:rPr>
        <w:t xml:space="preserve"> -</w:t>
      </w:r>
      <w:r w:rsidRPr="00ED6D42">
        <w:rPr>
          <w:rStyle w:val="Emphasis"/>
        </w:rPr>
        <w:t xml:space="preserve"> </w:t>
      </w:r>
      <w:r w:rsidRPr="007E64CD">
        <w:rPr>
          <w:rStyle w:val="Emphasis"/>
        </w:rPr>
        <w:t>The Form and Content of Planning Schemes</w:t>
      </w:r>
      <w:r>
        <w:t>.</w:t>
      </w:r>
      <w:r w:rsidR="00DA5AF6">
        <w:t xml:space="preserve"> </w:t>
      </w:r>
      <w:r>
        <w:t xml:space="preserve">The detailed requirements and templates in this direction seek to achieve </w:t>
      </w:r>
      <w:proofErr w:type="gramStart"/>
      <w:r>
        <w:t>a number of</w:t>
      </w:r>
      <w:proofErr w:type="gramEnd"/>
      <w:r>
        <w:t xml:space="preserve"> the VPP principles, with an overarching objective of strengthening the clarity of planning schemes.</w:t>
      </w:r>
    </w:p>
    <w:p w14:paraId="489C72D1" w14:textId="77777777" w:rsidR="00754143" w:rsidRDefault="00AB2C0B" w:rsidP="002E55BC">
      <w:pPr>
        <w:pStyle w:val="BodyText1"/>
      </w:pPr>
      <w:r>
        <w:t>Where there is discretion to determine structure and presentation, provisions should be logically organised so that a user can easily understand the requirements that affect their land.</w:t>
      </w:r>
    </w:p>
    <w:p w14:paraId="489C72D2" w14:textId="3319B63A" w:rsidR="00CB429B" w:rsidRPr="00F05639" w:rsidRDefault="00AB2C0B" w:rsidP="0022148A">
      <w:pPr>
        <w:pStyle w:val="Heading4"/>
      </w:pPr>
      <w:bookmarkStart w:id="114" w:name="_Ref528601155"/>
      <w:r w:rsidRPr="00F05639">
        <w:t>RULE 9:</w:t>
      </w:r>
      <w:r w:rsidR="00DA5AF6" w:rsidRPr="00F05639">
        <w:rPr>
          <w:rStyle w:val="DELWPunboldH3"/>
        </w:rPr>
        <w:t xml:space="preserve"> </w:t>
      </w:r>
      <w:r w:rsidRPr="00F05639">
        <w:rPr>
          <w:rStyle w:val="DELWPunboldH3"/>
        </w:rPr>
        <w:t>A provision must be written to be clear and unambiguous</w:t>
      </w:r>
      <w:bookmarkEnd w:id="114"/>
      <w:r w:rsidR="001B6D3F">
        <w:rPr>
          <w:rStyle w:val="DELWPunboldH3"/>
        </w:rPr>
        <w:t>.</w:t>
      </w:r>
    </w:p>
    <w:p w14:paraId="489C72D3" w14:textId="69D04BD6" w:rsidR="00DC2411" w:rsidRDefault="00AB2C0B" w:rsidP="002E55BC">
      <w:pPr>
        <w:pStyle w:val="DELWPbodyboldspacebefore"/>
      </w:pPr>
      <w:r>
        <w:t>A provision must:</w:t>
      </w:r>
    </w:p>
    <w:p w14:paraId="489C72D4" w14:textId="77777777" w:rsidR="00DC2411" w:rsidRDefault="00AB2C0B" w:rsidP="00723A0D">
      <w:pPr>
        <w:pStyle w:val="DELWPbullet1"/>
      </w:pPr>
      <w:r>
        <w:t>Be written in language that is clear and unambiguous.</w:t>
      </w:r>
    </w:p>
    <w:p w14:paraId="489C72D5" w14:textId="77777777" w:rsidR="00DC2411" w:rsidRDefault="00AB2C0B" w:rsidP="00723A0D">
      <w:pPr>
        <w:pStyle w:val="DELWPbullet1"/>
      </w:pPr>
      <w:r>
        <w:t>Be written so that there is no inconsistency between provisions or the scope or effect of a requirement.</w:t>
      </w:r>
    </w:p>
    <w:p w14:paraId="489C72D6" w14:textId="77777777" w:rsidR="00DC2411" w:rsidRDefault="00AB2C0B" w:rsidP="00723A0D">
      <w:pPr>
        <w:pStyle w:val="DELWPbullet1"/>
      </w:pPr>
      <w:r>
        <w:t>Be expressed in language that gives effect to its purpose.</w:t>
      </w:r>
    </w:p>
    <w:p w14:paraId="489C72D7" w14:textId="77777777" w:rsidR="00DC2411" w:rsidRDefault="00AB2C0B" w:rsidP="00723A0D">
      <w:pPr>
        <w:pStyle w:val="DELWPbullet1"/>
      </w:pPr>
      <w:r>
        <w:t>Use terms and language that are consistent with the Act, the VPP and the relevant parent provision.</w:t>
      </w:r>
    </w:p>
    <w:p w14:paraId="74249235" w14:textId="634ED9B9" w:rsidR="008D0318" w:rsidRPr="008D0318" w:rsidRDefault="00AB2C0B" w:rsidP="00723A0D">
      <w:pPr>
        <w:pStyle w:val="DELWPbullet1"/>
      </w:pPr>
      <w:r>
        <w:t xml:space="preserve">Clearly </w:t>
      </w:r>
      <w:r w:rsidR="008D0318">
        <w:t xml:space="preserve">specify </w:t>
      </w:r>
      <w:r>
        <w:t>the</w:t>
      </w:r>
      <w:r w:rsidR="008D0318">
        <w:t xml:space="preserve"> operation of</w:t>
      </w:r>
      <w:r>
        <w:t xml:space="preserve"> items in a list </w:t>
      </w:r>
      <w:r w:rsidR="008D0318" w:rsidRPr="008D0318">
        <w:t xml:space="preserve">(See </w:t>
      </w:r>
      <w:r w:rsidR="0074503B" w:rsidRPr="00465F3D">
        <w:rPr>
          <w:bCs/>
        </w:rPr>
        <w:t>Chapter</w:t>
      </w:r>
      <w:r w:rsidR="008D0318" w:rsidRPr="00465F3D">
        <w:rPr>
          <w:bCs/>
        </w:rPr>
        <w:t xml:space="preserve"> 6.1.</w:t>
      </w:r>
      <w:r w:rsidR="00D14E49" w:rsidRPr="00465F3D">
        <w:rPr>
          <w:bCs/>
        </w:rPr>
        <w:t>5</w:t>
      </w:r>
      <w:r w:rsidR="00C1606A">
        <w:t xml:space="preserve"> - w</w:t>
      </w:r>
      <w:r w:rsidR="008D0318" w:rsidRPr="00C1606A">
        <w:t>riting</w:t>
      </w:r>
      <w:r w:rsidR="008D0318" w:rsidRPr="008D0318">
        <w:t xml:space="preserve"> a list):</w:t>
      </w:r>
    </w:p>
    <w:p w14:paraId="3A0A025A" w14:textId="59454C06" w:rsidR="008D0318" w:rsidRPr="006C023B" w:rsidRDefault="008D0318" w:rsidP="00A705A5">
      <w:pPr>
        <w:pStyle w:val="DELWPbullet1"/>
        <w:numPr>
          <w:ilvl w:val="0"/>
          <w:numId w:val="44"/>
        </w:numPr>
      </w:pPr>
      <w:r>
        <w:t xml:space="preserve">In </w:t>
      </w:r>
      <w:r w:rsidRPr="006C023B">
        <w:t xml:space="preserve">policy </w:t>
      </w:r>
      <w:r w:rsidR="00326106" w:rsidRPr="006C023B">
        <w:t>–</w:t>
      </w:r>
      <w:r w:rsidRPr="006C023B">
        <w:t xml:space="preserve"> list items are cumulative unless otherwise specified.</w:t>
      </w:r>
    </w:p>
    <w:p w14:paraId="489C72D8" w14:textId="5282792A" w:rsidR="00DC2411" w:rsidRDefault="008D0318" w:rsidP="00A705A5">
      <w:pPr>
        <w:pStyle w:val="DELWPbullet1"/>
        <w:numPr>
          <w:ilvl w:val="0"/>
          <w:numId w:val="44"/>
        </w:numPr>
      </w:pPr>
      <w:r w:rsidRPr="006C023B">
        <w:t xml:space="preserve">In a control </w:t>
      </w:r>
      <w:r w:rsidR="00326106" w:rsidRPr="006C023B">
        <w:t>–</w:t>
      </w:r>
      <w:r w:rsidRPr="008D0318">
        <w:t xml:space="preserve"> identify if list items </w:t>
      </w:r>
      <w:r w:rsidR="00AB2C0B">
        <w:t>are alternative or cumulative in their effect or application.</w:t>
      </w:r>
    </w:p>
    <w:p w14:paraId="489C72D9" w14:textId="7D1DC524" w:rsidR="00DC2411" w:rsidRDefault="00AB2C0B" w:rsidP="00723A0D">
      <w:pPr>
        <w:pStyle w:val="DELWPbullet1"/>
      </w:pPr>
      <w:r>
        <w:t xml:space="preserve">Be drafted in accordance with the plain English drafting advice at </w:t>
      </w:r>
      <w:r w:rsidR="0074503B" w:rsidRPr="006C315A">
        <w:t>Chapter</w:t>
      </w:r>
      <w:r w:rsidR="00467DC8" w:rsidRPr="006C315A">
        <w:t xml:space="preserve"> </w:t>
      </w:r>
      <w:r w:rsidR="007E3F82" w:rsidRPr="006C315A">
        <w:t>6.1</w:t>
      </w:r>
      <w:r>
        <w:t>.</w:t>
      </w:r>
    </w:p>
    <w:p w14:paraId="489C72DA" w14:textId="77777777" w:rsidR="00DC2411" w:rsidRDefault="00AB2C0B" w:rsidP="00723A0D">
      <w:pPr>
        <w:pStyle w:val="DELWPbullet1"/>
      </w:pPr>
      <w:r>
        <w:t>Avoid using terms that need definition in a local provision for their operation to be clear.</w:t>
      </w:r>
    </w:p>
    <w:p w14:paraId="489C72DB" w14:textId="77777777" w:rsidR="00DA5AF6" w:rsidRDefault="00AB2C0B" w:rsidP="00723A0D">
      <w:pPr>
        <w:pStyle w:val="DELWPbullet1"/>
      </w:pPr>
      <w:r>
        <w:t>Not modify the meaning of a term that is defined in the Act or the VPP.</w:t>
      </w:r>
    </w:p>
    <w:p w14:paraId="489C72DC" w14:textId="0A1B3DE5" w:rsidR="00DC2411" w:rsidRDefault="00AB2C0B" w:rsidP="00723A0D">
      <w:pPr>
        <w:pStyle w:val="DELWPbullet1"/>
      </w:pPr>
      <w:r>
        <w:t xml:space="preserve">Include maps and diagrams that are consistent with the advice at </w:t>
      </w:r>
      <w:r w:rsidR="0074503B" w:rsidRPr="006C315A">
        <w:t>Chapter</w:t>
      </w:r>
      <w:r w:rsidR="00727302" w:rsidRPr="006C315A">
        <w:t xml:space="preserve"> </w:t>
      </w:r>
      <w:r w:rsidR="007E3F82" w:rsidRPr="006C315A">
        <w:t>6.2</w:t>
      </w:r>
      <w:r>
        <w:t>.</w:t>
      </w:r>
    </w:p>
    <w:p w14:paraId="489C72DD" w14:textId="564557A6" w:rsidR="00754143" w:rsidRDefault="00AB2C0B" w:rsidP="002E55BC">
      <w:pPr>
        <w:pStyle w:val="DELWPbodyafterbullets"/>
      </w:pPr>
      <w:r>
        <w:t>For a planning scheme provision to be legally effective it must be sufficiently clear in its meaning and intended effect.</w:t>
      </w:r>
      <w:r w:rsidR="00DA5AF6">
        <w:t xml:space="preserve"> </w:t>
      </w:r>
      <w:r>
        <w:t xml:space="preserve">Use plain English and clear sentence </w:t>
      </w:r>
      <w:r w:rsidRPr="004C2AEB">
        <w:t>structure when</w:t>
      </w:r>
      <w:r>
        <w:t xml:space="preserve"> drafting provisions to achieve clarity and avoid ambiguity.</w:t>
      </w:r>
    </w:p>
    <w:p w14:paraId="2F9BF02F" w14:textId="1DED05A8" w:rsidR="00BE3504" w:rsidRDefault="00EB0AE5" w:rsidP="00D2198E">
      <w:pPr>
        <w:pStyle w:val="Heading1"/>
        <w:rPr>
          <w:rStyle w:val="Heading1Char"/>
          <w:b/>
          <w:bCs/>
        </w:rPr>
      </w:pPr>
      <w:bookmarkStart w:id="115" w:name="_5_Choosing_and"/>
      <w:bookmarkStart w:id="116" w:name="_Toc158706981"/>
      <w:bookmarkStart w:id="117" w:name="_Ref528680030"/>
      <w:bookmarkEnd w:id="115"/>
      <w:r>
        <w:lastRenderedPageBreak/>
        <w:t>5</w:t>
      </w:r>
      <w:r>
        <w:tab/>
      </w:r>
      <w:r w:rsidRPr="00D25F29">
        <w:rPr>
          <w:rStyle w:val="Heading1Char"/>
          <w:b/>
          <w:bCs/>
        </w:rPr>
        <w:t>Choosing and applying provisions</w:t>
      </w:r>
      <w:bookmarkEnd w:id="116"/>
    </w:p>
    <w:p w14:paraId="18DA145B" w14:textId="7DE0226D" w:rsidR="00F423D6" w:rsidRPr="00765A2D" w:rsidRDefault="000D53F8" w:rsidP="00765A2D">
      <w:pPr>
        <w:pStyle w:val="ChapterCaption"/>
      </w:pPr>
      <w:hyperlink w:anchor="_5.1_Applying_a" w:history="1">
        <w:r w:rsidR="00E92B2B" w:rsidRPr="00765A2D">
          <w:rPr>
            <w:rStyle w:val="Hyperlink"/>
            <w:color w:val="00828D" w:themeColor="text2"/>
            <w:u w:val="none"/>
          </w:rPr>
          <w:t>5.1</w:t>
        </w:r>
        <w:r w:rsidR="00E92B2B" w:rsidRPr="00765A2D">
          <w:rPr>
            <w:rStyle w:val="Hyperlink"/>
            <w:color w:val="00828D" w:themeColor="text2"/>
            <w:u w:val="none"/>
          </w:rPr>
          <w:tab/>
        </w:r>
        <w:r w:rsidR="00232418" w:rsidRPr="00765A2D">
          <w:rPr>
            <w:rStyle w:val="Hyperlink"/>
            <w:color w:val="00828D" w:themeColor="text2"/>
            <w:u w:val="none"/>
          </w:rPr>
          <w:t>Applying a zone</w:t>
        </w:r>
      </w:hyperlink>
    </w:p>
    <w:p w14:paraId="2546D138" w14:textId="45DCBA62" w:rsidR="00E40700" w:rsidRPr="00765A2D" w:rsidRDefault="000D53F8" w:rsidP="00765A2D">
      <w:pPr>
        <w:pStyle w:val="ChapterCaption"/>
      </w:pPr>
      <w:hyperlink w:anchor="_5.2_Applying_an" w:history="1">
        <w:r w:rsidR="00E40700" w:rsidRPr="00765A2D">
          <w:rPr>
            <w:rStyle w:val="Hyperlink"/>
            <w:color w:val="00828D" w:themeColor="text2"/>
            <w:u w:val="none"/>
          </w:rPr>
          <w:t>5.2</w:t>
        </w:r>
        <w:r w:rsidR="00E40700" w:rsidRPr="00765A2D">
          <w:rPr>
            <w:rStyle w:val="Hyperlink"/>
            <w:color w:val="00828D" w:themeColor="text2"/>
            <w:u w:val="none"/>
          </w:rPr>
          <w:tab/>
        </w:r>
        <w:r w:rsidR="00767F09" w:rsidRPr="00765A2D">
          <w:rPr>
            <w:rStyle w:val="Hyperlink"/>
            <w:color w:val="00828D" w:themeColor="text2"/>
            <w:u w:val="none"/>
          </w:rPr>
          <w:t>Applying an overlay</w:t>
        </w:r>
      </w:hyperlink>
    </w:p>
    <w:p w14:paraId="2E0C452D" w14:textId="1C81E7A8" w:rsidR="00767F09" w:rsidRPr="00765A2D" w:rsidRDefault="000D53F8" w:rsidP="00765A2D">
      <w:pPr>
        <w:pStyle w:val="ChapterCaption"/>
      </w:pPr>
      <w:hyperlink w:anchor="_5.3_Using_VicSmart" w:history="1">
        <w:r w:rsidR="00767F09" w:rsidRPr="00765A2D">
          <w:rPr>
            <w:rStyle w:val="Hyperlink"/>
            <w:color w:val="00828D" w:themeColor="text2"/>
            <w:u w:val="none"/>
          </w:rPr>
          <w:t xml:space="preserve">5.3 </w:t>
        </w:r>
        <w:r w:rsidR="00767F09" w:rsidRPr="00765A2D">
          <w:rPr>
            <w:rStyle w:val="Hyperlink"/>
            <w:color w:val="00828D" w:themeColor="text2"/>
            <w:u w:val="none"/>
          </w:rPr>
          <w:tab/>
          <w:t xml:space="preserve">Using </w:t>
        </w:r>
        <w:proofErr w:type="spellStart"/>
        <w:r w:rsidR="00767F09" w:rsidRPr="00765A2D">
          <w:rPr>
            <w:rStyle w:val="Hyperlink"/>
            <w:color w:val="00828D" w:themeColor="text2"/>
            <w:u w:val="none"/>
          </w:rPr>
          <w:t>VicSmart</w:t>
        </w:r>
        <w:proofErr w:type="spellEnd"/>
      </w:hyperlink>
    </w:p>
    <w:p w14:paraId="4B584985" w14:textId="2BC05317" w:rsidR="00AE4A51" w:rsidRPr="00765A2D" w:rsidRDefault="000D53F8" w:rsidP="00765A2D">
      <w:pPr>
        <w:pStyle w:val="ChapterCaption"/>
      </w:pPr>
      <w:hyperlink w:anchor="_5.4_Managing_referral" w:history="1">
        <w:r w:rsidR="00AE4A51" w:rsidRPr="00765A2D">
          <w:rPr>
            <w:rStyle w:val="Hyperlink"/>
            <w:color w:val="00828D" w:themeColor="text2"/>
            <w:u w:val="none"/>
          </w:rPr>
          <w:t>5.4</w:t>
        </w:r>
        <w:r w:rsidR="00AE4A51" w:rsidRPr="00765A2D">
          <w:rPr>
            <w:rStyle w:val="Hyperlink"/>
            <w:color w:val="00828D" w:themeColor="text2"/>
            <w:u w:val="none"/>
          </w:rPr>
          <w:tab/>
        </w:r>
        <w:r w:rsidR="004D49B5" w:rsidRPr="00765A2D">
          <w:rPr>
            <w:rStyle w:val="Hyperlink"/>
            <w:color w:val="00828D" w:themeColor="text2"/>
            <w:u w:val="none"/>
          </w:rPr>
          <w:t>Managing referral and notice requirements</w:t>
        </w:r>
      </w:hyperlink>
    </w:p>
    <w:p w14:paraId="69EFE36D" w14:textId="325B4CC3" w:rsidR="004D49B5" w:rsidRPr="00765A2D" w:rsidRDefault="000D53F8" w:rsidP="00765A2D">
      <w:pPr>
        <w:pStyle w:val="ChapterCaption"/>
      </w:pPr>
      <w:hyperlink w:anchor="_5.5_Creating_a" w:history="1">
        <w:r w:rsidR="004D49B5" w:rsidRPr="00765A2D">
          <w:rPr>
            <w:rStyle w:val="Hyperlink"/>
            <w:color w:val="00828D" w:themeColor="text2"/>
            <w:u w:val="none"/>
          </w:rPr>
          <w:t>5.5</w:t>
        </w:r>
        <w:r w:rsidR="004D49B5" w:rsidRPr="00765A2D">
          <w:rPr>
            <w:rStyle w:val="Hyperlink"/>
            <w:color w:val="00828D" w:themeColor="text2"/>
            <w:u w:val="none"/>
          </w:rPr>
          <w:tab/>
          <w:t>Creating a schedule to a general or administrative provision</w:t>
        </w:r>
      </w:hyperlink>
    </w:p>
    <w:p w14:paraId="017EC3D9" w14:textId="02E8980F" w:rsidR="00EC4017" w:rsidRPr="00765A2D" w:rsidRDefault="000D53F8" w:rsidP="00765A2D">
      <w:pPr>
        <w:pStyle w:val="ChapterCaption"/>
      </w:pPr>
      <w:hyperlink w:anchor="_5.6_Considering_a" w:history="1">
        <w:r w:rsidR="00EC4017" w:rsidRPr="00765A2D">
          <w:rPr>
            <w:rStyle w:val="Hyperlink"/>
            <w:color w:val="00828D" w:themeColor="text2"/>
            <w:u w:val="none"/>
          </w:rPr>
          <w:t>5.6</w:t>
        </w:r>
        <w:r w:rsidR="00EC4017" w:rsidRPr="00765A2D">
          <w:rPr>
            <w:rStyle w:val="Hyperlink"/>
            <w:color w:val="00828D" w:themeColor="text2"/>
            <w:u w:val="none"/>
          </w:rPr>
          <w:tab/>
          <w:t xml:space="preserve">Considering a </w:t>
        </w:r>
        <w:proofErr w:type="gramStart"/>
        <w:r w:rsidR="00EC4017" w:rsidRPr="00765A2D">
          <w:rPr>
            <w:rStyle w:val="Hyperlink"/>
            <w:color w:val="00828D" w:themeColor="text2"/>
            <w:u w:val="none"/>
          </w:rPr>
          <w:t>site specific</w:t>
        </w:r>
        <w:proofErr w:type="gramEnd"/>
        <w:r w:rsidR="00EC4017" w:rsidRPr="00765A2D">
          <w:rPr>
            <w:rStyle w:val="Hyperlink"/>
            <w:color w:val="00828D" w:themeColor="text2"/>
            <w:u w:val="none"/>
          </w:rPr>
          <w:t xml:space="preserve"> provision</w:t>
        </w:r>
      </w:hyperlink>
    </w:p>
    <w:p w14:paraId="22FC53C2" w14:textId="4E58A66A" w:rsidR="00EC4017" w:rsidRPr="00765A2D" w:rsidRDefault="000D53F8" w:rsidP="00765A2D">
      <w:pPr>
        <w:pStyle w:val="ChapterCaption"/>
      </w:pPr>
      <w:hyperlink w:anchor="_5.7_Considering_mandatory" w:history="1">
        <w:r w:rsidR="00EC4017" w:rsidRPr="00765A2D">
          <w:rPr>
            <w:rStyle w:val="Hyperlink"/>
            <w:color w:val="00828D" w:themeColor="text2"/>
            <w:u w:val="none"/>
          </w:rPr>
          <w:t>5.7</w:t>
        </w:r>
        <w:r w:rsidR="00EC4017" w:rsidRPr="00765A2D">
          <w:rPr>
            <w:rStyle w:val="Hyperlink"/>
            <w:color w:val="00828D" w:themeColor="text2"/>
            <w:u w:val="none"/>
          </w:rPr>
          <w:tab/>
          <w:t>Considering man</w:t>
        </w:r>
        <w:r w:rsidR="002F6331" w:rsidRPr="00765A2D">
          <w:rPr>
            <w:rStyle w:val="Hyperlink"/>
            <w:color w:val="00828D" w:themeColor="text2"/>
            <w:u w:val="none"/>
          </w:rPr>
          <w:t>datory provisions</w:t>
        </w:r>
      </w:hyperlink>
    </w:p>
    <w:p w14:paraId="489C72E5" w14:textId="79ADBA89" w:rsidR="00DC2411" w:rsidRPr="00D83EBD" w:rsidRDefault="007D2002" w:rsidP="00BA6981">
      <w:pPr>
        <w:pStyle w:val="Heading2"/>
      </w:pPr>
      <w:bookmarkStart w:id="118" w:name="_5.1_Applying_a"/>
      <w:bookmarkStart w:id="119" w:name="_Toc158706982"/>
      <w:bookmarkEnd w:id="118"/>
      <w:r w:rsidRPr="00D83EBD">
        <w:t>5.1</w:t>
      </w:r>
      <w:r w:rsidRPr="00D83EBD">
        <w:tab/>
      </w:r>
      <w:r w:rsidR="00AB2C0B" w:rsidRPr="00D83EBD">
        <w:t>Applying a zone</w:t>
      </w:r>
      <w:bookmarkEnd w:id="117"/>
      <w:bookmarkEnd w:id="119"/>
    </w:p>
    <w:p w14:paraId="489C72E6" w14:textId="77777777" w:rsidR="00754143" w:rsidRDefault="00AB2C0B" w:rsidP="002E55BC">
      <w:pPr>
        <w:pStyle w:val="BodyText1"/>
      </w:pPr>
      <w:r>
        <w:t>The zone is the primary tool for guiding the use and development of land.</w:t>
      </w:r>
      <w:r w:rsidR="00DA5AF6">
        <w:t xml:space="preserve"> </w:t>
      </w:r>
      <w:r>
        <w:t>All land (except Commonwealth land) must be included in a zone.</w:t>
      </w:r>
      <w:r w:rsidR="00DA5AF6">
        <w:t xml:space="preserve"> </w:t>
      </w:r>
      <w:r>
        <w:t>The application of a zone to land needs to carefully consider the outcomes sought for the land expressed in the MPS and local planning policies.</w:t>
      </w:r>
    </w:p>
    <w:p w14:paraId="489C72E7" w14:textId="77777777" w:rsidR="00754143" w:rsidRDefault="00AB2C0B" w:rsidP="002E55BC">
      <w:pPr>
        <w:pStyle w:val="BodyText1"/>
      </w:pPr>
      <w:r>
        <w:t>Before deciding which zone should be applied to land, consider:</w:t>
      </w:r>
    </w:p>
    <w:p w14:paraId="489C72E8" w14:textId="77777777" w:rsidR="00DC2411" w:rsidRDefault="00AB2C0B" w:rsidP="00723A0D">
      <w:pPr>
        <w:pStyle w:val="DELWPbullet1"/>
      </w:pPr>
      <w:r w:rsidRPr="006C315A">
        <w:t>the land</w:t>
      </w:r>
      <w:r>
        <w:t xml:space="preserve">, including any </w:t>
      </w:r>
      <w:proofErr w:type="gramStart"/>
      <w:r>
        <w:t>particular physical</w:t>
      </w:r>
      <w:proofErr w:type="gramEnd"/>
      <w:r>
        <w:t xml:space="preserve"> characteristics, previous uses and the use and development of adjoining land, its ownership and management and the requirements of any other legislation that may apply to the land</w:t>
      </w:r>
    </w:p>
    <w:p w14:paraId="489C72E9" w14:textId="77777777" w:rsidR="00DC2411" w:rsidRDefault="00AB2C0B" w:rsidP="00723A0D">
      <w:pPr>
        <w:pStyle w:val="DELWPbullet1"/>
      </w:pPr>
      <w:r w:rsidRPr="006C315A">
        <w:t>the intended planning outcomes</w:t>
      </w:r>
      <w:r>
        <w:t xml:space="preserve"> for the land set out in the MPS and the PPF, </w:t>
      </w:r>
      <w:proofErr w:type="gramStart"/>
      <w:r>
        <w:t>as a consequence of</w:t>
      </w:r>
      <w:proofErr w:type="gramEnd"/>
      <w:r>
        <w:t xml:space="preserve"> a previous or current land use, or a particular physical characteristic of the land</w:t>
      </w:r>
    </w:p>
    <w:p w14:paraId="489C72EA" w14:textId="77777777" w:rsidR="00DC2411" w:rsidRDefault="00AB2C0B" w:rsidP="00723A0D">
      <w:pPr>
        <w:pStyle w:val="DELWPbullet1"/>
      </w:pPr>
      <w:r w:rsidRPr="006C315A">
        <w:t>the purposes and provisions</w:t>
      </w:r>
      <w:r>
        <w:t xml:space="preserve"> of the zone and the extent of local variation available in a schedule to the zone.</w:t>
      </w:r>
    </w:p>
    <w:p w14:paraId="489C72EB" w14:textId="279A4252" w:rsidR="00754143" w:rsidRPr="00361E71" w:rsidRDefault="00817ADD" w:rsidP="004F6A20">
      <w:pPr>
        <w:pStyle w:val="Heading3"/>
      </w:pPr>
      <w:r>
        <w:t>5.</w:t>
      </w:r>
      <w:r w:rsidR="002C7440">
        <w:t>1.1</w:t>
      </w:r>
      <w:r w:rsidR="002C7440">
        <w:tab/>
      </w:r>
      <w:r w:rsidR="00AB2C0B" w:rsidRPr="00361E71">
        <w:t>Public land</w:t>
      </w:r>
    </w:p>
    <w:p w14:paraId="489C72EC" w14:textId="6C902C13" w:rsidR="00754143" w:rsidRDefault="00AB2C0B" w:rsidP="002E55BC">
      <w:pPr>
        <w:pStyle w:val="BodyText1"/>
      </w:pPr>
      <w:r>
        <w:t xml:space="preserve">The </w:t>
      </w:r>
      <w:r w:rsidRPr="00ED6D42">
        <w:rPr>
          <w:i/>
          <w:iCs/>
        </w:rPr>
        <w:t>Ministerial Direction</w:t>
      </w:r>
      <w:r>
        <w:t xml:space="preserve"> </w:t>
      </w:r>
      <w:r w:rsidR="00ED6D42">
        <w:rPr>
          <w:rStyle w:val="Emphasis"/>
        </w:rPr>
        <w:t xml:space="preserve">- </w:t>
      </w:r>
      <w:r w:rsidRPr="007E64CD">
        <w:rPr>
          <w:rStyle w:val="Emphasis"/>
        </w:rPr>
        <w:t>The Form and Content of Planning Schemes</w:t>
      </w:r>
      <w:r>
        <w:t xml:space="preserve"> specifies that a planning scheme may only include land in a public land zone if the land is Crown land or is owned, vested in or controlled by a Minister, government department, public authority or a municipal council.</w:t>
      </w:r>
    </w:p>
    <w:p w14:paraId="489C72ED" w14:textId="77777777" w:rsidR="00754143" w:rsidRDefault="00AB2C0B" w:rsidP="002E55BC">
      <w:pPr>
        <w:pStyle w:val="BodyText1"/>
      </w:pPr>
      <w:r>
        <w:t>Public land zones are not intended to identify the legal status of the land or indicate the existing land use. They are intended to set out appropriate statutory requirements that apply to the use and development of the land in addition to the relevant land management legislation.</w:t>
      </w:r>
    </w:p>
    <w:p w14:paraId="489C72EE" w14:textId="77777777" w:rsidR="00754143" w:rsidRDefault="00AB2C0B" w:rsidP="002E55BC">
      <w:pPr>
        <w:pStyle w:val="BodyText1"/>
      </w:pPr>
      <w:r>
        <w:t>Land should not be automatically included in a public land zone just because it is public land. There will be situations where a public land zone is not the most appropriate zone, such as a road or remnant parcel of public land in a rural area. In such cases the use of other zones and overlays can appropriately recognise the purpose for which the land is reserved.</w:t>
      </w:r>
    </w:p>
    <w:p w14:paraId="489C72EF" w14:textId="77777777" w:rsidR="00754143" w:rsidRDefault="00AB2C0B" w:rsidP="002E55BC">
      <w:pPr>
        <w:pStyle w:val="BodyText1"/>
      </w:pPr>
      <w:r>
        <w:t xml:space="preserve">A public land zone can be applied to public land where the surrounding zoning is inappropriate or where there is a special reason to separately identify the public land for </w:t>
      </w:r>
      <w:r>
        <w:lastRenderedPageBreak/>
        <w:t>planning purposes. This will commonly be where land management arrangements apply under legislation other than the Act.</w:t>
      </w:r>
    </w:p>
    <w:p w14:paraId="489C72F0" w14:textId="2DAB7390" w:rsidR="00754143" w:rsidRDefault="00AB2C0B" w:rsidP="002E55BC">
      <w:pPr>
        <w:pStyle w:val="BodyText1"/>
      </w:pPr>
      <w:r>
        <w:t xml:space="preserve">A useful test in considering if a public land zone is appropriate is to determine if a public land manager </w:t>
      </w:r>
      <w:r w:rsidR="00C05911">
        <w:t xml:space="preserve">or transport manager </w:t>
      </w:r>
      <w:r>
        <w:t>needs some level of flexibility, protection or exemption that is different from the surrounding zone provisions because of the special nature of the public land or asset and its control (in a land use or management sense) under another Act. For this reason, public land zones should be applied in consultation with the relevant public land manager</w:t>
      </w:r>
      <w:r w:rsidR="002B0DA1">
        <w:t xml:space="preserve"> or transport manager</w:t>
      </w:r>
      <w:r>
        <w:t>.</w:t>
      </w:r>
    </w:p>
    <w:p w14:paraId="489C72F1" w14:textId="630367F8" w:rsidR="00754143" w:rsidRDefault="00AB2C0B" w:rsidP="002E55BC">
      <w:pPr>
        <w:pStyle w:val="BodyText1"/>
      </w:pPr>
      <w:r>
        <w:t xml:space="preserve">A public land manager </w:t>
      </w:r>
      <w:r w:rsidR="002B0DA1">
        <w:t xml:space="preserve">or transport manager </w:t>
      </w:r>
      <w:r>
        <w:t xml:space="preserve">should be able to use and develop public land for any purpose under the relevant land management </w:t>
      </w:r>
      <w:r w:rsidR="003D6A6F">
        <w:t xml:space="preserve">or transport </w:t>
      </w:r>
      <w:r>
        <w:t>legislation without the need for a permit.</w:t>
      </w:r>
      <w:r w:rsidR="00DA5AF6">
        <w:t xml:space="preserve"> </w:t>
      </w:r>
      <w:r>
        <w:t>This is achieved by allowing many uses to</w:t>
      </w:r>
      <w:r w:rsidR="00BB793C">
        <w:t xml:space="preserve"> be</w:t>
      </w:r>
      <w:r>
        <w:t xml:space="preserve"> </w:t>
      </w:r>
      <w:r w:rsidR="00BB793C">
        <w:t>categorised under</w:t>
      </w:r>
      <w:r>
        <w:t xml:space="preserve"> Section 1 within a public land zone, subject to the use being conducted </w:t>
      </w:r>
      <w:r w:rsidRPr="007E64CD">
        <w:rPr>
          <w:rStyle w:val="Emphasis"/>
        </w:rPr>
        <w:t xml:space="preserve">by or on behalf of </w:t>
      </w:r>
      <w:r>
        <w:t>the public land manager</w:t>
      </w:r>
      <w:r w:rsidR="003D6A6F">
        <w:t>, transport manager</w:t>
      </w:r>
      <w:r>
        <w:t xml:space="preserve"> or a specified public authority. These words should not be interpreted to allow a public land man</w:t>
      </w:r>
      <w:r w:rsidR="000A05CC">
        <w:t>a</w:t>
      </w:r>
      <w:r>
        <w:t xml:space="preserve">ger </w:t>
      </w:r>
      <w:r w:rsidR="003D38D2">
        <w:t xml:space="preserve">or transport manager </w:t>
      </w:r>
      <w:r>
        <w:t>to have a blanket exemption within the zone to the extent that it could consent to any use or development by another party and have that use or development also automatically exempt from planning control.</w:t>
      </w:r>
    </w:p>
    <w:p w14:paraId="489C72F2" w14:textId="41D98757" w:rsidR="00754143" w:rsidRDefault="00AB2C0B" w:rsidP="002E55BC">
      <w:pPr>
        <w:pStyle w:val="BodyText1"/>
      </w:pPr>
      <w:r>
        <w:t xml:space="preserve">The words </w:t>
      </w:r>
      <w:r w:rsidRPr="007E64CD">
        <w:rPr>
          <w:rStyle w:val="Emphasis"/>
        </w:rPr>
        <w:t>by or on behalf of</w:t>
      </w:r>
      <w:r>
        <w:t xml:space="preserve"> should be interpreted </w:t>
      </w:r>
      <w:proofErr w:type="gramStart"/>
      <w:r>
        <w:t>with regard to</w:t>
      </w:r>
      <w:proofErr w:type="gramEnd"/>
      <w:r>
        <w:t xml:space="preserve"> the particular statutory charter of the public land manager under its governing legislation and indicate that the use or development must be undertaken by the public land manager </w:t>
      </w:r>
      <w:r w:rsidR="003D38D2">
        <w:t xml:space="preserve">or transport manager </w:t>
      </w:r>
      <w:r>
        <w:t>itself or by some other person or entity having a direct representative interest or relationship with the public land manager.</w:t>
      </w:r>
    </w:p>
    <w:p w14:paraId="489C72F3" w14:textId="77777777" w:rsidR="00754143" w:rsidRDefault="00AB2C0B" w:rsidP="002E55BC">
      <w:pPr>
        <w:pStyle w:val="BodyText1"/>
      </w:pPr>
      <w:r>
        <w:t>Land that is not public land must not be included in a public land zone.</w:t>
      </w:r>
      <w:r w:rsidR="00DA5AF6">
        <w:t xml:space="preserve"> </w:t>
      </w:r>
      <w:r>
        <w:t>Many public authorities established under Victorian legislation are government business enterprises that are commercial in nature. Where the public land use is essentially of a commercial or business nature (such as an office or the provision of services) or comprises a community facility, the surrounding zoning will usually be appropriate.</w:t>
      </w:r>
    </w:p>
    <w:p w14:paraId="489C72F4" w14:textId="77777777" w:rsidR="00754143" w:rsidRDefault="00AB2C0B" w:rsidP="002E55BC">
      <w:pPr>
        <w:pStyle w:val="BodyText1"/>
      </w:pPr>
      <w:r>
        <w:t>For example:</w:t>
      </w:r>
    </w:p>
    <w:p w14:paraId="489C72F5" w14:textId="77777777" w:rsidR="00DC2411" w:rsidRDefault="00AB2C0B" w:rsidP="00723A0D">
      <w:pPr>
        <w:pStyle w:val="DELWPbullet1"/>
      </w:pPr>
      <w:r>
        <w:t>Although the public land zone makes provision for its potential application to public land used for the purpose of ‘education’, most schools can be included in the surrounding zone, particularly residential zones.</w:t>
      </w:r>
    </w:p>
    <w:p w14:paraId="489C72F6" w14:textId="14B8862A" w:rsidR="00DC2411" w:rsidRDefault="00AB2C0B" w:rsidP="00723A0D">
      <w:pPr>
        <w:pStyle w:val="DELWPbullet1"/>
      </w:pPr>
      <w:r>
        <w:t>Many work depots or offices for government or local government bodies can be included in a commercial or industrial zone.</w:t>
      </w:r>
    </w:p>
    <w:p w14:paraId="489C72F8" w14:textId="7BE5203C" w:rsidR="00754143" w:rsidRDefault="00AB2C0B" w:rsidP="00723A0D">
      <w:pPr>
        <w:pStyle w:val="DELWPbullet1"/>
      </w:pPr>
      <w:r>
        <w:t>To preserve competitive neutrality, similar private and public land use should be treated in the same manner for zoning purposes where possible.</w:t>
      </w:r>
    </w:p>
    <w:p w14:paraId="2306AAC9" w14:textId="77777777" w:rsidR="001B26FB" w:rsidRDefault="001B26FB">
      <w:pPr>
        <w:suppressAutoHyphens w:val="0"/>
        <w:spacing w:after="0" w:line="240" w:lineRule="auto"/>
        <w:rPr>
          <w:rFonts w:ascii="VIC" w:eastAsia="MS Gothic" w:hAnsi="VIC"/>
          <w:b/>
          <w:bCs/>
          <w:color w:val="00828D"/>
          <w:sz w:val="24"/>
          <w:szCs w:val="24"/>
          <w:lang w:eastAsia="en-US"/>
        </w:rPr>
      </w:pPr>
      <w:r>
        <w:br w:type="page"/>
      </w:r>
    </w:p>
    <w:p w14:paraId="489C72F9" w14:textId="1D355B92" w:rsidR="00754143" w:rsidRPr="00361E71" w:rsidRDefault="00732C6B" w:rsidP="004F6A20">
      <w:pPr>
        <w:pStyle w:val="Heading3"/>
      </w:pPr>
      <w:r>
        <w:lastRenderedPageBreak/>
        <w:t>5.1.2</w:t>
      </w:r>
      <w:r>
        <w:tab/>
      </w:r>
      <w:r w:rsidR="00AB2C0B" w:rsidRPr="00361E71">
        <w:t>Special purpose zones</w:t>
      </w:r>
    </w:p>
    <w:p w14:paraId="489C72FA" w14:textId="77777777" w:rsidR="00754143" w:rsidRDefault="00AB2C0B" w:rsidP="002E55BC">
      <w:pPr>
        <w:pStyle w:val="BodyText1"/>
      </w:pPr>
      <w:r>
        <w:t>Where the strategic intent of a site is unknown or the application of a combination of zones, overlays and local polices is not able to achieve the desired planning outcomes, a special purpose zone may be used. These zones include the Special Use Zone, the Comprehensive Development Zone, the Urban Growth Zone and the Activity Centre Zone.</w:t>
      </w:r>
    </w:p>
    <w:p w14:paraId="489C72FB" w14:textId="77777777" w:rsidR="00754143" w:rsidRDefault="00AB2C0B" w:rsidP="002E55BC">
      <w:pPr>
        <w:pStyle w:val="BodyText1"/>
      </w:pPr>
      <w:r>
        <w:t>Maintaining consistency of planning controls across Victoria is a VPP principle. Using a special purpose zone is therefore discouraged unless there is clearly no suitable alternative.</w:t>
      </w:r>
    </w:p>
    <w:p w14:paraId="489C72FC" w14:textId="2CAE5B31" w:rsidR="00754143" w:rsidRDefault="00AB2C0B" w:rsidP="002E55BC">
      <w:pPr>
        <w:pStyle w:val="BodyText1"/>
      </w:pPr>
      <w:r>
        <w:t xml:space="preserve">See </w:t>
      </w:r>
      <w:r w:rsidRPr="006C315A">
        <w:rPr>
          <w:i/>
          <w:iCs/>
        </w:rPr>
        <w:t>PPN 03</w:t>
      </w:r>
      <w:r w:rsidR="001816F2" w:rsidRPr="00465F3D">
        <w:rPr>
          <w:rStyle w:val="Strong"/>
          <w:b/>
          <w:bCs/>
          <w:i/>
          <w:iCs/>
        </w:rPr>
        <w:t xml:space="preserve"> </w:t>
      </w:r>
      <w:proofErr w:type="gramStart"/>
      <w:r w:rsidR="001816F2" w:rsidRPr="00465F3D">
        <w:rPr>
          <w:rStyle w:val="Strong"/>
          <w:b/>
          <w:bCs/>
          <w:i/>
          <w:iCs/>
        </w:rPr>
        <w:t>-</w:t>
      </w:r>
      <w:r w:rsidR="001816F2" w:rsidRPr="001816F2">
        <w:rPr>
          <w:rStyle w:val="Strong"/>
          <w:i/>
          <w:iCs/>
        </w:rPr>
        <w:t xml:space="preserve"> </w:t>
      </w:r>
      <w:r w:rsidRPr="001816F2">
        <w:rPr>
          <w:i/>
          <w:iCs/>
        </w:rPr>
        <w:t xml:space="preserve"> </w:t>
      </w:r>
      <w:r w:rsidRPr="001816F2">
        <w:rPr>
          <w:rStyle w:val="Emphasis"/>
        </w:rPr>
        <w:t>Applying</w:t>
      </w:r>
      <w:proofErr w:type="gramEnd"/>
      <w:r w:rsidRPr="001816F2">
        <w:rPr>
          <w:rStyle w:val="Emphasis"/>
        </w:rPr>
        <w:t xml:space="preserve"> </w:t>
      </w:r>
      <w:r w:rsidRPr="007E64CD">
        <w:rPr>
          <w:rStyle w:val="Emphasis"/>
        </w:rPr>
        <w:t>the Special Use Zone</w:t>
      </w:r>
      <w:r>
        <w:t xml:space="preserve"> for more information on the Special Use Zone.</w:t>
      </w:r>
    </w:p>
    <w:p w14:paraId="489C72FD" w14:textId="65330721" w:rsidR="00754143" w:rsidRDefault="00AB2C0B" w:rsidP="002E55BC">
      <w:pPr>
        <w:pStyle w:val="BodyText1"/>
      </w:pPr>
      <w:r>
        <w:t xml:space="preserve">See </w:t>
      </w:r>
      <w:r w:rsidR="0074503B" w:rsidRPr="006C315A">
        <w:t>Chapter</w:t>
      </w:r>
      <w:r w:rsidRPr="006C315A">
        <w:t xml:space="preserve"> </w:t>
      </w:r>
      <w:r w:rsidR="007E3F82" w:rsidRPr="006C315A">
        <w:t>5.6</w:t>
      </w:r>
      <w:r w:rsidRPr="00465F3D">
        <w:rPr>
          <w:b/>
          <w:bCs/>
        </w:rPr>
        <w:t xml:space="preserve"> </w:t>
      </w:r>
      <w:r w:rsidRPr="00465F3D">
        <w:t>for</w:t>
      </w:r>
      <w:r>
        <w:t xml:space="preserve"> information about dealing with site specific matters.</w:t>
      </w:r>
    </w:p>
    <w:p w14:paraId="489C72FE" w14:textId="4B8512CF" w:rsidR="00754143" w:rsidRPr="00361E71" w:rsidRDefault="00732C6B" w:rsidP="004F6A20">
      <w:pPr>
        <w:pStyle w:val="Heading3"/>
      </w:pPr>
      <w:r>
        <w:t>5.1.3</w:t>
      </w:r>
      <w:r>
        <w:tab/>
      </w:r>
      <w:r w:rsidR="00AB2C0B" w:rsidRPr="00361E71">
        <w:t>Utility service providers</w:t>
      </w:r>
    </w:p>
    <w:p w14:paraId="489C72FF" w14:textId="77777777" w:rsidR="00754143" w:rsidRDefault="00AB2C0B" w:rsidP="002E55BC">
      <w:pPr>
        <w:pStyle w:val="BodyText1"/>
      </w:pPr>
      <w:r>
        <w:t>Land that is owned by or vested in a utility service provider is usually not public land and should not be included in a public land zone. A utility service provider is defined in the planning scheme.</w:t>
      </w:r>
    </w:p>
    <w:p w14:paraId="489C7300" w14:textId="77777777" w:rsidR="00CB429B" w:rsidRDefault="00AB2C0B" w:rsidP="002E55BC">
      <w:pPr>
        <w:pStyle w:val="BodyText1"/>
      </w:pPr>
      <w:r>
        <w:t>The public land zones are not intended to provide for privatised or semi-privatised bodies that carry out a function of a broadly public nature. Examples include telecommunications carriers such as Telstra and electricity distribution companies. The land used by such bodies should not be included in a public land zone.</w:t>
      </w:r>
    </w:p>
    <w:p w14:paraId="489C7302" w14:textId="3E34344A" w:rsidR="00754143" w:rsidRPr="00361E71" w:rsidRDefault="00732C6B" w:rsidP="004F6A20">
      <w:pPr>
        <w:pStyle w:val="Heading3"/>
      </w:pPr>
      <w:r>
        <w:t>5.1.4</w:t>
      </w:r>
      <w:r>
        <w:tab/>
      </w:r>
      <w:r w:rsidR="00AB2C0B" w:rsidRPr="00361E71">
        <w:t>Commonwealth land</w:t>
      </w:r>
    </w:p>
    <w:p w14:paraId="489C7303" w14:textId="7EE897DD" w:rsidR="00754143" w:rsidRDefault="00D539BD" w:rsidP="002E55BC">
      <w:pPr>
        <w:pStyle w:val="BodyText1"/>
      </w:pPr>
      <w:r>
        <w:t xml:space="preserve">Victoria’s planning schemes do not apply to </w:t>
      </w:r>
      <w:r w:rsidR="00AB2C0B">
        <w:t xml:space="preserve">Commonwealth land where the land is owned by the </w:t>
      </w:r>
      <w:proofErr w:type="gramStart"/>
      <w:r w:rsidR="00AB2C0B">
        <w:t>Commonwealth</w:t>
      </w:r>
      <w:proofErr w:type="gramEnd"/>
      <w:r w:rsidR="00AB2C0B">
        <w:t xml:space="preserve"> or the use is carried on by a Commonwealth government agency </w:t>
      </w:r>
      <w:r w:rsidR="00AB2C0B" w:rsidRPr="007E64CD">
        <w:rPr>
          <w:rStyle w:val="Emphasis"/>
        </w:rPr>
        <w:t>within the shield of the Crown</w:t>
      </w:r>
      <w:r w:rsidR="00AB2C0B">
        <w:t xml:space="preserve">. This immunity applies to Commonwealth government departments, defence facilities and several public authorities established under Commonwealth </w:t>
      </w:r>
      <w:proofErr w:type="gramStart"/>
      <w:r w:rsidR="00AB2C0B">
        <w:t>legislation, but</w:t>
      </w:r>
      <w:proofErr w:type="gramEnd"/>
      <w:r w:rsidR="00AB2C0B">
        <w:t xml:space="preserve"> does not apply to government business enterprises such as Telstra.</w:t>
      </w:r>
    </w:p>
    <w:p w14:paraId="489C7304" w14:textId="77777777" w:rsidR="00754143" w:rsidRDefault="00AB2C0B" w:rsidP="002E55BC">
      <w:pPr>
        <w:pStyle w:val="BodyText1"/>
      </w:pPr>
      <w:r>
        <w:t>Commonwealth land is not included in any zone or overlay in a planning scheme. It is recognised by the designation “CA” on the planning scheme map.</w:t>
      </w:r>
    </w:p>
    <w:p w14:paraId="489C7305" w14:textId="779E5E99" w:rsidR="00754143" w:rsidRPr="00361E71" w:rsidRDefault="00732C6B" w:rsidP="004F6A20">
      <w:pPr>
        <w:pStyle w:val="Heading3"/>
      </w:pPr>
      <w:r>
        <w:t>5.1.5</w:t>
      </w:r>
      <w:r>
        <w:tab/>
      </w:r>
      <w:r w:rsidR="00AB2C0B" w:rsidRPr="00361E71">
        <w:t>Flood protection</w:t>
      </w:r>
    </w:p>
    <w:p w14:paraId="489C7306" w14:textId="77777777" w:rsidR="00754143" w:rsidRDefault="00AB2C0B" w:rsidP="002E55BC">
      <w:pPr>
        <w:pStyle w:val="BodyText1"/>
      </w:pPr>
      <w:r>
        <w:t>The planning authority can choose from a range of tools to identify flood affected land in the planning scheme. There are four types of flood provisions available; the Urban Floodway Zone, the Floodway Overlay, the Land Subject to Inundation Overlay and the Special Building Overlay. These reflect the type of flooding and the potential level of risk to life and property. The level of planning control in each provision reflects the potential flood risk.</w:t>
      </w:r>
    </w:p>
    <w:p w14:paraId="489C7307" w14:textId="77777777" w:rsidR="00754143" w:rsidRDefault="00AB2C0B" w:rsidP="002E55BC">
      <w:pPr>
        <w:pStyle w:val="BodyText1"/>
      </w:pPr>
      <w:r>
        <w:t>The Urban Floodway Zone is a restrictive zone that prohibits most uses and development. It is designed to be applied to urban environments where there is a high potential flood risk and only low intensity uses and development (such as recreation) are suitable.</w:t>
      </w:r>
    </w:p>
    <w:p w14:paraId="489C7308" w14:textId="71A5624A" w:rsidR="00754143" w:rsidRDefault="00AB2C0B" w:rsidP="002E55BC">
      <w:pPr>
        <w:pStyle w:val="BodyText1"/>
      </w:pPr>
      <w:r>
        <w:t xml:space="preserve">See </w:t>
      </w:r>
      <w:r w:rsidR="0074503B" w:rsidRPr="006C315A">
        <w:t>Chapter</w:t>
      </w:r>
      <w:r w:rsidRPr="006C315A">
        <w:t xml:space="preserve"> </w:t>
      </w:r>
      <w:r w:rsidR="007E3F82" w:rsidRPr="006C315A">
        <w:t>5.2.4</w:t>
      </w:r>
      <w:r>
        <w:t xml:space="preserve"> for information on overlays for flood protection.</w:t>
      </w:r>
    </w:p>
    <w:p w14:paraId="489C7309" w14:textId="1F57D8FC" w:rsidR="00754143" w:rsidRDefault="00AB2C0B" w:rsidP="002E55BC">
      <w:pPr>
        <w:pStyle w:val="BodyText1"/>
      </w:pPr>
      <w:r>
        <w:t xml:space="preserve">See </w:t>
      </w:r>
      <w:r w:rsidRPr="006C315A">
        <w:rPr>
          <w:i/>
          <w:iCs/>
        </w:rPr>
        <w:t>PPN 12</w:t>
      </w:r>
      <w:r>
        <w:t xml:space="preserve"> </w:t>
      </w:r>
      <w:r w:rsidR="001816F2">
        <w:t xml:space="preserve">- </w:t>
      </w:r>
      <w:r w:rsidRPr="007E64CD">
        <w:rPr>
          <w:rStyle w:val="Emphasis"/>
        </w:rPr>
        <w:t>Applying the Flood Provisions in Planning Schemes</w:t>
      </w:r>
      <w:r>
        <w:t xml:space="preserve"> for more information.</w:t>
      </w:r>
    </w:p>
    <w:p w14:paraId="489C730A" w14:textId="5464A137" w:rsidR="00754143" w:rsidRPr="00361E71" w:rsidRDefault="00732C6B" w:rsidP="004F6A20">
      <w:pPr>
        <w:pStyle w:val="Heading3"/>
      </w:pPr>
      <w:r>
        <w:lastRenderedPageBreak/>
        <w:t>5.1.6</w:t>
      </w:r>
      <w:r>
        <w:tab/>
      </w:r>
      <w:r w:rsidR="00AB2C0B" w:rsidRPr="00361E71">
        <w:t>Rural land</w:t>
      </w:r>
    </w:p>
    <w:p w14:paraId="489C730B" w14:textId="77777777" w:rsidR="00DA5AF6" w:rsidRDefault="00AB2C0B" w:rsidP="002E55BC">
      <w:pPr>
        <w:pStyle w:val="BodyText1"/>
      </w:pPr>
      <w:r>
        <w:t>The Farming Zone, Rural Activity Zone, Green Wedge Zone and Green Wedge A Zone should be used where the planning outcomes sought for the land are primarily farming activities.</w:t>
      </w:r>
    </w:p>
    <w:p w14:paraId="489C730C" w14:textId="77777777" w:rsidR="00754143" w:rsidRDefault="00AB2C0B" w:rsidP="002E55BC">
      <w:pPr>
        <w:pStyle w:val="BodyText1"/>
      </w:pPr>
      <w:r>
        <w:t>The Rural Conservation Zone and Rural Living Zone should be used where farming is subordinate to other land uses or the environmental values of the land.</w:t>
      </w:r>
    </w:p>
    <w:p w14:paraId="489C730D" w14:textId="77777777" w:rsidR="00754143" w:rsidRDefault="00AB2C0B" w:rsidP="002E55BC">
      <w:pPr>
        <w:pStyle w:val="BodyText1"/>
      </w:pPr>
      <w:r>
        <w:t>In determining the most appropriate zone to apply to rural land, the planning authority must consider the degree to which it is acceptable for the land to be used for non-farming activities.</w:t>
      </w:r>
    </w:p>
    <w:p w14:paraId="489C730E" w14:textId="183E4DB3" w:rsidR="00754143" w:rsidRDefault="00AB2C0B" w:rsidP="002E55BC">
      <w:pPr>
        <w:pStyle w:val="BodyText1"/>
      </w:pPr>
      <w:r>
        <w:t xml:space="preserve">See </w:t>
      </w:r>
      <w:r w:rsidRPr="007555FD">
        <w:rPr>
          <w:rStyle w:val="Emphasis"/>
        </w:rPr>
        <w:t xml:space="preserve">PPN 42 </w:t>
      </w:r>
      <w:r w:rsidR="001816F2" w:rsidRPr="007555FD">
        <w:rPr>
          <w:rStyle w:val="Emphasis"/>
        </w:rPr>
        <w:t>-</w:t>
      </w:r>
      <w:r w:rsidR="001816F2">
        <w:rPr>
          <w:rStyle w:val="Emphasis"/>
        </w:rPr>
        <w:t xml:space="preserve"> </w:t>
      </w:r>
      <w:r w:rsidRPr="007E64CD">
        <w:rPr>
          <w:rStyle w:val="Emphasis"/>
        </w:rPr>
        <w:t>Applying the Rural Zones</w:t>
      </w:r>
      <w:r>
        <w:t xml:space="preserve"> for more information.</w:t>
      </w:r>
    </w:p>
    <w:p w14:paraId="5F3DA696" w14:textId="1783D5E1" w:rsidR="00AF5177" w:rsidRDefault="00732C6B" w:rsidP="004F6A20">
      <w:pPr>
        <w:pStyle w:val="Heading3"/>
      </w:pPr>
      <w:r>
        <w:t>5.1.7</w:t>
      </w:r>
      <w:r>
        <w:tab/>
      </w:r>
      <w:r w:rsidR="0029300D">
        <w:t>Transport Zone</w:t>
      </w:r>
    </w:p>
    <w:p w14:paraId="4FC7249D" w14:textId="2735945F" w:rsidR="00B10037" w:rsidRDefault="0029300D" w:rsidP="002E55BC">
      <w:pPr>
        <w:pStyle w:val="BodyText1"/>
        <w:rPr>
          <w:rStyle w:val="Strong"/>
          <w:b/>
          <w:bCs/>
        </w:rPr>
      </w:pPr>
      <w:r w:rsidRPr="0029300D">
        <w:rPr>
          <w:rStyle w:val="Strong"/>
        </w:rPr>
        <w:t>The Transport Zone</w:t>
      </w:r>
      <w:r w:rsidR="00B10037" w:rsidRPr="0029300D">
        <w:rPr>
          <w:rStyle w:val="Strong"/>
        </w:rPr>
        <w:t xml:space="preserve"> </w:t>
      </w:r>
      <w:r w:rsidR="00B10037">
        <w:rPr>
          <w:rStyle w:val="Strong"/>
        </w:rPr>
        <w:t>identifies</w:t>
      </w:r>
      <w:r w:rsidR="00455838">
        <w:rPr>
          <w:rStyle w:val="Strong"/>
        </w:rPr>
        <w:t xml:space="preserve"> land for</w:t>
      </w:r>
      <w:r w:rsidR="00B10037">
        <w:rPr>
          <w:rStyle w:val="Strong"/>
        </w:rPr>
        <w:t xml:space="preserve"> </w:t>
      </w:r>
      <w:r w:rsidR="00DA15E9">
        <w:rPr>
          <w:rStyle w:val="Strong"/>
        </w:rPr>
        <w:t>Victoria’s</w:t>
      </w:r>
      <w:r w:rsidR="00B10037">
        <w:rPr>
          <w:rStyle w:val="Strong"/>
        </w:rPr>
        <w:t xml:space="preserve"> transport system. State-managed transport infrastructure is designated Transport Zone 1. A road declared under the </w:t>
      </w:r>
      <w:r w:rsidR="00B10037">
        <w:rPr>
          <w:rStyle w:val="Strong"/>
          <w:i/>
          <w:iCs/>
        </w:rPr>
        <w:t xml:space="preserve">Road Management </w:t>
      </w:r>
      <w:r w:rsidR="00B10037" w:rsidRPr="005A3FC4">
        <w:rPr>
          <w:rStyle w:val="Strong"/>
        </w:rPr>
        <w:t>Act</w:t>
      </w:r>
      <w:r w:rsidR="00B10037">
        <w:rPr>
          <w:rStyle w:val="Strong"/>
          <w:i/>
          <w:iCs/>
        </w:rPr>
        <w:t xml:space="preserve"> 2004</w:t>
      </w:r>
      <w:r w:rsidR="00B10037">
        <w:rPr>
          <w:rStyle w:val="Strong"/>
        </w:rPr>
        <w:t xml:space="preserve"> is designated Transport Zone 2 and significant municipal roads are designated Transport Zone 3. Other </w:t>
      </w:r>
      <w:r w:rsidR="00B10037" w:rsidRPr="00FB7BB8">
        <w:rPr>
          <w:rStyle w:val="Strong"/>
        </w:rPr>
        <w:t xml:space="preserve">transport infrastructure </w:t>
      </w:r>
      <w:r w:rsidR="00B10037">
        <w:rPr>
          <w:rStyle w:val="Strong"/>
        </w:rPr>
        <w:t xml:space="preserve">is designated </w:t>
      </w:r>
      <w:r w:rsidR="00B10037" w:rsidRPr="00FB7BB8">
        <w:rPr>
          <w:rStyle w:val="Strong"/>
        </w:rPr>
        <w:t>Transport Zone 4.</w:t>
      </w:r>
      <w:r w:rsidR="0074503B">
        <w:rPr>
          <w:rStyle w:val="Strong"/>
        </w:rPr>
        <w:t xml:space="preserve"> Examples are set out in </w:t>
      </w:r>
      <w:r w:rsidR="0074503B" w:rsidRPr="007555FD">
        <w:rPr>
          <w:rStyle w:val="Strong"/>
        </w:rPr>
        <w:t>Table 2</w:t>
      </w:r>
      <w:r w:rsidR="0074503B">
        <w:rPr>
          <w:rStyle w:val="Strong"/>
        </w:rPr>
        <w:t xml:space="preserve"> below.</w:t>
      </w:r>
    </w:p>
    <w:p w14:paraId="4528E62D" w14:textId="10609D29" w:rsidR="0074503B" w:rsidRPr="001800CB" w:rsidRDefault="0074503B" w:rsidP="005510AA">
      <w:pPr>
        <w:pStyle w:val="Tablecaption"/>
      </w:pPr>
      <w:r w:rsidRPr="001800CB">
        <w:t>Transport Zone designations</w:t>
      </w:r>
    </w:p>
    <w:tbl>
      <w:tblPr>
        <w:tblW w:w="8315" w:type="dxa"/>
        <w:tblBorders>
          <w:top w:val="single" w:sz="6" w:space="0" w:color="00828D"/>
          <w:bottom w:val="single" w:sz="6" w:space="0" w:color="00828D"/>
          <w:insideH w:val="single" w:sz="6" w:space="0" w:color="00828D"/>
          <w:insideV w:val="single" w:sz="6" w:space="0" w:color="00828D"/>
        </w:tblBorders>
        <w:tblCellMar>
          <w:left w:w="0" w:type="dxa"/>
          <w:right w:w="0" w:type="dxa"/>
        </w:tblCellMar>
        <w:tblLook w:val="04A0" w:firstRow="1" w:lastRow="0" w:firstColumn="1" w:lastColumn="0" w:noHBand="0" w:noVBand="1"/>
      </w:tblPr>
      <w:tblGrid>
        <w:gridCol w:w="900"/>
        <w:gridCol w:w="3069"/>
        <w:gridCol w:w="4346"/>
      </w:tblGrid>
      <w:tr w:rsidR="002911C4" w:rsidRPr="00FF7DDA" w14:paraId="6F5FD1FD" w14:textId="77777777" w:rsidTr="002911C4">
        <w:trPr>
          <w:trHeight w:val="397"/>
        </w:trPr>
        <w:tc>
          <w:tcPr>
            <w:tcW w:w="900" w:type="dxa"/>
            <w:shd w:val="clear" w:color="auto" w:fill="00828D"/>
          </w:tcPr>
          <w:p w14:paraId="63DF119B" w14:textId="4595CFBF" w:rsidR="002911C4" w:rsidRPr="00F85646" w:rsidRDefault="002911C4" w:rsidP="00D02070">
            <w:pPr>
              <w:pStyle w:val="Tablecolhead"/>
            </w:pPr>
            <w:r w:rsidRPr="00F85646">
              <w:t>Zone</w:t>
            </w:r>
          </w:p>
        </w:tc>
        <w:tc>
          <w:tcPr>
            <w:tcW w:w="3069" w:type="dxa"/>
            <w:tcBorders>
              <w:right w:val="nil"/>
            </w:tcBorders>
            <w:shd w:val="clear" w:color="auto" w:fill="00828D"/>
          </w:tcPr>
          <w:p w14:paraId="7FB343B1" w14:textId="32206526" w:rsidR="002911C4" w:rsidRPr="00F85646" w:rsidRDefault="002911C4" w:rsidP="00D02070">
            <w:pPr>
              <w:pStyle w:val="Tablecolhead"/>
            </w:pPr>
            <w:r w:rsidRPr="00F85646">
              <w:t>Purpose of Transport Use</w:t>
            </w:r>
          </w:p>
        </w:tc>
        <w:tc>
          <w:tcPr>
            <w:tcW w:w="4346" w:type="dxa"/>
            <w:shd w:val="clear" w:color="auto" w:fill="00828D"/>
          </w:tcPr>
          <w:p w14:paraId="1B38DC15" w14:textId="4DF53BF5" w:rsidR="002911C4" w:rsidRPr="00F85646" w:rsidRDefault="002911C4" w:rsidP="00D02070">
            <w:pPr>
              <w:pStyle w:val="Tablecolhead"/>
            </w:pPr>
            <w:r w:rsidRPr="00D02070">
              <w:t>Example</w:t>
            </w:r>
          </w:p>
        </w:tc>
      </w:tr>
      <w:tr w:rsidR="002911C4" w:rsidRPr="00FF7DDA" w14:paraId="09DA712F" w14:textId="77777777" w:rsidTr="002911C4">
        <w:trPr>
          <w:trHeight w:val="507"/>
        </w:trPr>
        <w:tc>
          <w:tcPr>
            <w:tcW w:w="900" w:type="dxa"/>
            <w:shd w:val="clear" w:color="auto" w:fill="auto"/>
            <w:hideMark/>
          </w:tcPr>
          <w:p w14:paraId="04C513A3" w14:textId="4678270B" w:rsidR="002911C4" w:rsidRPr="00D02070" w:rsidRDefault="002911C4" w:rsidP="00D02070">
            <w:pPr>
              <w:pStyle w:val="Tablebody"/>
            </w:pPr>
            <w:r w:rsidRPr="00D02070">
              <w:t>TRZ1</w:t>
            </w:r>
          </w:p>
        </w:tc>
        <w:tc>
          <w:tcPr>
            <w:tcW w:w="3069" w:type="dxa"/>
            <w:tcBorders>
              <w:right w:val="nil"/>
            </w:tcBorders>
            <w:shd w:val="clear" w:color="auto" w:fill="auto"/>
            <w:hideMark/>
          </w:tcPr>
          <w:p w14:paraId="178F15DB" w14:textId="7EAFF8E0" w:rsidR="002911C4" w:rsidRPr="00D02070" w:rsidRDefault="002911C4" w:rsidP="00D02070">
            <w:pPr>
              <w:pStyle w:val="Tablebody"/>
            </w:pPr>
            <w:r w:rsidRPr="00D02070">
              <w:t>State transport infrastructure</w:t>
            </w:r>
            <w:r w:rsidRPr="00D02070">
              <w:rPr>
                <w:rFonts w:ascii="Times New Roman" w:hAnsi="Times New Roman"/>
              </w:rPr>
              <w:t> </w:t>
            </w:r>
          </w:p>
        </w:tc>
        <w:tc>
          <w:tcPr>
            <w:tcW w:w="4346" w:type="dxa"/>
          </w:tcPr>
          <w:p w14:paraId="67462A87" w14:textId="7B35AD1A" w:rsidR="002911C4" w:rsidRPr="00D02070" w:rsidRDefault="002911C4" w:rsidP="00D02070">
            <w:pPr>
              <w:pStyle w:val="Tablebody"/>
            </w:pPr>
            <w:r w:rsidRPr="00D02070">
              <w:t>railways, railway stations, intermodal freight terminals</w:t>
            </w:r>
          </w:p>
        </w:tc>
      </w:tr>
      <w:tr w:rsidR="002911C4" w:rsidRPr="00FF7DDA" w14:paraId="185175BA" w14:textId="77777777" w:rsidTr="002911C4">
        <w:trPr>
          <w:trHeight w:val="340"/>
        </w:trPr>
        <w:tc>
          <w:tcPr>
            <w:tcW w:w="900" w:type="dxa"/>
            <w:shd w:val="clear" w:color="auto" w:fill="auto"/>
            <w:hideMark/>
          </w:tcPr>
          <w:p w14:paraId="1C34E062" w14:textId="35B224D7" w:rsidR="002911C4" w:rsidRPr="00D02070" w:rsidRDefault="002911C4" w:rsidP="00D02070">
            <w:pPr>
              <w:pStyle w:val="Tablebody"/>
            </w:pPr>
            <w:r w:rsidRPr="00D02070">
              <w:t>TRZ2</w:t>
            </w:r>
          </w:p>
        </w:tc>
        <w:tc>
          <w:tcPr>
            <w:tcW w:w="3069" w:type="dxa"/>
            <w:tcBorders>
              <w:right w:val="nil"/>
            </w:tcBorders>
            <w:shd w:val="clear" w:color="auto" w:fill="auto"/>
            <w:hideMark/>
          </w:tcPr>
          <w:p w14:paraId="3390CDF1" w14:textId="50FA6BE3" w:rsidR="002911C4" w:rsidRPr="00D02070" w:rsidRDefault="002911C4" w:rsidP="00D02070">
            <w:pPr>
              <w:pStyle w:val="Tablebody"/>
            </w:pPr>
            <w:r w:rsidRPr="00D02070">
              <w:t>Principal Road Network</w:t>
            </w:r>
          </w:p>
        </w:tc>
        <w:tc>
          <w:tcPr>
            <w:tcW w:w="4346" w:type="dxa"/>
          </w:tcPr>
          <w:p w14:paraId="5539752F" w14:textId="7E2BC0F1" w:rsidR="002911C4" w:rsidRPr="00D02070" w:rsidRDefault="002911C4" w:rsidP="00D02070">
            <w:pPr>
              <w:pStyle w:val="Tablebody"/>
            </w:pPr>
            <w:r w:rsidRPr="00D02070">
              <w:t>declared arterial roads and freeways</w:t>
            </w:r>
          </w:p>
        </w:tc>
      </w:tr>
      <w:tr w:rsidR="002911C4" w:rsidRPr="00FF7DDA" w14:paraId="539B2B98" w14:textId="77777777" w:rsidTr="002911C4">
        <w:trPr>
          <w:trHeight w:val="258"/>
        </w:trPr>
        <w:tc>
          <w:tcPr>
            <w:tcW w:w="900" w:type="dxa"/>
            <w:shd w:val="clear" w:color="auto" w:fill="auto"/>
            <w:hideMark/>
          </w:tcPr>
          <w:p w14:paraId="081E1865" w14:textId="350FA082" w:rsidR="002911C4" w:rsidRPr="00D02070" w:rsidRDefault="002911C4" w:rsidP="00D02070">
            <w:pPr>
              <w:pStyle w:val="Tablebody"/>
            </w:pPr>
            <w:r w:rsidRPr="00D02070">
              <w:t>TRZ3</w:t>
            </w:r>
          </w:p>
        </w:tc>
        <w:tc>
          <w:tcPr>
            <w:tcW w:w="3069" w:type="dxa"/>
            <w:tcBorders>
              <w:right w:val="nil"/>
            </w:tcBorders>
            <w:shd w:val="clear" w:color="auto" w:fill="auto"/>
            <w:hideMark/>
          </w:tcPr>
          <w:p w14:paraId="059A9A89" w14:textId="2E01C3EC" w:rsidR="002911C4" w:rsidRPr="00D02070" w:rsidRDefault="002911C4" w:rsidP="00D02070">
            <w:pPr>
              <w:pStyle w:val="Tablebody"/>
            </w:pPr>
            <w:r w:rsidRPr="00D02070">
              <w:t>Significant municipal road</w:t>
            </w:r>
          </w:p>
        </w:tc>
        <w:tc>
          <w:tcPr>
            <w:tcW w:w="4346" w:type="dxa"/>
          </w:tcPr>
          <w:p w14:paraId="172723F5" w14:textId="28D8BC47" w:rsidR="002911C4" w:rsidRPr="00D02070" w:rsidRDefault="002911C4" w:rsidP="00D02070">
            <w:pPr>
              <w:pStyle w:val="Tablebody"/>
            </w:pPr>
            <w:r w:rsidRPr="00D02070">
              <w:t xml:space="preserve">higher order local roads </w:t>
            </w:r>
          </w:p>
        </w:tc>
      </w:tr>
      <w:tr w:rsidR="002911C4" w:rsidRPr="00FF7DDA" w14:paraId="4024CAED" w14:textId="77777777" w:rsidTr="002911C4">
        <w:trPr>
          <w:trHeight w:val="258"/>
        </w:trPr>
        <w:tc>
          <w:tcPr>
            <w:tcW w:w="900" w:type="dxa"/>
            <w:shd w:val="clear" w:color="auto" w:fill="auto"/>
            <w:hideMark/>
          </w:tcPr>
          <w:p w14:paraId="02E44BE7" w14:textId="5477C2DB" w:rsidR="002911C4" w:rsidRPr="00D02070" w:rsidRDefault="002911C4" w:rsidP="00D02070">
            <w:pPr>
              <w:pStyle w:val="Tablebody"/>
            </w:pPr>
            <w:r w:rsidRPr="00D02070">
              <w:t>TRZ4</w:t>
            </w:r>
          </w:p>
        </w:tc>
        <w:tc>
          <w:tcPr>
            <w:tcW w:w="3069" w:type="dxa"/>
            <w:tcBorders>
              <w:right w:val="nil"/>
            </w:tcBorders>
            <w:shd w:val="clear" w:color="auto" w:fill="auto"/>
            <w:hideMark/>
          </w:tcPr>
          <w:p w14:paraId="0B407CB1" w14:textId="03363CE4" w:rsidR="002911C4" w:rsidRPr="00D02070" w:rsidRDefault="002911C4" w:rsidP="00D02070">
            <w:pPr>
              <w:pStyle w:val="Tablebody"/>
            </w:pPr>
            <w:r w:rsidRPr="00D02070">
              <w:t>Other transport uses</w:t>
            </w:r>
          </w:p>
        </w:tc>
        <w:tc>
          <w:tcPr>
            <w:tcW w:w="4346" w:type="dxa"/>
          </w:tcPr>
          <w:p w14:paraId="43FC4661" w14:textId="05F355AF" w:rsidR="002911C4" w:rsidRPr="00D02070" w:rsidRDefault="002911C4" w:rsidP="00D02070">
            <w:pPr>
              <w:pStyle w:val="Tablebody"/>
            </w:pPr>
            <w:r w:rsidRPr="00D02070">
              <w:t>municipal aerodromes</w:t>
            </w:r>
          </w:p>
        </w:tc>
      </w:tr>
    </w:tbl>
    <w:p w14:paraId="7C5134BA" w14:textId="60491A74" w:rsidR="000D4739" w:rsidRPr="007E0672" w:rsidRDefault="001761C8" w:rsidP="004F6A20">
      <w:pPr>
        <w:pStyle w:val="Heading3"/>
      </w:pPr>
      <w:bookmarkStart w:id="120" w:name="_Toc418755985"/>
      <w:bookmarkStart w:id="121" w:name="_Toc109660924"/>
      <w:bookmarkStart w:id="122" w:name="_Ref528680036"/>
      <w:bookmarkStart w:id="123" w:name="_Ref528680082"/>
      <w:r>
        <w:t>5</w:t>
      </w:r>
      <w:r w:rsidR="002A3831">
        <w:t>.1.8</w:t>
      </w:r>
      <w:r>
        <w:tab/>
      </w:r>
      <w:r w:rsidR="000D4739" w:rsidRPr="007E0672">
        <w:t>Summary of zones</w:t>
      </w:r>
      <w:bookmarkEnd w:id="120"/>
      <w:bookmarkEnd w:id="121"/>
    </w:p>
    <w:p w14:paraId="5260C3EC" w14:textId="77777777" w:rsidR="000D4739" w:rsidRPr="007E0672" w:rsidRDefault="000D4739" w:rsidP="000D4739">
      <w:pPr>
        <w:pStyle w:val="Paragraph0"/>
      </w:pPr>
      <w:r w:rsidRPr="007E0672">
        <w:t>The following is a short summary of each of the zones.</w:t>
      </w:r>
    </w:p>
    <w:p w14:paraId="6549146A" w14:textId="77777777" w:rsidR="000D4739" w:rsidRPr="006B72E2" w:rsidRDefault="000D4739" w:rsidP="006952A7">
      <w:pPr>
        <w:pStyle w:val="Heading4"/>
      </w:pPr>
      <w:bookmarkStart w:id="124" w:name="_Toc418755986"/>
      <w:bookmarkStart w:id="125" w:name="_Toc109660925"/>
      <w:r w:rsidRPr="006B72E2">
        <w:t>RESIDENTIAL ZONES</w:t>
      </w:r>
      <w:bookmarkEnd w:id="124"/>
      <w:bookmarkEnd w:id="125"/>
    </w:p>
    <w:p w14:paraId="3FA124FD" w14:textId="77777777" w:rsidR="000D4739" w:rsidRPr="00453F4B" w:rsidRDefault="000D4739" w:rsidP="00453F4B">
      <w:pPr>
        <w:pStyle w:val="BodyText10"/>
        <w:suppressAutoHyphens/>
        <w:spacing w:before="120" w:after="0" w:line="288" w:lineRule="auto"/>
        <w:ind w:left="0"/>
        <w:rPr>
          <w:rFonts w:ascii="VIC" w:eastAsia="Times" w:hAnsi="VIC"/>
          <w:lang w:eastAsia="en-US"/>
        </w:rPr>
      </w:pPr>
      <w:r w:rsidRPr="00453F4B">
        <w:rPr>
          <w:rFonts w:ascii="VIC" w:eastAsia="Times" w:hAnsi="VIC"/>
          <w:i/>
          <w:iCs/>
          <w:lang w:eastAsia="en-US"/>
        </w:rPr>
        <w:t>Planning Practice Note 91 – Using the Residential Zones</w:t>
      </w:r>
      <w:r w:rsidRPr="00453F4B">
        <w:rPr>
          <w:rFonts w:ascii="VIC" w:eastAsia="Times" w:hAnsi="VIC"/>
          <w:lang w:eastAsia="en-US"/>
        </w:rPr>
        <w:t xml:space="preserve"> explains the purposes and features of each of the residential zones and how to apply them and their schedules.</w:t>
      </w:r>
    </w:p>
    <w:p w14:paraId="2414C8C4" w14:textId="77777777" w:rsidR="000D4739" w:rsidRPr="007E0672" w:rsidRDefault="000D4739" w:rsidP="006952A7">
      <w:pPr>
        <w:pStyle w:val="Heading4"/>
      </w:pPr>
      <w:bookmarkStart w:id="126" w:name="_Toc418755987"/>
      <w:bookmarkStart w:id="127" w:name="_Toc109660926"/>
      <w:r w:rsidRPr="007E0672">
        <w:t>Low Density Residential Zone (</w:t>
      </w:r>
      <w:r>
        <w:t>c</w:t>
      </w:r>
      <w:r w:rsidRPr="007E0672">
        <w:t xml:space="preserve">lause 32.03 and </w:t>
      </w:r>
      <w:r w:rsidRPr="00A460FE">
        <w:t>schedule</w:t>
      </w:r>
      <w:r w:rsidRPr="007E0672">
        <w:t>)</w:t>
      </w:r>
      <w:bookmarkEnd w:id="126"/>
      <w:bookmarkEnd w:id="127"/>
    </w:p>
    <w:p w14:paraId="4C66CC49" w14:textId="77777777" w:rsidR="000D4739" w:rsidRPr="00453F4B" w:rsidRDefault="000D4739" w:rsidP="00453F4B">
      <w:pPr>
        <w:pStyle w:val="BodyText10"/>
        <w:suppressAutoHyphens/>
        <w:spacing w:before="120" w:after="0" w:line="288" w:lineRule="auto"/>
        <w:ind w:left="0"/>
        <w:rPr>
          <w:rFonts w:ascii="VIC" w:eastAsia="Times" w:hAnsi="VIC"/>
          <w:lang w:eastAsia="en-US"/>
        </w:rPr>
      </w:pPr>
      <w:r w:rsidRPr="00453F4B">
        <w:rPr>
          <w:rFonts w:ascii="VIC" w:eastAsia="Times" w:hAnsi="VIC"/>
          <w:lang w:eastAsia="en-US"/>
        </w:rPr>
        <w:t>This zone is applied to areas on the fringe of urban settlements and townships with reticulated sewerage (0.2 ha minimum) or without reticulated sewerage (0.4 ha minimum) to ensure lots remain large enough to treat and retain all wastewater but are small enough to be maintained without the need for agricultural techniques or equipment.</w:t>
      </w:r>
    </w:p>
    <w:p w14:paraId="1EB7F87E" w14:textId="77777777" w:rsidR="000D4739" w:rsidRPr="007E0672" w:rsidRDefault="000D4739" w:rsidP="006952A7">
      <w:pPr>
        <w:pStyle w:val="Heading4"/>
      </w:pPr>
      <w:bookmarkStart w:id="128" w:name="_Toc418755988"/>
      <w:bookmarkStart w:id="129" w:name="_Toc109660927"/>
      <w:r w:rsidRPr="007E0672">
        <w:t>Mixed Use Zone (</w:t>
      </w:r>
      <w:r>
        <w:t>c</w:t>
      </w:r>
      <w:r w:rsidRPr="007E0672">
        <w:t>lause 32.04 and schedule)</w:t>
      </w:r>
      <w:bookmarkEnd w:id="128"/>
      <w:bookmarkEnd w:id="129"/>
    </w:p>
    <w:p w14:paraId="12C4C9CD" w14:textId="77777777" w:rsidR="000D4739" w:rsidRPr="007E0672" w:rsidRDefault="000D4739" w:rsidP="00453F4B">
      <w:pPr>
        <w:pStyle w:val="BodyText10"/>
        <w:suppressAutoHyphens/>
        <w:spacing w:before="120" w:after="0" w:line="288" w:lineRule="auto"/>
        <w:ind w:left="0"/>
      </w:pPr>
      <w:r w:rsidRPr="00453F4B">
        <w:rPr>
          <w:rFonts w:ascii="VIC" w:eastAsia="Times" w:hAnsi="VIC"/>
          <w:lang w:eastAsia="en-US"/>
        </w:rPr>
        <w:t xml:space="preserve">This zone is applied to areas suitable for a mixed-use function, including a range of residential, commercial, industrial and other uses. It is suitable for areas identified for residential development at increased densities including urban renewal and strategic </w:t>
      </w:r>
      <w:r w:rsidRPr="00453F4B">
        <w:rPr>
          <w:rFonts w:ascii="VIC" w:eastAsia="Times" w:hAnsi="VIC"/>
          <w:lang w:eastAsia="en-US"/>
        </w:rPr>
        <w:lastRenderedPageBreak/>
        <w:t>redevelopment sites. A schedule to the zone may specify a maximum building height and local requirements for specified clause 54 and clause 55 standards.</w:t>
      </w:r>
    </w:p>
    <w:p w14:paraId="227E70A7" w14:textId="77777777" w:rsidR="000D4739" w:rsidRPr="007E0672" w:rsidRDefault="000D4739" w:rsidP="006952A7">
      <w:pPr>
        <w:pStyle w:val="Heading4"/>
      </w:pPr>
      <w:bookmarkStart w:id="130" w:name="_Toc418755989"/>
      <w:bookmarkStart w:id="131" w:name="_Toc109660928"/>
      <w:r w:rsidRPr="007E0672">
        <w:t>Township Zone (</w:t>
      </w:r>
      <w:r>
        <w:t>c</w:t>
      </w:r>
      <w:r w:rsidRPr="007E0672">
        <w:t>lause 32.05 and schedule)</w:t>
      </w:r>
      <w:bookmarkEnd w:id="130"/>
      <w:bookmarkEnd w:id="131"/>
    </w:p>
    <w:p w14:paraId="67B46C77" w14:textId="77777777" w:rsidR="000D4739" w:rsidRPr="00453F4B" w:rsidRDefault="000D4739" w:rsidP="00453F4B">
      <w:pPr>
        <w:pStyle w:val="BodyText10"/>
        <w:suppressAutoHyphens/>
        <w:spacing w:before="120" w:after="0" w:line="288" w:lineRule="auto"/>
        <w:ind w:left="0"/>
        <w:rPr>
          <w:rFonts w:ascii="VIC" w:eastAsia="Times" w:hAnsi="VIC"/>
          <w:lang w:eastAsia="en-US"/>
        </w:rPr>
      </w:pPr>
      <w:r w:rsidRPr="00453F4B">
        <w:rPr>
          <w:rFonts w:ascii="VIC" w:eastAsia="Times" w:hAnsi="VIC"/>
          <w:lang w:eastAsia="en-US"/>
        </w:rPr>
        <w:t>This zone is applied to small towns with no specific structure of residential, commercial and industrial land uses. A schedule to the zone can be used to change the permit requirement for a dwelling, based on lot size. The schedule can also specify a maximum building height for a dwelling or residential building and local requirements for specified clause 54 and clause 55 standards.</w:t>
      </w:r>
    </w:p>
    <w:p w14:paraId="0FB1FB1B" w14:textId="77777777" w:rsidR="000D4739" w:rsidRPr="007E0672" w:rsidRDefault="000D4739" w:rsidP="006952A7">
      <w:pPr>
        <w:pStyle w:val="Heading4"/>
      </w:pPr>
      <w:bookmarkStart w:id="132" w:name="_Toc418755990"/>
      <w:bookmarkStart w:id="133" w:name="_Toc109660929"/>
      <w:r w:rsidRPr="007E0672">
        <w:t>Residential Growth Zone (</w:t>
      </w:r>
      <w:r>
        <w:t>c</w:t>
      </w:r>
      <w:r w:rsidRPr="007E0672">
        <w:t>lause 32.07 and schedule)</w:t>
      </w:r>
      <w:bookmarkEnd w:id="132"/>
      <w:bookmarkEnd w:id="133"/>
    </w:p>
    <w:p w14:paraId="39FB0789" w14:textId="77777777" w:rsidR="000D4739" w:rsidRPr="00453F4B" w:rsidRDefault="000D4739" w:rsidP="00453F4B">
      <w:pPr>
        <w:pStyle w:val="BodyText10"/>
        <w:suppressAutoHyphens/>
        <w:spacing w:before="120" w:after="0" w:line="288" w:lineRule="auto"/>
        <w:ind w:left="0"/>
        <w:rPr>
          <w:rFonts w:ascii="VIC" w:eastAsia="Times" w:hAnsi="VIC"/>
          <w:lang w:eastAsia="en-US"/>
        </w:rPr>
      </w:pPr>
      <w:r w:rsidRPr="00453F4B">
        <w:rPr>
          <w:rFonts w:ascii="VIC" w:eastAsia="Times" w:hAnsi="VIC"/>
          <w:lang w:eastAsia="en-US"/>
        </w:rPr>
        <w:t>This zone is applied to areas suitable for housing diversity and housing at increased densities in locations offering good access to services, jobs and public transport, and to provide a transition between areas of more intensive use and development such as activity centres, and other residential areas.</w:t>
      </w:r>
    </w:p>
    <w:p w14:paraId="6E5CEC9B" w14:textId="77777777" w:rsidR="000D4739" w:rsidRPr="00453F4B" w:rsidRDefault="000D4739" w:rsidP="00453F4B">
      <w:pPr>
        <w:pStyle w:val="BodyText10"/>
        <w:suppressAutoHyphens/>
        <w:spacing w:before="120" w:after="0" w:line="288" w:lineRule="auto"/>
        <w:ind w:left="0"/>
        <w:rPr>
          <w:rFonts w:ascii="VIC" w:eastAsia="Times" w:hAnsi="VIC"/>
          <w:lang w:eastAsia="en-US"/>
        </w:rPr>
      </w:pPr>
      <w:r w:rsidRPr="00453F4B">
        <w:rPr>
          <w:rFonts w:ascii="VIC" w:eastAsia="Times" w:hAnsi="VIC"/>
          <w:lang w:eastAsia="en-US"/>
        </w:rPr>
        <w:t xml:space="preserve">A discretionary maximum building height of 13.5 metres applies to a dwelling or residential building. </w:t>
      </w:r>
      <w:bookmarkStart w:id="134" w:name="_Hlk118712645"/>
      <w:r w:rsidRPr="00453F4B">
        <w:rPr>
          <w:rFonts w:ascii="VIC" w:eastAsia="Times" w:hAnsi="VIC"/>
          <w:lang w:eastAsia="en-US"/>
        </w:rPr>
        <w:t>A schedule to the zone can be used to specify a mandatory maximum building height and local requirements for specified clause 54 and clause 55 standards</w:t>
      </w:r>
      <w:bookmarkEnd w:id="134"/>
      <w:r w:rsidRPr="00453F4B">
        <w:rPr>
          <w:rFonts w:ascii="VIC" w:eastAsia="Times" w:hAnsi="VIC"/>
          <w:lang w:eastAsia="en-US"/>
        </w:rPr>
        <w:t>.</w:t>
      </w:r>
    </w:p>
    <w:p w14:paraId="7DEDEE57" w14:textId="77777777" w:rsidR="000D4739" w:rsidRPr="007E0672" w:rsidRDefault="000D4739" w:rsidP="006952A7">
      <w:pPr>
        <w:pStyle w:val="Heading4"/>
      </w:pPr>
      <w:bookmarkStart w:id="135" w:name="_Toc418755991"/>
      <w:bookmarkStart w:id="136" w:name="_Toc109660930"/>
      <w:r w:rsidRPr="007E0672">
        <w:t>General Residential Zone (</w:t>
      </w:r>
      <w:r>
        <w:t>c</w:t>
      </w:r>
      <w:r w:rsidRPr="007E0672">
        <w:t>lause 32.0</w:t>
      </w:r>
      <w:r>
        <w:t>8</w:t>
      </w:r>
      <w:r w:rsidRPr="007E0672">
        <w:t xml:space="preserve"> and </w:t>
      </w:r>
      <w:r w:rsidRPr="00A460FE">
        <w:t>s</w:t>
      </w:r>
      <w:r w:rsidRPr="00FF24F1">
        <w:t>c</w:t>
      </w:r>
      <w:r w:rsidRPr="00781E38">
        <w:t>hedule</w:t>
      </w:r>
      <w:r w:rsidRPr="007E0672">
        <w:t>)</w:t>
      </w:r>
      <w:bookmarkEnd w:id="135"/>
      <w:bookmarkEnd w:id="136"/>
    </w:p>
    <w:p w14:paraId="2BDD7F82" w14:textId="77777777" w:rsidR="000D4739" w:rsidRPr="00453F4B" w:rsidRDefault="000D4739" w:rsidP="00453F4B">
      <w:pPr>
        <w:pStyle w:val="BodyText10"/>
        <w:suppressAutoHyphens/>
        <w:spacing w:before="120" w:after="0" w:line="288" w:lineRule="auto"/>
        <w:ind w:left="0"/>
        <w:rPr>
          <w:rFonts w:ascii="VIC" w:eastAsia="Times" w:hAnsi="VIC"/>
          <w:lang w:eastAsia="en-US"/>
        </w:rPr>
      </w:pPr>
      <w:r w:rsidRPr="00453F4B">
        <w:rPr>
          <w:rFonts w:ascii="VIC" w:eastAsia="Times" w:hAnsi="VIC"/>
          <w:lang w:eastAsia="en-US"/>
        </w:rPr>
        <w:t>This zone is applied to areas where housing development of three storeys exists or is planned for in locations offering good access to services and transport.</w:t>
      </w:r>
    </w:p>
    <w:p w14:paraId="6B717A76" w14:textId="77777777" w:rsidR="000D4739" w:rsidRPr="00453F4B" w:rsidRDefault="000D4739" w:rsidP="00453F4B">
      <w:pPr>
        <w:pStyle w:val="BodyText10"/>
        <w:suppressAutoHyphens/>
        <w:spacing w:before="120" w:after="0" w:line="288" w:lineRule="auto"/>
        <w:ind w:left="0"/>
        <w:rPr>
          <w:rFonts w:ascii="VIC" w:eastAsia="Times" w:hAnsi="VIC"/>
          <w:lang w:eastAsia="en-US"/>
        </w:rPr>
      </w:pPr>
      <w:r w:rsidRPr="00453F4B">
        <w:rPr>
          <w:rFonts w:ascii="VIC" w:eastAsia="Times" w:hAnsi="VIC"/>
          <w:lang w:eastAsia="en-US"/>
        </w:rPr>
        <w:t>A mandatory maximum building height of 11 metres and three storeys applies to a dwelling or residential building. A schedule to the zone can be used to:</w:t>
      </w:r>
    </w:p>
    <w:p w14:paraId="7B73F1B5" w14:textId="77777777" w:rsidR="000D4739" w:rsidRDefault="000D4739" w:rsidP="00A705A5">
      <w:pPr>
        <w:pStyle w:val="Paragraph0"/>
        <w:numPr>
          <w:ilvl w:val="0"/>
          <w:numId w:val="40"/>
        </w:numPr>
      </w:pPr>
      <w:r w:rsidRPr="00707395">
        <w:t xml:space="preserve">change the permit requirement for a dwelling </w:t>
      </w:r>
      <w:r>
        <w:t>(</w:t>
      </w:r>
      <w:r w:rsidRPr="00707395">
        <w:t>based on lot size</w:t>
      </w:r>
      <w:r>
        <w:t>)</w:t>
      </w:r>
    </w:p>
    <w:p w14:paraId="2A0C9BE0" w14:textId="77777777" w:rsidR="000D4739" w:rsidRDefault="000D4739" w:rsidP="00A705A5">
      <w:pPr>
        <w:pStyle w:val="Paragraph0"/>
        <w:numPr>
          <w:ilvl w:val="0"/>
          <w:numId w:val="40"/>
        </w:numPr>
      </w:pPr>
      <w:r w:rsidRPr="00C457D9">
        <w:t xml:space="preserve">specify a </w:t>
      </w:r>
      <w:r>
        <w:t xml:space="preserve">higher </w:t>
      </w:r>
      <w:r w:rsidRPr="00C457D9">
        <w:t xml:space="preserve">mandatory maximum building height </w:t>
      </w:r>
    </w:p>
    <w:p w14:paraId="40C4A23D" w14:textId="77777777" w:rsidR="000D4739" w:rsidRPr="007E0672" w:rsidRDefault="000D4739" w:rsidP="00A705A5">
      <w:pPr>
        <w:pStyle w:val="Paragraph0"/>
        <w:numPr>
          <w:ilvl w:val="0"/>
          <w:numId w:val="40"/>
        </w:numPr>
      </w:pPr>
      <w:r>
        <w:t xml:space="preserve">set </w:t>
      </w:r>
      <w:r w:rsidRPr="00C457D9">
        <w:t>local requirements for specified clause 54 and clause 55 standards</w:t>
      </w:r>
      <w:r w:rsidRPr="007E0672">
        <w:t>.</w:t>
      </w:r>
    </w:p>
    <w:p w14:paraId="5290CB09" w14:textId="77777777" w:rsidR="000D4739" w:rsidRPr="007E0672" w:rsidRDefault="000D4739" w:rsidP="006952A7">
      <w:pPr>
        <w:pStyle w:val="Heading4"/>
      </w:pPr>
      <w:bookmarkStart w:id="137" w:name="_Toc418755992"/>
      <w:bookmarkStart w:id="138" w:name="_Toc109660931"/>
      <w:r w:rsidRPr="007E0672">
        <w:t>Neighbourhood Residential Zone (</w:t>
      </w:r>
      <w:r>
        <w:t>c</w:t>
      </w:r>
      <w:r w:rsidRPr="007E0672">
        <w:t>lause 32.0</w:t>
      </w:r>
      <w:r>
        <w:t>9</w:t>
      </w:r>
      <w:r w:rsidRPr="007E0672">
        <w:t xml:space="preserve"> and schedule)</w:t>
      </w:r>
      <w:bookmarkEnd w:id="137"/>
      <w:bookmarkEnd w:id="138"/>
    </w:p>
    <w:p w14:paraId="17CA000C" w14:textId="77777777" w:rsidR="000D4739" w:rsidRPr="00453F4B" w:rsidRDefault="000D4739" w:rsidP="00453F4B">
      <w:pPr>
        <w:pStyle w:val="BodyText10"/>
        <w:suppressAutoHyphens/>
        <w:spacing w:before="120" w:after="0" w:line="288" w:lineRule="auto"/>
        <w:ind w:left="0"/>
        <w:rPr>
          <w:rFonts w:ascii="VIC" w:eastAsia="Times" w:hAnsi="VIC"/>
          <w:lang w:eastAsia="en-US"/>
        </w:rPr>
      </w:pPr>
      <w:r w:rsidRPr="00453F4B">
        <w:rPr>
          <w:rFonts w:ascii="VIC" w:eastAsia="Times" w:hAnsi="VIC"/>
          <w:lang w:eastAsia="en-US"/>
        </w:rPr>
        <w:t xml:space="preserve">This zone is applied to areas where there is no anticipated change to the predominantly single and double storey character, </w:t>
      </w:r>
      <w:proofErr w:type="gramStart"/>
      <w:r w:rsidRPr="00453F4B">
        <w:rPr>
          <w:rFonts w:ascii="VIC" w:eastAsia="Times" w:hAnsi="VIC"/>
          <w:lang w:eastAsia="en-US"/>
        </w:rPr>
        <w:t>and also</w:t>
      </w:r>
      <w:proofErr w:type="gramEnd"/>
      <w:r w:rsidRPr="00453F4B">
        <w:rPr>
          <w:rFonts w:ascii="VIC" w:eastAsia="Times" w:hAnsi="VIC"/>
          <w:lang w:eastAsia="en-US"/>
        </w:rPr>
        <w:t xml:space="preserve"> to areas that have been identified as having specific neighbourhood, heritage, environmental or landscape character values that distinguish the land from other parts of the municipality or surrounding area.</w:t>
      </w:r>
    </w:p>
    <w:p w14:paraId="3B7095CA" w14:textId="77777777" w:rsidR="000D4739" w:rsidRPr="00453F4B" w:rsidRDefault="000D4739" w:rsidP="00453F4B">
      <w:pPr>
        <w:pStyle w:val="BodyText10"/>
        <w:suppressAutoHyphens/>
        <w:spacing w:before="120" w:after="0" w:line="288" w:lineRule="auto"/>
        <w:ind w:left="0"/>
        <w:rPr>
          <w:rFonts w:ascii="VIC" w:eastAsia="Times" w:hAnsi="VIC"/>
          <w:lang w:eastAsia="en-US"/>
        </w:rPr>
      </w:pPr>
      <w:r w:rsidRPr="00453F4B">
        <w:rPr>
          <w:rFonts w:ascii="VIC" w:eastAsia="Times" w:hAnsi="VIC"/>
          <w:lang w:eastAsia="en-US"/>
        </w:rPr>
        <w:t>A mandatory maximum building height of 9 metres and two storeys applies to a dwelling or residential building. A schedule to the zone can be used to:</w:t>
      </w:r>
    </w:p>
    <w:p w14:paraId="692F4085" w14:textId="77777777" w:rsidR="000D4739" w:rsidRDefault="000D4739" w:rsidP="00A705A5">
      <w:pPr>
        <w:pStyle w:val="Paragraph0"/>
        <w:numPr>
          <w:ilvl w:val="0"/>
          <w:numId w:val="40"/>
        </w:numPr>
      </w:pPr>
      <w:r w:rsidRPr="00707395">
        <w:t xml:space="preserve">change the permit requirement for a dwelling </w:t>
      </w:r>
      <w:r>
        <w:t>(</w:t>
      </w:r>
      <w:r w:rsidRPr="00707395">
        <w:t>based on lot size</w:t>
      </w:r>
      <w:r>
        <w:t>)</w:t>
      </w:r>
    </w:p>
    <w:p w14:paraId="54CB1BDC" w14:textId="77777777" w:rsidR="000D4739" w:rsidRDefault="000D4739" w:rsidP="00A705A5">
      <w:pPr>
        <w:pStyle w:val="Paragraph0"/>
        <w:numPr>
          <w:ilvl w:val="0"/>
          <w:numId w:val="40"/>
        </w:numPr>
      </w:pPr>
      <w:r w:rsidRPr="00C457D9">
        <w:t xml:space="preserve">specify a </w:t>
      </w:r>
      <w:r>
        <w:t>minimum lot size for subdivision</w:t>
      </w:r>
    </w:p>
    <w:p w14:paraId="0EF8B632" w14:textId="77777777" w:rsidR="000D4739" w:rsidRDefault="000D4739" w:rsidP="00A705A5">
      <w:pPr>
        <w:pStyle w:val="Paragraph0"/>
        <w:numPr>
          <w:ilvl w:val="0"/>
          <w:numId w:val="40"/>
        </w:numPr>
      </w:pPr>
      <w:r>
        <w:t xml:space="preserve">specify a </w:t>
      </w:r>
      <w:r w:rsidRPr="00C457D9">
        <w:t>higher mandatory maximum building height</w:t>
      </w:r>
    </w:p>
    <w:p w14:paraId="76724586" w14:textId="77777777" w:rsidR="000D4739" w:rsidRDefault="000D4739" w:rsidP="00A705A5">
      <w:pPr>
        <w:pStyle w:val="Paragraph0"/>
        <w:numPr>
          <w:ilvl w:val="0"/>
          <w:numId w:val="40"/>
        </w:numPr>
      </w:pPr>
      <w:r>
        <w:t xml:space="preserve">set </w:t>
      </w:r>
      <w:r w:rsidRPr="00C457D9">
        <w:t>local requirements for specified clause 54 and clause 55 standards.</w:t>
      </w:r>
    </w:p>
    <w:p w14:paraId="18E209B6" w14:textId="77777777" w:rsidR="000D4739" w:rsidRPr="007E0672" w:rsidRDefault="000D4739" w:rsidP="003D6FBF">
      <w:pPr>
        <w:pStyle w:val="Heading4"/>
      </w:pPr>
      <w:bookmarkStart w:id="139" w:name="_Toc418755993"/>
      <w:bookmarkStart w:id="140" w:name="_Toc109660932"/>
      <w:r w:rsidRPr="007E0672">
        <w:lastRenderedPageBreak/>
        <w:t>INDUSTRIAL ZONES</w:t>
      </w:r>
      <w:bookmarkEnd w:id="139"/>
      <w:bookmarkEnd w:id="140"/>
    </w:p>
    <w:p w14:paraId="329B517A" w14:textId="77777777" w:rsidR="000D4739" w:rsidRPr="007E0672" w:rsidRDefault="000D4739" w:rsidP="006952A7">
      <w:pPr>
        <w:pStyle w:val="Heading4"/>
      </w:pPr>
      <w:bookmarkStart w:id="141" w:name="_Toc418755994"/>
      <w:bookmarkStart w:id="142" w:name="_Toc109660933"/>
      <w:r w:rsidRPr="007E0672">
        <w:t>Industrial 1 Zone (</w:t>
      </w:r>
      <w:r>
        <w:t>c</w:t>
      </w:r>
      <w:r w:rsidRPr="007E0672">
        <w:t>lause 33.01 and schedule)</w:t>
      </w:r>
      <w:bookmarkEnd w:id="141"/>
      <w:bookmarkEnd w:id="142"/>
    </w:p>
    <w:p w14:paraId="0B917E4E" w14:textId="77777777" w:rsidR="000D4739" w:rsidRPr="00453F4B" w:rsidRDefault="000D4739" w:rsidP="00453F4B">
      <w:pPr>
        <w:pStyle w:val="BodyText10"/>
        <w:suppressAutoHyphens/>
        <w:spacing w:before="120" w:after="0" w:line="288" w:lineRule="auto"/>
        <w:ind w:left="0"/>
        <w:rPr>
          <w:rFonts w:ascii="VIC" w:eastAsia="Times" w:hAnsi="VIC"/>
          <w:lang w:eastAsia="en-US"/>
        </w:rPr>
      </w:pPr>
      <w:r w:rsidRPr="00453F4B">
        <w:rPr>
          <w:rFonts w:ascii="VIC" w:eastAsia="Times" w:hAnsi="VIC"/>
          <w:lang w:eastAsia="en-US"/>
        </w:rPr>
        <w:t>This is the main zone to be applied in most industrial areas. It includes additional requirements for land in proximity to residential areas. A schedule to the zone allows the maximum floor space to be limited for office use.</w:t>
      </w:r>
    </w:p>
    <w:p w14:paraId="67A726AA" w14:textId="77777777" w:rsidR="000D4739" w:rsidRPr="007E0672" w:rsidRDefault="000D4739" w:rsidP="006952A7">
      <w:pPr>
        <w:pStyle w:val="Heading4"/>
      </w:pPr>
      <w:bookmarkStart w:id="143" w:name="_Toc418755995"/>
      <w:bookmarkStart w:id="144" w:name="_Toc109660934"/>
      <w:r w:rsidRPr="007E0672">
        <w:t>Industrial 2 Zone (</w:t>
      </w:r>
      <w:r>
        <w:t>c</w:t>
      </w:r>
      <w:r w:rsidRPr="007E0672">
        <w:t>lause 33.02 and schedule)</w:t>
      </w:r>
      <w:bookmarkEnd w:id="143"/>
      <w:bookmarkEnd w:id="144"/>
    </w:p>
    <w:p w14:paraId="128327AB" w14:textId="0E3882E4" w:rsidR="000D4739" w:rsidRPr="00453F4B" w:rsidRDefault="000D4739" w:rsidP="00453F4B">
      <w:pPr>
        <w:pStyle w:val="BodyText10"/>
        <w:suppressAutoHyphens/>
        <w:spacing w:before="120" w:after="0" w:line="288" w:lineRule="auto"/>
        <w:ind w:left="0"/>
        <w:rPr>
          <w:rFonts w:ascii="VIC" w:eastAsia="Times" w:hAnsi="VIC"/>
          <w:lang w:eastAsia="en-US"/>
        </w:rPr>
      </w:pPr>
      <w:r w:rsidRPr="00453F4B">
        <w:rPr>
          <w:rFonts w:ascii="VIC" w:eastAsia="Times" w:hAnsi="VIC"/>
          <w:lang w:eastAsia="en-US"/>
        </w:rPr>
        <w:t>This zone is for large industrial areas that have a core</w:t>
      </w:r>
      <w:r w:rsidR="00847130" w:rsidRPr="00453F4B">
        <w:rPr>
          <w:rFonts w:ascii="VIC" w:eastAsia="Times" w:hAnsi="VIC"/>
          <w:lang w:eastAsia="en-US"/>
        </w:rPr>
        <w:t xml:space="preserve"> of</w:t>
      </w:r>
      <w:r w:rsidRPr="00453F4B">
        <w:rPr>
          <w:rFonts w:ascii="VIC" w:eastAsia="Times" w:hAnsi="VIC"/>
          <w:lang w:eastAsia="en-US"/>
        </w:rPr>
        <w:t xml:space="preserve"> more than 1500 metres from residential areas and are of state significance. Note that special requirements apply to the ‘core’ area of this zone (the area more than 1500 metres from a residential zone) as this area is a resource intended to be reserved for uses that require that degree of separation from residential and similar areas. Each industry in the core area will be considered on its merits depending upon its effect on neighbouring industries and communities. Generally, uses that do not depend on such a location are discouraged in this zone.</w:t>
      </w:r>
    </w:p>
    <w:p w14:paraId="4C9591C7" w14:textId="77777777" w:rsidR="000D4739" w:rsidRPr="007E0672" w:rsidRDefault="000D4739" w:rsidP="000D4739">
      <w:pPr>
        <w:pStyle w:val="Paragraph0"/>
      </w:pPr>
      <w:r w:rsidRPr="007E0672">
        <w:t>A schedule to the zone allows the maximum floor space to be limited for office use.</w:t>
      </w:r>
    </w:p>
    <w:p w14:paraId="21066426" w14:textId="77777777" w:rsidR="000D4739" w:rsidRPr="007E0672" w:rsidRDefault="000D4739" w:rsidP="006952A7">
      <w:pPr>
        <w:pStyle w:val="Heading4"/>
      </w:pPr>
      <w:bookmarkStart w:id="145" w:name="_Toc418755996"/>
      <w:bookmarkStart w:id="146" w:name="_Toc109660935"/>
      <w:r w:rsidRPr="007E0672">
        <w:t>Industrial 3 Zone (</w:t>
      </w:r>
      <w:r>
        <w:t>c</w:t>
      </w:r>
      <w:r w:rsidRPr="007E0672">
        <w:t>lause 33.03 and schedule)</w:t>
      </w:r>
      <w:bookmarkEnd w:id="145"/>
      <w:bookmarkEnd w:id="146"/>
    </w:p>
    <w:p w14:paraId="0D3CCC04" w14:textId="77777777" w:rsidR="000D4739" w:rsidRPr="00453F4B" w:rsidRDefault="000D4739" w:rsidP="00453F4B">
      <w:pPr>
        <w:pStyle w:val="BodyText10"/>
        <w:suppressAutoHyphens/>
        <w:spacing w:before="120" w:after="0" w:line="288" w:lineRule="auto"/>
        <w:ind w:left="0"/>
        <w:rPr>
          <w:rFonts w:ascii="VIC" w:eastAsia="Times" w:hAnsi="VIC"/>
          <w:lang w:eastAsia="en-US"/>
        </w:rPr>
      </w:pPr>
      <w:r w:rsidRPr="00453F4B">
        <w:rPr>
          <w:rFonts w:ascii="VIC" w:eastAsia="Times" w:hAnsi="VIC"/>
          <w:lang w:eastAsia="en-US"/>
        </w:rPr>
        <w:t>This zone is designed to be applied as a buffer between the Industrial 1 Zone or Industrial 2 Zone and residential areas, if necessary. It may also be applied to industrial areas where special consideration is required because of industrial traffic using residential roads, unusual noise or other emission impacts, or to avoid inter-industry conflict. A schedule to the zone allows the maximum floor space to be limited for office use.</w:t>
      </w:r>
    </w:p>
    <w:p w14:paraId="706B707E" w14:textId="77777777" w:rsidR="000D4739" w:rsidRPr="00453F4B" w:rsidRDefault="000D4739" w:rsidP="00453F4B">
      <w:pPr>
        <w:pStyle w:val="BodyText10"/>
        <w:suppressAutoHyphens/>
        <w:spacing w:before="120" w:after="0" w:line="288" w:lineRule="auto"/>
        <w:ind w:left="0"/>
        <w:rPr>
          <w:rFonts w:ascii="VIC" w:eastAsia="Times" w:hAnsi="VIC"/>
          <w:lang w:eastAsia="en-US"/>
        </w:rPr>
      </w:pPr>
      <w:r w:rsidRPr="00453F4B">
        <w:rPr>
          <w:rFonts w:ascii="VIC" w:eastAsia="Times" w:hAnsi="VIC"/>
          <w:lang w:eastAsia="en-US"/>
        </w:rPr>
        <w:t>The zone provides for some retailing, including convenience shops, small-scale supermarkets and associated shops in appropriate locations.</w:t>
      </w:r>
    </w:p>
    <w:p w14:paraId="64C79712" w14:textId="77777777" w:rsidR="000D4739" w:rsidRPr="007E0672" w:rsidRDefault="000D4739" w:rsidP="003D6FBF">
      <w:pPr>
        <w:pStyle w:val="Heading4"/>
      </w:pPr>
      <w:bookmarkStart w:id="147" w:name="_Toc418755997"/>
      <w:bookmarkStart w:id="148" w:name="_Toc109660936"/>
      <w:r w:rsidRPr="007E0672">
        <w:t>COMMERCIAL ZONES</w:t>
      </w:r>
      <w:bookmarkEnd w:id="147"/>
      <w:bookmarkEnd w:id="148"/>
    </w:p>
    <w:p w14:paraId="57FB6CC6" w14:textId="77777777" w:rsidR="000D4739" w:rsidRPr="007E0672" w:rsidRDefault="000D4739" w:rsidP="006952A7">
      <w:pPr>
        <w:pStyle w:val="Heading4"/>
      </w:pPr>
      <w:bookmarkStart w:id="149" w:name="_Toc418755998"/>
      <w:bookmarkStart w:id="150" w:name="_Toc109660937"/>
      <w:r w:rsidRPr="007E0672">
        <w:t>Commercial 1 Zone (</w:t>
      </w:r>
      <w:r>
        <w:t>c</w:t>
      </w:r>
      <w:r w:rsidRPr="007E0672">
        <w:t>lause 34.01 and schedule)</w:t>
      </w:r>
      <w:bookmarkEnd w:id="149"/>
      <w:bookmarkEnd w:id="150"/>
    </w:p>
    <w:p w14:paraId="6388BC99" w14:textId="77777777" w:rsidR="000D4739" w:rsidRPr="00453F4B" w:rsidRDefault="000D4739" w:rsidP="00453F4B">
      <w:pPr>
        <w:pStyle w:val="BodyText10"/>
        <w:suppressAutoHyphens/>
        <w:spacing w:before="120" w:after="0" w:line="288" w:lineRule="auto"/>
        <w:ind w:left="0"/>
        <w:rPr>
          <w:rFonts w:ascii="VIC" w:eastAsia="Times" w:hAnsi="VIC"/>
          <w:lang w:eastAsia="en-US"/>
        </w:rPr>
      </w:pPr>
      <w:r w:rsidRPr="00453F4B">
        <w:rPr>
          <w:rFonts w:ascii="VIC" w:eastAsia="Times" w:hAnsi="VIC"/>
          <w:lang w:eastAsia="en-US"/>
        </w:rPr>
        <w:t xml:space="preserve">This zone is applied in mixed use commercial centres for retail, office, business, residential, entertainment and community </w:t>
      </w:r>
      <w:proofErr w:type="gramStart"/>
      <w:r w:rsidRPr="00453F4B">
        <w:rPr>
          <w:rFonts w:ascii="VIC" w:eastAsia="Times" w:hAnsi="VIC"/>
          <w:lang w:eastAsia="en-US"/>
        </w:rPr>
        <w:t>uses</w:t>
      </w:r>
      <w:proofErr w:type="gramEnd"/>
      <w:r w:rsidRPr="00453F4B">
        <w:rPr>
          <w:rFonts w:ascii="VIC" w:eastAsia="Times" w:hAnsi="VIC"/>
          <w:lang w:eastAsia="en-US"/>
        </w:rPr>
        <w:t>. It allows a wide range of commercial and accommodation activities without a permit, including a supermarket or shop.</w:t>
      </w:r>
    </w:p>
    <w:p w14:paraId="0FB81D2A" w14:textId="77777777" w:rsidR="000D4739" w:rsidRPr="00453F4B" w:rsidRDefault="000D4739" w:rsidP="00453F4B">
      <w:pPr>
        <w:pStyle w:val="BodyText10"/>
        <w:suppressAutoHyphens/>
        <w:spacing w:before="120" w:after="0" w:line="288" w:lineRule="auto"/>
        <w:ind w:left="0"/>
        <w:rPr>
          <w:rFonts w:ascii="VIC" w:eastAsia="Times" w:hAnsi="VIC"/>
          <w:lang w:eastAsia="en-US"/>
        </w:rPr>
      </w:pPr>
      <w:r w:rsidRPr="00453F4B">
        <w:rPr>
          <w:rFonts w:ascii="VIC" w:eastAsia="Times" w:hAnsi="VIC"/>
          <w:lang w:eastAsia="en-US"/>
        </w:rPr>
        <w:t>A schedule to the zone allows a maximum leasable floor space to be specified for office or shop only in rural planning schemes (not in metropolitan Melbourne).</w:t>
      </w:r>
    </w:p>
    <w:p w14:paraId="25439719" w14:textId="77777777" w:rsidR="000D4739" w:rsidRPr="007E0672" w:rsidRDefault="000D4739" w:rsidP="006952A7">
      <w:pPr>
        <w:pStyle w:val="Heading4"/>
      </w:pPr>
      <w:bookmarkStart w:id="151" w:name="_Toc418755999"/>
      <w:bookmarkStart w:id="152" w:name="_Toc109660938"/>
      <w:r w:rsidRPr="007E0672">
        <w:t>Commercial 2 Zone (</w:t>
      </w:r>
      <w:r>
        <w:t>c</w:t>
      </w:r>
      <w:r w:rsidRPr="007E0672">
        <w:t>lause 34.02 and schedule)</w:t>
      </w:r>
      <w:bookmarkEnd w:id="151"/>
      <w:bookmarkEnd w:id="152"/>
    </w:p>
    <w:p w14:paraId="2D084E75" w14:textId="77777777" w:rsidR="000D4739" w:rsidRPr="00453F4B" w:rsidRDefault="000D4739" w:rsidP="00453F4B">
      <w:pPr>
        <w:pStyle w:val="BodyText10"/>
        <w:suppressAutoHyphens/>
        <w:spacing w:before="120" w:after="0" w:line="288" w:lineRule="auto"/>
        <w:ind w:left="0"/>
        <w:rPr>
          <w:rFonts w:ascii="VIC" w:eastAsia="Times" w:hAnsi="VIC"/>
          <w:lang w:eastAsia="en-US"/>
        </w:rPr>
      </w:pPr>
      <w:r w:rsidRPr="00453F4B">
        <w:rPr>
          <w:rFonts w:ascii="VIC" w:eastAsia="Times" w:hAnsi="VIC"/>
          <w:lang w:eastAsia="en-US"/>
        </w:rPr>
        <w:t>This zone encourages offices and associated business and commercial services together with appropriate industry and retailing. A small-scale supermarket (up to 1800 square metres) is allowed without a permit on land located within the City of Greater Geelong or within an urban growth boundary in metropolitan Melbourne. Any supermarket in a rural area requires a permit to ensure the protection of established centres in regional towns. A supermarket and any associated shops must adjoin or have access to a main road.</w:t>
      </w:r>
    </w:p>
    <w:p w14:paraId="32B6B712" w14:textId="77777777" w:rsidR="000D4739" w:rsidRPr="0095042E" w:rsidRDefault="000D4739" w:rsidP="006952A7">
      <w:pPr>
        <w:pStyle w:val="Heading4"/>
      </w:pPr>
      <w:r w:rsidRPr="003B480F">
        <w:t>Commercial 3 Zone (</w:t>
      </w:r>
      <w:r>
        <w:t>c</w:t>
      </w:r>
      <w:r w:rsidRPr="003B480F">
        <w:t>lause 34.03 and schedule)</w:t>
      </w:r>
    </w:p>
    <w:p w14:paraId="2699FBD7" w14:textId="77777777" w:rsidR="000D4739" w:rsidRPr="00453F4B" w:rsidRDefault="000D4739" w:rsidP="00453F4B">
      <w:pPr>
        <w:pStyle w:val="BodyText10"/>
        <w:suppressAutoHyphens/>
        <w:spacing w:before="120" w:after="0" w:line="288" w:lineRule="auto"/>
        <w:ind w:left="0"/>
        <w:rPr>
          <w:rFonts w:ascii="VIC" w:eastAsia="Times" w:hAnsi="VIC"/>
          <w:lang w:eastAsia="en-US"/>
        </w:rPr>
      </w:pPr>
      <w:r w:rsidRPr="00453F4B">
        <w:rPr>
          <w:rFonts w:ascii="VIC" w:eastAsia="Times" w:hAnsi="VIC"/>
          <w:lang w:eastAsia="en-US"/>
        </w:rPr>
        <w:t xml:space="preserve">This zone is a mixed-use employment zone which is intended to facilitate the establishment and growth of creative industries, small manufacturers and start-up businesses. The zone </w:t>
      </w:r>
      <w:r w:rsidRPr="00453F4B">
        <w:rPr>
          <w:rFonts w:ascii="VIC" w:eastAsia="Times" w:hAnsi="VIC"/>
          <w:lang w:eastAsia="en-US"/>
        </w:rPr>
        <w:lastRenderedPageBreak/>
        <w:t xml:space="preserve">provides for a wide range of employment uses without a permit, including Arts and craft centre, Education centre, Home based business, Industry (with some exceptions), Manufacturing sales, Market, Office, and Research centre. </w:t>
      </w:r>
    </w:p>
    <w:p w14:paraId="7C5F39D3" w14:textId="77777777" w:rsidR="000D4739" w:rsidRPr="00453F4B" w:rsidRDefault="000D4739" w:rsidP="00453F4B">
      <w:pPr>
        <w:pStyle w:val="BodyText10"/>
        <w:suppressAutoHyphens/>
        <w:spacing w:before="120" w:after="0" w:line="288" w:lineRule="auto"/>
        <w:ind w:left="0"/>
        <w:rPr>
          <w:rFonts w:ascii="VIC" w:eastAsia="Times" w:hAnsi="VIC"/>
          <w:lang w:eastAsia="en-US"/>
        </w:rPr>
      </w:pPr>
      <w:r w:rsidRPr="00453F4B">
        <w:rPr>
          <w:rFonts w:ascii="VIC" w:eastAsia="Times" w:hAnsi="VIC"/>
          <w:lang w:eastAsia="en-US"/>
        </w:rPr>
        <w:t xml:space="preserve">A schedule to the zone may provide for an alternate maximum allowable percentage of the combined gross floor area of all buildings on a lot for a Dwelling and Residential building. </w:t>
      </w:r>
    </w:p>
    <w:p w14:paraId="6C3A41DF" w14:textId="77777777" w:rsidR="000D4739" w:rsidRPr="007E0672" w:rsidRDefault="000D4739" w:rsidP="003D6FBF">
      <w:pPr>
        <w:pStyle w:val="Heading4"/>
      </w:pPr>
      <w:bookmarkStart w:id="153" w:name="_Toc418756000"/>
      <w:bookmarkStart w:id="154" w:name="_Toc109660939"/>
      <w:r w:rsidRPr="007E0672">
        <w:t>RURAL ZONES</w:t>
      </w:r>
      <w:bookmarkEnd w:id="153"/>
      <w:bookmarkEnd w:id="154"/>
    </w:p>
    <w:p w14:paraId="11FDE959" w14:textId="77777777" w:rsidR="000D4739" w:rsidRPr="00453F4B" w:rsidRDefault="000D4739" w:rsidP="00453F4B">
      <w:pPr>
        <w:pStyle w:val="BodyText10"/>
        <w:suppressAutoHyphens/>
        <w:spacing w:before="120" w:after="0" w:line="288" w:lineRule="auto"/>
        <w:ind w:left="0"/>
        <w:rPr>
          <w:rFonts w:ascii="VIC" w:eastAsia="Times" w:hAnsi="VIC"/>
          <w:lang w:eastAsia="en-US"/>
        </w:rPr>
      </w:pPr>
      <w:r w:rsidRPr="00453F4B">
        <w:rPr>
          <w:rFonts w:ascii="VIC" w:eastAsia="Times" w:hAnsi="VIC"/>
          <w:i/>
          <w:iCs/>
          <w:lang w:eastAsia="en-US"/>
        </w:rPr>
        <w:t>Planning Practice Note 42 – Applying the Rural Zones</w:t>
      </w:r>
      <w:r w:rsidRPr="00453F4B">
        <w:rPr>
          <w:rFonts w:ascii="VIC" w:eastAsia="Times" w:hAnsi="VIC"/>
          <w:lang w:eastAsia="en-US"/>
        </w:rPr>
        <w:t xml:space="preserve"> explains the purposes and features of the rural zones and how to apply them and their schedules.</w:t>
      </w:r>
    </w:p>
    <w:p w14:paraId="54EDAD02" w14:textId="77777777" w:rsidR="000D4739" w:rsidRPr="007E0672" w:rsidRDefault="000D4739" w:rsidP="006952A7">
      <w:pPr>
        <w:pStyle w:val="Heading4"/>
      </w:pPr>
      <w:bookmarkStart w:id="155" w:name="_Toc418756001"/>
      <w:bookmarkStart w:id="156" w:name="_Toc109660940"/>
      <w:r w:rsidRPr="007E0672">
        <w:t>Rural Living Zone (</w:t>
      </w:r>
      <w:r>
        <w:t>c</w:t>
      </w:r>
      <w:r w:rsidRPr="007E0672">
        <w:t>lause 35.03 and schedule)</w:t>
      </w:r>
      <w:bookmarkEnd w:id="155"/>
      <w:bookmarkEnd w:id="156"/>
    </w:p>
    <w:p w14:paraId="3D130FFA" w14:textId="77777777" w:rsidR="000D4739" w:rsidRPr="00453F4B" w:rsidRDefault="000D4739" w:rsidP="00453F4B">
      <w:pPr>
        <w:pStyle w:val="BodyText10"/>
        <w:suppressAutoHyphens/>
        <w:spacing w:before="120" w:after="0" w:line="288" w:lineRule="auto"/>
        <w:ind w:left="0"/>
        <w:rPr>
          <w:rFonts w:ascii="VIC" w:eastAsia="Times" w:hAnsi="VIC"/>
          <w:lang w:eastAsia="en-US"/>
        </w:rPr>
      </w:pPr>
      <w:r w:rsidRPr="00453F4B">
        <w:rPr>
          <w:rFonts w:ascii="VIC" w:eastAsia="Times" w:hAnsi="VIC"/>
          <w:lang w:eastAsia="en-US"/>
        </w:rPr>
        <w:t xml:space="preserve">This zone provides for predominantly residential use in a rural environment provided appropriate land management is exercised. This zone should only be used where this type of use exists, or where such a use can be strategically justified. The zone also allows agricultural activities, provided that the amenity of residential living is protected. A schedule to the zone allows the lot size and </w:t>
      </w:r>
      <w:proofErr w:type="gramStart"/>
      <w:r w:rsidRPr="00453F4B">
        <w:rPr>
          <w:rFonts w:ascii="VIC" w:eastAsia="Times" w:hAnsi="VIC"/>
          <w:lang w:eastAsia="en-US"/>
        </w:rPr>
        <w:t>a number of</w:t>
      </w:r>
      <w:proofErr w:type="gramEnd"/>
      <w:r w:rsidRPr="00453F4B">
        <w:rPr>
          <w:rFonts w:ascii="VIC" w:eastAsia="Times" w:hAnsi="VIC"/>
          <w:lang w:eastAsia="en-US"/>
        </w:rPr>
        <w:t xml:space="preserve"> other matters to be specified.</w:t>
      </w:r>
    </w:p>
    <w:p w14:paraId="1F58B307" w14:textId="77777777" w:rsidR="000D4739" w:rsidRPr="007E0672" w:rsidRDefault="000D4739" w:rsidP="006952A7">
      <w:pPr>
        <w:pStyle w:val="Heading4"/>
      </w:pPr>
      <w:bookmarkStart w:id="157" w:name="_Toc418756002"/>
      <w:bookmarkStart w:id="158" w:name="_Toc109660941"/>
      <w:r w:rsidRPr="007E0672">
        <w:t>Green Wedge Zone (</w:t>
      </w:r>
      <w:r>
        <w:t>c</w:t>
      </w:r>
      <w:r w:rsidRPr="007E0672">
        <w:t>lause 35.04 and schedule)</w:t>
      </w:r>
      <w:bookmarkEnd w:id="157"/>
      <w:bookmarkEnd w:id="158"/>
    </w:p>
    <w:p w14:paraId="28D8D8C7" w14:textId="77777777" w:rsidR="000D4739" w:rsidRPr="00453F4B" w:rsidRDefault="000D4739" w:rsidP="00453F4B">
      <w:pPr>
        <w:pStyle w:val="BodyText10"/>
        <w:suppressAutoHyphens/>
        <w:spacing w:before="120" w:after="0" w:line="288" w:lineRule="auto"/>
        <w:ind w:left="0"/>
        <w:rPr>
          <w:rFonts w:ascii="VIC" w:eastAsia="Times" w:hAnsi="VIC"/>
          <w:lang w:eastAsia="en-US"/>
        </w:rPr>
      </w:pPr>
      <w:r w:rsidRPr="00453F4B">
        <w:rPr>
          <w:rFonts w:ascii="VIC" w:eastAsia="Times" w:hAnsi="VIC"/>
          <w:lang w:eastAsia="en-US"/>
        </w:rPr>
        <w:t xml:space="preserve">The purpose of this zone is to recognise and protect non-urban land outside the Urban Growth Boundary in the Melbourne metropolitan area for its agricultural, environmental, historic, landscape or recreational values, or mineral and stone resources. The zone provides a minimum lot size of 40 hectares unless an alternative is specified in a schedule to the zone. The creation of smaller lots is allowed under </w:t>
      </w:r>
      <w:proofErr w:type="gramStart"/>
      <w:r w:rsidRPr="00453F4B">
        <w:rPr>
          <w:rFonts w:ascii="VIC" w:eastAsia="Times" w:hAnsi="VIC"/>
          <w:lang w:eastAsia="en-US"/>
        </w:rPr>
        <w:t>particular circumstances</w:t>
      </w:r>
      <w:proofErr w:type="gramEnd"/>
      <w:r w:rsidRPr="00453F4B">
        <w:rPr>
          <w:rFonts w:ascii="VIC" w:eastAsia="Times" w:hAnsi="VIC"/>
          <w:lang w:eastAsia="en-US"/>
        </w:rPr>
        <w:t>.</w:t>
      </w:r>
    </w:p>
    <w:p w14:paraId="22011DD7" w14:textId="77777777" w:rsidR="000D4739" w:rsidRPr="007E0672" w:rsidRDefault="000D4739" w:rsidP="006952A7">
      <w:pPr>
        <w:pStyle w:val="Heading4"/>
      </w:pPr>
      <w:bookmarkStart w:id="159" w:name="_Toc418756003"/>
      <w:bookmarkStart w:id="160" w:name="_Toc109660942"/>
      <w:r w:rsidRPr="007E0672">
        <w:t>Green Wedge A Zone (</w:t>
      </w:r>
      <w:r>
        <w:t>c</w:t>
      </w:r>
      <w:r w:rsidRPr="007E0672">
        <w:t>lause 35.05 and schedule)</w:t>
      </w:r>
      <w:bookmarkEnd w:id="159"/>
      <w:bookmarkEnd w:id="160"/>
    </w:p>
    <w:p w14:paraId="1FE288E4" w14:textId="77777777" w:rsidR="000D4739" w:rsidRPr="00453F4B" w:rsidRDefault="000D4739" w:rsidP="00453F4B">
      <w:pPr>
        <w:pStyle w:val="BodyText10"/>
        <w:suppressAutoHyphens/>
        <w:spacing w:before="120" w:after="0" w:line="288" w:lineRule="auto"/>
        <w:ind w:left="0"/>
        <w:rPr>
          <w:rFonts w:ascii="VIC" w:eastAsia="Times" w:hAnsi="VIC"/>
          <w:lang w:eastAsia="en-US"/>
        </w:rPr>
      </w:pPr>
      <w:r w:rsidRPr="00453F4B">
        <w:rPr>
          <w:rFonts w:ascii="VIC" w:eastAsia="Times" w:hAnsi="VIC"/>
          <w:lang w:eastAsia="en-US"/>
        </w:rPr>
        <w:t xml:space="preserve">This zone provides opportunity for most agricultural uses and limits non-rural uses to those that support agriculture or tourism provided that the amenity of residential living is protected. It seeks to protect and enhance the biodiversity, natural resources, scenic landscapes and heritage values and to promote sustainable land management. It also provides opportunity for limited residential development subject to a permit. The zone provides a minimum lot size of 8 hectares unless an alternative is specified in a schedule to the zone. The creation of smaller lots is allowed under </w:t>
      </w:r>
      <w:proofErr w:type="gramStart"/>
      <w:r w:rsidRPr="00453F4B">
        <w:rPr>
          <w:rFonts w:ascii="VIC" w:eastAsia="Times" w:hAnsi="VIC"/>
          <w:lang w:eastAsia="en-US"/>
        </w:rPr>
        <w:t>particular circumstances</w:t>
      </w:r>
      <w:proofErr w:type="gramEnd"/>
      <w:r w:rsidRPr="00453F4B">
        <w:rPr>
          <w:rFonts w:ascii="VIC" w:eastAsia="Times" w:hAnsi="VIC"/>
          <w:lang w:eastAsia="en-US"/>
        </w:rPr>
        <w:t>.</w:t>
      </w:r>
    </w:p>
    <w:p w14:paraId="50AA46C1" w14:textId="77777777" w:rsidR="000D4739" w:rsidRPr="007E0672" w:rsidRDefault="000D4739" w:rsidP="006952A7">
      <w:pPr>
        <w:pStyle w:val="Heading4"/>
      </w:pPr>
      <w:bookmarkStart w:id="161" w:name="_Toc418756004"/>
      <w:bookmarkStart w:id="162" w:name="_Toc109660943"/>
      <w:r w:rsidRPr="007E0672">
        <w:t>Rural Conservation Zone (</w:t>
      </w:r>
      <w:r>
        <w:t>c</w:t>
      </w:r>
      <w:r w:rsidRPr="007E0672">
        <w:t>lause 35.06 and schedule)</w:t>
      </w:r>
      <w:bookmarkEnd w:id="161"/>
      <w:bookmarkEnd w:id="162"/>
    </w:p>
    <w:p w14:paraId="2F692F3C" w14:textId="77777777" w:rsidR="000D4739" w:rsidRPr="006E5F7D" w:rsidRDefault="000D4739" w:rsidP="006E5F7D">
      <w:pPr>
        <w:pStyle w:val="BodyText10"/>
        <w:suppressAutoHyphens/>
        <w:spacing w:before="120" w:after="0" w:line="288" w:lineRule="auto"/>
        <w:ind w:left="0"/>
        <w:rPr>
          <w:rFonts w:ascii="VIC" w:eastAsia="Times" w:hAnsi="VIC"/>
          <w:lang w:eastAsia="en-US"/>
        </w:rPr>
      </w:pPr>
      <w:r w:rsidRPr="006E5F7D">
        <w:rPr>
          <w:rFonts w:ascii="VIC" w:eastAsia="Times" w:hAnsi="VIC"/>
          <w:lang w:eastAsia="en-US"/>
        </w:rPr>
        <w:t xml:space="preserve">This zone is designed to protect and enhance the natural environment for its historic, archaeological, scientific, landscape, faunal habitat and cultural values. Agriculture is allowed, provided it is consistent with the environmental and landscapes values of the area. This zone could also be applied to rural areas degraded by environmental factors such as salinity or erosion. A schedule requires specific conservation values to be stipulated. The zone provides a minimum lot size of 40 hectares unless an alternative is specified in a schedule to the zone. The creation of smaller lots is allowed under </w:t>
      </w:r>
      <w:proofErr w:type="gramStart"/>
      <w:r w:rsidRPr="006E5F7D">
        <w:rPr>
          <w:rFonts w:ascii="VIC" w:eastAsia="Times" w:hAnsi="VIC"/>
          <w:lang w:eastAsia="en-US"/>
        </w:rPr>
        <w:t>particular circumstances</w:t>
      </w:r>
      <w:proofErr w:type="gramEnd"/>
      <w:r w:rsidRPr="006E5F7D">
        <w:rPr>
          <w:rFonts w:ascii="VIC" w:eastAsia="Times" w:hAnsi="VIC"/>
          <w:lang w:eastAsia="en-US"/>
        </w:rPr>
        <w:t>.</w:t>
      </w:r>
    </w:p>
    <w:p w14:paraId="180ABA00" w14:textId="27D39EF1" w:rsidR="006E5F7D" w:rsidRPr="006E5F7D" w:rsidRDefault="000D4739" w:rsidP="006952A7">
      <w:pPr>
        <w:pStyle w:val="Heading4"/>
      </w:pPr>
      <w:bookmarkStart w:id="163" w:name="_Toc418756005"/>
      <w:bookmarkStart w:id="164" w:name="_Toc109660944"/>
      <w:r w:rsidRPr="007E0672">
        <w:t>Farming Zone (</w:t>
      </w:r>
      <w:r>
        <w:t>c</w:t>
      </w:r>
      <w:r w:rsidRPr="007E0672">
        <w:t>lause 35.07 and schedule)</w:t>
      </w:r>
      <w:bookmarkEnd w:id="163"/>
      <w:bookmarkEnd w:id="164"/>
    </w:p>
    <w:p w14:paraId="1E816C58" w14:textId="77777777" w:rsidR="000D4739" w:rsidRPr="00453F4B" w:rsidRDefault="000D4739" w:rsidP="00453F4B">
      <w:pPr>
        <w:pStyle w:val="BodyText10"/>
        <w:suppressAutoHyphens/>
        <w:spacing w:before="120" w:after="0" w:line="288" w:lineRule="auto"/>
        <w:ind w:left="0"/>
        <w:rPr>
          <w:rFonts w:ascii="VIC" w:eastAsia="Times" w:hAnsi="VIC"/>
          <w:lang w:eastAsia="en-US"/>
        </w:rPr>
      </w:pPr>
      <w:r w:rsidRPr="00453F4B">
        <w:rPr>
          <w:rFonts w:ascii="VIC" w:eastAsia="Times" w:hAnsi="VIC"/>
          <w:lang w:eastAsia="en-US"/>
        </w:rPr>
        <w:t xml:space="preserve">This zone encourages the retention of productive agricultural land and encourages the retention of employment and population to support rural communities. The zone provides a </w:t>
      </w:r>
      <w:r w:rsidRPr="00453F4B">
        <w:rPr>
          <w:rFonts w:ascii="VIC" w:eastAsia="Times" w:hAnsi="VIC"/>
          <w:lang w:eastAsia="en-US"/>
        </w:rPr>
        <w:lastRenderedPageBreak/>
        <w:t xml:space="preserve">minimum lot size of 40 hectares unless an alternative is specified in a schedule to the zone. The creation of smaller lots is allowed under </w:t>
      </w:r>
      <w:proofErr w:type="gramStart"/>
      <w:r w:rsidRPr="00453F4B">
        <w:rPr>
          <w:rFonts w:ascii="VIC" w:eastAsia="Times" w:hAnsi="VIC"/>
          <w:lang w:eastAsia="en-US"/>
        </w:rPr>
        <w:t>particular circumstances</w:t>
      </w:r>
      <w:proofErr w:type="gramEnd"/>
      <w:r w:rsidRPr="00453F4B">
        <w:rPr>
          <w:rFonts w:ascii="VIC" w:eastAsia="Times" w:hAnsi="VIC"/>
          <w:lang w:eastAsia="en-US"/>
        </w:rPr>
        <w:t>.</w:t>
      </w:r>
    </w:p>
    <w:p w14:paraId="662622BD" w14:textId="77777777" w:rsidR="000D4739" w:rsidRPr="007E0672" w:rsidRDefault="000D4739" w:rsidP="006952A7">
      <w:pPr>
        <w:pStyle w:val="Heading4"/>
      </w:pPr>
      <w:bookmarkStart w:id="165" w:name="_Toc418756006"/>
      <w:bookmarkStart w:id="166" w:name="_Toc109660945"/>
      <w:r w:rsidRPr="007E0672">
        <w:t>Rural Activity Zone (</w:t>
      </w:r>
      <w:r>
        <w:t>c</w:t>
      </w:r>
      <w:r w:rsidRPr="007E0672">
        <w:t>lause 35.08 and schedule)</w:t>
      </w:r>
      <w:bookmarkEnd w:id="165"/>
      <w:bookmarkEnd w:id="166"/>
    </w:p>
    <w:p w14:paraId="600FA465" w14:textId="77777777" w:rsidR="000D4739" w:rsidRPr="00453F4B" w:rsidRDefault="000D4739" w:rsidP="00453F4B">
      <w:pPr>
        <w:pStyle w:val="BodyText10"/>
        <w:suppressAutoHyphens/>
        <w:spacing w:before="120" w:after="0" w:line="288" w:lineRule="auto"/>
        <w:ind w:left="0"/>
        <w:rPr>
          <w:rFonts w:ascii="VIC" w:eastAsia="Times" w:hAnsi="VIC"/>
          <w:lang w:eastAsia="en-US"/>
        </w:rPr>
      </w:pPr>
      <w:r w:rsidRPr="00453F4B">
        <w:rPr>
          <w:rFonts w:ascii="VIC" w:eastAsia="Times" w:hAnsi="VIC"/>
          <w:lang w:eastAsia="en-US"/>
        </w:rPr>
        <w:t xml:space="preserve">This zone is designed to be applied to areas where agricultural activities and other land uses can co-exist. A wider range of tourism, commercial and retail uses may be considered in the zone. Agriculture has primacy, but other uses may be established if they are compatible with the agricultural, environmental and landscape qualities of the area. A minimum lot size must be specified in a schedule to the zone. The creation of smaller lots is allowed under </w:t>
      </w:r>
      <w:proofErr w:type="gramStart"/>
      <w:r w:rsidRPr="00453F4B">
        <w:rPr>
          <w:rFonts w:ascii="VIC" w:eastAsia="Times" w:hAnsi="VIC"/>
          <w:lang w:eastAsia="en-US"/>
        </w:rPr>
        <w:t>particular circumstances</w:t>
      </w:r>
      <w:proofErr w:type="gramEnd"/>
      <w:r w:rsidRPr="00453F4B">
        <w:rPr>
          <w:rFonts w:ascii="VIC" w:eastAsia="Times" w:hAnsi="VIC"/>
          <w:lang w:eastAsia="en-US"/>
        </w:rPr>
        <w:t>.</w:t>
      </w:r>
    </w:p>
    <w:p w14:paraId="53229A92" w14:textId="77777777" w:rsidR="000D4739" w:rsidRPr="007E0672" w:rsidRDefault="000D4739" w:rsidP="003D6FBF">
      <w:pPr>
        <w:pStyle w:val="Heading4"/>
      </w:pPr>
      <w:bookmarkStart w:id="167" w:name="_Toc418756007"/>
      <w:bookmarkStart w:id="168" w:name="_Toc109660946"/>
      <w:r w:rsidRPr="007E0672">
        <w:t>PUBLIC LAND ZONES</w:t>
      </w:r>
      <w:bookmarkEnd w:id="167"/>
      <w:bookmarkEnd w:id="168"/>
    </w:p>
    <w:p w14:paraId="7190B1BF" w14:textId="77777777" w:rsidR="000D4739" w:rsidRPr="007E0672" w:rsidRDefault="000D4739" w:rsidP="006952A7">
      <w:pPr>
        <w:pStyle w:val="Heading4"/>
      </w:pPr>
      <w:bookmarkStart w:id="169" w:name="_Toc418756008"/>
      <w:bookmarkStart w:id="170" w:name="_Toc109660947"/>
      <w:r w:rsidRPr="007E0672">
        <w:t>Public Use Zone (</w:t>
      </w:r>
      <w:r>
        <w:t>c</w:t>
      </w:r>
      <w:r w:rsidRPr="007E0672">
        <w:t>lause 36.01 and schedule)</w:t>
      </w:r>
      <w:bookmarkEnd w:id="169"/>
      <w:bookmarkEnd w:id="170"/>
    </w:p>
    <w:p w14:paraId="56FFDD01" w14:textId="77777777" w:rsidR="000D4739" w:rsidRPr="00453F4B" w:rsidRDefault="000D4739" w:rsidP="00453F4B">
      <w:pPr>
        <w:pStyle w:val="BodyText10"/>
        <w:suppressAutoHyphens/>
        <w:spacing w:before="120" w:after="0" w:line="288" w:lineRule="auto"/>
        <w:ind w:left="0"/>
        <w:rPr>
          <w:rFonts w:ascii="VIC" w:eastAsia="Times" w:hAnsi="VIC"/>
          <w:lang w:eastAsia="en-US"/>
        </w:rPr>
      </w:pPr>
      <w:r w:rsidRPr="00453F4B">
        <w:rPr>
          <w:rFonts w:ascii="VIC" w:eastAsia="Times" w:hAnsi="VIC"/>
          <w:lang w:eastAsia="en-US"/>
        </w:rPr>
        <w:t xml:space="preserve">This zone recognises the use of land for a public purpose and prescribes </w:t>
      </w:r>
      <w:proofErr w:type="gramStart"/>
      <w:r w:rsidRPr="00453F4B">
        <w:rPr>
          <w:rFonts w:ascii="VIC" w:eastAsia="Times" w:hAnsi="VIC"/>
          <w:lang w:eastAsia="en-US"/>
        </w:rPr>
        <w:t>a number of</w:t>
      </w:r>
      <w:proofErr w:type="gramEnd"/>
      <w:r w:rsidRPr="00453F4B">
        <w:rPr>
          <w:rFonts w:ascii="VIC" w:eastAsia="Times" w:hAnsi="VIC"/>
          <w:lang w:eastAsia="en-US"/>
        </w:rPr>
        <w:t xml:space="preserve"> categories of public use which can be shown on the planning scheme map. This is the main zone for public land used for utility or community service provision. A schedule allows specified uses or managers of public land to be exempted from specified requirements. Alternative sign categories may be specified if required. </w:t>
      </w:r>
    </w:p>
    <w:p w14:paraId="30CE4981" w14:textId="77777777" w:rsidR="000D4739" w:rsidRPr="007E0672" w:rsidRDefault="000D4739" w:rsidP="006952A7">
      <w:pPr>
        <w:pStyle w:val="Heading4"/>
      </w:pPr>
      <w:bookmarkStart w:id="171" w:name="_Toc418756009"/>
      <w:bookmarkStart w:id="172" w:name="_Toc109660948"/>
      <w:r w:rsidRPr="007E0672">
        <w:t>Public Park and Recreation Zone (</w:t>
      </w:r>
      <w:r>
        <w:t>c</w:t>
      </w:r>
      <w:r w:rsidRPr="007E0672">
        <w:t>lause 36.02 and schedule)</w:t>
      </w:r>
      <w:bookmarkEnd w:id="171"/>
      <w:bookmarkEnd w:id="172"/>
    </w:p>
    <w:p w14:paraId="74E6A10B" w14:textId="77777777" w:rsidR="000D4739" w:rsidRPr="00453F4B" w:rsidRDefault="000D4739" w:rsidP="00453F4B">
      <w:pPr>
        <w:pStyle w:val="BodyText10"/>
        <w:suppressAutoHyphens/>
        <w:spacing w:before="120" w:after="0" w:line="288" w:lineRule="auto"/>
        <w:ind w:left="0"/>
        <w:rPr>
          <w:rFonts w:ascii="VIC" w:eastAsia="Times" w:hAnsi="VIC"/>
          <w:lang w:eastAsia="en-US"/>
        </w:rPr>
      </w:pPr>
      <w:r w:rsidRPr="00453F4B">
        <w:rPr>
          <w:rFonts w:ascii="VIC" w:eastAsia="Times" w:hAnsi="VIC"/>
          <w:lang w:eastAsia="en-US"/>
        </w:rPr>
        <w:t xml:space="preserve">This is the main zone for public open space and public recreation areas. A schedule allows specified uses or managers of public land to be exempted from specified requirements. It also allows an exemption for buildings and works specified in an incorporated plan. Alternative sign categories may be specified if required. </w:t>
      </w:r>
    </w:p>
    <w:p w14:paraId="4EBD1244" w14:textId="77777777" w:rsidR="000D4739" w:rsidRPr="007E0672" w:rsidRDefault="000D4739" w:rsidP="006952A7">
      <w:pPr>
        <w:pStyle w:val="Heading4"/>
      </w:pPr>
      <w:bookmarkStart w:id="173" w:name="_Toc418756010"/>
      <w:bookmarkStart w:id="174" w:name="_Toc109660949"/>
      <w:r w:rsidRPr="007E0672">
        <w:t>Public Conservation and Resource Zone (</w:t>
      </w:r>
      <w:r>
        <w:t>c</w:t>
      </w:r>
      <w:r w:rsidRPr="007E0672">
        <w:t>lause 36.03 and schedule)</w:t>
      </w:r>
      <w:bookmarkEnd w:id="173"/>
      <w:bookmarkEnd w:id="174"/>
    </w:p>
    <w:p w14:paraId="46728A80" w14:textId="77777777" w:rsidR="000D4739" w:rsidRPr="00453F4B" w:rsidRDefault="000D4739" w:rsidP="00453F4B">
      <w:pPr>
        <w:pStyle w:val="BodyText10"/>
        <w:suppressAutoHyphens/>
        <w:spacing w:before="120" w:after="0" w:line="288" w:lineRule="auto"/>
        <w:ind w:left="0"/>
        <w:rPr>
          <w:rFonts w:ascii="VIC" w:eastAsia="Times" w:hAnsi="VIC"/>
          <w:lang w:eastAsia="en-US"/>
        </w:rPr>
      </w:pPr>
      <w:r w:rsidRPr="00453F4B">
        <w:rPr>
          <w:rFonts w:ascii="VIC" w:eastAsia="Times" w:hAnsi="VIC"/>
          <w:lang w:eastAsia="en-US"/>
        </w:rPr>
        <w:t xml:space="preserve">This zone provides for places where the primary intention is to conserve and protect the natural environment or resources. It also allows associated educational activities and resource-based uses. A schedule allows specified uses or managers of public land to be exempted from specified requirements. It also allows an exemption for buildings and works specified in an incorporated plan. Alternative sign categories may be specified if required. </w:t>
      </w:r>
    </w:p>
    <w:p w14:paraId="33383B80" w14:textId="77777777" w:rsidR="000D4739" w:rsidRPr="007E0672" w:rsidRDefault="000D4739" w:rsidP="006952A7">
      <w:pPr>
        <w:pStyle w:val="Heading4"/>
      </w:pPr>
      <w:bookmarkStart w:id="175" w:name="_Toc418756011"/>
      <w:bookmarkStart w:id="176" w:name="_Toc109660950"/>
      <w:r>
        <w:t>Transport Zone</w:t>
      </w:r>
      <w:r w:rsidRPr="007E0672">
        <w:t xml:space="preserve"> (</w:t>
      </w:r>
      <w:r>
        <w:t>c</w:t>
      </w:r>
      <w:r w:rsidRPr="007E0672">
        <w:t>lause 36.04)</w:t>
      </w:r>
      <w:bookmarkEnd w:id="175"/>
      <w:bookmarkEnd w:id="176"/>
    </w:p>
    <w:p w14:paraId="0F4F5FAA" w14:textId="77777777" w:rsidR="000D4739" w:rsidRPr="00453F4B" w:rsidRDefault="000D4739" w:rsidP="00453F4B">
      <w:pPr>
        <w:pStyle w:val="BodyText10"/>
        <w:suppressAutoHyphens/>
        <w:spacing w:before="120" w:after="0" w:line="288" w:lineRule="auto"/>
        <w:ind w:left="0"/>
        <w:rPr>
          <w:rFonts w:ascii="VIC" w:eastAsia="Times" w:hAnsi="VIC"/>
          <w:lang w:eastAsia="en-US"/>
        </w:rPr>
      </w:pPr>
      <w:r w:rsidRPr="00453F4B">
        <w:rPr>
          <w:rFonts w:ascii="VIC" w:eastAsia="Times" w:hAnsi="VIC"/>
          <w:lang w:eastAsia="en-US"/>
        </w:rPr>
        <w:t>This zone identifies land in the transport system. State-managed transport infrastructure is designated Transport Zone 1. A road declared under the Road Management Act 2004 is designated Transport Zone 2 and significant municipal roads are designated Transport Zone 3. Other transport infrastructure is designated Transport Zone 4.</w:t>
      </w:r>
    </w:p>
    <w:p w14:paraId="7315BF24" w14:textId="77777777" w:rsidR="000D4739" w:rsidRPr="007E0672" w:rsidRDefault="000D4739" w:rsidP="003D6FBF">
      <w:pPr>
        <w:pStyle w:val="Heading4"/>
      </w:pPr>
      <w:bookmarkStart w:id="177" w:name="_Toc418756012"/>
      <w:bookmarkStart w:id="178" w:name="_Toc109660951"/>
      <w:r w:rsidRPr="007E0672">
        <w:t>SPECIAL PURPOSE ZONES</w:t>
      </w:r>
      <w:bookmarkEnd w:id="177"/>
      <w:bookmarkEnd w:id="178"/>
    </w:p>
    <w:p w14:paraId="2452C5BC" w14:textId="77777777" w:rsidR="000D4739" w:rsidRPr="007E0672" w:rsidRDefault="000D4739" w:rsidP="006952A7">
      <w:pPr>
        <w:pStyle w:val="Heading4"/>
      </w:pPr>
      <w:bookmarkStart w:id="179" w:name="_Toc418756013"/>
      <w:bookmarkStart w:id="180" w:name="_Toc109660952"/>
      <w:r w:rsidRPr="007E0672">
        <w:t>Special Use Zone (</w:t>
      </w:r>
      <w:r>
        <w:t>c</w:t>
      </w:r>
      <w:r w:rsidRPr="007E0672">
        <w:t>lause 37.01 and schedule)</w:t>
      </w:r>
      <w:bookmarkEnd w:id="179"/>
      <w:bookmarkEnd w:id="180"/>
    </w:p>
    <w:p w14:paraId="1678884E" w14:textId="77777777" w:rsidR="000D4739" w:rsidRPr="00453F4B" w:rsidRDefault="000D4739" w:rsidP="00453F4B">
      <w:pPr>
        <w:pStyle w:val="BodyText10"/>
        <w:suppressAutoHyphens/>
        <w:spacing w:before="120" w:after="0" w:line="288" w:lineRule="auto"/>
        <w:ind w:left="0"/>
        <w:rPr>
          <w:rFonts w:ascii="VIC" w:eastAsia="Times" w:hAnsi="VIC"/>
          <w:lang w:eastAsia="en-US"/>
        </w:rPr>
      </w:pPr>
      <w:r w:rsidRPr="00453F4B">
        <w:rPr>
          <w:rFonts w:ascii="VIC" w:eastAsia="Times" w:hAnsi="VIC"/>
          <w:lang w:eastAsia="en-US"/>
        </w:rPr>
        <w:t xml:space="preserve">This zone provides for the use of land for specific purposes. The purposes and the land use requirements are specified in a schedule to the zone. This allows detailed land use requirements </w:t>
      </w:r>
      <w:r w:rsidRPr="00453F4B">
        <w:rPr>
          <w:rFonts w:ascii="VIC" w:eastAsia="Times" w:hAnsi="VIC"/>
          <w:i/>
          <w:iCs/>
          <w:lang w:eastAsia="en-US"/>
        </w:rPr>
        <w:t>to</w:t>
      </w:r>
      <w:r w:rsidRPr="00453F4B">
        <w:rPr>
          <w:rFonts w:ascii="VIC" w:eastAsia="Times" w:hAnsi="VIC"/>
          <w:lang w:eastAsia="en-US"/>
        </w:rPr>
        <w:t xml:space="preserve"> be prescribed for a particular site. Development conditions (where they are necessary) are still set out in a permit rather than the planning scheme. Exemptions from notification and review can be provided in the zone if desired. </w:t>
      </w:r>
      <w:r w:rsidRPr="00453F4B">
        <w:rPr>
          <w:rFonts w:ascii="VIC" w:eastAsia="Times" w:hAnsi="VIC"/>
          <w:i/>
          <w:iCs/>
          <w:lang w:eastAsia="en-US"/>
        </w:rPr>
        <w:t xml:space="preserve">The Ministerial Direction – The </w:t>
      </w:r>
      <w:r w:rsidRPr="00453F4B">
        <w:rPr>
          <w:rFonts w:ascii="VIC" w:eastAsia="Times" w:hAnsi="VIC"/>
          <w:i/>
          <w:iCs/>
          <w:lang w:eastAsia="en-US"/>
        </w:rPr>
        <w:lastRenderedPageBreak/>
        <w:t>Form and Content of Planning Schemes</w:t>
      </w:r>
      <w:r w:rsidRPr="00453F4B">
        <w:rPr>
          <w:rFonts w:ascii="VIC" w:eastAsia="Times" w:hAnsi="VIC"/>
          <w:lang w:eastAsia="en-US"/>
        </w:rPr>
        <w:t xml:space="preserve"> includes some specific requirements for this zone. </w:t>
      </w:r>
      <w:r w:rsidRPr="00453F4B">
        <w:rPr>
          <w:rFonts w:ascii="VIC" w:eastAsia="Times" w:hAnsi="VIC"/>
          <w:i/>
          <w:iCs/>
          <w:lang w:eastAsia="en-US"/>
        </w:rPr>
        <w:t>Planning Practice Note 3 – Applying the Special Use Zone</w:t>
      </w:r>
      <w:r w:rsidRPr="00453F4B">
        <w:rPr>
          <w:rFonts w:ascii="VIC" w:eastAsia="Times" w:hAnsi="VIC"/>
          <w:lang w:eastAsia="en-US"/>
        </w:rPr>
        <w:t xml:space="preserve"> explains the operation of this zone in more detail.</w:t>
      </w:r>
    </w:p>
    <w:p w14:paraId="2911C4FF" w14:textId="77777777" w:rsidR="000D4739" w:rsidRPr="007E0672" w:rsidRDefault="000D4739" w:rsidP="006952A7">
      <w:pPr>
        <w:pStyle w:val="Heading4"/>
      </w:pPr>
      <w:bookmarkStart w:id="181" w:name="_Toc418756014"/>
      <w:bookmarkStart w:id="182" w:name="_Toc109660953"/>
      <w:r w:rsidRPr="007E0672">
        <w:t>Comprehensive Development Zone (</w:t>
      </w:r>
      <w:r>
        <w:t>c</w:t>
      </w:r>
      <w:r w:rsidRPr="007E0672">
        <w:t>lause 37.02 and schedule)</w:t>
      </w:r>
      <w:bookmarkEnd w:id="181"/>
      <w:bookmarkEnd w:id="182"/>
    </w:p>
    <w:p w14:paraId="29BF2801" w14:textId="77777777" w:rsidR="000D4739" w:rsidRPr="00453F4B" w:rsidRDefault="000D4739" w:rsidP="00453F4B">
      <w:pPr>
        <w:pStyle w:val="BodyText10"/>
        <w:suppressAutoHyphens/>
        <w:spacing w:before="120" w:after="0" w:line="288" w:lineRule="auto"/>
        <w:ind w:left="0"/>
        <w:rPr>
          <w:rFonts w:ascii="VIC" w:eastAsia="Times" w:hAnsi="VIC"/>
          <w:lang w:eastAsia="en-US"/>
        </w:rPr>
      </w:pPr>
      <w:r w:rsidRPr="00453F4B">
        <w:rPr>
          <w:rFonts w:ascii="VIC" w:eastAsia="Times" w:hAnsi="VIC"/>
          <w:lang w:eastAsia="en-US"/>
        </w:rPr>
        <w:t xml:space="preserve">This zone is </w:t>
      </w:r>
      <w:proofErr w:type="gramStart"/>
      <w:r w:rsidRPr="00453F4B">
        <w:rPr>
          <w:rFonts w:ascii="VIC" w:eastAsia="Times" w:hAnsi="VIC"/>
          <w:lang w:eastAsia="en-US"/>
        </w:rPr>
        <w:t>similar to</w:t>
      </w:r>
      <w:proofErr w:type="gramEnd"/>
      <w:r w:rsidRPr="00453F4B">
        <w:rPr>
          <w:rFonts w:ascii="VIC" w:eastAsia="Times" w:hAnsi="VIC"/>
          <w:lang w:eastAsia="en-US"/>
        </w:rPr>
        <w:t xml:space="preserve"> the Special Use Zone but is designed to allow more complex developments in accordance with a comprehensive development plan incorporated in the planning scheme. Generally, only large or complex developments would warrant the use of this zone. </w:t>
      </w:r>
    </w:p>
    <w:p w14:paraId="256E7F23" w14:textId="77777777" w:rsidR="000D4739" w:rsidRPr="007E0672" w:rsidRDefault="000D4739" w:rsidP="006952A7">
      <w:pPr>
        <w:pStyle w:val="Heading4"/>
      </w:pPr>
      <w:bookmarkStart w:id="183" w:name="_Toc418756015"/>
      <w:bookmarkStart w:id="184" w:name="_Toc109660954"/>
      <w:r w:rsidRPr="007E0672">
        <w:t>Urban Floodway Zone (</w:t>
      </w:r>
      <w:r>
        <w:t>c</w:t>
      </w:r>
      <w:r w:rsidRPr="007E0672">
        <w:t>lause 37.03 and schedule)</w:t>
      </w:r>
      <w:bookmarkEnd w:id="183"/>
      <w:bookmarkEnd w:id="184"/>
    </w:p>
    <w:p w14:paraId="1B103437" w14:textId="390ABBBD" w:rsidR="000D4739" w:rsidRPr="00453F4B" w:rsidRDefault="000D4739" w:rsidP="00453F4B">
      <w:pPr>
        <w:pStyle w:val="BodyText10"/>
        <w:suppressAutoHyphens/>
        <w:spacing w:before="120" w:after="0" w:line="288" w:lineRule="auto"/>
        <w:ind w:left="0"/>
        <w:rPr>
          <w:rFonts w:ascii="VIC" w:eastAsia="Times" w:hAnsi="VIC"/>
          <w:lang w:eastAsia="en-US"/>
        </w:rPr>
      </w:pPr>
      <w:r w:rsidRPr="00453F4B">
        <w:rPr>
          <w:rFonts w:ascii="VIC" w:eastAsia="Times" w:hAnsi="VIC"/>
          <w:lang w:eastAsia="en-US"/>
        </w:rPr>
        <w:t>This zone is applied to urban land where the primary function of the land is to carry or store floodwater. It applies to high hazard areas with high flow velocities, where impediment of floodwater can cause significant changes in flood flows and adversely affect flooding in other areas. Where land is subject only to inundation and low velocities, the Land Subject to Inundation Overlay can be used. The views and flooding information of the relevant floodplain management authority must be considered when applying this zone.</w:t>
      </w:r>
    </w:p>
    <w:p w14:paraId="57AFD4EE" w14:textId="77777777" w:rsidR="000D4739" w:rsidRPr="007E0672" w:rsidRDefault="000D4739" w:rsidP="006952A7">
      <w:pPr>
        <w:pStyle w:val="Heading4"/>
      </w:pPr>
      <w:bookmarkStart w:id="185" w:name="_Toc418756016"/>
      <w:bookmarkStart w:id="186" w:name="_Toc109660955"/>
      <w:r w:rsidRPr="007E0672">
        <w:t>Capital City Zone (</w:t>
      </w:r>
      <w:r>
        <w:t>c</w:t>
      </w:r>
      <w:r w:rsidRPr="007E0672">
        <w:t>lause 37.04 and schedule)</w:t>
      </w:r>
      <w:bookmarkEnd w:id="185"/>
      <w:bookmarkEnd w:id="186"/>
    </w:p>
    <w:p w14:paraId="0F889C16" w14:textId="77777777" w:rsidR="000D4739" w:rsidRPr="00453F4B" w:rsidRDefault="000D4739" w:rsidP="00453F4B">
      <w:pPr>
        <w:pStyle w:val="BodyText10"/>
        <w:suppressAutoHyphens/>
        <w:spacing w:before="120" w:after="0" w:line="288" w:lineRule="auto"/>
        <w:ind w:left="0"/>
        <w:rPr>
          <w:rFonts w:ascii="VIC" w:eastAsia="Times" w:hAnsi="VIC"/>
          <w:lang w:eastAsia="en-US"/>
        </w:rPr>
      </w:pPr>
      <w:r w:rsidRPr="00453F4B">
        <w:rPr>
          <w:rFonts w:ascii="VIC" w:eastAsia="Times" w:hAnsi="VIC"/>
          <w:lang w:eastAsia="en-US"/>
        </w:rPr>
        <w:t xml:space="preserve">This zone provides for the use and development of land in Melbourne’s central city area, recognising its role as the capital of Victoria and as an area of national and international importance. It operates in a similar manner to the Special Use Zone. Detailed requirements are prescribed for a particular site or area through the schedule to the zone. The zone does not specify a sign category but requires a permit for all signs unless a schedule specifies otherwise. Exemptions from notice and review can be given if desired. </w:t>
      </w:r>
    </w:p>
    <w:p w14:paraId="06D8A182" w14:textId="77777777" w:rsidR="000D4739" w:rsidRPr="007E0672" w:rsidRDefault="000D4739" w:rsidP="006952A7">
      <w:pPr>
        <w:pStyle w:val="Heading4"/>
      </w:pPr>
      <w:bookmarkStart w:id="187" w:name="_Toc418756017"/>
      <w:bookmarkStart w:id="188" w:name="_Toc109660956"/>
      <w:r w:rsidRPr="007E0672">
        <w:t>Docklands Zone (</w:t>
      </w:r>
      <w:r>
        <w:t>c</w:t>
      </w:r>
      <w:r w:rsidRPr="007E0672">
        <w:t>lause 37.05 and schedule)</w:t>
      </w:r>
      <w:bookmarkEnd w:id="187"/>
      <w:bookmarkEnd w:id="188"/>
    </w:p>
    <w:p w14:paraId="3FB89D77" w14:textId="77777777" w:rsidR="000D4739" w:rsidRPr="00453F4B" w:rsidRDefault="000D4739" w:rsidP="00453F4B">
      <w:pPr>
        <w:pStyle w:val="BodyText10"/>
        <w:suppressAutoHyphens/>
        <w:spacing w:before="120" w:after="0" w:line="288" w:lineRule="auto"/>
        <w:ind w:left="0"/>
        <w:rPr>
          <w:rFonts w:ascii="VIC" w:eastAsia="Times" w:hAnsi="VIC"/>
          <w:lang w:eastAsia="en-US"/>
        </w:rPr>
      </w:pPr>
      <w:r w:rsidRPr="00453F4B">
        <w:rPr>
          <w:rFonts w:ascii="VIC" w:eastAsia="Times" w:hAnsi="VIC"/>
          <w:lang w:eastAsia="en-US"/>
        </w:rPr>
        <w:t xml:space="preserve">This zone provides for the use and development of land in Melbourne’s Docklands area, in a manner consistent with the development strategy adopted by the Docklands Authority. It operates in a similar manner to the Special Use Zone. Detailed requirements are prescribed for a particular site or area in the schedule to the zone. The schedule specifies car parking requirements. Exemptions from notice and review can be specified if desired. </w:t>
      </w:r>
    </w:p>
    <w:p w14:paraId="287DC2A3" w14:textId="77777777" w:rsidR="000D4739" w:rsidRPr="007E0672" w:rsidRDefault="000D4739" w:rsidP="006952A7">
      <w:pPr>
        <w:pStyle w:val="Heading4"/>
      </w:pPr>
      <w:bookmarkStart w:id="189" w:name="_Toc418756018"/>
      <w:bookmarkStart w:id="190" w:name="_Toc109660957"/>
      <w:r w:rsidRPr="007E0672">
        <w:t>Priority Development Zone (</w:t>
      </w:r>
      <w:r>
        <w:t>c</w:t>
      </w:r>
      <w:r w:rsidRPr="007E0672">
        <w:t>lause 37.06 and schedule)</w:t>
      </w:r>
      <w:bookmarkEnd w:id="189"/>
      <w:bookmarkEnd w:id="190"/>
    </w:p>
    <w:p w14:paraId="7BA0A9F9" w14:textId="77777777" w:rsidR="000D4739" w:rsidRPr="00453F4B" w:rsidRDefault="000D4739" w:rsidP="00453F4B">
      <w:pPr>
        <w:pStyle w:val="BodyText10"/>
        <w:suppressAutoHyphens/>
        <w:spacing w:before="120" w:after="0" w:line="288" w:lineRule="auto"/>
        <w:ind w:left="0"/>
        <w:rPr>
          <w:rFonts w:ascii="VIC" w:eastAsia="Times" w:hAnsi="VIC"/>
          <w:lang w:eastAsia="en-US"/>
        </w:rPr>
      </w:pPr>
      <w:r w:rsidRPr="00453F4B">
        <w:rPr>
          <w:rFonts w:ascii="VIC" w:eastAsia="Times" w:hAnsi="VIC"/>
          <w:lang w:eastAsia="en-US"/>
        </w:rPr>
        <w:t>This is a specialised zone designed to implement approved strategies and developments of state or regional significance at specific locations. The zone facilitates the approval and management of complex projects where agreement on the desired form of development has been reached between the responsible authority and the developer. The detailed provisions of the zone are linked to agreed development plans. The zone exempts development that conforms with an agreed incorporated plan from third-party reviews unless a right to review is specifically included in the schedule.</w:t>
      </w:r>
    </w:p>
    <w:p w14:paraId="5DA5AF97" w14:textId="77777777" w:rsidR="000D4739" w:rsidRPr="007E0672" w:rsidRDefault="000D4739" w:rsidP="006952A7">
      <w:pPr>
        <w:pStyle w:val="Heading4"/>
      </w:pPr>
      <w:bookmarkStart w:id="191" w:name="_Toc418756019"/>
      <w:bookmarkStart w:id="192" w:name="_Toc109660958"/>
      <w:r w:rsidRPr="007E0672">
        <w:t>Urban Growth Zone (</w:t>
      </w:r>
      <w:r>
        <w:t>c</w:t>
      </w:r>
      <w:r w:rsidRPr="007E0672">
        <w:t>lause 37.07 and schedule)</w:t>
      </w:r>
      <w:bookmarkEnd w:id="191"/>
      <w:bookmarkEnd w:id="192"/>
    </w:p>
    <w:p w14:paraId="384E10B1" w14:textId="77777777" w:rsidR="000D4739" w:rsidRPr="00453F4B" w:rsidRDefault="000D4739" w:rsidP="00453F4B">
      <w:pPr>
        <w:pStyle w:val="BodyText10"/>
        <w:suppressAutoHyphens/>
        <w:spacing w:before="120" w:after="0" w:line="288" w:lineRule="auto"/>
        <w:ind w:left="0"/>
        <w:rPr>
          <w:rFonts w:ascii="VIC" w:eastAsia="Times" w:hAnsi="VIC"/>
          <w:lang w:eastAsia="en-US"/>
        </w:rPr>
      </w:pPr>
      <w:r w:rsidRPr="00453F4B">
        <w:rPr>
          <w:rFonts w:ascii="VIC" w:eastAsia="Times" w:hAnsi="VIC"/>
          <w:lang w:eastAsia="en-US"/>
        </w:rPr>
        <w:t xml:space="preserve">This zone sets out the requirements for the development of new residential and employment precincts on previously undeveloped land. It requires the establishment of a precinct structure plan before a growth area can be developed and subdivided. The zone includes </w:t>
      </w:r>
      <w:r w:rsidRPr="00453F4B">
        <w:rPr>
          <w:rFonts w:ascii="VIC" w:eastAsia="Times" w:hAnsi="VIC"/>
          <w:lang w:eastAsia="en-US"/>
        </w:rPr>
        <w:lastRenderedPageBreak/>
        <w:t>provisions to ensure that any new use and development does not prejudice the future urban use and development of the land where a precinct structure plan is yet to be applied.</w:t>
      </w:r>
    </w:p>
    <w:p w14:paraId="7551D393" w14:textId="77777777" w:rsidR="00334D40" w:rsidRPr="00453F4B" w:rsidRDefault="000D4739" w:rsidP="00453F4B">
      <w:pPr>
        <w:pStyle w:val="BodyText10"/>
        <w:suppressAutoHyphens/>
        <w:spacing w:before="120" w:after="0" w:line="288" w:lineRule="auto"/>
        <w:ind w:left="0"/>
        <w:rPr>
          <w:rFonts w:ascii="VIC" w:eastAsia="Times" w:hAnsi="VIC"/>
          <w:lang w:eastAsia="en-US"/>
        </w:rPr>
      </w:pPr>
      <w:r w:rsidRPr="00453F4B">
        <w:rPr>
          <w:rFonts w:ascii="VIC" w:eastAsia="Times" w:hAnsi="VIC"/>
          <w:lang w:eastAsia="en-US"/>
        </w:rPr>
        <w:t>Where a precinct structure plan is in place, the zone provides for specific zone provisions to be applied by way of a schedule.</w:t>
      </w:r>
    </w:p>
    <w:p w14:paraId="18084343" w14:textId="5F5D2224" w:rsidR="000D4739" w:rsidRPr="00453F4B" w:rsidRDefault="00334D40" w:rsidP="00453F4B">
      <w:pPr>
        <w:pStyle w:val="BodyText10"/>
        <w:suppressAutoHyphens/>
        <w:spacing w:before="120" w:after="0" w:line="288" w:lineRule="auto"/>
        <w:ind w:left="0"/>
        <w:rPr>
          <w:rFonts w:ascii="VIC" w:eastAsia="Times" w:hAnsi="VIC"/>
          <w:lang w:eastAsia="en-US"/>
        </w:rPr>
      </w:pPr>
      <w:r w:rsidRPr="00453F4B">
        <w:rPr>
          <w:rFonts w:ascii="VIC" w:eastAsia="Times" w:hAnsi="VIC"/>
          <w:lang w:eastAsia="en-US"/>
        </w:rPr>
        <w:t xml:space="preserve">See the </w:t>
      </w:r>
      <w:r w:rsidR="00627698" w:rsidRPr="00453F4B">
        <w:rPr>
          <w:rFonts w:ascii="VIC" w:eastAsia="Times" w:hAnsi="VIC"/>
          <w:lang w:eastAsia="en-US"/>
        </w:rPr>
        <w:t>Green Wedge Planning</w:t>
      </w:r>
      <w:r w:rsidR="00CA6AB0" w:rsidRPr="00453F4B">
        <w:rPr>
          <w:rFonts w:ascii="VIC" w:eastAsia="Times" w:hAnsi="VIC"/>
          <w:lang w:eastAsia="en-US"/>
        </w:rPr>
        <w:t xml:space="preserve"> Provisions</w:t>
      </w:r>
      <w:r w:rsidR="00627698" w:rsidRPr="00453F4B">
        <w:rPr>
          <w:rFonts w:ascii="VIC" w:eastAsia="Times" w:hAnsi="VIC"/>
          <w:lang w:eastAsia="en-US"/>
        </w:rPr>
        <w:t xml:space="preserve"> webpage at </w:t>
      </w:r>
      <w:r w:rsidR="00627698" w:rsidRPr="00453F4B">
        <w:rPr>
          <w:rFonts w:ascii="VIC" w:eastAsia="Times" w:hAnsi="VIC"/>
          <w:b/>
          <w:bCs/>
          <w:lang w:eastAsia="en-US"/>
        </w:rPr>
        <w:t>planning.vic.gov.au</w:t>
      </w:r>
      <w:r w:rsidR="00627698" w:rsidRPr="00453F4B">
        <w:rPr>
          <w:rFonts w:ascii="VIC" w:eastAsia="Times" w:hAnsi="VIC"/>
          <w:lang w:eastAsia="en-US"/>
        </w:rPr>
        <w:t xml:space="preserve"> for advice about</w:t>
      </w:r>
      <w:r w:rsidR="000D4739" w:rsidRPr="00453F4B">
        <w:rPr>
          <w:rFonts w:ascii="VIC" w:eastAsia="Times" w:hAnsi="VIC"/>
          <w:lang w:eastAsia="en-US"/>
        </w:rPr>
        <w:t xml:space="preserve"> the operation of the zone and the role and function of precinct structure plans.</w:t>
      </w:r>
    </w:p>
    <w:p w14:paraId="10091831" w14:textId="3DEC51F3" w:rsidR="000D4739" w:rsidRPr="007E0672" w:rsidRDefault="000D4739" w:rsidP="006952A7">
      <w:pPr>
        <w:pStyle w:val="Heading4"/>
      </w:pPr>
      <w:bookmarkStart w:id="193" w:name="_Toc418756020"/>
      <w:bookmarkStart w:id="194" w:name="_Toc109660959"/>
      <w:r w:rsidRPr="007E0672">
        <w:t>Activity Centre Zone (</w:t>
      </w:r>
      <w:r>
        <w:t>c</w:t>
      </w:r>
      <w:r w:rsidRPr="007E0672">
        <w:t>lause 37.08 and schedule)</w:t>
      </w:r>
      <w:bookmarkEnd w:id="193"/>
      <w:bookmarkEnd w:id="194"/>
    </w:p>
    <w:p w14:paraId="47F1C1C7" w14:textId="77777777" w:rsidR="000D4739" w:rsidRPr="00453F4B" w:rsidRDefault="000D4739" w:rsidP="00453F4B">
      <w:pPr>
        <w:pStyle w:val="BodyText10"/>
        <w:suppressAutoHyphens/>
        <w:spacing w:before="120" w:after="0" w:line="288" w:lineRule="auto"/>
        <w:ind w:left="0"/>
        <w:rPr>
          <w:rFonts w:ascii="VIC" w:eastAsia="Times" w:hAnsi="VIC"/>
          <w:lang w:eastAsia="en-US"/>
        </w:rPr>
      </w:pPr>
      <w:r w:rsidRPr="00453F4B">
        <w:rPr>
          <w:rFonts w:ascii="VIC" w:eastAsia="Times" w:hAnsi="VIC"/>
          <w:lang w:eastAsia="en-US"/>
        </w:rPr>
        <w:t xml:space="preserve">The Activity Centre Zone is the preferred tool to guide and facilitate the use and development of land in activity centres. The zone encourages a mix of uses and intensive development including higher density housing. The zone allows for a schedule to specify or vary the land use provisions together with other provisions in the zone. See </w:t>
      </w:r>
      <w:r w:rsidRPr="00453F4B">
        <w:rPr>
          <w:rFonts w:ascii="VIC" w:eastAsia="Times" w:hAnsi="VIC"/>
          <w:i/>
          <w:iCs/>
          <w:lang w:eastAsia="en-US"/>
        </w:rPr>
        <w:t>Planning Practice Note 56 – Activity Centre Zone</w:t>
      </w:r>
      <w:r w:rsidRPr="00453F4B">
        <w:rPr>
          <w:rFonts w:ascii="VIC" w:eastAsia="Times" w:hAnsi="VIC"/>
          <w:lang w:eastAsia="en-US"/>
        </w:rPr>
        <w:t xml:space="preserve"> for detailed guidance on the zone.</w:t>
      </w:r>
    </w:p>
    <w:p w14:paraId="20A3CF0E" w14:textId="77777777" w:rsidR="000D4739" w:rsidRPr="007E0672" w:rsidRDefault="000D4739" w:rsidP="006952A7">
      <w:pPr>
        <w:pStyle w:val="Heading4"/>
      </w:pPr>
      <w:bookmarkStart w:id="195" w:name="_Toc418756021"/>
      <w:bookmarkStart w:id="196" w:name="_Toc109660960"/>
      <w:r w:rsidRPr="007E0672">
        <w:t>Port Zone</w:t>
      </w:r>
      <w:bookmarkEnd w:id="195"/>
      <w:r>
        <w:t xml:space="preserve"> (clause 37.09 and schedule)</w:t>
      </w:r>
      <w:bookmarkEnd w:id="196"/>
    </w:p>
    <w:p w14:paraId="0C713B68" w14:textId="38A50912" w:rsidR="000D4739" w:rsidRPr="00F25AB3" w:rsidRDefault="000D4739" w:rsidP="00F25AB3">
      <w:pPr>
        <w:pStyle w:val="BodyText10"/>
        <w:suppressAutoHyphens/>
        <w:spacing w:before="120" w:after="0" w:line="288" w:lineRule="auto"/>
        <w:ind w:left="0"/>
        <w:rPr>
          <w:rFonts w:ascii="VIC" w:eastAsia="Times" w:hAnsi="VIC"/>
          <w:lang w:eastAsia="en-US"/>
        </w:rPr>
      </w:pPr>
      <w:r w:rsidRPr="00F25AB3">
        <w:rPr>
          <w:rFonts w:ascii="VIC" w:eastAsia="Times" w:hAnsi="VIC"/>
          <w:lang w:eastAsia="en-US"/>
        </w:rPr>
        <w:t>This zone seeks to ensure that land use and development recognises the significant transport, logistics and prime maritime gateway roles of Victoria’s commercial trading ports. It supports shipping, road and railway access to those ports and uses that derive direct benefit from co-locating with them. While it provides for the ongoing use and development of Victoria’s commercial trading ports, the zone also seeks to protect uses in adjacent residential zones, the Capital City Zone or the Docklands Zone and any land used for or proposed to be acquired for a hospital or an education centre. An application is exempt from the notice and review provisions of the PE Act except within 30 metres of such land.</w:t>
      </w:r>
    </w:p>
    <w:p w14:paraId="489C730F" w14:textId="5B78E8B8" w:rsidR="00DC2411" w:rsidRPr="00986209" w:rsidRDefault="00192896" w:rsidP="00BA6981">
      <w:pPr>
        <w:pStyle w:val="Heading2"/>
      </w:pPr>
      <w:bookmarkStart w:id="197" w:name="_5.2_Applying_an"/>
      <w:bookmarkStart w:id="198" w:name="_Toc158706983"/>
      <w:bookmarkEnd w:id="197"/>
      <w:r>
        <w:t>5.2</w:t>
      </w:r>
      <w:r w:rsidR="00013A7E">
        <w:tab/>
      </w:r>
      <w:r w:rsidR="00AB2C0B" w:rsidRPr="00986209">
        <w:t>Applying an overlay</w:t>
      </w:r>
      <w:bookmarkEnd w:id="122"/>
      <w:bookmarkEnd w:id="123"/>
      <w:bookmarkEnd w:id="198"/>
    </w:p>
    <w:p w14:paraId="489C7310" w14:textId="77777777" w:rsidR="00754143" w:rsidRPr="00F25AB3" w:rsidRDefault="00AB2C0B" w:rsidP="00F25AB3">
      <w:pPr>
        <w:pStyle w:val="BodyText10"/>
        <w:suppressAutoHyphens/>
        <w:spacing w:before="120" w:after="0" w:line="288" w:lineRule="auto"/>
        <w:ind w:left="0"/>
        <w:rPr>
          <w:rFonts w:ascii="VIC" w:eastAsia="Times" w:hAnsi="VIC"/>
          <w:lang w:eastAsia="en-US"/>
        </w:rPr>
      </w:pPr>
      <w:r w:rsidRPr="00F25AB3">
        <w:rPr>
          <w:rFonts w:ascii="VIC" w:eastAsia="Times" w:hAnsi="VIC"/>
          <w:lang w:eastAsia="en-US"/>
        </w:rPr>
        <w:t>An overlay can be used to complement the zoning of land in managing development.</w:t>
      </w:r>
      <w:r w:rsidR="00DA5AF6" w:rsidRPr="00F25AB3">
        <w:rPr>
          <w:rFonts w:ascii="VIC" w:eastAsia="Times" w:hAnsi="VIC"/>
          <w:lang w:eastAsia="en-US"/>
        </w:rPr>
        <w:t xml:space="preserve"> </w:t>
      </w:r>
      <w:r w:rsidRPr="00F25AB3">
        <w:rPr>
          <w:rFonts w:ascii="VIC" w:eastAsia="Times" w:hAnsi="VIC"/>
          <w:lang w:eastAsia="en-US"/>
        </w:rPr>
        <w:t>Certain overlays also control the use of land in special circumstances.</w:t>
      </w:r>
      <w:r w:rsidR="00DA5AF6" w:rsidRPr="00F25AB3">
        <w:rPr>
          <w:rFonts w:ascii="VIC" w:eastAsia="Times" w:hAnsi="VIC"/>
          <w:lang w:eastAsia="en-US"/>
        </w:rPr>
        <w:t xml:space="preserve"> </w:t>
      </w:r>
      <w:r w:rsidRPr="00F25AB3">
        <w:rPr>
          <w:rFonts w:ascii="VIC" w:eastAsia="Times" w:hAnsi="VIC"/>
          <w:lang w:eastAsia="en-US"/>
        </w:rPr>
        <w:t>Applying an overlay to land requires careful consideration of the development outcomes sought for the land.</w:t>
      </w:r>
      <w:r w:rsidR="00DA5AF6" w:rsidRPr="00F25AB3">
        <w:rPr>
          <w:rFonts w:ascii="VIC" w:eastAsia="Times" w:hAnsi="VIC"/>
          <w:lang w:eastAsia="en-US"/>
        </w:rPr>
        <w:t xml:space="preserve"> </w:t>
      </w:r>
      <w:r w:rsidRPr="00F25AB3">
        <w:rPr>
          <w:rFonts w:ascii="VIC" w:eastAsia="Times" w:hAnsi="VIC"/>
          <w:lang w:eastAsia="en-US"/>
        </w:rPr>
        <w:t xml:space="preserve">These outcomes should be determined by the policies of the MPS and the PPF and any </w:t>
      </w:r>
      <w:proofErr w:type="gramStart"/>
      <w:r w:rsidRPr="00F25AB3">
        <w:rPr>
          <w:rFonts w:ascii="VIC" w:eastAsia="Times" w:hAnsi="VIC"/>
          <w:lang w:eastAsia="en-US"/>
        </w:rPr>
        <w:t>particular characteristic</w:t>
      </w:r>
      <w:proofErr w:type="gramEnd"/>
      <w:r w:rsidRPr="00F25AB3">
        <w:rPr>
          <w:rFonts w:ascii="VIC" w:eastAsia="Times" w:hAnsi="VIC"/>
          <w:lang w:eastAsia="en-US"/>
        </w:rPr>
        <w:t xml:space="preserve"> of the land.</w:t>
      </w:r>
    </w:p>
    <w:p w14:paraId="489C7311" w14:textId="77777777" w:rsidR="00754143" w:rsidRDefault="00AB2C0B" w:rsidP="002E55BC">
      <w:pPr>
        <w:pStyle w:val="BodyText1"/>
      </w:pPr>
      <w:r>
        <w:t>In determining whether to apply an overlay, consider:</w:t>
      </w:r>
    </w:p>
    <w:p w14:paraId="489C7312" w14:textId="77777777" w:rsidR="00DC2411" w:rsidRDefault="00AB2C0B" w:rsidP="00723A0D">
      <w:pPr>
        <w:pStyle w:val="DELWPbullet1"/>
      </w:pPr>
      <w:r w:rsidRPr="007555FD">
        <w:t>the land</w:t>
      </w:r>
      <w:r>
        <w:t>, including, natural features, previous uses, future uses, adjoining uses, ownership, management and the requirements of any other legislation that may apply to the land</w:t>
      </w:r>
    </w:p>
    <w:p w14:paraId="489C7313" w14:textId="77777777" w:rsidR="00DC2411" w:rsidRDefault="00AB2C0B" w:rsidP="00723A0D">
      <w:pPr>
        <w:pStyle w:val="DELWPbullet1"/>
      </w:pPr>
      <w:r w:rsidRPr="007555FD">
        <w:t>the intended development outcomes</w:t>
      </w:r>
      <w:r>
        <w:t xml:space="preserve"> set out in the MPS and the PPF, </w:t>
      </w:r>
      <w:proofErr w:type="gramStart"/>
      <w:r>
        <w:t>as a consequence of</w:t>
      </w:r>
      <w:proofErr w:type="gramEnd"/>
      <w:r>
        <w:t xml:space="preserve"> a previous or current land use, or a particular physical characteristic of the land</w:t>
      </w:r>
    </w:p>
    <w:p w14:paraId="489C7314" w14:textId="77777777" w:rsidR="00DC2411" w:rsidRDefault="00AB2C0B" w:rsidP="00723A0D">
      <w:pPr>
        <w:pStyle w:val="DELWPbullet1"/>
      </w:pPr>
      <w:r w:rsidRPr="007555FD">
        <w:t>the purposes and provisions</w:t>
      </w:r>
      <w:r>
        <w:t xml:space="preserve"> of the overlay and the extent of local variation available in any schedule to the overlay.</w:t>
      </w:r>
    </w:p>
    <w:p w14:paraId="489C7315" w14:textId="5B41E4BC" w:rsidR="00754143" w:rsidRPr="003E1889" w:rsidRDefault="00013A7E" w:rsidP="004F6A20">
      <w:pPr>
        <w:pStyle w:val="Heading3"/>
      </w:pPr>
      <w:r>
        <w:t>5.2.1</w:t>
      </w:r>
      <w:r>
        <w:tab/>
      </w:r>
      <w:r w:rsidR="00BB5269">
        <w:tab/>
      </w:r>
      <w:r w:rsidR="00AB2C0B" w:rsidRPr="003E1889">
        <w:t>Overlays on public land</w:t>
      </w:r>
    </w:p>
    <w:p w14:paraId="489C7316" w14:textId="588169E6" w:rsidR="00DC2411" w:rsidRDefault="00AB2C0B" w:rsidP="002E55BC">
      <w:pPr>
        <w:pStyle w:val="BodyText1"/>
      </w:pPr>
      <w:r>
        <w:t>The decision about whether to apply an overlay to public land will depend on the nature of the overlay and the land management legislation of the public land manager</w:t>
      </w:r>
      <w:r w:rsidR="00E33407">
        <w:t xml:space="preserve"> or transport manager</w:t>
      </w:r>
      <w:r>
        <w:t xml:space="preserve">. For example, a Vegetation Protection Overlay over a state forest duplicates the function of the public land manager. However, a Vegetation Protection Overlay may </w:t>
      </w:r>
      <w:r>
        <w:lastRenderedPageBreak/>
        <w:t xml:space="preserve">sometimes be appropriate over significant vegetation on road or railway land (where the core </w:t>
      </w:r>
      <w:r w:rsidR="00AF257E">
        <w:t xml:space="preserve">function </w:t>
      </w:r>
      <w:r>
        <w:t>is not the management of the vegetation).</w:t>
      </w:r>
    </w:p>
    <w:p w14:paraId="489C7317" w14:textId="77777777" w:rsidR="00754143" w:rsidRDefault="00AB2C0B" w:rsidP="002E55BC">
      <w:pPr>
        <w:pStyle w:val="BodyText1"/>
      </w:pPr>
      <w:r>
        <w:t>Like the application of any overlay, there must be specific justification for the additional requirement. Appropriate provision should be made for the routine operations of the public use, such as exemption for regular maintenance.</w:t>
      </w:r>
    </w:p>
    <w:p w14:paraId="489C7318" w14:textId="09F0FA35" w:rsidR="00754143" w:rsidRPr="006767DC" w:rsidRDefault="00013A7E" w:rsidP="004F6A20">
      <w:pPr>
        <w:pStyle w:val="Heading3"/>
      </w:pPr>
      <w:r>
        <w:t>5.2.2</w:t>
      </w:r>
      <w:r>
        <w:tab/>
      </w:r>
      <w:r w:rsidR="00BB5269">
        <w:tab/>
      </w:r>
      <w:r w:rsidR="00AB2C0B" w:rsidRPr="006767DC">
        <w:t>Heritage</w:t>
      </w:r>
    </w:p>
    <w:p w14:paraId="489C7319" w14:textId="77777777" w:rsidR="00754143" w:rsidRDefault="00AB2C0B" w:rsidP="002E55BC">
      <w:pPr>
        <w:pStyle w:val="BodyText1"/>
      </w:pPr>
      <w:r>
        <w:t>A heritage place should be included in the schedule to the Heritage Overlay. A heritage place may include a single object or an area and includes a place:</w:t>
      </w:r>
    </w:p>
    <w:p w14:paraId="489C731A" w14:textId="77777777" w:rsidR="00DC2411" w:rsidRDefault="00AB2C0B" w:rsidP="00723A0D">
      <w:pPr>
        <w:pStyle w:val="DELWPbullet1"/>
      </w:pPr>
      <w:r>
        <w:t xml:space="preserve">listed on the Australian Heritage Council’s (now closed) </w:t>
      </w:r>
      <w:r w:rsidRPr="007E64CD">
        <w:rPr>
          <w:rStyle w:val="Emphasis"/>
        </w:rPr>
        <w:t>Register of the National Estate</w:t>
      </w:r>
    </w:p>
    <w:p w14:paraId="489C731B" w14:textId="77777777" w:rsidR="00DC2411" w:rsidRDefault="00AB2C0B" w:rsidP="00723A0D">
      <w:pPr>
        <w:pStyle w:val="DELWPbullet1"/>
      </w:pPr>
      <w:r>
        <w:t>referred by the Heritage Council for consideration for an amendment to the planning scheme</w:t>
      </w:r>
    </w:p>
    <w:p w14:paraId="489C731D" w14:textId="77777777" w:rsidR="00DC2411" w:rsidRDefault="00AB2C0B" w:rsidP="00723A0D">
      <w:pPr>
        <w:pStyle w:val="DELWPbullet1"/>
      </w:pPr>
      <w:r>
        <w:t>identified in a local heritage study, provided the significance of the place can be shown to justify the application of the overlay.</w:t>
      </w:r>
    </w:p>
    <w:p w14:paraId="489C731E" w14:textId="48CE4AF1" w:rsidR="00754143" w:rsidRDefault="00AB2C0B" w:rsidP="002E55BC">
      <w:pPr>
        <w:pStyle w:val="DELWPbodyafterbullets"/>
      </w:pPr>
      <w:r>
        <w:t xml:space="preserve">Places listed on the former </w:t>
      </w:r>
      <w:r w:rsidRPr="007E64CD">
        <w:rPr>
          <w:rStyle w:val="Emphasis"/>
        </w:rPr>
        <w:t xml:space="preserve">Register of the National Estate </w:t>
      </w:r>
      <w:r>
        <w:t xml:space="preserve">or on the </w:t>
      </w:r>
      <w:r w:rsidRPr="007E64CD">
        <w:rPr>
          <w:rStyle w:val="Emphasis"/>
        </w:rPr>
        <w:t>National Trust Heritage Register</w:t>
      </w:r>
      <w:r>
        <w:t xml:space="preserve"> of the National Trust of Australia (Victoria) do not have statutory protection unless they are protected in the planning scheme.</w:t>
      </w:r>
      <w:r w:rsidR="00F575DD">
        <w:t xml:space="preserve"> </w:t>
      </w:r>
    </w:p>
    <w:p w14:paraId="489C731F" w14:textId="2A48A757" w:rsidR="00754143" w:rsidRDefault="00AB2C0B" w:rsidP="002E55BC">
      <w:pPr>
        <w:pStyle w:val="BodyText1"/>
      </w:pPr>
      <w:r>
        <w:t xml:space="preserve">The heritage process leading to the identification of a place must clearly justify the significance of the place as a basis for its inclusion in the Heritage Overlay. The documentation for each place must therefore include a statement of significance that clearly establishes the importance of the place and addresses the heritage criteria. </w:t>
      </w:r>
      <w:r w:rsidDel="00EE2285">
        <w:t xml:space="preserve">See </w:t>
      </w:r>
      <w:r w:rsidR="0074503B" w:rsidRPr="00BA0BD1" w:rsidDel="00EE2285">
        <w:t>Chapter</w:t>
      </w:r>
      <w:r w:rsidRPr="00BA0BD1" w:rsidDel="00EE2285">
        <w:t xml:space="preserve"> </w:t>
      </w:r>
      <w:r w:rsidR="006E0EE1" w:rsidRPr="00BA0BD1">
        <w:t>6</w:t>
      </w:r>
      <w:r w:rsidR="007E3F82" w:rsidRPr="00BA0BD1">
        <w:t>.</w:t>
      </w:r>
      <w:r w:rsidR="007E3F82" w:rsidRPr="00BA0BD1" w:rsidDel="00EE2285">
        <w:t>5.</w:t>
      </w:r>
      <w:r w:rsidR="006E0EE1" w:rsidRPr="00BA0BD1">
        <w:t>8</w:t>
      </w:r>
      <w:r w:rsidRPr="00F83B49" w:rsidDel="00EE2285">
        <w:t xml:space="preserve"> for info</w:t>
      </w:r>
      <w:r w:rsidDel="00EE2285">
        <w:t xml:space="preserve">rmation on statements of significance in the Heritage Overlay. </w:t>
      </w:r>
      <w:r>
        <w:t>This statement must be included as an incorporated document in the planning scheme.</w:t>
      </w:r>
    </w:p>
    <w:p w14:paraId="7BF7EB56" w14:textId="77777777" w:rsidR="00B34F3A" w:rsidRDefault="00B34F3A">
      <w:pPr>
        <w:suppressAutoHyphens w:val="0"/>
        <w:spacing w:after="0" w:line="240" w:lineRule="auto"/>
        <w:rPr>
          <w:rFonts w:ascii="VIC" w:eastAsia="MS Gothic" w:hAnsi="VIC"/>
          <w:b/>
          <w:bCs/>
          <w:color w:val="00828D"/>
          <w:sz w:val="24"/>
          <w:szCs w:val="24"/>
          <w:lang w:eastAsia="en-US"/>
        </w:rPr>
      </w:pPr>
      <w:r>
        <w:br w:type="page"/>
      </w:r>
    </w:p>
    <w:p w14:paraId="489C7320" w14:textId="0D7FD415" w:rsidR="00754143" w:rsidRPr="00361E71" w:rsidRDefault="00013A7E" w:rsidP="004F6A20">
      <w:pPr>
        <w:pStyle w:val="Heading3"/>
      </w:pPr>
      <w:r>
        <w:lastRenderedPageBreak/>
        <w:t>5.2.3</w:t>
      </w:r>
      <w:r>
        <w:tab/>
      </w:r>
      <w:r w:rsidR="00BB5269">
        <w:tab/>
      </w:r>
      <w:r w:rsidR="00AB2C0B" w:rsidRPr="006767DC">
        <w:t>Vegetation</w:t>
      </w:r>
      <w:r w:rsidR="00AB2C0B" w:rsidRPr="00361E71">
        <w:t xml:space="preserve"> protection</w:t>
      </w:r>
    </w:p>
    <w:p w14:paraId="489C7321" w14:textId="77777777" w:rsidR="00754143" w:rsidRDefault="00AB2C0B" w:rsidP="002E55BC">
      <w:pPr>
        <w:pStyle w:val="BodyText1"/>
      </w:pPr>
      <w:r>
        <w:t>Overlays are the principal tools in the VPP to protect vegetation in urban environments.</w:t>
      </w:r>
    </w:p>
    <w:p w14:paraId="489C7322" w14:textId="58AF24EF" w:rsidR="00754143" w:rsidRDefault="00AB2C0B" w:rsidP="002E55BC">
      <w:pPr>
        <w:pStyle w:val="BodyText1"/>
      </w:pPr>
      <w:r>
        <w:t xml:space="preserve">The native vegetation provisions of </w:t>
      </w:r>
      <w:r w:rsidR="001F616D" w:rsidRPr="00BA0BD1">
        <w:t>c</w:t>
      </w:r>
      <w:r w:rsidRPr="00BA0BD1">
        <w:t>lause 52.17</w:t>
      </w:r>
      <w:r>
        <w:t xml:space="preserve"> may assist in protecting remnant native vegetation</w:t>
      </w:r>
      <w:r w:rsidR="008920FE">
        <w:t>;</w:t>
      </w:r>
      <w:r>
        <w:t xml:space="preserve"> however</w:t>
      </w:r>
      <w:r w:rsidR="008920FE">
        <w:t>,</w:t>
      </w:r>
      <w:r>
        <w:t xml:space="preserve"> this provision is primarily designed to prevent </w:t>
      </w:r>
      <w:proofErr w:type="gramStart"/>
      <w:r>
        <w:t>broad-scale</w:t>
      </w:r>
      <w:proofErr w:type="gramEnd"/>
      <w:r>
        <w:t xml:space="preserve"> clearing of native vegetation, so will have limited applicability in urban </w:t>
      </w:r>
      <w:r w:rsidRPr="006767DC">
        <w:t xml:space="preserve">areas </w:t>
      </w:r>
      <w:r w:rsidR="00D9770E" w:rsidRPr="006767DC">
        <w:t xml:space="preserve">with </w:t>
      </w:r>
      <w:r w:rsidRPr="006767DC">
        <w:t>lot sizes</w:t>
      </w:r>
      <w:r w:rsidR="0076617E">
        <w:t xml:space="preserve"> under 0.4 hectares</w:t>
      </w:r>
      <w:r>
        <w:t>.</w:t>
      </w:r>
    </w:p>
    <w:p w14:paraId="489C7323" w14:textId="1ABD3BCF" w:rsidR="00754143" w:rsidRDefault="00AB2C0B" w:rsidP="002E55BC">
      <w:pPr>
        <w:pStyle w:val="BodyText1"/>
      </w:pPr>
      <w:r>
        <w:t>The VPP includes four overlays that can be used to protect and manage vegetation in urban areas</w:t>
      </w:r>
      <w:r w:rsidR="00462293">
        <w:t>:</w:t>
      </w:r>
      <w:r>
        <w:t xml:space="preserve"> the Vegetation Protection Overlay, the Environmental Significance Overlay, the Significant Landscape Overlay and the Heritage Overlay. Each overlay includes a schedule that is used to specify how the overlay applies to land within a particular municipality.</w:t>
      </w:r>
    </w:p>
    <w:p w14:paraId="489C7324" w14:textId="77777777" w:rsidR="00754143" w:rsidRDefault="00AB2C0B" w:rsidP="002E55BC">
      <w:pPr>
        <w:pStyle w:val="BodyText1"/>
      </w:pPr>
      <w:r>
        <w:t>Choosing the correct overlay is important and the principles used should be applied consistently through the planning scheme. The following matters should be considered when choosing an overlay to protect vegetation:</w:t>
      </w:r>
    </w:p>
    <w:p w14:paraId="489C7325" w14:textId="77777777" w:rsidR="00DC2411" w:rsidRDefault="00AB2C0B" w:rsidP="00723A0D">
      <w:pPr>
        <w:pStyle w:val="DELWPbullet1"/>
      </w:pPr>
      <w:r>
        <w:t>What is to be protected (an individual tree or group of trees, an area of habitat)?</w:t>
      </w:r>
    </w:p>
    <w:p w14:paraId="489C7326" w14:textId="77777777" w:rsidR="00DC2411" w:rsidRDefault="00AB2C0B" w:rsidP="00723A0D">
      <w:pPr>
        <w:pStyle w:val="DELWPbullet1"/>
      </w:pPr>
      <w:r>
        <w:t>Why is it being protected (heritage, scientific, cultural, landscape or habitat value)?</w:t>
      </w:r>
    </w:p>
    <w:p w14:paraId="489C7327" w14:textId="77777777" w:rsidR="00DC2411" w:rsidRDefault="00AB2C0B" w:rsidP="00723A0D">
      <w:pPr>
        <w:pStyle w:val="DELWPbullet1"/>
      </w:pPr>
      <w:r>
        <w:t>How should it be protected (protection of the root zone, requirements about buildings and works, subdivision)?</w:t>
      </w:r>
    </w:p>
    <w:p w14:paraId="489C7328" w14:textId="77777777" w:rsidR="00DC2411" w:rsidRDefault="00AB2C0B" w:rsidP="00723A0D">
      <w:pPr>
        <w:pStyle w:val="DELWPbullet1"/>
      </w:pPr>
      <w:r>
        <w:t>What other requirements apply to the land and are there any gaps (zone provisions, other overlays, native vegetation provisions)?</w:t>
      </w:r>
    </w:p>
    <w:p w14:paraId="489C7329" w14:textId="77777777" w:rsidR="00754143" w:rsidRDefault="00AB2C0B" w:rsidP="002E55BC">
      <w:pPr>
        <w:pStyle w:val="DELWPbodyafterbullets"/>
      </w:pPr>
      <w:r>
        <w:t>The overlay selected should accurately reflect the identified objectives so that there is transparency in the application of planning policy and requirements. This may involve weighing up various reasons for protecting the vegetation. For example, the principal reason for a tree’s significance may be its cultural value rather than its habitat value.</w:t>
      </w:r>
    </w:p>
    <w:p w14:paraId="489C732A" w14:textId="77777777" w:rsidR="00754143" w:rsidRDefault="00AB2C0B" w:rsidP="002E55BC">
      <w:pPr>
        <w:pStyle w:val="BodyText1"/>
      </w:pPr>
      <w:r>
        <w:t>If a tree is of Aboriginal significance or contributes to the setting of an historic building, the Heritage Overlay may be more appropriate than the Vegetation Protection Overlay.</w:t>
      </w:r>
    </w:p>
    <w:p w14:paraId="489C732B" w14:textId="77777777" w:rsidR="00754143" w:rsidRDefault="00AB2C0B" w:rsidP="002E55BC">
      <w:pPr>
        <w:pStyle w:val="BodyText1"/>
      </w:pPr>
      <w:r>
        <w:t>The overlay should also include appropriate requirements to achieve the planning objective. In urban situations, buildings and works can have a significant impact on vegetation, including intruding on the root zone. In these cases, an overlay that provides requirements for buildings and works may be chosen. If the root zone is to be protected, the schedule may only require a permit for buildings and works within a certain distance from the vegetation.</w:t>
      </w:r>
    </w:p>
    <w:p w14:paraId="489C732C" w14:textId="533ABD53" w:rsidR="00754143" w:rsidRDefault="00AB2C0B" w:rsidP="002E55BC">
      <w:pPr>
        <w:pStyle w:val="BodyText1"/>
      </w:pPr>
      <w:r>
        <w:t>The Design and Development Overlay is not a tool to protect vegetation. The schedule to this overlay may, however, contain specific landscaping requirements to ensure that a new development is respectful of the landscape character of the neighbourhood.</w:t>
      </w:r>
    </w:p>
    <w:p w14:paraId="0F7E07D3" w14:textId="4F301F55" w:rsidR="00AD7F68" w:rsidRDefault="00AD7F68" w:rsidP="002E55BC">
      <w:pPr>
        <w:pStyle w:val="BodyText1"/>
      </w:pPr>
      <w:r>
        <w:t xml:space="preserve">See </w:t>
      </w:r>
      <w:r w:rsidRPr="00D44104">
        <w:rPr>
          <w:i/>
          <w:iCs/>
        </w:rPr>
        <w:t xml:space="preserve">PPN </w:t>
      </w:r>
      <w:r w:rsidR="00F74C82" w:rsidRPr="00D44104">
        <w:rPr>
          <w:i/>
          <w:iCs/>
        </w:rPr>
        <w:t>7</w:t>
      </w:r>
      <w:r w:rsidRPr="00F45157">
        <w:rPr>
          <w:i/>
          <w:iCs/>
        </w:rPr>
        <w:t xml:space="preserve"> </w:t>
      </w:r>
      <w:r w:rsidR="00F45157" w:rsidRPr="00F45157">
        <w:rPr>
          <w:i/>
          <w:iCs/>
        </w:rPr>
        <w:t xml:space="preserve">- </w:t>
      </w:r>
      <w:r w:rsidR="00637173" w:rsidRPr="00F45157">
        <w:rPr>
          <w:i/>
          <w:iCs/>
        </w:rPr>
        <w:t>Vegetation Protection in Urban</w:t>
      </w:r>
      <w:r w:rsidR="00637173" w:rsidRPr="00637173">
        <w:t xml:space="preserve"> </w:t>
      </w:r>
      <w:r w:rsidR="00637173" w:rsidRPr="00F45157">
        <w:rPr>
          <w:i/>
          <w:iCs/>
        </w:rPr>
        <w:t>Areas</w:t>
      </w:r>
      <w:r>
        <w:t xml:space="preserve"> for more information.</w:t>
      </w:r>
    </w:p>
    <w:p w14:paraId="489C732D" w14:textId="41D1B28F" w:rsidR="00754143" w:rsidRPr="00FE75E5" w:rsidRDefault="00013A7E" w:rsidP="004F6A20">
      <w:pPr>
        <w:pStyle w:val="Heading3"/>
      </w:pPr>
      <w:bookmarkStart w:id="199" w:name="_Ref528600835"/>
      <w:r>
        <w:t>5.2.4</w:t>
      </w:r>
      <w:r w:rsidR="0050325B">
        <w:tab/>
      </w:r>
      <w:r w:rsidR="00BB5269">
        <w:tab/>
      </w:r>
      <w:r w:rsidR="00203A71">
        <w:t xml:space="preserve"> </w:t>
      </w:r>
      <w:r w:rsidR="00AB2C0B" w:rsidRPr="00FE75E5">
        <w:t>Flood protection</w:t>
      </w:r>
      <w:bookmarkEnd w:id="199"/>
    </w:p>
    <w:p w14:paraId="489C732E" w14:textId="77777777" w:rsidR="00754143" w:rsidRDefault="00AB2C0B" w:rsidP="002E55BC">
      <w:pPr>
        <w:pStyle w:val="BodyText1"/>
      </w:pPr>
      <w:r>
        <w:t>There are four flood provisions available; the Urban Floodway Zone, the Floodway Overlay, the Land Subject to Inundation Overlay and the Special Building Overlay. These four provisions are designed to respond to differences in the type of flooding and the potential level of risk to life and property.</w:t>
      </w:r>
    </w:p>
    <w:p w14:paraId="489C732F" w14:textId="1629D1CA" w:rsidR="00754143" w:rsidRDefault="00AB2C0B" w:rsidP="002E55BC">
      <w:pPr>
        <w:pStyle w:val="BodyText1"/>
      </w:pPr>
      <w:r>
        <w:lastRenderedPageBreak/>
        <w:t xml:space="preserve">The flood provisions do not address the cause of flooding, but the way future land use and development will impact on the flooding problem or be impacted themselves by flooding. The cause needs to be dealt with by separate means. This may include other actions by council and the floodplain management authority, such as flood mitigation measures, that may be linked to a </w:t>
      </w:r>
      <w:r w:rsidR="001C1A92">
        <w:t>council</w:t>
      </w:r>
      <w:r>
        <w:t xml:space="preserve"> plan or a floodplain management strategy.</w:t>
      </w:r>
    </w:p>
    <w:p w14:paraId="489C7330" w14:textId="24BBED25" w:rsidR="00754143" w:rsidRPr="00361E71" w:rsidRDefault="00013A7E" w:rsidP="004F6A20">
      <w:pPr>
        <w:pStyle w:val="Heading3"/>
      </w:pPr>
      <w:r>
        <w:t>5.2.5</w:t>
      </w:r>
      <w:r w:rsidR="00657E2E">
        <w:tab/>
      </w:r>
      <w:r w:rsidR="00BB5269">
        <w:tab/>
      </w:r>
      <w:r w:rsidR="00AB2C0B" w:rsidRPr="00FE75E5">
        <w:t>Potentially contaminated</w:t>
      </w:r>
      <w:r w:rsidR="00AB2C0B" w:rsidRPr="00361E71">
        <w:t xml:space="preserve"> land</w:t>
      </w:r>
    </w:p>
    <w:p w14:paraId="3A73D1A7" w14:textId="3CF5E44C" w:rsidR="0098271D" w:rsidRDefault="00CB0F03" w:rsidP="002E55BC">
      <w:pPr>
        <w:pStyle w:val="BodyText1"/>
      </w:pPr>
      <w:r>
        <w:t xml:space="preserve">In accordance with </w:t>
      </w:r>
      <w:r w:rsidRPr="00ED6D42">
        <w:rPr>
          <w:i/>
          <w:iCs/>
        </w:rPr>
        <w:t>Ministerial Direction No. 1</w:t>
      </w:r>
      <w:r w:rsidR="00ED6D42">
        <w:rPr>
          <w:rStyle w:val="Emphasis"/>
        </w:rPr>
        <w:t xml:space="preserve"> - </w:t>
      </w:r>
      <w:r w:rsidRPr="007E64CD">
        <w:rPr>
          <w:rStyle w:val="Emphasis"/>
        </w:rPr>
        <w:t>Potentially Contaminated Land</w:t>
      </w:r>
      <w:r>
        <w:t>, w</w:t>
      </w:r>
      <w:r w:rsidR="0098271D">
        <w:t xml:space="preserve">here a planning authority determines that </w:t>
      </w:r>
      <w:r w:rsidR="00F570BE">
        <w:t>the requirements of a</w:t>
      </w:r>
      <w:r w:rsidR="004B6EDE">
        <w:t xml:space="preserve"> preliminary risk screen assessment</w:t>
      </w:r>
      <w:r w:rsidR="004E4835">
        <w:t xml:space="preserve"> (PRSA)</w:t>
      </w:r>
      <w:r w:rsidR="004B6EDE">
        <w:t xml:space="preserve"> statement or </w:t>
      </w:r>
      <w:r w:rsidR="008D76F9">
        <w:t>environmental audit stat</w:t>
      </w:r>
      <w:r w:rsidR="006B43E7">
        <w:t>e</w:t>
      </w:r>
      <w:r w:rsidR="00AE3627">
        <w:t>ment</w:t>
      </w:r>
      <w:r w:rsidR="008D76F9">
        <w:t xml:space="preserve"> </w:t>
      </w:r>
      <w:r w:rsidR="00C82ADB">
        <w:t>are</w:t>
      </w:r>
      <w:r w:rsidR="0098271D">
        <w:t xml:space="preserve"> difficult or inappropriate it may defer the</w:t>
      </w:r>
      <w:r w:rsidR="00F570BE">
        <w:t>se</w:t>
      </w:r>
      <w:r w:rsidR="0098271D">
        <w:t xml:space="preserve"> requirements</w:t>
      </w:r>
      <w:r w:rsidR="00C73FDA">
        <w:t>,</w:t>
      </w:r>
      <w:r w:rsidR="0098271D">
        <w:t xml:space="preserve"> provided the requirements are included in the amendment through the application of an Environmental</w:t>
      </w:r>
      <w:r w:rsidR="008852CD">
        <w:t xml:space="preserve"> </w:t>
      </w:r>
      <w:r w:rsidR="0098271D">
        <w:t>Audit Overlay or other appropriate measure</w:t>
      </w:r>
      <w:r w:rsidR="008852CD">
        <w:t>.</w:t>
      </w:r>
    </w:p>
    <w:p w14:paraId="489C7331" w14:textId="757B6C20" w:rsidR="00754143" w:rsidRDefault="00AB2C0B" w:rsidP="002E55BC">
      <w:pPr>
        <w:pStyle w:val="BodyText1"/>
      </w:pPr>
      <w:r>
        <w:t xml:space="preserve">The Environmental Audit Overlay (EAO) is intended to ensure the requirement for </w:t>
      </w:r>
      <w:r w:rsidR="00B011CC">
        <w:t xml:space="preserve">a PRSA or </w:t>
      </w:r>
      <w:r>
        <w:t>an environmental audit under Direction No.</w:t>
      </w:r>
      <w:r w:rsidR="00D76F84">
        <w:t xml:space="preserve"> </w:t>
      </w:r>
      <w:r>
        <w:t xml:space="preserve">1 is met before the commencement of </w:t>
      </w:r>
      <w:r w:rsidR="00927766">
        <w:t xml:space="preserve">a </w:t>
      </w:r>
      <w:r>
        <w:t xml:space="preserve">sensitive use or any buildings and works associated with that use. </w:t>
      </w:r>
      <w:r w:rsidR="00500AF3">
        <w:t xml:space="preserve">This ensures the </w:t>
      </w:r>
      <w:r>
        <w:t xml:space="preserve">requirement will be met in the </w:t>
      </w:r>
      <w:proofErr w:type="gramStart"/>
      <w:r>
        <w:t>future, but</w:t>
      </w:r>
      <w:proofErr w:type="gramEnd"/>
      <w:r>
        <w:t xml:space="preserve"> does not prevent the assessment and approval of a planning scheme amendment.</w:t>
      </w:r>
    </w:p>
    <w:p w14:paraId="489C7332" w14:textId="662EFA0E" w:rsidR="00754143" w:rsidRDefault="00AB2C0B" w:rsidP="002E55BC">
      <w:pPr>
        <w:pStyle w:val="BodyText1"/>
      </w:pPr>
      <w:r>
        <w:t xml:space="preserve">By applying the overlay, the planning authority has made an assessment that the land is potentially contaminated land and is unlikely to be suitable for a sensitive use without more detailed assessment, remediation works or management. The steps set out in </w:t>
      </w:r>
      <w:r w:rsidRPr="00F45157">
        <w:rPr>
          <w:i/>
          <w:iCs/>
        </w:rPr>
        <w:t>PPN30</w:t>
      </w:r>
      <w:r w:rsidRPr="007E64CD">
        <w:rPr>
          <w:rStyle w:val="Emphasis"/>
        </w:rPr>
        <w:t xml:space="preserve"> </w:t>
      </w:r>
      <w:r w:rsidR="00F45157">
        <w:rPr>
          <w:rStyle w:val="Emphasis"/>
        </w:rPr>
        <w:t>-</w:t>
      </w:r>
      <w:r w:rsidRPr="007E64CD">
        <w:rPr>
          <w:rStyle w:val="Emphasis"/>
        </w:rPr>
        <w:t>Potentially Contaminated Land</w:t>
      </w:r>
      <w:r>
        <w:t xml:space="preserve"> should be used to make this assessment.</w:t>
      </w:r>
    </w:p>
    <w:p w14:paraId="489C7333" w14:textId="66170222" w:rsidR="00754143" w:rsidRDefault="00AB2C0B" w:rsidP="002E55BC">
      <w:pPr>
        <w:pStyle w:val="BodyText1"/>
      </w:pPr>
      <w:r>
        <w:t xml:space="preserve">Applying the overlay also means that the planning authority has decided the requirements of Direction No. 1 may be deferred. The EAO is a statutory mechanism to provide for that deferment. The EAO is not simply a means of identifying land that is or might be contaminated and should not be used for that purpose. Previous zoning is not a sufficient reason </w:t>
      </w:r>
      <w:proofErr w:type="gramStart"/>
      <w:r>
        <w:t>in itself to</w:t>
      </w:r>
      <w:proofErr w:type="gramEnd"/>
      <w:r>
        <w:t xml:space="preserve"> apply the EAO.</w:t>
      </w:r>
    </w:p>
    <w:p w14:paraId="489C7335" w14:textId="6D8036EB" w:rsidR="00754143" w:rsidRDefault="00AB2C0B" w:rsidP="002E55BC">
      <w:pPr>
        <w:pStyle w:val="BodyText1"/>
      </w:pPr>
      <w:r>
        <w:t xml:space="preserve">Planning authorities should be careful in applying the EAO. </w:t>
      </w:r>
      <w:proofErr w:type="gramStart"/>
      <w:r w:rsidR="00DC1894">
        <w:t>The majority of</w:t>
      </w:r>
      <w:proofErr w:type="gramEnd"/>
      <w:r w:rsidR="00DC1894">
        <w:t xml:space="preserve"> </w:t>
      </w:r>
      <w:r>
        <w:t xml:space="preserve">buildings and works associated with a </w:t>
      </w:r>
      <w:r w:rsidRPr="009022BD">
        <w:t>sensitive use may</w:t>
      </w:r>
      <w:r>
        <w:t xml:space="preserve"> trigger the need to undertake an environmental audit. These costly requirements are passed on to ind</w:t>
      </w:r>
      <w:r w:rsidR="002240BA">
        <w:t>i</w:t>
      </w:r>
      <w:r>
        <w:t xml:space="preserve">vidual </w:t>
      </w:r>
      <w:proofErr w:type="gramStart"/>
      <w:r>
        <w:t>land owners</w:t>
      </w:r>
      <w:proofErr w:type="gramEnd"/>
      <w:r>
        <w:t xml:space="preserve"> long after the application of the overlay.  </w:t>
      </w:r>
    </w:p>
    <w:p w14:paraId="489C7336" w14:textId="5228DAFC" w:rsidR="00754143" w:rsidRDefault="00AB2C0B" w:rsidP="002E55BC">
      <w:pPr>
        <w:pStyle w:val="BodyText1"/>
      </w:pPr>
      <w:r>
        <w:t xml:space="preserve">Where sensitive uses already exist on a site the planning authority, before applying an EAO, should </w:t>
      </w:r>
      <w:r w:rsidR="000B764E">
        <w:t>determine if the site is</w:t>
      </w:r>
      <w:r>
        <w:t xml:space="preserve"> potentially contaminated (through site history records). If there is no evidence of potentially contaminated land it may not be appropriate to apply the EAO to these sites.</w:t>
      </w:r>
    </w:p>
    <w:p w14:paraId="3B9190A7" w14:textId="58856C12" w:rsidR="002B14C0" w:rsidRPr="009022BD" w:rsidRDefault="00013A7E" w:rsidP="004F6A20">
      <w:pPr>
        <w:pStyle w:val="Heading3"/>
      </w:pPr>
      <w:r>
        <w:t>5.2.6</w:t>
      </w:r>
      <w:r w:rsidR="00657E2E">
        <w:tab/>
      </w:r>
      <w:r w:rsidR="00BB5269">
        <w:tab/>
      </w:r>
      <w:r w:rsidR="002B14C0" w:rsidRPr="009022BD">
        <w:t xml:space="preserve">Buffers </w:t>
      </w:r>
    </w:p>
    <w:p w14:paraId="4CA45039" w14:textId="1CB2C813" w:rsidR="00CE19B6" w:rsidRDefault="00CE19B6" w:rsidP="002E55BC">
      <w:pPr>
        <w:pStyle w:val="BodyText1"/>
      </w:pPr>
      <w:r>
        <w:t>The Buffer Area Overlay (BAO) can be used to prevent future encroachment and intensification of incompatible use and development within the buffer areas of industry, warehouse, infrastructure or other uses with potential off-site</w:t>
      </w:r>
      <w:r w:rsidR="005D5701">
        <w:t xml:space="preserve"> i</w:t>
      </w:r>
      <w:r>
        <w:t>mpacts.</w:t>
      </w:r>
      <w:r w:rsidR="002F3799">
        <w:t xml:space="preserve"> </w:t>
      </w:r>
      <w:r w:rsidR="002F3799" w:rsidRPr="002F3799">
        <w:t xml:space="preserve">Criteria must be met and information </w:t>
      </w:r>
      <w:r w:rsidR="00497BDA">
        <w:t xml:space="preserve">about off-site impacts </w:t>
      </w:r>
      <w:r w:rsidR="002F3799" w:rsidRPr="002F3799">
        <w:t xml:space="preserve">must be provided to apply the BAO. </w:t>
      </w:r>
      <w:r w:rsidR="00880C9B">
        <w:t xml:space="preserve">Further </w:t>
      </w:r>
      <w:r w:rsidR="00F87730">
        <w:lastRenderedPageBreak/>
        <w:t xml:space="preserve">guidance about applying the BAO is available in </w:t>
      </w:r>
      <w:r w:rsidR="00F87730" w:rsidRPr="00D44104">
        <w:rPr>
          <w:i/>
          <w:iCs/>
        </w:rPr>
        <w:t>PPN 92</w:t>
      </w:r>
      <w:r w:rsidR="00F87730" w:rsidRPr="00F45157">
        <w:rPr>
          <w:i/>
          <w:iCs/>
        </w:rPr>
        <w:t xml:space="preserve"> </w:t>
      </w:r>
      <w:r w:rsidR="00F45157">
        <w:rPr>
          <w:i/>
          <w:iCs/>
        </w:rPr>
        <w:t xml:space="preserve">- </w:t>
      </w:r>
      <w:r w:rsidR="00F87730" w:rsidRPr="00F45157">
        <w:rPr>
          <w:i/>
          <w:iCs/>
        </w:rPr>
        <w:t>Managing</w:t>
      </w:r>
      <w:r w:rsidR="00F87730" w:rsidRPr="00F87730">
        <w:rPr>
          <w:i/>
          <w:iCs/>
        </w:rPr>
        <w:t xml:space="preserve"> </w:t>
      </w:r>
      <w:r w:rsidR="0074503B">
        <w:rPr>
          <w:i/>
          <w:iCs/>
        </w:rPr>
        <w:t>B</w:t>
      </w:r>
      <w:r w:rsidR="00F87730" w:rsidRPr="00F87730">
        <w:rPr>
          <w:i/>
          <w:iCs/>
        </w:rPr>
        <w:t xml:space="preserve">uffers for </w:t>
      </w:r>
      <w:r w:rsidR="0074503B">
        <w:rPr>
          <w:i/>
          <w:iCs/>
        </w:rPr>
        <w:t>La</w:t>
      </w:r>
      <w:r w:rsidR="00F87730" w:rsidRPr="00F87730">
        <w:rPr>
          <w:i/>
          <w:iCs/>
        </w:rPr>
        <w:t xml:space="preserve">nd </w:t>
      </w:r>
      <w:r w:rsidR="0074503B">
        <w:rPr>
          <w:i/>
          <w:iCs/>
        </w:rPr>
        <w:t>U</w:t>
      </w:r>
      <w:r w:rsidR="00F87730" w:rsidRPr="00F87730">
        <w:rPr>
          <w:i/>
          <w:iCs/>
        </w:rPr>
        <w:t xml:space="preserve">se </w:t>
      </w:r>
      <w:r w:rsidR="0074503B">
        <w:rPr>
          <w:i/>
          <w:iCs/>
        </w:rPr>
        <w:t>C</w:t>
      </w:r>
      <w:r w:rsidR="00F87730" w:rsidRPr="00F87730">
        <w:rPr>
          <w:i/>
          <w:iCs/>
        </w:rPr>
        <w:t>ompatibility</w:t>
      </w:r>
      <w:r w:rsidR="00F87730">
        <w:t>.</w:t>
      </w:r>
    </w:p>
    <w:p w14:paraId="60642AC1" w14:textId="118FE142" w:rsidR="00737B97" w:rsidRDefault="00737B97" w:rsidP="004F6A20">
      <w:pPr>
        <w:pStyle w:val="Heading3"/>
      </w:pPr>
      <w:r>
        <w:t>5.</w:t>
      </w:r>
      <w:r w:rsidR="00757067">
        <w:t>2.7</w:t>
      </w:r>
      <w:r w:rsidR="00757067">
        <w:tab/>
      </w:r>
      <w:r w:rsidR="00BB5269">
        <w:tab/>
      </w:r>
      <w:r>
        <w:t xml:space="preserve">Open </w:t>
      </w:r>
      <w:r w:rsidR="002F0F42">
        <w:t>d</w:t>
      </w:r>
      <w:r>
        <w:t xml:space="preserve">rinking </w:t>
      </w:r>
      <w:r w:rsidR="002F0F42">
        <w:t>w</w:t>
      </w:r>
      <w:r>
        <w:t xml:space="preserve">ater </w:t>
      </w:r>
      <w:r w:rsidR="002F0F42">
        <w:t>c</w:t>
      </w:r>
      <w:r>
        <w:t>atchments</w:t>
      </w:r>
    </w:p>
    <w:p w14:paraId="34698855" w14:textId="77777777" w:rsidR="004112DF" w:rsidRDefault="004112DF" w:rsidP="002E55BC">
      <w:pPr>
        <w:pStyle w:val="BodyText1"/>
      </w:pPr>
      <w:r>
        <w:t>A reliable supply of drinking water that meets appropriate water quality standards is essential to community health and wellbeing. Use and development of land can affect water quality in waterways from nutrient, chemical and waste contamination, as well as sediment run-off.</w:t>
      </w:r>
    </w:p>
    <w:p w14:paraId="1149CB76" w14:textId="43DDF0BE" w:rsidR="00737B97" w:rsidRDefault="00737B97" w:rsidP="002E55BC">
      <w:pPr>
        <w:pStyle w:val="BodyText1"/>
      </w:pPr>
      <w:r>
        <w:t>When amending a planning scheme to implement risk management measures for residential development in an open drinking water catchment, a Domestic Wastewater Management Plan (DWMP) is needed.</w:t>
      </w:r>
    </w:p>
    <w:p w14:paraId="1594EAEE" w14:textId="63456160" w:rsidR="00737B97" w:rsidRDefault="00737B97" w:rsidP="002E55BC">
      <w:pPr>
        <w:pStyle w:val="BodyText1"/>
      </w:pPr>
      <w:r>
        <w:t xml:space="preserve">The </w:t>
      </w:r>
      <w:r w:rsidRPr="00FD4996">
        <w:rPr>
          <w:i/>
          <w:iCs/>
        </w:rPr>
        <w:t>Planning Permit Applications in Open, Potable Water Supply Catchment Areas</w:t>
      </w:r>
      <w:r>
        <w:t xml:space="preserve"> </w:t>
      </w:r>
      <w:r w:rsidR="006D4316">
        <w:t>(</w:t>
      </w:r>
      <w:r w:rsidR="00267135">
        <w:t xml:space="preserve">DSE, </w:t>
      </w:r>
      <w:r w:rsidR="006D4316">
        <w:t xml:space="preserve">November 2012) </w:t>
      </w:r>
      <w:r>
        <w:t xml:space="preserve">guideline, specifies a one dwelling per </w:t>
      </w:r>
      <w:proofErr w:type="gramStart"/>
      <w:r>
        <w:t>40 hectare</w:t>
      </w:r>
      <w:proofErr w:type="gramEnd"/>
      <w:r>
        <w:t xml:space="preserve"> limit in special water supply catchment areas, but advises that a DWMP can be used as strategic basis for relaxing that threshold. The guidelines </w:t>
      </w:r>
      <w:proofErr w:type="gramStart"/>
      <w:r>
        <w:t>sets</w:t>
      </w:r>
      <w:proofErr w:type="gramEnd"/>
      <w:r>
        <w:t xml:space="preserve"> out requirements for a suitable DWMP.</w:t>
      </w:r>
    </w:p>
    <w:p w14:paraId="250E0E4F" w14:textId="748E63BB" w:rsidR="00737B97" w:rsidRDefault="00737B97" w:rsidP="002E55BC">
      <w:pPr>
        <w:pStyle w:val="BodyText1"/>
      </w:pPr>
      <w:r>
        <w:t>Various planning tools are available to a planning authority seeking to manage use and development in an open drinking water catchment, including policy and controls. For example, the Environmental Significance Overlay has been applied in some planning schemes to tailor environmental objectives, permit requirements, referrals and decision guidelines in open drinking water catchment areas.</w:t>
      </w:r>
    </w:p>
    <w:p w14:paraId="69EE6AEB" w14:textId="70C9DFB8" w:rsidR="00281BC2" w:rsidRPr="00551618" w:rsidRDefault="00281BC2" w:rsidP="002E55BC">
      <w:pPr>
        <w:pStyle w:val="BodyText1"/>
      </w:pPr>
      <w:r>
        <w:t xml:space="preserve">See </w:t>
      </w:r>
      <w:r w:rsidR="00551618" w:rsidRPr="00D44104">
        <w:rPr>
          <w:i/>
          <w:iCs/>
        </w:rPr>
        <w:t>Planni</w:t>
      </w:r>
      <w:r w:rsidR="0029499A" w:rsidRPr="00D44104">
        <w:rPr>
          <w:i/>
          <w:iCs/>
        </w:rPr>
        <w:t>n</w:t>
      </w:r>
      <w:r w:rsidR="00551618" w:rsidRPr="00D44104">
        <w:rPr>
          <w:i/>
          <w:iCs/>
        </w:rPr>
        <w:t>g Practice Note 55</w:t>
      </w:r>
      <w:r w:rsidR="00551618">
        <w:t xml:space="preserve"> </w:t>
      </w:r>
      <w:r w:rsidR="0029499A">
        <w:t xml:space="preserve">- </w:t>
      </w:r>
      <w:r w:rsidR="00551618" w:rsidRPr="0029499A">
        <w:rPr>
          <w:i/>
          <w:iCs/>
        </w:rPr>
        <w:t>Planning in Open Drinking Water Catchments</w:t>
      </w:r>
      <w:r w:rsidR="00551618">
        <w:t xml:space="preserve"> for</w:t>
      </w:r>
      <w:r w:rsidR="00551829">
        <w:t xml:space="preserve"> further</w:t>
      </w:r>
      <w:r w:rsidR="00551618">
        <w:t xml:space="preserve"> </w:t>
      </w:r>
      <w:r w:rsidR="008F0E79">
        <w:t>information about</w:t>
      </w:r>
      <w:r w:rsidR="00B6148A" w:rsidRPr="00B6148A">
        <w:t xml:space="preserve"> </w:t>
      </w:r>
      <w:r w:rsidR="00341938">
        <w:t>planning</w:t>
      </w:r>
      <w:r w:rsidR="00B6148A" w:rsidRPr="0062024E">
        <w:t xml:space="preserve"> in an open drinking water catchment</w:t>
      </w:r>
      <w:r w:rsidR="00B6148A">
        <w:t>.</w:t>
      </w:r>
    </w:p>
    <w:p w14:paraId="4D62483E" w14:textId="57C157F9" w:rsidR="00BD7127" w:rsidRPr="007E0672" w:rsidRDefault="003C72D4" w:rsidP="004F6A20">
      <w:pPr>
        <w:pStyle w:val="Heading3"/>
      </w:pPr>
      <w:bookmarkStart w:id="200" w:name="_Toc418756022"/>
      <w:bookmarkStart w:id="201" w:name="_Toc109660961"/>
      <w:bookmarkStart w:id="202" w:name="_Ref528680042"/>
      <w:bookmarkStart w:id="203" w:name="_Ref528680094"/>
      <w:r>
        <w:t>5.2.8</w:t>
      </w:r>
      <w:r>
        <w:tab/>
      </w:r>
      <w:r w:rsidR="00BB5269">
        <w:tab/>
      </w:r>
      <w:r w:rsidR="00BD7127" w:rsidRPr="0070155F">
        <w:t>Summary of overlays</w:t>
      </w:r>
      <w:bookmarkEnd w:id="200"/>
      <w:bookmarkEnd w:id="201"/>
    </w:p>
    <w:p w14:paraId="4E7A4FF5" w14:textId="77777777" w:rsidR="00BD7127" w:rsidRPr="007E0672" w:rsidRDefault="00BD7127" w:rsidP="00BD7127">
      <w:pPr>
        <w:pStyle w:val="Paragraph0"/>
      </w:pPr>
      <w:r w:rsidRPr="007E0672">
        <w:t>The following is a short summary of each of the overlays in the VPP.</w:t>
      </w:r>
    </w:p>
    <w:p w14:paraId="455A5740" w14:textId="77777777" w:rsidR="00BD7127" w:rsidRPr="007E0672" w:rsidRDefault="00BD7127" w:rsidP="006952A7">
      <w:pPr>
        <w:pStyle w:val="Heading4"/>
      </w:pPr>
      <w:bookmarkStart w:id="204" w:name="_Toc418756023"/>
      <w:bookmarkStart w:id="205" w:name="_Toc109660962"/>
      <w:r w:rsidRPr="007E0672">
        <w:t>ENVIRONMENT AND LANDSCAPE OVERLAYS</w:t>
      </w:r>
      <w:bookmarkEnd w:id="204"/>
      <w:bookmarkEnd w:id="205"/>
    </w:p>
    <w:p w14:paraId="35D205A5" w14:textId="77777777" w:rsidR="00BD7127" w:rsidRPr="007E0672" w:rsidRDefault="00BD7127" w:rsidP="006952A7">
      <w:pPr>
        <w:pStyle w:val="Heading4"/>
      </w:pPr>
      <w:bookmarkStart w:id="206" w:name="_Toc418756024"/>
      <w:bookmarkStart w:id="207" w:name="_Toc109660963"/>
      <w:r w:rsidRPr="007E0672">
        <w:t>Environmental Significance Overlay (</w:t>
      </w:r>
      <w:r>
        <w:t>c</w:t>
      </w:r>
      <w:r w:rsidRPr="007E0672">
        <w:t>lause 42.01 and schedule)</w:t>
      </w:r>
      <w:bookmarkEnd w:id="206"/>
      <w:bookmarkEnd w:id="207"/>
    </w:p>
    <w:p w14:paraId="552F6B26" w14:textId="77777777" w:rsidR="00BD7127" w:rsidRPr="007E0672" w:rsidRDefault="00BD7127" w:rsidP="00BD7127">
      <w:pPr>
        <w:pStyle w:val="Paragraph0"/>
      </w:pPr>
      <w:r w:rsidRPr="007E0672">
        <w:t>This overlay seeks to address areas where the development of land may be affected by environmental constraints such as effects from noise or industrial buffer areas, as well as issues related to the natural environment. The schedule to the zone must clearly set out the environmental significance of the area and the resultant objective of the overlay.</w:t>
      </w:r>
    </w:p>
    <w:p w14:paraId="172E7357" w14:textId="77777777" w:rsidR="00BD7127" w:rsidRPr="007E0672" w:rsidRDefault="00BD7127" w:rsidP="006952A7">
      <w:pPr>
        <w:pStyle w:val="Heading4"/>
      </w:pPr>
      <w:bookmarkStart w:id="208" w:name="_Toc418756025"/>
      <w:bookmarkStart w:id="209" w:name="_Toc109660964"/>
      <w:r w:rsidRPr="007E0672">
        <w:t>Vegetation Protection Overlay (</w:t>
      </w:r>
      <w:r>
        <w:t>c</w:t>
      </w:r>
      <w:r w:rsidRPr="007E0672">
        <w:t>lause 42.02 and schedule)</w:t>
      </w:r>
      <w:bookmarkEnd w:id="208"/>
      <w:bookmarkEnd w:id="209"/>
    </w:p>
    <w:p w14:paraId="6C0B7E9C" w14:textId="77777777" w:rsidR="00BD7127" w:rsidRPr="007E0672" w:rsidRDefault="00BD7127" w:rsidP="00BD7127">
      <w:pPr>
        <w:pStyle w:val="Paragraph0"/>
      </w:pPr>
      <w:r w:rsidRPr="007E0672">
        <w:t xml:space="preserve">This overlay focuses on the protection of significant vegetation, including native and introduced vegetation. It can be applied to individual trees, stands of trees or areas of significant vegetation. The significance of identifying the vegetation must be stated, together with the intended outcomes of the imposed requirements. </w:t>
      </w:r>
      <w:r w:rsidRPr="00D44104">
        <w:rPr>
          <w:i/>
          <w:iCs/>
        </w:rPr>
        <w:t>Planning Practice Note 7</w:t>
      </w:r>
      <w:r w:rsidRPr="00E5717A">
        <w:rPr>
          <w:i/>
          <w:iCs/>
        </w:rPr>
        <w:t xml:space="preserve"> – Vegetation Protection in Urban Areas</w:t>
      </w:r>
      <w:r w:rsidRPr="007E0672">
        <w:t xml:space="preserve"> explains the function of this overlay and other relevant vegetation provisions in more detail.</w:t>
      </w:r>
    </w:p>
    <w:p w14:paraId="100514BF" w14:textId="77777777" w:rsidR="00BD7127" w:rsidRPr="007E0672" w:rsidRDefault="00BD7127" w:rsidP="006952A7">
      <w:pPr>
        <w:pStyle w:val="Heading4"/>
      </w:pPr>
      <w:bookmarkStart w:id="210" w:name="_Toc418756026"/>
      <w:bookmarkStart w:id="211" w:name="_Toc109660965"/>
      <w:r w:rsidRPr="007E0672">
        <w:t>Significant Landscape Overlay (</w:t>
      </w:r>
      <w:r>
        <w:t>c</w:t>
      </w:r>
      <w:r w:rsidRPr="007E0672">
        <w:t>lause 42.03 and schedule)</w:t>
      </w:r>
      <w:bookmarkEnd w:id="210"/>
      <w:bookmarkEnd w:id="211"/>
    </w:p>
    <w:p w14:paraId="2DF9906C" w14:textId="77777777" w:rsidR="00BD7127" w:rsidRPr="007E0672" w:rsidRDefault="00BD7127" w:rsidP="00BD7127">
      <w:pPr>
        <w:pStyle w:val="Paragraph0"/>
      </w:pPr>
      <w:r w:rsidRPr="007E0672">
        <w:t xml:space="preserve">The function of this overlay is to identify, conserve and enhance the character of significant landscapes. The schedule to the zone must explain the significance of the landscape, together with the intended outcomes of imposed requirements. </w:t>
      </w:r>
      <w:r w:rsidRPr="00D44104">
        <w:rPr>
          <w:i/>
          <w:iCs/>
        </w:rPr>
        <w:t>Planning Practice Note 7</w:t>
      </w:r>
      <w:r w:rsidRPr="00E5717A">
        <w:rPr>
          <w:i/>
          <w:iCs/>
        </w:rPr>
        <w:t xml:space="preserve"> – </w:t>
      </w:r>
      <w:r w:rsidRPr="00E5717A">
        <w:rPr>
          <w:i/>
          <w:iCs/>
        </w:rPr>
        <w:lastRenderedPageBreak/>
        <w:t>Vegetation Protection in Urban Areas</w:t>
      </w:r>
      <w:r w:rsidRPr="007E0672">
        <w:t xml:space="preserve"> explains the function of this overlay and other relevant landscape provisions in more detail.</w:t>
      </w:r>
    </w:p>
    <w:p w14:paraId="5A263914" w14:textId="77777777" w:rsidR="00BD7127" w:rsidRPr="007E0672" w:rsidRDefault="00BD7127" w:rsidP="006952A7">
      <w:pPr>
        <w:pStyle w:val="Heading4"/>
      </w:pPr>
      <w:bookmarkStart w:id="212" w:name="_Toc418756027"/>
      <w:bookmarkStart w:id="213" w:name="_Toc109660966"/>
      <w:r w:rsidRPr="007E0672">
        <w:t>HERITAGE AND BUILT FORM OVERLAYS</w:t>
      </w:r>
      <w:bookmarkEnd w:id="212"/>
      <w:bookmarkEnd w:id="213"/>
    </w:p>
    <w:p w14:paraId="076896CD" w14:textId="77777777" w:rsidR="00BD7127" w:rsidRPr="007E0672" w:rsidRDefault="00BD7127" w:rsidP="006952A7">
      <w:pPr>
        <w:pStyle w:val="Heading4"/>
      </w:pPr>
      <w:bookmarkStart w:id="214" w:name="_Toc418756028"/>
      <w:bookmarkStart w:id="215" w:name="_Toc109660967"/>
      <w:r w:rsidRPr="007E0672">
        <w:t>Heritage Overlay (</w:t>
      </w:r>
      <w:r>
        <w:t>c</w:t>
      </w:r>
      <w:r w:rsidRPr="007E0672">
        <w:t>lause 43.01 and schedule)</w:t>
      </w:r>
      <w:bookmarkEnd w:id="214"/>
      <w:bookmarkEnd w:id="215"/>
    </w:p>
    <w:p w14:paraId="526DE47A" w14:textId="77777777" w:rsidR="00BD7127" w:rsidRPr="007E0672" w:rsidRDefault="00BD7127" w:rsidP="00BD7127">
      <w:pPr>
        <w:pStyle w:val="Paragraph0"/>
      </w:pPr>
      <w:r w:rsidRPr="007E0672">
        <w:t>Any heritage place with a recognised citation should be included in the schedule to this overlay. In addition, any heritage place identified in local heritage studies can also be included.</w:t>
      </w:r>
    </w:p>
    <w:p w14:paraId="5CE30A63" w14:textId="77777777" w:rsidR="00BD7127" w:rsidRPr="007E0672" w:rsidRDefault="00BD7127" w:rsidP="00BD7127">
      <w:pPr>
        <w:pStyle w:val="Paragraph0"/>
      </w:pPr>
      <w:r w:rsidRPr="007E0672">
        <w:t>A heritage place can have a wide definition and may include a single object or an area.</w:t>
      </w:r>
    </w:p>
    <w:p w14:paraId="0D1271A7" w14:textId="77777777" w:rsidR="00BD7127" w:rsidRDefault="00BD7127" w:rsidP="00BD7127">
      <w:pPr>
        <w:pStyle w:val="Paragraph0"/>
      </w:pPr>
      <w:r w:rsidRPr="007E0672">
        <w:t xml:space="preserve">There </w:t>
      </w:r>
      <w:r>
        <w:t>needs to</w:t>
      </w:r>
      <w:r w:rsidRPr="007E0672">
        <w:t xml:space="preserve"> be a rigorous heritage assessment process leading to the identification of the place. The documentation for each place </w:t>
      </w:r>
      <w:r>
        <w:t>must</w:t>
      </w:r>
      <w:r w:rsidRPr="007E0672">
        <w:t xml:space="preserve"> include a </w:t>
      </w:r>
      <w:r>
        <w:t>s</w:t>
      </w:r>
      <w:r w:rsidRPr="007E0672">
        <w:t xml:space="preserve">tatement of </w:t>
      </w:r>
      <w:r>
        <w:t>s</w:t>
      </w:r>
      <w:r w:rsidRPr="007E0672">
        <w:t xml:space="preserve">ignificance </w:t>
      </w:r>
      <w:r>
        <w:t>that</w:t>
      </w:r>
      <w:r w:rsidRPr="007E0672">
        <w:t xml:space="preserve"> establishes the importance of the place.</w:t>
      </w:r>
      <w:r>
        <w:t xml:space="preserve"> The statement of significance must form part of an incorporated document and be specified in the schedule to the Heritage Overlay. </w:t>
      </w:r>
    </w:p>
    <w:p w14:paraId="179EC68C" w14:textId="24E93874" w:rsidR="00BD7127" w:rsidRPr="007961F6" w:rsidRDefault="00BD7127" w:rsidP="00BD7127">
      <w:pPr>
        <w:pStyle w:val="Paragraph0"/>
      </w:pPr>
      <w:r w:rsidRPr="007E0672">
        <w:t xml:space="preserve">For guidance on applying heritage provisions see </w:t>
      </w:r>
      <w:r w:rsidRPr="00D44104">
        <w:rPr>
          <w:i/>
          <w:iCs/>
        </w:rPr>
        <w:t>Planning Practice Note 1</w:t>
      </w:r>
      <w:r w:rsidRPr="00E5717A">
        <w:rPr>
          <w:i/>
          <w:iCs/>
        </w:rPr>
        <w:t xml:space="preserve"> – Applying the Heritage Overlay</w:t>
      </w:r>
      <w:r w:rsidRPr="007E0672">
        <w:t xml:space="preserve"> and </w:t>
      </w:r>
      <w:r w:rsidR="00270EAB" w:rsidRPr="00270EAB">
        <w:rPr>
          <w:i/>
          <w:iCs/>
        </w:rPr>
        <w:t>T</w:t>
      </w:r>
      <w:r w:rsidRPr="00270EAB">
        <w:rPr>
          <w:i/>
          <w:iCs/>
        </w:rPr>
        <w:t>he</w:t>
      </w:r>
      <w:r w:rsidRPr="00270EAB">
        <w:rPr>
          <w:i/>
        </w:rPr>
        <w:t xml:space="preserve"> Victorian Heritage Register Criteria and Threshold Guidelines</w:t>
      </w:r>
      <w:r w:rsidRPr="00E5717A">
        <w:t xml:space="preserve"> </w:t>
      </w:r>
      <w:r w:rsidRPr="00D743A4">
        <w:t>(</w:t>
      </w:r>
      <w:r w:rsidRPr="007961F6">
        <w:t xml:space="preserve">Heritage Council of Victoria, </w:t>
      </w:r>
      <w:r w:rsidR="002C4CAE">
        <w:t>updated</w:t>
      </w:r>
      <w:r w:rsidRPr="007961F6">
        <w:t xml:space="preserve"> </w:t>
      </w:r>
      <w:r w:rsidR="002C4CAE">
        <w:t>December</w:t>
      </w:r>
      <w:r w:rsidRPr="007961F6">
        <w:t xml:space="preserve"> 20</w:t>
      </w:r>
      <w:r w:rsidR="002C4CAE">
        <w:t>22</w:t>
      </w:r>
      <w:r w:rsidRPr="007961F6">
        <w:t>).</w:t>
      </w:r>
    </w:p>
    <w:p w14:paraId="4133A926" w14:textId="77777777" w:rsidR="00BD7127" w:rsidRPr="007E0672" w:rsidRDefault="00BD7127" w:rsidP="006952A7">
      <w:pPr>
        <w:pStyle w:val="Heading4"/>
      </w:pPr>
      <w:bookmarkStart w:id="216" w:name="_Toc418756029"/>
      <w:bookmarkStart w:id="217" w:name="_Toc109660968"/>
      <w:r w:rsidRPr="007E0672">
        <w:t>Design and Development Overlay (</w:t>
      </w:r>
      <w:r>
        <w:t>c</w:t>
      </w:r>
      <w:r w:rsidRPr="007E0672">
        <w:t>lause 43.02 and schedule)</w:t>
      </w:r>
      <w:bookmarkEnd w:id="216"/>
      <w:bookmarkEnd w:id="217"/>
    </w:p>
    <w:p w14:paraId="75ECEACC" w14:textId="77777777" w:rsidR="00BD7127" w:rsidRPr="007E0672" w:rsidRDefault="00BD7127" w:rsidP="00BD7127">
      <w:pPr>
        <w:pStyle w:val="Paragraph0"/>
      </w:pPr>
      <w:r w:rsidRPr="007E0672">
        <w:t>This overlay is principally intended to implement requirements based on a demonstrated need to control built form and the built environment. The intended built form outcome</w:t>
      </w:r>
      <w:r>
        <w:t>, and</w:t>
      </w:r>
      <w:r w:rsidRPr="007E0672">
        <w:t xml:space="preserve"> the way in which the imposed requirements will bring this about</w:t>
      </w:r>
      <w:r>
        <w:t>,</w:t>
      </w:r>
      <w:r w:rsidRPr="007E0672">
        <w:t xml:space="preserve"> must be clearly stated. Where possible, performance-based requirements should be used rather than prescriptive requirements.</w:t>
      </w:r>
    </w:p>
    <w:p w14:paraId="1CF885B4" w14:textId="77777777" w:rsidR="00BD7127" w:rsidRPr="007E0672" w:rsidRDefault="00BD7127" w:rsidP="006952A7">
      <w:pPr>
        <w:pStyle w:val="Heading4"/>
      </w:pPr>
      <w:bookmarkStart w:id="218" w:name="_Toc418756030"/>
      <w:bookmarkStart w:id="219" w:name="_Toc109660969"/>
      <w:r w:rsidRPr="007E0672">
        <w:t>Incorporated Plan Overlay (</w:t>
      </w:r>
      <w:r>
        <w:t>c</w:t>
      </w:r>
      <w:r w:rsidRPr="007E0672">
        <w:t>lause 43.03 and schedule)</w:t>
      </w:r>
      <w:bookmarkEnd w:id="218"/>
      <w:bookmarkEnd w:id="219"/>
    </w:p>
    <w:p w14:paraId="052E0BF5" w14:textId="77777777" w:rsidR="00BD7127" w:rsidRPr="007E0672" w:rsidRDefault="00BD7127" w:rsidP="00BD7127">
      <w:pPr>
        <w:pStyle w:val="Paragraph0"/>
      </w:pPr>
      <w:r w:rsidRPr="007E0672">
        <w:t>This overlay is used to:</w:t>
      </w:r>
    </w:p>
    <w:p w14:paraId="528D6702" w14:textId="77777777" w:rsidR="00BD7127" w:rsidRPr="00B5265C" w:rsidRDefault="00BD7127" w:rsidP="00A705A5">
      <w:pPr>
        <w:pStyle w:val="ListParagraph"/>
        <w:numPr>
          <w:ilvl w:val="0"/>
          <w:numId w:val="41"/>
        </w:numPr>
        <w:spacing w:before="120" w:after="0" w:line="240" w:lineRule="auto"/>
        <w:contextualSpacing w:val="0"/>
        <w:rPr>
          <w:rFonts w:ascii="VIC" w:hAnsi="VIC"/>
        </w:rPr>
      </w:pPr>
      <w:r w:rsidRPr="00B5265C">
        <w:rPr>
          <w:rFonts w:ascii="VIC" w:hAnsi="VIC"/>
        </w:rPr>
        <w:t>prescribe a plan for an area to coordinate proposed use or development before a permit can be granted under the zone</w:t>
      </w:r>
    </w:p>
    <w:p w14:paraId="15B589A0" w14:textId="77777777" w:rsidR="00BD7127" w:rsidRPr="00B5265C" w:rsidRDefault="00BD7127" w:rsidP="00A705A5">
      <w:pPr>
        <w:pStyle w:val="ListParagraph"/>
        <w:numPr>
          <w:ilvl w:val="0"/>
          <w:numId w:val="41"/>
        </w:numPr>
        <w:spacing w:before="120" w:after="0" w:line="240" w:lineRule="auto"/>
        <w:contextualSpacing w:val="0"/>
        <w:rPr>
          <w:rFonts w:ascii="VIC" w:hAnsi="VIC"/>
        </w:rPr>
      </w:pPr>
      <w:r w:rsidRPr="00B5265C">
        <w:rPr>
          <w:rFonts w:ascii="VIC" w:hAnsi="VIC"/>
        </w:rPr>
        <w:t>exempt from notice and review any permit applications that conform with the plan.</w:t>
      </w:r>
    </w:p>
    <w:p w14:paraId="706D870E" w14:textId="77777777" w:rsidR="00BD7127" w:rsidRPr="007E0672" w:rsidRDefault="00BD7127" w:rsidP="00BD7127">
      <w:pPr>
        <w:pStyle w:val="Paragraph0"/>
      </w:pPr>
      <w:r w:rsidRPr="007E0672">
        <w:t xml:space="preserve">A plan established by the Incorporated Plan Overlay is incorporated in the planning scheme. It can only be introduced or changed by a planning scheme amendment and will normally be publicly exhibited as part of that process, making it appropriate </w:t>
      </w:r>
      <w:r>
        <w:t xml:space="preserve">to use </w:t>
      </w:r>
      <w:r w:rsidRPr="007E0672">
        <w:t>whe</w:t>
      </w:r>
      <w:r>
        <w:t>n</w:t>
      </w:r>
      <w:r w:rsidRPr="007E0672">
        <w:t xml:space="preserve"> a plan is likely to affect third-party interests.</w:t>
      </w:r>
    </w:p>
    <w:p w14:paraId="34E30C50" w14:textId="77777777" w:rsidR="00BD7127" w:rsidRPr="007E0672" w:rsidRDefault="00BD7127" w:rsidP="00BD7127">
      <w:pPr>
        <w:pStyle w:val="Paragraph0"/>
      </w:pPr>
      <w:r w:rsidRPr="00D44104">
        <w:rPr>
          <w:i/>
          <w:iCs/>
        </w:rPr>
        <w:t>Planning Practice Note 23</w:t>
      </w:r>
      <w:r w:rsidRPr="00E5717A">
        <w:rPr>
          <w:i/>
          <w:iCs/>
        </w:rPr>
        <w:t xml:space="preserve"> – Applying the Incorporated Plan and Development Plan Overlay</w:t>
      </w:r>
      <w:r w:rsidRPr="007E0672">
        <w:t xml:space="preserve"> provides advice on the operation of this overlay.</w:t>
      </w:r>
    </w:p>
    <w:p w14:paraId="055C2605" w14:textId="77777777" w:rsidR="00BD7127" w:rsidRPr="007E0672" w:rsidRDefault="00BD7127" w:rsidP="006952A7">
      <w:pPr>
        <w:pStyle w:val="Heading4"/>
      </w:pPr>
      <w:bookmarkStart w:id="220" w:name="_Toc418756031"/>
      <w:bookmarkStart w:id="221" w:name="_Toc109660970"/>
      <w:r w:rsidRPr="007E0672">
        <w:t>Development Plan Overlay (</w:t>
      </w:r>
      <w:r>
        <w:t>c</w:t>
      </w:r>
      <w:r w:rsidRPr="007E0672">
        <w:t>lause 43.04 and schedule)</w:t>
      </w:r>
      <w:bookmarkEnd w:id="220"/>
      <w:bookmarkEnd w:id="221"/>
    </w:p>
    <w:p w14:paraId="3B2B2FD6" w14:textId="77777777" w:rsidR="00BD7127" w:rsidRPr="007E0672" w:rsidRDefault="00BD7127" w:rsidP="00BD7127">
      <w:pPr>
        <w:pStyle w:val="Paragraph0"/>
      </w:pPr>
      <w:r w:rsidRPr="007E0672">
        <w:t>This overlay is used where the form of development is appropriately controlled by a plan that satisfies the responsible authority as there is no public approval process for the plan.</w:t>
      </w:r>
    </w:p>
    <w:p w14:paraId="02D6EA0E" w14:textId="77777777" w:rsidR="00BD7127" w:rsidRPr="007E0672" w:rsidRDefault="00BD7127" w:rsidP="00BD7127">
      <w:pPr>
        <w:pStyle w:val="Paragraph0"/>
      </w:pPr>
      <w:r w:rsidRPr="007E0672">
        <w:t>A planning scheme amendment is not required to amend a plan established by a Development Plan Overlay.</w:t>
      </w:r>
    </w:p>
    <w:p w14:paraId="09DDCF3D" w14:textId="77777777" w:rsidR="00BD7127" w:rsidRPr="007E0672" w:rsidRDefault="00BD7127" w:rsidP="00BD7127">
      <w:pPr>
        <w:pStyle w:val="Paragraph0"/>
      </w:pPr>
      <w:r w:rsidRPr="007E0672">
        <w:t xml:space="preserve">For more information on the operation of this overlay see </w:t>
      </w:r>
      <w:r w:rsidRPr="00D44104">
        <w:rPr>
          <w:i/>
          <w:iCs/>
        </w:rPr>
        <w:t>Planning Practice Note 23</w:t>
      </w:r>
      <w:r w:rsidRPr="00E5717A">
        <w:rPr>
          <w:i/>
          <w:iCs/>
        </w:rPr>
        <w:t xml:space="preserve"> – Applying the Incorporated Plan and Development Plan Overlay</w:t>
      </w:r>
      <w:r w:rsidRPr="007E0672">
        <w:t>.</w:t>
      </w:r>
    </w:p>
    <w:p w14:paraId="1D641AD3" w14:textId="77777777" w:rsidR="00BD7127" w:rsidRPr="007E0672" w:rsidRDefault="00BD7127" w:rsidP="006952A7">
      <w:pPr>
        <w:pStyle w:val="Heading4"/>
      </w:pPr>
      <w:bookmarkStart w:id="222" w:name="_Toc418756032"/>
      <w:bookmarkStart w:id="223" w:name="_Toc109660971"/>
      <w:r w:rsidRPr="007E0672">
        <w:t>Neighbourhood Character Overlay (</w:t>
      </w:r>
      <w:r>
        <w:t>c</w:t>
      </w:r>
      <w:r w:rsidRPr="007E0672">
        <w:t>lause 43.05 and schedule)</w:t>
      </w:r>
      <w:bookmarkEnd w:id="222"/>
      <w:bookmarkEnd w:id="223"/>
    </w:p>
    <w:p w14:paraId="2465DBF3" w14:textId="77777777" w:rsidR="00BD7127" w:rsidRPr="007E0672" w:rsidRDefault="00BD7127" w:rsidP="00BD7127">
      <w:pPr>
        <w:pStyle w:val="Paragraph0"/>
      </w:pPr>
      <w:r w:rsidRPr="007E0672">
        <w:t xml:space="preserve">This overlay identifies areas of existing or preferred neighbourhood character. It requires a planning permit for buildings and works and the demolition or removal of a building or tree if </w:t>
      </w:r>
      <w:r w:rsidRPr="007E0672">
        <w:lastRenderedPageBreak/>
        <w:t xml:space="preserve">specified in a schedule to the overlay. A schedule to the overlay can be used to modify certain standards of </w:t>
      </w:r>
      <w:r>
        <w:t>c</w:t>
      </w:r>
      <w:r w:rsidRPr="007E0672">
        <w:t xml:space="preserve">lause 54 or </w:t>
      </w:r>
      <w:r>
        <w:t>c</w:t>
      </w:r>
      <w:r w:rsidRPr="007E0672">
        <w:t>lause 55 of the planning scheme.</w:t>
      </w:r>
    </w:p>
    <w:p w14:paraId="72B3B28F" w14:textId="77777777" w:rsidR="00BD7127" w:rsidRPr="007E0672" w:rsidRDefault="00BD7127" w:rsidP="006952A7">
      <w:pPr>
        <w:pStyle w:val="Heading4"/>
      </w:pPr>
      <w:bookmarkStart w:id="224" w:name="_Toc418756033"/>
      <w:bookmarkStart w:id="225" w:name="_Toc109660972"/>
      <w:r w:rsidRPr="007E0672">
        <w:t>LAND MANAGEMENT OVERLAYS</w:t>
      </w:r>
      <w:bookmarkEnd w:id="224"/>
      <w:bookmarkEnd w:id="225"/>
    </w:p>
    <w:p w14:paraId="72D5FFC2" w14:textId="77777777" w:rsidR="00BD7127" w:rsidRPr="007E0672" w:rsidRDefault="00BD7127" w:rsidP="006952A7">
      <w:pPr>
        <w:pStyle w:val="Heading4"/>
      </w:pPr>
      <w:bookmarkStart w:id="226" w:name="_Toc418756034"/>
      <w:bookmarkStart w:id="227" w:name="_Toc109660973"/>
      <w:r w:rsidRPr="007E0672">
        <w:t>Erosion Management Overlay (</w:t>
      </w:r>
      <w:r>
        <w:t>c</w:t>
      </w:r>
      <w:r w:rsidRPr="007E0672">
        <w:t>lause 44.01 and schedule)</w:t>
      </w:r>
      <w:bookmarkEnd w:id="226"/>
      <w:bookmarkEnd w:id="227"/>
    </w:p>
    <w:p w14:paraId="16C1BBFA" w14:textId="77777777" w:rsidR="00BD7127" w:rsidRPr="007E0672" w:rsidRDefault="00BD7127" w:rsidP="00BD7127">
      <w:pPr>
        <w:pStyle w:val="Paragraph0"/>
      </w:pPr>
      <w:r w:rsidRPr="007E0672">
        <w:t xml:space="preserve">This overlay identifies land subject to significant erosion. There should be appropriate technical justification to support the application of this overlay. </w:t>
      </w:r>
    </w:p>
    <w:p w14:paraId="21551B19" w14:textId="77777777" w:rsidR="00BD7127" w:rsidRPr="007E0672" w:rsidRDefault="00BD7127" w:rsidP="006952A7">
      <w:pPr>
        <w:pStyle w:val="Heading4"/>
      </w:pPr>
      <w:bookmarkStart w:id="228" w:name="_Toc418756035"/>
      <w:bookmarkStart w:id="229" w:name="_Toc109660974"/>
      <w:r w:rsidRPr="007E0672">
        <w:t>Salinity Management Overlay (</w:t>
      </w:r>
      <w:r>
        <w:t>c</w:t>
      </w:r>
      <w:r w:rsidRPr="007E0672">
        <w:t>lause 44.02 and schedule)</w:t>
      </w:r>
      <w:bookmarkEnd w:id="228"/>
      <w:bookmarkEnd w:id="229"/>
    </w:p>
    <w:p w14:paraId="58FD472D" w14:textId="77777777" w:rsidR="00BD7127" w:rsidRPr="007E0672" w:rsidRDefault="00BD7127" w:rsidP="00BD7127">
      <w:pPr>
        <w:pStyle w:val="Paragraph0"/>
      </w:pPr>
      <w:r w:rsidRPr="007E0672">
        <w:t>This overlay identifies land subject to significant salinity. It requires a planning permit for buildings and works, subdivision and the removal of vegetation in areas affected by salinity. All applications are referred to the relevant state environment department. There should be appropriate technical justification to support the application of this overlay.</w:t>
      </w:r>
    </w:p>
    <w:p w14:paraId="07A072ED" w14:textId="77777777" w:rsidR="00BD7127" w:rsidRPr="007E0672" w:rsidRDefault="00BD7127" w:rsidP="006952A7">
      <w:pPr>
        <w:pStyle w:val="Heading4"/>
      </w:pPr>
      <w:bookmarkStart w:id="230" w:name="_Toc418756036"/>
      <w:bookmarkStart w:id="231" w:name="_Toc109660975"/>
      <w:r w:rsidRPr="007E0672">
        <w:t>Floodway Overlay (</w:t>
      </w:r>
      <w:r>
        <w:t>c</w:t>
      </w:r>
      <w:r w:rsidRPr="007E0672">
        <w:t>lause 44.03 and schedule)</w:t>
      </w:r>
      <w:bookmarkEnd w:id="230"/>
      <w:bookmarkEnd w:id="231"/>
    </w:p>
    <w:p w14:paraId="31659EF4" w14:textId="1D4A2AA6" w:rsidR="00BD7127" w:rsidRPr="007E0672" w:rsidRDefault="00371D45" w:rsidP="00BD7127">
      <w:pPr>
        <w:pStyle w:val="Paragraph0"/>
      </w:pPr>
      <w:r w:rsidRPr="007E0672">
        <w:t xml:space="preserve">This overlay is applied to urban and rural land </w:t>
      </w:r>
      <w:r>
        <w:t>that is subject to mainstream flooding where the focus of control is on development, rather than land use. These areas convey active flood flows or store floodwater in a similar way to the Urban Floodway Zone but with a lesser flood risk</w:t>
      </w:r>
      <w:r w:rsidR="00BD7127" w:rsidRPr="007E0672">
        <w:t xml:space="preserve">. The identification of these areas should be established in consultation with the relevant floodplain management authority. </w:t>
      </w:r>
      <w:r w:rsidR="00BD7127" w:rsidRPr="00D44104">
        <w:rPr>
          <w:i/>
          <w:iCs/>
        </w:rPr>
        <w:t>Planning Practice Note 12</w:t>
      </w:r>
      <w:r w:rsidR="00BD7127" w:rsidRPr="00E5717A">
        <w:rPr>
          <w:i/>
          <w:iCs/>
        </w:rPr>
        <w:t xml:space="preserve"> – Applying the Flood Provisions in Planning Schemes</w:t>
      </w:r>
      <w:r w:rsidR="00BD7127" w:rsidRPr="007E0672">
        <w:t xml:space="preserve"> explains the function of this overlay and other relevant flood provisions in more detail.</w:t>
      </w:r>
    </w:p>
    <w:p w14:paraId="228FBA9A" w14:textId="77777777" w:rsidR="00BD7127" w:rsidRPr="007E0672" w:rsidRDefault="00BD7127" w:rsidP="006952A7">
      <w:pPr>
        <w:pStyle w:val="Heading4"/>
      </w:pPr>
      <w:bookmarkStart w:id="232" w:name="_Toc418756037"/>
      <w:bookmarkStart w:id="233" w:name="_Toc109660976"/>
      <w:r w:rsidRPr="007E0672">
        <w:t>Land Subject to Inundation Overlay (</w:t>
      </w:r>
      <w:r>
        <w:t>c</w:t>
      </w:r>
      <w:r w:rsidRPr="007E0672">
        <w:t>lause 44.04 and schedule)</w:t>
      </w:r>
      <w:bookmarkEnd w:id="232"/>
      <w:bookmarkEnd w:id="233"/>
    </w:p>
    <w:p w14:paraId="7EF6761D" w14:textId="77777777" w:rsidR="00BD7127" w:rsidRPr="007E0672" w:rsidRDefault="00BD7127" w:rsidP="00BD7127">
      <w:pPr>
        <w:pStyle w:val="Paragraph0"/>
      </w:pPr>
      <w:r w:rsidRPr="007E0672">
        <w:t xml:space="preserve">This overlay applies to either rural or urban </w:t>
      </w:r>
      <w:r>
        <w:t xml:space="preserve">land in riverine </w:t>
      </w:r>
      <w:r w:rsidRPr="007E0672">
        <w:t xml:space="preserve">areas that </w:t>
      </w:r>
      <w:r>
        <w:t>are</w:t>
      </w:r>
      <w:r w:rsidRPr="007E0672">
        <w:t xml:space="preserve"> subject to inundation but </w:t>
      </w:r>
      <w:r>
        <w:t>are</w:t>
      </w:r>
      <w:r w:rsidRPr="007E0672">
        <w:t xml:space="preserve"> not part of the primary floodway. </w:t>
      </w:r>
      <w:r>
        <w:t xml:space="preserve">The overlay is also applied to areas subject to coastal flooding, including areas where the flood risk will increase </w:t>
      </w:r>
      <w:proofErr w:type="gramStart"/>
      <w:r>
        <w:t>as a result of</w:t>
      </w:r>
      <w:proofErr w:type="gramEnd"/>
      <w:r>
        <w:t xml:space="preserve"> climate change.</w:t>
      </w:r>
      <w:r w:rsidRPr="007E0672" w:rsidDel="003F2B02">
        <w:t xml:space="preserve"> </w:t>
      </w:r>
      <w:r w:rsidRPr="007E0672">
        <w:t>The identification of these areas should be established in consultation with the relevant floodplain management authority</w:t>
      </w:r>
      <w:r w:rsidRPr="00E5717A">
        <w:rPr>
          <w:i/>
          <w:iCs/>
        </w:rPr>
        <w:t xml:space="preserve">. </w:t>
      </w:r>
      <w:r w:rsidRPr="00D44104">
        <w:rPr>
          <w:i/>
          <w:iCs/>
        </w:rPr>
        <w:t>Planning Practice Note 12</w:t>
      </w:r>
      <w:r w:rsidRPr="00E5717A">
        <w:rPr>
          <w:i/>
          <w:iCs/>
        </w:rPr>
        <w:t xml:space="preserve"> – Applying the Flood Provisions in Planning Schemes</w:t>
      </w:r>
      <w:r w:rsidRPr="007E0672">
        <w:t xml:space="preserve"> explains this overlay and other relevant flood provisions in more detail.</w:t>
      </w:r>
    </w:p>
    <w:p w14:paraId="501E4460" w14:textId="77777777" w:rsidR="00BD7127" w:rsidRPr="007E0672" w:rsidRDefault="00BD7127" w:rsidP="006952A7">
      <w:pPr>
        <w:pStyle w:val="Heading4"/>
      </w:pPr>
      <w:bookmarkStart w:id="234" w:name="_Toc418756038"/>
      <w:bookmarkStart w:id="235" w:name="_Toc109660977"/>
      <w:r w:rsidRPr="007E0672">
        <w:t>Special Building Overlay (</w:t>
      </w:r>
      <w:r>
        <w:t>c</w:t>
      </w:r>
      <w:r w:rsidRPr="007E0672">
        <w:t>lause 44.05 and schedule)</w:t>
      </w:r>
      <w:bookmarkEnd w:id="234"/>
      <w:bookmarkEnd w:id="235"/>
    </w:p>
    <w:p w14:paraId="3431EADF" w14:textId="77777777" w:rsidR="00BD7127" w:rsidRPr="007E0672" w:rsidRDefault="00BD7127" w:rsidP="00BD7127">
      <w:pPr>
        <w:pStyle w:val="Paragraph0"/>
      </w:pPr>
      <w:r w:rsidRPr="007E0672">
        <w:t>This overlay applies to urban land that is subject to overland flow resulting from stormwater flooding where the capacity of the drainage system is exceeded during heavy rainfall. This land is not part of a primary floodway from a river or stream</w:t>
      </w:r>
      <w:r w:rsidRPr="00E5717A">
        <w:t xml:space="preserve">. </w:t>
      </w:r>
      <w:r w:rsidRPr="00D44104">
        <w:rPr>
          <w:i/>
          <w:iCs/>
        </w:rPr>
        <w:t>Planning Practice Note 12</w:t>
      </w:r>
      <w:r w:rsidRPr="00E5717A">
        <w:rPr>
          <w:i/>
          <w:iCs/>
        </w:rPr>
        <w:t xml:space="preserve"> – Applying the Flood Provisions in Planning Schemes</w:t>
      </w:r>
      <w:r w:rsidRPr="007E0672">
        <w:t xml:space="preserve"> explains the operation of this overlay and other relevant flood provisions in more detail.</w:t>
      </w:r>
    </w:p>
    <w:p w14:paraId="7A0C383D" w14:textId="77777777" w:rsidR="00BD7127" w:rsidRPr="007E0672" w:rsidRDefault="00BD7127" w:rsidP="006952A7">
      <w:pPr>
        <w:pStyle w:val="Heading4"/>
      </w:pPr>
      <w:bookmarkStart w:id="236" w:name="_Toc418756039"/>
      <w:bookmarkStart w:id="237" w:name="_Toc109660978"/>
      <w:r w:rsidRPr="007E0672">
        <w:t>Bushfire Management Overlay (</w:t>
      </w:r>
      <w:r>
        <w:t>c</w:t>
      </w:r>
      <w:r w:rsidRPr="007E0672">
        <w:t>lause 44.06 and schedule)</w:t>
      </w:r>
      <w:bookmarkEnd w:id="236"/>
      <w:bookmarkEnd w:id="237"/>
    </w:p>
    <w:p w14:paraId="41D66416" w14:textId="77777777" w:rsidR="00BD7127" w:rsidRPr="007E0672" w:rsidRDefault="00BD7127" w:rsidP="00BD7127">
      <w:pPr>
        <w:pStyle w:val="Paragraph0"/>
      </w:pPr>
      <w:r w:rsidRPr="007E0672">
        <w:t xml:space="preserve">This overlay is applied to areas identified as having high bushfire hazard. Together with the planning requirements for bushfire protection in </w:t>
      </w:r>
      <w:r>
        <w:t>c</w:t>
      </w:r>
      <w:r w:rsidRPr="007E0672">
        <w:t>lause 5</w:t>
      </w:r>
      <w:r>
        <w:t>3</w:t>
      </w:r>
      <w:r w:rsidRPr="007E0672">
        <w:t>.</w:t>
      </w:r>
      <w:r>
        <w:t>02</w:t>
      </w:r>
      <w:r w:rsidRPr="007E0672">
        <w:t xml:space="preserve">, this overlay controls development </w:t>
      </w:r>
      <w:proofErr w:type="gramStart"/>
      <w:r w:rsidRPr="007E0672">
        <w:t>in order to</w:t>
      </w:r>
      <w:proofErr w:type="gramEnd"/>
      <w:r w:rsidRPr="007E0672">
        <w:t xml:space="preserve"> mitigate risk to life, property and community infrastructure. </w:t>
      </w:r>
      <w:r w:rsidRPr="00D44104">
        <w:rPr>
          <w:i/>
          <w:iCs/>
        </w:rPr>
        <w:t>Planning Practice Note 64</w:t>
      </w:r>
      <w:r w:rsidRPr="00E5717A">
        <w:rPr>
          <w:i/>
          <w:iCs/>
        </w:rPr>
        <w:t xml:space="preserve"> – Local Planning for Bushfire Protection</w:t>
      </w:r>
      <w:r w:rsidRPr="007E0672">
        <w:t xml:space="preserve"> explains the use of this overlay in more detail.</w:t>
      </w:r>
      <w:r>
        <w:t xml:space="preserve"> </w:t>
      </w:r>
    </w:p>
    <w:p w14:paraId="58CA776F" w14:textId="77777777" w:rsidR="00BD7127" w:rsidRPr="007E0672" w:rsidRDefault="00BD7127" w:rsidP="006952A7">
      <w:pPr>
        <w:pStyle w:val="Heading4"/>
      </w:pPr>
      <w:bookmarkStart w:id="238" w:name="_Toc418756040"/>
      <w:bookmarkStart w:id="239" w:name="_Toc109660979"/>
      <w:r w:rsidRPr="007E0672">
        <w:t>State Resource Overlay (</w:t>
      </w:r>
      <w:r>
        <w:t>c</w:t>
      </w:r>
      <w:r w:rsidRPr="007E0672">
        <w:t>lause 44.07 and schedule)</w:t>
      </w:r>
      <w:bookmarkEnd w:id="238"/>
      <w:bookmarkEnd w:id="239"/>
    </w:p>
    <w:p w14:paraId="6A54B630" w14:textId="77777777" w:rsidR="00BD7127" w:rsidRDefault="00BD7127" w:rsidP="00BD7127">
      <w:pPr>
        <w:pStyle w:val="Paragraph0"/>
      </w:pPr>
      <w:r w:rsidRPr="007E0672">
        <w:t>This overlay is applied to protect areas of mineral, stone and other resources, identified as being of state significance, from development that would prejudice the current or future productive use of the resource.</w:t>
      </w:r>
    </w:p>
    <w:p w14:paraId="4EDE399C" w14:textId="77777777" w:rsidR="00BD7127" w:rsidRDefault="00BD7127" w:rsidP="006952A7">
      <w:pPr>
        <w:pStyle w:val="Heading4"/>
        <w:rPr>
          <w:rStyle w:val="Strong"/>
        </w:rPr>
      </w:pPr>
      <w:r w:rsidRPr="007705D5">
        <w:lastRenderedPageBreak/>
        <w:t>Buffer Area</w:t>
      </w:r>
      <w:r>
        <w:t xml:space="preserve"> </w:t>
      </w:r>
      <w:r w:rsidRPr="007705D5">
        <w:t>Overlay</w:t>
      </w:r>
      <w:r>
        <w:t xml:space="preserve"> (clause 44.08 and schedule)</w:t>
      </w:r>
    </w:p>
    <w:p w14:paraId="3E54FE46" w14:textId="4F6EEC4B" w:rsidR="00BD7127" w:rsidRPr="007E0672" w:rsidRDefault="00BD7127" w:rsidP="00BD7127">
      <w:pPr>
        <w:pStyle w:val="Paragraph0"/>
      </w:pPr>
      <w:r w:rsidRPr="00466BD5">
        <w:rPr>
          <w:rStyle w:val="Strong"/>
        </w:rPr>
        <w:t>This overlay</w:t>
      </w:r>
      <w:r w:rsidRPr="003F2B02">
        <w:rPr>
          <w:rStyle w:val="Strong"/>
        </w:rPr>
        <w:t xml:space="preserve"> </w:t>
      </w:r>
      <w:r w:rsidRPr="003F2B02">
        <w:rPr>
          <w:bCs/>
        </w:rPr>
        <w:t>identifies</w:t>
      </w:r>
      <w:r>
        <w:t xml:space="preserve"> buffer areas where there is potential for off-site impacts on human health or safety; or significant off-site amenity impacts from industry, warehouse, infrastructure or other uses. The overlay seeks to ensure use and development in buffer areas is compatible with potential off-site impacts.</w:t>
      </w:r>
    </w:p>
    <w:p w14:paraId="5DAB8CC8" w14:textId="77777777" w:rsidR="00BD7127" w:rsidRPr="007E0672" w:rsidRDefault="00BD7127" w:rsidP="006952A7">
      <w:pPr>
        <w:pStyle w:val="Heading4"/>
      </w:pPr>
      <w:bookmarkStart w:id="240" w:name="_Toc418756041"/>
      <w:bookmarkStart w:id="241" w:name="_Toc109660980"/>
      <w:r w:rsidRPr="007E0672">
        <w:t>OTHER OVERLAYS</w:t>
      </w:r>
      <w:bookmarkEnd w:id="240"/>
      <w:bookmarkEnd w:id="241"/>
    </w:p>
    <w:p w14:paraId="1944CE31" w14:textId="77777777" w:rsidR="00BD7127" w:rsidRPr="007E0672" w:rsidRDefault="00BD7127" w:rsidP="006952A7">
      <w:pPr>
        <w:pStyle w:val="Heading4"/>
      </w:pPr>
      <w:bookmarkStart w:id="242" w:name="_Toc418756042"/>
      <w:bookmarkStart w:id="243" w:name="_Toc109660981"/>
      <w:r w:rsidRPr="007E0672">
        <w:t>Public Acquisition Overlay (</w:t>
      </w:r>
      <w:r>
        <w:t>c</w:t>
      </w:r>
      <w:r w:rsidRPr="007E0672">
        <w:t>lause 45.01 and schedule)</w:t>
      </w:r>
      <w:bookmarkEnd w:id="242"/>
      <w:bookmarkEnd w:id="243"/>
    </w:p>
    <w:p w14:paraId="7FA6F91A" w14:textId="77777777" w:rsidR="00BD7127" w:rsidRPr="007E0672" w:rsidRDefault="00BD7127" w:rsidP="00BD7127">
      <w:pPr>
        <w:pStyle w:val="Paragraph0"/>
      </w:pPr>
      <w:r w:rsidRPr="007E0672">
        <w:t xml:space="preserve">This overlay identifies land that is proposed to be acquired for a public purpose. It has the effect of reserving the land under the </w:t>
      </w:r>
      <w:r w:rsidRPr="00E5717A">
        <w:rPr>
          <w:i/>
          <w:iCs/>
        </w:rPr>
        <w:t>Land Acquisition and Compensation Act 1986</w:t>
      </w:r>
      <w:r w:rsidRPr="007E0672">
        <w:t>. The authority acquiring the land and the purpose of the acquisition must be set out in the schedule. Once land is acquired by a public authority, it should be rezoned to an appropriate zone.</w:t>
      </w:r>
    </w:p>
    <w:p w14:paraId="43AF4957" w14:textId="77777777" w:rsidR="00BD7127" w:rsidRPr="007E0672" w:rsidRDefault="00BD7127" w:rsidP="006952A7">
      <w:pPr>
        <w:pStyle w:val="Heading4"/>
      </w:pPr>
      <w:bookmarkStart w:id="244" w:name="_Toc418756043"/>
      <w:bookmarkStart w:id="245" w:name="_Toc109660982"/>
      <w:r w:rsidRPr="007E0672">
        <w:t>Airport Environs Overlay (</w:t>
      </w:r>
      <w:r>
        <w:t>c</w:t>
      </w:r>
      <w:r w:rsidRPr="007E0672">
        <w:t>lause 45.02 and schedules)</w:t>
      </w:r>
      <w:bookmarkEnd w:id="244"/>
      <w:bookmarkEnd w:id="245"/>
    </w:p>
    <w:p w14:paraId="369D61DA" w14:textId="77777777" w:rsidR="00BD7127" w:rsidRPr="007E0672" w:rsidRDefault="00BD7127" w:rsidP="00BD7127">
      <w:pPr>
        <w:pStyle w:val="Paragraph0"/>
      </w:pPr>
      <w:r w:rsidRPr="007E0672">
        <w:t xml:space="preserve">This overlay is applied to land that is subject to high </w:t>
      </w:r>
      <w:r>
        <w:t xml:space="preserve">and moderate </w:t>
      </w:r>
      <w:r w:rsidRPr="007E0672">
        <w:t xml:space="preserve">levels of aircraft noise and sets out requirements to respond to those noise conditions. The </w:t>
      </w:r>
      <w:r w:rsidRPr="00E5717A">
        <w:rPr>
          <w:i/>
          <w:iCs/>
        </w:rPr>
        <w:t>Australian Noise Exposure Forecast</w:t>
      </w:r>
      <w:r w:rsidRPr="007E0672">
        <w:t xml:space="preserve"> (ANEF) defines areas of high aircraft noise levels. Where ANEF contours do not exist, Australian Standard</w:t>
      </w:r>
      <w:r w:rsidRPr="001409AE">
        <w:t xml:space="preserve"> </w:t>
      </w:r>
      <w:r w:rsidRPr="007E0672">
        <w:t>AS2021</w:t>
      </w:r>
      <w:r>
        <w:t>: 2015</w:t>
      </w:r>
      <w:r w:rsidRPr="007E0672">
        <w:t xml:space="preserve">, </w:t>
      </w:r>
      <w:r w:rsidRPr="00E5717A">
        <w:rPr>
          <w:i/>
          <w:iCs/>
        </w:rPr>
        <w:t>Acoustics – Aircraft Noise Intrusion – Building Siting and Construction</w:t>
      </w:r>
      <w:r w:rsidRPr="007E0672">
        <w:t>, gives guidance for determining an appropriate boundary.</w:t>
      </w:r>
    </w:p>
    <w:p w14:paraId="4EBFBA77" w14:textId="77777777" w:rsidR="00BD7127" w:rsidRPr="007E0672" w:rsidRDefault="00BD7127" w:rsidP="00BD7127">
      <w:pPr>
        <w:pStyle w:val="Paragraph0"/>
      </w:pPr>
      <w:r w:rsidRPr="007E0672">
        <w:t xml:space="preserve">Schedule 1 identifies uses </w:t>
      </w:r>
      <w:r>
        <w:t>that</w:t>
      </w:r>
      <w:r w:rsidRPr="007E0672">
        <w:t xml:space="preserve"> are prohibited, uses for which a permit </w:t>
      </w:r>
      <w:r>
        <w:t xml:space="preserve">is </w:t>
      </w:r>
      <w:r w:rsidRPr="007E0672">
        <w:t>required and associated application referral requirements. It is based on the 25 ANEF contour.</w:t>
      </w:r>
    </w:p>
    <w:p w14:paraId="2C615201" w14:textId="77777777" w:rsidR="00BD7127" w:rsidRPr="007E0672" w:rsidRDefault="00BD7127" w:rsidP="00BD7127">
      <w:pPr>
        <w:pStyle w:val="Paragraph0"/>
      </w:pPr>
      <w:r w:rsidRPr="007E0672">
        <w:t>Schedule 2 identifies noise</w:t>
      </w:r>
      <w:r>
        <w:t>-</w:t>
      </w:r>
      <w:r w:rsidRPr="007E0672">
        <w:t xml:space="preserve">sensitive uses </w:t>
      </w:r>
      <w:r>
        <w:t>that</w:t>
      </w:r>
      <w:r w:rsidRPr="007E0672">
        <w:t xml:space="preserve"> require a permit and associated application referral requirements. </w:t>
      </w:r>
      <w:r>
        <w:t>I</w:t>
      </w:r>
      <w:r w:rsidRPr="007E0672">
        <w:t>t is based on the 20 ANEF contour.</w:t>
      </w:r>
    </w:p>
    <w:p w14:paraId="2C93C3FC" w14:textId="77777777" w:rsidR="00BD7127" w:rsidRPr="007E0672" w:rsidRDefault="00BD7127" w:rsidP="006952A7">
      <w:pPr>
        <w:pStyle w:val="Heading4"/>
      </w:pPr>
      <w:bookmarkStart w:id="246" w:name="_Toc418756044"/>
      <w:bookmarkStart w:id="247" w:name="_Toc109660983"/>
      <w:r w:rsidRPr="007E0672">
        <w:t>Environmental Audit Overlay (</w:t>
      </w:r>
      <w:r>
        <w:t>c</w:t>
      </w:r>
      <w:r w:rsidRPr="007E0672">
        <w:t>lause 45.03)</w:t>
      </w:r>
      <w:bookmarkEnd w:id="246"/>
      <w:bookmarkEnd w:id="247"/>
    </w:p>
    <w:p w14:paraId="3BD2694C" w14:textId="77777777" w:rsidR="00BD7127" w:rsidRPr="007E0672" w:rsidRDefault="00BD7127" w:rsidP="00BD7127">
      <w:pPr>
        <w:pStyle w:val="Paragraph0"/>
      </w:pPr>
      <w:r w:rsidRPr="007E0672">
        <w:t xml:space="preserve">This overlay is applied to land identified, known or reasonably suspected of being contaminated for which certain obligations under the </w:t>
      </w:r>
      <w:r w:rsidRPr="00E5717A">
        <w:rPr>
          <w:i/>
          <w:iCs/>
        </w:rPr>
        <w:t>Environment Protection Act 1970</w:t>
      </w:r>
      <w:r w:rsidRPr="007E0672">
        <w:t xml:space="preserve"> have not been met. Refer to </w:t>
      </w:r>
      <w:r w:rsidRPr="00ED6D42">
        <w:rPr>
          <w:i/>
          <w:iCs/>
        </w:rPr>
        <w:t>Ministerial Direction No. 1</w:t>
      </w:r>
      <w:r>
        <w:t xml:space="preserve"> – </w:t>
      </w:r>
      <w:r w:rsidRPr="00161AA3">
        <w:rPr>
          <w:i/>
          <w:iCs/>
        </w:rPr>
        <w:t>Potentially Contaminated Land</w:t>
      </w:r>
      <w:r w:rsidRPr="007E0672">
        <w:t xml:space="preserve"> for further direction on how the overlay is applied.</w:t>
      </w:r>
    </w:p>
    <w:p w14:paraId="121E5EC8" w14:textId="77777777" w:rsidR="00BD7127" w:rsidRPr="007E0672" w:rsidRDefault="00BD7127" w:rsidP="00BD7127">
      <w:pPr>
        <w:pStyle w:val="Paragraph0"/>
      </w:pPr>
      <w:r w:rsidRPr="00AC3462">
        <w:rPr>
          <w:i/>
          <w:iCs/>
        </w:rPr>
        <w:t>Planning Practice Note</w:t>
      </w:r>
      <w:r w:rsidRPr="0079704D">
        <w:rPr>
          <w:b/>
          <w:bCs/>
          <w:i/>
          <w:iCs/>
        </w:rPr>
        <w:t xml:space="preserve"> </w:t>
      </w:r>
      <w:r w:rsidRPr="00AC3462">
        <w:rPr>
          <w:i/>
          <w:iCs/>
        </w:rPr>
        <w:t>30</w:t>
      </w:r>
      <w:r w:rsidRPr="00E5717A">
        <w:rPr>
          <w:i/>
          <w:iCs/>
        </w:rPr>
        <w:t xml:space="preserve"> – Potentially Contaminated Land</w:t>
      </w:r>
      <w:r w:rsidRPr="007E0672">
        <w:t xml:space="preserve"> provides further direction on addressing contamination and applying the Environmental Audit Overlay.</w:t>
      </w:r>
    </w:p>
    <w:p w14:paraId="3226CDCA" w14:textId="6FAB1302" w:rsidR="00BD7127" w:rsidRPr="007E0672" w:rsidRDefault="00BD7127" w:rsidP="006952A7">
      <w:pPr>
        <w:pStyle w:val="Heading4"/>
      </w:pPr>
      <w:bookmarkStart w:id="248" w:name="_Toc418756045"/>
      <w:bookmarkStart w:id="249" w:name="_Toc109660984"/>
      <w:r w:rsidRPr="007E0672">
        <w:t>Road Closure Overlay (</w:t>
      </w:r>
      <w:r>
        <w:t>c</w:t>
      </w:r>
      <w:r w:rsidRPr="007E0672">
        <w:t>lause 45.04)</w:t>
      </w:r>
      <w:bookmarkEnd w:id="248"/>
      <w:bookmarkEnd w:id="249"/>
    </w:p>
    <w:p w14:paraId="15B17B87" w14:textId="77777777" w:rsidR="00BD7127" w:rsidRPr="007E0672" w:rsidRDefault="00BD7127" w:rsidP="00BD7127">
      <w:pPr>
        <w:pStyle w:val="Paragraph0"/>
      </w:pPr>
      <w:r w:rsidRPr="007E0672">
        <w:t>This overlay is used to identify a road that is closed by an amendment to a planning scheme.</w:t>
      </w:r>
    </w:p>
    <w:p w14:paraId="54DCA5E9" w14:textId="77777777" w:rsidR="00BD7127" w:rsidRPr="007E0672" w:rsidRDefault="00BD7127" w:rsidP="006952A7">
      <w:pPr>
        <w:pStyle w:val="Heading4"/>
      </w:pPr>
      <w:bookmarkStart w:id="250" w:name="_Toc418756046"/>
      <w:bookmarkStart w:id="251" w:name="_Toc109660985"/>
      <w:r w:rsidRPr="007E0672">
        <w:t>Restructure Overlay (</w:t>
      </w:r>
      <w:r>
        <w:t>c</w:t>
      </w:r>
      <w:r w:rsidRPr="007E0672">
        <w:t>lause 45.05 and schedule)</w:t>
      </w:r>
      <w:bookmarkEnd w:id="250"/>
      <w:bookmarkEnd w:id="251"/>
    </w:p>
    <w:p w14:paraId="2FD5BA81" w14:textId="77777777" w:rsidR="00BD7127" w:rsidRPr="007E0672" w:rsidRDefault="00BD7127" w:rsidP="00BD7127">
      <w:pPr>
        <w:pStyle w:val="Paragraph0"/>
      </w:pPr>
      <w:r w:rsidRPr="007E0672">
        <w:t xml:space="preserve">This overlay applies a restructure plan to old and inappropriate subdivisions as a condition of development approval. The restructure plan should be an incorporated document because it controls </w:t>
      </w:r>
      <w:proofErr w:type="gramStart"/>
      <w:r w:rsidRPr="007E0672">
        <w:t>whether or not</w:t>
      </w:r>
      <w:proofErr w:type="gramEnd"/>
      <w:r w:rsidRPr="007E0672">
        <w:t xml:space="preserve"> a permit can be considered.</w:t>
      </w:r>
    </w:p>
    <w:p w14:paraId="3560BF0E" w14:textId="77777777" w:rsidR="00BD7127" w:rsidRPr="007E0672" w:rsidRDefault="00BD7127" w:rsidP="006952A7">
      <w:pPr>
        <w:pStyle w:val="Heading4"/>
      </w:pPr>
      <w:bookmarkStart w:id="252" w:name="_Toc418756047"/>
      <w:bookmarkStart w:id="253" w:name="_Toc109660986"/>
      <w:r w:rsidRPr="007E0672">
        <w:t>Development Contributions Plan Overlay (</w:t>
      </w:r>
      <w:r>
        <w:t>c</w:t>
      </w:r>
      <w:r w:rsidRPr="007E0672">
        <w:t>lause 45.06 and schedule)</w:t>
      </w:r>
      <w:bookmarkEnd w:id="252"/>
      <w:bookmarkEnd w:id="253"/>
    </w:p>
    <w:p w14:paraId="5B8E4DE8" w14:textId="77777777" w:rsidR="00BD7127" w:rsidRPr="007E0672" w:rsidRDefault="00BD7127" w:rsidP="00BD7127">
      <w:pPr>
        <w:pStyle w:val="Paragraph0"/>
      </w:pPr>
      <w:r w:rsidRPr="007E0672">
        <w:t>This overlay identifies areas where a development contributions plan is in place. The schedule to the overlay summarises the development contributions required. A more detailed incorporated document and</w:t>
      </w:r>
      <w:r>
        <w:t xml:space="preserve"> local content within the PPF </w:t>
      </w:r>
      <w:r w:rsidRPr="007E0672">
        <w:t xml:space="preserve">will usually be associated with the overlay. </w:t>
      </w:r>
    </w:p>
    <w:p w14:paraId="7D4FA49B" w14:textId="77777777" w:rsidR="00BD7127" w:rsidRPr="007E0672" w:rsidRDefault="00BD7127" w:rsidP="006952A7">
      <w:pPr>
        <w:pStyle w:val="Heading4"/>
      </w:pPr>
      <w:bookmarkStart w:id="254" w:name="_Toc418756048"/>
      <w:bookmarkStart w:id="255" w:name="_Toc109660987"/>
      <w:r w:rsidRPr="007E0672">
        <w:t>City Link Project Overlay (</w:t>
      </w:r>
      <w:r>
        <w:t>c</w:t>
      </w:r>
      <w:r w:rsidRPr="007E0672">
        <w:t>lause 45.07)</w:t>
      </w:r>
      <w:bookmarkEnd w:id="254"/>
      <w:bookmarkEnd w:id="255"/>
    </w:p>
    <w:p w14:paraId="736ABAA7" w14:textId="77777777" w:rsidR="00BD7127" w:rsidRPr="007E0672" w:rsidRDefault="00BD7127" w:rsidP="00BD7127">
      <w:pPr>
        <w:pStyle w:val="Paragraph0"/>
      </w:pPr>
      <w:r>
        <w:t>This overlay exempts specified use and development associated with certain projects from any requirement of the planning scheme. The overlay includes permit exemptions and requirements for certain signs</w:t>
      </w:r>
      <w:r w:rsidRPr="007E0672">
        <w:t>.</w:t>
      </w:r>
      <w:r>
        <w:t xml:space="preserve"> </w:t>
      </w:r>
    </w:p>
    <w:p w14:paraId="60878BAE" w14:textId="77777777" w:rsidR="00BD7127" w:rsidRPr="007E0672" w:rsidRDefault="00BD7127" w:rsidP="006952A7">
      <w:pPr>
        <w:pStyle w:val="Heading4"/>
      </w:pPr>
      <w:bookmarkStart w:id="256" w:name="_Toc418756049"/>
      <w:bookmarkStart w:id="257" w:name="_Toc109660988"/>
      <w:r w:rsidRPr="007E0672">
        <w:lastRenderedPageBreak/>
        <w:t>Melbourne Airport Environs Overlay (</w:t>
      </w:r>
      <w:r>
        <w:t>c</w:t>
      </w:r>
      <w:r w:rsidRPr="007E0672">
        <w:t>lause 45.08 and schedules)</w:t>
      </w:r>
      <w:bookmarkEnd w:id="256"/>
      <w:bookmarkEnd w:id="257"/>
    </w:p>
    <w:p w14:paraId="4B068B85" w14:textId="77777777" w:rsidR="00BD7127" w:rsidRPr="007E0672" w:rsidRDefault="00BD7127" w:rsidP="00BD7127">
      <w:pPr>
        <w:pStyle w:val="Paragraph0"/>
      </w:pPr>
      <w:r w:rsidRPr="007E0672">
        <w:t>This overlay seeks to ensure that land use and development in the vicinity of Melbourne Airport is compatible with the operation of the airport and that exposure of new dwellings and other noise-sensitive buildings to aircraft noise is minimised through appropriate noise attenuation measures.</w:t>
      </w:r>
    </w:p>
    <w:p w14:paraId="55234A14" w14:textId="77777777" w:rsidR="00BD7127" w:rsidRPr="007E0672" w:rsidRDefault="00BD7127" w:rsidP="00BD7127">
      <w:pPr>
        <w:pStyle w:val="Paragraph0"/>
      </w:pPr>
      <w:r w:rsidRPr="007E0672">
        <w:t>The overlay controls restrict development or require special considerat</w:t>
      </w:r>
      <w:r>
        <w:t>i</w:t>
      </w:r>
      <w:r w:rsidRPr="007E0672">
        <w:t xml:space="preserve">on to be given to </w:t>
      </w:r>
      <w:proofErr w:type="gramStart"/>
      <w:r w:rsidRPr="007E0672">
        <w:t>particular uses</w:t>
      </w:r>
      <w:proofErr w:type="gramEnd"/>
      <w:r w:rsidRPr="007E0672">
        <w:t xml:space="preserve"> that may be sensitive to noise in areas that are forecast to be affected by moderate to high levels of aircraft noise.</w:t>
      </w:r>
    </w:p>
    <w:p w14:paraId="45DDB629" w14:textId="77777777" w:rsidR="00BD7127" w:rsidRPr="007E0672" w:rsidRDefault="00BD7127" w:rsidP="00BD7127">
      <w:pPr>
        <w:pStyle w:val="Paragraph0"/>
      </w:pPr>
      <w:r w:rsidRPr="007E0672">
        <w:t>Schedule 1 identifies area</w:t>
      </w:r>
      <w:r>
        <w:t>s</w:t>
      </w:r>
      <w:r w:rsidRPr="007E0672">
        <w:t xml:space="preserve"> that will be subject to high levels of aircraft noise and is based on the 25 ANEF contour.</w:t>
      </w:r>
    </w:p>
    <w:p w14:paraId="65A21504" w14:textId="77777777" w:rsidR="00BD7127" w:rsidRPr="007E0672" w:rsidRDefault="00BD7127" w:rsidP="00BD7127">
      <w:pPr>
        <w:pStyle w:val="Paragraph0"/>
      </w:pPr>
      <w:r w:rsidRPr="007E0672">
        <w:t>Schedule 2 identifies areas that will be subject to moderate levels of aircraft noise and is based on the 20 ANEF contour.</w:t>
      </w:r>
    </w:p>
    <w:p w14:paraId="160D174B" w14:textId="77777777" w:rsidR="00BD7127" w:rsidRPr="007E0672" w:rsidRDefault="00BD7127" w:rsidP="006952A7">
      <w:pPr>
        <w:pStyle w:val="Heading4"/>
      </w:pPr>
      <w:bookmarkStart w:id="258" w:name="_Toc418756050"/>
      <w:bookmarkStart w:id="259" w:name="_Toc109660989"/>
      <w:r w:rsidRPr="007E0672">
        <w:t>Parking Overlay (</w:t>
      </w:r>
      <w:r>
        <w:t>c</w:t>
      </w:r>
      <w:r w:rsidRPr="007E0672">
        <w:t>lause 45.09 and schedule)</w:t>
      </w:r>
      <w:bookmarkEnd w:id="258"/>
      <w:bookmarkEnd w:id="259"/>
    </w:p>
    <w:p w14:paraId="0F434DC0" w14:textId="77777777" w:rsidR="00BD7127" w:rsidRDefault="00BD7127" w:rsidP="00BD7127">
      <w:pPr>
        <w:pStyle w:val="Paragraph0"/>
      </w:pPr>
      <w:r w:rsidRPr="007E0672">
        <w:t xml:space="preserve">This overlay is used to manage car parking in a precinct where local parking issues </w:t>
      </w:r>
      <w:r>
        <w:t>have been</w:t>
      </w:r>
      <w:r w:rsidRPr="007E0672">
        <w:t xml:space="preserve"> identified and a common strategy can be adopted to respond to the issues. </w:t>
      </w:r>
      <w:r w:rsidRPr="00AC3462">
        <w:rPr>
          <w:i/>
          <w:iCs/>
        </w:rPr>
        <w:t>Planning Practice Note 57 – The Parking Overlay</w:t>
      </w:r>
      <w:r w:rsidRPr="00AC3462">
        <w:t xml:space="preserve"> provides guidance on the preparation and</w:t>
      </w:r>
      <w:r w:rsidRPr="007E0672">
        <w:t xml:space="preserve"> application of the overlay.</w:t>
      </w:r>
    </w:p>
    <w:p w14:paraId="240A6664" w14:textId="77777777" w:rsidR="00BD7127" w:rsidRPr="00A3304A" w:rsidRDefault="00BD7127" w:rsidP="006952A7">
      <w:pPr>
        <w:pStyle w:val="Heading4"/>
      </w:pPr>
      <w:r w:rsidRPr="00A3304A">
        <w:t>Infrastructure Contributions Plan Overlay (</w:t>
      </w:r>
      <w:r>
        <w:t>c</w:t>
      </w:r>
      <w:r w:rsidRPr="00A3304A">
        <w:t>lause 45.10 and schedule)</w:t>
      </w:r>
    </w:p>
    <w:p w14:paraId="3E06C12D" w14:textId="77777777" w:rsidR="00BD7127" w:rsidRDefault="00BD7127" w:rsidP="00BD7127">
      <w:pPr>
        <w:pStyle w:val="Paragraph0"/>
      </w:pPr>
      <w:r w:rsidRPr="007E0672">
        <w:t>This overlay identifies areas where a</w:t>
      </w:r>
      <w:r>
        <w:t>n</w:t>
      </w:r>
      <w:r w:rsidRPr="007E0672">
        <w:t xml:space="preserve"> </w:t>
      </w:r>
      <w:r>
        <w:t>infrastructure</w:t>
      </w:r>
      <w:r w:rsidRPr="007E0672">
        <w:t xml:space="preserve"> contributions plan is in place. The schedule to the overlay summarises the development contributions required. A more detailed incorporated document </w:t>
      </w:r>
      <w:r>
        <w:t>will be</w:t>
      </w:r>
      <w:r w:rsidRPr="007E0672">
        <w:t xml:space="preserve"> associated with the overla</w:t>
      </w:r>
      <w:r>
        <w:t>y, which</w:t>
      </w:r>
      <w:r w:rsidRPr="005F0843">
        <w:t xml:space="preserve"> applies to infrastructure contributions plans incorporated into a planning scheme before 15 May 2018</w:t>
      </w:r>
      <w:r w:rsidRPr="007E0672">
        <w:t>.</w:t>
      </w:r>
      <w:r>
        <w:t xml:space="preserve"> </w:t>
      </w:r>
    </w:p>
    <w:p w14:paraId="242DB3B1" w14:textId="77777777" w:rsidR="00BD7127" w:rsidRPr="00EC24E8" w:rsidRDefault="00BD7127" w:rsidP="006952A7">
      <w:pPr>
        <w:pStyle w:val="Heading4"/>
      </w:pPr>
      <w:r w:rsidRPr="00EC24E8">
        <w:t>Infrastructure Contributions Overlay (</w:t>
      </w:r>
      <w:r>
        <w:t>c</w:t>
      </w:r>
      <w:r w:rsidRPr="00EC24E8">
        <w:t>lause 45.11 and schedule)</w:t>
      </w:r>
    </w:p>
    <w:p w14:paraId="085346B3" w14:textId="71786D52" w:rsidR="00BD7127" w:rsidRDefault="00BD7127" w:rsidP="00BD7127">
      <w:pPr>
        <w:pStyle w:val="Paragraph0"/>
      </w:pPr>
      <w:r>
        <w:t>This overlay identifies the area where an infrastructure contributions plan applies for the purpose of imposing contributions for the provision of</w:t>
      </w:r>
      <w:r w:rsidRPr="00EC24E8">
        <w:t xml:space="preserve"> </w:t>
      </w:r>
      <w:r>
        <w:t>infrastructure.</w:t>
      </w:r>
      <w:r w:rsidRPr="00EC24E8">
        <w:t xml:space="preserve"> </w:t>
      </w:r>
      <w:r w:rsidRPr="007E0672">
        <w:t xml:space="preserve">The schedule to the overlay summarises the development contributions required. A more detailed incorporated document </w:t>
      </w:r>
      <w:r>
        <w:t>will be</w:t>
      </w:r>
      <w:r w:rsidRPr="007E0672">
        <w:t xml:space="preserve"> associated with the overlay.</w:t>
      </w:r>
      <w:r w:rsidRPr="005F0843">
        <w:t xml:space="preserve"> The </w:t>
      </w:r>
      <w:r w:rsidRPr="007B7A67">
        <w:t>Infrastructure Contributions Overlay</w:t>
      </w:r>
      <w:r w:rsidRPr="005F0843">
        <w:t xml:space="preserve"> is used to implement any new infrastructure contributions plan into a planning scheme. </w:t>
      </w:r>
    </w:p>
    <w:p w14:paraId="7DCBF9BF" w14:textId="77777777" w:rsidR="00BD7127" w:rsidRDefault="00BD7127" w:rsidP="006952A7">
      <w:pPr>
        <w:pStyle w:val="Heading4"/>
      </w:pPr>
      <w:r>
        <w:t>Specific Controls Overlay (clause 45.12 and schedule)</w:t>
      </w:r>
    </w:p>
    <w:p w14:paraId="1539017C" w14:textId="77777777" w:rsidR="00BD7127" w:rsidRPr="00A3304A" w:rsidRDefault="00BD7127" w:rsidP="00BD7127">
      <w:pPr>
        <w:pStyle w:val="Paragraph0"/>
      </w:pPr>
      <w:r w:rsidRPr="00A3304A">
        <w:t xml:space="preserve">This overlay is to be used to achieve a particular land use and development outcome in extraordinary circumstances </w:t>
      </w:r>
      <w:r>
        <w:t>that</w:t>
      </w:r>
      <w:r w:rsidRPr="00A3304A">
        <w:t xml:space="preserve"> </w:t>
      </w:r>
      <w:r>
        <w:t>are</w:t>
      </w:r>
      <w:r w:rsidRPr="00A3304A">
        <w:t xml:space="preserve"> </w:t>
      </w:r>
      <w:r>
        <w:t xml:space="preserve">deemed to be </w:t>
      </w:r>
      <w:r w:rsidRPr="00A3304A">
        <w:t xml:space="preserve">a major issue of policy. It is only to be applied where no other planning control or combination of controls is suitable. </w:t>
      </w:r>
    </w:p>
    <w:p w14:paraId="46FAB781" w14:textId="77777777" w:rsidR="00BD7127" w:rsidRPr="00A3304A" w:rsidRDefault="00BD7127" w:rsidP="00BD7127">
      <w:pPr>
        <w:pStyle w:val="Paragraph0"/>
      </w:pPr>
      <w:r w:rsidRPr="00A3304A">
        <w:t>The overlay may:</w:t>
      </w:r>
    </w:p>
    <w:p w14:paraId="1B5EB851" w14:textId="77777777" w:rsidR="00BD7127" w:rsidRPr="004D74AB" w:rsidRDefault="00BD7127" w:rsidP="00A705A5">
      <w:pPr>
        <w:pStyle w:val="ListParagraph"/>
        <w:numPr>
          <w:ilvl w:val="0"/>
          <w:numId w:val="41"/>
        </w:numPr>
        <w:spacing w:before="120" w:after="0" w:line="240" w:lineRule="auto"/>
        <w:contextualSpacing w:val="0"/>
        <w:rPr>
          <w:rFonts w:ascii="VIC" w:hAnsi="VIC"/>
        </w:rPr>
      </w:pPr>
      <w:r w:rsidRPr="004D74AB">
        <w:rPr>
          <w:rFonts w:ascii="VIC" w:hAnsi="VIC"/>
        </w:rPr>
        <w:t>allow the land to be used or developed in a manner that would otherwise be prohibited or restricted</w:t>
      </w:r>
    </w:p>
    <w:p w14:paraId="1BD1B6D9" w14:textId="77777777" w:rsidR="00BD7127" w:rsidRPr="004D74AB" w:rsidRDefault="00BD7127" w:rsidP="00A705A5">
      <w:pPr>
        <w:pStyle w:val="ListParagraph"/>
        <w:numPr>
          <w:ilvl w:val="0"/>
          <w:numId w:val="41"/>
        </w:numPr>
        <w:spacing w:before="120" w:after="0" w:line="240" w:lineRule="auto"/>
        <w:contextualSpacing w:val="0"/>
        <w:rPr>
          <w:rFonts w:ascii="VIC" w:hAnsi="VIC"/>
        </w:rPr>
      </w:pPr>
      <w:r w:rsidRPr="004D74AB">
        <w:rPr>
          <w:rFonts w:ascii="VIC" w:hAnsi="VIC"/>
        </w:rPr>
        <w:t>prohibit or restrict the use or development of the land beyond the controls that may otherwise apply</w:t>
      </w:r>
    </w:p>
    <w:p w14:paraId="576057E1" w14:textId="77777777" w:rsidR="00BD7127" w:rsidRPr="004D74AB" w:rsidRDefault="00BD7127" w:rsidP="00A705A5">
      <w:pPr>
        <w:pStyle w:val="ListParagraph"/>
        <w:numPr>
          <w:ilvl w:val="0"/>
          <w:numId w:val="41"/>
        </w:numPr>
        <w:spacing w:before="120" w:after="0" w:line="240" w:lineRule="auto"/>
        <w:contextualSpacing w:val="0"/>
        <w:rPr>
          <w:rFonts w:ascii="VIC" w:hAnsi="VIC"/>
        </w:rPr>
      </w:pPr>
      <w:r w:rsidRPr="004D74AB">
        <w:rPr>
          <w:rFonts w:ascii="VIC" w:hAnsi="VIC"/>
        </w:rPr>
        <w:t>exclude any other control in this scheme.</w:t>
      </w:r>
    </w:p>
    <w:p w14:paraId="261843A8" w14:textId="77777777" w:rsidR="00BD7127" w:rsidRPr="00471747" w:rsidRDefault="00BD7127" w:rsidP="00BD7127">
      <w:pPr>
        <w:pStyle w:val="Paragraph0"/>
      </w:pPr>
      <w:r w:rsidRPr="00A3304A">
        <w:t>The schedule to the overlay includes a map reference which identifies the application of an incorporated document and the date on which the incorporated document expires.</w:t>
      </w:r>
    </w:p>
    <w:p w14:paraId="489C7337" w14:textId="1C70B4B6" w:rsidR="00DC2411" w:rsidRPr="00337638" w:rsidRDefault="00626840" w:rsidP="00BA6981">
      <w:pPr>
        <w:pStyle w:val="Heading2"/>
      </w:pPr>
      <w:bookmarkStart w:id="260" w:name="_5.3_Using_VicSmart"/>
      <w:bookmarkStart w:id="261" w:name="_Toc158706984"/>
      <w:bookmarkEnd w:id="260"/>
      <w:r>
        <w:lastRenderedPageBreak/>
        <w:t>5.3</w:t>
      </w:r>
      <w:r>
        <w:tab/>
      </w:r>
      <w:r w:rsidR="00AB2C0B" w:rsidRPr="00337638">
        <w:t xml:space="preserve">Using </w:t>
      </w:r>
      <w:proofErr w:type="spellStart"/>
      <w:r w:rsidR="00AB2C0B" w:rsidRPr="00337638">
        <w:t>VicSmart</w:t>
      </w:r>
      <w:bookmarkEnd w:id="202"/>
      <w:bookmarkEnd w:id="203"/>
      <w:bookmarkEnd w:id="261"/>
      <w:proofErr w:type="spellEnd"/>
    </w:p>
    <w:p w14:paraId="489C7338" w14:textId="4B9B5BC3" w:rsidR="00754143" w:rsidRPr="00361E71" w:rsidRDefault="00013A7E" w:rsidP="004F6A20">
      <w:pPr>
        <w:pStyle w:val="Heading3"/>
      </w:pPr>
      <w:proofErr w:type="gramStart"/>
      <w:r>
        <w:t>5.</w:t>
      </w:r>
      <w:r w:rsidR="00375D43">
        <w:t>3</w:t>
      </w:r>
      <w:r>
        <w:t>.</w:t>
      </w:r>
      <w:r w:rsidR="00375D43">
        <w:t>1</w:t>
      </w:r>
      <w:r w:rsidR="00906E79">
        <w:t xml:space="preserve">  </w:t>
      </w:r>
      <w:r w:rsidR="00BB5269">
        <w:tab/>
      </w:r>
      <w:proofErr w:type="gramEnd"/>
      <w:r w:rsidR="00AB2C0B" w:rsidRPr="00361E71">
        <w:t xml:space="preserve">How </w:t>
      </w:r>
      <w:proofErr w:type="spellStart"/>
      <w:r w:rsidR="00AB2C0B" w:rsidRPr="00361E71">
        <w:t>VicSmart</w:t>
      </w:r>
      <w:proofErr w:type="spellEnd"/>
      <w:r w:rsidR="00AB2C0B" w:rsidRPr="00361E71">
        <w:t xml:space="preserve"> works</w:t>
      </w:r>
    </w:p>
    <w:p w14:paraId="489C7339" w14:textId="6B206AC3" w:rsidR="00754143" w:rsidRDefault="00AB2C0B" w:rsidP="002E55BC">
      <w:pPr>
        <w:pStyle w:val="BodyText1"/>
      </w:pPr>
      <w:proofErr w:type="spellStart"/>
      <w:r>
        <w:t>VicSmart</w:t>
      </w:r>
      <w:proofErr w:type="spellEnd"/>
      <w:r>
        <w:t xml:space="preserve"> is a streamlined permit application process. </w:t>
      </w:r>
      <w:proofErr w:type="spellStart"/>
      <w:r>
        <w:t>VicSmart</w:t>
      </w:r>
      <w:proofErr w:type="spellEnd"/>
      <w:r>
        <w:t xml:space="preserve"> only affects the assessment procedure and has no effect on any permit requirement.</w:t>
      </w:r>
      <w:r w:rsidR="00DA5AF6">
        <w:t xml:space="preserve"> </w:t>
      </w:r>
      <w:r>
        <w:t xml:space="preserve">Where a proposed development is assessable against only a </w:t>
      </w:r>
      <w:proofErr w:type="spellStart"/>
      <w:r>
        <w:t>VicSmart</w:t>
      </w:r>
      <w:proofErr w:type="spellEnd"/>
      <w:r>
        <w:t xml:space="preserve"> permit requirement, it must be assessed under the </w:t>
      </w:r>
      <w:proofErr w:type="spellStart"/>
      <w:r>
        <w:t>VicSmart</w:t>
      </w:r>
      <w:proofErr w:type="spellEnd"/>
      <w:r>
        <w:t xml:space="preserve"> process, which is set out </w:t>
      </w:r>
      <w:r w:rsidRPr="00A902BE">
        <w:t xml:space="preserve">at </w:t>
      </w:r>
      <w:r w:rsidR="001F616D" w:rsidRPr="00BA0BD1">
        <w:t>c</w:t>
      </w:r>
      <w:r w:rsidRPr="00BA0BD1">
        <w:t>lause 71.06</w:t>
      </w:r>
      <w:r>
        <w:t>.</w:t>
      </w:r>
    </w:p>
    <w:p w14:paraId="489C733A" w14:textId="5C20A2E1" w:rsidR="00754143" w:rsidRPr="00D44104" w:rsidRDefault="00AB2C0B" w:rsidP="002E55BC">
      <w:pPr>
        <w:pStyle w:val="BodyText1"/>
      </w:pPr>
      <w:r>
        <w:t xml:space="preserve">Where the </w:t>
      </w:r>
      <w:proofErr w:type="spellStart"/>
      <w:r>
        <w:t>VicSmart</w:t>
      </w:r>
      <w:proofErr w:type="spellEnd"/>
      <w:r>
        <w:t xml:space="preserve"> process is available for a class of application, it will be identified in a table (see </w:t>
      </w:r>
      <w:r w:rsidR="00374AF2">
        <w:t>example below</w:t>
      </w:r>
      <w:r>
        <w:t>) located directly below the permit requirement in the zone, overlay or particular provision.</w:t>
      </w:r>
      <w:r w:rsidR="00DA5AF6">
        <w:t xml:space="preserve"> </w:t>
      </w:r>
      <w:r>
        <w:t xml:space="preserve">Local </w:t>
      </w:r>
      <w:proofErr w:type="spellStart"/>
      <w:r>
        <w:t>VicSmart</w:t>
      </w:r>
      <w:proofErr w:type="spellEnd"/>
      <w:r>
        <w:t xml:space="preserve"> classes </w:t>
      </w:r>
      <w:proofErr w:type="gramStart"/>
      <w:r>
        <w:t>are located in</w:t>
      </w:r>
      <w:proofErr w:type="gramEnd"/>
      <w:r>
        <w:t xml:space="preserve"> a table in a schedule </w:t>
      </w:r>
      <w:r w:rsidRPr="00A902BE">
        <w:t xml:space="preserve">to </w:t>
      </w:r>
      <w:r w:rsidR="001F616D" w:rsidRPr="00BA0BD1">
        <w:t>c</w:t>
      </w:r>
      <w:r w:rsidRPr="00BA0BD1">
        <w:t>lause 59.15</w:t>
      </w:r>
      <w:r w:rsidRPr="00D44104">
        <w:t>.</w:t>
      </w:r>
    </w:p>
    <w:p w14:paraId="489C733B" w14:textId="6B1584FA" w:rsidR="00DC2411" w:rsidRDefault="00AB2C0B" w:rsidP="002E55BC">
      <w:pPr>
        <w:pStyle w:val="BodyText1"/>
      </w:pPr>
      <w:r>
        <w:t xml:space="preserve">The </w:t>
      </w:r>
      <w:proofErr w:type="spellStart"/>
      <w:r>
        <w:t>VicSmart</w:t>
      </w:r>
      <w:proofErr w:type="spellEnd"/>
      <w:r>
        <w:t xml:space="preserve"> table describes the development that is a </w:t>
      </w:r>
      <w:proofErr w:type="spellStart"/>
      <w:r>
        <w:t>VicSmart</w:t>
      </w:r>
      <w:proofErr w:type="spellEnd"/>
      <w:r>
        <w:t xml:space="preserve"> application and identifies the provision under which the application must be assessed.</w:t>
      </w:r>
      <w:r w:rsidR="00DA5AF6">
        <w:t xml:space="preserve"> </w:t>
      </w:r>
      <w:r>
        <w:t xml:space="preserve">For a local </w:t>
      </w:r>
      <w:proofErr w:type="spellStart"/>
      <w:r>
        <w:t>VicSmart</w:t>
      </w:r>
      <w:proofErr w:type="spellEnd"/>
      <w:r>
        <w:t xml:space="preserve"> application, this information </w:t>
      </w:r>
      <w:proofErr w:type="gramStart"/>
      <w:r>
        <w:t>is located in</w:t>
      </w:r>
      <w:proofErr w:type="gramEnd"/>
      <w:r>
        <w:t xml:space="preserve"> the schedule to </w:t>
      </w:r>
      <w:r w:rsidR="001F616D" w:rsidRPr="00BA0BD1">
        <w:t>c</w:t>
      </w:r>
      <w:r w:rsidRPr="00BA0BD1">
        <w:t>lause 59.15</w:t>
      </w:r>
      <w:r>
        <w:t>.</w:t>
      </w:r>
    </w:p>
    <w:p w14:paraId="489C733C" w14:textId="64C9A56D" w:rsidR="00DC2411" w:rsidRDefault="003034A0" w:rsidP="002123AF">
      <w:pPr>
        <w:pStyle w:val="Heading4"/>
      </w:pPr>
      <w:r>
        <w:t xml:space="preserve">Example </w:t>
      </w:r>
      <w:proofErr w:type="spellStart"/>
      <w:r w:rsidR="00AB2C0B" w:rsidRPr="00AD556C">
        <w:t>VicSmart</w:t>
      </w:r>
      <w:proofErr w:type="spellEnd"/>
      <w:r w:rsidR="00AB2C0B" w:rsidRPr="00AD556C">
        <w:t xml:space="preserve"> table</w:t>
      </w:r>
    </w:p>
    <w:p w14:paraId="489C733E" w14:textId="26DC3F9C" w:rsidR="00754143" w:rsidRDefault="00E06609" w:rsidP="002E55BC">
      <w:pPr>
        <w:pStyle w:val="BodyText1"/>
      </w:pPr>
      <w:r>
        <w:rPr>
          <w:noProof/>
        </w:rPr>
        <w:drawing>
          <wp:inline distT="0" distB="0" distL="0" distR="0" wp14:anchorId="18F65E99" wp14:editId="1605B406">
            <wp:extent cx="5759450" cy="2214245"/>
            <wp:effectExtent l="57150" t="57150" r="88900" b="90805"/>
            <wp:docPr id="23" name="Picture 23" descr="Example VicSmart Table taken from Clause 32.08-3 showing a 2-column table.&#10;Column 1 - Class of application:&#10;Subdivide land to realign the common boundary between 2 lots where:&#10; The area of either lot is reduced by less than 15 percent&#10; The general direction of the common boundary does not change.&#10;&#10;Column 2 - Information requirements and decision guidelines:&#10;Clause 59.01&#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xample VicSmart Table taken from Clause 32.08-3 showing a 2-column table.&#10;Column 1 - Class of application:&#10;Subdivide land to realign the common boundary between 2 lots where:&#10; The area of either lot is reduced by less than 15 percent&#10; The general direction of the common boundary does not change.&#10;&#10;Column 2 - Information requirements and decision guidelines:&#10;Clause 59.01&#10;&#10;"/>
                    <pic:cNvPicPr/>
                  </pic:nvPicPr>
                  <pic:blipFill>
                    <a:blip r:embed="rId31"/>
                    <a:stretch>
                      <a:fillRect/>
                    </a:stretch>
                  </pic:blipFill>
                  <pic:spPr>
                    <a:xfrm>
                      <a:off x="0" y="0"/>
                      <a:ext cx="5759450" cy="221424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001924EC">
        <w:t xml:space="preserve"> </w:t>
      </w:r>
      <w:r w:rsidR="00AB2C0B">
        <w:t xml:space="preserve">The information requirements and decision guidelines for all </w:t>
      </w:r>
      <w:proofErr w:type="spellStart"/>
      <w:r w:rsidR="00AB2C0B">
        <w:t>VicSmart</w:t>
      </w:r>
      <w:proofErr w:type="spellEnd"/>
      <w:r w:rsidR="00AB2C0B">
        <w:t xml:space="preserve"> application classes are located at </w:t>
      </w:r>
      <w:r w:rsidR="001F616D" w:rsidRPr="00BA0BD1">
        <w:t>c</w:t>
      </w:r>
      <w:r w:rsidR="00AB2C0B" w:rsidRPr="00BA0BD1">
        <w:t>lause 59</w:t>
      </w:r>
      <w:r w:rsidR="00AB2C0B">
        <w:t>.</w:t>
      </w:r>
    </w:p>
    <w:p w14:paraId="489C733F" w14:textId="221C2667" w:rsidR="00754143" w:rsidRPr="00361E71" w:rsidRDefault="003E1A32" w:rsidP="004F6A20">
      <w:pPr>
        <w:pStyle w:val="Heading3"/>
      </w:pPr>
      <w:r>
        <w:t>5.3.2</w:t>
      </w:r>
      <w:r>
        <w:tab/>
      </w:r>
      <w:r w:rsidR="00BB5269">
        <w:tab/>
      </w:r>
      <w:r w:rsidR="00AB2C0B" w:rsidRPr="00361E71">
        <w:t xml:space="preserve">Creating a local </w:t>
      </w:r>
      <w:proofErr w:type="spellStart"/>
      <w:r w:rsidR="00AB2C0B" w:rsidRPr="00361E71">
        <w:t>VicSmart</w:t>
      </w:r>
      <w:proofErr w:type="spellEnd"/>
      <w:r w:rsidR="00AB2C0B" w:rsidRPr="00361E71">
        <w:t xml:space="preserve"> provision</w:t>
      </w:r>
    </w:p>
    <w:p w14:paraId="489C7340" w14:textId="77777777" w:rsidR="00754143" w:rsidRDefault="00AB2C0B" w:rsidP="002E55BC">
      <w:pPr>
        <w:pStyle w:val="BodyText1"/>
      </w:pPr>
      <w:r>
        <w:t xml:space="preserve">Any provision of a planning scheme can specify classes of application that can be assessed through the </w:t>
      </w:r>
      <w:proofErr w:type="spellStart"/>
      <w:r>
        <w:t>VicSmart</w:t>
      </w:r>
      <w:proofErr w:type="spellEnd"/>
      <w:r>
        <w:t xml:space="preserve"> process. A planning authority can include local </w:t>
      </w:r>
      <w:proofErr w:type="spellStart"/>
      <w:r>
        <w:t>VicSmart</w:t>
      </w:r>
      <w:proofErr w:type="spellEnd"/>
      <w:r>
        <w:t xml:space="preserve"> classes in a planning scheme in addition to the state </w:t>
      </w:r>
      <w:proofErr w:type="spellStart"/>
      <w:r>
        <w:t>VicSmart</w:t>
      </w:r>
      <w:proofErr w:type="spellEnd"/>
      <w:r>
        <w:t xml:space="preserve"> classes that apply to all planning schemes across Victoria.</w:t>
      </w:r>
    </w:p>
    <w:p w14:paraId="489C7341" w14:textId="6A81048F" w:rsidR="00754143" w:rsidRDefault="00AB2C0B" w:rsidP="002E55BC">
      <w:pPr>
        <w:pStyle w:val="BodyText1"/>
      </w:pPr>
      <w:r>
        <w:t xml:space="preserve">Local </w:t>
      </w:r>
      <w:proofErr w:type="spellStart"/>
      <w:r>
        <w:t>VicSmart</w:t>
      </w:r>
      <w:proofErr w:type="spellEnd"/>
      <w:r>
        <w:t xml:space="preserve"> classes are set out in the schedule to </w:t>
      </w:r>
      <w:r w:rsidR="001F616D" w:rsidRPr="00BA0BD1">
        <w:t>c</w:t>
      </w:r>
      <w:r w:rsidRPr="00BA0BD1">
        <w:t>lause 59.15</w:t>
      </w:r>
      <w:r>
        <w:t xml:space="preserve">. </w:t>
      </w:r>
    </w:p>
    <w:p w14:paraId="489C7342" w14:textId="6EEFA54F" w:rsidR="00754143" w:rsidRDefault="00AB2C0B" w:rsidP="002E55BC">
      <w:pPr>
        <w:pStyle w:val="BodyText1"/>
      </w:pPr>
      <w:r>
        <w:t xml:space="preserve">A local </w:t>
      </w:r>
      <w:proofErr w:type="spellStart"/>
      <w:r>
        <w:t>VicSmart</w:t>
      </w:r>
      <w:proofErr w:type="spellEnd"/>
      <w:r>
        <w:t xml:space="preserve"> class can include a permit requirement that </w:t>
      </w:r>
      <w:r w:rsidR="00907FFD">
        <w:t xml:space="preserve">relates to </w:t>
      </w:r>
      <w:r>
        <w:t xml:space="preserve">a state </w:t>
      </w:r>
      <w:proofErr w:type="spellStart"/>
      <w:r w:rsidRPr="00FB520A">
        <w:t>VicSmart</w:t>
      </w:r>
      <w:proofErr w:type="spellEnd"/>
      <w:r w:rsidRPr="00FB520A">
        <w:t xml:space="preserve"> class.</w:t>
      </w:r>
      <w:r w:rsidR="00DA5AF6" w:rsidRPr="00FB520A">
        <w:t xml:space="preserve"> </w:t>
      </w:r>
      <w:r w:rsidRPr="00FB520A">
        <w:t>While</w:t>
      </w:r>
      <w:r>
        <w:t xml:space="preserve"> a local </w:t>
      </w:r>
      <w:proofErr w:type="spellStart"/>
      <w:r>
        <w:t>VicSmart</w:t>
      </w:r>
      <w:proofErr w:type="spellEnd"/>
      <w:r>
        <w:t xml:space="preserve"> class may apply to the same permit requirement as a state </w:t>
      </w:r>
      <w:proofErr w:type="spellStart"/>
      <w:r>
        <w:t>VicSmart</w:t>
      </w:r>
      <w:proofErr w:type="spellEnd"/>
      <w:r>
        <w:t xml:space="preserve"> class, it cannot operate to fetter a state </w:t>
      </w:r>
      <w:proofErr w:type="spellStart"/>
      <w:r>
        <w:t>VicSmart</w:t>
      </w:r>
      <w:proofErr w:type="spellEnd"/>
      <w:r>
        <w:t xml:space="preserve"> class.</w:t>
      </w:r>
    </w:p>
    <w:p w14:paraId="489C7343" w14:textId="77777777" w:rsidR="00754143" w:rsidRDefault="00AB2C0B" w:rsidP="002E55BC">
      <w:pPr>
        <w:pStyle w:val="BodyText1"/>
      </w:pPr>
      <w:r>
        <w:t xml:space="preserve">In deciding whether to create a local </w:t>
      </w:r>
      <w:proofErr w:type="spellStart"/>
      <w:r>
        <w:t>VicSmart</w:t>
      </w:r>
      <w:proofErr w:type="spellEnd"/>
      <w:r>
        <w:t xml:space="preserve"> class, consider:</w:t>
      </w:r>
    </w:p>
    <w:p w14:paraId="489C7345" w14:textId="77777777" w:rsidR="00DC2411" w:rsidRDefault="00AB2C0B" w:rsidP="00723A0D">
      <w:pPr>
        <w:pStyle w:val="DELWPbullet1"/>
      </w:pPr>
      <w:r>
        <w:t>The proposed class should be capable of being received, reviewed and determined in 10 business days in almost all cases.</w:t>
      </w:r>
    </w:p>
    <w:p w14:paraId="489C7346" w14:textId="7AA5C19B" w:rsidR="00DC2411" w:rsidRDefault="00AB2C0B" w:rsidP="00723A0D">
      <w:pPr>
        <w:pStyle w:val="DELWPbullet1"/>
      </w:pPr>
      <w:r>
        <w:lastRenderedPageBreak/>
        <w:t>The proposed class should only require a small number of discrete issues</w:t>
      </w:r>
      <w:r w:rsidR="00721A95" w:rsidRPr="00721A95">
        <w:t xml:space="preserve"> </w:t>
      </w:r>
      <w:r w:rsidR="00721A95">
        <w:t>to be considered</w:t>
      </w:r>
      <w:r>
        <w:t>, with little to no policy balancing.</w:t>
      </w:r>
    </w:p>
    <w:p w14:paraId="489C7347" w14:textId="7DD17151" w:rsidR="00DC2411" w:rsidRDefault="00AB2C0B" w:rsidP="00723A0D">
      <w:pPr>
        <w:pStyle w:val="DELWPbullet1"/>
      </w:pPr>
      <w:r>
        <w:t xml:space="preserve">Where an external referral authority is required to give comment under </w:t>
      </w:r>
      <w:r w:rsidR="001F616D" w:rsidRPr="00BA0BD1">
        <w:t>c</w:t>
      </w:r>
      <w:r w:rsidRPr="00BA0BD1">
        <w:t>lause 66</w:t>
      </w:r>
      <w:r>
        <w:t>, this should be able to be obtained before lodgement without the assistance of the responsible authority.</w:t>
      </w:r>
    </w:p>
    <w:p w14:paraId="489C7348" w14:textId="77777777" w:rsidR="00DC2411" w:rsidRDefault="00AB2C0B" w:rsidP="00723A0D">
      <w:pPr>
        <w:pStyle w:val="DELWPbullet1"/>
      </w:pPr>
      <w:r>
        <w:t>Where internal comment is required, it should involve no more than one or two basic matters.</w:t>
      </w:r>
    </w:p>
    <w:p w14:paraId="489C7349" w14:textId="48A6676F" w:rsidR="00DC2411" w:rsidRDefault="00AB2C0B" w:rsidP="00723A0D">
      <w:pPr>
        <w:pStyle w:val="DELWPbullet1"/>
      </w:pPr>
      <w:r>
        <w:t>The information require</w:t>
      </w:r>
      <w:r w:rsidR="00BC33BE">
        <w:t>d</w:t>
      </w:r>
      <w:r>
        <w:t xml:space="preserve"> for the proposed class should be simple to prepare.</w:t>
      </w:r>
    </w:p>
    <w:p w14:paraId="489C734A" w14:textId="77777777" w:rsidR="00DC2411" w:rsidRDefault="00AB2C0B" w:rsidP="00723A0D">
      <w:pPr>
        <w:pStyle w:val="DELWPbullet1"/>
      </w:pPr>
      <w:r>
        <w:t>The proposed class should not involve matters that would typically require third party notice.</w:t>
      </w:r>
    </w:p>
    <w:p w14:paraId="6DB431C4" w14:textId="77777777" w:rsidR="00EB20FB" w:rsidRDefault="00EB20FB" w:rsidP="00EB20FB">
      <w:pPr>
        <w:pStyle w:val="DELWPbullet1"/>
      </w:pPr>
      <w:r>
        <w:t xml:space="preserve">That a change of use application is generally not suitable for the </w:t>
      </w:r>
      <w:proofErr w:type="spellStart"/>
      <w:r>
        <w:t>VicSmart</w:t>
      </w:r>
      <w:proofErr w:type="spellEnd"/>
      <w:r>
        <w:t xml:space="preserve"> process.</w:t>
      </w:r>
    </w:p>
    <w:p w14:paraId="489C734B" w14:textId="44014587" w:rsidR="00CB429B" w:rsidRDefault="00AB2C0B" w:rsidP="00723A0D">
      <w:pPr>
        <w:pStyle w:val="DELWPbullet1"/>
      </w:pPr>
      <w:r>
        <w:t xml:space="preserve">Whether the proposed class would be more suitable for a permit </w:t>
      </w:r>
      <w:r w:rsidRPr="005477AC">
        <w:t>exemption.</w:t>
      </w:r>
    </w:p>
    <w:p w14:paraId="489C734C" w14:textId="54761B98" w:rsidR="00754143" w:rsidRPr="00CB13D1" w:rsidRDefault="003E1A32" w:rsidP="004F6A20">
      <w:pPr>
        <w:pStyle w:val="Heading3"/>
      </w:pPr>
      <w:r w:rsidRPr="00CB13D1">
        <w:t>5.3.3</w:t>
      </w:r>
      <w:r w:rsidRPr="00CB13D1">
        <w:tab/>
      </w:r>
      <w:r w:rsidR="00AB2C0B" w:rsidRPr="00CB13D1">
        <w:t xml:space="preserve">Drafting a local </w:t>
      </w:r>
      <w:proofErr w:type="spellStart"/>
      <w:r w:rsidR="00AB2C0B" w:rsidRPr="00CB13D1">
        <w:t>VicSmart</w:t>
      </w:r>
      <w:proofErr w:type="spellEnd"/>
      <w:r w:rsidR="00AB2C0B" w:rsidRPr="00CB13D1">
        <w:t xml:space="preserve"> table</w:t>
      </w:r>
    </w:p>
    <w:p w14:paraId="489C734D" w14:textId="66F527B6" w:rsidR="00CB429B" w:rsidRDefault="00AE6674" w:rsidP="002E55BC">
      <w:pPr>
        <w:pStyle w:val="BodyText1"/>
      </w:pPr>
      <w:r>
        <w:t>T</w:t>
      </w:r>
      <w:r w:rsidR="00AB2C0B">
        <w:t>he table</w:t>
      </w:r>
      <w:r w:rsidR="00274B10">
        <w:t>s</w:t>
      </w:r>
      <w:r w:rsidR="00AB2C0B">
        <w:t xml:space="preserve"> to the schedule to </w:t>
      </w:r>
      <w:r w:rsidR="001F616D" w:rsidRPr="00BA0BD1">
        <w:t>c</w:t>
      </w:r>
      <w:r w:rsidR="00AB2C0B" w:rsidRPr="00BA0BD1">
        <w:t>lause 59.15</w:t>
      </w:r>
      <w:r w:rsidR="00AB2C0B">
        <w:t xml:space="preserve"> </w:t>
      </w:r>
      <w:r w:rsidR="00274B10">
        <w:t xml:space="preserve">are </w:t>
      </w:r>
      <w:r w:rsidR="001112D8">
        <w:t xml:space="preserve">used to </w:t>
      </w:r>
      <w:r w:rsidR="00AB2C0B">
        <w:t xml:space="preserve">set out the </w:t>
      </w:r>
      <w:r w:rsidR="00587C5C">
        <w:t xml:space="preserve">provisions for any </w:t>
      </w:r>
      <w:r w:rsidR="00AB2C0B">
        <w:t xml:space="preserve">local </w:t>
      </w:r>
      <w:proofErr w:type="spellStart"/>
      <w:r w:rsidR="00AB2C0B">
        <w:t>VicSmart</w:t>
      </w:r>
      <w:proofErr w:type="spellEnd"/>
      <w:r w:rsidR="00AB2C0B">
        <w:t xml:space="preserve"> class.</w:t>
      </w:r>
    </w:p>
    <w:p w14:paraId="489C734E" w14:textId="77777777" w:rsidR="00DC2411" w:rsidRPr="00777C30" w:rsidRDefault="00AB2C0B" w:rsidP="002123AF">
      <w:pPr>
        <w:pStyle w:val="Heading4"/>
      </w:pPr>
      <w:r w:rsidRPr="00777C30">
        <w:t>The zone, overlay or particular provision</w:t>
      </w:r>
    </w:p>
    <w:p w14:paraId="489C734F" w14:textId="77777777" w:rsidR="00754143" w:rsidRDefault="00AB2C0B" w:rsidP="002E55BC">
      <w:pPr>
        <w:pStyle w:val="BodyText1"/>
      </w:pPr>
      <w:r>
        <w:t xml:space="preserve">A </w:t>
      </w:r>
      <w:proofErr w:type="spellStart"/>
      <w:r>
        <w:t>VicSmart</w:t>
      </w:r>
      <w:proofErr w:type="spellEnd"/>
      <w:r>
        <w:t xml:space="preserve"> class can include a permit requirement from a single zone, overlay or particular provision, or a class of zones or overlays.</w:t>
      </w:r>
    </w:p>
    <w:p w14:paraId="489C7350" w14:textId="6928D677" w:rsidR="00754143" w:rsidRDefault="00AB2C0B" w:rsidP="002E55BC">
      <w:pPr>
        <w:pStyle w:val="BodyText1"/>
      </w:pPr>
      <w:r>
        <w:t>Care should be taken when selecting a class of zones or overlays, as the planning controls within the class will differ in their purposes</w:t>
      </w:r>
      <w:r w:rsidR="002E317C">
        <w:t>. Not all zones or overlays will</w:t>
      </w:r>
      <w:r>
        <w:t xml:space="preserve"> be suitable for the </w:t>
      </w:r>
      <w:proofErr w:type="spellStart"/>
      <w:r>
        <w:t>VicSmart</w:t>
      </w:r>
      <w:proofErr w:type="spellEnd"/>
      <w:r>
        <w:t xml:space="preserve"> process.</w:t>
      </w:r>
    </w:p>
    <w:p w14:paraId="489C7351" w14:textId="77777777" w:rsidR="00DA5AF6" w:rsidRDefault="00AB2C0B" w:rsidP="002123AF">
      <w:pPr>
        <w:pStyle w:val="Heading4"/>
      </w:pPr>
      <w:r>
        <w:t>The class of application</w:t>
      </w:r>
    </w:p>
    <w:p w14:paraId="489C7352" w14:textId="77777777" w:rsidR="00754143" w:rsidRDefault="00AB2C0B" w:rsidP="002E55BC">
      <w:pPr>
        <w:pStyle w:val="BodyText1"/>
      </w:pPr>
      <w:r>
        <w:t xml:space="preserve">The class of application must be clearly drafted so a user can easily determine if an application is subject to the </w:t>
      </w:r>
      <w:proofErr w:type="spellStart"/>
      <w:r>
        <w:t>VicSmart</w:t>
      </w:r>
      <w:proofErr w:type="spellEnd"/>
      <w:r>
        <w:t xml:space="preserve"> process.</w:t>
      </w:r>
    </w:p>
    <w:p w14:paraId="489C7353" w14:textId="3C7778F1" w:rsidR="00754143" w:rsidRDefault="00AB2C0B" w:rsidP="002E55BC">
      <w:pPr>
        <w:pStyle w:val="BodyText1"/>
      </w:pPr>
      <w:r>
        <w:t>The class of application should not rely on extensive conditions that need a detailed assessment of the application to decide the appropriate assessment pathway before the application is lodged.</w:t>
      </w:r>
      <w:r w:rsidR="000A2CD4" w:rsidRPr="000A2CD4">
        <w:t xml:space="preserve"> It should be possible for the responsible authority to </w:t>
      </w:r>
      <w:proofErr w:type="gramStart"/>
      <w:r w:rsidR="000A2CD4" w:rsidRPr="000A2CD4">
        <w:t>quickly and reliably determine the appropriate assessment pathway</w:t>
      </w:r>
      <w:proofErr w:type="gramEnd"/>
      <w:r w:rsidR="000A2CD4" w:rsidRPr="000A2CD4">
        <w:t xml:space="preserve"> upon receipt of the application.</w:t>
      </w:r>
    </w:p>
    <w:p w14:paraId="489C7354" w14:textId="77777777" w:rsidR="00754143" w:rsidRDefault="00AB2C0B" w:rsidP="002E55BC">
      <w:pPr>
        <w:pStyle w:val="BodyText1"/>
      </w:pPr>
      <w:r>
        <w:t xml:space="preserve">The class of application must be based on an existing application type found in a zone, overlay or particular provision. For example, </w:t>
      </w:r>
      <w:r w:rsidRPr="007E64CD">
        <w:rPr>
          <w:rStyle w:val="Emphasis"/>
        </w:rPr>
        <w:t>“to construct a building or construct or carry out works”</w:t>
      </w:r>
      <w:r>
        <w:t>.</w:t>
      </w:r>
    </w:p>
    <w:p w14:paraId="489C7355" w14:textId="5EB151D8" w:rsidR="00754143" w:rsidRDefault="00AB2C0B" w:rsidP="002E55BC">
      <w:pPr>
        <w:pStyle w:val="BodyText1"/>
      </w:pPr>
      <w:r>
        <w:t xml:space="preserve">The application type can be further refined to a particular development type. For example, </w:t>
      </w:r>
      <w:r w:rsidRPr="007E64CD">
        <w:rPr>
          <w:rStyle w:val="Emphasis"/>
        </w:rPr>
        <w:t>“to construct a building or construct or carry out works with an estimated cost of up to $500,000”</w:t>
      </w:r>
      <w:r>
        <w:t>.</w:t>
      </w:r>
    </w:p>
    <w:p w14:paraId="489C7356" w14:textId="77777777" w:rsidR="00CB429B" w:rsidRDefault="00AB2C0B" w:rsidP="002E55BC">
      <w:pPr>
        <w:pStyle w:val="BodyText1"/>
      </w:pPr>
      <w:r>
        <w:t>Conditions can also be specified to narrow the class of application to only particular situations or if certain requirements are met.</w:t>
      </w:r>
    </w:p>
    <w:p w14:paraId="489C7357" w14:textId="77777777" w:rsidR="00DA5AF6" w:rsidRDefault="00AB2C0B" w:rsidP="002123AF">
      <w:pPr>
        <w:pStyle w:val="Heading4"/>
      </w:pPr>
      <w:r>
        <w:t>Permit requirement</w:t>
      </w:r>
    </w:p>
    <w:p w14:paraId="489C7358" w14:textId="77777777" w:rsidR="00754143" w:rsidRDefault="00AB2C0B" w:rsidP="002E55BC">
      <w:pPr>
        <w:pStyle w:val="BodyText1"/>
      </w:pPr>
      <w:r>
        <w:t>The permit requirement must specify the clause to which the class of application relates.</w:t>
      </w:r>
    </w:p>
    <w:p w14:paraId="489C7359" w14:textId="0722436C" w:rsidR="00754143" w:rsidRDefault="00AB2C0B" w:rsidP="002E55BC">
      <w:pPr>
        <w:pStyle w:val="BodyText1"/>
      </w:pPr>
      <w:r>
        <w:lastRenderedPageBreak/>
        <w:t xml:space="preserve">The clause the </w:t>
      </w:r>
      <w:proofErr w:type="spellStart"/>
      <w:r>
        <w:t>VicSmart</w:t>
      </w:r>
      <w:proofErr w:type="spellEnd"/>
      <w:r>
        <w:t xml:space="preserve"> class applies to</w:t>
      </w:r>
      <w:r w:rsidR="00327D44">
        <w:t>,</w:t>
      </w:r>
      <w:r>
        <w:t xml:space="preserve"> must be set out followed by the abbreviation of the planning control. For example: </w:t>
      </w:r>
      <w:r w:rsidRPr="007E64CD">
        <w:rPr>
          <w:rStyle w:val="Emphasis"/>
        </w:rPr>
        <w:t>“</w:t>
      </w:r>
      <w:r w:rsidR="00F05582">
        <w:rPr>
          <w:rStyle w:val="Emphasis"/>
        </w:rPr>
        <w:t>C</w:t>
      </w:r>
      <w:r w:rsidRPr="007E64CD">
        <w:rPr>
          <w:rStyle w:val="Emphasis"/>
        </w:rPr>
        <w:t>lause 32.05-9 (TZ)”</w:t>
      </w:r>
      <w:r>
        <w:t>.</w:t>
      </w:r>
    </w:p>
    <w:p w14:paraId="489C735A" w14:textId="77777777" w:rsidR="00CB429B" w:rsidRDefault="00AB2C0B" w:rsidP="002E55BC">
      <w:pPr>
        <w:pStyle w:val="BodyText1"/>
      </w:pPr>
      <w:r>
        <w:t>Where a class applies to more than one provision, all provisions that apply to the class must be specified individually.</w:t>
      </w:r>
    </w:p>
    <w:p w14:paraId="489C735B" w14:textId="77777777" w:rsidR="00DC2411" w:rsidRPr="006C05C5" w:rsidRDefault="00AB2C0B" w:rsidP="002123AF">
      <w:pPr>
        <w:pStyle w:val="Heading4"/>
      </w:pPr>
      <w:r w:rsidRPr="006C05C5">
        <w:t>Information requirements and decision guidelines</w:t>
      </w:r>
    </w:p>
    <w:p w14:paraId="489C735C" w14:textId="79B72051" w:rsidR="00754143" w:rsidRDefault="0019792E" w:rsidP="002E55BC">
      <w:pPr>
        <w:pStyle w:val="BodyText1"/>
      </w:pPr>
      <w:r w:rsidRPr="00D44104">
        <w:t>Clause 59</w:t>
      </w:r>
      <w:r>
        <w:t xml:space="preserve"> includes</w:t>
      </w:r>
      <w:r w:rsidR="008A48F9">
        <w:t xml:space="preserve"> state-standard</w:t>
      </w:r>
      <w:r w:rsidR="00AB2C0B">
        <w:t xml:space="preserve"> information requirements and decision guidelines for </w:t>
      </w:r>
      <w:r w:rsidR="008A48F9">
        <w:t>various</w:t>
      </w:r>
      <w:r w:rsidR="00AB2C0B">
        <w:t xml:space="preserve"> class</w:t>
      </w:r>
      <w:r w:rsidR="0033174D">
        <w:t>es</w:t>
      </w:r>
      <w:r w:rsidR="00AB2C0B">
        <w:t xml:space="preserve"> of application.</w:t>
      </w:r>
    </w:p>
    <w:p w14:paraId="489C735E" w14:textId="3E717E6F" w:rsidR="00754143" w:rsidRDefault="00AB2C0B" w:rsidP="002E55BC">
      <w:pPr>
        <w:pStyle w:val="BodyText1"/>
      </w:pPr>
      <w:r>
        <w:t xml:space="preserve">Where a local </w:t>
      </w:r>
      <w:proofErr w:type="spellStart"/>
      <w:r>
        <w:t>VicSmart</w:t>
      </w:r>
      <w:proofErr w:type="spellEnd"/>
      <w:r>
        <w:t xml:space="preserve"> class is created for a permit requirement that is already subject to a state </w:t>
      </w:r>
      <w:proofErr w:type="spellStart"/>
      <w:r>
        <w:t>VicSmart</w:t>
      </w:r>
      <w:proofErr w:type="spellEnd"/>
      <w:r>
        <w:t xml:space="preserve"> class, the planning authority may choose to use the existing information requirements and decision guidelines provision for that class </w:t>
      </w:r>
      <w:r w:rsidRPr="00092E0F">
        <w:rPr>
          <w:shd w:val="clear" w:color="auto" w:fill="FFFFFF" w:themeFill="background1"/>
        </w:rPr>
        <w:t xml:space="preserve">at </w:t>
      </w:r>
      <w:r w:rsidR="00092E0F" w:rsidRPr="00BA0BD1">
        <w:t xml:space="preserve">clauses </w:t>
      </w:r>
      <w:r w:rsidRPr="00BA0BD1">
        <w:t>59.01 to 59.14</w:t>
      </w:r>
      <w:r>
        <w:t>.</w:t>
      </w:r>
    </w:p>
    <w:p w14:paraId="669C1BE4" w14:textId="4FED5745" w:rsidR="0001426F" w:rsidRDefault="002038B6" w:rsidP="002E55BC">
      <w:pPr>
        <w:pStyle w:val="BodyText1"/>
      </w:pPr>
      <w:r>
        <w:t>Tailored l</w:t>
      </w:r>
      <w:r w:rsidR="008D4240">
        <w:t xml:space="preserve">ocal information requirements and decision guidelines </w:t>
      </w:r>
      <w:r w:rsidR="00F6668D">
        <w:t>can be</w:t>
      </w:r>
      <w:r w:rsidR="008D4240">
        <w:t xml:space="preserve"> specified in the schedule to </w:t>
      </w:r>
      <w:r w:rsidR="001F616D" w:rsidRPr="00BA0BD1">
        <w:t>c</w:t>
      </w:r>
      <w:r w:rsidR="008D4240" w:rsidRPr="00BA0BD1">
        <w:t>lause 59.16</w:t>
      </w:r>
      <w:r w:rsidR="008D4240">
        <w:t>.</w:t>
      </w:r>
    </w:p>
    <w:p w14:paraId="54EA22AE" w14:textId="50095E72" w:rsidR="00984015" w:rsidRDefault="0001426F" w:rsidP="002E55BC">
      <w:pPr>
        <w:pStyle w:val="BodyText1"/>
      </w:pPr>
      <w:r>
        <w:t xml:space="preserve">The tables to the schedule to </w:t>
      </w:r>
      <w:r w:rsidR="001F616D" w:rsidRPr="00D44104">
        <w:t>c</w:t>
      </w:r>
      <w:r w:rsidRPr="00D44104">
        <w:t>lause 59.1</w:t>
      </w:r>
      <w:r w:rsidR="00281BD5" w:rsidRPr="00D44104">
        <w:t>6</w:t>
      </w:r>
      <w:r>
        <w:t xml:space="preserve"> are used to switch on any local or state </w:t>
      </w:r>
      <w:proofErr w:type="spellStart"/>
      <w:r>
        <w:t>VicSmart</w:t>
      </w:r>
      <w:proofErr w:type="spellEnd"/>
      <w:r>
        <w:t xml:space="preserve"> information requirements and </w:t>
      </w:r>
      <w:r w:rsidRPr="00D805BE">
        <w:t>decision guidelines</w:t>
      </w:r>
      <w:r>
        <w:t xml:space="preserve"> by specifying the relevant clause in column 4.</w:t>
      </w:r>
    </w:p>
    <w:p w14:paraId="489C735F" w14:textId="7FCDFC00" w:rsidR="00754143" w:rsidRPr="00361E71" w:rsidRDefault="003E1A32" w:rsidP="004F6A20">
      <w:pPr>
        <w:pStyle w:val="Heading3"/>
      </w:pPr>
      <w:r>
        <w:t>5.3.4</w:t>
      </w:r>
      <w:r>
        <w:tab/>
      </w:r>
      <w:r w:rsidR="001C3C41">
        <w:tab/>
      </w:r>
      <w:r w:rsidR="00AB2C0B" w:rsidRPr="00DA7C99">
        <w:t xml:space="preserve">Drafting a local </w:t>
      </w:r>
      <w:proofErr w:type="spellStart"/>
      <w:r w:rsidR="00AB2C0B" w:rsidRPr="00DA7C99">
        <w:t>VicSmart</w:t>
      </w:r>
      <w:proofErr w:type="spellEnd"/>
      <w:r w:rsidR="00AB2C0B" w:rsidRPr="00DA7C99">
        <w:t xml:space="preserve"> information</w:t>
      </w:r>
      <w:r w:rsidR="00AB2C0B" w:rsidRPr="00361E71">
        <w:t xml:space="preserve"> requirement or decision </w:t>
      </w:r>
      <w:proofErr w:type="gramStart"/>
      <w:r w:rsidR="00AB2C0B" w:rsidRPr="00361E71">
        <w:t>guide</w:t>
      </w:r>
      <w:r w:rsidR="006952A7">
        <w:tab/>
      </w:r>
      <w:r w:rsidR="00AB2C0B" w:rsidRPr="00361E71">
        <w:t>line</w:t>
      </w:r>
      <w:proofErr w:type="gramEnd"/>
    </w:p>
    <w:p w14:paraId="489C7360" w14:textId="303A93D8" w:rsidR="00754143" w:rsidRDefault="00AB2C0B" w:rsidP="002E55BC">
      <w:pPr>
        <w:pStyle w:val="BodyText1"/>
      </w:pPr>
      <w:r w:rsidRPr="00BA0BD1">
        <w:t>Clause 71.06</w:t>
      </w:r>
      <w:r>
        <w:t xml:space="preserve"> specifies that a </w:t>
      </w:r>
      <w:proofErr w:type="spellStart"/>
      <w:r>
        <w:t>VicSmart</w:t>
      </w:r>
      <w:proofErr w:type="spellEnd"/>
      <w:r>
        <w:t xml:space="preserve"> application must be assessed only against the information requirements and decision guidelines specified for that class of </w:t>
      </w:r>
      <w:proofErr w:type="spellStart"/>
      <w:r>
        <w:t>VicSmart</w:t>
      </w:r>
      <w:proofErr w:type="spellEnd"/>
      <w:r>
        <w:t xml:space="preserve"> application.</w:t>
      </w:r>
    </w:p>
    <w:p w14:paraId="489C7362" w14:textId="77777777" w:rsidR="00DC2411" w:rsidRDefault="00AB2C0B" w:rsidP="002123AF">
      <w:pPr>
        <w:pStyle w:val="Heading4"/>
        <w:rPr>
          <w:rFonts w:ascii="VIC-Light" w:hAnsi="VIC-Light" w:cs="VIC-Light"/>
          <w:color w:val="000000"/>
          <w:spacing w:val="2"/>
          <w:szCs w:val="20"/>
        </w:rPr>
      </w:pPr>
      <w:r>
        <w:t>Heading</w:t>
      </w:r>
    </w:p>
    <w:p w14:paraId="489C7363" w14:textId="77777777" w:rsidR="00CB429B" w:rsidRDefault="00AB2C0B" w:rsidP="002E55BC">
      <w:pPr>
        <w:pStyle w:val="BodyText1"/>
      </w:pPr>
      <w:r>
        <w:t xml:space="preserve">The heading is a short description of the </w:t>
      </w:r>
      <w:proofErr w:type="spellStart"/>
      <w:r>
        <w:t>VicSmart</w:t>
      </w:r>
      <w:proofErr w:type="spellEnd"/>
      <w:r>
        <w:t xml:space="preserve"> class to which the provision applies. It will generally consist of the application type and the planning control to which the class applies. For example, </w:t>
      </w:r>
      <w:r w:rsidRPr="007E64CD">
        <w:rPr>
          <w:rStyle w:val="Emphasis"/>
        </w:rPr>
        <w:t>“Licensed premises in commercial zones”</w:t>
      </w:r>
      <w:r>
        <w:t>.</w:t>
      </w:r>
    </w:p>
    <w:p w14:paraId="489C7364" w14:textId="77777777" w:rsidR="00DC2411" w:rsidRDefault="00AB2C0B" w:rsidP="002123AF">
      <w:pPr>
        <w:pStyle w:val="Heading4"/>
        <w:rPr>
          <w:rFonts w:ascii="VIC-Light" w:hAnsi="VIC-Light" w:cs="VIC-Light"/>
          <w:color w:val="000000"/>
          <w:spacing w:val="2"/>
          <w:szCs w:val="20"/>
        </w:rPr>
      </w:pPr>
      <w:r>
        <w:t>Information requirements</w:t>
      </w:r>
    </w:p>
    <w:p w14:paraId="489C7365" w14:textId="52468289" w:rsidR="00754143" w:rsidRDefault="00AB2C0B" w:rsidP="002E55BC">
      <w:pPr>
        <w:pStyle w:val="BodyText1"/>
      </w:pPr>
      <w:r>
        <w:t xml:space="preserve">Any information </w:t>
      </w:r>
      <w:r w:rsidRPr="00067EB3">
        <w:t xml:space="preserve">requirements should be </w:t>
      </w:r>
      <w:r w:rsidR="00092E0F" w:rsidRPr="00067EB3">
        <w:rPr>
          <w:shd w:val="clear" w:color="auto" w:fill="FFFFFF" w:themeFill="background1"/>
        </w:rPr>
        <w:t>targeted</w:t>
      </w:r>
      <w:r w:rsidRPr="00067EB3">
        <w:t xml:space="preserve"> to assist the decision</w:t>
      </w:r>
      <w:r w:rsidR="00C45F9F" w:rsidRPr="00067EB3">
        <w:t>-</w:t>
      </w:r>
      <w:r w:rsidRPr="00067EB3">
        <w:t>maker</w:t>
      </w:r>
      <w:r w:rsidR="00DA5F80" w:rsidRPr="00067EB3">
        <w:t xml:space="preserve">’s assessment of </w:t>
      </w:r>
      <w:r w:rsidRPr="00067EB3">
        <w:t xml:space="preserve">the application. Any information </w:t>
      </w:r>
      <w:r w:rsidR="00223963" w:rsidRPr="00067EB3">
        <w:t xml:space="preserve">requirement </w:t>
      </w:r>
      <w:r w:rsidRPr="00067EB3">
        <w:t>must be specific to the nature of the application and not go beyond the scope of the application</w:t>
      </w:r>
      <w:r>
        <w:t>. Information that does not reasonably assist a referral body in commenting on the application, or a decision-maker in deciding the application, should not be required.</w:t>
      </w:r>
    </w:p>
    <w:p w14:paraId="489C7366" w14:textId="77777777" w:rsidR="00754143" w:rsidRDefault="00AB2C0B" w:rsidP="002E55BC">
      <w:pPr>
        <w:pStyle w:val="BodyText1"/>
      </w:pPr>
      <w:r>
        <w:t>The information requirements should be determined concurrently with the decision guidelines and reflect the nature and complexity of the application.</w:t>
      </w:r>
    </w:p>
    <w:p w14:paraId="489C7367" w14:textId="22C59232" w:rsidR="00CB429B" w:rsidRPr="007E64CD" w:rsidRDefault="00AB2C0B" w:rsidP="002E55BC">
      <w:pPr>
        <w:pStyle w:val="BodyText1"/>
        <w:rPr>
          <w:rStyle w:val="Emphasis"/>
        </w:rPr>
      </w:pPr>
      <w:r>
        <w:t xml:space="preserve">The information requirements must always </w:t>
      </w:r>
      <w:r w:rsidRPr="001F7393">
        <w:t xml:space="preserve">include: </w:t>
      </w:r>
      <w:r w:rsidR="00134D6A" w:rsidRPr="001F7393">
        <w:t>‘</w:t>
      </w:r>
      <w:r w:rsidR="00134D6A" w:rsidRPr="001F7393">
        <w:rPr>
          <w:rStyle w:val="Emphasis"/>
        </w:rPr>
        <w:t xml:space="preserve">A </w:t>
      </w:r>
      <w:r w:rsidRPr="001F7393">
        <w:rPr>
          <w:rStyle w:val="Emphasis"/>
        </w:rPr>
        <w:t>copy of title for the subject land and a copy of any registered restrictive covenant</w:t>
      </w:r>
      <w:r w:rsidR="007A3BE0" w:rsidRPr="001F7393">
        <w:rPr>
          <w:rStyle w:val="Emphasis"/>
        </w:rPr>
        <w:t>’</w:t>
      </w:r>
      <w:r w:rsidRPr="001F7393">
        <w:rPr>
          <w:rStyle w:val="Emphasis"/>
        </w:rPr>
        <w:t>.</w:t>
      </w:r>
    </w:p>
    <w:p w14:paraId="489C7368" w14:textId="77777777" w:rsidR="00DC2411" w:rsidRDefault="00AB2C0B" w:rsidP="002123AF">
      <w:pPr>
        <w:pStyle w:val="Heading4"/>
        <w:rPr>
          <w:rFonts w:ascii="VIC-Light" w:hAnsi="VIC-Light" w:cs="VIC-Light"/>
          <w:color w:val="000000"/>
          <w:spacing w:val="2"/>
          <w:szCs w:val="20"/>
        </w:rPr>
      </w:pPr>
      <w:r>
        <w:t>Decision guidelines</w:t>
      </w:r>
    </w:p>
    <w:p w14:paraId="489C7369" w14:textId="77777777" w:rsidR="00754143" w:rsidRDefault="00AB2C0B" w:rsidP="002E55BC">
      <w:pPr>
        <w:pStyle w:val="BodyText1"/>
      </w:pPr>
      <w:r>
        <w:t>Decision guidelines, objectives or other matters in a zone, overlay, particular provision, schedule or policy relevant to the class of application must be restated or referenced in the provision if they are to be considered as part of the application.</w:t>
      </w:r>
    </w:p>
    <w:p w14:paraId="489C736A" w14:textId="77777777" w:rsidR="00754143" w:rsidRDefault="00AB2C0B" w:rsidP="002E55BC">
      <w:pPr>
        <w:pStyle w:val="BodyText1"/>
      </w:pPr>
      <w:r>
        <w:lastRenderedPageBreak/>
        <w:t xml:space="preserve">References to other provisions should be used with restraint to ensure the scope of assessment does not go beyond that appropriate for the </w:t>
      </w:r>
      <w:proofErr w:type="spellStart"/>
      <w:r>
        <w:t>VicSmart</w:t>
      </w:r>
      <w:proofErr w:type="spellEnd"/>
      <w:r>
        <w:t xml:space="preserve"> process.</w:t>
      </w:r>
    </w:p>
    <w:p w14:paraId="489C736B" w14:textId="5F4E0D03" w:rsidR="00754143" w:rsidRDefault="00AB2C0B" w:rsidP="002E55BC">
      <w:pPr>
        <w:pStyle w:val="BodyText1"/>
      </w:pPr>
      <w:r>
        <w:t>Decision guidelines should be neutrally expressed and require a decision-maker to consider something. They should not be framed in terms that direct the decision-maker to consider a matter in a particular way.</w:t>
      </w:r>
    </w:p>
    <w:p w14:paraId="489C736C" w14:textId="77777777" w:rsidR="00754143" w:rsidRDefault="00AB2C0B" w:rsidP="002E55BC">
      <w:pPr>
        <w:pStyle w:val="BodyText1"/>
      </w:pPr>
      <w:r>
        <w:t xml:space="preserve">Decision guidelines must not include informal referral requirements. Only referral comments required under </w:t>
      </w:r>
      <w:r w:rsidRPr="00BA0BD1">
        <w:t>section 55</w:t>
      </w:r>
      <w:r>
        <w:t xml:space="preserve"> of the Act may be included as a decision guideline.</w:t>
      </w:r>
    </w:p>
    <w:p w14:paraId="489C736D" w14:textId="77777777" w:rsidR="00754143" w:rsidRDefault="00AB2C0B" w:rsidP="002E55BC">
      <w:pPr>
        <w:pStyle w:val="BodyText1"/>
      </w:pPr>
      <w:r>
        <w:t>References to local policies and unincorporated studies, statements of significance or strategies should generally be avoided as they may unintentionally broaden the scope of matters for consideration.</w:t>
      </w:r>
    </w:p>
    <w:p w14:paraId="489C736E" w14:textId="5995A35C" w:rsidR="00DC2411" w:rsidRPr="00986209" w:rsidRDefault="00AC515F" w:rsidP="00BA6981">
      <w:pPr>
        <w:pStyle w:val="Heading2"/>
      </w:pPr>
      <w:bookmarkStart w:id="262" w:name="_5.4_Managing_referral"/>
      <w:bookmarkStart w:id="263" w:name="_Ref528680050"/>
      <w:bookmarkStart w:id="264" w:name="_Ref528680101"/>
      <w:bookmarkStart w:id="265" w:name="_Toc158706985"/>
      <w:bookmarkEnd w:id="262"/>
      <w:r>
        <w:t>5.4</w:t>
      </w:r>
      <w:r>
        <w:tab/>
      </w:r>
      <w:r w:rsidR="00AB2C0B" w:rsidRPr="004915E9">
        <w:t>Managing referral</w:t>
      </w:r>
      <w:r w:rsidR="00AB2C0B" w:rsidRPr="00986209">
        <w:t xml:space="preserve"> and notice requirements</w:t>
      </w:r>
      <w:bookmarkEnd w:id="263"/>
      <w:bookmarkEnd w:id="264"/>
      <w:bookmarkEnd w:id="265"/>
    </w:p>
    <w:p w14:paraId="489C736F" w14:textId="77777777" w:rsidR="00CB429B" w:rsidRDefault="00AB2C0B" w:rsidP="002E55BC">
      <w:pPr>
        <w:pStyle w:val="BodyText1"/>
      </w:pPr>
      <w:r>
        <w:t>The Act provides that a planning scheme can require that persons or bodies be given copies or notice of an application:</w:t>
      </w:r>
    </w:p>
    <w:p w14:paraId="489C7370" w14:textId="77777777" w:rsidR="00DC2411" w:rsidRDefault="00AB2C0B" w:rsidP="00723A0D">
      <w:pPr>
        <w:pStyle w:val="DELWPbullet1"/>
      </w:pPr>
      <w:r w:rsidRPr="00BA0BD1">
        <w:t>Section 55</w:t>
      </w:r>
      <w:r>
        <w:t xml:space="preserve"> requires that a responsible authority give a copy of an application to every person or body that the planning scheme specifies as a referral authority for that kind of application.</w:t>
      </w:r>
    </w:p>
    <w:p w14:paraId="489C7371" w14:textId="77777777" w:rsidR="00754143" w:rsidRDefault="00AB2C0B" w:rsidP="00723A0D">
      <w:pPr>
        <w:pStyle w:val="DELWPbullet1"/>
      </w:pPr>
      <w:r w:rsidRPr="00BA0BD1">
        <w:t>Section 52(1)(c)</w:t>
      </w:r>
      <w:r>
        <w:t xml:space="preserve"> requires the responsible authority to give notice of an application to any person specified in the planning scheme.</w:t>
      </w:r>
    </w:p>
    <w:p w14:paraId="26A0A8E2" w14:textId="77777777" w:rsidR="00604DB0" w:rsidRDefault="00604DB0" w:rsidP="00000ACE">
      <w:pPr>
        <w:pStyle w:val="Heading4"/>
      </w:pPr>
      <w:r>
        <w:t>What is the purpose of a referral?</w:t>
      </w:r>
    </w:p>
    <w:p w14:paraId="7C7BA497" w14:textId="77777777" w:rsidR="00604DB0" w:rsidRDefault="00604DB0" w:rsidP="00604DB0">
      <w:pPr>
        <w:pStyle w:val="DELWPbodyafterbullets"/>
      </w:pPr>
      <w:r>
        <w:t>The key purpose of the referral process is to give a person or body whose interests may be affected by a permit application the opportunity to provide advice to the responsible authority about whether a permit should be granted. Referrals are integral to the application process and avoid the need for referral authorities to establish their own separate land use and development assessment and approval processes.</w:t>
      </w:r>
    </w:p>
    <w:p w14:paraId="1862AC69" w14:textId="72B7D186" w:rsidR="009143C9" w:rsidRDefault="009143C9" w:rsidP="004F6A20">
      <w:pPr>
        <w:pStyle w:val="Heading3"/>
      </w:pPr>
      <w:r>
        <w:t>5.4.</w:t>
      </w:r>
      <w:r w:rsidR="007505FC">
        <w:t>1</w:t>
      </w:r>
      <w:r>
        <w:tab/>
        <w:t xml:space="preserve">Using Clause 66 of </w:t>
      </w:r>
      <w:r w:rsidR="00943993">
        <w:t xml:space="preserve">the </w:t>
      </w:r>
      <w:r>
        <w:t>planning scheme</w:t>
      </w:r>
    </w:p>
    <w:p w14:paraId="1C7D0626" w14:textId="331E947B" w:rsidR="009143C9" w:rsidRDefault="009143C9" w:rsidP="009143C9">
      <w:pPr>
        <w:pStyle w:val="BodyText10"/>
        <w:suppressAutoHyphens/>
        <w:spacing w:before="120" w:after="0" w:line="288" w:lineRule="auto"/>
        <w:ind w:left="0"/>
        <w:rPr>
          <w:rFonts w:ascii="VIC" w:eastAsia="Times" w:hAnsi="VIC"/>
          <w:lang w:eastAsia="en-US"/>
        </w:rPr>
      </w:pPr>
      <w:r w:rsidRPr="00CE1E45">
        <w:rPr>
          <w:rFonts w:ascii="VIC" w:eastAsia="Times" w:hAnsi="VIC"/>
          <w:lang w:eastAsia="en-US"/>
        </w:rPr>
        <w:t xml:space="preserve">All referral and notice requirements must be specified in </w:t>
      </w:r>
      <w:r w:rsidRPr="00D44104">
        <w:rPr>
          <w:rFonts w:ascii="VIC" w:eastAsia="Times" w:hAnsi="VIC"/>
          <w:lang w:eastAsia="en-US"/>
        </w:rPr>
        <w:t>clause 66</w:t>
      </w:r>
      <w:r w:rsidRPr="00CE1E45">
        <w:rPr>
          <w:rFonts w:ascii="VIC" w:eastAsia="Times" w:hAnsi="VIC"/>
          <w:lang w:eastAsia="en-US"/>
        </w:rPr>
        <w:t xml:space="preserve"> of </w:t>
      </w:r>
      <w:r w:rsidR="002E541B">
        <w:rPr>
          <w:rFonts w:ascii="VIC" w:eastAsia="Times" w:hAnsi="VIC"/>
          <w:lang w:eastAsia="en-US"/>
        </w:rPr>
        <w:t xml:space="preserve">the </w:t>
      </w:r>
      <w:r w:rsidRPr="00CE1E45">
        <w:rPr>
          <w:rFonts w:ascii="VIC" w:eastAsia="Times" w:hAnsi="VIC"/>
          <w:lang w:eastAsia="en-US"/>
        </w:rPr>
        <w:t>planning scheme.</w:t>
      </w:r>
    </w:p>
    <w:p w14:paraId="795EB6B4" w14:textId="7EEC6BEC" w:rsidR="008D588E" w:rsidRDefault="00AB2C0B" w:rsidP="002E55BC">
      <w:pPr>
        <w:pStyle w:val="DELWPbodyafterbullets"/>
      </w:pPr>
      <w:r w:rsidRPr="00BA0BD1">
        <w:t>Clause 66</w:t>
      </w:r>
      <w:r>
        <w:t xml:space="preserve"> identifies the type of referral authority for each kind of application that must be referred and the persons and bodies that must be given notice of </w:t>
      </w:r>
      <w:proofErr w:type="gramStart"/>
      <w:r>
        <w:t>particular kinds</w:t>
      </w:r>
      <w:proofErr w:type="gramEnd"/>
      <w:r>
        <w:t xml:space="preserve"> of applications under state standard provisions.</w:t>
      </w:r>
      <w:r w:rsidR="00DA5AF6">
        <w:t xml:space="preserve"> </w:t>
      </w:r>
      <w:r>
        <w:t>This clause also enables a responsible authority to specify a referral authority and persons and bodies that must be given notice for a particular kind of application under a local provision.</w:t>
      </w:r>
    </w:p>
    <w:p w14:paraId="0B0C2044" w14:textId="77777777" w:rsidR="00784693" w:rsidRDefault="00784693">
      <w:pPr>
        <w:suppressAutoHyphens w:val="0"/>
        <w:spacing w:after="0" w:line="240" w:lineRule="auto"/>
        <w:rPr>
          <w:rFonts w:ascii="VIC" w:hAnsi="VIC"/>
          <w:b/>
          <w:color w:val="00828D" w:themeColor="text2"/>
          <w:sz w:val="22"/>
          <w:szCs w:val="22"/>
          <w:highlight w:val="lightGray"/>
          <w:lang w:eastAsia="en-US"/>
        </w:rPr>
      </w:pPr>
      <w:r>
        <w:rPr>
          <w:highlight w:val="lightGray"/>
        </w:rPr>
        <w:br w:type="page"/>
      </w:r>
    </w:p>
    <w:p w14:paraId="3E2EF636" w14:textId="4ABB35CF" w:rsidR="007E46DA" w:rsidRPr="00F85646" w:rsidRDefault="00CB7CE7" w:rsidP="008D728A">
      <w:pPr>
        <w:pStyle w:val="Tablecaption"/>
        <w:numPr>
          <w:ilvl w:val="0"/>
          <w:numId w:val="0"/>
        </w:numPr>
        <w:spacing w:before="120"/>
        <w:ind w:left="567" w:hanging="567"/>
      </w:pPr>
      <w:r>
        <w:lastRenderedPageBreak/>
        <w:t xml:space="preserve">Operation of </w:t>
      </w:r>
      <w:r w:rsidR="003565EA">
        <w:t>Clause 66</w:t>
      </w:r>
    </w:p>
    <w:tbl>
      <w:tblPr>
        <w:tblStyle w:val="TableGrid"/>
        <w:tblW w:w="9214" w:type="dxa"/>
        <w:tblInd w:w="0" w:type="dxa"/>
        <w:tblLayout w:type="fixed"/>
        <w:tblLook w:val="00A0" w:firstRow="1" w:lastRow="0" w:firstColumn="1" w:lastColumn="0" w:noHBand="0" w:noVBand="0"/>
      </w:tblPr>
      <w:tblGrid>
        <w:gridCol w:w="1418"/>
        <w:gridCol w:w="1134"/>
        <w:gridCol w:w="6662"/>
      </w:tblGrid>
      <w:tr w:rsidR="00BD0071" w:rsidRPr="00DF371F" w14:paraId="14AC2DE3" w14:textId="77777777" w:rsidTr="00205234">
        <w:trPr>
          <w:cnfStyle w:val="100000000000" w:firstRow="1" w:lastRow="0" w:firstColumn="0" w:lastColumn="0" w:oddVBand="0" w:evenVBand="0" w:oddHBand="0" w:evenHBand="0" w:firstRowFirstColumn="0" w:firstRowLastColumn="0" w:lastRowFirstColumn="0" w:lastRowLastColumn="0"/>
        </w:trPr>
        <w:tc>
          <w:tcPr>
            <w:tcW w:w="1418" w:type="dxa"/>
            <w:tcBorders>
              <w:left w:val="nil"/>
            </w:tcBorders>
          </w:tcPr>
          <w:p w14:paraId="2AA83E39" w14:textId="03C994CA" w:rsidR="00BD0071" w:rsidRPr="00DF371F" w:rsidRDefault="00BD0071">
            <w:pPr>
              <w:pStyle w:val="Tablecolhead"/>
            </w:pPr>
            <w:r>
              <w:t>Clause</w:t>
            </w:r>
          </w:p>
        </w:tc>
        <w:tc>
          <w:tcPr>
            <w:tcW w:w="1134" w:type="dxa"/>
          </w:tcPr>
          <w:p w14:paraId="7AB29A26" w14:textId="3BB6301D" w:rsidR="00BD0071" w:rsidRDefault="00BD0071">
            <w:pPr>
              <w:pStyle w:val="Tablecolhead"/>
            </w:pPr>
            <w:r>
              <w:t>Section</w:t>
            </w:r>
          </w:p>
        </w:tc>
        <w:tc>
          <w:tcPr>
            <w:tcW w:w="6662" w:type="dxa"/>
            <w:tcBorders>
              <w:right w:val="nil"/>
            </w:tcBorders>
          </w:tcPr>
          <w:p w14:paraId="1367EAEC" w14:textId="2CEBE9EA" w:rsidR="00BD0071" w:rsidRPr="00DF371F" w:rsidRDefault="00BD0071">
            <w:pPr>
              <w:pStyle w:val="Tablecolhead"/>
            </w:pPr>
            <w:r>
              <w:t>What it does…</w:t>
            </w:r>
          </w:p>
        </w:tc>
      </w:tr>
      <w:tr w:rsidR="00205234" w:rsidRPr="00DF371F" w14:paraId="202D53D8" w14:textId="77777777" w:rsidTr="00205234">
        <w:tc>
          <w:tcPr>
            <w:tcW w:w="1418" w:type="dxa"/>
            <w:tcBorders>
              <w:left w:val="nil"/>
            </w:tcBorders>
          </w:tcPr>
          <w:p w14:paraId="2C692240" w14:textId="30DD7CE7" w:rsidR="00205234" w:rsidRPr="00DF371F" w:rsidRDefault="00205234" w:rsidP="00205234">
            <w:pPr>
              <w:pStyle w:val="Tablebody"/>
            </w:pPr>
            <w:r>
              <w:t>66.01</w:t>
            </w:r>
          </w:p>
        </w:tc>
        <w:tc>
          <w:tcPr>
            <w:tcW w:w="1134" w:type="dxa"/>
          </w:tcPr>
          <w:p w14:paraId="1F792EF2" w14:textId="68F84F86" w:rsidR="00205234" w:rsidRPr="00DF371F" w:rsidRDefault="00205234" w:rsidP="000470E3">
            <w:pPr>
              <w:pStyle w:val="Tablebody"/>
            </w:pPr>
            <w:r>
              <w:t>55</w:t>
            </w:r>
          </w:p>
        </w:tc>
        <w:tc>
          <w:tcPr>
            <w:tcW w:w="6662" w:type="dxa"/>
            <w:tcBorders>
              <w:right w:val="nil"/>
            </w:tcBorders>
          </w:tcPr>
          <w:p w14:paraId="5853C159" w14:textId="242B35A4" w:rsidR="00205234" w:rsidRPr="00DF371F" w:rsidRDefault="00205234" w:rsidP="00205234">
            <w:pPr>
              <w:pStyle w:val="Tablebody"/>
            </w:pPr>
            <w:r>
              <w:t xml:space="preserve">Specifies the referral authority for </w:t>
            </w:r>
            <w:proofErr w:type="gramStart"/>
            <w:r>
              <w:t>particular kinds</w:t>
            </w:r>
            <w:proofErr w:type="gramEnd"/>
            <w:r>
              <w:t xml:space="preserve"> of subdivision applications.</w:t>
            </w:r>
          </w:p>
        </w:tc>
      </w:tr>
      <w:tr w:rsidR="00205234" w:rsidRPr="00DF371F" w14:paraId="2C25FF82" w14:textId="77777777" w:rsidTr="00205234">
        <w:tc>
          <w:tcPr>
            <w:tcW w:w="1418" w:type="dxa"/>
            <w:tcBorders>
              <w:left w:val="nil"/>
            </w:tcBorders>
          </w:tcPr>
          <w:p w14:paraId="05F63726" w14:textId="582887A2" w:rsidR="00205234" w:rsidRPr="00DF371F" w:rsidRDefault="00205234" w:rsidP="00205234">
            <w:pPr>
              <w:pStyle w:val="Tablebody"/>
            </w:pPr>
            <w:r>
              <w:t>66.02</w:t>
            </w:r>
          </w:p>
        </w:tc>
        <w:tc>
          <w:tcPr>
            <w:tcW w:w="1134" w:type="dxa"/>
          </w:tcPr>
          <w:p w14:paraId="69A486A5" w14:textId="5B30C54F" w:rsidR="00205234" w:rsidRPr="00DF371F" w:rsidRDefault="00205234" w:rsidP="000470E3">
            <w:pPr>
              <w:pStyle w:val="Tablebody"/>
            </w:pPr>
            <w:r>
              <w:t>55</w:t>
            </w:r>
          </w:p>
        </w:tc>
        <w:tc>
          <w:tcPr>
            <w:tcW w:w="6662" w:type="dxa"/>
            <w:tcBorders>
              <w:right w:val="nil"/>
            </w:tcBorders>
          </w:tcPr>
          <w:p w14:paraId="51AE70B0" w14:textId="3214BFF1" w:rsidR="00205234" w:rsidRPr="00DF371F" w:rsidRDefault="00205234" w:rsidP="00205234">
            <w:pPr>
              <w:pStyle w:val="Tablebody"/>
            </w:pPr>
            <w:r>
              <w:t xml:space="preserve">Specifies the referral authority for </w:t>
            </w:r>
            <w:proofErr w:type="gramStart"/>
            <w:r>
              <w:t>particular kinds</w:t>
            </w:r>
            <w:proofErr w:type="gramEnd"/>
            <w:r>
              <w:t xml:space="preserve"> of use and development applications.</w:t>
            </w:r>
          </w:p>
        </w:tc>
      </w:tr>
      <w:tr w:rsidR="00205234" w:rsidRPr="00DF371F" w14:paraId="11061F4B" w14:textId="77777777" w:rsidTr="00205234">
        <w:tc>
          <w:tcPr>
            <w:tcW w:w="1418" w:type="dxa"/>
            <w:tcBorders>
              <w:left w:val="nil"/>
            </w:tcBorders>
          </w:tcPr>
          <w:p w14:paraId="48C7E376" w14:textId="647AC465" w:rsidR="00205234" w:rsidRPr="00DF371F" w:rsidRDefault="00205234" w:rsidP="00205234">
            <w:pPr>
              <w:pStyle w:val="Tablebody"/>
            </w:pPr>
            <w:r>
              <w:t>66.03</w:t>
            </w:r>
          </w:p>
        </w:tc>
        <w:tc>
          <w:tcPr>
            <w:tcW w:w="1134" w:type="dxa"/>
          </w:tcPr>
          <w:p w14:paraId="7FEEEAC1" w14:textId="627A78A8" w:rsidR="00205234" w:rsidRPr="00DF371F" w:rsidRDefault="00205234" w:rsidP="000470E3">
            <w:pPr>
              <w:pStyle w:val="Tablebody"/>
            </w:pPr>
            <w:r>
              <w:t>55</w:t>
            </w:r>
          </w:p>
        </w:tc>
        <w:tc>
          <w:tcPr>
            <w:tcW w:w="6662" w:type="dxa"/>
            <w:tcBorders>
              <w:right w:val="nil"/>
            </w:tcBorders>
          </w:tcPr>
          <w:p w14:paraId="376DF96A" w14:textId="65F830C3" w:rsidR="00205234" w:rsidRPr="00DF371F" w:rsidRDefault="00205234" w:rsidP="00205234">
            <w:pPr>
              <w:pStyle w:val="Tablebody"/>
            </w:pPr>
            <w:r>
              <w:t>Specifies the referral authority for applications under other State standard provisions.</w:t>
            </w:r>
          </w:p>
        </w:tc>
      </w:tr>
      <w:tr w:rsidR="00205234" w:rsidRPr="00DF371F" w14:paraId="3A156972" w14:textId="77777777" w:rsidTr="00205234">
        <w:tc>
          <w:tcPr>
            <w:tcW w:w="1418" w:type="dxa"/>
            <w:tcBorders>
              <w:left w:val="nil"/>
            </w:tcBorders>
          </w:tcPr>
          <w:p w14:paraId="6A5FE56B" w14:textId="7D7396C2" w:rsidR="00205234" w:rsidRPr="00DF371F" w:rsidRDefault="00205234" w:rsidP="00205234">
            <w:pPr>
              <w:pStyle w:val="Tablebody"/>
            </w:pPr>
            <w:r>
              <w:t>66.04</w:t>
            </w:r>
          </w:p>
        </w:tc>
        <w:tc>
          <w:tcPr>
            <w:tcW w:w="1134" w:type="dxa"/>
          </w:tcPr>
          <w:p w14:paraId="7BF13C78" w14:textId="566B7C39" w:rsidR="00205234" w:rsidRDefault="00205234" w:rsidP="000470E3">
            <w:pPr>
              <w:pStyle w:val="Tablebody"/>
            </w:pPr>
            <w:r>
              <w:t>55</w:t>
            </w:r>
          </w:p>
        </w:tc>
        <w:tc>
          <w:tcPr>
            <w:tcW w:w="6662" w:type="dxa"/>
            <w:tcBorders>
              <w:right w:val="nil"/>
            </w:tcBorders>
          </w:tcPr>
          <w:p w14:paraId="70A9B86F" w14:textId="6622A721" w:rsidR="00205234" w:rsidRPr="00DF371F" w:rsidRDefault="00205234" w:rsidP="00205234">
            <w:pPr>
              <w:pStyle w:val="Tablebody"/>
            </w:pPr>
            <w:r>
              <w:t xml:space="preserve">Enables a responsible authority to specify a referral authority for a particular kind of application under a local provision. The referral authority is listed in a local schedule to </w:t>
            </w:r>
            <w:r w:rsidR="00A03261">
              <w:t>c</w:t>
            </w:r>
            <w:r>
              <w:t>lause 66.04.</w:t>
            </w:r>
          </w:p>
        </w:tc>
      </w:tr>
      <w:tr w:rsidR="00205234" w:rsidRPr="00DF371F" w14:paraId="500BDC16" w14:textId="77777777" w:rsidTr="00205234">
        <w:tc>
          <w:tcPr>
            <w:tcW w:w="1418" w:type="dxa"/>
            <w:tcBorders>
              <w:left w:val="nil"/>
            </w:tcBorders>
          </w:tcPr>
          <w:p w14:paraId="4FCB363E" w14:textId="58DA6F15" w:rsidR="00205234" w:rsidRPr="00DF371F" w:rsidRDefault="00205234" w:rsidP="00205234">
            <w:pPr>
              <w:pStyle w:val="Tablebody"/>
            </w:pPr>
            <w:r>
              <w:t>66.05</w:t>
            </w:r>
          </w:p>
        </w:tc>
        <w:tc>
          <w:tcPr>
            <w:tcW w:w="1134" w:type="dxa"/>
          </w:tcPr>
          <w:p w14:paraId="41ECD16D" w14:textId="4EE44B93" w:rsidR="00205234" w:rsidRDefault="00205234" w:rsidP="000470E3">
            <w:pPr>
              <w:pStyle w:val="Tablebody"/>
            </w:pPr>
            <w:r>
              <w:t>52(1)(c)</w:t>
            </w:r>
          </w:p>
        </w:tc>
        <w:tc>
          <w:tcPr>
            <w:tcW w:w="6662" w:type="dxa"/>
            <w:tcBorders>
              <w:right w:val="nil"/>
            </w:tcBorders>
          </w:tcPr>
          <w:p w14:paraId="352B0FDA" w14:textId="2734232A" w:rsidR="00205234" w:rsidRPr="00DF371F" w:rsidRDefault="00205234" w:rsidP="00205234">
            <w:pPr>
              <w:pStyle w:val="Tablebody"/>
            </w:pPr>
            <w:r>
              <w:t xml:space="preserve">Specifies the persons and bodies that must be given notice of </w:t>
            </w:r>
            <w:proofErr w:type="gramStart"/>
            <w:r>
              <w:t>particular kinds</w:t>
            </w:r>
            <w:proofErr w:type="gramEnd"/>
            <w:r>
              <w:t xml:space="preserve"> of applications under State standard provisions.</w:t>
            </w:r>
          </w:p>
        </w:tc>
      </w:tr>
      <w:tr w:rsidR="00205234" w:rsidRPr="00DF371F" w14:paraId="09B3AA1C" w14:textId="77777777" w:rsidTr="00205234">
        <w:tc>
          <w:tcPr>
            <w:tcW w:w="1418" w:type="dxa"/>
            <w:tcBorders>
              <w:left w:val="nil"/>
            </w:tcBorders>
          </w:tcPr>
          <w:p w14:paraId="230B7835" w14:textId="1635D728" w:rsidR="00205234" w:rsidRPr="00DF371F" w:rsidRDefault="00205234" w:rsidP="00205234">
            <w:pPr>
              <w:pStyle w:val="Tablebody"/>
            </w:pPr>
            <w:r>
              <w:t>66.06</w:t>
            </w:r>
          </w:p>
        </w:tc>
        <w:tc>
          <w:tcPr>
            <w:tcW w:w="1134" w:type="dxa"/>
          </w:tcPr>
          <w:p w14:paraId="0A0F3FE1" w14:textId="2A8BC54A" w:rsidR="00205234" w:rsidRDefault="00205234" w:rsidP="000470E3">
            <w:pPr>
              <w:pStyle w:val="Tablebody"/>
            </w:pPr>
            <w:r>
              <w:t>52(1)(c)</w:t>
            </w:r>
          </w:p>
        </w:tc>
        <w:tc>
          <w:tcPr>
            <w:tcW w:w="6662" w:type="dxa"/>
            <w:tcBorders>
              <w:right w:val="nil"/>
            </w:tcBorders>
          </w:tcPr>
          <w:p w14:paraId="06125E2D" w14:textId="761CDF7A" w:rsidR="00205234" w:rsidRPr="00DF371F" w:rsidRDefault="00205234" w:rsidP="00205234">
            <w:pPr>
              <w:pStyle w:val="Tablebody"/>
            </w:pPr>
            <w:r>
              <w:t xml:space="preserve">Enables a responsible authority to specify a person or body that must be given notice of a particular kind of application under a local provision. The person or body is listed in a local schedule to </w:t>
            </w:r>
            <w:r w:rsidR="00A03261">
              <w:t>c</w:t>
            </w:r>
            <w:r>
              <w:t>lause 66.06.</w:t>
            </w:r>
          </w:p>
        </w:tc>
      </w:tr>
    </w:tbl>
    <w:p w14:paraId="4C368627" w14:textId="31CBFAF0" w:rsidR="005D00B0" w:rsidRPr="005D00B0" w:rsidRDefault="00412BD1" w:rsidP="005D00B0">
      <w:pPr>
        <w:pStyle w:val="BodyText10"/>
        <w:suppressAutoHyphens/>
        <w:spacing w:before="120" w:after="0" w:line="288" w:lineRule="auto"/>
        <w:ind w:left="0"/>
        <w:rPr>
          <w:rFonts w:ascii="VIC" w:eastAsia="Times" w:hAnsi="VIC"/>
          <w:lang w:eastAsia="en-US"/>
        </w:rPr>
      </w:pPr>
      <w:r w:rsidRPr="005D00B0">
        <w:rPr>
          <w:rFonts w:ascii="VIC" w:eastAsia="Times" w:hAnsi="VIC"/>
          <w:lang w:eastAsia="en-US"/>
        </w:rPr>
        <w:t>See</w:t>
      </w:r>
      <w:r>
        <w:rPr>
          <w:rFonts w:ascii="VIC" w:eastAsia="Times" w:hAnsi="VIC"/>
          <w:lang w:eastAsia="en-US"/>
        </w:rPr>
        <w:t xml:space="preserve"> </w:t>
      </w:r>
      <w:r w:rsidRPr="00D44104">
        <w:rPr>
          <w:rFonts w:ascii="VIC" w:eastAsia="Times" w:hAnsi="VIC"/>
          <w:lang w:eastAsia="en-US"/>
        </w:rPr>
        <w:t>Chapter 3.3.1</w:t>
      </w:r>
      <w:r w:rsidRPr="00C37522">
        <w:rPr>
          <w:rFonts w:ascii="VIC" w:eastAsia="Times" w:hAnsi="VIC"/>
          <w:lang w:eastAsia="en-US"/>
        </w:rPr>
        <w:t xml:space="preserve"> of</w:t>
      </w:r>
      <w:r>
        <w:rPr>
          <w:rFonts w:ascii="VIC" w:eastAsia="Times" w:hAnsi="VIC"/>
          <w:lang w:eastAsia="en-US"/>
        </w:rPr>
        <w:t xml:space="preserve"> </w:t>
      </w:r>
      <w:hyperlink r:id="rId32" w:history="1">
        <w:r w:rsidR="005E55A1" w:rsidRPr="00324E86">
          <w:rPr>
            <w:rStyle w:val="Hyperlink"/>
            <w:rFonts w:ascii="VIC" w:hAnsi="VIC"/>
            <w:i/>
            <w:iCs/>
          </w:rPr>
          <w:t>Using Victoria's Planning System</w:t>
        </w:r>
      </w:hyperlink>
      <w:r w:rsidR="005E55A1">
        <w:rPr>
          <w:rFonts w:ascii="VIC" w:eastAsia="Times" w:hAnsi="VIC"/>
          <w:lang w:eastAsia="en-US"/>
        </w:rPr>
        <w:t xml:space="preserve"> for more information about the operation of </w:t>
      </w:r>
      <w:r w:rsidR="000470E3">
        <w:rPr>
          <w:rFonts w:ascii="VIC" w:eastAsia="Times" w:hAnsi="VIC"/>
          <w:lang w:eastAsia="en-US"/>
        </w:rPr>
        <w:t>c</w:t>
      </w:r>
      <w:r w:rsidR="005E55A1">
        <w:rPr>
          <w:rFonts w:ascii="VIC" w:eastAsia="Times" w:hAnsi="VIC"/>
          <w:lang w:eastAsia="en-US"/>
        </w:rPr>
        <w:t>lause 66.</w:t>
      </w:r>
    </w:p>
    <w:p w14:paraId="08DA5773" w14:textId="353B90C6" w:rsidR="00BB5A48" w:rsidRDefault="009B14AF" w:rsidP="004F6A20">
      <w:pPr>
        <w:pStyle w:val="Heading3"/>
      </w:pPr>
      <w:r>
        <w:t>5.4.2</w:t>
      </w:r>
      <w:r>
        <w:tab/>
      </w:r>
      <w:r w:rsidR="00BB5269">
        <w:tab/>
      </w:r>
      <w:r w:rsidR="00BB5A48">
        <w:t>Two types of referral authority</w:t>
      </w:r>
    </w:p>
    <w:p w14:paraId="657C34A5" w14:textId="169AE44A" w:rsidR="003E2468" w:rsidRDefault="00990A62" w:rsidP="00990A62">
      <w:pPr>
        <w:pStyle w:val="BodyText10"/>
        <w:suppressAutoHyphens/>
        <w:spacing w:before="120" w:after="0" w:line="288" w:lineRule="auto"/>
        <w:ind w:left="0"/>
        <w:rPr>
          <w:rFonts w:ascii="VIC" w:eastAsia="Times" w:hAnsi="VIC"/>
          <w:lang w:eastAsia="en-US"/>
        </w:rPr>
      </w:pPr>
      <w:r w:rsidRPr="00990A62">
        <w:rPr>
          <w:rFonts w:ascii="VIC" w:eastAsia="Times" w:hAnsi="VIC"/>
          <w:lang w:eastAsia="en-US"/>
        </w:rPr>
        <w:t xml:space="preserve">There are two types of referral </w:t>
      </w:r>
      <w:r w:rsidRPr="00D374FE">
        <w:rPr>
          <w:rFonts w:ascii="VIC" w:eastAsia="Times" w:hAnsi="VIC"/>
          <w:lang w:eastAsia="en-US"/>
        </w:rPr>
        <w:t>authority</w:t>
      </w:r>
      <w:r w:rsidR="00D374FE">
        <w:rPr>
          <w:rFonts w:ascii="VIC" w:eastAsia="Times" w:hAnsi="VIC"/>
          <w:lang w:eastAsia="en-US"/>
        </w:rPr>
        <w:t xml:space="preserve"> -</w:t>
      </w:r>
      <w:r w:rsidRPr="00D374FE">
        <w:rPr>
          <w:rFonts w:ascii="VIC" w:eastAsia="Times" w:hAnsi="VIC"/>
          <w:lang w:eastAsia="en-US"/>
        </w:rPr>
        <w:t xml:space="preserve"> a </w:t>
      </w:r>
      <w:r w:rsidRPr="00D44104">
        <w:rPr>
          <w:rFonts w:ascii="VIC" w:eastAsia="Times" w:hAnsi="VIC"/>
          <w:i/>
          <w:iCs/>
          <w:lang w:eastAsia="en-US"/>
        </w:rPr>
        <w:t>determining</w:t>
      </w:r>
      <w:r w:rsidRPr="00D374FE">
        <w:rPr>
          <w:rFonts w:ascii="VIC" w:eastAsia="Times" w:hAnsi="VIC"/>
          <w:lang w:eastAsia="en-US"/>
        </w:rPr>
        <w:t xml:space="preserve"> referral authority and a </w:t>
      </w:r>
      <w:r w:rsidRPr="00D44104">
        <w:rPr>
          <w:rFonts w:ascii="VIC" w:eastAsia="Times" w:hAnsi="VIC"/>
          <w:i/>
          <w:iCs/>
          <w:lang w:eastAsia="en-US"/>
        </w:rPr>
        <w:t>recommending</w:t>
      </w:r>
      <w:r w:rsidRPr="00D374FE">
        <w:rPr>
          <w:rFonts w:ascii="VIC" w:eastAsia="Times" w:hAnsi="VIC"/>
          <w:lang w:eastAsia="en-US"/>
        </w:rPr>
        <w:t xml:space="preserve"> referral authority.</w:t>
      </w:r>
      <w:r w:rsidR="00E03DE1">
        <w:rPr>
          <w:rFonts w:ascii="VIC" w:eastAsia="Times" w:hAnsi="VIC"/>
          <w:lang w:eastAsia="en-US"/>
        </w:rPr>
        <w:t xml:space="preserve"> The</w:t>
      </w:r>
      <w:r w:rsidR="00F6641E">
        <w:rPr>
          <w:rFonts w:ascii="VIC" w:eastAsia="Times" w:hAnsi="VIC"/>
          <w:lang w:eastAsia="en-US"/>
        </w:rPr>
        <w:t xml:space="preserve"> duties</w:t>
      </w:r>
      <w:r w:rsidR="002A106A">
        <w:rPr>
          <w:rFonts w:ascii="VIC" w:eastAsia="Times" w:hAnsi="VIC"/>
          <w:lang w:eastAsia="en-US"/>
        </w:rPr>
        <w:t xml:space="preserve"> of the two types of referral authority</w:t>
      </w:r>
      <w:r w:rsidR="00F6641E">
        <w:rPr>
          <w:rFonts w:ascii="VIC" w:eastAsia="Times" w:hAnsi="VIC"/>
          <w:lang w:eastAsia="en-US"/>
        </w:rPr>
        <w:t xml:space="preserve"> </w:t>
      </w:r>
      <w:r w:rsidR="002A106A">
        <w:rPr>
          <w:rFonts w:ascii="VIC" w:eastAsia="Times" w:hAnsi="VIC"/>
          <w:lang w:eastAsia="en-US"/>
        </w:rPr>
        <w:t>are the same</w:t>
      </w:r>
      <w:r w:rsidR="0066389F">
        <w:rPr>
          <w:rFonts w:ascii="VIC" w:eastAsia="Times" w:hAnsi="VIC"/>
          <w:lang w:eastAsia="en-US"/>
        </w:rPr>
        <w:t xml:space="preserve"> (as specified in section 14A of the Act)</w:t>
      </w:r>
      <w:r w:rsidR="002A106A">
        <w:rPr>
          <w:rFonts w:ascii="VIC" w:eastAsia="Times" w:hAnsi="VIC"/>
          <w:lang w:eastAsia="en-US"/>
        </w:rPr>
        <w:t xml:space="preserve"> but their </w:t>
      </w:r>
      <w:r w:rsidR="00E03DE1">
        <w:rPr>
          <w:rFonts w:ascii="VIC" w:eastAsia="Times" w:hAnsi="VIC"/>
          <w:lang w:eastAsia="en-US"/>
        </w:rPr>
        <w:t xml:space="preserve">powers </w:t>
      </w:r>
      <w:r w:rsidR="00CE5290">
        <w:rPr>
          <w:rFonts w:ascii="VIC" w:eastAsia="Times" w:hAnsi="VIC"/>
          <w:lang w:eastAsia="en-US"/>
        </w:rPr>
        <w:t>differ</w:t>
      </w:r>
      <w:r w:rsidR="003F4FF6">
        <w:rPr>
          <w:rFonts w:ascii="VIC" w:eastAsia="Times" w:hAnsi="VIC"/>
          <w:lang w:eastAsia="en-US"/>
        </w:rPr>
        <w:t xml:space="preserve">. </w:t>
      </w:r>
    </w:p>
    <w:p w14:paraId="6FC55AD8" w14:textId="69F2CAE4" w:rsidR="00342368" w:rsidRDefault="009958BC" w:rsidP="007B49E8">
      <w:pPr>
        <w:pStyle w:val="BodyText10"/>
        <w:suppressAutoHyphens/>
        <w:spacing w:before="120" w:after="120" w:line="288" w:lineRule="auto"/>
        <w:ind w:left="0"/>
        <w:rPr>
          <w:rFonts w:ascii="VIC" w:eastAsia="Times" w:hAnsi="VIC"/>
          <w:lang w:eastAsia="en-US"/>
        </w:rPr>
      </w:pPr>
      <w:r w:rsidRPr="009958BC">
        <w:rPr>
          <w:rFonts w:ascii="VIC" w:eastAsia="Times" w:hAnsi="VIC"/>
          <w:lang w:eastAsia="en-US"/>
        </w:rPr>
        <w:t>B</w:t>
      </w:r>
      <w:r>
        <w:rPr>
          <w:rFonts w:ascii="VIC" w:eastAsia="Times" w:hAnsi="VIC"/>
          <w:lang w:eastAsia="en-US"/>
        </w:rPr>
        <w:t>o</w:t>
      </w:r>
      <w:r w:rsidRPr="009958BC">
        <w:rPr>
          <w:rFonts w:ascii="VIC" w:eastAsia="Times" w:hAnsi="VIC"/>
          <w:lang w:eastAsia="en-US"/>
        </w:rPr>
        <w:t>th</w:t>
      </w:r>
      <w:r w:rsidR="0034592A" w:rsidRPr="009958BC">
        <w:rPr>
          <w:rFonts w:ascii="VIC" w:eastAsia="Times" w:hAnsi="VIC"/>
          <w:lang w:eastAsia="en-US"/>
        </w:rPr>
        <w:t xml:space="preserve"> types of referral authority can object to the granting of a permit, decide not to object or specify conditions to be included on a permit. However, the effect of that advice on the </w:t>
      </w:r>
      <w:proofErr w:type="gramStart"/>
      <w:r w:rsidR="0034592A" w:rsidRPr="009958BC">
        <w:rPr>
          <w:rFonts w:ascii="VIC" w:eastAsia="Times" w:hAnsi="VIC"/>
          <w:lang w:eastAsia="en-US"/>
        </w:rPr>
        <w:t>final outcome</w:t>
      </w:r>
      <w:proofErr w:type="gramEnd"/>
      <w:r w:rsidR="0034592A" w:rsidRPr="009958BC">
        <w:rPr>
          <w:rFonts w:ascii="VIC" w:eastAsia="Times" w:hAnsi="VIC"/>
          <w:lang w:eastAsia="en-US"/>
        </w:rPr>
        <w:t xml:space="preserve"> of an application is different for each type of referral authority</w:t>
      </w:r>
      <w:r w:rsidR="00495EFB">
        <w:rPr>
          <w:rFonts w:ascii="VIC" w:eastAsia="Times" w:hAnsi="VIC"/>
          <w:lang w:eastAsia="en-US"/>
        </w:rPr>
        <w:t xml:space="preserve"> as shown in </w:t>
      </w:r>
      <w:r w:rsidR="00744455" w:rsidRPr="00D44104">
        <w:rPr>
          <w:rFonts w:ascii="VIC" w:eastAsia="Times" w:hAnsi="VIC"/>
          <w:lang w:eastAsia="en-US"/>
        </w:rPr>
        <w:t>T</w:t>
      </w:r>
      <w:r w:rsidR="00495EFB" w:rsidRPr="00D44104">
        <w:rPr>
          <w:rFonts w:ascii="VIC" w:eastAsia="Times" w:hAnsi="VIC"/>
          <w:lang w:eastAsia="en-US"/>
        </w:rPr>
        <w:t>able 4</w:t>
      </w:r>
      <w:r w:rsidR="00495EFB">
        <w:rPr>
          <w:rFonts w:ascii="VIC" w:eastAsia="Times" w:hAnsi="VIC"/>
          <w:lang w:eastAsia="en-US"/>
        </w:rPr>
        <w:t>.</w:t>
      </w:r>
    </w:p>
    <w:p w14:paraId="225E84B7" w14:textId="77777777" w:rsidR="00342368" w:rsidRDefault="00342368">
      <w:pPr>
        <w:suppressAutoHyphens w:val="0"/>
        <w:spacing w:after="0" w:line="240" w:lineRule="auto"/>
        <w:rPr>
          <w:rFonts w:ascii="VIC" w:eastAsia="Times" w:hAnsi="VIC"/>
          <w:lang w:eastAsia="en-US"/>
        </w:rPr>
      </w:pPr>
      <w:r>
        <w:rPr>
          <w:rFonts w:ascii="VIC" w:eastAsia="Times" w:hAnsi="VIC"/>
          <w:lang w:eastAsia="en-US"/>
        </w:rPr>
        <w:br w:type="page"/>
      </w:r>
    </w:p>
    <w:p w14:paraId="325401E6" w14:textId="19B45F84" w:rsidR="007B49E8" w:rsidRPr="007B49E8" w:rsidRDefault="0086459A" w:rsidP="007B49E8">
      <w:pPr>
        <w:pStyle w:val="Tablecaption"/>
      </w:pPr>
      <w:r>
        <w:lastRenderedPageBreak/>
        <w:t>Referral authority powers</w:t>
      </w:r>
    </w:p>
    <w:tbl>
      <w:tblPr>
        <w:tblStyle w:val="TableGrid"/>
        <w:tblW w:w="9071" w:type="dxa"/>
        <w:tblInd w:w="-5" w:type="dxa"/>
        <w:tblLook w:val="04A0" w:firstRow="1" w:lastRow="0" w:firstColumn="1" w:lastColumn="0" w:noHBand="0" w:noVBand="1"/>
      </w:tblPr>
      <w:tblGrid>
        <w:gridCol w:w="2267"/>
        <w:gridCol w:w="3402"/>
        <w:gridCol w:w="3402"/>
      </w:tblGrid>
      <w:tr w:rsidR="004063B4" w14:paraId="7323E135" w14:textId="77777777" w:rsidTr="007B3C59">
        <w:trPr>
          <w:cnfStyle w:val="100000000000" w:firstRow="1" w:lastRow="0" w:firstColumn="0" w:lastColumn="0" w:oddVBand="0" w:evenVBand="0" w:oddHBand="0" w:evenHBand="0" w:firstRowFirstColumn="0" w:firstRowLastColumn="0" w:lastRowFirstColumn="0" w:lastRowLastColumn="0"/>
        </w:trPr>
        <w:tc>
          <w:tcPr>
            <w:tcW w:w="2267" w:type="dxa"/>
            <w:tcBorders>
              <w:bottom w:val="single" w:sz="4" w:space="0" w:color="00828D" w:themeColor="accent1"/>
              <w:right w:val="single" w:sz="4" w:space="0" w:color="00828D" w:themeColor="accent1"/>
            </w:tcBorders>
          </w:tcPr>
          <w:p w14:paraId="471DC361" w14:textId="2A0CB7BA" w:rsidR="00F4468F" w:rsidRPr="001174F3" w:rsidRDefault="00F4468F" w:rsidP="00F4468F">
            <w:pPr>
              <w:pStyle w:val="Tablecolhead"/>
              <w:rPr>
                <w:rFonts w:eastAsia="Times"/>
              </w:rPr>
            </w:pPr>
            <w:r w:rsidRPr="001174F3">
              <w:rPr>
                <w:rFonts w:eastAsia="Times"/>
              </w:rPr>
              <w:t>Referral authority</w:t>
            </w:r>
          </w:p>
        </w:tc>
        <w:tc>
          <w:tcPr>
            <w:tcW w:w="6804" w:type="dxa"/>
            <w:gridSpan w:val="2"/>
            <w:tcBorders>
              <w:left w:val="single" w:sz="4" w:space="0" w:color="00828D" w:themeColor="accent1"/>
              <w:bottom w:val="single" w:sz="4" w:space="0" w:color="00828D" w:themeColor="accent1"/>
            </w:tcBorders>
          </w:tcPr>
          <w:p w14:paraId="53A4C4EF" w14:textId="516F359F" w:rsidR="00F4468F" w:rsidRPr="009958BC" w:rsidRDefault="00F4468F" w:rsidP="00F4468F">
            <w:pPr>
              <w:pStyle w:val="Tablecolhead"/>
              <w:rPr>
                <w:rFonts w:eastAsia="Times"/>
              </w:rPr>
            </w:pPr>
            <w:r>
              <w:rPr>
                <w:rFonts w:eastAsia="Times"/>
              </w:rPr>
              <w:t>Responsible authority obligations after the following actions from a referral authority:</w:t>
            </w:r>
          </w:p>
        </w:tc>
      </w:tr>
      <w:tr w:rsidR="00F4468F" w14:paraId="4257BA48" w14:textId="77777777" w:rsidTr="007B3C59">
        <w:tc>
          <w:tcPr>
            <w:tcW w:w="2267" w:type="dxa"/>
            <w:tcBorders>
              <w:left w:val="nil"/>
            </w:tcBorders>
          </w:tcPr>
          <w:p w14:paraId="1FFFFC8A" w14:textId="594C2E00" w:rsidR="00F4468F" w:rsidRPr="0068674C" w:rsidRDefault="00F4468F" w:rsidP="00F4468F">
            <w:pPr>
              <w:pStyle w:val="Tablecolhead"/>
              <w:rPr>
                <w:rFonts w:eastAsia="Times"/>
                <w:color w:val="00828D" w:themeColor="text2"/>
              </w:rPr>
            </w:pPr>
          </w:p>
        </w:tc>
        <w:tc>
          <w:tcPr>
            <w:tcW w:w="3402" w:type="dxa"/>
          </w:tcPr>
          <w:p w14:paraId="3A880FED" w14:textId="7776864F" w:rsidR="00F4468F" w:rsidRPr="0068674C" w:rsidRDefault="00324E86" w:rsidP="00F4468F">
            <w:pPr>
              <w:pStyle w:val="Tablecolhead"/>
              <w:rPr>
                <w:rFonts w:eastAsia="Times"/>
                <w:color w:val="00828D" w:themeColor="text2"/>
              </w:rPr>
            </w:pPr>
            <w:r>
              <w:rPr>
                <w:rFonts w:eastAsia="Times"/>
                <w:color w:val="00828D" w:themeColor="text2"/>
              </w:rPr>
              <w:t>O</w:t>
            </w:r>
            <w:r w:rsidR="00F4468F" w:rsidRPr="0068674C">
              <w:rPr>
                <w:rFonts w:eastAsia="Times"/>
                <w:color w:val="00828D" w:themeColor="text2"/>
              </w:rPr>
              <w:t>bjects to the grant of a permit</w:t>
            </w:r>
          </w:p>
        </w:tc>
        <w:tc>
          <w:tcPr>
            <w:tcW w:w="3402" w:type="dxa"/>
            <w:tcBorders>
              <w:right w:val="nil"/>
            </w:tcBorders>
          </w:tcPr>
          <w:p w14:paraId="10D7D01E" w14:textId="592CFECD" w:rsidR="00F4468F" w:rsidRPr="0068674C" w:rsidRDefault="00324E86" w:rsidP="00F4468F">
            <w:pPr>
              <w:pStyle w:val="Tablecolhead"/>
              <w:rPr>
                <w:rFonts w:eastAsia="Times"/>
                <w:color w:val="00828D" w:themeColor="text2"/>
              </w:rPr>
            </w:pPr>
            <w:r>
              <w:rPr>
                <w:rFonts w:eastAsia="Times"/>
                <w:color w:val="00828D" w:themeColor="text2"/>
              </w:rPr>
              <w:t>S</w:t>
            </w:r>
            <w:r w:rsidR="00F4468F" w:rsidRPr="0068674C">
              <w:rPr>
                <w:rFonts w:eastAsia="Times"/>
                <w:color w:val="00828D" w:themeColor="text2"/>
              </w:rPr>
              <w:t>pecifies conditions</w:t>
            </w:r>
          </w:p>
        </w:tc>
      </w:tr>
      <w:tr w:rsidR="00F4468F" w14:paraId="4953C339" w14:textId="77777777" w:rsidTr="007B3C59">
        <w:tc>
          <w:tcPr>
            <w:tcW w:w="2267" w:type="dxa"/>
            <w:tcBorders>
              <w:left w:val="nil"/>
            </w:tcBorders>
          </w:tcPr>
          <w:p w14:paraId="3A923C84" w14:textId="1CC374B0" w:rsidR="00F4468F" w:rsidRDefault="00F4468F" w:rsidP="00F4468F">
            <w:pPr>
              <w:pStyle w:val="Tablebody"/>
            </w:pPr>
            <w:r>
              <w:t>Determining</w:t>
            </w:r>
          </w:p>
        </w:tc>
        <w:tc>
          <w:tcPr>
            <w:tcW w:w="3402" w:type="dxa"/>
          </w:tcPr>
          <w:p w14:paraId="17285E0F" w14:textId="232758A6" w:rsidR="00F4468F" w:rsidRDefault="00F4468F" w:rsidP="00A705A5">
            <w:pPr>
              <w:pStyle w:val="Tablebody"/>
              <w:numPr>
                <w:ilvl w:val="0"/>
                <w:numId w:val="42"/>
              </w:numPr>
              <w:ind w:left="462"/>
            </w:pPr>
            <w:r w:rsidRPr="009958BC">
              <w:t xml:space="preserve">the responsible authority </w:t>
            </w:r>
            <w:r w:rsidRPr="00696F87">
              <w:rPr>
                <w:b/>
                <w:bCs/>
              </w:rPr>
              <w:t>must</w:t>
            </w:r>
            <w:r w:rsidRPr="00D44104">
              <w:t xml:space="preserve"> </w:t>
            </w:r>
            <w:r w:rsidRPr="009958BC">
              <w:t>refuse to grant a permit</w:t>
            </w:r>
          </w:p>
        </w:tc>
        <w:tc>
          <w:tcPr>
            <w:tcW w:w="3402" w:type="dxa"/>
            <w:tcBorders>
              <w:right w:val="nil"/>
            </w:tcBorders>
          </w:tcPr>
          <w:p w14:paraId="02AD3195" w14:textId="3772A511" w:rsidR="00F4468F" w:rsidRDefault="00F4468F" w:rsidP="00A705A5">
            <w:pPr>
              <w:pStyle w:val="Tablebody"/>
              <w:numPr>
                <w:ilvl w:val="0"/>
                <w:numId w:val="42"/>
              </w:numPr>
              <w:ind w:left="458"/>
            </w:pPr>
            <w:r>
              <w:t>the c</w:t>
            </w:r>
            <w:r w:rsidRPr="009958BC">
              <w:t xml:space="preserve">onditions </w:t>
            </w:r>
            <w:r w:rsidRPr="00696F87">
              <w:rPr>
                <w:b/>
                <w:bCs/>
              </w:rPr>
              <w:t>must</w:t>
            </w:r>
            <w:r w:rsidRPr="009958BC">
              <w:t xml:space="preserve"> be included in any permit granted</w:t>
            </w:r>
          </w:p>
        </w:tc>
      </w:tr>
      <w:tr w:rsidR="00F4468F" w14:paraId="5DDD0D11" w14:textId="77777777" w:rsidTr="007B3C59">
        <w:tc>
          <w:tcPr>
            <w:tcW w:w="2267" w:type="dxa"/>
            <w:tcBorders>
              <w:left w:val="nil"/>
            </w:tcBorders>
          </w:tcPr>
          <w:p w14:paraId="2D752DFD" w14:textId="4438AB61" w:rsidR="00F4468F" w:rsidRDefault="00F4468F" w:rsidP="00F4468F">
            <w:pPr>
              <w:pStyle w:val="Tablebody"/>
            </w:pPr>
            <w:r>
              <w:t>Recommending</w:t>
            </w:r>
          </w:p>
        </w:tc>
        <w:tc>
          <w:tcPr>
            <w:tcW w:w="3402" w:type="dxa"/>
          </w:tcPr>
          <w:p w14:paraId="037209F2" w14:textId="6806F5E8" w:rsidR="00F4468F" w:rsidRDefault="00F4468F" w:rsidP="00A705A5">
            <w:pPr>
              <w:pStyle w:val="Tablebody"/>
              <w:numPr>
                <w:ilvl w:val="0"/>
                <w:numId w:val="42"/>
              </w:numPr>
              <w:ind w:left="462"/>
            </w:pPr>
            <w:r>
              <w:t>t</w:t>
            </w:r>
            <w:r w:rsidRPr="009958BC">
              <w:t xml:space="preserve">he responsible authority </w:t>
            </w:r>
            <w:r w:rsidRPr="00696F87">
              <w:rPr>
                <w:b/>
                <w:bCs/>
              </w:rPr>
              <w:t>may</w:t>
            </w:r>
            <w:r w:rsidRPr="009958BC">
              <w:t xml:space="preserve"> refuse to grant a permit</w:t>
            </w:r>
          </w:p>
        </w:tc>
        <w:tc>
          <w:tcPr>
            <w:tcW w:w="3402" w:type="dxa"/>
            <w:tcBorders>
              <w:right w:val="nil"/>
            </w:tcBorders>
          </w:tcPr>
          <w:p w14:paraId="48F443E2" w14:textId="598180D1" w:rsidR="00F4468F" w:rsidRDefault="00F4468F" w:rsidP="00A705A5">
            <w:pPr>
              <w:pStyle w:val="Tablebody"/>
              <w:numPr>
                <w:ilvl w:val="0"/>
                <w:numId w:val="42"/>
              </w:numPr>
              <w:ind w:left="458"/>
            </w:pPr>
            <w:r>
              <w:t>the c</w:t>
            </w:r>
            <w:r w:rsidRPr="009958BC">
              <w:t xml:space="preserve">onditions </w:t>
            </w:r>
            <w:r w:rsidRPr="00696F87">
              <w:rPr>
                <w:b/>
                <w:bCs/>
              </w:rPr>
              <w:t>may</w:t>
            </w:r>
            <w:r w:rsidRPr="009958BC">
              <w:t xml:space="preserve"> be included in any permit granted</w:t>
            </w:r>
          </w:p>
        </w:tc>
      </w:tr>
    </w:tbl>
    <w:p w14:paraId="31AFA976" w14:textId="7D916231" w:rsidR="00497461" w:rsidRDefault="0093632C" w:rsidP="004F6A20">
      <w:pPr>
        <w:pStyle w:val="Heading3"/>
      </w:pPr>
      <w:r>
        <w:t>5.4.</w:t>
      </w:r>
      <w:r w:rsidR="00526E59">
        <w:t>3</w:t>
      </w:r>
      <w:r>
        <w:tab/>
      </w:r>
      <w:r w:rsidR="00497461">
        <w:t xml:space="preserve">Are existing referral requirements necessary? </w:t>
      </w:r>
    </w:p>
    <w:p w14:paraId="0EEC29D0" w14:textId="428269EB" w:rsidR="00497461" w:rsidRDefault="002B2483" w:rsidP="002B2483">
      <w:pPr>
        <w:pStyle w:val="BodyText10"/>
        <w:suppressAutoHyphens/>
        <w:spacing w:before="120" w:after="0" w:line="288" w:lineRule="auto"/>
        <w:ind w:left="0"/>
        <w:rPr>
          <w:rFonts w:ascii="VIC" w:eastAsia="Times" w:hAnsi="VIC"/>
          <w:lang w:eastAsia="en-US"/>
        </w:rPr>
      </w:pPr>
      <w:r w:rsidRPr="003430CC">
        <w:rPr>
          <w:rFonts w:ascii="VIC" w:eastAsia="Times" w:hAnsi="VIC"/>
          <w:lang w:eastAsia="en-US"/>
        </w:rPr>
        <w:t>Planning a</w:t>
      </w:r>
      <w:r w:rsidRPr="002B2483">
        <w:rPr>
          <w:rFonts w:ascii="VIC" w:eastAsia="Times" w:hAnsi="VIC"/>
          <w:lang w:eastAsia="en-US"/>
        </w:rPr>
        <w:t>uthorities and referral authorities should together consider whether a</w:t>
      </w:r>
      <w:r w:rsidR="006610FE">
        <w:rPr>
          <w:rFonts w:ascii="VIC" w:eastAsia="Times" w:hAnsi="VIC"/>
          <w:lang w:eastAsia="en-US"/>
        </w:rPr>
        <w:t>n existing</w:t>
      </w:r>
      <w:r w:rsidRPr="002B2483">
        <w:rPr>
          <w:rFonts w:ascii="VIC" w:eastAsia="Times" w:hAnsi="VIC"/>
          <w:lang w:eastAsia="en-US"/>
        </w:rPr>
        <w:t xml:space="preserve"> referral requirement under </w:t>
      </w:r>
      <w:r w:rsidR="004D0191">
        <w:rPr>
          <w:rFonts w:ascii="VIC" w:eastAsia="Times" w:hAnsi="VIC"/>
          <w:lang w:eastAsia="en-US"/>
        </w:rPr>
        <w:t>c</w:t>
      </w:r>
      <w:r w:rsidRPr="002B2483">
        <w:rPr>
          <w:rFonts w:ascii="VIC" w:eastAsia="Times" w:hAnsi="VIC"/>
          <w:lang w:eastAsia="en-US"/>
        </w:rPr>
        <w:t xml:space="preserve">lause 66.04 </w:t>
      </w:r>
      <w:r w:rsidR="006610FE">
        <w:rPr>
          <w:rFonts w:ascii="VIC" w:eastAsia="Times" w:hAnsi="VIC"/>
          <w:lang w:eastAsia="en-US"/>
        </w:rPr>
        <w:t>remains</w:t>
      </w:r>
      <w:r w:rsidRPr="002B2483">
        <w:rPr>
          <w:rFonts w:ascii="VIC" w:eastAsia="Times" w:hAnsi="VIC"/>
          <w:lang w:eastAsia="en-US"/>
        </w:rPr>
        <w:t xml:space="preserve"> necessary or whether the referral can be dealt with by an alternative arrangement. The four-year review of the planning scheme provides a</w:t>
      </w:r>
      <w:r w:rsidR="00AE43CC">
        <w:rPr>
          <w:rFonts w:ascii="VIC" w:eastAsia="Times" w:hAnsi="VIC"/>
          <w:lang w:eastAsia="en-US"/>
        </w:rPr>
        <w:t xml:space="preserve"> good</w:t>
      </w:r>
      <w:r w:rsidRPr="002B2483">
        <w:rPr>
          <w:rFonts w:ascii="VIC" w:eastAsia="Times" w:hAnsi="VIC"/>
          <w:lang w:eastAsia="en-US"/>
        </w:rPr>
        <w:t xml:space="preserve"> opportunity to </w:t>
      </w:r>
      <w:r w:rsidR="00575A69">
        <w:rPr>
          <w:rFonts w:ascii="VIC" w:eastAsia="Times" w:hAnsi="VIC"/>
          <w:lang w:eastAsia="en-US"/>
        </w:rPr>
        <w:t xml:space="preserve">regularly </w:t>
      </w:r>
      <w:r w:rsidRPr="002B2483">
        <w:rPr>
          <w:rFonts w:ascii="VIC" w:eastAsia="Times" w:hAnsi="VIC"/>
          <w:lang w:eastAsia="en-US"/>
        </w:rPr>
        <w:t xml:space="preserve">evaluate the effectiveness of referral provisions in schemes. </w:t>
      </w:r>
    </w:p>
    <w:p w14:paraId="1E579665" w14:textId="7F4EF4A7" w:rsidR="000806C9" w:rsidRPr="002E7BD2" w:rsidRDefault="000806C9" w:rsidP="008860C5">
      <w:pPr>
        <w:pStyle w:val="Heading4"/>
      </w:pPr>
      <w:r w:rsidRPr="002E7BD2">
        <w:t>Use standard agreements</w:t>
      </w:r>
    </w:p>
    <w:p w14:paraId="21315020" w14:textId="750EA661" w:rsidR="000806C9" w:rsidRPr="008860C5" w:rsidRDefault="000806C9" w:rsidP="008860C5">
      <w:pPr>
        <w:pStyle w:val="BodyText10"/>
        <w:suppressAutoHyphens/>
        <w:spacing w:before="120" w:after="0" w:line="288" w:lineRule="auto"/>
        <w:ind w:left="0"/>
        <w:rPr>
          <w:rFonts w:ascii="VIC" w:eastAsia="Times" w:hAnsi="VIC"/>
          <w:lang w:eastAsia="en-US"/>
        </w:rPr>
      </w:pPr>
      <w:r w:rsidRPr="008860C5">
        <w:rPr>
          <w:rFonts w:ascii="VIC" w:eastAsia="Times" w:hAnsi="VIC"/>
          <w:lang w:eastAsia="en-US"/>
        </w:rPr>
        <w:t xml:space="preserve">The referral and notice requirements of </w:t>
      </w:r>
      <w:r w:rsidR="004D0191">
        <w:rPr>
          <w:rFonts w:ascii="VIC" w:eastAsia="Times" w:hAnsi="VIC"/>
          <w:lang w:eastAsia="en-US"/>
        </w:rPr>
        <w:t>c</w:t>
      </w:r>
      <w:r w:rsidRPr="008860C5">
        <w:rPr>
          <w:rFonts w:ascii="VIC" w:eastAsia="Times" w:hAnsi="VIC"/>
          <w:lang w:eastAsia="en-US"/>
        </w:rPr>
        <w:t xml:space="preserve">lause 66 do not apply if, in the opinion of the responsible authority, the proposal satisfies requirements or conditions previously agreed in writing between the responsible authority and the referral authority. Avoiding the need to refer applications can speed up decisions. </w:t>
      </w:r>
    </w:p>
    <w:p w14:paraId="7BDB8E46" w14:textId="77777777" w:rsidR="000806C9" w:rsidRPr="008860C5" w:rsidRDefault="000806C9" w:rsidP="008860C5">
      <w:pPr>
        <w:pStyle w:val="BodyText10"/>
        <w:suppressAutoHyphens/>
        <w:spacing w:before="120" w:after="0" w:line="288" w:lineRule="auto"/>
        <w:ind w:left="0"/>
        <w:rPr>
          <w:rFonts w:ascii="VIC" w:eastAsia="Times" w:hAnsi="VIC"/>
          <w:lang w:eastAsia="en-US"/>
        </w:rPr>
      </w:pPr>
      <w:r w:rsidRPr="008860C5">
        <w:rPr>
          <w:rFonts w:ascii="VIC" w:eastAsia="Times" w:hAnsi="VIC"/>
          <w:lang w:eastAsia="en-US"/>
        </w:rPr>
        <w:t xml:space="preserve">An agreement may specify standard conditions that must be included on any permit granted. It may also specify requirements, which if satisfied by the proposal, means that the application does not need to be referred.  </w:t>
      </w:r>
    </w:p>
    <w:p w14:paraId="30EE0B8A" w14:textId="77777777" w:rsidR="000806C9" w:rsidRDefault="000806C9" w:rsidP="008860C5">
      <w:pPr>
        <w:pStyle w:val="BodyText10"/>
        <w:suppressAutoHyphens/>
        <w:spacing w:before="120" w:after="0" w:line="288" w:lineRule="auto"/>
        <w:ind w:left="0"/>
        <w:rPr>
          <w:rFonts w:ascii="VIC" w:eastAsia="Times" w:hAnsi="VIC"/>
          <w:lang w:eastAsia="en-US"/>
        </w:rPr>
      </w:pPr>
      <w:r w:rsidRPr="008860C5">
        <w:rPr>
          <w:rFonts w:ascii="VIC" w:eastAsia="Times" w:hAnsi="VIC"/>
          <w:lang w:eastAsia="en-US"/>
        </w:rPr>
        <w:t>Agreements must be clear, easy to understand and publicly available (preferably on the responsible authority’s website).</w:t>
      </w:r>
    </w:p>
    <w:p w14:paraId="16B96EA4" w14:textId="71D20266" w:rsidR="00615CBD" w:rsidRPr="00361E71" w:rsidRDefault="00615CBD" w:rsidP="00615CBD">
      <w:pPr>
        <w:pStyle w:val="Heading4"/>
      </w:pPr>
      <w:r w:rsidRPr="00361E71">
        <w:t>Specify standard conditions and requirements in the planning scheme</w:t>
      </w:r>
    </w:p>
    <w:p w14:paraId="62D64F42" w14:textId="77777777" w:rsidR="00615CBD" w:rsidRDefault="00615CBD" w:rsidP="00615CBD">
      <w:pPr>
        <w:pStyle w:val="BodyText1"/>
      </w:pPr>
      <w:r>
        <w:t xml:space="preserve">To avoid unnecessary referrals and delays, responsible authorities and referral authorities should consider </w:t>
      </w:r>
      <w:r w:rsidRPr="005A2725">
        <w:t>including appropriately drafted standard</w:t>
      </w:r>
      <w:r>
        <w:t xml:space="preserve"> conditions and requirements in the planning scheme. If a referral authority’s standard permit conditions can be applied across all planning </w:t>
      </w:r>
      <w:proofErr w:type="gramStart"/>
      <w:r>
        <w:t>schemes</w:t>
      </w:r>
      <w:proofErr w:type="gramEnd"/>
      <w:r>
        <w:t xml:space="preserve"> then they should be included in a state standard provision. Otherwise, the relevant provision may enable permit conditions to be included in a local schedule. </w:t>
      </w:r>
      <w:r w:rsidRPr="00BA0BD1">
        <w:t>Section 62(1)(a)</w:t>
      </w:r>
      <w:r>
        <w:t xml:space="preserve"> of the Act requires the responsible authority to include in a permit any condition that the planning scheme requires to be included.</w:t>
      </w:r>
    </w:p>
    <w:p w14:paraId="52AB9455" w14:textId="77777777" w:rsidR="00615CBD" w:rsidRDefault="00615CBD" w:rsidP="00615CBD">
      <w:pPr>
        <w:pStyle w:val="BodyText1"/>
      </w:pPr>
      <w:r>
        <w:t xml:space="preserve">Some planning scheme provisions also enable application requirements to be included in a local schedule. </w:t>
      </w:r>
      <w:bookmarkStart w:id="266" w:name="_Hlk33597769"/>
      <w:r>
        <w:t xml:space="preserve">If a referral authority routinely requests specific information about </w:t>
      </w:r>
      <w:proofErr w:type="gramStart"/>
      <w:r>
        <w:t>particular kinds</w:t>
      </w:r>
      <w:proofErr w:type="gramEnd"/>
      <w:r>
        <w:t xml:space="preserve"> of applications, this information should be included as a standard application requirement in the schedule</w:t>
      </w:r>
      <w:bookmarkEnd w:id="266"/>
      <w:r>
        <w:t xml:space="preserve">. Under </w:t>
      </w:r>
      <w:r w:rsidRPr="00BA0BD1">
        <w:t>section 47(1)(c)</w:t>
      </w:r>
      <w:r>
        <w:t xml:space="preserve"> of the Act, an application must be accompanied by information required by the scheme.</w:t>
      </w:r>
    </w:p>
    <w:p w14:paraId="1B66564D" w14:textId="77777777" w:rsidR="00615CBD" w:rsidRDefault="00615CBD" w:rsidP="00615CBD">
      <w:pPr>
        <w:pStyle w:val="BodyText1"/>
      </w:pPr>
      <w:r>
        <w:lastRenderedPageBreak/>
        <w:t>It may also be possible to incorporate a referral authority’s requirements into the description of the kind of application that must be referred. For example, if the referral authority is only interested in development applications within 30 metres of a waterway, this requirement could be included in the referral provision so that applications outside this distance do not need to be referred.</w:t>
      </w:r>
    </w:p>
    <w:p w14:paraId="26DE835B" w14:textId="7131C37A" w:rsidR="003227EF" w:rsidRPr="00361E71" w:rsidRDefault="003227EF" w:rsidP="003227EF">
      <w:pPr>
        <w:pStyle w:val="Heading4"/>
      </w:pPr>
      <w:r w:rsidRPr="00361E71">
        <w:t>Change from a determining referral authority to a recommending referral authority</w:t>
      </w:r>
    </w:p>
    <w:p w14:paraId="4161FEEB" w14:textId="740F45CF" w:rsidR="003227EF" w:rsidRDefault="003227EF" w:rsidP="003227EF">
      <w:pPr>
        <w:pStyle w:val="BodyText1"/>
      </w:pPr>
      <w:r>
        <w:t>Some existing determining referral authorities may provide specialist or technical advice to the responsible authority that:</w:t>
      </w:r>
    </w:p>
    <w:p w14:paraId="677D5470" w14:textId="77777777" w:rsidR="003227EF" w:rsidRDefault="003227EF" w:rsidP="003227EF">
      <w:pPr>
        <w:pStyle w:val="DELWPbullet1"/>
      </w:pPr>
      <w:r>
        <w:t>assists the responsible authority in making an informed decision on an application but does not need to direct the outcome of the application</w:t>
      </w:r>
    </w:p>
    <w:p w14:paraId="4E1D2913" w14:textId="77777777" w:rsidR="003227EF" w:rsidRDefault="003227EF" w:rsidP="003227EF">
      <w:pPr>
        <w:pStyle w:val="DELWPbullet1"/>
      </w:pPr>
      <w:r>
        <w:t>needs to be balanced against other scheme requirements to achieve a net community benefit or produce acceptable state and local policy outcomes.</w:t>
      </w:r>
    </w:p>
    <w:p w14:paraId="12F67C0D" w14:textId="69673B6A" w:rsidR="003227EF" w:rsidRDefault="003227EF" w:rsidP="003227EF">
      <w:pPr>
        <w:pStyle w:val="DELWPbodyafterbullets"/>
      </w:pPr>
      <w:r>
        <w:t>In these circumstances, consider whether the status of the referral authority should be changed from a determining referral authority to a recommending referral authority. A planning scheme amendment will be required to make this change.</w:t>
      </w:r>
    </w:p>
    <w:p w14:paraId="59D24B30" w14:textId="77777777" w:rsidR="004908D3" w:rsidRPr="00361E71" w:rsidRDefault="004908D3" w:rsidP="004908D3">
      <w:pPr>
        <w:pStyle w:val="Heading4"/>
      </w:pPr>
      <w:r w:rsidRPr="00361E71">
        <w:t>Give notice rather than require referral</w:t>
      </w:r>
    </w:p>
    <w:p w14:paraId="2C77A83A" w14:textId="77777777" w:rsidR="00A27856" w:rsidRPr="00A27856" w:rsidRDefault="00A27856" w:rsidP="00A27856">
      <w:pPr>
        <w:pStyle w:val="BodyText10"/>
        <w:suppressAutoHyphens/>
        <w:spacing w:before="120" w:after="0" w:line="288" w:lineRule="auto"/>
        <w:ind w:left="0"/>
        <w:rPr>
          <w:rFonts w:ascii="VIC" w:eastAsia="Times" w:hAnsi="VIC"/>
          <w:lang w:eastAsia="en-US"/>
        </w:rPr>
      </w:pPr>
      <w:r w:rsidRPr="00A27856">
        <w:rPr>
          <w:rFonts w:ascii="VIC" w:eastAsia="Times" w:hAnsi="VIC"/>
          <w:lang w:eastAsia="en-US"/>
        </w:rPr>
        <w:t xml:space="preserve">A planning scheme can require that specified persons be given notice of </w:t>
      </w:r>
      <w:proofErr w:type="gramStart"/>
      <w:r w:rsidRPr="00A27856">
        <w:rPr>
          <w:rFonts w:ascii="VIC" w:eastAsia="Times" w:hAnsi="VIC"/>
          <w:lang w:eastAsia="en-US"/>
        </w:rPr>
        <w:t>particular kinds</w:t>
      </w:r>
      <w:proofErr w:type="gramEnd"/>
      <w:r w:rsidRPr="00A27856">
        <w:rPr>
          <w:rFonts w:ascii="VIC" w:eastAsia="Times" w:hAnsi="VIC"/>
          <w:lang w:eastAsia="en-US"/>
        </w:rPr>
        <w:t xml:space="preserve"> of applications in accordance </w:t>
      </w:r>
      <w:r w:rsidRPr="00D44104">
        <w:rPr>
          <w:rFonts w:ascii="VIC" w:eastAsia="Times" w:hAnsi="VIC"/>
          <w:lang w:eastAsia="en-US"/>
        </w:rPr>
        <w:t>with section 52(1)(c)</w:t>
      </w:r>
      <w:r w:rsidRPr="00A27856">
        <w:rPr>
          <w:rFonts w:ascii="VIC" w:eastAsia="Times" w:hAnsi="VIC"/>
          <w:lang w:eastAsia="en-US"/>
        </w:rPr>
        <w:t xml:space="preserve"> of the Act. Under section 38 of the </w:t>
      </w:r>
      <w:r w:rsidRPr="00A27856">
        <w:rPr>
          <w:rFonts w:ascii="VIC" w:eastAsia="Times" w:hAnsi="VIC"/>
          <w:i/>
          <w:iCs/>
          <w:lang w:eastAsia="en-US"/>
        </w:rPr>
        <w:t>Interpretation of Legislation Act 1984</w:t>
      </w:r>
      <w:r w:rsidRPr="00A27856">
        <w:rPr>
          <w:rFonts w:ascii="VIC" w:eastAsia="Times" w:hAnsi="VIC"/>
          <w:lang w:eastAsia="en-US"/>
        </w:rPr>
        <w:t xml:space="preserve"> a ‘person’ includes a body politic (for example, a government department or authority) or corporate as well as an individual.  </w:t>
      </w:r>
    </w:p>
    <w:p w14:paraId="38EABAD3" w14:textId="7BA183BF" w:rsidR="00A27856" w:rsidRPr="00A27856" w:rsidRDefault="00A27856" w:rsidP="00A27856">
      <w:pPr>
        <w:pStyle w:val="BodyText10"/>
        <w:suppressAutoHyphens/>
        <w:spacing w:before="120" w:after="0" w:line="288" w:lineRule="auto"/>
        <w:ind w:left="0"/>
        <w:rPr>
          <w:rFonts w:ascii="VIC" w:eastAsia="Times" w:hAnsi="VIC"/>
          <w:lang w:eastAsia="en-US"/>
        </w:rPr>
      </w:pPr>
      <w:r w:rsidRPr="00A27856">
        <w:rPr>
          <w:rFonts w:ascii="VIC" w:eastAsia="Times" w:hAnsi="VIC"/>
          <w:lang w:eastAsia="en-US"/>
        </w:rPr>
        <w:t>A person or body given notice under</w:t>
      </w:r>
      <w:r w:rsidR="00FF32BE">
        <w:rPr>
          <w:rFonts w:ascii="VIC" w:eastAsia="Times" w:hAnsi="VIC"/>
          <w:lang w:eastAsia="en-US"/>
        </w:rPr>
        <w:t xml:space="preserve"> </w:t>
      </w:r>
      <w:r w:rsidR="00FF32BE" w:rsidRPr="00D44104">
        <w:rPr>
          <w:rFonts w:ascii="VIC" w:eastAsia="Times" w:hAnsi="VIC"/>
          <w:lang w:eastAsia="en-US"/>
        </w:rPr>
        <w:t>section</w:t>
      </w:r>
      <w:r w:rsidRPr="00D44104">
        <w:rPr>
          <w:rFonts w:ascii="VIC" w:eastAsia="Times" w:hAnsi="VIC"/>
          <w:lang w:eastAsia="en-US"/>
        </w:rPr>
        <w:t xml:space="preserve"> 52(1)(c)</w:t>
      </w:r>
      <w:r w:rsidRPr="00A27856">
        <w:rPr>
          <w:rFonts w:ascii="VIC" w:eastAsia="Times" w:hAnsi="VIC"/>
          <w:lang w:eastAsia="en-US"/>
        </w:rPr>
        <w:t xml:space="preserve"> of the Act has the same rights and obligations as any other person given notice of an application.</w:t>
      </w:r>
    </w:p>
    <w:p w14:paraId="1DC59D33" w14:textId="172DC0DC" w:rsidR="00921007" w:rsidRDefault="004908D3" w:rsidP="004908D3">
      <w:pPr>
        <w:pStyle w:val="BodyText1"/>
      </w:pPr>
      <w:r>
        <w:t xml:space="preserve">Consider whether giving notice of the application would meet the referral authority’s requirements instead of referring the application. </w:t>
      </w:r>
      <w:r w:rsidR="00FF32BE">
        <w:t>A</w:t>
      </w:r>
      <w:r w:rsidR="00A04DD2">
        <w:t xml:space="preserve"> </w:t>
      </w:r>
      <w:r w:rsidR="00A04DD2" w:rsidRPr="00BA0BD1">
        <w:t>section 52(1)(c)</w:t>
      </w:r>
      <w:r w:rsidR="00A04DD2" w:rsidRPr="00A04DD2">
        <w:rPr>
          <w:rStyle w:val="Strong"/>
        </w:rPr>
        <w:t xml:space="preserve"> n</w:t>
      </w:r>
      <w:r w:rsidR="00A04DD2">
        <w:t>otice may be appropriate i</w:t>
      </w:r>
      <w:r>
        <w:t>f the referral authority needs to be made aware of an application but does not need to</w:t>
      </w:r>
      <w:r w:rsidR="00921007">
        <w:t>:</w:t>
      </w:r>
    </w:p>
    <w:p w14:paraId="55B38DDA" w14:textId="514C79B5" w:rsidR="00921007" w:rsidRDefault="004908D3" w:rsidP="00FF32BE">
      <w:pPr>
        <w:pStyle w:val="DELWPbullet1"/>
      </w:pPr>
      <w:r>
        <w:t>receive a copy of the application</w:t>
      </w:r>
    </w:p>
    <w:p w14:paraId="1FB07597" w14:textId="60AEB686" w:rsidR="004908D3" w:rsidRDefault="004908D3" w:rsidP="00FF32BE">
      <w:pPr>
        <w:pStyle w:val="DELWPbullet1"/>
      </w:pPr>
      <w:r>
        <w:t>direct the outcome of the application.</w:t>
      </w:r>
    </w:p>
    <w:p w14:paraId="12438E0B" w14:textId="50D6EE34" w:rsidR="00526E59" w:rsidRDefault="009B14AF" w:rsidP="004F6A20">
      <w:pPr>
        <w:pStyle w:val="Heading3"/>
      </w:pPr>
      <w:r>
        <w:t>5.4.4</w:t>
      </w:r>
      <w:r>
        <w:tab/>
      </w:r>
      <w:r w:rsidR="001A4949">
        <w:t xml:space="preserve"> I</w:t>
      </w:r>
      <w:r w:rsidR="00526E59">
        <w:t xml:space="preserve">ntroducing new referral </w:t>
      </w:r>
      <w:r w:rsidR="00C227A5">
        <w:t xml:space="preserve">or notice </w:t>
      </w:r>
      <w:r w:rsidR="00526E59">
        <w:t>requirements</w:t>
      </w:r>
    </w:p>
    <w:p w14:paraId="489C737F" w14:textId="0255023D" w:rsidR="00754143" w:rsidRPr="00361E71" w:rsidRDefault="00AB2C0B" w:rsidP="00526E59">
      <w:pPr>
        <w:pStyle w:val="Heading4"/>
      </w:pPr>
      <w:r w:rsidRPr="00361E71">
        <w:t>When should a section 55 referral requirement be included in a planning scheme?</w:t>
      </w:r>
    </w:p>
    <w:p w14:paraId="489C7380" w14:textId="77777777" w:rsidR="00754143" w:rsidRDefault="00AB2C0B" w:rsidP="002E55BC">
      <w:pPr>
        <w:pStyle w:val="BodyText1"/>
      </w:pPr>
      <w:r>
        <w:t xml:space="preserve">A new </w:t>
      </w:r>
      <w:r w:rsidRPr="00BA0BD1">
        <w:t>section 55</w:t>
      </w:r>
      <w:r>
        <w:t xml:space="preserve"> referral should only be introduced where either:</w:t>
      </w:r>
    </w:p>
    <w:p w14:paraId="489C7381" w14:textId="77777777" w:rsidR="00DC2411" w:rsidRDefault="00AB2C0B" w:rsidP="00723A0D">
      <w:pPr>
        <w:pStyle w:val="DELWPbullet1"/>
      </w:pPr>
      <w:r>
        <w:t>the decision of the referral authority must direct the outcome of the application (a determining referral authority)</w:t>
      </w:r>
    </w:p>
    <w:p w14:paraId="489C7382" w14:textId="77777777" w:rsidR="00DC2411" w:rsidRDefault="00AB2C0B" w:rsidP="00723A0D">
      <w:pPr>
        <w:pStyle w:val="DELWPbullet1"/>
      </w:pPr>
      <w:r>
        <w:t xml:space="preserve">the referral authority’s specialist or technical advice is necessary for the responsible authority to properly assess and decide the </w:t>
      </w:r>
      <w:proofErr w:type="gramStart"/>
      <w:r>
        <w:t>application, but</w:t>
      </w:r>
      <w:proofErr w:type="gramEnd"/>
      <w:r>
        <w:t xml:space="preserve"> does not need to direct the outcome (a recommending referral authority).</w:t>
      </w:r>
    </w:p>
    <w:p w14:paraId="489C7383" w14:textId="77777777" w:rsidR="00754143" w:rsidRDefault="00AB2C0B" w:rsidP="002E55BC">
      <w:pPr>
        <w:pStyle w:val="DELWPbodyafterbullets"/>
      </w:pPr>
      <w:r w:rsidRPr="009137A3">
        <w:t xml:space="preserve">A </w:t>
      </w:r>
      <w:r w:rsidRPr="00BA0BD1">
        <w:t>section 55</w:t>
      </w:r>
      <w:r w:rsidRPr="009137A3">
        <w:t xml:space="preserve"> referral may be</w:t>
      </w:r>
      <w:r>
        <w:t xml:space="preserve"> appropriate where a particular type of use or development requires case by case consideration by the referral authority to ensure that:</w:t>
      </w:r>
    </w:p>
    <w:p w14:paraId="489C7384" w14:textId="77777777" w:rsidR="00DA5AF6" w:rsidRDefault="00AB2C0B" w:rsidP="00723A0D">
      <w:pPr>
        <w:pStyle w:val="DELWPbullet1"/>
      </w:pPr>
      <w:r>
        <w:lastRenderedPageBreak/>
        <w:t>implementation of a State Government policy or program is not adversely impacted, for example, the protection and management of Victoria’s biodiversity or natural resources</w:t>
      </w:r>
    </w:p>
    <w:p w14:paraId="489C7385" w14:textId="77777777" w:rsidR="00DA5AF6" w:rsidRDefault="00AB2C0B" w:rsidP="00723A0D">
      <w:pPr>
        <w:pStyle w:val="DELWPbullet1"/>
      </w:pPr>
      <w:r>
        <w:t xml:space="preserve">relevant specialist and technical advice </w:t>
      </w:r>
      <w:proofErr w:type="gramStart"/>
      <w:r>
        <w:t>is</w:t>
      </w:r>
      <w:proofErr w:type="gramEnd"/>
      <w:r>
        <w:t xml:space="preserve"> made available to the responsible authority</w:t>
      </w:r>
    </w:p>
    <w:p w14:paraId="489C7386" w14:textId="77777777" w:rsidR="00DC2411" w:rsidRDefault="00AB2C0B" w:rsidP="00723A0D">
      <w:pPr>
        <w:pStyle w:val="DELWPbullet1"/>
      </w:pPr>
      <w:r>
        <w:t>proposed use or development will satisfy criteria or standards in other applicable legislation or regulations</w:t>
      </w:r>
    </w:p>
    <w:p w14:paraId="489C7387" w14:textId="77777777" w:rsidR="00DC2411" w:rsidRDefault="00AB2C0B" w:rsidP="00723A0D">
      <w:pPr>
        <w:pStyle w:val="DELWPbullet1"/>
      </w:pPr>
      <w:r>
        <w:t>public assets, for example infrastructure, public open space or waterways, are protected.</w:t>
      </w:r>
    </w:p>
    <w:p w14:paraId="489C7388" w14:textId="77777777" w:rsidR="00754143" w:rsidRDefault="00AB2C0B" w:rsidP="002E55BC">
      <w:pPr>
        <w:pStyle w:val="DELWPbodyafterbullets"/>
      </w:pPr>
      <w:r>
        <w:t>Before introducing a new referral requirement, planning authorities and potential referral authorities should consider the following questions:</w:t>
      </w:r>
    </w:p>
    <w:p w14:paraId="489C7389" w14:textId="1B51798A" w:rsidR="00DC2411" w:rsidRDefault="00AB2C0B" w:rsidP="00723A0D">
      <w:pPr>
        <w:pStyle w:val="DELWPbullet1"/>
      </w:pPr>
      <w:r>
        <w:t>What are the reasons for the referral? How do they relate to the purpose of the planning scheme provision that triggers the application?</w:t>
      </w:r>
      <w:r w:rsidR="004F3E24">
        <w:t xml:space="preserve"> </w:t>
      </w:r>
    </w:p>
    <w:p w14:paraId="489C738A" w14:textId="77777777" w:rsidR="00DC2411" w:rsidRDefault="00AB2C0B" w:rsidP="00723A0D">
      <w:pPr>
        <w:pStyle w:val="DELWPbullet1"/>
      </w:pPr>
      <w:r>
        <w:t xml:space="preserve">Should the decision of the referral authority direct the outcome of the </w:t>
      </w:r>
      <w:proofErr w:type="gramStart"/>
      <w:r>
        <w:t>application</w:t>
      </w:r>
      <w:proofErr w:type="gramEnd"/>
      <w:r>
        <w:t xml:space="preserve"> or should it be advisory only?</w:t>
      </w:r>
    </w:p>
    <w:p w14:paraId="489C738B" w14:textId="77777777" w:rsidR="00DA5AF6" w:rsidRDefault="00AB2C0B" w:rsidP="00723A0D">
      <w:pPr>
        <w:pStyle w:val="DELWPbullet1"/>
      </w:pPr>
      <w:r>
        <w:t>Does the referral authority have resources and processes in place to ensure timely and effective advice, and to comply with the duties and requirements of the Act and Regulations?</w:t>
      </w:r>
    </w:p>
    <w:p w14:paraId="489C738C" w14:textId="77777777" w:rsidR="00DA5AF6" w:rsidRDefault="00AB2C0B" w:rsidP="00723A0D">
      <w:pPr>
        <w:pStyle w:val="DELWPbullet1"/>
      </w:pPr>
      <w:r>
        <w:t xml:space="preserve">Will a referral provide a simple and effective means of implementing the referral authority’s objectives? Would other mechanisms, for example, a notice requirement under </w:t>
      </w:r>
      <w:r w:rsidRPr="00BA0BD1">
        <w:t>section 52(1)(c)</w:t>
      </w:r>
      <w:r>
        <w:t xml:space="preserve"> of the Act, be more effective?</w:t>
      </w:r>
    </w:p>
    <w:p w14:paraId="489C738D" w14:textId="77777777" w:rsidR="00DC2411" w:rsidRDefault="00AB2C0B" w:rsidP="00723A0D">
      <w:pPr>
        <w:pStyle w:val="DELWPbullet1"/>
      </w:pPr>
      <w:r>
        <w:t>Can standard conditions and requirements be specified in an agreement between the referral authority and the responsible authority or in the planning scheme to avoid unnecessary referrals and delays?</w:t>
      </w:r>
    </w:p>
    <w:p w14:paraId="489C738E" w14:textId="77777777" w:rsidR="00DC2411" w:rsidRDefault="00AB2C0B" w:rsidP="00723A0D">
      <w:pPr>
        <w:pStyle w:val="DELWPbullet1"/>
      </w:pPr>
      <w:r>
        <w:t>Can the description in the planning scheme of the kind of application that must be referred be drafted to avoid unnecessary referrals?</w:t>
      </w:r>
    </w:p>
    <w:p w14:paraId="489C738F" w14:textId="44060ED6" w:rsidR="00754143" w:rsidRDefault="00AB2C0B" w:rsidP="002E55BC">
      <w:pPr>
        <w:pStyle w:val="DELWPbodyafterbullets"/>
      </w:pPr>
      <w:bookmarkStart w:id="267" w:name="_Hlk33597853"/>
      <w:r>
        <w:t xml:space="preserve">A referral authority should not be specified in the planning scheme simply because they may be useful in assessing certain types of applications or be used as a substitute for the responsible authority’s own assessment of the </w:t>
      </w:r>
      <w:r w:rsidRPr="007A2C76">
        <w:t>application</w:t>
      </w:r>
      <w:r w:rsidR="006A17CE" w:rsidRPr="007A2C76">
        <w:t xml:space="preserve"> or if the existing powers of the authority under other legislation are duplicated through planning</w:t>
      </w:r>
      <w:r w:rsidR="00856A74" w:rsidRPr="007A2C76">
        <w:t>.</w:t>
      </w:r>
    </w:p>
    <w:p w14:paraId="489C7390" w14:textId="77777777" w:rsidR="00754143" w:rsidRDefault="00AB2C0B" w:rsidP="002E55BC">
      <w:pPr>
        <w:pStyle w:val="BodyText1"/>
      </w:pPr>
      <w:r>
        <w:t>An amendment to a planning scheme to specify a person or body as a referral authority should only be prepared with the agreement of that person of body.</w:t>
      </w:r>
    </w:p>
    <w:bookmarkEnd w:id="267"/>
    <w:p w14:paraId="489C7391" w14:textId="1913F200" w:rsidR="00754143" w:rsidRPr="00361E71" w:rsidRDefault="00AB2C0B" w:rsidP="00526E59">
      <w:pPr>
        <w:pStyle w:val="Heading4"/>
      </w:pPr>
      <w:r w:rsidRPr="00361E71">
        <w:t>When should a section 52 notice requirement be included in a planning scheme?</w:t>
      </w:r>
    </w:p>
    <w:p w14:paraId="489C7392" w14:textId="77777777" w:rsidR="00754143" w:rsidRDefault="00AB2C0B" w:rsidP="002E55BC">
      <w:pPr>
        <w:pStyle w:val="BodyText1"/>
      </w:pPr>
      <w:r>
        <w:t xml:space="preserve">A </w:t>
      </w:r>
      <w:r w:rsidRPr="00BA0BD1">
        <w:t>section 52</w:t>
      </w:r>
      <w:r>
        <w:t xml:space="preserve"> notice requirement should be used when the comments or advice of the person or body may influence the outcome of the application, but the circumstances do not warrant:</w:t>
      </w:r>
    </w:p>
    <w:p w14:paraId="489C7393" w14:textId="77777777" w:rsidR="00DC2411" w:rsidRDefault="00AB2C0B" w:rsidP="00723A0D">
      <w:pPr>
        <w:pStyle w:val="DELWPbullet1"/>
      </w:pPr>
      <w:r>
        <w:t>that person or body receiving a copy of the application and prescribed information</w:t>
      </w:r>
    </w:p>
    <w:p w14:paraId="489C7394" w14:textId="77777777" w:rsidR="00DA5AF6" w:rsidRDefault="00AB2C0B" w:rsidP="00723A0D">
      <w:pPr>
        <w:pStyle w:val="DELWPbullet1"/>
      </w:pPr>
      <w:r>
        <w:t>their comments or advice directing the outcome of the application.</w:t>
      </w:r>
    </w:p>
    <w:p w14:paraId="489C7395" w14:textId="2B45FD57" w:rsidR="00754143" w:rsidRDefault="00AB2C0B" w:rsidP="002E55BC">
      <w:pPr>
        <w:pStyle w:val="DELWPbodyafterbullets"/>
      </w:pPr>
      <w:r>
        <w:t xml:space="preserve">Unlike a </w:t>
      </w:r>
      <w:r w:rsidRPr="004C2B4B">
        <w:t>section 55</w:t>
      </w:r>
      <w:r>
        <w:t xml:space="preserve"> referral, under </w:t>
      </w:r>
      <w:r w:rsidRPr="00BA0BD1">
        <w:t>section 52(1)(c)</w:t>
      </w:r>
      <w:r w:rsidR="008C653D" w:rsidRPr="00BA0BD1">
        <w:t>,</w:t>
      </w:r>
      <w:r w:rsidRPr="007E64CD">
        <w:rPr>
          <w:rStyle w:val="Strong"/>
        </w:rPr>
        <w:t xml:space="preserve"> </w:t>
      </w:r>
      <w:r>
        <w:t>only notice of the application is required to be given, not a copy of the application. Before including a new notice requirement</w:t>
      </w:r>
      <w:r w:rsidR="00794BB0">
        <w:t xml:space="preserve"> in the planning scheme</w:t>
      </w:r>
      <w:r>
        <w:t xml:space="preserve">, the </w:t>
      </w:r>
      <w:r w:rsidR="00794BB0">
        <w:t>planning</w:t>
      </w:r>
      <w:r>
        <w:t xml:space="preserve"> authority and the person or body to whom notice will be given may agree on additional information from the application that will accompany the notice. Otherwise, it is the responsibility of the person or body given the notice to view the application at the offices of the responsible authority.</w:t>
      </w:r>
    </w:p>
    <w:p w14:paraId="489C7396" w14:textId="6880C13D" w:rsidR="00754143" w:rsidRDefault="00F86FD6" w:rsidP="002E55BC">
      <w:pPr>
        <w:pStyle w:val="BodyText1"/>
      </w:pPr>
      <w:r>
        <w:lastRenderedPageBreak/>
        <w:t>Questions to consider b</w:t>
      </w:r>
      <w:r w:rsidR="00AB2C0B">
        <w:t>efore introducing a new notice requirement:</w:t>
      </w:r>
    </w:p>
    <w:p w14:paraId="489C7397" w14:textId="77777777" w:rsidR="00DA5AF6" w:rsidRDefault="00AB2C0B" w:rsidP="00723A0D">
      <w:pPr>
        <w:pStyle w:val="DELWPbullet1"/>
      </w:pPr>
      <w:r>
        <w:t>What are the reasons for the giving of notice?</w:t>
      </w:r>
    </w:p>
    <w:p w14:paraId="489C7398" w14:textId="77777777" w:rsidR="00DC2411" w:rsidRDefault="00AB2C0B" w:rsidP="00723A0D">
      <w:pPr>
        <w:pStyle w:val="DELWPbullet1"/>
      </w:pPr>
      <w:r>
        <w:t>Why would the person or body have a special interest in that kind of application?</w:t>
      </w:r>
    </w:p>
    <w:p w14:paraId="489C7399" w14:textId="77777777" w:rsidR="00DC2411" w:rsidRDefault="00AB2C0B" w:rsidP="00723A0D">
      <w:pPr>
        <w:pStyle w:val="DELWPbullet1"/>
      </w:pPr>
      <w:r>
        <w:t>Should additional information about the application accompany the notice?</w:t>
      </w:r>
    </w:p>
    <w:p w14:paraId="489C739A" w14:textId="77777777" w:rsidR="00DC2411" w:rsidRDefault="00AB2C0B" w:rsidP="00723A0D">
      <w:pPr>
        <w:pStyle w:val="DELWPbullet1"/>
      </w:pPr>
      <w:r>
        <w:t>Does the person or body have adequate resources and processes in place to respond to a notice?</w:t>
      </w:r>
    </w:p>
    <w:p w14:paraId="489C739B" w14:textId="77777777" w:rsidR="00DC2411" w:rsidRDefault="00AB2C0B" w:rsidP="00723A0D">
      <w:pPr>
        <w:pStyle w:val="DELWPbullet1"/>
      </w:pPr>
      <w:r>
        <w:t xml:space="preserve">How can the description of the kind of application that the new notice requirement will apply to be drafted </w:t>
      </w:r>
      <w:proofErr w:type="gramStart"/>
      <w:r>
        <w:t>so as to</w:t>
      </w:r>
      <w:proofErr w:type="gramEnd"/>
      <w:r>
        <w:t xml:space="preserve"> avoid giving unnecessary notice?</w:t>
      </w:r>
    </w:p>
    <w:p w14:paraId="5671C290" w14:textId="55112210" w:rsidR="0096466C" w:rsidRDefault="000568AF" w:rsidP="000568AF">
      <w:pPr>
        <w:pStyle w:val="DELWPbullet1"/>
        <w:numPr>
          <w:ilvl w:val="0"/>
          <w:numId w:val="0"/>
        </w:numPr>
      </w:pPr>
      <w:r>
        <w:t xml:space="preserve">See </w:t>
      </w:r>
      <w:hyperlink r:id="rId33" w:history="1">
        <w:r w:rsidRPr="000568AF">
          <w:rPr>
            <w:rStyle w:val="Hyperlink"/>
            <w:i/>
            <w:iCs/>
          </w:rPr>
          <w:t>Using Victoria’s Planning System</w:t>
        </w:r>
      </w:hyperlink>
      <w:r w:rsidRPr="000568AF">
        <w:rPr>
          <w:i/>
          <w:iCs/>
        </w:rPr>
        <w:t xml:space="preserve"> </w:t>
      </w:r>
      <w:r>
        <w:t>for more information.</w:t>
      </w:r>
    </w:p>
    <w:p w14:paraId="489C739D" w14:textId="7BD99C30" w:rsidR="00DC2411" w:rsidRPr="00986209" w:rsidRDefault="00AC515F" w:rsidP="00BA6981">
      <w:pPr>
        <w:pStyle w:val="Heading2"/>
      </w:pPr>
      <w:bookmarkStart w:id="268" w:name="_5.5_Creating_a"/>
      <w:bookmarkStart w:id="269" w:name="_Ref528680057"/>
      <w:bookmarkStart w:id="270" w:name="_Ref528680107"/>
      <w:bookmarkStart w:id="271" w:name="_Toc158706986"/>
      <w:bookmarkEnd w:id="268"/>
      <w:r>
        <w:t>5.5</w:t>
      </w:r>
      <w:r>
        <w:tab/>
      </w:r>
      <w:r w:rsidR="00AB2C0B" w:rsidRPr="00986209">
        <w:t xml:space="preserve">Creating a </w:t>
      </w:r>
      <w:r w:rsidR="00AB2C0B" w:rsidRPr="00210DBA">
        <w:t>schedule</w:t>
      </w:r>
      <w:r w:rsidR="00AB2C0B" w:rsidRPr="00986209">
        <w:t xml:space="preserve"> to a general or administrative </w:t>
      </w:r>
      <w:r w:rsidR="00696F87">
        <w:tab/>
      </w:r>
      <w:r w:rsidR="00AB2C0B" w:rsidRPr="00986209">
        <w:t>provision</w:t>
      </w:r>
      <w:bookmarkEnd w:id="269"/>
      <w:bookmarkEnd w:id="270"/>
      <w:bookmarkEnd w:id="271"/>
    </w:p>
    <w:p w14:paraId="489C739E" w14:textId="3BA04653" w:rsidR="00754143" w:rsidRDefault="00AB2C0B" w:rsidP="002E55BC">
      <w:pPr>
        <w:pStyle w:val="BodyText1"/>
      </w:pPr>
      <w:r>
        <w:t xml:space="preserve">The schedules to the provisions of </w:t>
      </w:r>
      <w:r w:rsidR="001F616D" w:rsidRPr="00BA0BD1">
        <w:t>c</w:t>
      </w:r>
      <w:r w:rsidRPr="00BA0BD1">
        <w:t>lause 72</w:t>
      </w:r>
      <w:r>
        <w:t xml:space="preserve"> are primarily determined by the </w:t>
      </w:r>
      <w:r w:rsidRPr="00ED6D42">
        <w:rPr>
          <w:i/>
          <w:iCs/>
        </w:rPr>
        <w:t>Ministerial Direction</w:t>
      </w:r>
      <w:r w:rsidR="00ED6D42">
        <w:t xml:space="preserve"> -</w:t>
      </w:r>
      <w:r>
        <w:t xml:space="preserve"> </w:t>
      </w:r>
      <w:r w:rsidRPr="007E64CD">
        <w:rPr>
          <w:rStyle w:val="Emphasis"/>
        </w:rPr>
        <w:t>The Form and Content of Planning Schemes</w:t>
      </w:r>
      <w:r>
        <w:t>.</w:t>
      </w:r>
      <w:r w:rsidR="00DA5AF6">
        <w:t xml:space="preserve"> </w:t>
      </w:r>
      <w:r>
        <w:t>However, they do contain some elements that must be modified by the planning authority.</w:t>
      </w:r>
    </w:p>
    <w:p w14:paraId="489C739F" w14:textId="4D70FBF8" w:rsidR="00CB429B" w:rsidRPr="00361E71" w:rsidRDefault="006A4D41" w:rsidP="004F6A20">
      <w:pPr>
        <w:pStyle w:val="Heading3"/>
      </w:pPr>
      <w:r>
        <w:t>5.5.1</w:t>
      </w:r>
      <w:r>
        <w:tab/>
      </w:r>
      <w:r w:rsidR="00BB5269">
        <w:tab/>
      </w:r>
      <w:r w:rsidR="00AB2C0B" w:rsidRPr="00361E71">
        <w:t>Clause 72.01 – Responsible authority for this planning scheme</w:t>
      </w:r>
    </w:p>
    <w:p w14:paraId="489C73A0" w14:textId="11C2F54B" w:rsidR="00754143" w:rsidRDefault="00AB2C0B" w:rsidP="002E55BC">
      <w:pPr>
        <w:pStyle w:val="BodyText1"/>
      </w:pPr>
      <w:r>
        <w:t>The schedule to</w:t>
      </w:r>
      <w:r w:rsidRPr="007E64CD">
        <w:rPr>
          <w:rStyle w:val="Strong"/>
        </w:rPr>
        <w:t xml:space="preserve"> </w:t>
      </w:r>
      <w:r w:rsidR="001F616D" w:rsidRPr="00BA0BD1">
        <w:t>c</w:t>
      </w:r>
      <w:r w:rsidRPr="00BA0BD1">
        <w:t>lause 72.01</w:t>
      </w:r>
      <w:r>
        <w:t xml:space="preserve"> determines who is the responsible authority for the various functions and duties of the planning scheme.</w:t>
      </w:r>
    </w:p>
    <w:p w14:paraId="489C73A1" w14:textId="77777777" w:rsidR="00DC2411" w:rsidRPr="0068513D" w:rsidRDefault="00AB2C0B" w:rsidP="002123AF">
      <w:pPr>
        <w:pStyle w:val="Head5"/>
      </w:pPr>
      <w:r w:rsidRPr="0068513D">
        <w:t>Responsible authority for administering and enforcing this planning scheme</w:t>
      </w:r>
    </w:p>
    <w:p w14:paraId="489C73A2" w14:textId="77777777" w:rsidR="00DC2411" w:rsidRDefault="00AB2C0B" w:rsidP="002E55BC">
      <w:pPr>
        <w:pStyle w:val="BodyText1"/>
      </w:pPr>
      <w:r>
        <w:t>The responsible authority will generally be the municipal council for the area covered by the planning scheme. The following wording should be used:</w:t>
      </w:r>
    </w:p>
    <w:tbl>
      <w:tblPr>
        <w:tblStyle w:val="DELWPhighlighttable"/>
        <w:tblW w:w="0" w:type="auto"/>
        <w:tblInd w:w="0" w:type="dxa"/>
        <w:tblLook w:val="0400" w:firstRow="0" w:lastRow="0" w:firstColumn="0" w:lastColumn="0" w:noHBand="0" w:noVBand="1"/>
      </w:tblPr>
      <w:tblGrid>
        <w:gridCol w:w="9070"/>
      </w:tblGrid>
      <w:tr w:rsidR="00686219" w14:paraId="489C73A4" w14:textId="77777777" w:rsidTr="00A830A5">
        <w:trPr>
          <w:cantSplit/>
        </w:trPr>
        <w:tc>
          <w:tcPr>
            <w:tcW w:w="9070" w:type="dxa"/>
          </w:tcPr>
          <w:p w14:paraId="489C73A3" w14:textId="1EDEAC14" w:rsidR="00686219" w:rsidRPr="006839AB" w:rsidRDefault="00716719" w:rsidP="00B95AB6">
            <w:pPr>
              <w:pStyle w:val="DELWPexamplebody"/>
              <w:spacing w:before="0" w:after="60" w:line="240" w:lineRule="auto"/>
            </w:pPr>
            <w:r w:rsidRPr="001F7393">
              <w:rPr>
                <w:color w:val="006666"/>
              </w:rPr>
              <w:t xml:space="preserve">[Municipal council] </w:t>
            </w:r>
            <w:r w:rsidRPr="001F7393">
              <w:t xml:space="preserve">is the responsible authority for administering and enforcing the </w:t>
            </w:r>
            <w:r w:rsidR="008756AD" w:rsidRPr="001F7393">
              <w:t xml:space="preserve">planning </w:t>
            </w:r>
            <w:r w:rsidRPr="001F7393">
              <w:t xml:space="preserve">scheme, except for matters specified in </w:t>
            </w:r>
            <w:r w:rsidR="004D0191">
              <w:t>c</w:t>
            </w:r>
            <w:r w:rsidRPr="001F7393">
              <w:t>lause 72.01-1 and matters listed in this schedule.</w:t>
            </w:r>
          </w:p>
        </w:tc>
      </w:tr>
    </w:tbl>
    <w:p w14:paraId="489C73A6" w14:textId="3498AF47" w:rsidR="00DC2411" w:rsidRPr="007B688D" w:rsidRDefault="00AB2C0B" w:rsidP="002123AF">
      <w:pPr>
        <w:pStyle w:val="Head5"/>
      </w:pPr>
      <w:r w:rsidRPr="007B688D">
        <w:t xml:space="preserve">Responsible authority for administering and enforcing a provision of this planning </w:t>
      </w:r>
      <w:r w:rsidRPr="007A34B5">
        <w:t>scheme</w:t>
      </w:r>
    </w:p>
    <w:p w14:paraId="489C73A7" w14:textId="77777777" w:rsidR="00DC2411" w:rsidRPr="007E64CD" w:rsidRDefault="00AB2C0B" w:rsidP="002E55BC">
      <w:pPr>
        <w:pStyle w:val="BodyText1"/>
        <w:rPr>
          <w:rStyle w:val="Emphasis"/>
        </w:rPr>
      </w:pPr>
      <w:r>
        <w:t>The planning scheme may specify a different responsible authority to the municipal council for a particular area of land or a provision in the scheme. Most commonly, the planning authority will specify that the Minister for Planning will be the responsible authority for a particular area or provision. The wording for determining an alternate responsible authority is:</w:t>
      </w:r>
    </w:p>
    <w:tbl>
      <w:tblPr>
        <w:tblStyle w:val="DELWPhighlighttable"/>
        <w:tblW w:w="9242" w:type="dxa"/>
        <w:tblInd w:w="0" w:type="dxa"/>
        <w:tblLook w:val="0400" w:firstRow="0" w:lastRow="0" w:firstColumn="0" w:lastColumn="0" w:noHBand="0" w:noVBand="1"/>
      </w:tblPr>
      <w:tblGrid>
        <w:gridCol w:w="9242"/>
      </w:tblGrid>
      <w:tr w:rsidR="00A54FB3" w14:paraId="489C73A9" w14:textId="77777777" w:rsidTr="00A830A5">
        <w:trPr>
          <w:cantSplit/>
        </w:trPr>
        <w:tc>
          <w:tcPr>
            <w:tcW w:w="9242" w:type="dxa"/>
          </w:tcPr>
          <w:p w14:paraId="489C73A8" w14:textId="10180690" w:rsidR="00A54FB3" w:rsidRPr="008C1926" w:rsidRDefault="0034169C" w:rsidP="00B95AB6">
            <w:pPr>
              <w:pStyle w:val="DELWPexamplebody"/>
              <w:spacing w:before="0" w:after="60" w:line="240" w:lineRule="auto"/>
            </w:pPr>
            <w:r w:rsidRPr="001F7393">
              <w:t xml:space="preserve">The Minister for Planning is the responsible authority for administering and enforcing the </w:t>
            </w:r>
            <w:r w:rsidR="00BD1EFD" w:rsidRPr="001F7393">
              <w:t xml:space="preserve">planning </w:t>
            </w:r>
            <w:r w:rsidRPr="001F7393">
              <w:t>scheme for:</w:t>
            </w:r>
          </w:p>
        </w:tc>
      </w:tr>
    </w:tbl>
    <w:p w14:paraId="489C73AA" w14:textId="77777777" w:rsidR="00754143" w:rsidRDefault="00AB2C0B" w:rsidP="002E55BC">
      <w:pPr>
        <w:pStyle w:val="DELWPbodyaftertablediagram"/>
      </w:pPr>
      <w:r>
        <w:t>It is not necessary to specify the various provisions of the Act or the powers the Minister for Planning may exercise as responsible authority unless those powers are not to be general in nature.</w:t>
      </w:r>
    </w:p>
    <w:p w14:paraId="489C73AB" w14:textId="77777777" w:rsidR="00DC2411" w:rsidRPr="007B688D" w:rsidRDefault="00AB2C0B" w:rsidP="002123AF">
      <w:pPr>
        <w:pStyle w:val="Head5"/>
      </w:pPr>
      <w:r w:rsidRPr="007B688D">
        <w:t>Person or responsible authority for issuing planning certificates</w:t>
      </w:r>
    </w:p>
    <w:p w14:paraId="489C73AC" w14:textId="77777777" w:rsidR="00CB429B" w:rsidRDefault="00AB2C0B" w:rsidP="002E55BC">
      <w:pPr>
        <w:pStyle w:val="BodyText1"/>
      </w:pPr>
      <w:r>
        <w:t>This will be the Minister for Planning or the responsible authority.</w:t>
      </w:r>
    </w:p>
    <w:p w14:paraId="489C73AD" w14:textId="1F9A27E3" w:rsidR="00DC2411" w:rsidRPr="001F7393" w:rsidRDefault="00AB2C0B" w:rsidP="002123AF">
      <w:pPr>
        <w:pStyle w:val="Head5"/>
      </w:pPr>
      <w:r w:rsidRPr="001F7393">
        <w:lastRenderedPageBreak/>
        <w:t xml:space="preserve">Responsible authority for </w:t>
      </w:r>
      <w:proofErr w:type="spellStart"/>
      <w:r w:rsidRPr="001F7393">
        <w:t>VicSmart</w:t>
      </w:r>
      <w:proofErr w:type="spellEnd"/>
      <w:r w:rsidRPr="001F7393">
        <w:t xml:space="preserve"> applications</w:t>
      </w:r>
    </w:p>
    <w:p w14:paraId="489C73AE" w14:textId="77777777" w:rsidR="00DC2411" w:rsidRDefault="00AB2C0B" w:rsidP="002E55BC">
      <w:pPr>
        <w:pStyle w:val="BodyText1"/>
      </w:pPr>
      <w:r w:rsidRPr="001F7393">
        <w:t>This should usually be the Chief Executive Officer of the council</w:t>
      </w:r>
      <w:r>
        <w:t>, and expressed as follows:</w:t>
      </w:r>
    </w:p>
    <w:tbl>
      <w:tblPr>
        <w:tblStyle w:val="DELWPhighlighttable"/>
        <w:tblW w:w="9242" w:type="dxa"/>
        <w:tblInd w:w="0" w:type="dxa"/>
        <w:tblLook w:val="0400" w:firstRow="0" w:lastRow="0" w:firstColumn="0" w:lastColumn="0" w:noHBand="0" w:noVBand="1"/>
      </w:tblPr>
      <w:tblGrid>
        <w:gridCol w:w="9242"/>
      </w:tblGrid>
      <w:tr w:rsidR="00B95AB6" w14:paraId="35D3D54F" w14:textId="77777777">
        <w:trPr>
          <w:cantSplit/>
        </w:trPr>
        <w:tc>
          <w:tcPr>
            <w:tcW w:w="9242" w:type="dxa"/>
          </w:tcPr>
          <w:p w14:paraId="1BC37E5F" w14:textId="3A0BA158" w:rsidR="00B95AB6" w:rsidRPr="008C1926" w:rsidRDefault="00B95AB6">
            <w:pPr>
              <w:pStyle w:val="DELWPexamplebody"/>
              <w:spacing w:before="0" w:after="60" w:line="240" w:lineRule="auto"/>
            </w:pPr>
            <w:r w:rsidRPr="00AB43A4">
              <w:t xml:space="preserve">The Chief Executive Officer of </w:t>
            </w:r>
            <w:r w:rsidRPr="00AB43A4">
              <w:rPr>
                <w:color w:val="006666"/>
              </w:rPr>
              <w:t xml:space="preserve">[municipal council] </w:t>
            </w:r>
            <w:r w:rsidRPr="00AB43A4">
              <w:t xml:space="preserve">is the responsible authority for considering and determining </w:t>
            </w:r>
            <w:proofErr w:type="spellStart"/>
            <w:r w:rsidRPr="00AB43A4">
              <w:t>VicSmart</w:t>
            </w:r>
            <w:proofErr w:type="spellEnd"/>
            <w:r w:rsidRPr="00AB43A4">
              <w:t xml:space="preserve"> applications to which </w:t>
            </w:r>
            <w:r w:rsidR="004D0191">
              <w:t>c</w:t>
            </w:r>
            <w:r w:rsidRPr="00AB43A4">
              <w:t>lause 71.06 applies, in accordance with Divisions 1, 1A, 2 and 3 of Part 4 of the Act.</w:t>
            </w:r>
          </w:p>
        </w:tc>
      </w:tr>
    </w:tbl>
    <w:p w14:paraId="489C73B1" w14:textId="19480642" w:rsidR="00754143" w:rsidRPr="00361E71" w:rsidRDefault="006A4D41" w:rsidP="004F6A20">
      <w:pPr>
        <w:pStyle w:val="Heading3"/>
      </w:pPr>
      <w:r>
        <w:t>5.5.2</w:t>
      </w:r>
      <w:r>
        <w:tab/>
      </w:r>
      <w:r w:rsidR="000B7EED">
        <w:tab/>
      </w:r>
      <w:r w:rsidR="00AB2C0B" w:rsidRPr="00D16852">
        <w:t>Clause</w:t>
      </w:r>
      <w:r w:rsidR="00AB2C0B" w:rsidRPr="00361E71">
        <w:t xml:space="preserve"> 72.02 – What area is covered by this planning scheme?</w:t>
      </w:r>
    </w:p>
    <w:p w14:paraId="489C73B2" w14:textId="77777777" w:rsidR="00DA5AF6" w:rsidRPr="007B688D" w:rsidRDefault="00AB2C0B" w:rsidP="002123AF">
      <w:pPr>
        <w:pStyle w:val="Head5"/>
      </w:pPr>
      <w:r w:rsidRPr="007B688D">
        <w:t>Area covered by this planning scheme:</w:t>
      </w:r>
    </w:p>
    <w:p w14:paraId="489C73B3" w14:textId="7DB4AB0D" w:rsidR="00DC2411" w:rsidRDefault="00AB2C0B" w:rsidP="002E55BC">
      <w:pPr>
        <w:pStyle w:val="BodyText1"/>
      </w:pPr>
      <w:r>
        <w:t>This provision should use the following words:</w:t>
      </w:r>
    </w:p>
    <w:tbl>
      <w:tblPr>
        <w:tblStyle w:val="DELWPhighlighttable"/>
        <w:tblW w:w="9242" w:type="dxa"/>
        <w:tblInd w:w="0" w:type="dxa"/>
        <w:tblLook w:val="0400" w:firstRow="0" w:lastRow="0" w:firstColumn="0" w:lastColumn="0" w:noHBand="0" w:noVBand="1"/>
      </w:tblPr>
      <w:tblGrid>
        <w:gridCol w:w="9242"/>
      </w:tblGrid>
      <w:tr w:rsidR="00B95AB6" w14:paraId="2E6B41A5" w14:textId="77777777">
        <w:trPr>
          <w:cantSplit/>
        </w:trPr>
        <w:tc>
          <w:tcPr>
            <w:tcW w:w="9242" w:type="dxa"/>
          </w:tcPr>
          <w:p w14:paraId="5C93D550" w14:textId="43A370DD" w:rsidR="00B95AB6" w:rsidRPr="008C1926" w:rsidRDefault="00B95AB6">
            <w:pPr>
              <w:pStyle w:val="DELWPexamplebody"/>
              <w:spacing w:before="0" w:after="60" w:line="240" w:lineRule="auto"/>
            </w:pPr>
            <w:r w:rsidRPr="00AB43A4">
              <w:t xml:space="preserve">The municipal district of </w:t>
            </w:r>
            <w:r w:rsidRPr="00AB43A4">
              <w:rPr>
                <w:color w:val="006666"/>
              </w:rPr>
              <w:t>[municipal council]</w:t>
            </w:r>
            <w:r w:rsidRPr="00AB43A4">
              <w:t>.</w:t>
            </w:r>
          </w:p>
        </w:tc>
      </w:tr>
    </w:tbl>
    <w:p w14:paraId="489C73B6" w14:textId="7B24CFF0" w:rsidR="00CB429B" w:rsidRPr="00361E71" w:rsidRDefault="006A4D41" w:rsidP="004F6A20">
      <w:pPr>
        <w:pStyle w:val="Heading3"/>
      </w:pPr>
      <w:r>
        <w:t>5.5.3</w:t>
      </w:r>
      <w:r>
        <w:tab/>
      </w:r>
      <w:r w:rsidR="000B7EED">
        <w:tab/>
      </w:r>
      <w:r w:rsidR="00AB2C0B" w:rsidRPr="00361E71">
        <w:t>Clause 72.03 – What does this planning scheme consist of?</w:t>
      </w:r>
    </w:p>
    <w:p w14:paraId="489C73B7" w14:textId="77777777" w:rsidR="00DC2411" w:rsidRPr="007B688D" w:rsidRDefault="00AB2C0B" w:rsidP="002123AF">
      <w:pPr>
        <w:pStyle w:val="Head5"/>
      </w:pPr>
      <w:r w:rsidRPr="007B688D">
        <w:t>Maps comprising part of this planning scheme:</w:t>
      </w:r>
    </w:p>
    <w:p w14:paraId="489C73B8" w14:textId="77777777" w:rsidR="00DC2411" w:rsidRDefault="00AB2C0B" w:rsidP="002E55BC">
      <w:pPr>
        <w:pStyle w:val="BodyText1"/>
      </w:pPr>
      <w:r>
        <w:t>This provision lists the zone and overlay maps that comprise the scheme. Each map that comprises part of the scheme is listed in a bullet point in the schedule to this clause.</w:t>
      </w:r>
      <w:r w:rsidR="00DA5AF6">
        <w:t xml:space="preserve"> </w:t>
      </w:r>
      <w:r>
        <w:t>The overlays contained within that map are specified in an abbreviated form with the corresponding map number, as shown in the following example:</w:t>
      </w:r>
    </w:p>
    <w:tbl>
      <w:tblPr>
        <w:tblStyle w:val="DELWPhighlighttable"/>
        <w:tblW w:w="9242" w:type="dxa"/>
        <w:tblInd w:w="0" w:type="dxa"/>
        <w:tblLook w:val="0400" w:firstRow="0" w:lastRow="0" w:firstColumn="0" w:lastColumn="0" w:noHBand="0" w:noVBand="1"/>
      </w:tblPr>
      <w:tblGrid>
        <w:gridCol w:w="9242"/>
      </w:tblGrid>
      <w:tr w:rsidR="00FB2B33" w:rsidRPr="00FE67C2" w14:paraId="489C73BF" w14:textId="77777777" w:rsidTr="00B54750">
        <w:trPr>
          <w:cantSplit/>
        </w:trPr>
        <w:tc>
          <w:tcPr>
            <w:tcW w:w="9242" w:type="dxa"/>
          </w:tcPr>
          <w:p w14:paraId="489C73B9" w14:textId="77777777" w:rsidR="00FB2B33" w:rsidRPr="00CD5961" w:rsidRDefault="00FB2B33" w:rsidP="00A705A5">
            <w:pPr>
              <w:pStyle w:val="DELWPexamplebodynospace"/>
              <w:numPr>
                <w:ilvl w:val="0"/>
                <w:numId w:val="32"/>
              </w:numPr>
              <w:rPr>
                <w:lang w:val="it-IT"/>
              </w:rPr>
            </w:pPr>
            <w:r w:rsidRPr="00CD5961">
              <w:rPr>
                <w:lang w:val="it-IT"/>
              </w:rPr>
              <w:t>1, 1HO, 1SBO, 1PAO, 1PO, 1EAO, 1NCO, 1VPO, 1DDO, 1SLO</w:t>
            </w:r>
          </w:p>
          <w:p w14:paraId="489C73BA" w14:textId="79557966" w:rsidR="00FB2B33" w:rsidRPr="00CD5961" w:rsidRDefault="00FB2B33" w:rsidP="00A705A5">
            <w:pPr>
              <w:pStyle w:val="DELWPexamplebodynospace"/>
              <w:numPr>
                <w:ilvl w:val="0"/>
                <w:numId w:val="32"/>
              </w:numPr>
              <w:rPr>
                <w:lang w:val="it-IT"/>
              </w:rPr>
            </w:pPr>
            <w:r w:rsidRPr="00CD5961">
              <w:rPr>
                <w:lang w:val="it-IT"/>
              </w:rPr>
              <w:t>2, 2DDO, 2SLO, 2LSIO, 2SBO, 2PAO, 2PO, 2EAO, 2HO, 2NCO</w:t>
            </w:r>
          </w:p>
          <w:p w14:paraId="489C73BB" w14:textId="77777777" w:rsidR="00FB2B33" w:rsidRPr="00CD5961" w:rsidRDefault="00FB2B33" w:rsidP="00A705A5">
            <w:pPr>
              <w:pStyle w:val="DELWPexamplebodynospace"/>
              <w:numPr>
                <w:ilvl w:val="0"/>
                <w:numId w:val="32"/>
              </w:numPr>
              <w:rPr>
                <w:lang w:val="it-IT"/>
              </w:rPr>
            </w:pPr>
            <w:r w:rsidRPr="00CD5961">
              <w:rPr>
                <w:lang w:val="it-IT"/>
              </w:rPr>
              <w:t>3, 3HO, 3LSIO, 3SBO, 3PAO, 3EAO, 3SLO, 3DDO, 3VPO, 3DPO, 3BMO</w:t>
            </w:r>
          </w:p>
          <w:p w14:paraId="489C73BC" w14:textId="77777777" w:rsidR="00FB2B33" w:rsidRPr="00CD5961" w:rsidRDefault="00FB2B33" w:rsidP="00A705A5">
            <w:pPr>
              <w:pStyle w:val="DELWPexamplebodynospace"/>
              <w:numPr>
                <w:ilvl w:val="0"/>
                <w:numId w:val="32"/>
              </w:numPr>
              <w:rPr>
                <w:lang w:val="it-IT"/>
              </w:rPr>
            </w:pPr>
            <w:r w:rsidRPr="00CD5961">
              <w:rPr>
                <w:lang w:val="it-IT"/>
              </w:rPr>
              <w:t>4, 4HO, 4LSIO, 4SBO, 4DDO, 4DPO, 4VPO, 4EAO, 4SLO</w:t>
            </w:r>
          </w:p>
          <w:p w14:paraId="489C73BD" w14:textId="77777777" w:rsidR="00FB2B33" w:rsidRPr="00CD5961" w:rsidRDefault="00FB2B33" w:rsidP="00A705A5">
            <w:pPr>
              <w:pStyle w:val="DELWPexamplebodynospace"/>
              <w:numPr>
                <w:ilvl w:val="0"/>
                <w:numId w:val="32"/>
              </w:numPr>
              <w:rPr>
                <w:lang w:val="it-IT"/>
              </w:rPr>
            </w:pPr>
            <w:r w:rsidRPr="00CD5961">
              <w:rPr>
                <w:lang w:val="it-IT"/>
              </w:rPr>
              <w:t>5, 5SLO, 5DPO, 5HO, 5LSIO, 5SBO, 5PAO, 5EAO, 5VPO, 5DDO</w:t>
            </w:r>
          </w:p>
          <w:p w14:paraId="489C73BE" w14:textId="77777777" w:rsidR="00FB2B33" w:rsidRPr="00CA5732" w:rsidRDefault="00FB2B33" w:rsidP="00A705A5">
            <w:pPr>
              <w:pStyle w:val="DELWPexamplebody"/>
              <w:numPr>
                <w:ilvl w:val="0"/>
                <w:numId w:val="32"/>
              </w:numPr>
              <w:rPr>
                <w:lang w:val="it-IT"/>
              </w:rPr>
            </w:pPr>
            <w:r w:rsidRPr="00CD5961">
              <w:rPr>
                <w:lang w:val="it-IT"/>
              </w:rPr>
              <w:t>6, 6DPO, 6HO, 6LSIO, 6SBO, 6PAO, 6SLO, 6VPO, 6DDO</w:t>
            </w:r>
          </w:p>
        </w:tc>
      </w:tr>
    </w:tbl>
    <w:p w14:paraId="489C73C0" w14:textId="4E4A32B5" w:rsidR="00754143" w:rsidRPr="00361E71" w:rsidRDefault="006A4D41" w:rsidP="004F6A20">
      <w:pPr>
        <w:pStyle w:val="Heading3"/>
      </w:pPr>
      <w:r>
        <w:t>5.5.4</w:t>
      </w:r>
      <w:r>
        <w:tab/>
      </w:r>
      <w:r w:rsidR="000B7EED">
        <w:tab/>
      </w:r>
      <w:r w:rsidR="00AB2C0B" w:rsidRPr="00361E71">
        <w:t xml:space="preserve">Clause 72.04 – </w:t>
      </w:r>
      <w:r w:rsidR="00AB2C0B">
        <w:t>Incorporated documents</w:t>
      </w:r>
    </w:p>
    <w:p w14:paraId="489C73C1" w14:textId="7F803C91" w:rsidR="00754143" w:rsidRDefault="0072061C" w:rsidP="002E55BC">
      <w:pPr>
        <w:pStyle w:val="BodyText1"/>
      </w:pPr>
      <w:r>
        <w:t xml:space="preserve">State incorporated documents are specified in </w:t>
      </w:r>
      <w:r w:rsidR="001F616D" w:rsidRPr="00BA0BD1">
        <w:t>c</w:t>
      </w:r>
      <w:r w:rsidRPr="00BA0BD1">
        <w:t>lause 72.04.</w:t>
      </w:r>
      <w:r>
        <w:t xml:space="preserve"> </w:t>
      </w:r>
      <w:r w:rsidR="00AB2C0B">
        <w:t>Any</w:t>
      </w:r>
      <w:r>
        <w:t xml:space="preserve"> local</w:t>
      </w:r>
      <w:r w:rsidR="00AB2C0B">
        <w:t xml:space="preserve"> documents incorporated in the scheme must be listed in the table in the schedule to</w:t>
      </w:r>
      <w:r w:rsidR="001F616D">
        <w:t xml:space="preserve"> </w:t>
      </w:r>
      <w:r w:rsidR="001F616D" w:rsidRPr="00BA0BD1">
        <w:t>c</w:t>
      </w:r>
      <w:r w:rsidR="00C169CF" w:rsidRPr="00BA0BD1">
        <w:t>lause 72.04</w:t>
      </w:r>
      <w:r w:rsidR="00AB2C0B">
        <w:t xml:space="preserve">, in the format set out in the </w:t>
      </w:r>
      <w:r w:rsidR="00AB2C0B" w:rsidRPr="00ED6D42">
        <w:rPr>
          <w:i/>
          <w:iCs/>
        </w:rPr>
        <w:t>Ministerial Direction</w:t>
      </w:r>
      <w:r w:rsidR="00ED6D42" w:rsidRPr="00ED6D42">
        <w:rPr>
          <w:i/>
          <w:iCs/>
        </w:rPr>
        <w:t xml:space="preserve"> -</w:t>
      </w:r>
      <w:r w:rsidR="00AB2C0B">
        <w:t xml:space="preserve"> </w:t>
      </w:r>
      <w:r w:rsidR="00AB2C0B" w:rsidRPr="007E64CD">
        <w:rPr>
          <w:rStyle w:val="Emphasis"/>
        </w:rPr>
        <w:t>The Form and Content of Planning Schemes</w:t>
      </w:r>
      <w:r w:rsidR="00AB2C0B">
        <w:t>.</w:t>
      </w:r>
    </w:p>
    <w:p w14:paraId="489C73C2" w14:textId="0F8821CC" w:rsidR="00754143" w:rsidRPr="00361E71" w:rsidRDefault="006A4D41" w:rsidP="004F6A20">
      <w:pPr>
        <w:pStyle w:val="Heading3"/>
      </w:pPr>
      <w:r>
        <w:t>5.5.5</w:t>
      </w:r>
      <w:r>
        <w:tab/>
      </w:r>
      <w:r w:rsidR="000B7EED">
        <w:tab/>
      </w:r>
      <w:r w:rsidR="00AB2C0B" w:rsidRPr="00361E71">
        <w:t>Clause 72.05 – When did this planning scheme begin?</w:t>
      </w:r>
    </w:p>
    <w:p w14:paraId="489C73C3" w14:textId="77777777" w:rsidR="00893FDF" w:rsidRDefault="00AB2C0B" w:rsidP="002E55BC">
      <w:pPr>
        <w:pStyle w:val="BodyText1"/>
      </w:pPr>
      <w:r>
        <w:t>Specify the date the scheme began in the following format:</w:t>
      </w:r>
    </w:p>
    <w:tbl>
      <w:tblPr>
        <w:tblStyle w:val="DELWPhighlighttable"/>
        <w:tblW w:w="9242" w:type="dxa"/>
        <w:tblInd w:w="0" w:type="dxa"/>
        <w:tblLook w:val="0400" w:firstRow="0" w:lastRow="0" w:firstColumn="0" w:lastColumn="0" w:noHBand="0" w:noVBand="1"/>
      </w:tblPr>
      <w:tblGrid>
        <w:gridCol w:w="9242"/>
      </w:tblGrid>
      <w:tr w:rsidR="00893FDF" w14:paraId="489C73C5" w14:textId="77777777" w:rsidTr="00ED0C68">
        <w:trPr>
          <w:cantSplit/>
        </w:trPr>
        <w:tc>
          <w:tcPr>
            <w:tcW w:w="9242" w:type="dxa"/>
          </w:tcPr>
          <w:p w14:paraId="489C73C4" w14:textId="7F886C53" w:rsidR="00893FDF" w:rsidRPr="00443FAB" w:rsidRDefault="00932BBC" w:rsidP="002E55BC">
            <w:pPr>
              <w:pStyle w:val="DELWPexamplebody"/>
            </w:pPr>
            <w:r>
              <w:t>Day</w:t>
            </w:r>
            <w:r w:rsidR="00852824">
              <w:t xml:space="preserve"> Month Year, for example:</w:t>
            </w:r>
            <w:r w:rsidR="009B6C54">
              <w:t xml:space="preserve"> </w:t>
            </w:r>
            <w:r w:rsidR="00852824">
              <w:t xml:space="preserve"> </w:t>
            </w:r>
            <w:r w:rsidR="00893FDF" w:rsidRPr="00CD5961">
              <w:t>1 January 2000</w:t>
            </w:r>
          </w:p>
        </w:tc>
      </w:tr>
    </w:tbl>
    <w:p w14:paraId="489C73C6" w14:textId="748552FE" w:rsidR="00754143" w:rsidRPr="00361E71" w:rsidRDefault="006A4D41" w:rsidP="004F6A20">
      <w:pPr>
        <w:pStyle w:val="Heading3"/>
      </w:pPr>
      <w:bookmarkStart w:id="272" w:name="_Ref528600936"/>
      <w:r>
        <w:t>5.5.6</w:t>
      </w:r>
      <w:r>
        <w:tab/>
      </w:r>
      <w:r w:rsidR="000B7EED">
        <w:tab/>
      </w:r>
      <w:r w:rsidR="00AB2C0B" w:rsidRPr="00361E71">
        <w:t>Clause 72.08 – Background documents</w:t>
      </w:r>
      <w:bookmarkEnd w:id="272"/>
    </w:p>
    <w:p w14:paraId="489C73C7" w14:textId="261F6004" w:rsidR="00754143" w:rsidRDefault="00AB2C0B" w:rsidP="002E55BC">
      <w:pPr>
        <w:pStyle w:val="BodyText1"/>
      </w:pPr>
      <w:r>
        <w:t xml:space="preserve">See </w:t>
      </w:r>
      <w:r w:rsidR="0074503B" w:rsidRPr="00BA0BD1">
        <w:t>Chapter</w:t>
      </w:r>
      <w:r w:rsidRPr="00BA0BD1">
        <w:t xml:space="preserve"> </w:t>
      </w:r>
      <w:r w:rsidR="00792BBF" w:rsidRPr="00BA0BD1">
        <w:t>6.</w:t>
      </w:r>
      <w:r w:rsidR="009A589D">
        <w:t>6.2</w:t>
      </w:r>
      <w:r w:rsidRPr="007E64CD">
        <w:rPr>
          <w:rStyle w:val="Strong"/>
        </w:rPr>
        <w:t xml:space="preserve"> </w:t>
      </w:r>
      <w:r>
        <w:t>for information about using a background document.</w:t>
      </w:r>
    </w:p>
    <w:p w14:paraId="489C73C8" w14:textId="39CDC9D8" w:rsidR="00754143" w:rsidRPr="00361E71" w:rsidRDefault="006A4D41" w:rsidP="004F6A20">
      <w:pPr>
        <w:pStyle w:val="Heading3"/>
      </w:pPr>
      <w:r>
        <w:t>5.5.7</w:t>
      </w:r>
      <w:r>
        <w:tab/>
      </w:r>
      <w:r w:rsidR="000B7EED">
        <w:tab/>
      </w:r>
      <w:r w:rsidR="00AB2C0B" w:rsidRPr="00361E71">
        <w:t>Clause 74.01 – Application of zones, overlays and provisions</w:t>
      </w:r>
    </w:p>
    <w:p w14:paraId="5C49CEFF" w14:textId="3891E94B" w:rsidR="00C9645B" w:rsidRDefault="00051757" w:rsidP="002E55BC">
      <w:pPr>
        <w:pStyle w:val="BodyText1"/>
      </w:pPr>
      <w:r w:rsidRPr="004C2B4B">
        <w:rPr>
          <w:bCs/>
        </w:rPr>
        <w:t>Clause 74.01</w:t>
      </w:r>
      <w:r>
        <w:t xml:space="preserve"> is used to provide a snapshot statement of how and why a </w:t>
      </w:r>
      <w:r w:rsidR="0079505F">
        <w:t>requirement</w:t>
      </w:r>
      <w:r>
        <w:t xml:space="preserve"> has been applied</w:t>
      </w:r>
      <w:r w:rsidR="00B84992">
        <w:t xml:space="preserve"> in a planning scheme</w:t>
      </w:r>
      <w:r>
        <w:t>.</w:t>
      </w:r>
    </w:p>
    <w:p w14:paraId="1E2FBB3B" w14:textId="79EBB1AD" w:rsidR="00362B82" w:rsidRDefault="003A46FB" w:rsidP="002E55BC">
      <w:pPr>
        <w:pStyle w:val="BodyText1"/>
      </w:pPr>
      <w:r>
        <w:lastRenderedPageBreak/>
        <w:t>R</w:t>
      </w:r>
      <w:r w:rsidR="00FA060F">
        <w:t xml:space="preserve">elevant </w:t>
      </w:r>
      <w:r w:rsidR="008B0810">
        <w:t xml:space="preserve">zone, overlay and </w:t>
      </w:r>
      <w:r w:rsidR="00756D05">
        <w:t xml:space="preserve">other requirement-based </w:t>
      </w:r>
      <w:r w:rsidR="008B0810">
        <w:t>provision</w:t>
      </w:r>
      <w:r w:rsidR="00FA060F">
        <w:t>s</w:t>
      </w:r>
      <w:r w:rsidR="006A7CEA">
        <w:t xml:space="preserve"> </w:t>
      </w:r>
      <w:r w:rsidR="00FA060F">
        <w:t>are listed in sequence</w:t>
      </w:r>
      <w:r w:rsidR="00FC3A31">
        <w:t xml:space="preserve"> with the </w:t>
      </w:r>
      <w:proofErr w:type="gramStart"/>
      <w:r w:rsidR="00FC3A31">
        <w:t>VPP</w:t>
      </w:r>
      <w:proofErr w:type="gramEnd"/>
      <w:r w:rsidR="00FC3A31">
        <w:t xml:space="preserve"> and a short context statement is added </w:t>
      </w:r>
      <w:r w:rsidR="007168F1">
        <w:t>for each provision.</w:t>
      </w:r>
    </w:p>
    <w:p w14:paraId="75307101" w14:textId="68E39BC3" w:rsidR="00550884" w:rsidRDefault="00C35E80" w:rsidP="002E55BC">
      <w:pPr>
        <w:pStyle w:val="BodyText1"/>
      </w:pPr>
      <w:r>
        <w:t xml:space="preserve">The </w:t>
      </w:r>
      <w:r w:rsidR="00CB3839">
        <w:t xml:space="preserve">information in the schedule should give context to </w:t>
      </w:r>
      <w:r w:rsidR="00550884">
        <w:t>the relationship between</w:t>
      </w:r>
      <w:r w:rsidR="00C836E1">
        <w:t xml:space="preserve"> the</w:t>
      </w:r>
      <w:r w:rsidR="002B5B10">
        <w:t xml:space="preserve"> polic</w:t>
      </w:r>
      <w:r w:rsidR="00D96522">
        <w:t>ies</w:t>
      </w:r>
      <w:r w:rsidR="00FB7496">
        <w:t xml:space="preserve"> </w:t>
      </w:r>
      <w:r w:rsidR="002B5B10">
        <w:t>and requirement</w:t>
      </w:r>
      <w:r w:rsidR="00D96522">
        <w:t>s</w:t>
      </w:r>
      <w:r w:rsidR="00FB7496">
        <w:t xml:space="preserve"> </w:t>
      </w:r>
      <w:r w:rsidR="002B5B10">
        <w:t>in the planning scheme</w:t>
      </w:r>
      <w:r w:rsidR="00550884">
        <w:t>.</w:t>
      </w:r>
    </w:p>
    <w:p w14:paraId="489C73CB" w14:textId="26C528C7" w:rsidR="00754143" w:rsidRPr="00361E71" w:rsidRDefault="006A4D41" w:rsidP="004F6A20">
      <w:pPr>
        <w:pStyle w:val="Heading3"/>
      </w:pPr>
      <w:r>
        <w:t>5.5.8</w:t>
      </w:r>
      <w:r>
        <w:tab/>
      </w:r>
      <w:r w:rsidR="000B7EED">
        <w:tab/>
      </w:r>
      <w:r w:rsidR="00AB2C0B" w:rsidRPr="00361E71">
        <w:t>Clause 74.02 – Further strategic work</w:t>
      </w:r>
    </w:p>
    <w:p w14:paraId="489C73CC" w14:textId="494F5230" w:rsidR="00754143" w:rsidRDefault="00AB2C0B" w:rsidP="002E55BC">
      <w:pPr>
        <w:pStyle w:val="BodyText1"/>
      </w:pPr>
      <w:r>
        <w:t xml:space="preserve">Further strategic work should be a concise list of work the council intends to undertake </w:t>
      </w:r>
      <w:r w:rsidR="003A25BC">
        <w:t>before</w:t>
      </w:r>
      <w:r>
        <w:t xml:space="preserve"> the next </w:t>
      </w:r>
      <w:r w:rsidR="00767D68">
        <w:t xml:space="preserve">planning scheme </w:t>
      </w:r>
      <w:r>
        <w:t xml:space="preserve">review </w:t>
      </w:r>
      <w:r w:rsidR="00767D68">
        <w:t xml:space="preserve">under </w:t>
      </w:r>
      <w:r w:rsidR="00767D68" w:rsidRPr="004C2B4B">
        <w:t xml:space="preserve">section </w:t>
      </w:r>
      <w:r w:rsidR="0014491D" w:rsidRPr="004C2B4B">
        <w:t>12(B)</w:t>
      </w:r>
      <w:r w:rsidR="0014491D">
        <w:t xml:space="preserve"> of the </w:t>
      </w:r>
      <w:r w:rsidR="0014491D" w:rsidRPr="008B1FB2">
        <w:t>Act</w:t>
      </w:r>
      <w:r w:rsidR="006F0AA2" w:rsidRPr="008B1FB2">
        <w:t xml:space="preserve"> </w:t>
      </w:r>
      <w:r w:rsidRPr="008B1FB2">
        <w:t>(</w:t>
      </w:r>
      <w:proofErr w:type="spellStart"/>
      <w:r w:rsidR="0014491D" w:rsidRPr="008B1FB2">
        <w:t>occuring</w:t>
      </w:r>
      <w:proofErr w:type="spellEnd"/>
      <w:r w:rsidR="0014491D">
        <w:t xml:space="preserve"> on a 4</w:t>
      </w:r>
      <w:r>
        <w:t xml:space="preserve"> year</w:t>
      </w:r>
      <w:r w:rsidR="0014491D">
        <w:t>ly cycle</w:t>
      </w:r>
      <w:r>
        <w:t>) and be set out in the schedule to this clause.</w:t>
      </w:r>
      <w:r w:rsidR="00DA5AF6">
        <w:t xml:space="preserve"> </w:t>
      </w:r>
      <w:r>
        <w:t>The work must have a land use and development focus and must relate to matters that can be implemented through a planning scheme.</w:t>
      </w:r>
    </w:p>
    <w:p w14:paraId="489C73CD" w14:textId="4EDEE2A3" w:rsidR="00754143" w:rsidRDefault="00AB2C0B" w:rsidP="002E55BC">
      <w:pPr>
        <w:pStyle w:val="BodyText1"/>
      </w:pPr>
      <w:r>
        <w:t xml:space="preserve">A responsible authority </w:t>
      </w:r>
      <w:r w:rsidR="0051529B">
        <w:t>must not</w:t>
      </w:r>
      <w:r>
        <w:t xml:space="preserve"> take this clause into account when </w:t>
      </w:r>
      <w:proofErr w:type="gramStart"/>
      <w:r>
        <w:t>making a decision</w:t>
      </w:r>
      <w:proofErr w:type="gramEnd"/>
      <w:r>
        <w:t>.</w:t>
      </w:r>
    </w:p>
    <w:p w14:paraId="489C73CE" w14:textId="2688ACDD" w:rsidR="00754143" w:rsidRPr="00986209" w:rsidRDefault="000F0EC5" w:rsidP="00BA6981">
      <w:pPr>
        <w:pStyle w:val="Heading2"/>
      </w:pPr>
      <w:bookmarkStart w:id="273" w:name="_5.6_Considering_a"/>
      <w:bookmarkStart w:id="274" w:name="_Ref528600813"/>
      <w:bookmarkStart w:id="275" w:name="_Toc158706987"/>
      <w:bookmarkEnd w:id="273"/>
      <w:r>
        <w:t>5.6</w:t>
      </w:r>
      <w:r>
        <w:tab/>
      </w:r>
      <w:r w:rsidR="00AB2C0B" w:rsidRPr="00986209">
        <w:t xml:space="preserve">Considering a </w:t>
      </w:r>
      <w:proofErr w:type="gramStart"/>
      <w:r w:rsidR="00AB2C0B" w:rsidRPr="00986209">
        <w:t>site specific</w:t>
      </w:r>
      <w:proofErr w:type="gramEnd"/>
      <w:r w:rsidR="00AB2C0B" w:rsidRPr="00986209">
        <w:t xml:space="preserve"> provision</w:t>
      </w:r>
      <w:bookmarkEnd w:id="274"/>
      <w:bookmarkEnd w:id="275"/>
    </w:p>
    <w:p w14:paraId="489C73CF" w14:textId="77777777" w:rsidR="00754143" w:rsidRDefault="00AB2C0B" w:rsidP="002E55BC">
      <w:pPr>
        <w:pStyle w:val="BodyText1"/>
      </w:pPr>
      <w:r>
        <w:t>There are three methods of dealing with site specific proposals or requirements in a planning scheme.</w:t>
      </w:r>
    </w:p>
    <w:p w14:paraId="489C73D0" w14:textId="77777777" w:rsidR="00DC2411" w:rsidRDefault="00AB2C0B" w:rsidP="006952A7">
      <w:pPr>
        <w:pStyle w:val="Heading4"/>
      </w:pPr>
      <w:r>
        <w:t>Method 1: Apply a special use zone</w:t>
      </w:r>
    </w:p>
    <w:p w14:paraId="489C73D1" w14:textId="77777777" w:rsidR="00754143" w:rsidRDefault="00AB2C0B" w:rsidP="002E55BC">
      <w:pPr>
        <w:pStyle w:val="BodyText1"/>
      </w:pPr>
      <w:r>
        <w:t>One of the special use zones may be used with an appropriate schedule. Generally, this method should only be used where a proposal is not discretionary in the zone that would otherwise apply to the land.</w:t>
      </w:r>
    </w:p>
    <w:p w14:paraId="489C73D2" w14:textId="77777777" w:rsidR="00DA5AF6" w:rsidRDefault="00AB2C0B" w:rsidP="006952A7">
      <w:pPr>
        <w:pStyle w:val="Heading4"/>
      </w:pPr>
      <w:r>
        <w:t>Method 2: Use the combined amendment/permit process to rezone the land to a suitable zone and issue a permit at the same time</w:t>
      </w:r>
    </w:p>
    <w:p w14:paraId="489C73D3" w14:textId="550B03C7" w:rsidR="00754143" w:rsidRDefault="00AB2C0B" w:rsidP="002E55BC">
      <w:pPr>
        <w:pStyle w:val="BodyText1"/>
      </w:pPr>
      <w:r>
        <w:t xml:space="preserve">If the land can be rezoned to an appropriate zone in which the proposal would be discretionary, the combined amendment/permit process can be used to rezone the land and issue a permit at the same time. Using this process avoids the need for two rounds of public consultation, allows the proposal to be considered in one process and maintains the permit as the instrument of development approval. More detail about this process is included in </w:t>
      </w:r>
      <w:hyperlink r:id="rId34" w:history="1">
        <w:r w:rsidRPr="005C498F">
          <w:rPr>
            <w:rStyle w:val="Hyperlink"/>
            <w:i/>
            <w:iCs/>
          </w:rPr>
          <w:t>Using Victoria's Planning System</w:t>
        </w:r>
      </w:hyperlink>
      <w:r>
        <w:t>.</w:t>
      </w:r>
    </w:p>
    <w:p w14:paraId="489C73D5" w14:textId="77777777" w:rsidR="00DC2411" w:rsidRDefault="00AB2C0B" w:rsidP="006952A7">
      <w:pPr>
        <w:pStyle w:val="Heading4"/>
      </w:pPr>
      <w:r>
        <w:t>Method 3: Include the proposal in a Specific Controls Overlay</w:t>
      </w:r>
    </w:p>
    <w:p w14:paraId="489C73D6" w14:textId="53226A5D" w:rsidR="00754143" w:rsidRDefault="002C14AF" w:rsidP="002E55BC">
      <w:pPr>
        <w:pStyle w:val="BodyText1"/>
      </w:pPr>
      <w:r>
        <w:t>Under extraordinary circumstances and i</w:t>
      </w:r>
      <w:r w:rsidR="00AB2C0B">
        <w:t>f none of the above methods is appropriate, a proposal can be included in the Specific Controls Overlay</w:t>
      </w:r>
      <w:r>
        <w:t xml:space="preserve"> under </w:t>
      </w:r>
      <w:r w:rsidR="001F616D" w:rsidRPr="004C2B4B">
        <w:t>c</w:t>
      </w:r>
      <w:r w:rsidRPr="004C2B4B">
        <w:t>lause 45.12</w:t>
      </w:r>
      <w:r w:rsidR="00AB2C0B">
        <w:t>.</w:t>
      </w:r>
    </w:p>
    <w:p w14:paraId="489C73D7" w14:textId="6A575CA1" w:rsidR="00754143" w:rsidRDefault="00AB2C0B" w:rsidP="002E55BC">
      <w:pPr>
        <w:pStyle w:val="BodyText1"/>
      </w:pPr>
      <w:r>
        <w:t>Some</w:t>
      </w:r>
      <w:r w:rsidR="002C14AF">
        <w:t xml:space="preserve"> earlier</w:t>
      </w:r>
      <w:r>
        <w:t xml:space="preserve"> </w:t>
      </w:r>
      <w:proofErr w:type="gramStart"/>
      <w:r>
        <w:t>site specific</w:t>
      </w:r>
      <w:proofErr w:type="gramEnd"/>
      <w:r>
        <w:t xml:space="preserve"> controls are included in the </w:t>
      </w:r>
      <w:r w:rsidR="002C14AF">
        <w:t>t</w:t>
      </w:r>
      <w:r>
        <w:t xml:space="preserve">able </w:t>
      </w:r>
      <w:r w:rsidR="002C14AF">
        <w:t>to</w:t>
      </w:r>
      <w:r>
        <w:t xml:space="preserve"> the </w:t>
      </w:r>
      <w:r w:rsidR="002C14AF">
        <w:t>s</w:t>
      </w:r>
      <w:r>
        <w:t xml:space="preserve">chedule to </w:t>
      </w:r>
      <w:r w:rsidR="001F616D" w:rsidRPr="00BA0BD1">
        <w:t>c</w:t>
      </w:r>
      <w:r w:rsidRPr="00BA0BD1">
        <w:t>lause 51.01</w:t>
      </w:r>
      <w:r>
        <w:t xml:space="preserve"> (Specific sites and exclusions)</w:t>
      </w:r>
      <w:r w:rsidR="00BD7DAA">
        <w:t>.</w:t>
      </w:r>
      <w:r>
        <w:t xml:space="preserve"> </w:t>
      </w:r>
      <w:r w:rsidR="003D428C">
        <w:t>H</w:t>
      </w:r>
      <w:r>
        <w:t>owever</w:t>
      </w:r>
      <w:r w:rsidR="003D428C">
        <w:t>,</w:t>
      </w:r>
      <w:r>
        <w:t xml:space="preserve"> this method is </w:t>
      </w:r>
      <w:proofErr w:type="gramStart"/>
      <w:r>
        <w:t>redundant</w:t>
      </w:r>
      <w:proofErr w:type="gramEnd"/>
      <w:r>
        <w:t xml:space="preserve"> and the Specific Controls Overlay must now be used.</w:t>
      </w:r>
    </w:p>
    <w:p w14:paraId="489C73D8" w14:textId="79E9E7C0" w:rsidR="00754143" w:rsidRDefault="002C14AF" w:rsidP="002E55BC">
      <w:pPr>
        <w:pStyle w:val="BodyText1"/>
      </w:pPr>
      <w:r w:rsidRPr="004C2B4B">
        <w:t>Clause 45.12</w:t>
      </w:r>
      <w:r>
        <w:t xml:space="preserve"> </w:t>
      </w:r>
      <w:r w:rsidR="00AB2C0B">
        <w:t>should only be used for exceptional cases or to achieve a particular land use and development outcome that is consistent with a major issue of policy and is necessary to achieve or develop the planning objectives of Victoria.</w:t>
      </w:r>
    </w:p>
    <w:p w14:paraId="2E0C871B" w14:textId="567B5BF8" w:rsidR="00985BB8" w:rsidRPr="00986209" w:rsidRDefault="00985BB8" w:rsidP="00BA6981">
      <w:pPr>
        <w:pStyle w:val="Heading2"/>
      </w:pPr>
      <w:bookmarkStart w:id="276" w:name="_5.7_Considering_mandatory"/>
      <w:bookmarkStart w:id="277" w:name="_Toc158706988"/>
      <w:bookmarkEnd w:id="276"/>
      <w:r>
        <w:lastRenderedPageBreak/>
        <w:t>5.</w:t>
      </w:r>
      <w:r w:rsidR="00B8362A">
        <w:t>7</w:t>
      </w:r>
      <w:r>
        <w:tab/>
      </w:r>
      <w:r w:rsidR="005969C4">
        <w:t>Considering mandatory provisions</w:t>
      </w:r>
      <w:bookmarkEnd w:id="277"/>
    </w:p>
    <w:p w14:paraId="70A340C8" w14:textId="77777777" w:rsidR="00333151" w:rsidRPr="0093745C" w:rsidRDefault="00333151" w:rsidP="00333151">
      <w:pPr>
        <w:pStyle w:val="BodyText1"/>
      </w:pPr>
      <w:r w:rsidRPr="0093745C">
        <w:t>Victorian planning schemes largely consist of performance-based provisions that require an assessment to decide whether a proposal:</w:t>
      </w:r>
    </w:p>
    <w:p w14:paraId="41F93AE2" w14:textId="77777777" w:rsidR="00333151" w:rsidRPr="0093745C" w:rsidRDefault="00333151" w:rsidP="007B356D">
      <w:pPr>
        <w:pStyle w:val="DELWPbullet1"/>
      </w:pPr>
      <w:r w:rsidRPr="0093745C">
        <w:t>meets relevant planning objectives</w:t>
      </w:r>
    </w:p>
    <w:p w14:paraId="1154BE41" w14:textId="77777777" w:rsidR="00333151" w:rsidRPr="0093745C" w:rsidRDefault="00333151" w:rsidP="007B356D">
      <w:pPr>
        <w:pStyle w:val="DELWPbullet1"/>
      </w:pPr>
      <w:r w:rsidRPr="0093745C">
        <w:t xml:space="preserve">achieves an appropriate balance between competing planning policies. </w:t>
      </w:r>
    </w:p>
    <w:p w14:paraId="7B138865" w14:textId="77777777" w:rsidR="00333151" w:rsidRPr="0093745C" w:rsidRDefault="00333151" w:rsidP="00333151">
      <w:pPr>
        <w:pStyle w:val="BodyText1"/>
      </w:pPr>
      <w:r w:rsidRPr="0093745C">
        <w:t xml:space="preserve">Performance-based provisions can facilitate variation and innovation in how a use or development is planned. They can also accommodate unforeseen circumstances peculiar to a particular application. </w:t>
      </w:r>
    </w:p>
    <w:p w14:paraId="37648127" w14:textId="77777777" w:rsidR="00333151" w:rsidRDefault="00333151" w:rsidP="00333151">
      <w:pPr>
        <w:pStyle w:val="BodyText1"/>
      </w:pPr>
      <w:r w:rsidRPr="0093745C">
        <w:t>While mandatory provisions only provide fixed planning outcomes, there are circumstances where they are warranted. Mandatory provisions provide greater certainty and ensure a preferred outcome and more efficient process.</w:t>
      </w:r>
      <w:r>
        <w:t xml:space="preserve"> Although mandatory provisions are the exception, they may be used to manage: </w:t>
      </w:r>
    </w:p>
    <w:p w14:paraId="25BB95C1" w14:textId="77777777" w:rsidR="00333151" w:rsidRDefault="00333151" w:rsidP="007B356D">
      <w:pPr>
        <w:pStyle w:val="DELWPbullet1"/>
      </w:pPr>
      <w:r>
        <w:t xml:space="preserve">areas of high heritage value </w:t>
      </w:r>
    </w:p>
    <w:p w14:paraId="286CC5C3" w14:textId="77777777" w:rsidR="00333151" w:rsidRDefault="00333151" w:rsidP="007B356D">
      <w:pPr>
        <w:pStyle w:val="DELWPbullet1"/>
      </w:pPr>
      <w:r>
        <w:t>areas of consistent character</w:t>
      </w:r>
    </w:p>
    <w:p w14:paraId="6FEB899A" w14:textId="77777777" w:rsidR="00333151" w:rsidRDefault="00333151" w:rsidP="007B356D">
      <w:pPr>
        <w:pStyle w:val="DELWPbullet1"/>
      </w:pPr>
      <w:r>
        <w:t>sensitive environmental locations such as along the coast</w:t>
      </w:r>
    </w:p>
    <w:p w14:paraId="3A0AC8E4" w14:textId="77777777" w:rsidR="00333151" w:rsidRDefault="00333151" w:rsidP="007B356D">
      <w:pPr>
        <w:pStyle w:val="DELWPbullet1"/>
      </w:pPr>
      <w:r>
        <w:t>building heights in some activity centres.</w:t>
      </w:r>
    </w:p>
    <w:p w14:paraId="4AC994B1" w14:textId="77777777" w:rsidR="00333151" w:rsidRDefault="00333151" w:rsidP="00333151">
      <w:pPr>
        <w:pStyle w:val="BodyText1"/>
      </w:pPr>
      <w:r>
        <w:t>A balance must be struck between the benefits of a mandatory provision in the achievement of an objective against any resulting loss of opportunity for flexibility in achieving the objective.</w:t>
      </w:r>
    </w:p>
    <w:p w14:paraId="325A172E" w14:textId="645C4EA8" w:rsidR="00333151" w:rsidRPr="00FD2F5E" w:rsidRDefault="006069AD" w:rsidP="004F6A20">
      <w:pPr>
        <w:pStyle w:val="Heading3"/>
      </w:pPr>
      <w:r>
        <w:t>5.7.1</w:t>
      </w:r>
      <w:r>
        <w:tab/>
      </w:r>
      <w:r w:rsidR="000B7EED">
        <w:tab/>
      </w:r>
      <w:r w:rsidR="00333151" w:rsidRPr="00FD2F5E">
        <w:t>What is a mandatory provision?</w:t>
      </w:r>
    </w:p>
    <w:p w14:paraId="45380120" w14:textId="77777777" w:rsidR="00333151" w:rsidRDefault="00333151" w:rsidP="00333151">
      <w:pPr>
        <w:pStyle w:val="BodyText1"/>
      </w:pPr>
      <w:r w:rsidRPr="00FD2F5E">
        <w:t xml:space="preserve">A </w:t>
      </w:r>
      <w:r w:rsidRPr="00FD2F5E">
        <w:rPr>
          <w:i/>
          <w:iCs/>
        </w:rPr>
        <w:t>mandatory provision</w:t>
      </w:r>
      <w:r w:rsidRPr="00FD2F5E">
        <w:t xml:space="preserve"> is a requirement or control that must be met and provides for no opportunity to vary the requirement. </w:t>
      </w:r>
    </w:p>
    <w:p w14:paraId="108FF20F" w14:textId="77777777" w:rsidR="00333151" w:rsidRPr="00CB3040" w:rsidRDefault="00333151" w:rsidP="00333151">
      <w:pPr>
        <w:pStyle w:val="BodyText1"/>
      </w:pPr>
      <w:r w:rsidRPr="00FD2F5E">
        <w:t xml:space="preserve">A </w:t>
      </w:r>
      <w:r w:rsidRPr="00FD2F5E">
        <w:rPr>
          <w:i/>
          <w:iCs/>
        </w:rPr>
        <w:t>performance-based</w:t>
      </w:r>
      <w:r w:rsidRPr="00FD2F5E">
        <w:t xml:space="preserve"> </w:t>
      </w:r>
      <w:r w:rsidRPr="00FD2F5E">
        <w:rPr>
          <w:i/>
          <w:iCs/>
        </w:rPr>
        <w:t>provision</w:t>
      </w:r>
      <w:r w:rsidRPr="00FD2F5E">
        <w:t xml:space="preserve"> </w:t>
      </w:r>
      <w:r w:rsidRPr="005B7DAD">
        <w:t xml:space="preserve">(also called a </w:t>
      </w:r>
      <w:r w:rsidRPr="005B7DAD">
        <w:rPr>
          <w:i/>
          <w:iCs/>
        </w:rPr>
        <w:t>discretionary provision</w:t>
      </w:r>
      <w:r w:rsidRPr="005B7DAD">
        <w:t xml:space="preserve">) </w:t>
      </w:r>
      <w:r w:rsidRPr="00FD2F5E">
        <w:t xml:space="preserve">provides for flexibility in the </w:t>
      </w:r>
      <w:r>
        <w:t>method</w:t>
      </w:r>
      <w:r w:rsidRPr="00FD2F5E">
        <w:t xml:space="preserve"> or measure</w:t>
      </w:r>
      <w:r>
        <w:t xml:space="preserve"> used</w:t>
      </w:r>
      <w:r w:rsidRPr="00FD2F5E">
        <w:t xml:space="preserve"> to achieve </w:t>
      </w:r>
      <w:r>
        <w:t>a</w:t>
      </w:r>
      <w:r w:rsidRPr="00FD2F5E">
        <w:t xml:space="preserve"> required outcome.</w:t>
      </w:r>
    </w:p>
    <w:p w14:paraId="7D45DD39" w14:textId="6481501E" w:rsidR="00333151" w:rsidRPr="005F25F9" w:rsidRDefault="006069AD" w:rsidP="004F6A20">
      <w:pPr>
        <w:pStyle w:val="Heading3"/>
      </w:pPr>
      <w:r>
        <w:t>5.7.2</w:t>
      </w:r>
      <w:r>
        <w:tab/>
      </w:r>
      <w:r w:rsidR="000B7EED">
        <w:tab/>
      </w:r>
      <w:r w:rsidR="00333151" w:rsidRPr="005F25F9">
        <w:t>When are mandatory provisions appropriate?</w:t>
      </w:r>
    </w:p>
    <w:p w14:paraId="7C44C140" w14:textId="77777777" w:rsidR="00333151" w:rsidRDefault="00333151" w:rsidP="00333151">
      <w:pPr>
        <w:pStyle w:val="BodyText1"/>
      </w:pPr>
      <w:r>
        <w:t xml:space="preserve">Mandatory provisions usually specify a maximum or minimum built form requirement. Most mandatory provisions are for building heights, but they can also relate to: </w:t>
      </w:r>
    </w:p>
    <w:p w14:paraId="74B6A3AA" w14:textId="77777777" w:rsidR="00333151" w:rsidRDefault="00333151" w:rsidP="007B356D">
      <w:pPr>
        <w:pStyle w:val="DELWPbullet1"/>
      </w:pPr>
      <w:r>
        <w:t>site coverage</w:t>
      </w:r>
    </w:p>
    <w:p w14:paraId="1DB1B4DC" w14:textId="77777777" w:rsidR="00333151" w:rsidRDefault="00333151" w:rsidP="007B356D">
      <w:pPr>
        <w:pStyle w:val="DELWPbullet1"/>
      </w:pPr>
      <w:r>
        <w:t>plot ratio</w:t>
      </w:r>
    </w:p>
    <w:p w14:paraId="45741864" w14:textId="77777777" w:rsidR="00333151" w:rsidRDefault="00333151" w:rsidP="007B356D">
      <w:pPr>
        <w:pStyle w:val="DELWPbullet1"/>
      </w:pPr>
      <w:r>
        <w:t>setbacks to buildings</w:t>
      </w:r>
    </w:p>
    <w:p w14:paraId="11D87E36" w14:textId="77777777" w:rsidR="00333151" w:rsidRDefault="00333151" w:rsidP="007B356D">
      <w:pPr>
        <w:pStyle w:val="DELWPbullet1"/>
      </w:pPr>
      <w:r>
        <w:t>lot sizes</w:t>
      </w:r>
    </w:p>
    <w:p w14:paraId="396E94D7" w14:textId="77777777" w:rsidR="00333151" w:rsidRDefault="00333151" w:rsidP="007B356D">
      <w:pPr>
        <w:pStyle w:val="DELWPbullet1"/>
      </w:pPr>
      <w:r>
        <w:t>open space areas</w:t>
      </w:r>
    </w:p>
    <w:p w14:paraId="6250D0EC" w14:textId="77777777" w:rsidR="00333151" w:rsidRDefault="00333151" w:rsidP="007B356D">
      <w:pPr>
        <w:pStyle w:val="DELWPbullet1"/>
      </w:pPr>
      <w:r>
        <w:t>sight lines.</w:t>
      </w:r>
    </w:p>
    <w:p w14:paraId="516BDF40" w14:textId="77777777" w:rsidR="00333151" w:rsidRDefault="00333151" w:rsidP="00333151">
      <w:pPr>
        <w:pStyle w:val="BodyText1"/>
      </w:pPr>
      <w:r>
        <w:t xml:space="preserve">Mandatory provisions may be considered if it can be demonstrated, through a detailed assessment and evidence-base, that discretionary provisions are insufficient to achieve desired outcomes. </w:t>
      </w:r>
    </w:p>
    <w:p w14:paraId="132CA8C1" w14:textId="09D58019" w:rsidR="00250F9A" w:rsidRPr="00250F9A" w:rsidRDefault="00333151" w:rsidP="00250F9A">
      <w:pPr>
        <w:pStyle w:val="BodyText1"/>
        <w:spacing w:after="120"/>
      </w:pPr>
      <w:r>
        <w:lastRenderedPageBreak/>
        <w:t>The criteria below, provide a guide to assessing the appropriateness of a proposed mandatory provision. Each question should be fully considered and justified.</w:t>
      </w:r>
    </w:p>
    <w:tbl>
      <w:tblPr>
        <w:tblStyle w:val="DELWPhighlighttable"/>
        <w:tblW w:w="9242" w:type="dxa"/>
        <w:tblInd w:w="0" w:type="dxa"/>
        <w:tblLook w:val="0400" w:firstRow="0" w:lastRow="0" w:firstColumn="0" w:lastColumn="0" w:noHBand="0" w:noVBand="1"/>
      </w:tblPr>
      <w:tblGrid>
        <w:gridCol w:w="9242"/>
      </w:tblGrid>
      <w:tr w:rsidR="00250F9A" w14:paraId="6D8D35B6" w14:textId="77777777">
        <w:trPr>
          <w:cantSplit/>
        </w:trPr>
        <w:tc>
          <w:tcPr>
            <w:tcW w:w="9242" w:type="dxa"/>
          </w:tcPr>
          <w:p w14:paraId="5F604DA8" w14:textId="7662B79B" w:rsidR="00250F9A" w:rsidRPr="004901BE" w:rsidRDefault="00DD19F3" w:rsidP="00CE419E">
            <w:pPr>
              <w:pStyle w:val="Heading4"/>
            </w:pPr>
            <w:r w:rsidRPr="004901BE">
              <w:t>CRITERIA FOR APPLYING A MANDATORY PROVISION</w:t>
            </w:r>
          </w:p>
          <w:p w14:paraId="0C900678" w14:textId="481CF438" w:rsidR="00250F9A" w:rsidRPr="004901BE" w:rsidRDefault="00DD19F3" w:rsidP="00CE419E">
            <w:pPr>
              <w:pStyle w:val="Heading4"/>
            </w:pPr>
            <w:r w:rsidRPr="004901BE">
              <w:t xml:space="preserve">Strategically </w:t>
            </w:r>
            <w:r w:rsidRPr="00822EF5">
              <w:t>supported</w:t>
            </w:r>
          </w:p>
          <w:p w14:paraId="0C54D44E" w14:textId="77777777" w:rsidR="00250F9A" w:rsidRPr="00CE419E" w:rsidRDefault="00250F9A" w:rsidP="005510AA">
            <w:pPr>
              <w:pStyle w:val="Examplebullet"/>
              <w:spacing w:line="240" w:lineRule="auto"/>
              <w:rPr>
                <w:i w:val="0"/>
                <w:iCs w:val="0"/>
              </w:rPr>
            </w:pPr>
            <w:r w:rsidRPr="00CE419E">
              <w:rPr>
                <w:i w:val="0"/>
                <w:iCs w:val="0"/>
              </w:rPr>
              <w:t xml:space="preserve">Is the mandatory provision strategically supported? </w:t>
            </w:r>
          </w:p>
          <w:p w14:paraId="2D617C58" w14:textId="77777777" w:rsidR="00250F9A" w:rsidRPr="00CE419E" w:rsidRDefault="00250F9A" w:rsidP="00A705A5">
            <w:pPr>
              <w:pStyle w:val="Example-sub-bullet"/>
              <w:numPr>
                <w:ilvl w:val="0"/>
                <w:numId w:val="48"/>
              </w:numPr>
            </w:pPr>
            <w:r w:rsidRPr="00CE419E">
              <w:t>Does the proposed mandatory provision have a solid strategic objective while having regard to the planning objective?</w:t>
            </w:r>
          </w:p>
          <w:p w14:paraId="0FEC04CD" w14:textId="77777777" w:rsidR="00250F9A" w:rsidRPr="00CE419E" w:rsidRDefault="00250F9A" w:rsidP="00A705A5">
            <w:pPr>
              <w:pStyle w:val="Example-sub-bullet"/>
              <w:numPr>
                <w:ilvl w:val="0"/>
                <w:numId w:val="48"/>
              </w:numPr>
            </w:pPr>
            <w:r w:rsidRPr="00CE419E">
              <w:t>Does the proposed mandatory provision implement planning policy (state, regional or local)?</w:t>
            </w:r>
          </w:p>
          <w:p w14:paraId="6C80F53A" w14:textId="08873FD6" w:rsidR="00250F9A" w:rsidRPr="004901BE" w:rsidRDefault="00DD19F3" w:rsidP="00CE419E">
            <w:pPr>
              <w:pStyle w:val="Heading4"/>
            </w:pPr>
            <w:r w:rsidRPr="004901BE">
              <w:t>Appropriateness of departing from performance-based approach</w:t>
            </w:r>
          </w:p>
          <w:p w14:paraId="2A4C9A39" w14:textId="77777777" w:rsidR="00250F9A" w:rsidRPr="00CE419E" w:rsidRDefault="00250F9A" w:rsidP="005510AA">
            <w:pPr>
              <w:pStyle w:val="Examplebullet"/>
              <w:spacing w:line="240" w:lineRule="auto"/>
              <w:rPr>
                <w:i w:val="0"/>
                <w:iCs w:val="0"/>
              </w:rPr>
            </w:pPr>
            <w:r w:rsidRPr="00CE419E">
              <w:rPr>
                <w:i w:val="0"/>
                <w:iCs w:val="0"/>
              </w:rPr>
              <w:t>Is the mandatory provision an appropriate substitute for a performance-based provision?</w:t>
            </w:r>
          </w:p>
          <w:p w14:paraId="57C542C4" w14:textId="77777777" w:rsidR="00250F9A" w:rsidRDefault="00250F9A" w:rsidP="00A705A5">
            <w:pPr>
              <w:pStyle w:val="Example-sub-bullet"/>
              <w:numPr>
                <w:ilvl w:val="0"/>
                <w:numId w:val="46"/>
              </w:numPr>
            </w:pPr>
            <w:r>
              <w:t>Will most proposals that contravene the proposed mandatory provision lead to unacceptable planning outcomes?</w:t>
            </w:r>
          </w:p>
          <w:p w14:paraId="459F2CAC" w14:textId="77777777" w:rsidR="00250F9A" w:rsidRDefault="00250F9A" w:rsidP="00A705A5">
            <w:pPr>
              <w:pStyle w:val="Example-sub-bullet"/>
              <w:numPr>
                <w:ilvl w:val="0"/>
                <w:numId w:val="46"/>
              </w:numPr>
            </w:pPr>
            <w:r>
              <w:t xml:space="preserve">Has the proposed mandatory provision been drafted to limit any unnecessary loss of the flexibility and opportunity available through a </w:t>
            </w:r>
            <w:r w:rsidRPr="005E33B7">
              <w:t>performance-based</w:t>
            </w:r>
            <w:r>
              <w:t xml:space="preserve"> approach?</w:t>
            </w:r>
          </w:p>
          <w:p w14:paraId="0681A9AA" w14:textId="77777777" w:rsidR="00250F9A" w:rsidRDefault="00250F9A" w:rsidP="00A705A5">
            <w:pPr>
              <w:pStyle w:val="Example-sub-bullet"/>
              <w:numPr>
                <w:ilvl w:val="0"/>
                <w:numId w:val="46"/>
              </w:numPr>
            </w:pPr>
            <w:r>
              <w:t xml:space="preserve">Have all other relevant </w:t>
            </w:r>
            <w:r w:rsidRPr="005E33B7">
              <w:t>performance</w:t>
            </w:r>
            <w:r>
              <w:t>-</w:t>
            </w:r>
            <w:r w:rsidRPr="005E33B7">
              <w:t>based</w:t>
            </w:r>
            <w:r>
              <w:t xml:space="preserve"> provision options been explored?</w:t>
            </w:r>
          </w:p>
          <w:p w14:paraId="375696CE" w14:textId="77777777" w:rsidR="00250F9A" w:rsidRDefault="00250F9A" w:rsidP="00A705A5">
            <w:pPr>
              <w:pStyle w:val="Example-sub-bullet"/>
              <w:numPr>
                <w:ilvl w:val="0"/>
                <w:numId w:val="46"/>
              </w:numPr>
            </w:pPr>
            <w:r>
              <w:t xml:space="preserve">Would policy or </w:t>
            </w:r>
            <w:r w:rsidRPr="005E33B7">
              <w:t>performance-based</w:t>
            </w:r>
            <w:r>
              <w:t xml:space="preserve"> measures lead to the outcome prescribed by the proposed measure in most cases?</w:t>
            </w:r>
          </w:p>
          <w:p w14:paraId="0FE43195" w14:textId="77777777" w:rsidR="00250F9A" w:rsidRDefault="00250F9A" w:rsidP="00A705A5">
            <w:pPr>
              <w:pStyle w:val="Example-sub-bullet"/>
              <w:numPr>
                <w:ilvl w:val="0"/>
                <w:numId w:val="46"/>
              </w:numPr>
            </w:pPr>
            <w:r>
              <w:t>Is there evidence of adverse existing or proposed use or development that justifies the proposed control?</w:t>
            </w:r>
          </w:p>
          <w:p w14:paraId="404EE550" w14:textId="003B5DD0" w:rsidR="00250F9A" w:rsidRPr="004901BE" w:rsidRDefault="00DD19F3" w:rsidP="00CE419E">
            <w:pPr>
              <w:pStyle w:val="Heading4"/>
            </w:pPr>
            <w:r w:rsidRPr="004901BE">
              <w:t>Facilitates required outcome</w:t>
            </w:r>
          </w:p>
          <w:p w14:paraId="2DC01324" w14:textId="77777777" w:rsidR="00250F9A" w:rsidRPr="00CE419E" w:rsidRDefault="00250F9A" w:rsidP="005510AA">
            <w:pPr>
              <w:pStyle w:val="Examplebullet"/>
              <w:spacing w:line="240" w:lineRule="auto"/>
              <w:rPr>
                <w:i w:val="0"/>
                <w:iCs w:val="0"/>
              </w:rPr>
            </w:pPr>
            <w:r w:rsidRPr="00CE419E">
              <w:rPr>
                <w:i w:val="0"/>
                <w:iCs w:val="0"/>
              </w:rPr>
              <w:t>Does the mandatory provision provide for the preferred outcome?</w:t>
            </w:r>
          </w:p>
          <w:p w14:paraId="3CAB2731" w14:textId="77777777" w:rsidR="00250F9A" w:rsidRDefault="00250F9A" w:rsidP="00A705A5">
            <w:pPr>
              <w:pStyle w:val="Example-sub-bullet"/>
              <w:numPr>
                <w:ilvl w:val="0"/>
                <w:numId w:val="47"/>
              </w:numPr>
            </w:pPr>
            <w:r>
              <w:t xml:space="preserve">Is </w:t>
            </w:r>
            <w:r w:rsidRPr="00AC3F44">
              <w:t>the</w:t>
            </w:r>
            <w:r w:rsidRPr="007D4A80">
              <w:t xml:space="preserve"> proposed mandatory </w:t>
            </w:r>
            <w:r>
              <w:t>provision</w:t>
            </w:r>
            <w:r w:rsidRPr="007D4A80">
              <w:t xml:space="preserve"> limiting</w:t>
            </w:r>
            <w:r>
              <w:t xml:space="preserve">? Does it only lead to one outcome from </w:t>
            </w:r>
            <w:proofErr w:type="gramStart"/>
            <w:r>
              <w:t>a number of</w:t>
            </w:r>
            <w:proofErr w:type="gramEnd"/>
            <w:r>
              <w:t xml:space="preserve"> suitable ones that would deliver on related planning policy?</w:t>
            </w:r>
          </w:p>
          <w:p w14:paraId="092F1033" w14:textId="4EC1352B" w:rsidR="00250F9A" w:rsidRPr="008C1926" w:rsidRDefault="00250F9A" w:rsidP="00A705A5">
            <w:pPr>
              <w:pStyle w:val="Example-sub-bullet"/>
              <w:numPr>
                <w:ilvl w:val="0"/>
                <w:numId w:val="47"/>
              </w:numPr>
              <w:spacing w:after="120"/>
            </w:pPr>
            <w:r>
              <w:t xml:space="preserve">Does the proposed mandatory provision avoid the risk of adverse outcomes in a way that a </w:t>
            </w:r>
            <w:r w:rsidRPr="005E33B7">
              <w:t>performance-based</w:t>
            </w:r>
            <w:r>
              <w:t xml:space="preserve"> approach cannot?</w:t>
            </w:r>
          </w:p>
        </w:tc>
      </w:tr>
    </w:tbl>
    <w:p w14:paraId="105A62B6" w14:textId="1D93B0F7" w:rsidR="00333151" w:rsidRPr="002D44F4" w:rsidRDefault="00333151" w:rsidP="00333151">
      <w:pPr>
        <w:pStyle w:val="BodyText1"/>
        <w:rPr>
          <w:iCs/>
        </w:rPr>
      </w:pPr>
      <w:r w:rsidRPr="002D44F4">
        <w:rPr>
          <w:iCs/>
        </w:rPr>
        <w:t xml:space="preserve">The planning authority should also </w:t>
      </w:r>
      <w:r w:rsidRPr="00333151">
        <w:t>consider</w:t>
      </w:r>
      <w:r w:rsidRPr="002D44F4">
        <w:rPr>
          <w:iCs/>
        </w:rPr>
        <w:t xml:space="preserve"> whether </w:t>
      </w:r>
      <w:r>
        <w:t>the proposed mandatory provision reduces costs for councils, applicants and the community</w:t>
      </w:r>
      <w:r w:rsidRPr="002D44F4">
        <w:rPr>
          <w:iCs/>
        </w:rPr>
        <w:t>.</w:t>
      </w:r>
    </w:p>
    <w:p w14:paraId="7689A93F" w14:textId="77777777" w:rsidR="00333151" w:rsidRDefault="00333151" w:rsidP="00333151">
      <w:pPr>
        <w:pStyle w:val="BodyText1"/>
        <w:rPr>
          <w:iCs/>
        </w:rPr>
      </w:pPr>
      <w:r>
        <w:rPr>
          <w:iCs/>
        </w:rPr>
        <w:t>Controls</w:t>
      </w:r>
      <w:r w:rsidRPr="002D44F4">
        <w:rPr>
          <w:iCs/>
        </w:rPr>
        <w:t xml:space="preserve"> for mandatory height and setback </w:t>
      </w:r>
      <w:r>
        <w:rPr>
          <w:iCs/>
        </w:rPr>
        <w:t xml:space="preserve">for </w:t>
      </w:r>
      <w:r w:rsidRPr="002D44F4">
        <w:rPr>
          <w:iCs/>
        </w:rPr>
        <w:t xml:space="preserve">activity centres are dealt with in </w:t>
      </w:r>
      <w:r w:rsidRPr="004C2B4B">
        <w:rPr>
          <w:i/>
          <w:iCs/>
        </w:rPr>
        <w:t xml:space="preserve">Planning Practice Note 60 </w:t>
      </w:r>
      <w:r w:rsidRPr="002D44F4">
        <w:rPr>
          <w:i/>
          <w:iCs/>
        </w:rPr>
        <w:t>- Height and Setback Controls for Activity Centres</w:t>
      </w:r>
      <w:r w:rsidRPr="002D44F4">
        <w:rPr>
          <w:iCs/>
        </w:rPr>
        <w:t xml:space="preserve">. That practice note </w:t>
      </w:r>
      <w:r w:rsidRPr="00333151">
        <w:t>outlines</w:t>
      </w:r>
      <w:r w:rsidRPr="002D44F4">
        <w:rPr>
          <w:iCs/>
        </w:rPr>
        <w:t xml:space="preserve"> the level of work necessary to demonstrate that mandatory provisions are required and provides guidance on implementation approaches.</w:t>
      </w:r>
    </w:p>
    <w:p w14:paraId="4B248033" w14:textId="77777777" w:rsidR="00D17CE2" w:rsidRDefault="00D17CE2">
      <w:pPr>
        <w:suppressAutoHyphens w:val="0"/>
        <w:spacing w:after="0" w:line="240" w:lineRule="auto"/>
        <w:rPr>
          <w:rFonts w:ascii="VIC" w:eastAsia="MS Gothic" w:hAnsi="VIC"/>
          <w:b/>
          <w:bCs/>
          <w:color w:val="00828D"/>
          <w:sz w:val="24"/>
          <w:szCs w:val="24"/>
          <w:lang w:eastAsia="en-US"/>
        </w:rPr>
      </w:pPr>
      <w:r>
        <w:br w:type="page"/>
      </w:r>
    </w:p>
    <w:p w14:paraId="1A2EBA85" w14:textId="4AEEEDC5" w:rsidR="00333151" w:rsidRPr="00ED1705" w:rsidRDefault="006069AD" w:rsidP="004F6A20">
      <w:pPr>
        <w:pStyle w:val="Heading3"/>
      </w:pPr>
      <w:r>
        <w:lastRenderedPageBreak/>
        <w:t>5.7.3</w:t>
      </w:r>
      <w:r>
        <w:tab/>
      </w:r>
      <w:r w:rsidR="000B7EED">
        <w:tab/>
      </w:r>
      <w:r w:rsidR="00333151" w:rsidRPr="00ED1705">
        <w:t>How to write mandatory provisions in planning schemes</w:t>
      </w:r>
    </w:p>
    <w:p w14:paraId="0DB631B3" w14:textId="77777777" w:rsidR="00333151" w:rsidRPr="007B356D" w:rsidRDefault="00333151" w:rsidP="007B356D">
      <w:pPr>
        <w:pStyle w:val="BodyText10"/>
        <w:suppressAutoHyphens/>
        <w:spacing w:before="120" w:after="0" w:line="288" w:lineRule="auto"/>
        <w:ind w:left="0"/>
        <w:rPr>
          <w:rFonts w:ascii="VIC" w:eastAsia="Times" w:hAnsi="VIC"/>
          <w:iCs/>
          <w:lang w:eastAsia="en-US"/>
        </w:rPr>
      </w:pPr>
      <w:r w:rsidRPr="007B356D">
        <w:rPr>
          <w:rFonts w:ascii="VIC" w:eastAsia="Times" w:hAnsi="VIC"/>
          <w:iCs/>
          <w:lang w:eastAsia="en-US"/>
        </w:rPr>
        <w:t>In writing a mandatory provision, the provision should:</w:t>
      </w:r>
    </w:p>
    <w:p w14:paraId="219D480B" w14:textId="77777777" w:rsidR="00333151" w:rsidRPr="003A4470" w:rsidRDefault="00333151" w:rsidP="007B356D">
      <w:pPr>
        <w:pStyle w:val="DELWPbullet1"/>
      </w:pPr>
      <w:r w:rsidRPr="003A4470">
        <w:t>implement an objective</w:t>
      </w:r>
    </w:p>
    <w:p w14:paraId="29E18153" w14:textId="77777777" w:rsidR="00333151" w:rsidRPr="003A4470" w:rsidRDefault="00333151" w:rsidP="007B356D">
      <w:pPr>
        <w:pStyle w:val="DELWPbullet1"/>
      </w:pPr>
      <w:r w:rsidRPr="003A4470">
        <w:t>be clear in its intent to users</w:t>
      </w:r>
    </w:p>
    <w:p w14:paraId="4B2B10E3" w14:textId="77777777" w:rsidR="00333151" w:rsidRPr="003A4470" w:rsidRDefault="00333151" w:rsidP="007B356D">
      <w:pPr>
        <w:pStyle w:val="DELWPbullet1"/>
      </w:pPr>
      <w:r w:rsidRPr="003A4470">
        <w:t>be able to achieve consistent and predictable results</w:t>
      </w:r>
    </w:p>
    <w:p w14:paraId="4E33B619" w14:textId="77777777" w:rsidR="00333151" w:rsidRPr="003A4470" w:rsidRDefault="00333151" w:rsidP="007B356D">
      <w:pPr>
        <w:pStyle w:val="DELWPbullet1"/>
      </w:pPr>
      <w:r w:rsidRPr="003A4470">
        <w:t>be as measurable as possible using a quantifiable measure</w:t>
      </w:r>
    </w:p>
    <w:p w14:paraId="30DDAA8F" w14:textId="77777777" w:rsidR="00333151" w:rsidRDefault="00333151" w:rsidP="007B356D">
      <w:pPr>
        <w:pStyle w:val="DELWPbullet1"/>
      </w:pPr>
      <w:r w:rsidRPr="003A4470">
        <w:t>be expressed in plain English using common terms.</w:t>
      </w:r>
    </w:p>
    <w:p w14:paraId="42E502BF" w14:textId="4C07DAD7" w:rsidR="00333151" w:rsidRPr="009976DC" w:rsidRDefault="006069AD" w:rsidP="004F6A20">
      <w:pPr>
        <w:pStyle w:val="Heading3"/>
      </w:pPr>
      <w:r>
        <w:t>5.7.4</w:t>
      </w:r>
      <w:r>
        <w:tab/>
      </w:r>
      <w:r w:rsidR="000B7EED">
        <w:tab/>
      </w:r>
      <w:r w:rsidR="00333151" w:rsidRPr="009976DC">
        <w:t>Where can a mandatory provision be specified?</w:t>
      </w:r>
    </w:p>
    <w:p w14:paraId="66A72836" w14:textId="77777777" w:rsidR="00333151" w:rsidRPr="007B356D" w:rsidRDefault="00333151" w:rsidP="007B356D">
      <w:pPr>
        <w:pStyle w:val="BodyText10"/>
        <w:suppressAutoHyphens/>
        <w:spacing w:before="120" w:after="0" w:line="288" w:lineRule="auto"/>
        <w:ind w:left="0"/>
        <w:rPr>
          <w:rFonts w:ascii="VIC" w:eastAsia="Times" w:hAnsi="VIC"/>
          <w:iCs/>
          <w:lang w:eastAsia="en-US"/>
        </w:rPr>
      </w:pPr>
      <w:r w:rsidRPr="007B356D">
        <w:rPr>
          <w:rFonts w:ascii="VIC" w:eastAsia="Times" w:hAnsi="VIC"/>
          <w:iCs/>
          <w:lang w:eastAsia="en-US"/>
        </w:rPr>
        <w:t xml:space="preserve">Mandatory provisions can be specified in a zone or an overlay if required by the Victoria Planning Provisions. </w:t>
      </w:r>
    </w:p>
    <w:p w14:paraId="35BE7CC1" w14:textId="77777777" w:rsidR="00333151" w:rsidRPr="007B356D" w:rsidRDefault="00333151" w:rsidP="007B356D">
      <w:pPr>
        <w:pStyle w:val="BodyText10"/>
        <w:suppressAutoHyphens/>
        <w:spacing w:before="120" w:after="0" w:line="288" w:lineRule="auto"/>
        <w:ind w:left="0"/>
        <w:rPr>
          <w:rFonts w:ascii="VIC" w:eastAsia="Times" w:hAnsi="VIC"/>
          <w:iCs/>
          <w:lang w:eastAsia="en-US"/>
        </w:rPr>
      </w:pPr>
      <w:r w:rsidRPr="007B356D">
        <w:rPr>
          <w:rFonts w:ascii="VIC" w:eastAsia="Times" w:hAnsi="VIC"/>
          <w:iCs/>
          <w:lang w:eastAsia="en-US"/>
        </w:rPr>
        <w:t xml:space="preserve">The Design and Development Overlay is the most appropriate tool to implement mandatory built form requirements. Opportunities may also exist in some other zones and overlays to mandate controls. </w:t>
      </w:r>
    </w:p>
    <w:p w14:paraId="67C4C97C" w14:textId="77777777" w:rsidR="00333151" w:rsidRPr="007B356D" w:rsidRDefault="00333151" w:rsidP="007B356D">
      <w:pPr>
        <w:pStyle w:val="BodyText10"/>
        <w:suppressAutoHyphens/>
        <w:spacing w:before="120" w:after="0" w:line="288" w:lineRule="auto"/>
        <w:ind w:left="0"/>
        <w:rPr>
          <w:rFonts w:ascii="VIC" w:eastAsia="Times" w:hAnsi="VIC"/>
          <w:iCs/>
          <w:lang w:eastAsia="en-US"/>
        </w:rPr>
      </w:pPr>
      <w:r w:rsidRPr="007B356D">
        <w:rPr>
          <w:rFonts w:ascii="VIC" w:eastAsia="Times" w:hAnsi="VIC"/>
          <w:iCs/>
          <w:lang w:eastAsia="en-US"/>
        </w:rPr>
        <w:t xml:space="preserve">A local planning policy is not a control. Local planning policies have a role to guide the exercise of discretion created by a zone, overlay or particular provision. Local planning policy cannot include mandatory provisions or remove a discretion under a planning control. </w:t>
      </w:r>
    </w:p>
    <w:p w14:paraId="03727DEE" w14:textId="77777777" w:rsidR="00333151" w:rsidRPr="007B356D" w:rsidRDefault="00333151" w:rsidP="007B356D">
      <w:pPr>
        <w:pStyle w:val="BodyText10"/>
        <w:suppressAutoHyphens/>
        <w:spacing w:before="120" w:after="0" w:line="288" w:lineRule="auto"/>
        <w:ind w:left="0"/>
        <w:rPr>
          <w:rFonts w:ascii="VIC" w:eastAsia="Times" w:hAnsi="VIC"/>
          <w:iCs/>
          <w:lang w:eastAsia="en-US"/>
        </w:rPr>
      </w:pPr>
      <w:r w:rsidRPr="007B356D">
        <w:rPr>
          <w:rFonts w:ascii="VIC" w:eastAsia="Times" w:hAnsi="VIC"/>
          <w:iCs/>
          <w:lang w:eastAsia="en-US"/>
        </w:rPr>
        <w:t>It is important to use clear language in both mandatory and performance-based provisions to ensure their effect is properly understood.</w:t>
      </w:r>
    </w:p>
    <w:p w14:paraId="5A55CBCE" w14:textId="64635853" w:rsidR="00333151" w:rsidRPr="009976DC" w:rsidRDefault="006069AD" w:rsidP="004F6A20">
      <w:pPr>
        <w:pStyle w:val="Heading3"/>
      </w:pPr>
      <w:r>
        <w:t>5.7.5</w:t>
      </w:r>
      <w:r>
        <w:tab/>
      </w:r>
      <w:r w:rsidR="000B7EED">
        <w:tab/>
      </w:r>
      <w:r w:rsidR="00333151" w:rsidRPr="009976DC">
        <w:t>Further reading</w:t>
      </w:r>
      <w:r w:rsidR="001A6DE5">
        <w:t xml:space="preserve"> on mandatory provisions</w:t>
      </w:r>
    </w:p>
    <w:p w14:paraId="28788E74" w14:textId="6627BA5E" w:rsidR="00333151" w:rsidRPr="007B356D" w:rsidRDefault="00333151" w:rsidP="007B356D">
      <w:pPr>
        <w:pStyle w:val="BodyText10"/>
        <w:suppressAutoHyphens/>
        <w:spacing w:before="120" w:after="0" w:line="288" w:lineRule="auto"/>
        <w:ind w:left="0"/>
        <w:rPr>
          <w:rFonts w:ascii="VIC" w:eastAsia="Times" w:hAnsi="VIC"/>
          <w:iCs/>
          <w:lang w:eastAsia="en-US"/>
        </w:rPr>
      </w:pPr>
      <w:r w:rsidRPr="007B356D">
        <w:rPr>
          <w:rFonts w:ascii="VIC" w:eastAsia="Times" w:hAnsi="VIC"/>
          <w:iCs/>
          <w:lang w:eastAsia="en-US"/>
        </w:rPr>
        <w:t xml:space="preserve">Proposals for mandatory provisions have been dealt with by Planning Panels Victoria in numerous reports. </w:t>
      </w:r>
      <w:r w:rsidR="006069AD">
        <w:rPr>
          <w:rFonts w:ascii="VIC" w:eastAsia="Times" w:hAnsi="VIC"/>
          <w:iCs/>
          <w:lang w:eastAsia="en-US"/>
        </w:rPr>
        <w:t>Some h</w:t>
      </w:r>
      <w:r w:rsidRPr="007B356D">
        <w:rPr>
          <w:rFonts w:ascii="VIC" w:eastAsia="Times" w:hAnsi="VIC"/>
          <w:iCs/>
          <w:lang w:eastAsia="en-US"/>
        </w:rPr>
        <w:t>elpful panel reports include:</w:t>
      </w:r>
    </w:p>
    <w:p w14:paraId="33FDD235" w14:textId="77777777" w:rsidR="00333151" w:rsidRDefault="00333151" w:rsidP="007B356D">
      <w:pPr>
        <w:pStyle w:val="DELWPbullet1"/>
      </w:pPr>
      <w:r>
        <w:t xml:space="preserve">Bayside Planning Scheme Amendment C2 </w:t>
      </w:r>
    </w:p>
    <w:p w14:paraId="2B75FB78" w14:textId="77777777" w:rsidR="00333151" w:rsidRDefault="00333151" w:rsidP="007B356D">
      <w:pPr>
        <w:pStyle w:val="DELWPbullet1"/>
      </w:pPr>
      <w:r>
        <w:t xml:space="preserve">Stonnington Planning Scheme Amendment C58 </w:t>
      </w:r>
    </w:p>
    <w:p w14:paraId="683CF79E" w14:textId="77777777" w:rsidR="00333151" w:rsidRDefault="00333151" w:rsidP="007B356D">
      <w:pPr>
        <w:pStyle w:val="DELWPbullet1"/>
      </w:pPr>
      <w:r>
        <w:t xml:space="preserve">Port Phillip Planning Scheme Amendment C52 </w:t>
      </w:r>
    </w:p>
    <w:p w14:paraId="05F45E1D" w14:textId="77777777" w:rsidR="00333151" w:rsidRDefault="00333151" w:rsidP="007B356D">
      <w:pPr>
        <w:pStyle w:val="DELWPbullet1"/>
      </w:pPr>
      <w:r>
        <w:t>Queenscliff Planning Scheme Amendment C7</w:t>
      </w:r>
    </w:p>
    <w:p w14:paraId="0ACB3FBA" w14:textId="77777777" w:rsidR="00333151" w:rsidRDefault="00333151" w:rsidP="007B356D">
      <w:pPr>
        <w:pStyle w:val="DELWPbullet1"/>
      </w:pPr>
      <w:r>
        <w:t xml:space="preserve">Melbourne Planning Scheme Amendment C20 </w:t>
      </w:r>
    </w:p>
    <w:p w14:paraId="32587719" w14:textId="77777777" w:rsidR="00333151" w:rsidRDefault="00333151" w:rsidP="007B356D">
      <w:pPr>
        <w:pStyle w:val="DELWPbullet1"/>
      </w:pPr>
      <w:r>
        <w:t>Hobsons Bay Planning Scheme Amendment C11</w:t>
      </w:r>
    </w:p>
    <w:p w14:paraId="06DDBA39" w14:textId="77777777" w:rsidR="00333151" w:rsidRPr="009F7F40" w:rsidRDefault="00333151" w:rsidP="007B356D">
      <w:pPr>
        <w:pStyle w:val="DELWPbullet1"/>
      </w:pPr>
      <w:r w:rsidRPr="00944681">
        <w:t>Mornington Peninsula Planning Scheme Amendment C204</w:t>
      </w:r>
    </w:p>
    <w:p w14:paraId="033DE2C5" w14:textId="77777777" w:rsidR="00333151" w:rsidRPr="00004641" w:rsidRDefault="00333151" w:rsidP="007B356D">
      <w:pPr>
        <w:pStyle w:val="DELWPbullet1"/>
      </w:pPr>
      <w:r w:rsidRPr="009F7F40">
        <w:t>Stonnington Planning Scheme Amendment C272</w:t>
      </w:r>
    </w:p>
    <w:p w14:paraId="78314CAC" w14:textId="77777777" w:rsidR="00333151" w:rsidRPr="00004641" w:rsidRDefault="00333151" w:rsidP="007B356D">
      <w:pPr>
        <w:pStyle w:val="DELWPbullet1"/>
      </w:pPr>
      <w:r w:rsidRPr="00004641">
        <w:t xml:space="preserve">Bayside Planning Scheme Amendment </w:t>
      </w:r>
      <w:r>
        <w:t>C126</w:t>
      </w:r>
    </w:p>
    <w:p w14:paraId="165749AA" w14:textId="77777777" w:rsidR="00333151" w:rsidRPr="004F2C59" w:rsidRDefault="00333151" w:rsidP="007B356D">
      <w:pPr>
        <w:pStyle w:val="DELWPbullet1"/>
      </w:pPr>
      <w:r w:rsidRPr="00004641">
        <w:t>Maribyrnong Planning Scheme Amendment C162</w:t>
      </w:r>
    </w:p>
    <w:p w14:paraId="041FA7B6" w14:textId="136282BD" w:rsidR="00333151" w:rsidRDefault="00333151" w:rsidP="00985BB8">
      <w:pPr>
        <w:pStyle w:val="DELWPbullet1"/>
      </w:pPr>
      <w:r w:rsidRPr="004F2C59">
        <w:t>Yarra Planning Scheme Amendments C293 and C291.</w:t>
      </w:r>
    </w:p>
    <w:p w14:paraId="61FC9CF0" w14:textId="77777777" w:rsidR="00985BB8" w:rsidRDefault="00985BB8" w:rsidP="002E55BC">
      <w:pPr>
        <w:pStyle w:val="BodyText1"/>
      </w:pPr>
    </w:p>
    <w:p w14:paraId="489C73D9" w14:textId="3F5216D6" w:rsidR="00DC2411" w:rsidRDefault="000F0EC5" w:rsidP="00D2198E">
      <w:pPr>
        <w:pStyle w:val="Heading1"/>
      </w:pPr>
      <w:bookmarkStart w:id="278" w:name="_6_How_to…"/>
      <w:bookmarkStart w:id="279" w:name="_Toc158706989"/>
      <w:bookmarkEnd w:id="278"/>
      <w:r>
        <w:lastRenderedPageBreak/>
        <w:t>6</w:t>
      </w:r>
      <w:r>
        <w:tab/>
      </w:r>
      <w:r w:rsidR="00AB2C0B">
        <w:t>How to</w:t>
      </w:r>
      <w:r w:rsidR="00C017BA">
        <w:t>…</w:t>
      </w:r>
      <w:bookmarkEnd w:id="279"/>
    </w:p>
    <w:p w14:paraId="489C73DA" w14:textId="4BC712DB" w:rsidR="007347F2" w:rsidRDefault="00431FBF" w:rsidP="00765A2D">
      <w:pPr>
        <w:pStyle w:val="ChapterCaption"/>
        <w:ind w:left="0" w:firstLine="567"/>
        <w:rPr>
          <w:color w:val="2B579A"/>
          <w:shd w:val="clear" w:color="auto" w:fill="E6E6E6"/>
        </w:rPr>
      </w:pPr>
      <w:r>
        <w:tab/>
      </w:r>
      <w:hyperlink w:anchor="_6.1_How_to" w:history="1">
        <w:r w:rsidR="00695864" w:rsidRPr="00DA44A3">
          <w:rPr>
            <w:rStyle w:val="Hyperlink"/>
            <w:shd w:val="clear" w:color="auto" w:fill="E6E6E6"/>
          </w:rPr>
          <w:fldChar w:fldCharType="begin"/>
        </w:r>
        <w:r w:rsidR="00695864" w:rsidRPr="00DA44A3">
          <w:rPr>
            <w:rStyle w:val="Hyperlink"/>
          </w:rPr>
          <w:instrText xml:space="preserve"> REF _Ref528680169 \h </w:instrText>
        </w:r>
        <w:r w:rsidR="00E524E3" w:rsidRPr="00DA44A3">
          <w:rPr>
            <w:rStyle w:val="Hyperlink"/>
            <w:shd w:val="clear" w:color="auto" w:fill="E6E6E6"/>
          </w:rPr>
          <w:instrText xml:space="preserve"> \* MERGEFORMAT </w:instrText>
        </w:r>
        <w:r w:rsidR="00695864" w:rsidRPr="00DA44A3">
          <w:rPr>
            <w:rStyle w:val="Hyperlink"/>
            <w:shd w:val="clear" w:color="auto" w:fill="E6E6E6"/>
          </w:rPr>
        </w:r>
        <w:r w:rsidR="00695864" w:rsidRPr="00DA44A3">
          <w:rPr>
            <w:rStyle w:val="Hyperlink"/>
            <w:shd w:val="clear" w:color="auto" w:fill="E6E6E6"/>
          </w:rPr>
          <w:fldChar w:fldCharType="separate"/>
        </w:r>
        <w:r w:rsidR="00C461F1">
          <w:rPr>
            <w:rStyle w:val="Hyperlink"/>
          </w:rPr>
          <w:t>6</w:t>
        </w:r>
        <w:r w:rsidR="004C08D6">
          <w:rPr>
            <w:rStyle w:val="Hyperlink"/>
          </w:rPr>
          <w:t>.1</w:t>
        </w:r>
        <w:r w:rsidR="008A5B32" w:rsidRPr="008A5B32">
          <w:rPr>
            <w:rStyle w:val="Hyperlink"/>
          </w:rPr>
          <w:tab/>
          <w:t>How to write for a planning scheme</w:t>
        </w:r>
        <w:r w:rsidR="00695864" w:rsidRPr="00DA44A3">
          <w:rPr>
            <w:rStyle w:val="Hyperlink"/>
            <w:shd w:val="clear" w:color="auto" w:fill="E6E6E6"/>
          </w:rPr>
          <w:fldChar w:fldCharType="end"/>
        </w:r>
      </w:hyperlink>
    </w:p>
    <w:p w14:paraId="489C73DB" w14:textId="1D6F50B5" w:rsidR="007347F2" w:rsidRPr="007347F2" w:rsidRDefault="00431FBF" w:rsidP="00765A2D">
      <w:pPr>
        <w:pStyle w:val="ChapterCaption"/>
        <w:ind w:left="0" w:firstLine="567"/>
      </w:pPr>
      <w:bookmarkStart w:id="280" w:name="_Ref528576188"/>
      <w:r w:rsidRPr="001704F3">
        <w:rPr>
          <w:color w:val="2B579A"/>
          <w:shd w:val="clear" w:color="auto" w:fill="FFFFFF" w:themeFill="background1"/>
        </w:rPr>
        <w:tab/>
      </w:r>
      <w:hyperlink w:anchor="_6.2_How_to" w:history="1">
        <w:r w:rsidR="00695864" w:rsidRPr="00DA44A3">
          <w:rPr>
            <w:rStyle w:val="Hyperlink"/>
            <w:shd w:val="clear" w:color="auto" w:fill="E6E6E6"/>
          </w:rPr>
          <w:fldChar w:fldCharType="begin"/>
        </w:r>
        <w:r w:rsidR="00695864" w:rsidRPr="00DA44A3">
          <w:rPr>
            <w:rStyle w:val="Hyperlink"/>
          </w:rPr>
          <w:instrText xml:space="preserve"> REF _Ref528576201 \h </w:instrText>
        </w:r>
        <w:r w:rsidR="00E524E3" w:rsidRPr="00DA44A3">
          <w:rPr>
            <w:rStyle w:val="Hyperlink"/>
            <w:shd w:val="clear" w:color="auto" w:fill="E6E6E6"/>
          </w:rPr>
          <w:instrText xml:space="preserve"> \* MERGEFORMAT </w:instrText>
        </w:r>
        <w:r w:rsidR="00695864" w:rsidRPr="00DA44A3">
          <w:rPr>
            <w:rStyle w:val="Hyperlink"/>
            <w:shd w:val="clear" w:color="auto" w:fill="E6E6E6"/>
          </w:rPr>
        </w:r>
        <w:r w:rsidR="00695864" w:rsidRPr="00DA44A3">
          <w:rPr>
            <w:rStyle w:val="Hyperlink"/>
            <w:shd w:val="clear" w:color="auto" w:fill="E6E6E6"/>
          </w:rPr>
          <w:fldChar w:fldCharType="separate"/>
        </w:r>
        <w:r w:rsidR="008A5B32" w:rsidRPr="008A5B32">
          <w:rPr>
            <w:rStyle w:val="Hyperlink"/>
          </w:rPr>
          <w:t>6.2</w:t>
        </w:r>
        <w:r w:rsidR="008A5B32" w:rsidRPr="008A5B32">
          <w:rPr>
            <w:rStyle w:val="Hyperlink"/>
          </w:rPr>
          <w:tab/>
          <w:t>How to include a map or diagram</w:t>
        </w:r>
        <w:r w:rsidR="00695864" w:rsidRPr="00DA44A3">
          <w:rPr>
            <w:rStyle w:val="Hyperlink"/>
            <w:shd w:val="clear" w:color="auto" w:fill="E6E6E6"/>
          </w:rPr>
          <w:fldChar w:fldCharType="end"/>
        </w:r>
      </w:hyperlink>
    </w:p>
    <w:p w14:paraId="489C73DC" w14:textId="363CCCA8" w:rsidR="007347F2" w:rsidRPr="007347F2" w:rsidRDefault="00431FBF" w:rsidP="00765A2D">
      <w:pPr>
        <w:pStyle w:val="ChapterCaption"/>
        <w:ind w:left="0" w:firstLine="567"/>
      </w:pPr>
      <w:r>
        <w:tab/>
      </w:r>
      <w:hyperlink w:anchor="_6.3_How_to" w:history="1">
        <w:r w:rsidR="00695864" w:rsidRPr="00DA44A3">
          <w:rPr>
            <w:rStyle w:val="Hyperlink"/>
            <w:shd w:val="clear" w:color="auto" w:fill="E6E6E6"/>
          </w:rPr>
          <w:fldChar w:fldCharType="begin"/>
        </w:r>
        <w:r w:rsidR="00695864" w:rsidRPr="00DA44A3">
          <w:rPr>
            <w:rStyle w:val="Hyperlink"/>
          </w:rPr>
          <w:instrText xml:space="preserve"> REF _Ref528680263 \h </w:instrText>
        </w:r>
        <w:r w:rsidR="00E524E3" w:rsidRPr="00DA44A3">
          <w:rPr>
            <w:rStyle w:val="Hyperlink"/>
            <w:shd w:val="clear" w:color="auto" w:fill="E6E6E6"/>
          </w:rPr>
          <w:instrText xml:space="preserve"> \* MERGEFORMAT </w:instrText>
        </w:r>
        <w:r w:rsidR="00695864" w:rsidRPr="00DA44A3">
          <w:rPr>
            <w:rStyle w:val="Hyperlink"/>
            <w:shd w:val="clear" w:color="auto" w:fill="E6E6E6"/>
          </w:rPr>
        </w:r>
        <w:r w:rsidR="00695864" w:rsidRPr="00DA44A3">
          <w:rPr>
            <w:rStyle w:val="Hyperlink"/>
            <w:shd w:val="clear" w:color="auto" w:fill="E6E6E6"/>
          </w:rPr>
          <w:fldChar w:fldCharType="separate"/>
        </w:r>
        <w:r w:rsidR="008A5B32" w:rsidRPr="008A5B32">
          <w:rPr>
            <w:rStyle w:val="Hyperlink"/>
          </w:rPr>
          <w:t>6.3</w:t>
        </w:r>
        <w:r w:rsidR="008A5B32" w:rsidRPr="008A5B32">
          <w:rPr>
            <w:rStyle w:val="Hyperlink"/>
          </w:rPr>
          <w:tab/>
          <w:t>How to write a Municipal Planning Strategy</w:t>
        </w:r>
        <w:r w:rsidR="00695864" w:rsidRPr="00DA44A3">
          <w:rPr>
            <w:rStyle w:val="Hyperlink"/>
            <w:shd w:val="clear" w:color="auto" w:fill="E6E6E6"/>
          </w:rPr>
          <w:fldChar w:fldCharType="end"/>
        </w:r>
      </w:hyperlink>
    </w:p>
    <w:p w14:paraId="489C73DD" w14:textId="6A4061EF" w:rsidR="007347F2" w:rsidRPr="007347F2" w:rsidRDefault="00431FBF" w:rsidP="00765A2D">
      <w:pPr>
        <w:pStyle w:val="ChapterCaption"/>
        <w:ind w:left="0" w:firstLine="567"/>
      </w:pPr>
      <w:r>
        <w:tab/>
      </w:r>
      <w:hyperlink w:anchor="_6.4_How_to" w:history="1">
        <w:r w:rsidR="00695864" w:rsidRPr="00DA44A3">
          <w:rPr>
            <w:rStyle w:val="Hyperlink"/>
            <w:shd w:val="clear" w:color="auto" w:fill="E6E6E6"/>
          </w:rPr>
          <w:fldChar w:fldCharType="begin"/>
        </w:r>
        <w:r w:rsidR="00695864" w:rsidRPr="00DA44A3">
          <w:rPr>
            <w:rStyle w:val="Hyperlink"/>
          </w:rPr>
          <w:instrText xml:space="preserve"> REF _Ref528601234 \h </w:instrText>
        </w:r>
        <w:r w:rsidR="00E524E3" w:rsidRPr="00DA44A3">
          <w:rPr>
            <w:rStyle w:val="Hyperlink"/>
            <w:shd w:val="clear" w:color="auto" w:fill="E6E6E6"/>
          </w:rPr>
          <w:instrText xml:space="preserve"> \* MERGEFORMAT </w:instrText>
        </w:r>
        <w:r w:rsidR="00695864" w:rsidRPr="00DA44A3">
          <w:rPr>
            <w:rStyle w:val="Hyperlink"/>
            <w:shd w:val="clear" w:color="auto" w:fill="E6E6E6"/>
          </w:rPr>
        </w:r>
        <w:r w:rsidR="00695864" w:rsidRPr="00DA44A3">
          <w:rPr>
            <w:rStyle w:val="Hyperlink"/>
            <w:shd w:val="clear" w:color="auto" w:fill="E6E6E6"/>
          </w:rPr>
          <w:fldChar w:fldCharType="separate"/>
        </w:r>
        <w:r w:rsidR="008A5B32" w:rsidRPr="008A5B32">
          <w:rPr>
            <w:rStyle w:val="Hyperlink"/>
          </w:rPr>
          <w:t>6.4</w:t>
        </w:r>
        <w:r w:rsidR="008A5B32" w:rsidRPr="008A5B32">
          <w:rPr>
            <w:rStyle w:val="Hyperlink"/>
          </w:rPr>
          <w:tab/>
          <w:t>How to write a local policy</w:t>
        </w:r>
        <w:r w:rsidR="00695864" w:rsidRPr="00DA44A3">
          <w:rPr>
            <w:rStyle w:val="Hyperlink"/>
            <w:shd w:val="clear" w:color="auto" w:fill="E6E6E6"/>
          </w:rPr>
          <w:fldChar w:fldCharType="end"/>
        </w:r>
      </w:hyperlink>
    </w:p>
    <w:p w14:paraId="489C73DE" w14:textId="21337DC7" w:rsidR="007347F2" w:rsidRPr="007347F2" w:rsidRDefault="00431FBF" w:rsidP="00765A2D">
      <w:pPr>
        <w:pStyle w:val="ChapterCaption"/>
        <w:ind w:left="0" w:firstLine="567"/>
      </w:pPr>
      <w:r>
        <w:tab/>
      </w:r>
      <w:hyperlink w:anchor="_6.5_How_to" w:history="1">
        <w:r w:rsidR="00695864" w:rsidRPr="00DA44A3">
          <w:rPr>
            <w:rStyle w:val="Hyperlink"/>
            <w:shd w:val="clear" w:color="auto" w:fill="E6E6E6"/>
          </w:rPr>
          <w:fldChar w:fldCharType="begin"/>
        </w:r>
        <w:r w:rsidR="00695864" w:rsidRPr="00DA44A3">
          <w:rPr>
            <w:rStyle w:val="Hyperlink"/>
          </w:rPr>
          <w:instrText xml:space="preserve"> REF _Ref528680247 \h </w:instrText>
        </w:r>
        <w:r w:rsidR="00E524E3" w:rsidRPr="00DA44A3">
          <w:rPr>
            <w:rStyle w:val="Hyperlink"/>
            <w:shd w:val="clear" w:color="auto" w:fill="E6E6E6"/>
          </w:rPr>
          <w:instrText xml:space="preserve"> \* MERGEFORMAT </w:instrText>
        </w:r>
        <w:r w:rsidR="00695864" w:rsidRPr="00DA44A3">
          <w:rPr>
            <w:rStyle w:val="Hyperlink"/>
            <w:shd w:val="clear" w:color="auto" w:fill="E6E6E6"/>
          </w:rPr>
        </w:r>
        <w:r w:rsidR="00695864" w:rsidRPr="00DA44A3">
          <w:rPr>
            <w:rStyle w:val="Hyperlink"/>
            <w:shd w:val="clear" w:color="auto" w:fill="E6E6E6"/>
          </w:rPr>
          <w:fldChar w:fldCharType="separate"/>
        </w:r>
        <w:r w:rsidR="008A5B32" w:rsidRPr="008A5B32">
          <w:rPr>
            <w:rStyle w:val="Hyperlink"/>
          </w:rPr>
          <w:t>6.5</w:t>
        </w:r>
        <w:r w:rsidR="008A5B32" w:rsidRPr="008A5B32">
          <w:rPr>
            <w:rStyle w:val="Hyperlink"/>
          </w:rPr>
          <w:tab/>
          <w:t>How to write a schedule</w:t>
        </w:r>
        <w:r w:rsidR="00695864" w:rsidRPr="00DA44A3">
          <w:rPr>
            <w:rStyle w:val="Hyperlink"/>
            <w:shd w:val="clear" w:color="auto" w:fill="E6E6E6"/>
          </w:rPr>
          <w:fldChar w:fldCharType="end"/>
        </w:r>
      </w:hyperlink>
    </w:p>
    <w:p w14:paraId="489C73E0" w14:textId="6384B9FE" w:rsidR="007347F2" w:rsidRPr="007347F2" w:rsidRDefault="00431FBF" w:rsidP="00561D84">
      <w:pPr>
        <w:pStyle w:val="ChapterCaption"/>
        <w:ind w:left="0" w:firstLine="567"/>
      </w:pPr>
      <w:r>
        <w:tab/>
      </w:r>
      <w:hyperlink w:anchor="_6.6_How_to" w:history="1">
        <w:r w:rsidR="008D588E" w:rsidRPr="00DA44A3">
          <w:rPr>
            <w:rStyle w:val="Hyperlink"/>
            <w:color w:val="00828D" w:themeColor="text2"/>
            <w:u w:val="none"/>
          </w:rPr>
          <w:t xml:space="preserve">6.6 </w:t>
        </w:r>
        <w:r w:rsidR="008D588E" w:rsidRPr="00DA44A3">
          <w:rPr>
            <w:rStyle w:val="Hyperlink"/>
            <w:color w:val="00828D" w:themeColor="text2"/>
            <w:u w:val="none"/>
          </w:rPr>
          <w:tab/>
        </w:r>
        <w:r w:rsidR="005260DD" w:rsidRPr="00DA44A3">
          <w:rPr>
            <w:rStyle w:val="Hyperlink"/>
            <w:color w:val="00828D" w:themeColor="text2"/>
            <w:u w:val="none"/>
          </w:rPr>
          <w:t>How to apply external documents</w:t>
        </w:r>
      </w:hyperlink>
    </w:p>
    <w:p w14:paraId="489C73E1" w14:textId="6E0870BB" w:rsidR="00DC2411" w:rsidRPr="00986209" w:rsidRDefault="00B821E0" w:rsidP="00BA6981">
      <w:pPr>
        <w:pStyle w:val="Heading2"/>
      </w:pPr>
      <w:bookmarkStart w:id="281" w:name="_6.1_How_to"/>
      <w:bookmarkStart w:id="282" w:name="_Ref528680169"/>
      <w:bookmarkStart w:id="283" w:name="_Toc158706990"/>
      <w:bookmarkEnd w:id="281"/>
      <w:r>
        <w:t>6.1</w:t>
      </w:r>
      <w:r>
        <w:tab/>
      </w:r>
      <w:r w:rsidR="00AB2C0B" w:rsidRPr="00986209">
        <w:t>How to write for a planning scheme</w:t>
      </w:r>
      <w:bookmarkEnd w:id="280"/>
      <w:bookmarkEnd w:id="282"/>
      <w:bookmarkEnd w:id="283"/>
    </w:p>
    <w:p w14:paraId="489C73E2" w14:textId="364150F8" w:rsidR="00754143" w:rsidRDefault="00AB2C0B" w:rsidP="002E55BC">
      <w:pPr>
        <w:pStyle w:val="BodyText1"/>
      </w:pPr>
      <w:r>
        <w:t xml:space="preserve">The </w:t>
      </w:r>
      <w:r w:rsidRPr="00ED6D42">
        <w:rPr>
          <w:i/>
          <w:iCs/>
        </w:rPr>
        <w:t xml:space="preserve">Ministerial Direction </w:t>
      </w:r>
      <w:r w:rsidR="00ED6D42" w:rsidRPr="00ED6D42">
        <w:rPr>
          <w:i/>
          <w:iCs/>
        </w:rPr>
        <w:t>-</w:t>
      </w:r>
      <w:r w:rsidR="00ED6D42">
        <w:t xml:space="preserve"> </w:t>
      </w:r>
      <w:r w:rsidRPr="007E64CD">
        <w:rPr>
          <w:rStyle w:val="Emphasis"/>
        </w:rPr>
        <w:t>The Form and Content of Planning Schemes</w:t>
      </w:r>
      <w:r>
        <w:t xml:space="preserve"> requires that a planning scheme and planning scheme amendment must be written in plain English.</w:t>
      </w:r>
    </w:p>
    <w:p w14:paraId="3CC635C1" w14:textId="287FA79B" w:rsidR="008A67CA" w:rsidRPr="008B1974" w:rsidRDefault="00AB2C0B" w:rsidP="002E55BC">
      <w:pPr>
        <w:pStyle w:val="BodyText1"/>
      </w:pPr>
      <w:r>
        <w:t>There are many guides to plain English writing</w:t>
      </w:r>
      <w:r w:rsidR="00C92858">
        <w:t xml:space="preserve">, including the Australian Government’s online Style Manual, which </w:t>
      </w:r>
      <w:r w:rsidR="0065783F">
        <w:t>includes information</w:t>
      </w:r>
      <w:r w:rsidR="008A67CA">
        <w:t xml:space="preserve"> </w:t>
      </w:r>
      <w:r w:rsidR="008A67CA" w:rsidRPr="008B1974">
        <w:t>about clear language and writing style</w:t>
      </w:r>
      <w:r w:rsidR="0065783F">
        <w:t>.</w:t>
      </w:r>
    </w:p>
    <w:p w14:paraId="646BE935" w14:textId="2ADDDAFD" w:rsidR="00E477D8" w:rsidRDefault="00AB2C0B" w:rsidP="002E55BC">
      <w:pPr>
        <w:pStyle w:val="BodyText1"/>
      </w:pPr>
      <w:r>
        <w:t xml:space="preserve">The advice in this </w:t>
      </w:r>
      <w:r w:rsidR="0074503B">
        <w:t>chapter</w:t>
      </w:r>
      <w:r>
        <w:t xml:space="preserve"> is specific to writing good quality planning provisions in plain English. It includes some quick tips and more specific advice about a range of matters that will be encountered when writing for a planning scheme.</w:t>
      </w:r>
    </w:p>
    <w:tbl>
      <w:tblPr>
        <w:tblStyle w:val="DELWPhighlighttable"/>
        <w:tblW w:w="0" w:type="auto"/>
        <w:tblInd w:w="0" w:type="dxa"/>
        <w:tblLook w:val="04A0" w:firstRow="1" w:lastRow="0" w:firstColumn="1" w:lastColumn="0" w:noHBand="0" w:noVBand="1"/>
      </w:tblPr>
      <w:tblGrid>
        <w:gridCol w:w="9070"/>
      </w:tblGrid>
      <w:tr w:rsidR="00E477D8" w14:paraId="1B4DC303" w14:textId="77777777" w:rsidTr="00ED27E1">
        <w:tc>
          <w:tcPr>
            <w:tcW w:w="9070" w:type="dxa"/>
          </w:tcPr>
          <w:p w14:paraId="14CBD747" w14:textId="77777777" w:rsidR="00E477D8" w:rsidRPr="009072EA" w:rsidRDefault="00E477D8" w:rsidP="00D91C97">
            <w:pPr>
              <w:pStyle w:val="DELWPexamplecaption"/>
              <w:spacing w:before="120"/>
              <w:rPr>
                <w:color w:val="006666"/>
                <w:sz w:val="22"/>
                <w:szCs w:val="22"/>
              </w:rPr>
            </w:pPr>
            <w:r w:rsidRPr="009072EA">
              <w:rPr>
                <w:color w:val="006666"/>
                <w:sz w:val="22"/>
                <w:szCs w:val="22"/>
              </w:rPr>
              <w:t>Quick tips for writing for a planning scheme</w:t>
            </w:r>
          </w:p>
          <w:p w14:paraId="6B0E87EC" w14:textId="77777777" w:rsidR="00E477D8" w:rsidRPr="00723A0D" w:rsidRDefault="00E477D8" w:rsidP="003E1404">
            <w:pPr>
              <w:pStyle w:val="DELWPbullet1"/>
              <w:spacing w:before="80"/>
            </w:pPr>
            <w:r w:rsidRPr="00723A0D">
              <w:t>Write positively.</w:t>
            </w:r>
          </w:p>
          <w:p w14:paraId="27814D5D" w14:textId="77777777" w:rsidR="00E477D8" w:rsidRPr="00723A0D" w:rsidRDefault="00E477D8" w:rsidP="003E1404">
            <w:pPr>
              <w:pStyle w:val="DELWPbullet1"/>
              <w:spacing w:before="80"/>
            </w:pPr>
            <w:r w:rsidRPr="00723A0D">
              <w:t>Use active voice (‘provide’ not ‘provision of’).</w:t>
            </w:r>
          </w:p>
          <w:p w14:paraId="2681C087" w14:textId="77777777" w:rsidR="00E477D8" w:rsidRPr="00723A0D" w:rsidRDefault="00E477D8" w:rsidP="003E1404">
            <w:pPr>
              <w:pStyle w:val="DELWPbullet1"/>
              <w:spacing w:before="80"/>
            </w:pPr>
            <w:r w:rsidRPr="00723A0D">
              <w:t>Use ‘must’ or ‘will’ rather than ‘shall’ if the action is mandatory.</w:t>
            </w:r>
          </w:p>
          <w:p w14:paraId="5AC3C96B" w14:textId="77777777" w:rsidR="00E477D8" w:rsidRPr="00723A0D" w:rsidRDefault="00E477D8" w:rsidP="003E1404">
            <w:pPr>
              <w:pStyle w:val="DELWPbullet1"/>
              <w:spacing w:before="80"/>
            </w:pPr>
            <w:r w:rsidRPr="00723A0D">
              <w:t>Use ‘may’ or ‘should’ if the action is optional.</w:t>
            </w:r>
          </w:p>
          <w:p w14:paraId="2412E790" w14:textId="77777777" w:rsidR="00E477D8" w:rsidRPr="00723A0D" w:rsidRDefault="00E477D8" w:rsidP="003E1404">
            <w:pPr>
              <w:pStyle w:val="DELWPbullet1"/>
              <w:spacing w:before="80"/>
            </w:pPr>
            <w:r w:rsidRPr="00723A0D">
              <w:t>Keep sentences short. Avoid including too many ideas in a sentence.</w:t>
            </w:r>
          </w:p>
          <w:p w14:paraId="044A430D" w14:textId="77777777" w:rsidR="00E477D8" w:rsidRPr="00723A0D" w:rsidRDefault="00E477D8" w:rsidP="003E1404">
            <w:pPr>
              <w:pStyle w:val="DELWPbullet1"/>
              <w:spacing w:before="80"/>
            </w:pPr>
            <w:r w:rsidRPr="00723A0D">
              <w:t>Stick to simple or common words like ‘show’ not ‘demonstrate’.</w:t>
            </w:r>
          </w:p>
          <w:p w14:paraId="2FFB04FE" w14:textId="77777777" w:rsidR="00E477D8" w:rsidRPr="00723A0D" w:rsidRDefault="00E477D8" w:rsidP="003E1404">
            <w:pPr>
              <w:pStyle w:val="DELWPbullet1"/>
              <w:spacing w:before="80"/>
            </w:pPr>
            <w:r w:rsidRPr="00723A0D">
              <w:t>Keep the use of words consistent, do not change terms for no reason or for variety. Keep the same words for the same idea.</w:t>
            </w:r>
          </w:p>
          <w:p w14:paraId="4BFB51C0" w14:textId="77777777" w:rsidR="00E477D8" w:rsidRPr="00723A0D" w:rsidRDefault="00E477D8" w:rsidP="003E1404">
            <w:pPr>
              <w:pStyle w:val="DELWPbullet1"/>
              <w:spacing w:before="80"/>
            </w:pPr>
            <w:r w:rsidRPr="00723A0D">
              <w:t>The terms ‘responsible authority’ and ‘planning authority’ are not capitalised.</w:t>
            </w:r>
          </w:p>
          <w:p w14:paraId="037C058D" w14:textId="77777777" w:rsidR="00E477D8" w:rsidRPr="00723A0D" w:rsidRDefault="00E477D8" w:rsidP="003E1404">
            <w:pPr>
              <w:pStyle w:val="DELWPbullet1"/>
              <w:spacing w:before="80"/>
            </w:pPr>
            <w:r w:rsidRPr="00723A0D">
              <w:t>Don’t use archaic words like ‘hereto’, ‘whilst’ or ‘notwithstanding’.</w:t>
            </w:r>
          </w:p>
          <w:p w14:paraId="47ED9AAF" w14:textId="77777777" w:rsidR="00E477D8" w:rsidRPr="00723A0D" w:rsidRDefault="00E477D8" w:rsidP="003E1404">
            <w:pPr>
              <w:pStyle w:val="DELWPbullet1"/>
              <w:spacing w:before="80"/>
            </w:pPr>
            <w:r w:rsidRPr="00723A0D">
              <w:t>Don’t use Latin or French words like ‘ultra vires’.</w:t>
            </w:r>
          </w:p>
          <w:p w14:paraId="015408B7" w14:textId="77777777" w:rsidR="00E477D8" w:rsidRPr="00723A0D" w:rsidRDefault="00E477D8" w:rsidP="003E1404">
            <w:pPr>
              <w:pStyle w:val="DELWPbullet1"/>
              <w:spacing w:before="80"/>
            </w:pPr>
            <w:r w:rsidRPr="00723A0D">
              <w:t xml:space="preserve">Don’t use unnecessary tautology like ‘force and effect’ or ‘terms and </w:t>
            </w:r>
            <w:proofErr w:type="gramStart"/>
            <w:r w:rsidRPr="00723A0D">
              <w:t>conditions’</w:t>
            </w:r>
            <w:proofErr w:type="gramEnd"/>
            <w:r w:rsidRPr="00723A0D">
              <w:t>.</w:t>
            </w:r>
          </w:p>
          <w:p w14:paraId="6508BD29" w14:textId="5DD0E62A" w:rsidR="00E477D8" w:rsidRPr="00EE51E9" w:rsidRDefault="00E477D8" w:rsidP="003E1404">
            <w:pPr>
              <w:pStyle w:val="DELWPbullet1"/>
              <w:spacing w:before="80" w:after="120"/>
            </w:pPr>
            <w:r w:rsidRPr="00723A0D">
              <w:t>Avoid cross references to other parts of the scheme.</w:t>
            </w:r>
          </w:p>
        </w:tc>
      </w:tr>
    </w:tbl>
    <w:p w14:paraId="17CB1A0C" w14:textId="77777777" w:rsidR="003E1404" w:rsidRDefault="003E1404" w:rsidP="004F6A20">
      <w:pPr>
        <w:pStyle w:val="Heading3"/>
      </w:pPr>
    </w:p>
    <w:p w14:paraId="20474A23" w14:textId="77777777" w:rsidR="003E1404" w:rsidRDefault="003E1404">
      <w:pPr>
        <w:suppressAutoHyphens w:val="0"/>
        <w:spacing w:after="0" w:line="240" w:lineRule="auto"/>
        <w:rPr>
          <w:rFonts w:ascii="VIC" w:eastAsia="MS Gothic" w:hAnsi="VIC"/>
          <w:b/>
          <w:bCs/>
          <w:color w:val="00828D"/>
          <w:sz w:val="24"/>
          <w:szCs w:val="24"/>
          <w:lang w:eastAsia="en-US"/>
        </w:rPr>
      </w:pPr>
      <w:r>
        <w:br w:type="page"/>
      </w:r>
    </w:p>
    <w:p w14:paraId="489C73F2" w14:textId="52404969" w:rsidR="00754143" w:rsidRPr="00361E71" w:rsidRDefault="00B821E0" w:rsidP="004F6A20">
      <w:pPr>
        <w:pStyle w:val="Heading3"/>
      </w:pPr>
      <w:r>
        <w:lastRenderedPageBreak/>
        <w:t>6.1.1</w:t>
      </w:r>
      <w:r>
        <w:tab/>
      </w:r>
      <w:r w:rsidR="000B7EED">
        <w:tab/>
      </w:r>
      <w:r w:rsidR="00AB2C0B" w:rsidRPr="00361E71">
        <w:t>Make the requirements clear</w:t>
      </w:r>
    </w:p>
    <w:p w14:paraId="489C73F3" w14:textId="77777777" w:rsidR="00DC2411" w:rsidRDefault="00AB2C0B" w:rsidP="002E55BC">
      <w:pPr>
        <w:pStyle w:val="BodyText1"/>
      </w:pPr>
      <w:r>
        <w:t>Use ‘must’ or ‘must not’ if the requirement is mandatory.</w:t>
      </w:r>
    </w:p>
    <w:tbl>
      <w:tblPr>
        <w:tblStyle w:val="TableGrid"/>
        <w:tblW w:w="9241" w:type="dxa"/>
        <w:tblInd w:w="-5" w:type="dxa"/>
        <w:tblBorders>
          <w:top w:val="single" w:sz="4" w:space="0" w:color="D9ECEA" w:themeColor="accent2"/>
          <w:left w:val="single" w:sz="4" w:space="0" w:color="D9ECEA" w:themeColor="accent2"/>
          <w:bottom w:val="single" w:sz="4" w:space="0" w:color="D9ECEA" w:themeColor="accent2"/>
          <w:right w:val="single" w:sz="4" w:space="0" w:color="D9ECEA" w:themeColor="accent2"/>
          <w:insideH w:val="single" w:sz="4" w:space="0" w:color="D9ECEA" w:themeColor="accent2"/>
          <w:insideV w:val="single" w:sz="4" w:space="0" w:color="D9ECEA" w:themeColor="accent2"/>
        </w:tblBorders>
        <w:tblLook w:val="04A0" w:firstRow="1" w:lastRow="0" w:firstColumn="1" w:lastColumn="0" w:noHBand="0" w:noVBand="1"/>
      </w:tblPr>
      <w:tblGrid>
        <w:gridCol w:w="680"/>
        <w:gridCol w:w="8561"/>
      </w:tblGrid>
      <w:tr w:rsidR="00D92D44" w:rsidRPr="00FF308B" w14:paraId="6DCB3F2B" w14:textId="77777777" w:rsidTr="00ED27E1">
        <w:trPr>
          <w:cnfStyle w:val="100000000000" w:firstRow="1" w:lastRow="0" w:firstColumn="0" w:lastColumn="0" w:oddVBand="0" w:evenVBand="0" w:oddHBand="0" w:evenHBand="0" w:firstRowFirstColumn="0" w:firstRowLastColumn="0" w:lastRowFirstColumn="0" w:lastRowLastColumn="0"/>
        </w:trPr>
        <w:tc>
          <w:tcPr>
            <w:tcW w:w="680" w:type="dxa"/>
            <w:shd w:val="clear" w:color="auto" w:fill="D9ECEA" w:themeFill="accent2"/>
            <w:vAlign w:val="center"/>
          </w:tcPr>
          <w:p w14:paraId="5BE4072F" w14:textId="77777777" w:rsidR="00EB553E" w:rsidRDefault="00EB553E" w:rsidP="00DA5176">
            <w:pPr>
              <w:pStyle w:val="DELWPexamplecaption"/>
              <w:spacing w:before="120"/>
              <w:rPr>
                <w:rFonts w:ascii="Wingdings" w:eastAsia="Wingdings" w:hAnsi="Wingdings" w:cs="Wingdings"/>
                <w:color w:val="00828D" w:themeColor="text2"/>
                <w:sz w:val="28"/>
                <w:szCs w:val="28"/>
              </w:rPr>
            </w:pPr>
            <w:r w:rsidRPr="005319A6">
              <w:rPr>
                <w:rFonts w:ascii="Wingdings" w:eastAsia="Wingdings" w:hAnsi="Wingdings" w:cs="Wingdings"/>
                <w:color w:val="00828D" w:themeColor="text2"/>
                <w:sz w:val="28"/>
                <w:szCs w:val="28"/>
              </w:rPr>
              <w:t>ü</w:t>
            </w:r>
          </w:p>
          <w:p w14:paraId="793FC3EC" w14:textId="135C7D7D" w:rsidR="009754BD" w:rsidRPr="005319A6" w:rsidRDefault="009754BD" w:rsidP="00DA5176">
            <w:pPr>
              <w:pStyle w:val="DELWPexamplecaption"/>
              <w:spacing w:before="120"/>
              <w:rPr>
                <w:rFonts w:ascii="Wingdings" w:eastAsia="Wingdings" w:hAnsi="Wingdings" w:cs="Wingdings"/>
                <w:color w:val="00828D" w:themeColor="text2"/>
                <w:sz w:val="28"/>
                <w:szCs w:val="28"/>
              </w:rPr>
            </w:pPr>
            <w:r w:rsidRPr="005319A6">
              <w:rPr>
                <w:rFonts w:ascii="Wingdings" w:eastAsia="Wingdings" w:hAnsi="Wingdings" w:cs="Wingdings"/>
                <w:color w:val="00828D" w:themeColor="text2"/>
                <w:sz w:val="28"/>
                <w:szCs w:val="28"/>
              </w:rPr>
              <w:t>ü</w:t>
            </w:r>
          </w:p>
        </w:tc>
        <w:tc>
          <w:tcPr>
            <w:tcW w:w="8561" w:type="dxa"/>
            <w:shd w:val="clear" w:color="auto" w:fill="D9ECEA" w:themeFill="accent2"/>
          </w:tcPr>
          <w:p w14:paraId="257F0AEA" w14:textId="77777777" w:rsidR="00EB553E" w:rsidRPr="00BB13DB" w:rsidRDefault="00EB553E" w:rsidP="002E55BC">
            <w:pPr>
              <w:pStyle w:val="DELWPexamplebody"/>
            </w:pPr>
            <w:r w:rsidRPr="00BB13DB">
              <w:t>A building must be set back at least 3 metres from the front of the property.</w:t>
            </w:r>
          </w:p>
          <w:p w14:paraId="1E4C3CF5" w14:textId="15D27B64" w:rsidR="00EB553E" w:rsidRPr="00EB553E" w:rsidRDefault="00EB553E" w:rsidP="00EB553E">
            <w:pPr>
              <w:pStyle w:val="DELWPexamplecaption"/>
              <w:spacing w:before="120"/>
              <w:rPr>
                <w:b w:val="0"/>
                <w:i/>
                <w:iCs/>
              </w:rPr>
            </w:pPr>
            <w:r w:rsidRPr="00BB13DB">
              <w:rPr>
                <w:b w:val="0"/>
              </w:rPr>
              <w:t>The building height must not exceed 21 metres.</w:t>
            </w:r>
          </w:p>
        </w:tc>
      </w:tr>
    </w:tbl>
    <w:p w14:paraId="489C73F8" w14:textId="77777777" w:rsidR="00DC2411" w:rsidRDefault="00AB2C0B" w:rsidP="002E55BC">
      <w:pPr>
        <w:pStyle w:val="DELWPbodyaftertablediagram"/>
      </w:pPr>
      <w:r>
        <w:t>Using ‘must’ is not always necessary to communicate clearly, but it has a directness that other forms of expression lack. For example:</w:t>
      </w:r>
    </w:p>
    <w:tbl>
      <w:tblPr>
        <w:tblStyle w:val="TableGrid"/>
        <w:tblW w:w="9241" w:type="dxa"/>
        <w:tblInd w:w="-5" w:type="dxa"/>
        <w:tblBorders>
          <w:top w:val="single" w:sz="4" w:space="0" w:color="D9ECEA" w:themeColor="accent2"/>
          <w:left w:val="single" w:sz="4" w:space="0" w:color="D9ECEA" w:themeColor="accent2"/>
          <w:bottom w:val="single" w:sz="4" w:space="0" w:color="D9ECEA" w:themeColor="accent2"/>
          <w:right w:val="single" w:sz="4" w:space="0" w:color="D9ECEA" w:themeColor="accent2"/>
          <w:insideH w:val="single" w:sz="4" w:space="0" w:color="D9ECEA" w:themeColor="accent2"/>
          <w:insideV w:val="single" w:sz="4" w:space="0" w:color="D9ECEA" w:themeColor="accent2"/>
        </w:tblBorders>
        <w:tblLook w:val="04A0" w:firstRow="1" w:lastRow="0" w:firstColumn="1" w:lastColumn="0" w:noHBand="0" w:noVBand="1"/>
      </w:tblPr>
      <w:tblGrid>
        <w:gridCol w:w="680"/>
        <w:gridCol w:w="8561"/>
      </w:tblGrid>
      <w:tr w:rsidR="00D92D44" w:rsidRPr="00FF308B" w14:paraId="2C3EE501" w14:textId="77777777" w:rsidTr="00ED27E1">
        <w:trPr>
          <w:cnfStyle w:val="100000000000" w:firstRow="1" w:lastRow="0" w:firstColumn="0" w:lastColumn="0" w:oddVBand="0" w:evenVBand="0" w:oddHBand="0" w:evenHBand="0" w:firstRowFirstColumn="0" w:firstRowLastColumn="0" w:lastRowFirstColumn="0" w:lastRowLastColumn="0"/>
        </w:trPr>
        <w:tc>
          <w:tcPr>
            <w:tcW w:w="680" w:type="dxa"/>
            <w:shd w:val="clear" w:color="auto" w:fill="D9ECEA" w:themeFill="accent2"/>
          </w:tcPr>
          <w:p w14:paraId="27949207" w14:textId="77777777" w:rsidR="00EB553E" w:rsidRPr="00BB13DB" w:rsidRDefault="00EB553E" w:rsidP="00F73556">
            <w:pPr>
              <w:pStyle w:val="DELWPexamplecaption"/>
              <w:spacing w:before="120"/>
              <w:rPr>
                <w:rFonts w:ascii="Wingdings" w:eastAsia="Wingdings" w:hAnsi="Wingdings" w:cs="Wingdings"/>
                <w:color w:val="00828D" w:themeColor="text2"/>
                <w:sz w:val="28"/>
                <w:szCs w:val="28"/>
              </w:rPr>
            </w:pPr>
            <w:r w:rsidRPr="00BB13DB">
              <w:rPr>
                <w:rFonts w:ascii="Wingdings" w:eastAsia="Wingdings" w:hAnsi="Wingdings" w:cs="Wingdings"/>
                <w:color w:val="00828D" w:themeColor="text2"/>
                <w:sz w:val="28"/>
                <w:szCs w:val="28"/>
              </w:rPr>
              <w:t>ü</w:t>
            </w:r>
          </w:p>
        </w:tc>
        <w:tc>
          <w:tcPr>
            <w:tcW w:w="8561" w:type="dxa"/>
            <w:shd w:val="clear" w:color="auto" w:fill="D9ECEA" w:themeFill="accent2"/>
          </w:tcPr>
          <w:p w14:paraId="09B2D26A" w14:textId="4470BFA6" w:rsidR="00EB553E" w:rsidRPr="00BB13DB" w:rsidRDefault="00EB553E" w:rsidP="00F73556">
            <w:pPr>
              <w:pStyle w:val="DELWPexamplecaption"/>
              <w:spacing w:before="120"/>
              <w:rPr>
                <w:b w:val="0"/>
                <w:bCs/>
              </w:rPr>
            </w:pPr>
            <w:r w:rsidRPr="00BB13DB">
              <w:rPr>
                <w:b w:val="0"/>
                <w:bCs/>
              </w:rPr>
              <w:t>Motor vehicles must not be serviced or repaired for gain.</w:t>
            </w:r>
          </w:p>
        </w:tc>
      </w:tr>
      <w:tr w:rsidR="00D92D44" w:rsidRPr="00FF308B" w14:paraId="1C11791C" w14:textId="77777777" w:rsidTr="00ED27E1">
        <w:tc>
          <w:tcPr>
            <w:tcW w:w="680" w:type="dxa"/>
            <w:shd w:val="clear" w:color="auto" w:fill="D9ECEA" w:themeFill="accent2"/>
          </w:tcPr>
          <w:p w14:paraId="03E42F8F" w14:textId="77777777" w:rsidR="00EB553E" w:rsidRPr="00BB13DB" w:rsidRDefault="00EB553E" w:rsidP="00F73556">
            <w:pPr>
              <w:pStyle w:val="DELWPexamplecaption"/>
              <w:spacing w:before="120"/>
            </w:pPr>
            <w:r w:rsidRPr="00BB13DB">
              <w:rPr>
                <w:rFonts w:ascii="Wingdings" w:eastAsia="Wingdings" w:hAnsi="Wingdings" w:cs="Wingdings"/>
                <w:color w:val="00828D" w:themeColor="text2"/>
                <w:sz w:val="28"/>
                <w:szCs w:val="28"/>
              </w:rPr>
              <w:t>û</w:t>
            </w:r>
          </w:p>
        </w:tc>
        <w:tc>
          <w:tcPr>
            <w:tcW w:w="8561" w:type="dxa"/>
            <w:shd w:val="clear" w:color="auto" w:fill="D9ECEA" w:themeFill="accent2"/>
          </w:tcPr>
          <w:p w14:paraId="64012C68" w14:textId="385DA6C3" w:rsidR="00EB553E" w:rsidRPr="00BB13DB" w:rsidRDefault="00EB553E" w:rsidP="00F73556">
            <w:pPr>
              <w:pStyle w:val="DELWPexamplecaption"/>
              <w:spacing w:before="120"/>
              <w:rPr>
                <w:b w:val="0"/>
                <w:bCs/>
                <w:strike/>
              </w:rPr>
            </w:pPr>
            <w:r w:rsidRPr="00BB13DB">
              <w:rPr>
                <w:b w:val="0"/>
                <w:bCs/>
              </w:rPr>
              <w:t>No motor vehicle may be serviced or repaired for gain.</w:t>
            </w:r>
          </w:p>
        </w:tc>
      </w:tr>
    </w:tbl>
    <w:p w14:paraId="489C73FF" w14:textId="77777777" w:rsidR="00DC2411" w:rsidRDefault="00AB2C0B" w:rsidP="002E55BC">
      <w:pPr>
        <w:pStyle w:val="DELWPbodyaftertablediagram"/>
      </w:pPr>
      <w:r>
        <w:t>Use ‘may’ to confer a discretion for action. In the following example a permit may be issued but there is no obligation that it must be issued.</w:t>
      </w:r>
    </w:p>
    <w:tbl>
      <w:tblPr>
        <w:tblStyle w:val="TableGrid"/>
        <w:tblW w:w="9241" w:type="dxa"/>
        <w:tblInd w:w="-5" w:type="dxa"/>
        <w:tblBorders>
          <w:top w:val="single" w:sz="4" w:space="0" w:color="D9ECEA" w:themeColor="accent2"/>
          <w:left w:val="single" w:sz="4" w:space="0" w:color="D9ECEA" w:themeColor="accent2"/>
          <w:bottom w:val="single" w:sz="4" w:space="0" w:color="D9ECEA" w:themeColor="accent2"/>
          <w:right w:val="single" w:sz="4" w:space="0" w:color="D9ECEA" w:themeColor="accent2"/>
          <w:insideH w:val="single" w:sz="4" w:space="0" w:color="D9ECEA" w:themeColor="accent2"/>
          <w:insideV w:val="single" w:sz="4" w:space="0" w:color="D9ECEA" w:themeColor="accent2"/>
        </w:tblBorders>
        <w:tblLook w:val="04A0" w:firstRow="1" w:lastRow="0" w:firstColumn="1" w:lastColumn="0" w:noHBand="0" w:noVBand="1"/>
      </w:tblPr>
      <w:tblGrid>
        <w:gridCol w:w="680"/>
        <w:gridCol w:w="8561"/>
      </w:tblGrid>
      <w:tr w:rsidR="00D92D44" w:rsidRPr="00B447C7" w14:paraId="784DF233" w14:textId="77777777" w:rsidTr="00ED27E1">
        <w:trPr>
          <w:cnfStyle w:val="100000000000" w:firstRow="1" w:lastRow="0" w:firstColumn="0" w:lastColumn="0" w:oddVBand="0" w:evenVBand="0" w:oddHBand="0" w:evenHBand="0" w:firstRowFirstColumn="0" w:firstRowLastColumn="0" w:lastRowFirstColumn="0" w:lastRowLastColumn="0"/>
        </w:trPr>
        <w:tc>
          <w:tcPr>
            <w:tcW w:w="680" w:type="dxa"/>
            <w:shd w:val="clear" w:color="auto" w:fill="D9ECEA" w:themeFill="accent2"/>
          </w:tcPr>
          <w:p w14:paraId="655FED27" w14:textId="77777777" w:rsidR="00EB553E" w:rsidRPr="00B447C7" w:rsidRDefault="00EB553E" w:rsidP="00F73556">
            <w:pPr>
              <w:pStyle w:val="DELWPexamplecaption"/>
              <w:spacing w:before="120"/>
              <w:rPr>
                <w:rFonts w:ascii="Wingdings" w:eastAsia="Wingdings" w:hAnsi="Wingdings" w:cs="Wingdings"/>
                <w:color w:val="00828D" w:themeColor="text2"/>
                <w:sz w:val="28"/>
                <w:szCs w:val="28"/>
              </w:rPr>
            </w:pPr>
            <w:r w:rsidRPr="00B447C7">
              <w:rPr>
                <w:rFonts w:ascii="Wingdings" w:eastAsia="Wingdings" w:hAnsi="Wingdings" w:cs="Wingdings"/>
                <w:color w:val="00828D" w:themeColor="text2"/>
                <w:sz w:val="28"/>
                <w:szCs w:val="28"/>
              </w:rPr>
              <w:t>ü</w:t>
            </w:r>
          </w:p>
        </w:tc>
        <w:tc>
          <w:tcPr>
            <w:tcW w:w="8561" w:type="dxa"/>
            <w:shd w:val="clear" w:color="auto" w:fill="D9ECEA" w:themeFill="accent2"/>
          </w:tcPr>
          <w:p w14:paraId="2C19E409" w14:textId="46144B86" w:rsidR="00EB553E" w:rsidRPr="00B447C7" w:rsidRDefault="00EB553E" w:rsidP="00F73556">
            <w:pPr>
              <w:pStyle w:val="DELWPexamplecaption"/>
              <w:spacing w:before="120"/>
              <w:rPr>
                <w:b w:val="0"/>
              </w:rPr>
            </w:pPr>
            <w:r w:rsidRPr="00B447C7">
              <w:rPr>
                <w:b w:val="0"/>
                <w:bCs/>
              </w:rPr>
              <w:t>A permit may be granted to vary any dimension or requirement of this clause.</w:t>
            </w:r>
          </w:p>
        </w:tc>
      </w:tr>
    </w:tbl>
    <w:p w14:paraId="489C7403" w14:textId="77777777" w:rsidR="00754143" w:rsidRDefault="00AB2C0B" w:rsidP="002E55BC">
      <w:pPr>
        <w:pStyle w:val="DELWPbodyaftertablediagram"/>
      </w:pPr>
      <w:r>
        <w:t>Do not use ‘should’ for a mandatory requirement. ‘Should’ can be used in criteria and in expressing non-mandatory requirements in schedules to some overlays, for example the Design and Development Overlay.</w:t>
      </w:r>
    </w:p>
    <w:p w14:paraId="489C7404" w14:textId="77777777" w:rsidR="00754143" w:rsidRDefault="00AB2C0B" w:rsidP="002E55BC">
      <w:pPr>
        <w:pStyle w:val="BodyText1"/>
      </w:pPr>
      <w:r>
        <w:t>Do not use ‘shall’. Use ‘must’ instead.</w:t>
      </w:r>
    </w:p>
    <w:p w14:paraId="489C7405" w14:textId="77777777" w:rsidR="00DC2411" w:rsidRDefault="00AB2C0B" w:rsidP="002E55BC">
      <w:pPr>
        <w:pStyle w:val="BodyText1"/>
      </w:pPr>
      <w:r>
        <w:t>Using ‘encourage’ and ‘discourage’ are useful in objectives but should not be used in requirements:</w:t>
      </w:r>
    </w:p>
    <w:tbl>
      <w:tblPr>
        <w:tblStyle w:val="TableGrid"/>
        <w:tblW w:w="9241" w:type="dxa"/>
        <w:tblInd w:w="-5" w:type="dxa"/>
        <w:tblBorders>
          <w:top w:val="single" w:sz="4" w:space="0" w:color="D9ECEA" w:themeColor="accent2"/>
          <w:left w:val="single" w:sz="4" w:space="0" w:color="D9ECEA" w:themeColor="accent2"/>
          <w:bottom w:val="single" w:sz="4" w:space="0" w:color="D9ECEA" w:themeColor="accent2"/>
          <w:right w:val="single" w:sz="4" w:space="0" w:color="D9ECEA" w:themeColor="accent2"/>
          <w:insideH w:val="single" w:sz="4" w:space="0" w:color="D9ECEA" w:themeColor="accent2"/>
          <w:insideV w:val="single" w:sz="4" w:space="0" w:color="D9ECEA" w:themeColor="accent2"/>
        </w:tblBorders>
        <w:tblLook w:val="04A0" w:firstRow="1" w:lastRow="0" w:firstColumn="1" w:lastColumn="0" w:noHBand="0" w:noVBand="1"/>
      </w:tblPr>
      <w:tblGrid>
        <w:gridCol w:w="680"/>
        <w:gridCol w:w="8561"/>
      </w:tblGrid>
      <w:tr w:rsidR="00D92D44" w:rsidRPr="00B447C7" w14:paraId="22425745" w14:textId="77777777" w:rsidTr="00ED27E1">
        <w:trPr>
          <w:cnfStyle w:val="100000000000" w:firstRow="1" w:lastRow="0" w:firstColumn="0" w:lastColumn="0" w:oddVBand="0" w:evenVBand="0" w:oddHBand="0" w:evenHBand="0" w:firstRowFirstColumn="0" w:firstRowLastColumn="0" w:lastRowFirstColumn="0" w:lastRowLastColumn="0"/>
        </w:trPr>
        <w:tc>
          <w:tcPr>
            <w:tcW w:w="680" w:type="dxa"/>
            <w:shd w:val="clear" w:color="auto" w:fill="D9ECEA" w:themeFill="accent2"/>
          </w:tcPr>
          <w:p w14:paraId="754A964A" w14:textId="77777777" w:rsidR="00EB553E" w:rsidRPr="00B447C7" w:rsidRDefault="00EB553E" w:rsidP="00F73556">
            <w:pPr>
              <w:pStyle w:val="DELWPexamplecaption"/>
              <w:spacing w:before="120"/>
              <w:rPr>
                <w:rFonts w:ascii="Wingdings" w:eastAsia="Wingdings" w:hAnsi="Wingdings" w:cs="Wingdings"/>
                <w:color w:val="00828D" w:themeColor="text2"/>
                <w:sz w:val="28"/>
                <w:szCs w:val="28"/>
              </w:rPr>
            </w:pPr>
            <w:r w:rsidRPr="00B447C7">
              <w:rPr>
                <w:rFonts w:ascii="Wingdings" w:eastAsia="Wingdings" w:hAnsi="Wingdings" w:cs="Wingdings"/>
                <w:color w:val="00828D" w:themeColor="text2"/>
                <w:sz w:val="28"/>
                <w:szCs w:val="28"/>
              </w:rPr>
              <w:t>ü</w:t>
            </w:r>
          </w:p>
        </w:tc>
        <w:tc>
          <w:tcPr>
            <w:tcW w:w="8561" w:type="dxa"/>
            <w:shd w:val="clear" w:color="auto" w:fill="D9ECEA" w:themeFill="accent2"/>
          </w:tcPr>
          <w:p w14:paraId="18B63CAC" w14:textId="7160B038" w:rsidR="00EB553E" w:rsidRPr="00B447C7" w:rsidRDefault="00EB553E" w:rsidP="00F73556">
            <w:pPr>
              <w:pStyle w:val="DELWPexamplecaption"/>
              <w:spacing w:before="120"/>
              <w:rPr>
                <w:b w:val="0"/>
                <w:bCs/>
              </w:rPr>
            </w:pPr>
            <w:r w:rsidRPr="00B447C7">
              <w:rPr>
                <w:b w:val="0"/>
                <w:bCs/>
              </w:rPr>
              <w:t>A fence at the front of a lot should not exceed 1.2 metres.</w:t>
            </w:r>
          </w:p>
        </w:tc>
      </w:tr>
      <w:tr w:rsidR="00D92D44" w:rsidRPr="00B447C7" w14:paraId="73BF283E" w14:textId="77777777" w:rsidTr="00ED27E1">
        <w:tc>
          <w:tcPr>
            <w:tcW w:w="680" w:type="dxa"/>
            <w:shd w:val="clear" w:color="auto" w:fill="D9ECEA" w:themeFill="accent2"/>
          </w:tcPr>
          <w:p w14:paraId="661AC22A" w14:textId="77777777" w:rsidR="00EB553E" w:rsidRPr="00B447C7" w:rsidRDefault="00EB553E" w:rsidP="00F73556">
            <w:pPr>
              <w:pStyle w:val="DELWPexamplecaption"/>
              <w:spacing w:before="120"/>
            </w:pPr>
            <w:r w:rsidRPr="00B447C7">
              <w:rPr>
                <w:rFonts w:ascii="Wingdings" w:eastAsia="Wingdings" w:hAnsi="Wingdings" w:cs="Wingdings"/>
                <w:color w:val="00828D" w:themeColor="text2"/>
                <w:sz w:val="28"/>
                <w:szCs w:val="28"/>
              </w:rPr>
              <w:t>û</w:t>
            </w:r>
          </w:p>
        </w:tc>
        <w:tc>
          <w:tcPr>
            <w:tcW w:w="8561" w:type="dxa"/>
            <w:shd w:val="clear" w:color="auto" w:fill="D9ECEA" w:themeFill="accent2"/>
          </w:tcPr>
          <w:p w14:paraId="2B97A5C4" w14:textId="71D8CFA5" w:rsidR="00EB553E" w:rsidRPr="00B447C7" w:rsidRDefault="00EB553E" w:rsidP="00F73556">
            <w:pPr>
              <w:pStyle w:val="DELWPexamplecaption"/>
              <w:spacing w:before="120"/>
              <w:rPr>
                <w:b w:val="0"/>
                <w:bCs/>
                <w:strike/>
              </w:rPr>
            </w:pPr>
            <w:r w:rsidRPr="00B447C7">
              <w:rPr>
                <w:b w:val="0"/>
                <w:bCs/>
              </w:rPr>
              <w:t>A maximum fence height of 1.2 metres will be encouraged at the street frontage.</w:t>
            </w:r>
          </w:p>
        </w:tc>
      </w:tr>
    </w:tbl>
    <w:p w14:paraId="489C740C" w14:textId="074D1225" w:rsidR="00754143" w:rsidRPr="00361E71" w:rsidRDefault="00B821E0" w:rsidP="004F6A20">
      <w:pPr>
        <w:pStyle w:val="Heading3"/>
      </w:pPr>
      <w:r>
        <w:t>6.1.2</w:t>
      </w:r>
      <w:r>
        <w:tab/>
      </w:r>
      <w:r w:rsidR="000B7EED">
        <w:tab/>
      </w:r>
      <w:r w:rsidR="00AB2C0B" w:rsidRPr="00361E71">
        <w:t>Make discretion obvious</w:t>
      </w:r>
    </w:p>
    <w:tbl>
      <w:tblPr>
        <w:tblStyle w:val="TableGrid"/>
        <w:tblpPr w:leftFromText="180" w:rightFromText="180" w:vertAnchor="text" w:horzAnchor="margin" w:tblpY="941"/>
        <w:tblW w:w="9241" w:type="dxa"/>
        <w:tblInd w:w="0" w:type="dxa"/>
        <w:tblBorders>
          <w:top w:val="single" w:sz="4" w:space="0" w:color="D9ECEA" w:themeColor="accent2"/>
          <w:left w:val="single" w:sz="4" w:space="0" w:color="D9ECEA" w:themeColor="accent2"/>
          <w:bottom w:val="single" w:sz="4" w:space="0" w:color="D9ECEA" w:themeColor="accent2"/>
          <w:right w:val="single" w:sz="4" w:space="0" w:color="D9ECEA" w:themeColor="accent2"/>
          <w:insideH w:val="single" w:sz="4" w:space="0" w:color="D9ECEA" w:themeColor="accent2"/>
          <w:insideV w:val="single" w:sz="4" w:space="0" w:color="D9ECEA" w:themeColor="accent2"/>
        </w:tblBorders>
        <w:tblLook w:val="04A0" w:firstRow="1" w:lastRow="0" w:firstColumn="1" w:lastColumn="0" w:noHBand="0" w:noVBand="1"/>
      </w:tblPr>
      <w:tblGrid>
        <w:gridCol w:w="962"/>
        <w:gridCol w:w="8279"/>
      </w:tblGrid>
      <w:tr w:rsidR="00AC2F6D" w:rsidRPr="005F12FC" w14:paraId="39612952" w14:textId="77777777" w:rsidTr="00AC2F6D">
        <w:trPr>
          <w:cnfStyle w:val="100000000000" w:firstRow="1" w:lastRow="0" w:firstColumn="0" w:lastColumn="0" w:oddVBand="0" w:evenVBand="0" w:oddHBand="0" w:evenHBand="0" w:firstRowFirstColumn="0" w:firstRowLastColumn="0" w:lastRowFirstColumn="0" w:lastRowLastColumn="0"/>
        </w:trPr>
        <w:tc>
          <w:tcPr>
            <w:tcW w:w="962" w:type="dxa"/>
            <w:shd w:val="clear" w:color="auto" w:fill="D9ECEA" w:themeFill="accent2"/>
            <w:vAlign w:val="top"/>
          </w:tcPr>
          <w:p w14:paraId="27FCC2C3" w14:textId="77777777" w:rsidR="00AC2F6D" w:rsidRPr="005319A6" w:rsidRDefault="00AC2F6D" w:rsidP="00AC2F6D">
            <w:pPr>
              <w:pStyle w:val="DELWPexamplecaption"/>
              <w:spacing w:before="120"/>
              <w:jc w:val="center"/>
              <w:rPr>
                <w:rFonts w:ascii="Wingdings" w:eastAsia="Wingdings" w:hAnsi="Wingdings" w:cs="Wingdings"/>
                <w:color w:val="00828D" w:themeColor="text2"/>
                <w:sz w:val="28"/>
                <w:szCs w:val="28"/>
              </w:rPr>
            </w:pPr>
            <w:r w:rsidRPr="005319A6">
              <w:rPr>
                <w:rFonts w:ascii="Wingdings" w:eastAsia="Wingdings" w:hAnsi="Wingdings" w:cs="Wingdings"/>
                <w:color w:val="00828D" w:themeColor="text2"/>
                <w:sz w:val="28"/>
                <w:szCs w:val="28"/>
              </w:rPr>
              <w:t>ü</w:t>
            </w:r>
          </w:p>
        </w:tc>
        <w:tc>
          <w:tcPr>
            <w:tcW w:w="8279" w:type="dxa"/>
            <w:shd w:val="clear" w:color="auto" w:fill="D9ECEA" w:themeFill="accent2"/>
          </w:tcPr>
          <w:p w14:paraId="26C87A53" w14:textId="77777777" w:rsidR="00AC2F6D" w:rsidRPr="00E22F4A" w:rsidRDefault="00AC2F6D" w:rsidP="00AC2F6D">
            <w:pPr>
              <w:pStyle w:val="DELWPexamplebody"/>
              <w:spacing w:before="100"/>
            </w:pPr>
            <w:r w:rsidRPr="00E22F4A">
              <w:t>The following requirements must be met.</w:t>
            </w:r>
          </w:p>
          <w:p w14:paraId="74098091" w14:textId="77777777" w:rsidR="00AC2F6D" w:rsidRPr="00E22F4A" w:rsidRDefault="00AC2F6D" w:rsidP="00AC2F6D">
            <w:pPr>
              <w:pStyle w:val="DELWPexamplebullet"/>
              <w:spacing w:before="60"/>
            </w:pPr>
            <w:r w:rsidRPr="00E22F4A">
              <w:t>Building height must not exceed 21 metres.</w:t>
            </w:r>
          </w:p>
          <w:p w14:paraId="2B962048" w14:textId="77777777" w:rsidR="00AC2F6D" w:rsidRPr="005F12FC" w:rsidRDefault="00AC2F6D" w:rsidP="00AC2F6D">
            <w:pPr>
              <w:pStyle w:val="DELWPexamplebullet"/>
              <w:spacing w:before="60"/>
            </w:pPr>
            <w:r w:rsidRPr="00E22F4A">
              <w:t>Filling is not permitted.</w:t>
            </w:r>
          </w:p>
        </w:tc>
      </w:tr>
      <w:tr w:rsidR="00AC2F6D" w:rsidRPr="005F12FC" w14:paraId="32742163" w14:textId="77777777" w:rsidTr="00AC2F6D">
        <w:tc>
          <w:tcPr>
            <w:tcW w:w="962" w:type="dxa"/>
            <w:shd w:val="clear" w:color="auto" w:fill="D9ECEA" w:themeFill="accent2"/>
          </w:tcPr>
          <w:p w14:paraId="5F7B0D59" w14:textId="2C31A52A" w:rsidR="00AC2F6D" w:rsidRPr="005319A6" w:rsidRDefault="00AC2F6D" w:rsidP="00AC2F6D">
            <w:pPr>
              <w:pStyle w:val="DELWPexamplecaption"/>
              <w:spacing w:before="120"/>
              <w:jc w:val="center"/>
              <w:rPr>
                <w:rFonts w:ascii="Wingdings" w:eastAsia="Wingdings" w:hAnsi="Wingdings" w:cs="Wingdings"/>
                <w:color w:val="00828D" w:themeColor="text2"/>
                <w:sz w:val="28"/>
                <w:szCs w:val="28"/>
              </w:rPr>
            </w:pPr>
            <w:r w:rsidRPr="005319A6">
              <w:rPr>
                <w:rFonts w:ascii="Wingdings" w:eastAsia="Wingdings" w:hAnsi="Wingdings" w:cs="Wingdings"/>
                <w:color w:val="00828D" w:themeColor="text2"/>
                <w:sz w:val="28"/>
                <w:szCs w:val="28"/>
              </w:rPr>
              <w:t>û</w:t>
            </w:r>
          </w:p>
        </w:tc>
        <w:tc>
          <w:tcPr>
            <w:tcW w:w="8279" w:type="dxa"/>
            <w:shd w:val="clear" w:color="auto" w:fill="D9ECEA" w:themeFill="accent2"/>
          </w:tcPr>
          <w:p w14:paraId="0EBBF204" w14:textId="77777777" w:rsidR="00AC2F6D" w:rsidRPr="00E22F4A" w:rsidRDefault="00AC2F6D" w:rsidP="00AC2F6D">
            <w:pPr>
              <w:pStyle w:val="DELWPexamplebody"/>
            </w:pPr>
            <w:r w:rsidRPr="00E22F4A">
              <w:t>The following requirements should be met. A permit may be granted to vary these requirements if the responsible authority considers that the proposal will better meet the objectives of the overlay.</w:t>
            </w:r>
          </w:p>
          <w:p w14:paraId="5B403F65" w14:textId="77777777" w:rsidR="00AC2F6D" w:rsidRPr="00E22F4A" w:rsidRDefault="00AC2F6D" w:rsidP="00AC2F6D">
            <w:pPr>
              <w:pStyle w:val="DELWPexamplebullet"/>
              <w:spacing w:before="60" w:after="60"/>
              <w:ind w:left="357" w:hanging="357"/>
            </w:pPr>
            <w:r w:rsidRPr="00E22F4A">
              <w:t>Building height should not exceed 21 metres.</w:t>
            </w:r>
          </w:p>
          <w:p w14:paraId="4ACCEB85" w14:textId="77777777" w:rsidR="00AC2F6D" w:rsidRPr="005F12FC" w:rsidRDefault="00AC2F6D" w:rsidP="00AC2F6D">
            <w:pPr>
              <w:pStyle w:val="DELWPexamplebullet"/>
              <w:spacing w:before="60" w:after="60"/>
              <w:ind w:left="357" w:hanging="357"/>
            </w:pPr>
            <w:r w:rsidRPr="00E22F4A">
              <w:t>Filling should not be undertaken.</w:t>
            </w:r>
          </w:p>
        </w:tc>
      </w:tr>
    </w:tbl>
    <w:p w14:paraId="489C740D" w14:textId="77777777" w:rsidR="00DC2411" w:rsidRDefault="00AB2C0B" w:rsidP="002E55BC">
      <w:pPr>
        <w:pStyle w:val="BodyText1"/>
      </w:pPr>
      <w:r>
        <w:t>Make mandatory requirements explicit. Do not assume that a reader will understand what you mean:</w:t>
      </w:r>
    </w:p>
    <w:p w14:paraId="489C7418" w14:textId="32BDD67B" w:rsidR="00754143" w:rsidRPr="00361E71" w:rsidRDefault="00B821E0" w:rsidP="004F6A20">
      <w:pPr>
        <w:pStyle w:val="Heading3"/>
      </w:pPr>
      <w:r>
        <w:lastRenderedPageBreak/>
        <w:t>6.1.3</w:t>
      </w:r>
      <w:r>
        <w:tab/>
      </w:r>
      <w:r w:rsidR="000B7EED">
        <w:tab/>
      </w:r>
      <w:r w:rsidR="00AB2C0B" w:rsidRPr="00361E71">
        <w:t>Take care with definitions</w:t>
      </w:r>
    </w:p>
    <w:p w14:paraId="6D882672" w14:textId="5E825FA8" w:rsidR="00EB116A" w:rsidRDefault="00AB2C0B" w:rsidP="002E55BC">
      <w:pPr>
        <w:pStyle w:val="BodyText1"/>
        <w:rPr>
          <w:lang w:val="en-US"/>
        </w:rPr>
      </w:pPr>
      <w:r>
        <w:t>Use words that have been defined in the</w:t>
      </w:r>
      <w:r w:rsidR="00260715">
        <w:t xml:space="preserve"> Act</w:t>
      </w:r>
      <w:r w:rsidR="00945743">
        <w:t>,</w:t>
      </w:r>
      <w:r w:rsidR="00260715">
        <w:t xml:space="preserve"> </w:t>
      </w:r>
      <w:r w:rsidR="00806E31" w:rsidRPr="004C2B4B">
        <w:t>clause 73</w:t>
      </w:r>
      <w:r w:rsidR="003017AF">
        <w:rPr>
          <w:b/>
          <w:bCs/>
        </w:rPr>
        <w:t xml:space="preserve"> </w:t>
      </w:r>
      <w:r w:rsidR="003017AF" w:rsidRPr="003017AF">
        <w:t>of the</w:t>
      </w:r>
      <w:r>
        <w:t xml:space="preserve"> planning scheme</w:t>
      </w:r>
      <w:r w:rsidR="00945743">
        <w:t xml:space="preserve"> and the</w:t>
      </w:r>
      <w:r w:rsidR="00945743" w:rsidRPr="008C58BA">
        <w:rPr>
          <w:lang w:val="en-US"/>
        </w:rPr>
        <w:t xml:space="preserve"> </w:t>
      </w:r>
      <w:r w:rsidR="00945743" w:rsidRPr="008C58BA">
        <w:rPr>
          <w:i/>
          <w:lang w:val="en-US"/>
        </w:rPr>
        <w:t>Interpretation of Legislation Act 1984</w:t>
      </w:r>
      <w:r>
        <w:t xml:space="preserve"> in strict accordance with their definition.</w:t>
      </w:r>
      <w:r w:rsidR="00EB116A">
        <w:t xml:space="preserve"> </w:t>
      </w:r>
      <w:r w:rsidR="00056096">
        <w:rPr>
          <w:lang w:val="en-US"/>
        </w:rPr>
        <w:t>Individual</w:t>
      </w:r>
      <w:r w:rsidR="00056096" w:rsidRPr="008C58BA">
        <w:rPr>
          <w:lang w:val="en-US"/>
        </w:rPr>
        <w:t xml:space="preserve"> </w:t>
      </w:r>
      <w:r w:rsidR="008C58BA" w:rsidRPr="008C58BA">
        <w:rPr>
          <w:lang w:val="en-US"/>
        </w:rPr>
        <w:t xml:space="preserve">local </w:t>
      </w:r>
      <w:r w:rsidR="00143A10">
        <w:rPr>
          <w:lang w:val="en-US"/>
        </w:rPr>
        <w:t xml:space="preserve">terms and </w:t>
      </w:r>
      <w:r w:rsidR="008C58BA" w:rsidRPr="008C58BA">
        <w:rPr>
          <w:lang w:val="en-US"/>
        </w:rPr>
        <w:t>definitions</w:t>
      </w:r>
      <w:r w:rsidR="004C29F0">
        <w:rPr>
          <w:lang w:val="en-US"/>
        </w:rPr>
        <w:t xml:space="preserve"> should</w:t>
      </w:r>
      <w:r w:rsidR="00657D72">
        <w:rPr>
          <w:lang w:val="en-US"/>
        </w:rPr>
        <w:t xml:space="preserve"> be</w:t>
      </w:r>
      <w:r w:rsidR="004C29F0">
        <w:rPr>
          <w:lang w:val="en-US"/>
        </w:rPr>
        <w:t xml:space="preserve"> </w:t>
      </w:r>
      <w:r w:rsidR="00056096">
        <w:rPr>
          <w:lang w:val="en-US"/>
        </w:rPr>
        <w:t>avoided in local provisions</w:t>
      </w:r>
      <w:r w:rsidR="008C58BA" w:rsidRPr="008C58BA">
        <w:rPr>
          <w:lang w:val="en-US"/>
        </w:rPr>
        <w:t xml:space="preserve">. </w:t>
      </w:r>
    </w:p>
    <w:p w14:paraId="489C741A" w14:textId="4CCAA82D" w:rsidR="00DC2411" w:rsidRDefault="008C58BA" w:rsidP="002E55BC">
      <w:pPr>
        <w:pStyle w:val="BodyText1"/>
      </w:pPr>
      <w:r w:rsidRPr="008C58BA">
        <w:rPr>
          <w:lang w:val="en-US"/>
        </w:rPr>
        <w:t xml:space="preserve">In situations where a term is not defined in these documents, it will be considered to have its ordinary or common meaning </w:t>
      </w:r>
      <w:r w:rsidR="00F76E6C">
        <w:t>as defined in the Macquarie Dictionary</w:t>
      </w:r>
      <w:r w:rsidR="00F616D6">
        <w:t>,</w:t>
      </w:r>
      <w:r w:rsidR="00F76E6C" w:rsidRPr="008C58BA">
        <w:rPr>
          <w:lang w:val="en-US"/>
        </w:rPr>
        <w:t xml:space="preserve"> </w:t>
      </w:r>
      <w:r w:rsidRPr="008C58BA">
        <w:rPr>
          <w:lang w:val="en-US"/>
        </w:rPr>
        <w:t>having regard to general principles of legal or statutory interpretation.</w:t>
      </w:r>
      <w:r w:rsidR="003017AF">
        <w:rPr>
          <w:lang w:val="en-US"/>
        </w:rPr>
        <w:t xml:space="preserve"> </w:t>
      </w:r>
      <w:r w:rsidR="00925BE3">
        <w:t>A</w:t>
      </w:r>
      <w:r w:rsidR="00E356FD">
        <w:t>void using</w:t>
      </w:r>
      <w:r w:rsidR="00925BE3">
        <w:t xml:space="preserve"> different</w:t>
      </w:r>
      <w:r w:rsidR="00E356FD">
        <w:t xml:space="preserve"> terms interchangeably </w:t>
      </w:r>
      <w:r w:rsidR="00A00EC1">
        <w:t xml:space="preserve">or using more than one term to apply </w:t>
      </w:r>
      <w:r w:rsidR="00925BE3">
        <w:t>one provision. For example, t</w:t>
      </w:r>
      <w:r w:rsidR="00AB2C0B">
        <w:t xml:space="preserve">he following requirement has </w:t>
      </w:r>
      <w:proofErr w:type="gramStart"/>
      <w:r w:rsidR="00AB2C0B">
        <w:t>a number of</w:t>
      </w:r>
      <w:proofErr w:type="gramEnd"/>
      <w:r w:rsidR="00AB2C0B">
        <w:t xml:space="preserve"> problems:</w:t>
      </w:r>
    </w:p>
    <w:tbl>
      <w:tblPr>
        <w:tblStyle w:val="TableGrid"/>
        <w:tblW w:w="9241" w:type="dxa"/>
        <w:tblInd w:w="-5" w:type="dxa"/>
        <w:tblBorders>
          <w:top w:val="single" w:sz="4" w:space="0" w:color="D9ECEA" w:themeColor="accent2"/>
          <w:left w:val="single" w:sz="4" w:space="0" w:color="D9ECEA" w:themeColor="accent2"/>
          <w:bottom w:val="single" w:sz="4" w:space="0" w:color="D9ECEA" w:themeColor="accent2"/>
          <w:right w:val="single" w:sz="4" w:space="0" w:color="D9ECEA" w:themeColor="accent2"/>
          <w:insideH w:val="single" w:sz="4" w:space="0" w:color="D9ECEA" w:themeColor="accent2"/>
          <w:insideV w:val="single" w:sz="4" w:space="0" w:color="D9ECEA" w:themeColor="accent2"/>
        </w:tblBorders>
        <w:tblLook w:val="04A0" w:firstRow="1" w:lastRow="0" w:firstColumn="1" w:lastColumn="0" w:noHBand="0" w:noVBand="1"/>
      </w:tblPr>
      <w:tblGrid>
        <w:gridCol w:w="680"/>
        <w:gridCol w:w="8561"/>
      </w:tblGrid>
      <w:tr w:rsidR="00D92D44" w:rsidRPr="00512A0D" w14:paraId="0F3DC6EE" w14:textId="77777777" w:rsidTr="00BB5269">
        <w:trPr>
          <w:cnfStyle w:val="100000000000" w:firstRow="1" w:lastRow="0" w:firstColumn="0" w:lastColumn="0" w:oddVBand="0" w:evenVBand="0" w:oddHBand="0" w:evenHBand="0" w:firstRowFirstColumn="0" w:firstRowLastColumn="0" w:lastRowFirstColumn="0" w:lastRowLastColumn="0"/>
        </w:trPr>
        <w:tc>
          <w:tcPr>
            <w:tcW w:w="680" w:type="dxa"/>
            <w:shd w:val="clear" w:color="auto" w:fill="D9ECEA" w:themeFill="accent2"/>
            <w:vAlign w:val="top"/>
          </w:tcPr>
          <w:p w14:paraId="50758545" w14:textId="77777777" w:rsidR="005F12FC" w:rsidRPr="009C6A9D" w:rsidRDefault="005F12FC" w:rsidP="00F73556">
            <w:pPr>
              <w:pStyle w:val="DELWPexamplecaption"/>
              <w:spacing w:before="120"/>
              <w:rPr>
                <w:rFonts w:ascii="Wingdings" w:eastAsia="Wingdings" w:hAnsi="Wingdings" w:cs="Wingdings"/>
                <w:color w:val="00828D" w:themeColor="text2"/>
                <w:sz w:val="28"/>
                <w:szCs w:val="28"/>
              </w:rPr>
            </w:pPr>
            <w:r w:rsidRPr="009C6A9D">
              <w:rPr>
                <w:rFonts w:ascii="Wingdings" w:eastAsia="Wingdings" w:hAnsi="Wingdings" w:cs="Wingdings"/>
                <w:color w:val="00828D" w:themeColor="text2"/>
                <w:sz w:val="28"/>
                <w:szCs w:val="28"/>
              </w:rPr>
              <w:t>û</w:t>
            </w:r>
          </w:p>
        </w:tc>
        <w:tc>
          <w:tcPr>
            <w:tcW w:w="8561" w:type="dxa"/>
            <w:shd w:val="clear" w:color="auto" w:fill="D9ECEA" w:themeFill="accent2"/>
          </w:tcPr>
          <w:p w14:paraId="478688E0" w14:textId="5D1EE715" w:rsidR="005F12FC" w:rsidRPr="009C6A9D" w:rsidRDefault="005F12FC" w:rsidP="002E55BC">
            <w:pPr>
              <w:pStyle w:val="DELWPexamplebody"/>
            </w:pPr>
            <w:r w:rsidRPr="009C6A9D">
              <w:t>The maximum building height in this precinct should not exceed 21 metres (6 storeys), including all roof structures, services, lift overruns and excluding architectural features only.</w:t>
            </w:r>
          </w:p>
        </w:tc>
      </w:tr>
    </w:tbl>
    <w:p w14:paraId="1744C906" w14:textId="2DD86545" w:rsidR="009C07C0" w:rsidRPr="00E4671A" w:rsidRDefault="00AB2C0B" w:rsidP="002E55BC">
      <w:pPr>
        <w:pStyle w:val="DELWPbodyaftertablediagram"/>
      </w:pPr>
      <w:r>
        <w:t xml:space="preserve">The </w:t>
      </w:r>
      <w:r w:rsidRPr="00E4671A">
        <w:t>planning scheme defines</w:t>
      </w:r>
      <w:r w:rsidR="009C07C0" w:rsidRPr="00E4671A">
        <w:t>:</w:t>
      </w:r>
    </w:p>
    <w:p w14:paraId="4145A436" w14:textId="7D0BB14B" w:rsidR="009C07C0" w:rsidRPr="00E4671A" w:rsidRDefault="00AB2C0B" w:rsidP="00A705A5">
      <w:pPr>
        <w:pStyle w:val="DELWPbodyaftertablediagram"/>
        <w:numPr>
          <w:ilvl w:val="0"/>
          <w:numId w:val="18"/>
        </w:numPr>
        <w:spacing w:before="120" w:line="240" w:lineRule="auto"/>
        <w:ind w:left="357" w:hanging="357"/>
      </w:pPr>
      <w:r w:rsidRPr="00E4671A">
        <w:rPr>
          <w:b/>
        </w:rPr>
        <w:t>‘</w:t>
      </w:r>
      <w:proofErr w:type="gramStart"/>
      <w:r w:rsidRPr="00E4671A">
        <w:rPr>
          <w:b/>
        </w:rPr>
        <w:t>building</w:t>
      </w:r>
      <w:proofErr w:type="gramEnd"/>
      <w:r w:rsidRPr="00E4671A">
        <w:rPr>
          <w:b/>
        </w:rPr>
        <w:t xml:space="preserve"> height’</w:t>
      </w:r>
      <w:r w:rsidRPr="00E4671A">
        <w:t xml:space="preserve"> </w:t>
      </w:r>
      <w:r w:rsidR="00803D8E" w:rsidRPr="00E4671A">
        <w:t>–</w:t>
      </w:r>
      <w:r w:rsidR="009C07C0" w:rsidRPr="00E4671A">
        <w:t xml:space="preserve"> </w:t>
      </w:r>
      <w:r w:rsidRPr="00E4671A">
        <w:t>the vertical distance between the ground level and the finished roof height directly above.</w:t>
      </w:r>
    </w:p>
    <w:p w14:paraId="0B88C2A3" w14:textId="6CA3FAA0" w:rsidR="009C07C0" w:rsidRDefault="009C07C0" w:rsidP="00A705A5">
      <w:pPr>
        <w:pStyle w:val="DELWPbodyaftertablediagram"/>
        <w:numPr>
          <w:ilvl w:val="0"/>
          <w:numId w:val="18"/>
        </w:numPr>
        <w:spacing w:before="120" w:line="240" w:lineRule="auto"/>
        <w:ind w:left="357" w:hanging="357"/>
      </w:pPr>
      <w:r w:rsidRPr="009C07C0">
        <w:rPr>
          <w:b/>
        </w:rPr>
        <w:t>‘</w:t>
      </w:r>
      <w:r w:rsidRPr="00E4671A">
        <w:rPr>
          <w:b/>
        </w:rPr>
        <w:t>storey’</w:t>
      </w:r>
      <w:r w:rsidRPr="00E4671A">
        <w:t xml:space="preserve"> </w:t>
      </w:r>
      <w:r w:rsidR="00803D8E" w:rsidRPr="00E4671A">
        <w:t>–</w:t>
      </w:r>
      <w:r w:rsidRPr="00E4671A">
        <w:t xml:space="preserve"> that part of a building between floor levels. If there is no floor above, it is the part between the floor level and ceiling. It may include an attic, basement, built over car parking area, and mezzanine.</w:t>
      </w:r>
    </w:p>
    <w:p w14:paraId="489C741E" w14:textId="4659D679" w:rsidR="00754143" w:rsidRDefault="00AB2C0B" w:rsidP="0024439B">
      <w:pPr>
        <w:pStyle w:val="BodyText1"/>
      </w:pPr>
      <w:r>
        <w:t>This requirement is unclear</w:t>
      </w:r>
      <w:r w:rsidR="00A271F5">
        <w:t xml:space="preserve"> because of the differing thresholds </w:t>
      </w:r>
      <w:r w:rsidR="00D21B59">
        <w:t>applied by</w:t>
      </w:r>
      <w:r w:rsidR="00A271F5">
        <w:t xml:space="preserve"> the </w:t>
      </w:r>
      <w:r w:rsidR="00A46228">
        <w:t>two</w:t>
      </w:r>
      <w:r w:rsidR="00A271F5">
        <w:t xml:space="preserve"> terms.</w:t>
      </w:r>
      <w:r w:rsidR="0056441E">
        <w:t xml:space="preserve"> </w:t>
      </w:r>
      <w:r w:rsidR="00A271F5">
        <w:t>For example, it is unclear</w:t>
      </w:r>
      <w:r>
        <w:t xml:space="preserve"> whether a building less than 21 metres but with seven storeys is acceptable.</w:t>
      </w:r>
      <w:r w:rsidR="0056441E">
        <w:t xml:space="preserve"> </w:t>
      </w:r>
      <w:r w:rsidR="00EB6834">
        <w:t xml:space="preserve">Thresholds </w:t>
      </w:r>
      <w:r w:rsidR="000F02F6">
        <w:t>must</w:t>
      </w:r>
      <w:r w:rsidR="00EB6834">
        <w:t xml:space="preserve"> be carefully applied to ensure the intent of </w:t>
      </w:r>
      <w:r w:rsidR="000F02F6">
        <w:t>a</w:t>
      </w:r>
      <w:r w:rsidR="00EB6834">
        <w:t xml:space="preserve"> provision is clearly understood</w:t>
      </w:r>
      <w:r w:rsidR="000F02F6">
        <w:t>, particularly where more than one threshold is applied</w:t>
      </w:r>
      <w:r w:rsidR="00EB6834">
        <w:t>.</w:t>
      </w:r>
      <w:r w:rsidR="00D92C0F">
        <w:t xml:space="preserve"> </w:t>
      </w:r>
      <w:r w:rsidR="00D21B59">
        <w:t>Also</w:t>
      </w:r>
      <w:r w:rsidR="00803D8E">
        <w:t>,</w:t>
      </w:r>
      <w:r w:rsidR="00D21B59">
        <w:t xml:space="preserve"> avoid using terms like ‘mid-rise’ and ‘high-rise’ without explaining what the terms mean.</w:t>
      </w:r>
    </w:p>
    <w:p w14:paraId="489C741F" w14:textId="553238A4" w:rsidR="00DC2411" w:rsidRDefault="00A46228" w:rsidP="002E55BC">
      <w:pPr>
        <w:pStyle w:val="BodyText1"/>
      </w:pPr>
      <w:r>
        <w:t xml:space="preserve">The above </w:t>
      </w:r>
      <w:r w:rsidR="00AB2C0B">
        <w:t>requirement could be improved. For example:</w:t>
      </w:r>
    </w:p>
    <w:tbl>
      <w:tblPr>
        <w:tblStyle w:val="TableGrid"/>
        <w:tblW w:w="9241" w:type="dxa"/>
        <w:tblInd w:w="-5" w:type="dxa"/>
        <w:tblBorders>
          <w:top w:val="single" w:sz="4" w:space="0" w:color="D9ECEA" w:themeColor="accent2"/>
          <w:left w:val="single" w:sz="4" w:space="0" w:color="D9ECEA" w:themeColor="accent2"/>
          <w:bottom w:val="single" w:sz="4" w:space="0" w:color="D9ECEA" w:themeColor="accent2"/>
          <w:right w:val="single" w:sz="4" w:space="0" w:color="D9ECEA" w:themeColor="accent2"/>
          <w:insideH w:val="single" w:sz="4" w:space="0" w:color="D9ECEA" w:themeColor="accent2"/>
          <w:insideV w:val="single" w:sz="4" w:space="0" w:color="D9ECEA" w:themeColor="accent2"/>
        </w:tblBorders>
        <w:tblLook w:val="04A0" w:firstRow="1" w:lastRow="0" w:firstColumn="1" w:lastColumn="0" w:noHBand="0" w:noVBand="1"/>
      </w:tblPr>
      <w:tblGrid>
        <w:gridCol w:w="680"/>
        <w:gridCol w:w="8561"/>
      </w:tblGrid>
      <w:tr w:rsidR="00D92D44" w:rsidRPr="00512A0D" w14:paraId="1C16DE97" w14:textId="77777777" w:rsidTr="00BB5269">
        <w:trPr>
          <w:cnfStyle w:val="100000000000" w:firstRow="1" w:lastRow="0" w:firstColumn="0" w:lastColumn="0" w:oddVBand="0" w:evenVBand="0" w:oddHBand="0" w:evenHBand="0" w:firstRowFirstColumn="0" w:firstRowLastColumn="0" w:lastRowFirstColumn="0" w:lastRowLastColumn="0"/>
        </w:trPr>
        <w:tc>
          <w:tcPr>
            <w:tcW w:w="680" w:type="dxa"/>
            <w:shd w:val="clear" w:color="auto" w:fill="D9ECEA" w:themeFill="accent2"/>
            <w:vAlign w:val="top"/>
          </w:tcPr>
          <w:p w14:paraId="1B6EA01F" w14:textId="77777777" w:rsidR="00637BEC" w:rsidRPr="005319A6" w:rsidRDefault="00637BEC" w:rsidP="00F73556">
            <w:pPr>
              <w:pStyle w:val="DELWPexamplecaption"/>
              <w:spacing w:before="120"/>
              <w:rPr>
                <w:rFonts w:ascii="Wingdings" w:eastAsia="Wingdings" w:hAnsi="Wingdings" w:cs="Wingdings"/>
                <w:color w:val="00828D" w:themeColor="text2"/>
                <w:sz w:val="28"/>
                <w:szCs w:val="28"/>
              </w:rPr>
            </w:pPr>
            <w:r w:rsidRPr="005319A6">
              <w:rPr>
                <w:rFonts w:ascii="Wingdings" w:eastAsia="Wingdings" w:hAnsi="Wingdings" w:cs="Wingdings"/>
                <w:color w:val="00828D" w:themeColor="text2"/>
                <w:sz w:val="28"/>
                <w:szCs w:val="28"/>
              </w:rPr>
              <w:t>ü</w:t>
            </w:r>
          </w:p>
        </w:tc>
        <w:tc>
          <w:tcPr>
            <w:tcW w:w="8561" w:type="dxa"/>
            <w:shd w:val="clear" w:color="auto" w:fill="D9ECEA" w:themeFill="accent2"/>
          </w:tcPr>
          <w:p w14:paraId="7E0189F8" w14:textId="32B9A476" w:rsidR="00637BEC" w:rsidRPr="005F12FC" w:rsidRDefault="00637BEC" w:rsidP="002E55BC">
            <w:pPr>
              <w:pStyle w:val="DELWPexamplebody"/>
            </w:pPr>
            <w:r w:rsidRPr="000407DC">
              <w:t>Building height should not exceed 21 metres or six storeys (not including a basement), whichever is the lesser. No structure except an architectural feature may be constructed above the finished roof.</w:t>
            </w:r>
          </w:p>
        </w:tc>
      </w:tr>
    </w:tbl>
    <w:p w14:paraId="489C7423" w14:textId="4D319CF4" w:rsidR="00754143" w:rsidRDefault="00AB2C0B" w:rsidP="002E55BC">
      <w:pPr>
        <w:pStyle w:val="DELWPbodyaftertablediagram"/>
      </w:pPr>
      <w:r>
        <w:t>Before a new</w:t>
      </w:r>
      <w:r w:rsidR="0065576F">
        <w:t xml:space="preserve"> term or</w:t>
      </w:r>
      <w:r>
        <w:t xml:space="preserve"> definition is used, consider why </w:t>
      </w:r>
      <w:r w:rsidR="0065576F">
        <w:t>it</w:t>
      </w:r>
      <w:r>
        <w:t xml:space="preserve"> is needed. The </w:t>
      </w:r>
      <w:r w:rsidR="0027545A">
        <w:t xml:space="preserve">Act and the </w:t>
      </w:r>
      <w:r>
        <w:t>VPP provi</w:t>
      </w:r>
      <w:r w:rsidRPr="00E4671A">
        <w:t>de</w:t>
      </w:r>
      <w:r>
        <w:t xml:space="preserve"> </w:t>
      </w:r>
      <w:proofErr w:type="gramStart"/>
      <w:r>
        <w:t>a number of</w:t>
      </w:r>
      <w:proofErr w:type="gramEnd"/>
      <w:r>
        <w:t xml:space="preserve"> definitions and a provision should be drafted on the basis of these definitions.</w:t>
      </w:r>
    </w:p>
    <w:tbl>
      <w:tblPr>
        <w:tblStyle w:val="TableGrid"/>
        <w:tblpPr w:leftFromText="180" w:rightFromText="180" w:vertAnchor="text" w:horzAnchor="margin" w:tblpY="1260"/>
        <w:tblW w:w="9241" w:type="dxa"/>
        <w:tblInd w:w="0" w:type="dxa"/>
        <w:tblBorders>
          <w:top w:val="single" w:sz="4" w:space="0" w:color="D9ECEA" w:themeColor="accent2"/>
          <w:left w:val="single" w:sz="4" w:space="0" w:color="D9ECEA" w:themeColor="accent2"/>
          <w:bottom w:val="single" w:sz="4" w:space="0" w:color="D9ECEA" w:themeColor="accent2"/>
          <w:right w:val="single" w:sz="4" w:space="0" w:color="D9ECEA" w:themeColor="accent2"/>
          <w:insideH w:val="single" w:sz="4" w:space="0" w:color="D9ECEA" w:themeColor="accent2"/>
          <w:insideV w:val="single" w:sz="4" w:space="0" w:color="D9ECEA" w:themeColor="accent2"/>
        </w:tblBorders>
        <w:tblLook w:val="04A0" w:firstRow="1" w:lastRow="0" w:firstColumn="1" w:lastColumn="0" w:noHBand="0" w:noVBand="1"/>
      </w:tblPr>
      <w:tblGrid>
        <w:gridCol w:w="680"/>
        <w:gridCol w:w="8561"/>
      </w:tblGrid>
      <w:tr w:rsidR="0098541F" w:rsidRPr="00512A0D" w14:paraId="4C238CD7" w14:textId="77777777" w:rsidTr="0098541F">
        <w:trPr>
          <w:cnfStyle w:val="100000000000" w:firstRow="1" w:lastRow="0" w:firstColumn="0" w:lastColumn="0" w:oddVBand="0" w:evenVBand="0" w:oddHBand="0" w:evenHBand="0" w:firstRowFirstColumn="0" w:firstRowLastColumn="0" w:lastRowFirstColumn="0" w:lastRowLastColumn="0"/>
        </w:trPr>
        <w:tc>
          <w:tcPr>
            <w:tcW w:w="680" w:type="dxa"/>
            <w:shd w:val="clear" w:color="auto" w:fill="D9ECEA" w:themeFill="accent2"/>
            <w:vAlign w:val="top"/>
          </w:tcPr>
          <w:p w14:paraId="69C85894" w14:textId="77777777" w:rsidR="0098541F" w:rsidRPr="005319A6" w:rsidRDefault="0098541F" w:rsidP="0098541F">
            <w:pPr>
              <w:pStyle w:val="DELWPexamplecaption"/>
              <w:spacing w:before="120"/>
              <w:rPr>
                <w:rFonts w:ascii="Wingdings" w:eastAsia="Wingdings" w:hAnsi="Wingdings" w:cs="Wingdings"/>
                <w:color w:val="00828D" w:themeColor="text2"/>
                <w:sz w:val="28"/>
                <w:szCs w:val="28"/>
              </w:rPr>
            </w:pPr>
            <w:r w:rsidRPr="005319A6">
              <w:rPr>
                <w:rFonts w:ascii="Wingdings" w:eastAsia="Wingdings" w:hAnsi="Wingdings" w:cs="Wingdings"/>
                <w:color w:val="00828D" w:themeColor="text2"/>
                <w:sz w:val="28"/>
                <w:szCs w:val="28"/>
              </w:rPr>
              <w:t>û</w:t>
            </w:r>
          </w:p>
        </w:tc>
        <w:tc>
          <w:tcPr>
            <w:tcW w:w="8561" w:type="dxa"/>
            <w:shd w:val="clear" w:color="auto" w:fill="D9ECEA" w:themeFill="accent2"/>
          </w:tcPr>
          <w:p w14:paraId="45FB1363" w14:textId="77777777" w:rsidR="0098541F" w:rsidRPr="00471412" w:rsidRDefault="0098541F" w:rsidP="0098541F">
            <w:pPr>
              <w:pStyle w:val="DELWPexamplebody"/>
            </w:pPr>
            <w:r w:rsidRPr="00471412">
              <w:t>‘Live work development’ means a dwelling adapted for use as a home-based office provided the office component is less than 40 square metres and is not publicly accessible out of normal business hours.</w:t>
            </w:r>
          </w:p>
        </w:tc>
      </w:tr>
      <w:tr w:rsidR="0098541F" w:rsidRPr="00DB6CE0" w14:paraId="5DD472A7" w14:textId="77777777" w:rsidTr="0098541F">
        <w:tc>
          <w:tcPr>
            <w:tcW w:w="680" w:type="dxa"/>
            <w:shd w:val="clear" w:color="auto" w:fill="D9ECEA" w:themeFill="accent2"/>
          </w:tcPr>
          <w:p w14:paraId="0ADEDFB6" w14:textId="77777777" w:rsidR="0098541F" w:rsidRPr="005319A6" w:rsidRDefault="0098541F" w:rsidP="0098541F">
            <w:pPr>
              <w:pStyle w:val="DELWPexamplecaption"/>
              <w:spacing w:before="120"/>
              <w:rPr>
                <w:rFonts w:ascii="Wingdings" w:eastAsia="Wingdings" w:hAnsi="Wingdings" w:cs="Wingdings"/>
                <w:color w:val="00828D" w:themeColor="text2"/>
                <w:sz w:val="28"/>
                <w:szCs w:val="28"/>
              </w:rPr>
            </w:pPr>
            <w:r w:rsidRPr="005319A6">
              <w:rPr>
                <w:rFonts w:ascii="Wingdings" w:eastAsia="Wingdings" w:hAnsi="Wingdings" w:cs="Wingdings"/>
                <w:color w:val="00828D" w:themeColor="text2"/>
                <w:sz w:val="28"/>
                <w:szCs w:val="28"/>
              </w:rPr>
              <w:t>ü</w:t>
            </w:r>
          </w:p>
        </w:tc>
        <w:tc>
          <w:tcPr>
            <w:tcW w:w="8561" w:type="dxa"/>
            <w:shd w:val="clear" w:color="auto" w:fill="D9ECEA" w:themeFill="accent2"/>
          </w:tcPr>
          <w:p w14:paraId="23390729" w14:textId="77777777" w:rsidR="0098541F" w:rsidRPr="00471412" w:rsidRDefault="0098541F" w:rsidP="0098541F">
            <w:pPr>
              <w:pStyle w:val="DELWPexamplebody"/>
              <w:spacing w:after="40"/>
            </w:pPr>
            <w:r w:rsidRPr="00471412">
              <w:t>‘Live work development’ means a dwelling adapted for use as a home-based office.</w:t>
            </w:r>
          </w:p>
        </w:tc>
      </w:tr>
    </w:tbl>
    <w:p w14:paraId="489C7428" w14:textId="57A04268" w:rsidR="00DC2411" w:rsidRDefault="00AB2C0B" w:rsidP="002E55BC">
      <w:pPr>
        <w:pStyle w:val="BodyText1"/>
      </w:pPr>
      <w:r>
        <w:t>A definition should not introduce controls. Metrics or other conditions, such as the requirements over the size and hours of operation should not be included in a definition.</w:t>
      </w:r>
      <w:r w:rsidR="007B0524">
        <w:t xml:space="preserve"> For example:</w:t>
      </w:r>
    </w:p>
    <w:p w14:paraId="489C742C" w14:textId="77777777" w:rsidR="00754143" w:rsidRDefault="00AB2C0B" w:rsidP="002E55BC">
      <w:pPr>
        <w:pStyle w:val="DELWPbodyaftertablediagram"/>
      </w:pPr>
      <w:r>
        <w:lastRenderedPageBreak/>
        <w:t>Any desired metrics or conditions on the use should be introduced through separate requirements in the provision.</w:t>
      </w:r>
    </w:p>
    <w:p w14:paraId="6BD9473D" w14:textId="192A0E64" w:rsidR="00BA3B39" w:rsidRPr="00BA3B39" w:rsidRDefault="00BA3B39" w:rsidP="004F6A20">
      <w:pPr>
        <w:pStyle w:val="Heading3"/>
      </w:pPr>
      <w:r>
        <w:t>6.1.4</w:t>
      </w:r>
      <w:r>
        <w:tab/>
      </w:r>
      <w:r w:rsidRPr="00BA3B39">
        <w:t xml:space="preserve">Traditional Owner place names </w:t>
      </w:r>
    </w:p>
    <w:p w14:paraId="098ED537" w14:textId="77777777" w:rsidR="00BA3B39" w:rsidRPr="00BA3B39" w:rsidRDefault="00BA3B39" w:rsidP="00BA3B39">
      <w:pPr>
        <w:pStyle w:val="BodyText10"/>
        <w:suppressAutoHyphens/>
        <w:spacing w:before="120" w:after="0" w:line="288" w:lineRule="auto"/>
        <w:ind w:left="0"/>
        <w:rPr>
          <w:rFonts w:ascii="VIC" w:eastAsia="Times" w:hAnsi="VIC"/>
          <w:lang w:eastAsia="en-US"/>
        </w:rPr>
      </w:pPr>
      <w:r w:rsidRPr="00BA3B39">
        <w:rPr>
          <w:rFonts w:ascii="VIC" w:eastAsia="Times" w:hAnsi="VIC"/>
          <w:lang w:eastAsia="en-US"/>
        </w:rPr>
        <w:t xml:space="preserve">To honour and preserve Traditional Owner languages, planning authorities are encouraged to identify places within planning schemes using Traditional Owner place names. </w:t>
      </w:r>
    </w:p>
    <w:p w14:paraId="479661BE" w14:textId="77777777" w:rsidR="00BA3B39" w:rsidRPr="00BA3B39" w:rsidRDefault="00BA3B39" w:rsidP="00BA3B39">
      <w:pPr>
        <w:pStyle w:val="BodyText10"/>
        <w:suppressAutoHyphens/>
        <w:spacing w:before="120" w:after="0" w:line="288" w:lineRule="auto"/>
        <w:ind w:left="0"/>
        <w:rPr>
          <w:rFonts w:ascii="VIC" w:eastAsia="Times" w:hAnsi="VIC"/>
          <w:lang w:eastAsia="en-US"/>
        </w:rPr>
      </w:pPr>
      <w:r w:rsidRPr="00BA3B39">
        <w:rPr>
          <w:rFonts w:ascii="VIC" w:eastAsia="Times" w:hAnsi="VIC"/>
          <w:lang w:eastAsia="en-US"/>
        </w:rPr>
        <w:t>Traditional Owner place names may be applied in planning schemes by using either a registered or unregistered Traditional Owner place name.</w:t>
      </w:r>
    </w:p>
    <w:p w14:paraId="6F3089CA" w14:textId="77777777" w:rsidR="00BA3B39" w:rsidRPr="00BA3B39" w:rsidRDefault="00BA3B39" w:rsidP="00EA776C">
      <w:pPr>
        <w:pStyle w:val="Heading4"/>
      </w:pPr>
      <w:r w:rsidRPr="00BA3B39">
        <w:t>Registered Traditional Owner place names</w:t>
      </w:r>
    </w:p>
    <w:p w14:paraId="08AC586C" w14:textId="50B1BFF5" w:rsidR="00756B6A" w:rsidRPr="00756B6A" w:rsidRDefault="00BA3B39" w:rsidP="00756B6A">
      <w:pPr>
        <w:pStyle w:val="BodyText10"/>
        <w:suppressAutoHyphens/>
        <w:spacing w:before="120" w:after="0" w:line="288" w:lineRule="auto"/>
        <w:ind w:left="0"/>
        <w:rPr>
          <w:rFonts w:ascii="VIC" w:eastAsia="Times" w:hAnsi="VIC"/>
          <w:lang w:eastAsia="en-US"/>
        </w:rPr>
      </w:pPr>
      <w:r w:rsidRPr="00BA3B39">
        <w:rPr>
          <w:rFonts w:ascii="VIC" w:eastAsia="Times" w:hAnsi="VIC"/>
          <w:lang w:eastAsia="en-US"/>
        </w:rPr>
        <w:t xml:space="preserve">See the Register of Geographical Names </w:t>
      </w:r>
      <w:hyperlink r:id="rId35" w:history="1">
        <w:r w:rsidRPr="00BA3B39">
          <w:rPr>
            <w:rStyle w:val="Hyperlink"/>
            <w:rFonts w:ascii="VIC" w:eastAsia="Times" w:hAnsi="VIC"/>
            <w:lang w:eastAsia="en-US"/>
          </w:rPr>
          <w:t>VICNAMES</w:t>
        </w:r>
      </w:hyperlink>
      <w:r w:rsidRPr="00BA3B39">
        <w:rPr>
          <w:rFonts w:ascii="VIC" w:eastAsia="Times" w:hAnsi="VIC"/>
          <w:lang w:eastAsia="en-US"/>
        </w:rPr>
        <w:t xml:space="preserve"> to search for Traditional Owner place names in Victoria. These include registered ‘dual names’ where the non-indigenous name and Traditional Owner name of a place are combined to make the official place name. For more information on dual names, see the </w:t>
      </w:r>
      <w:hyperlink r:id="rId36" w:history="1">
        <w:r w:rsidR="00756B6A" w:rsidRPr="00756B6A">
          <w:rPr>
            <w:rStyle w:val="Hyperlink"/>
            <w:rFonts w:ascii="VIC" w:hAnsi="VIC"/>
            <w:i/>
            <w:iCs/>
            <w:color w:val="auto"/>
          </w:rPr>
          <w:t>Naming Rules for Places in Victoria - Statutory Requirements for Naming Roads, Features and Localities</w:t>
        </w:r>
        <w:r w:rsidR="00756B6A" w:rsidRPr="00756B6A">
          <w:rPr>
            <w:rStyle w:val="Hyperlink"/>
            <w:rFonts w:ascii="VIC" w:hAnsi="VIC"/>
            <w:color w:val="auto"/>
          </w:rPr>
          <w:t xml:space="preserve"> (Department of Environment, Land, Water and Planning, 2022)</w:t>
        </w:r>
      </w:hyperlink>
      <w:r w:rsidR="00756B6A" w:rsidRPr="00756B6A">
        <w:rPr>
          <w:rFonts w:ascii="VIC" w:hAnsi="VIC"/>
        </w:rPr>
        <w:t xml:space="preserve"> (Naming Rules).</w:t>
      </w:r>
    </w:p>
    <w:p w14:paraId="3FC72953" w14:textId="77777777" w:rsidR="00BA3B39" w:rsidRPr="00BA3B39" w:rsidRDefault="00BA3B39" w:rsidP="00EA776C">
      <w:pPr>
        <w:pStyle w:val="Heading4"/>
      </w:pPr>
      <w:r w:rsidRPr="00BA3B39">
        <w:t>Unregistered Traditional Owner place names</w:t>
      </w:r>
    </w:p>
    <w:p w14:paraId="5689325D" w14:textId="77777777" w:rsidR="00BA3B39" w:rsidRPr="00BA3B39" w:rsidRDefault="00BA3B39" w:rsidP="00BA3B39">
      <w:pPr>
        <w:pStyle w:val="BodyText10"/>
        <w:suppressAutoHyphens/>
        <w:spacing w:before="120" w:after="0" w:line="288" w:lineRule="auto"/>
        <w:ind w:left="0"/>
        <w:rPr>
          <w:rFonts w:ascii="VIC" w:eastAsia="Times" w:hAnsi="VIC"/>
          <w:lang w:eastAsia="en-US"/>
        </w:rPr>
      </w:pPr>
      <w:r w:rsidRPr="00BA3B39">
        <w:rPr>
          <w:rFonts w:ascii="VIC" w:eastAsia="Times" w:hAnsi="VIC"/>
          <w:lang w:eastAsia="en-US"/>
        </w:rPr>
        <w:t>An unregistered Traditional Owner place name may be used in planning schemes where:</w:t>
      </w:r>
    </w:p>
    <w:p w14:paraId="685DF220" w14:textId="77777777" w:rsidR="00BA3B39" w:rsidRPr="001F3B24" w:rsidRDefault="00BA3B39" w:rsidP="001F3B24">
      <w:pPr>
        <w:pStyle w:val="DELWPbodyaftertablediagram"/>
        <w:numPr>
          <w:ilvl w:val="0"/>
          <w:numId w:val="18"/>
        </w:numPr>
        <w:spacing w:before="120" w:line="240" w:lineRule="auto"/>
        <w:ind w:left="357" w:hanging="357"/>
        <w:rPr>
          <w:bCs/>
        </w:rPr>
      </w:pPr>
      <w:r w:rsidRPr="001F3B24">
        <w:rPr>
          <w:bCs/>
        </w:rPr>
        <w:t>The Traditional Owner place name is widely known.</w:t>
      </w:r>
    </w:p>
    <w:p w14:paraId="771E9561" w14:textId="77777777" w:rsidR="00BA3B39" w:rsidRPr="001F3B24" w:rsidRDefault="00BA3B39" w:rsidP="001F3B24">
      <w:pPr>
        <w:pStyle w:val="DELWPbodyaftertablediagram"/>
        <w:numPr>
          <w:ilvl w:val="0"/>
          <w:numId w:val="18"/>
        </w:numPr>
        <w:spacing w:before="120" w:line="240" w:lineRule="auto"/>
        <w:ind w:left="357" w:hanging="357"/>
        <w:rPr>
          <w:bCs/>
        </w:rPr>
      </w:pPr>
      <w:r w:rsidRPr="001F3B24">
        <w:rPr>
          <w:bCs/>
        </w:rPr>
        <w:t>Its boundaries are consistent with the boundaries of the place that is subject to the planning scheme provision.</w:t>
      </w:r>
    </w:p>
    <w:p w14:paraId="6B55AFAF" w14:textId="77777777" w:rsidR="00BA3B39" w:rsidRPr="001F3B24" w:rsidRDefault="00BA3B39" w:rsidP="001F3B24">
      <w:pPr>
        <w:pStyle w:val="DELWPbodyaftertablediagram"/>
        <w:numPr>
          <w:ilvl w:val="0"/>
          <w:numId w:val="18"/>
        </w:numPr>
        <w:spacing w:before="120" w:line="240" w:lineRule="auto"/>
        <w:ind w:left="357" w:hanging="357"/>
        <w:rPr>
          <w:bCs/>
        </w:rPr>
      </w:pPr>
      <w:r w:rsidRPr="001F3B24">
        <w:rPr>
          <w:bCs/>
        </w:rPr>
        <w:t>The relevant Registered Aboriginal Party/s (RAP) has agreed to the use of the place name. (Agreement can be established as part of the associated planning scheme amendment or a separate council process. Where a RAP is not in place, see the relevant Traditional Owner group, noting that more than one RAP or Traditional Owner group may have an interest in the affected land).</w:t>
      </w:r>
    </w:p>
    <w:p w14:paraId="5141B9BE" w14:textId="77777777" w:rsidR="00BA3B39" w:rsidRPr="001F3B24" w:rsidRDefault="00BA3B39" w:rsidP="001F3B24">
      <w:pPr>
        <w:pStyle w:val="DELWPbodyaftertablediagram"/>
        <w:numPr>
          <w:ilvl w:val="0"/>
          <w:numId w:val="18"/>
        </w:numPr>
        <w:spacing w:before="120" w:line="240" w:lineRule="auto"/>
        <w:ind w:left="357" w:hanging="357"/>
        <w:rPr>
          <w:bCs/>
        </w:rPr>
      </w:pPr>
      <w:r w:rsidRPr="001F3B24">
        <w:rPr>
          <w:bCs/>
        </w:rPr>
        <w:t>Consistent naming is used for the place throughout the planning scheme.</w:t>
      </w:r>
    </w:p>
    <w:p w14:paraId="617FA0E3" w14:textId="77777777" w:rsidR="00BA3B39" w:rsidRPr="00BA3B39" w:rsidRDefault="00BA3B39" w:rsidP="00BA3B39">
      <w:pPr>
        <w:pStyle w:val="BodyText10"/>
        <w:suppressAutoHyphens/>
        <w:spacing w:before="120" w:after="0" w:line="288" w:lineRule="auto"/>
        <w:ind w:left="0"/>
        <w:rPr>
          <w:rFonts w:ascii="VIC" w:eastAsia="Times" w:hAnsi="VIC"/>
          <w:lang w:eastAsia="en-US"/>
        </w:rPr>
      </w:pPr>
      <w:r w:rsidRPr="00BA3B39">
        <w:rPr>
          <w:rFonts w:ascii="VIC" w:eastAsia="Times" w:hAnsi="VIC"/>
          <w:lang w:eastAsia="en-US"/>
        </w:rPr>
        <w:t>An unregistered Traditional Owner place name may be applied by using the ‘co-naming method’ or by replacing the non-indigenous place name with a Traditional Owner place name.</w:t>
      </w:r>
    </w:p>
    <w:p w14:paraId="784C0FC2" w14:textId="77777777" w:rsidR="00BA3B39" w:rsidRPr="00BA3B39" w:rsidRDefault="00BA3B39" w:rsidP="001F3B24">
      <w:pPr>
        <w:pStyle w:val="BodyText10"/>
        <w:suppressAutoHyphens/>
        <w:spacing w:before="120" w:after="120" w:line="288" w:lineRule="auto"/>
        <w:ind w:left="0"/>
        <w:rPr>
          <w:rFonts w:ascii="VIC" w:eastAsia="Times" w:hAnsi="VIC"/>
          <w:lang w:eastAsia="en-US"/>
        </w:rPr>
      </w:pPr>
      <w:r w:rsidRPr="00BA3B39">
        <w:rPr>
          <w:rFonts w:ascii="VIC" w:eastAsia="Times" w:hAnsi="VIC"/>
          <w:lang w:eastAsia="en-US"/>
        </w:rPr>
        <w:t>Co-naming uses the registered name of a place, followed by the Traditional Owner place name. This naming method should be applied in an unabbreviated form, with both terms being capitalised and with brackets around the Traditional Owner name to distinguish the term. For example, co-naming ‘Melbourne’ using the Traditional Owner term ‘</w:t>
      </w:r>
      <w:proofErr w:type="spellStart"/>
      <w:r w:rsidRPr="00BA3B39">
        <w:rPr>
          <w:rFonts w:ascii="VIC" w:eastAsia="Times" w:hAnsi="VIC"/>
          <w:lang w:eastAsia="en-US"/>
        </w:rPr>
        <w:t>Narrm</w:t>
      </w:r>
      <w:proofErr w:type="spellEnd"/>
      <w:r w:rsidRPr="00BA3B39">
        <w:rPr>
          <w:rFonts w:ascii="VIC" w:eastAsia="Times" w:hAnsi="VIC"/>
          <w:lang w:eastAsia="en-US"/>
        </w:rPr>
        <w:t>’ would look like ‘</w:t>
      </w:r>
      <w:r w:rsidRPr="00BA3B39">
        <w:rPr>
          <w:rFonts w:ascii="VIC" w:eastAsia="Times" w:hAnsi="VIC"/>
          <w:b/>
          <w:bCs/>
          <w:lang w:eastAsia="en-US"/>
        </w:rPr>
        <w:t>Melbourne (</w:t>
      </w:r>
      <w:proofErr w:type="spellStart"/>
      <w:r w:rsidRPr="00BA3B39">
        <w:rPr>
          <w:rFonts w:ascii="VIC" w:eastAsia="Times" w:hAnsi="VIC"/>
          <w:b/>
          <w:bCs/>
          <w:lang w:eastAsia="en-US"/>
        </w:rPr>
        <w:t>Narrm</w:t>
      </w:r>
      <w:proofErr w:type="spellEnd"/>
      <w:r w:rsidRPr="00BA3B39">
        <w:rPr>
          <w:rFonts w:ascii="VIC" w:eastAsia="Times" w:hAnsi="VIC"/>
          <w:b/>
          <w:bCs/>
          <w:lang w:eastAsia="en-US"/>
        </w:rPr>
        <w:t>)</w:t>
      </w:r>
      <w:r w:rsidRPr="00BA3B39">
        <w:rPr>
          <w:rFonts w:ascii="VIC" w:eastAsia="Times" w:hAnsi="VIC"/>
          <w:lang w:eastAsia="en-US"/>
        </w:rPr>
        <w:t>’.</w:t>
      </w:r>
    </w:p>
    <w:tbl>
      <w:tblPr>
        <w:tblStyle w:val="Break-outbox"/>
        <w:tblW w:w="0" w:type="auto"/>
        <w:tblLook w:val="04A0" w:firstRow="1" w:lastRow="0" w:firstColumn="1" w:lastColumn="0" w:noHBand="0" w:noVBand="1"/>
      </w:tblPr>
      <w:tblGrid>
        <w:gridCol w:w="9060"/>
      </w:tblGrid>
      <w:tr w:rsidR="001F3B24" w14:paraId="0DCCC0F6" w14:textId="77777777" w:rsidTr="001F3B24">
        <w:tc>
          <w:tcPr>
            <w:tcW w:w="9060" w:type="dxa"/>
          </w:tcPr>
          <w:p w14:paraId="02BFA940" w14:textId="2F67D789" w:rsidR="001F3B24" w:rsidRPr="001F3B24" w:rsidRDefault="001F3B24" w:rsidP="007E696C">
            <w:pPr>
              <w:pStyle w:val="Break-outboxtext"/>
              <w:rPr>
                <w:sz w:val="20"/>
                <w:szCs w:val="20"/>
              </w:rPr>
            </w:pPr>
            <w:r w:rsidRPr="001F3B24">
              <w:rPr>
                <w:sz w:val="20"/>
                <w:szCs w:val="20"/>
              </w:rPr>
              <w:t xml:space="preserve">Co-naming does not change the official registered name of a place. </w:t>
            </w:r>
            <w:hyperlink r:id="rId37" w:history="1">
              <w:r w:rsidRPr="0074665B">
                <w:rPr>
                  <w:rStyle w:val="Hyperlink"/>
                  <w:sz w:val="20"/>
                  <w:szCs w:val="20"/>
                </w:rPr>
                <w:t>VICNAMES</w:t>
              </w:r>
            </w:hyperlink>
            <w:r w:rsidRPr="001F3B24">
              <w:rPr>
                <w:sz w:val="20"/>
                <w:szCs w:val="20"/>
              </w:rPr>
              <w:t xml:space="preserve"> includes registered Traditional Owner place names and the Naming Rules explain how Traditional Owner place names may be registered and cited.</w:t>
            </w:r>
          </w:p>
        </w:tc>
      </w:tr>
    </w:tbl>
    <w:p w14:paraId="14D53D31" w14:textId="77777777" w:rsidR="001F3B24" w:rsidRPr="001F3B24" w:rsidRDefault="001F3B24" w:rsidP="001F3B24">
      <w:pPr>
        <w:pStyle w:val="BodyText10"/>
        <w:suppressAutoHyphens/>
        <w:spacing w:before="120" w:after="120" w:line="288" w:lineRule="auto"/>
        <w:ind w:left="0"/>
        <w:rPr>
          <w:rFonts w:ascii="VIC" w:eastAsia="Times" w:hAnsi="VIC"/>
          <w:lang w:eastAsia="en-US"/>
        </w:rPr>
      </w:pPr>
      <w:r w:rsidRPr="001F3B24">
        <w:rPr>
          <w:rFonts w:ascii="VIC" w:eastAsia="Times" w:hAnsi="VIC"/>
          <w:lang w:eastAsia="en-US"/>
        </w:rPr>
        <w:t>It is important to note that some Traditional Owner place names may not have a pre-set or defined boundary, particularly in cases where the place is shared with other Traditional Owner groups.</w:t>
      </w:r>
    </w:p>
    <w:p w14:paraId="03FDD9DF" w14:textId="4788BFBD" w:rsidR="00352FBE" w:rsidRPr="00505329" w:rsidRDefault="00B821E0" w:rsidP="004F6A20">
      <w:pPr>
        <w:pStyle w:val="Heading3"/>
      </w:pPr>
      <w:r>
        <w:lastRenderedPageBreak/>
        <w:t>6.1.</w:t>
      </w:r>
      <w:r w:rsidR="004F6A20">
        <w:t>5</w:t>
      </w:r>
      <w:r>
        <w:tab/>
      </w:r>
      <w:r w:rsidR="000B7EED">
        <w:tab/>
      </w:r>
      <w:r w:rsidR="00352FBE" w:rsidRPr="00505329">
        <w:t>Sentence construction</w:t>
      </w:r>
    </w:p>
    <w:p w14:paraId="4D567307" w14:textId="77777777" w:rsidR="00600848" w:rsidRDefault="00600848" w:rsidP="002E55BC">
      <w:pPr>
        <w:pStyle w:val="BodyText1"/>
      </w:pPr>
      <w:r>
        <w:t>Good writers apply several key techniques to sentence construction.</w:t>
      </w:r>
    </w:p>
    <w:p w14:paraId="0887AB23" w14:textId="77777777" w:rsidR="00600848" w:rsidRDefault="00600848" w:rsidP="00723A0D">
      <w:pPr>
        <w:pStyle w:val="DELWPbullet1"/>
      </w:pPr>
      <w:r>
        <w:t>Aim for an average of 15 to 25 words per sentence. Shorter, simple sentences are easier to read. They are also more likely to be grammatically correct.</w:t>
      </w:r>
    </w:p>
    <w:p w14:paraId="57BD1E27" w14:textId="12E0B290" w:rsidR="00600848" w:rsidRDefault="00600848" w:rsidP="00723A0D">
      <w:pPr>
        <w:pStyle w:val="DELWPbullet1"/>
      </w:pPr>
      <w:r>
        <w:t xml:space="preserve">Place one idea in a sentence – avoid run-on sentences that </w:t>
      </w:r>
      <w:r w:rsidR="00ED5519">
        <w:t xml:space="preserve">connect </w:t>
      </w:r>
      <w:r w:rsidR="001C1FE2">
        <w:t xml:space="preserve">multiple </w:t>
      </w:r>
      <w:r>
        <w:t>ideas with linking words and commas.</w:t>
      </w:r>
    </w:p>
    <w:p w14:paraId="0D3AA01A" w14:textId="77777777" w:rsidR="00600848" w:rsidRDefault="00600848" w:rsidP="00723A0D">
      <w:pPr>
        <w:pStyle w:val="DELWPbullet1"/>
      </w:pPr>
      <w:r>
        <w:t>Put the most important part of the sentence first.</w:t>
      </w:r>
    </w:p>
    <w:p w14:paraId="1D1CC86F" w14:textId="77777777" w:rsidR="00600848" w:rsidRDefault="00600848" w:rsidP="00723A0D">
      <w:pPr>
        <w:pStyle w:val="DELWPbullet1"/>
      </w:pPr>
      <w:r>
        <w:t>Avoid repetition – delete unnecessary words and information.</w:t>
      </w:r>
    </w:p>
    <w:p w14:paraId="74420CA2" w14:textId="77777777" w:rsidR="00600848" w:rsidRDefault="00600848" w:rsidP="00723A0D">
      <w:pPr>
        <w:pStyle w:val="DELWPbullet1"/>
      </w:pPr>
      <w:r>
        <w:t>Use dot point lists to break down units of information in a sentence.</w:t>
      </w:r>
    </w:p>
    <w:p w14:paraId="24EB998A" w14:textId="77777777" w:rsidR="00600848" w:rsidRDefault="00600848" w:rsidP="00723A0D">
      <w:pPr>
        <w:pStyle w:val="DELWPbullet1"/>
      </w:pPr>
      <w:r>
        <w:t>Use punctuation to organise a sentence into manageable units.</w:t>
      </w:r>
    </w:p>
    <w:p w14:paraId="7D6E122E" w14:textId="0836C287" w:rsidR="00600848" w:rsidRPr="004C44FE" w:rsidRDefault="00600848" w:rsidP="00723A0D">
      <w:pPr>
        <w:pStyle w:val="DELWPbullet1"/>
      </w:pPr>
      <w:r>
        <w:t xml:space="preserve">Use simple, active sentences whenever possible. </w:t>
      </w:r>
      <w:r w:rsidRPr="004C44FE">
        <w:t>(Refer to Active or passive voice</w:t>
      </w:r>
      <w:r w:rsidR="004C44FE" w:rsidRPr="004C44FE">
        <w:t xml:space="preserve"> in Appendix 1</w:t>
      </w:r>
      <w:r w:rsidRPr="004C44FE">
        <w:t>)</w:t>
      </w:r>
    </w:p>
    <w:p w14:paraId="489C742D" w14:textId="64308B4D" w:rsidR="00754143" w:rsidRPr="002772DF" w:rsidRDefault="00B821E0" w:rsidP="004F6A20">
      <w:pPr>
        <w:pStyle w:val="Heading3"/>
      </w:pPr>
      <w:r>
        <w:t>6.1.</w:t>
      </w:r>
      <w:r w:rsidR="004F6A20">
        <w:t>6</w:t>
      </w:r>
      <w:r>
        <w:tab/>
      </w:r>
      <w:r w:rsidR="000B7EED">
        <w:tab/>
      </w:r>
      <w:r w:rsidR="00AB2C0B" w:rsidRPr="002772DF">
        <w:t>Writing a list</w:t>
      </w:r>
    </w:p>
    <w:p w14:paraId="489C742E" w14:textId="5578DC5D" w:rsidR="00754143" w:rsidRDefault="00AB2C0B" w:rsidP="002E55BC">
      <w:pPr>
        <w:pStyle w:val="BodyText1"/>
      </w:pPr>
      <w:r>
        <w:t>Bulleted or dot point lists are commonly used in the planning scheme to set out requirements, criteria or expectations.</w:t>
      </w:r>
      <w:r w:rsidR="00DA5AF6">
        <w:t xml:space="preserve"> </w:t>
      </w:r>
      <w:r w:rsidR="009211C0">
        <w:t xml:space="preserve">Lists are a useful way of breaking up and clarifying complex sentences. </w:t>
      </w:r>
      <w:r>
        <w:t>Consider the following when creating a list.</w:t>
      </w:r>
    </w:p>
    <w:p w14:paraId="489C742F" w14:textId="77777777" w:rsidR="00DC2411" w:rsidRDefault="00AB2C0B" w:rsidP="002123AF">
      <w:pPr>
        <w:pStyle w:val="Heading4"/>
        <w:rPr>
          <w:rFonts w:ascii="VIC-Light" w:hAnsi="VIC-Light" w:cs="VIC-Light"/>
          <w:color w:val="000000"/>
          <w:spacing w:val="2"/>
          <w:szCs w:val="20"/>
        </w:rPr>
      </w:pPr>
      <w:r>
        <w:t>Make your meaning clear</w:t>
      </w:r>
    </w:p>
    <w:p w14:paraId="489C7430" w14:textId="77777777" w:rsidR="00754143" w:rsidRDefault="00AB2C0B" w:rsidP="002E55BC">
      <w:pPr>
        <w:pStyle w:val="BodyText1"/>
      </w:pPr>
      <w:r>
        <w:t>Each list item should read as a separate instruction or statement.</w:t>
      </w:r>
    </w:p>
    <w:p w14:paraId="489C7431" w14:textId="77777777" w:rsidR="00754143" w:rsidRDefault="00AB2C0B" w:rsidP="002E55BC">
      <w:pPr>
        <w:pStyle w:val="BodyText1"/>
      </w:pPr>
      <w:r>
        <w:t>Put the list items in a logical order and keep related matters together to aid comprehension.</w:t>
      </w:r>
    </w:p>
    <w:p w14:paraId="489C7432" w14:textId="77777777" w:rsidR="00754143" w:rsidRDefault="00AB2C0B" w:rsidP="002E55BC">
      <w:pPr>
        <w:pStyle w:val="BodyText1"/>
      </w:pPr>
      <w:r>
        <w:t>When sub-dot points are used, also ensure they have a logical sequence, contain only a single matter and do not overlap or conflict with other points.</w:t>
      </w:r>
    </w:p>
    <w:p w14:paraId="14E25217" w14:textId="15124DD3" w:rsidR="008D588E" w:rsidRDefault="00AB2C0B" w:rsidP="0098541F">
      <w:pPr>
        <w:pStyle w:val="BodyText1"/>
      </w:pPr>
      <w:r>
        <w:t xml:space="preserve">Where a list imposes or exempts a matter from a </w:t>
      </w:r>
      <w:r w:rsidR="000A4F57">
        <w:t>control</w:t>
      </w:r>
      <w:r>
        <w:t>, be clear about whether all or some of the list items must be met.</w:t>
      </w:r>
      <w:r w:rsidR="00DA5AF6">
        <w:t xml:space="preserve"> </w:t>
      </w:r>
      <w:r w:rsidR="005D42EC" w:rsidRPr="008D0318">
        <w:t>In policy, the whole list applies unless otherwise specified.</w:t>
      </w:r>
      <w:r w:rsidR="005D42EC">
        <w:t xml:space="preserve"> </w:t>
      </w:r>
      <w:r w:rsidDel="008D0318">
        <w:t xml:space="preserve">Do not use ‘and’ or ‘or’ </w:t>
      </w:r>
      <w:r w:rsidRPr="00702218" w:rsidDel="008D0318">
        <w:t>at the end of a point.</w:t>
      </w:r>
      <w:r w:rsidR="00DA5AF6" w:rsidRPr="00702218" w:rsidDel="008D0318">
        <w:t xml:space="preserve"> </w:t>
      </w:r>
    </w:p>
    <w:p w14:paraId="489C7433" w14:textId="080DCF9C" w:rsidR="00DC2411" w:rsidRDefault="00AB2C0B" w:rsidP="002E55BC">
      <w:pPr>
        <w:pStyle w:val="BodyText1"/>
      </w:pPr>
      <w:r w:rsidRPr="00702218">
        <w:t>If necessary, use standard phrases in the introduction to make the requirement clear.</w:t>
      </w:r>
    </w:p>
    <w:tbl>
      <w:tblPr>
        <w:tblStyle w:val="TableGrid"/>
        <w:tblW w:w="9241" w:type="dxa"/>
        <w:tblInd w:w="-5" w:type="dxa"/>
        <w:tblBorders>
          <w:top w:val="single" w:sz="4" w:space="0" w:color="D9ECEA" w:themeColor="accent2"/>
          <w:left w:val="single" w:sz="4" w:space="0" w:color="D9ECEA" w:themeColor="accent2"/>
          <w:bottom w:val="single" w:sz="4" w:space="0" w:color="D9ECEA" w:themeColor="accent2"/>
          <w:right w:val="single" w:sz="4" w:space="0" w:color="D9ECEA" w:themeColor="accent2"/>
          <w:insideH w:val="single" w:sz="4" w:space="0" w:color="D9ECEA" w:themeColor="accent2"/>
          <w:insideV w:val="single" w:sz="4" w:space="0" w:color="D9ECEA" w:themeColor="accent2"/>
        </w:tblBorders>
        <w:tblLook w:val="04A0" w:firstRow="1" w:lastRow="0" w:firstColumn="1" w:lastColumn="0" w:noHBand="0" w:noVBand="1"/>
      </w:tblPr>
      <w:tblGrid>
        <w:gridCol w:w="680"/>
        <w:gridCol w:w="8561"/>
      </w:tblGrid>
      <w:tr w:rsidR="00D92D44" w14:paraId="1DA0000C" w14:textId="77777777" w:rsidTr="00ED27E1">
        <w:trPr>
          <w:cnfStyle w:val="100000000000" w:firstRow="1" w:lastRow="0" w:firstColumn="0" w:lastColumn="0" w:oddVBand="0" w:evenVBand="0" w:oddHBand="0" w:evenHBand="0" w:firstRowFirstColumn="0" w:firstRowLastColumn="0" w:lastRowFirstColumn="0" w:lastRowLastColumn="0"/>
        </w:trPr>
        <w:tc>
          <w:tcPr>
            <w:tcW w:w="680" w:type="dxa"/>
            <w:shd w:val="clear" w:color="auto" w:fill="D9ECEA" w:themeFill="accent2"/>
            <w:vAlign w:val="center"/>
          </w:tcPr>
          <w:p w14:paraId="2C78D816" w14:textId="77777777" w:rsidR="00DB6CE0" w:rsidRPr="005319A6" w:rsidRDefault="00DB6CE0" w:rsidP="00A26125">
            <w:pPr>
              <w:pStyle w:val="DELWPexamplecaption"/>
              <w:spacing w:before="120"/>
              <w:rPr>
                <w:rFonts w:ascii="Wingdings" w:eastAsia="Wingdings" w:hAnsi="Wingdings" w:cs="Wingdings"/>
                <w:color w:val="00828D" w:themeColor="text2"/>
                <w:sz w:val="28"/>
                <w:szCs w:val="28"/>
              </w:rPr>
            </w:pPr>
            <w:r w:rsidRPr="005319A6">
              <w:rPr>
                <w:rFonts w:ascii="Wingdings" w:eastAsia="Wingdings" w:hAnsi="Wingdings" w:cs="Wingdings"/>
                <w:color w:val="00828D" w:themeColor="text2"/>
                <w:sz w:val="28"/>
                <w:szCs w:val="28"/>
              </w:rPr>
              <w:t>ü</w:t>
            </w:r>
          </w:p>
        </w:tc>
        <w:tc>
          <w:tcPr>
            <w:tcW w:w="8561" w:type="dxa"/>
            <w:shd w:val="clear" w:color="auto" w:fill="D9ECEA" w:themeFill="accent2"/>
          </w:tcPr>
          <w:p w14:paraId="42D4D159" w14:textId="77777777" w:rsidR="00EE5A2E" w:rsidRPr="00BB13DB" w:rsidRDefault="00EE5A2E" w:rsidP="002E55BC">
            <w:pPr>
              <w:pStyle w:val="DELWPexamplebody"/>
            </w:pPr>
            <w:r w:rsidRPr="00471412">
              <w:t>…</w:t>
            </w:r>
            <w:r w:rsidRPr="00BB13DB">
              <w:t>must meet one or more of:</w:t>
            </w:r>
          </w:p>
          <w:p w14:paraId="79700DE2" w14:textId="77777777" w:rsidR="00EE5A2E" w:rsidRPr="00BB13DB" w:rsidRDefault="00EE5A2E" w:rsidP="002E55BC">
            <w:pPr>
              <w:pStyle w:val="DELWPexamplebody"/>
            </w:pPr>
            <w:r w:rsidRPr="00BB13DB">
              <w:t xml:space="preserve">…must meet </w:t>
            </w:r>
            <w:proofErr w:type="gramStart"/>
            <w:r w:rsidRPr="00BB13DB">
              <w:t>all of</w:t>
            </w:r>
            <w:proofErr w:type="gramEnd"/>
            <w:r w:rsidRPr="00BB13DB">
              <w:t xml:space="preserve"> the following requirements:</w:t>
            </w:r>
          </w:p>
          <w:p w14:paraId="5AD18D0A" w14:textId="77777777" w:rsidR="00EE5A2E" w:rsidRPr="00BB13DB" w:rsidRDefault="00EE5A2E" w:rsidP="002E55BC">
            <w:pPr>
              <w:pStyle w:val="DELWPexamplebody"/>
            </w:pPr>
            <w:r w:rsidRPr="00BB13DB">
              <w:t xml:space="preserve">…provided </w:t>
            </w:r>
            <w:proofErr w:type="gramStart"/>
            <w:r w:rsidRPr="00BB13DB">
              <w:t>all of</w:t>
            </w:r>
            <w:proofErr w:type="gramEnd"/>
            <w:r w:rsidRPr="00BB13DB">
              <w:t xml:space="preserve"> the following requirements are met:</w:t>
            </w:r>
          </w:p>
          <w:p w14:paraId="341C8EE0" w14:textId="77777777" w:rsidR="00EE5A2E" w:rsidRPr="00BB13DB" w:rsidRDefault="00EE5A2E" w:rsidP="002E55BC">
            <w:pPr>
              <w:pStyle w:val="DELWPexamplebody"/>
            </w:pPr>
            <w:r w:rsidRPr="00BB13DB">
              <w:t>…provided any of the following apply:</w:t>
            </w:r>
          </w:p>
          <w:p w14:paraId="46A203D6" w14:textId="77777777" w:rsidR="00EE5A2E" w:rsidRPr="00BB13DB" w:rsidRDefault="00EE5A2E" w:rsidP="002E55BC">
            <w:pPr>
              <w:pStyle w:val="DELWPexamplebody"/>
            </w:pPr>
            <w:r w:rsidRPr="00BB13DB">
              <w:t>…if any of the following apply:</w:t>
            </w:r>
          </w:p>
          <w:p w14:paraId="507A0820" w14:textId="77777777" w:rsidR="00EE5A2E" w:rsidRPr="00BB13DB" w:rsidRDefault="00EE5A2E" w:rsidP="002E55BC">
            <w:pPr>
              <w:pStyle w:val="DELWPexamplebody"/>
            </w:pPr>
            <w:r w:rsidRPr="00BB13DB">
              <w:t>…unless one or more of the following applies:</w:t>
            </w:r>
          </w:p>
          <w:p w14:paraId="33068EC6" w14:textId="7496963A" w:rsidR="00DB6CE0" w:rsidRDefault="00EE5A2E" w:rsidP="00512A0D">
            <w:pPr>
              <w:pStyle w:val="DELWPexamplecaption"/>
              <w:spacing w:before="120"/>
            </w:pPr>
            <w:r w:rsidRPr="00BB13DB">
              <w:rPr>
                <w:b w:val="0"/>
              </w:rPr>
              <w:t>...this does not apply to any of the following:</w:t>
            </w:r>
          </w:p>
        </w:tc>
      </w:tr>
    </w:tbl>
    <w:p w14:paraId="489C743D" w14:textId="77777777" w:rsidR="00DC2411" w:rsidRDefault="00AB2C0B" w:rsidP="002E55BC">
      <w:pPr>
        <w:pStyle w:val="DELWPbodyaftertablediagram"/>
      </w:pPr>
      <w:r>
        <w:t>Alternatively, it might be better to rewrite the provision.</w:t>
      </w:r>
    </w:p>
    <w:p w14:paraId="489C743E" w14:textId="77777777" w:rsidR="00DC2411" w:rsidRDefault="00AB2C0B" w:rsidP="002E55BC">
      <w:pPr>
        <w:pStyle w:val="BodyText1"/>
      </w:pPr>
      <w:r>
        <w:t xml:space="preserve">In the following example, it is not clear if the permit exemption requires compliance with one or </w:t>
      </w:r>
      <w:proofErr w:type="gramStart"/>
      <w:r>
        <w:t>both of the bulleted</w:t>
      </w:r>
      <w:proofErr w:type="gramEnd"/>
      <w:r>
        <w:t xml:space="preserve"> items.</w:t>
      </w:r>
    </w:p>
    <w:tbl>
      <w:tblPr>
        <w:tblStyle w:val="TableGrid"/>
        <w:tblW w:w="9241" w:type="dxa"/>
        <w:tblInd w:w="-5" w:type="dxa"/>
        <w:tblBorders>
          <w:top w:val="single" w:sz="4" w:space="0" w:color="D9ECEA" w:themeColor="accent2"/>
          <w:left w:val="single" w:sz="4" w:space="0" w:color="D9ECEA" w:themeColor="accent2"/>
          <w:bottom w:val="single" w:sz="4" w:space="0" w:color="D9ECEA" w:themeColor="accent2"/>
          <w:right w:val="single" w:sz="4" w:space="0" w:color="D9ECEA" w:themeColor="accent2"/>
          <w:insideH w:val="single" w:sz="4" w:space="0" w:color="D9ECEA" w:themeColor="accent2"/>
          <w:insideV w:val="single" w:sz="4" w:space="0" w:color="D9ECEA" w:themeColor="accent2"/>
        </w:tblBorders>
        <w:tblLook w:val="04A0" w:firstRow="1" w:lastRow="0" w:firstColumn="1" w:lastColumn="0" w:noHBand="0" w:noVBand="1"/>
      </w:tblPr>
      <w:tblGrid>
        <w:gridCol w:w="680"/>
        <w:gridCol w:w="8561"/>
      </w:tblGrid>
      <w:tr w:rsidR="00D92D44" w14:paraId="26231F69" w14:textId="77777777" w:rsidTr="00ED27E1">
        <w:trPr>
          <w:cnfStyle w:val="100000000000" w:firstRow="1" w:lastRow="0" w:firstColumn="0" w:lastColumn="0" w:oddVBand="0" w:evenVBand="0" w:oddHBand="0" w:evenHBand="0" w:firstRowFirstColumn="0" w:firstRowLastColumn="0" w:lastRowFirstColumn="0" w:lastRowLastColumn="0"/>
        </w:trPr>
        <w:tc>
          <w:tcPr>
            <w:tcW w:w="680" w:type="dxa"/>
            <w:shd w:val="clear" w:color="auto" w:fill="D9ECEA" w:themeFill="accent2"/>
            <w:vAlign w:val="center"/>
          </w:tcPr>
          <w:p w14:paraId="64BF93CC" w14:textId="77777777" w:rsidR="00DB6CE0" w:rsidRDefault="00DB6CE0" w:rsidP="00481D91">
            <w:pPr>
              <w:pStyle w:val="DELWPexamplecaption"/>
              <w:spacing w:before="120"/>
            </w:pPr>
            <w:r w:rsidRPr="005319A6">
              <w:rPr>
                <w:rFonts w:ascii="Wingdings" w:eastAsia="Wingdings" w:hAnsi="Wingdings" w:cs="Wingdings"/>
                <w:color w:val="00828D" w:themeColor="text2"/>
                <w:sz w:val="28"/>
                <w:szCs w:val="28"/>
              </w:rPr>
              <w:lastRenderedPageBreak/>
              <w:t>û</w:t>
            </w:r>
          </w:p>
        </w:tc>
        <w:tc>
          <w:tcPr>
            <w:tcW w:w="8561" w:type="dxa"/>
            <w:shd w:val="clear" w:color="auto" w:fill="D9ECEA" w:themeFill="accent2"/>
          </w:tcPr>
          <w:p w14:paraId="38B3BDE2" w14:textId="77777777" w:rsidR="00481D91" w:rsidRPr="00843DE4" w:rsidRDefault="00481D91" w:rsidP="002E55BC">
            <w:pPr>
              <w:pStyle w:val="DELWPexamplebody"/>
            </w:pPr>
            <w:r w:rsidRPr="00843DE4">
              <w:t>A permit is not required for an outbuilding if:</w:t>
            </w:r>
          </w:p>
          <w:p w14:paraId="62886057" w14:textId="77777777" w:rsidR="00481D91" w:rsidRPr="00843DE4" w:rsidRDefault="00481D91" w:rsidP="005510AA">
            <w:pPr>
              <w:pStyle w:val="DELWPexamplebullet"/>
            </w:pPr>
            <w:r w:rsidRPr="00843DE4">
              <w:t>The building area is less than 50 square metres.</w:t>
            </w:r>
            <w:r w:rsidRPr="00843DE4">
              <w:rPr>
                <w:rFonts w:hint="eastAsia"/>
              </w:rPr>
              <w:t> </w:t>
            </w:r>
          </w:p>
          <w:p w14:paraId="2495E947" w14:textId="24E4D042" w:rsidR="00DB6CE0" w:rsidRPr="00481D91" w:rsidRDefault="00481D91" w:rsidP="005510AA">
            <w:pPr>
              <w:pStyle w:val="DELWPexamplebullet"/>
            </w:pPr>
            <w:r w:rsidRPr="00843DE4">
              <w:t>The building is set back more than 25 metres from any boundary.</w:t>
            </w:r>
          </w:p>
        </w:tc>
      </w:tr>
    </w:tbl>
    <w:p w14:paraId="489C7444" w14:textId="77777777" w:rsidR="00DC2411" w:rsidRDefault="00AB2C0B" w:rsidP="002E55BC">
      <w:pPr>
        <w:pStyle w:val="DELWPbodyaftertablediagram"/>
      </w:pPr>
      <w:r>
        <w:t>This can be avoided by rewriting the provision to remove the ambiguity.</w:t>
      </w:r>
    </w:p>
    <w:tbl>
      <w:tblPr>
        <w:tblStyle w:val="TableGrid"/>
        <w:tblW w:w="9241" w:type="dxa"/>
        <w:tblInd w:w="-5" w:type="dxa"/>
        <w:tblBorders>
          <w:top w:val="single" w:sz="4" w:space="0" w:color="D9ECEA" w:themeColor="accent2"/>
          <w:left w:val="single" w:sz="4" w:space="0" w:color="D9ECEA" w:themeColor="accent2"/>
          <w:bottom w:val="single" w:sz="4" w:space="0" w:color="D9ECEA" w:themeColor="accent2"/>
          <w:right w:val="single" w:sz="4" w:space="0" w:color="D9ECEA" w:themeColor="accent2"/>
          <w:insideH w:val="single" w:sz="4" w:space="0" w:color="D9ECEA" w:themeColor="accent2"/>
          <w:insideV w:val="single" w:sz="4" w:space="0" w:color="D9ECEA" w:themeColor="accent2"/>
        </w:tblBorders>
        <w:tblLook w:val="04A0" w:firstRow="1" w:lastRow="0" w:firstColumn="1" w:lastColumn="0" w:noHBand="0" w:noVBand="1"/>
      </w:tblPr>
      <w:tblGrid>
        <w:gridCol w:w="680"/>
        <w:gridCol w:w="8561"/>
      </w:tblGrid>
      <w:tr w:rsidR="00D92D44" w14:paraId="7F95A427" w14:textId="77777777" w:rsidTr="00ED27E1">
        <w:trPr>
          <w:cnfStyle w:val="100000000000" w:firstRow="1" w:lastRow="0" w:firstColumn="0" w:lastColumn="0" w:oddVBand="0" w:evenVBand="0" w:oddHBand="0" w:evenHBand="0" w:firstRowFirstColumn="0" w:firstRowLastColumn="0" w:lastRowFirstColumn="0" w:lastRowLastColumn="0"/>
        </w:trPr>
        <w:tc>
          <w:tcPr>
            <w:tcW w:w="680" w:type="dxa"/>
            <w:shd w:val="clear" w:color="auto" w:fill="D9ECEA" w:themeFill="accent2"/>
            <w:vAlign w:val="center"/>
          </w:tcPr>
          <w:p w14:paraId="7D51BF11" w14:textId="77777777" w:rsidR="00DB6CE0" w:rsidRPr="005319A6" w:rsidRDefault="00DB6CE0" w:rsidP="00DB6CE0">
            <w:pPr>
              <w:pStyle w:val="DELWPexamplecaption"/>
              <w:spacing w:before="120"/>
              <w:rPr>
                <w:rFonts w:ascii="Wingdings" w:eastAsia="Wingdings" w:hAnsi="Wingdings" w:cs="Wingdings"/>
                <w:color w:val="00828D" w:themeColor="text2"/>
                <w:sz w:val="28"/>
                <w:szCs w:val="28"/>
              </w:rPr>
            </w:pPr>
            <w:r w:rsidRPr="005319A6">
              <w:rPr>
                <w:rFonts w:ascii="Wingdings" w:eastAsia="Wingdings" w:hAnsi="Wingdings" w:cs="Wingdings"/>
                <w:color w:val="00828D" w:themeColor="text2"/>
                <w:sz w:val="28"/>
                <w:szCs w:val="28"/>
              </w:rPr>
              <w:t>ü</w:t>
            </w:r>
          </w:p>
        </w:tc>
        <w:tc>
          <w:tcPr>
            <w:tcW w:w="8561" w:type="dxa"/>
            <w:shd w:val="clear" w:color="auto" w:fill="D9ECEA" w:themeFill="accent2"/>
          </w:tcPr>
          <w:p w14:paraId="421C623A" w14:textId="77777777" w:rsidR="00DB6CE0" w:rsidRPr="00AB111A" w:rsidRDefault="00DB6CE0" w:rsidP="002E55BC">
            <w:pPr>
              <w:pStyle w:val="DELWPexamplebody"/>
            </w:pPr>
            <w:r w:rsidRPr="00AB111A">
              <w:t xml:space="preserve">A permit is not required for an outbuilding if </w:t>
            </w:r>
            <w:r w:rsidRPr="00AB111A">
              <w:rPr>
                <w:u w:val="single"/>
              </w:rPr>
              <w:t>any of the following apply</w:t>
            </w:r>
            <w:r w:rsidRPr="00AB111A">
              <w:t>:</w:t>
            </w:r>
          </w:p>
          <w:p w14:paraId="55F11D1E" w14:textId="77777777" w:rsidR="00DB6CE0" w:rsidRPr="00843DE4" w:rsidRDefault="00DB6CE0" w:rsidP="005510AA">
            <w:pPr>
              <w:pStyle w:val="DELWPexamplebullet"/>
            </w:pPr>
            <w:r w:rsidRPr="00843DE4">
              <w:t>The building area is less than 50 square metres.</w:t>
            </w:r>
            <w:r w:rsidRPr="00843DE4">
              <w:rPr>
                <w:rFonts w:hint="eastAsia"/>
              </w:rPr>
              <w:t> </w:t>
            </w:r>
          </w:p>
          <w:p w14:paraId="441BF513" w14:textId="1DF6DDC5" w:rsidR="00DB6CE0" w:rsidRPr="00DB6CE0" w:rsidRDefault="00DB6CE0" w:rsidP="005510AA">
            <w:pPr>
              <w:pStyle w:val="DELWPexamplebullet"/>
            </w:pPr>
            <w:r w:rsidRPr="00843DE4">
              <w:t>The building is set back more than 25 metres from any boundary.</w:t>
            </w:r>
          </w:p>
        </w:tc>
      </w:tr>
    </w:tbl>
    <w:p w14:paraId="489C744A" w14:textId="006A9628" w:rsidR="00DC2411" w:rsidRDefault="005F3925" w:rsidP="002E55BC">
      <w:pPr>
        <w:pStyle w:val="DELWPbodyaftertablediagram"/>
      </w:pPr>
      <w:r>
        <w:t xml:space="preserve">Another option is to write </w:t>
      </w:r>
      <w:r w:rsidR="101DE9D8">
        <w:t>the provision as a single instruction</w:t>
      </w:r>
      <w:r w:rsidR="00527BE6">
        <w:t>, such as</w:t>
      </w:r>
      <w:r w:rsidR="007C16F8">
        <w:t xml:space="preserve"> in the example below</w:t>
      </w:r>
      <w:r w:rsidR="101DE9D8">
        <w:t>.</w:t>
      </w:r>
    </w:p>
    <w:tbl>
      <w:tblPr>
        <w:tblStyle w:val="TableGrid"/>
        <w:tblW w:w="9241" w:type="dxa"/>
        <w:tblInd w:w="-5" w:type="dxa"/>
        <w:tblBorders>
          <w:top w:val="single" w:sz="4" w:space="0" w:color="D9ECEA" w:themeColor="accent2"/>
          <w:left w:val="single" w:sz="4" w:space="0" w:color="D9ECEA" w:themeColor="accent2"/>
          <w:bottom w:val="single" w:sz="4" w:space="0" w:color="D9ECEA" w:themeColor="accent2"/>
          <w:right w:val="single" w:sz="4" w:space="0" w:color="D9ECEA" w:themeColor="accent2"/>
          <w:insideH w:val="single" w:sz="4" w:space="0" w:color="D9ECEA" w:themeColor="accent2"/>
          <w:insideV w:val="single" w:sz="4" w:space="0" w:color="D9ECEA" w:themeColor="accent2"/>
        </w:tblBorders>
        <w:tblLook w:val="04A0" w:firstRow="1" w:lastRow="0" w:firstColumn="1" w:lastColumn="0" w:noHBand="0" w:noVBand="1"/>
      </w:tblPr>
      <w:tblGrid>
        <w:gridCol w:w="680"/>
        <w:gridCol w:w="8561"/>
      </w:tblGrid>
      <w:tr w:rsidR="00D92D44" w14:paraId="5DFF5E13" w14:textId="77777777" w:rsidTr="00ED27E1">
        <w:trPr>
          <w:cnfStyle w:val="100000000000" w:firstRow="1" w:lastRow="0" w:firstColumn="0" w:lastColumn="0" w:oddVBand="0" w:evenVBand="0" w:oddHBand="0" w:evenHBand="0" w:firstRowFirstColumn="0" w:firstRowLastColumn="0" w:lastRowFirstColumn="0" w:lastRowLastColumn="0"/>
        </w:trPr>
        <w:tc>
          <w:tcPr>
            <w:tcW w:w="680" w:type="dxa"/>
            <w:shd w:val="clear" w:color="auto" w:fill="D9ECEA" w:themeFill="accent2"/>
            <w:vAlign w:val="center"/>
          </w:tcPr>
          <w:p w14:paraId="1F27D121" w14:textId="77777777" w:rsidR="00FF308B" w:rsidRPr="005319A6" w:rsidRDefault="00FF308B" w:rsidP="00244B5E">
            <w:pPr>
              <w:pStyle w:val="DELWPexamplecaption"/>
              <w:spacing w:before="120"/>
              <w:rPr>
                <w:rFonts w:ascii="Wingdings" w:eastAsia="Wingdings" w:hAnsi="Wingdings" w:cs="Wingdings"/>
                <w:color w:val="00828D" w:themeColor="text2"/>
                <w:sz w:val="28"/>
                <w:szCs w:val="28"/>
              </w:rPr>
            </w:pPr>
            <w:r w:rsidRPr="005319A6">
              <w:rPr>
                <w:rFonts w:ascii="Wingdings" w:eastAsia="Wingdings" w:hAnsi="Wingdings" w:cs="Wingdings"/>
                <w:color w:val="00828D" w:themeColor="text2"/>
                <w:sz w:val="28"/>
                <w:szCs w:val="28"/>
              </w:rPr>
              <w:t>ü</w:t>
            </w:r>
          </w:p>
        </w:tc>
        <w:tc>
          <w:tcPr>
            <w:tcW w:w="8561" w:type="dxa"/>
            <w:shd w:val="clear" w:color="auto" w:fill="D9ECEA" w:themeFill="accent2"/>
          </w:tcPr>
          <w:p w14:paraId="558EAFE9" w14:textId="4F9B1458" w:rsidR="00FF308B" w:rsidRPr="00BB13DB" w:rsidRDefault="00DB6CE0" w:rsidP="00F73556">
            <w:pPr>
              <w:pStyle w:val="DELWPexamplecaption"/>
              <w:spacing w:before="120"/>
              <w:rPr>
                <w:b w:val="0"/>
                <w:bCs/>
              </w:rPr>
            </w:pPr>
            <w:r w:rsidRPr="00BB13DB">
              <w:rPr>
                <w:b w:val="0"/>
                <w:bCs/>
              </w:rPr>
              <w:t xml:space="preserve">A permit is not required for an outbuilding </w:t>
            </w:r>
            <w:r w:rsidRPr="00BB13DB">
              <w:rPr>
                <w:b w:val="0"/>
                <w:bCs/>
                <w:u w:val="single"/>
              </w:rPr>
              <w:t>provided</w:t>
            </w:r>
            <w:r w:rsidRPr="00BB13DB">
              <w:rPr>
                <w:b w:val="0"/>
                <w:bCs/>
              </w:rPr>
              <w:t xml:space="preserve"> the building area is </w:t>
            </w:r>
            <w:r w:rsidRPr="00BB13DB">
              <w:rPr>
                <w:b w:val="0"/>
                <w:bCs/>
                <w:u w:val="single"/>
              </w:rPr>
              <w:t>either</w:t>
            </w:r>
            <w:r w:rsidRPr="00BB13DB">
              <w:rPr>
                <w:b w:val="0"/>
                <w:bCs/>
              </w:rPr>
              <w:t xml:space="preserve"> less than 50 square metres or the building is set back more than 25 metres from any boundary.</w:t>
            </w:r>
          </w:p>
        </w:tc>
      </w:tr>
    </w:tbl>
    <w:p w14:paraId="489C744E" w14:textId="77777777" w:rsidR="00DC2411" w:rsidRDefault="00AB2C0B" w:rsidP="002123AF">
      <w:pPr>
        <w:pStyle w:val="Heading4"/>
      </w:pPr>
      <w:r>
        <w:t>Be consistent</w:t>
      </w:r>
    </w:p>
    <w:p w14:paraId="489C744F" w14:textId="77777777" w:rsidR="00DA5AF6" w:rsidRDefault="00AB2C0B" w:rsidP="002E55BC">
      <w:pPr>
        <w:pStyle w:val="BodyText1"/>
      </w:pPr>
      <w:r>
        <w:t>Make the word type and tense consistent for the first word of each point. If you begin a list with a noun, continue using nouns; if you begin with a verb, continue with verbs.</w:t>
      </w:r>
    </w:p>
    <w:tbl>
      <w:tblPr>
        <w:tblStyle w:val="TableGrid"/>
        <w:tblW w:w="9241" w:type="dxa"/>
        <w:tblInd w:w="-5" w:type="dxa"/>
        <w:tblBorders>
          <w:top w:val="single" w:sz="4" w:space="0" w:color="D9ECEA" w:themeColor="accent2"/>
          <w:left w:val="single" w:sz="4" w:space="0" w:color="D9ECEA" w:themeColor="accent2"/>
          <w:bottom w:val="single" w:sz="4" w:space="0" w:color="D9ECEA" w:themeColor="accent2"/>
          <w:right w:val="single" w:sz="4" w:space="0" w:color="D9ECEA" w:themeColor="accent2"/>
          <w:insideH w:val="single" w:sz="4" w:space="0" w:color="D9ECEA" w:themeColor="accent2"/>
          <w:insideV w:val="single" w:sz="4" w:space="0" w:color="D9ECEA" w:themeColor="accent2"/>
        </w:tblBorders>
        <w:tblLook w:val="04A0" w:firstRow="1" w:lastRow="0" w:firstColumn="1" w:lastColumn="0" w:noHBand="0" w:noVBand="1"/>
      </w:tblPr>
      <w:tblGrid>
        <w:gridCol w:w="680"/>
        <w:gridCol w:w="8561"/>
      </w:tblGrid>
      <w:tr w:rsidR="00D92D44" w14:paraId="25D28E22" w14:textId="77777777" w:rsidTr="00ED27E1">
        <w:trPr>
          <w:cnfStyle w:val="100000000000" w:firstRow="1" w:lastRow="0" w:firstColumn="0" w:lastColumn="0" w:oddVBand="0" w:evenVBand="0" w:oddHBand="0" w:evenHBand="0" w:firstRowFirstColumn="0" w:firstRowLastColumn="0" w:lastRowFirstColumn="0" w:lastRowLastColumn="0"/>
        </w:trPr>
        <w:tc>
          <w:tcPr>
            <w:tcW w:w="680" w:type="dxa"/>
            <w:shd w:val="clear" w:color="auto" w:fill="D9ECEA" w:themeFill="accent2"/>
            <w:vAlign w:val="center"/>
          </w:tcPr>
          <w:p w14:paraId="3D5CCCDB" w14:textId="77777777" w:rsidR="00DB6CE0" w:rsidRPr="005319A6" w:rsidRDefault="00DB6CE0" w:rsidP="00292DE5">
            <w:pPr>
              <w:pStyle w:val="DELWPexamplecaption"/>
              <w:spacing w:before="120"/>
              <w:rPr>
                <w:rFonts w:ascii="Wingdings" w:eastAsia="Wingdings" w:hAnsi="Wingdings" w:cs="Wingdings"/>
                <w:color w:val="00828D" w:themeColor="text2"/>
                <w:sz w:val="28"/>
                <w:szCs w:val="28"/>
              </w:rPr>
            </w:pPr>
            <w:r w:rsidRPr="005319A6">
              <w:rPr>
                <w:rFonts w:ascii="Wingdings" w:eastAsia="Wingdings" w:hAnsi="Wingdings" w:cs="Wingdings"/>
                <w:color w:val="00828D" w:themeColor="text2"/>
                <w:sz w:val="28"/>
                <w:szCs w:val="28"/>
              </w:rPr>
              <w:t>ü</w:t>
            </w:r>
          </w:p>
        </w:tc>
        <w:tc>
          <w:tcPr>
            <w:tcW w:w="8561" w:type="dxa"/>
            <w:shd w:val="clear" w:color="auto" w:fill="D9ECEA" w:themeFill="accent2"/>
          </w:tcPr>
          <w:p w14:paraId="13BFF152" w14:textId="77777777" w:rsidR="00292DE5" w:rsidRPr="004F64D9" w:rsidRDefault="00292DE5" w:rsidP="002E55BC">
            <w:pPr>
              <w:pStyle w:val="DELWPexamplebody"/>
            </w:pPr>
            <w:r w:rsidRPr="004F64D9">
              <w:t>A permit is required to:</w:t>
            </w:r>
          </w:p>
          <w:p w14:paraId="45998D43" w14:textId="77777777" w:rsidR="00292DE5" w:rsidRPr="004F64D9" w:rsidRDefault="00292DE5" w:rsidP="005510AA">
            <w:pPr>
              <w:pStyle w:val="DELWPexamplebullet"/>
            </w:pPr>
            <w:r w:rsidRPr="004F64D9">
              <w:t xml:space="preserve">Construct </w:t>
            </w:r>
            <w:r w:rsidRPr="004F64D9">
              <w:rPr>
                <w:b/>
                <w:bCs/>
                <w:color w:val="006666"/>
              </w:rPr>
              <w:t>(verb)</w:t>
            </w:r>
            <w:r w:rsidRPr="004F64D9">
              <w:t xml:space="preserve"> two or more dwellings on a lot.</w:t>
            </w:r>
          </w:p>
          <w:p w14:paraId="2C2BC287" w14:textId="2ECD1F34" w:rsidR="00DB6CE0" w:rsidRPr="00292DE5" w:rsidRDefault="00292DE5" w:rsidP="005510AA">
            <w:pPr>
              <w:pStyle w:val="DELWPexamplebullet"/>
            </w:pPr>
            <w:r w:rsidRPr="004F64D9">
              <w:t xml:space="preserve">Extend </w:t>
            </w:r>
            <w:r w:rsidRPr="004F64D9">
              <w:rPr>
                <w:b/>
                <w:bCs/>
                <w:color w:val="006666"/>
              </w:rPr>
              <w:t>(verb)</w:t>
            </w:r>
            <w:r w:rsidRPr="004F64D9">
              <w:rPr>
                <w:color w:val="006666"/>
              </w:rPr>
              <w:t xml:space="preserve"> </w:t>
            </w:r>
            <w:r w:rsidRPr="004F64D9">
              <w:t>a dwelling if there are two or more dwellings on the lot.</w:t>
            </w:r>
          </w:p>
        </w:tc>
      </w:tr>
    </w:tbl>
    <w:p w14:paraId="489C7455" w14:textId="77777777" w:rsidR="00DC2411" w:rsidRDefault="00AB2C0B" w:rsidP="002123AF">
      <w:pPr>
        <w:pStyle w:val="Heading4"/>
        <w:rPr>
          <w:rFonts w:ascii="VIC-Light" w:hAnsi="VIC-Light" w:cs="VIC-Light"/>
          <w:color w:val="000000"/>
          <w:spacing w:val="2"/>
          <w:szCs w:val="20"/>
        </w:rPr>
      </w:pPr>
      <w:r>
        <w:t>Punctuation for lists</w:t>
      </w:r>
    </w:p>
    <w:p w14:paraId="489C7456" w14:textId="095531FC" w:rsidR="00754143" w:rsidRDefault="00AB2C0B" w:rsidP="002E55BC">
      <w:pPr>
        <w:pStyle w:val="BodyText1"/>
      </w:pPr>
      <w:r>
        <w:t xml:space="preserve">The </w:t>
      </w:r>
      <w:r w:rsidR="00236F0A">
        <w:t xml:space="preserve">style </w:t>
      </w:r>
      <w:r>
        <w:t>convention in planning scheme</w:t>
      </w:r>
      <w:r w:rsidR="00236F0A">
        <w:t xml:space="preserve"> list writing</w:t>
      </w:r>
      <w:r>
        <w:t xml:space="preserve"> is</w:t>
      </w:r>
      <w:r w:rsidR="00003E19">
        <w:t xml:space="preserve"> to</w:t>
      </w:r>
      <w:r>
        <w:t>:</w:t>
      </w:r>
    </w:p>
    <w:p w14:paraId="489C7457" w14:textId="6A4C7C09" w:rsidR="00DC2411" w:rsidRDefault="00AB2C0B" w:rsidP="00723A0D">
      <w:pPr>
        <w:pStyle w:val="DELWPbullet1"/>
      </w:pPr>
      <w:r>
        <w:t>Place a colon after the lead-in</w:t>
      </w:r>
      <w:r w:rsidR="004026E8">
        <w:t xml:space="preserve"> sentence</w:t>
      </w:r>
      <w:r>
        <w:t xml:space="preserve"> to clarify the link with the indented information that follows.</w:t>
      </w:r>
    </w:p>
    <w:p w14:paraId="2ACD2359" w14:textId="77777777" w:rsidR="00123CBD" w:rsidRDefault="005412C9" w:rsidP="00723A0D">
      <w:pPr>
        <w:pStyle w:val="DELWPbullet1"/>
      </w:pPr>
      <w:r>
        <w:t>Format bullets</w:t>
      </w:r>
      <w:r w:rsidR="00123CBD">
        <w:t xml:space="preserve"> with:</w:t>
      </w:r>
    </w:p>
    <w:p w14:paraId="489C7458" w14:textId="3FCA669F" w:rsidR="00DC2411" w:rsidRDefault="00AB2C0B" w:rsidP="00A705A5">
      <w:pPr>
        <w:pStyle w:val="DELWPbullet1"/>
        <w:numPr>
          <w:ilvl w:val="0"/>
          <w:numId w:val="43"/>
        </w:numPr>
      </w:pPr>
      <w:r>
        <w:t>a square bullet</w:t>
      </w:r>
      <w:r w:rsidR="00214FD9">
        <w:t xml:space="preserve"> (</w:t>
      </w:r>
      <w:r w:rsidR="00214FD9">
        <w:rPr>
          <w:rFonts w:ascii="Wingdings" w:eastAsia="Wingdings" w:hAnsi="Wingdings" w:cs="Wingdings"/>
        </w:rPr>
        <w:sym w:font="Wingdings" w:char="F0A7"/>
      </w:r>
      <w:r w:rsidR="00214FD9">
        <w:t>)</w:t>
      </w:r>
      <w:r>
        <w:t xml:space="preserve"> for the </w:t>
      </w:r>
      <w:proofErr w:type="gramStart"/>
      <w:r>
        <w:t>first</w:t>
      </w:r>
      <w:r w:rsidR="008503CA">
        <w:t>-</w:t>
      </w:r>
      <w:r>
        <w:t>level</w:t>
      </w:r>
      <w:proofErr w:type="gramEnd"/>
      <w:r>
        <w:t xml:space="preserve"> of dot point.</w:t>
      </w:r>
    </w:p>
    <w:p w14:paraId="6E8C6A61" w14:textId="3BF71C37" w:rsidR="008503CA" w:rsidRDefault="008503CA" w:rsidP="00A705A5">
      <w:pPr>
        <w:pStyle w:val="DELWPbullet1"/>
        <w:numPr>
          <w:ilvl w:val="0"/>
          <w:numId w:val="43"/>
        </w:numPr>
      </w:pPr>
      <w:r>
        <w:t>a</w:t>
      </w:r>
      <w:r w:rsidR="00AF2509">
        <w:t xml:space="preserve">n </w:t>
      </w:r>
      <w:proofErr w:type="spellStart"/>
      <w:r w:rsidR="00AF2509">
        <w:t>en</w:t>
      </w:r>
      <w:proofErr w:type="spellEnd"/>
      <w:r w:rsidR="00AB2C0B">
        <w:t xml:space="preserve"> dash</w:t>
      </w:r>
      <w:r w:rsidR="00AF2509">
        <w:t xml:space="preserve"> character</w:t>
      </w:r>
      <w:r w:rsidR="0040721C">
        <w:t xml:space="preserve"> (</w:t>
      </w:r>
      <w:r w:rsidR="00AF2509">
        <w:t>-</w:t>
      </w:r>
      <w:r w:rsidR="0040721C">
        <w:t>)</w:t>
      </w:r>
      <w:r w:rsidR="00AB2C0B">
        <w:t xml:space="preserve"> for a</w:t>
      </w:r>
      <w:r>
        <w:t xml:space="preserve"> second-</w:t>
      </w:r>
      <w:r w:rsidR="00AB2C0B">
        <w:t>level sub-dot point</w:t>
      </w:r>
      <w:r>
        <w:t>.</w:t>
      </w:r>
    </w:p>
    <w:p w14:paraId="489C7459" w14:textId="7AE82CDB" w:rsidR="00DC2411" w:rsidRDefault="00AB2C0B" w:rsidP="00A705A5">
      <w:pPr>
        <w:pStyle w:val="DELWPbullet1"/>
        <w:numPr>
          <w:ilvl w:val="0"/>
          <w:numId w:val="43"/>
        </w:numPr>
      </w:pPr>
      <w:r>
        <w:t xml:space="preserve">a </w:t>
      </w:r>
      <w:r w:rsidR="000603E7">
        <w:t>mini square bullet</w:t>
      </w:r>
      <w:r w:rsidR="0040721C">
        <w:t xml:space="preserve"> (</w:t>
      </w:r>
      <w:r w:rsidR="0040721C">
        <w:rPr>
          <w:rFonts w:ascii="Wingdings" w:eastAsia="Wingdings" w:hAnsi="Wingdings" w:cs="Wingdings"/>
        </w:rPr>
        <w:t> </w:t>
      </w:r>
      <w:r w:rsidR="0040721C">
        <w:t>)</w:t>
      </w:r>
      <w:r>
        <w:t xml:space="preserve"> for a</w:t>
      </w:r>
      <w:r w:rsidR="00DC2300">
        <w:t xml:space="preserve"> third-level</w:t>
      </w:r>
      <w:r>
        <w:t xml:space="preserve"> sub-sub-point where necessary. Avoid three levels if you can.</w:t>
      </w:r>
    </w:p>
    <w:p w14:paraId="489C745A" w14:textId="77777777" w:rsidR="00DC2411" w:rsidRDefault="00AB2C0B" w:rsidP="00723A0D">
      <w:pPr>
        <w:pStyle w:val="DELWPbullet1"/>
      </w:pPr>
      <w:r>
        <w:t>Start each point with a capital letter.</w:t>
      </w:r>
      <w:r w:rsidR="00DA5AF6">
        <w:t xml:space="preserve"> </w:t>
      </w:r>
      <w:r>
        <w:t>A point can include more than one sentence.</w:t>
      </w:r>
    </w:p>
    <w:p w14:paraId="489C745B" w14:textId="380DC8D1" w:rsidR="00DC2411" w:rsidRDefault="00AB2C0B" w:rsidP="00723A0D">
      <w:pPr>
        <w:pStyle w:val="DELWPbullet1"/>
      </w:pPr>
      <w:r>
        <w:t xml:space="preserve">End </w:t>
      </w:r>
      <w:r w:rsidR="0051326E">
        <w:t xml:space="preserve">each </w:t>
      </w:r>
      <w:r>
        <w:t>point with a full stop.</w:t>
      </w:r>
    </w:p>
    <w:p w14:paraId="489C745C" w14:textId="77777777" w:rsidR="00DC2411" w:rsidRDefault="00AB2C0B" w:rsidP="00723A0D">
      <w:pPr>
        <w:pStyle w:val="DELWPbullet1"/>
      </w:pPr>
      <w:r>
        <w:t>Semicolons, ‘or’ and ‘and’ are not used at the end of a point.</w:t>
      </w:r>
    </w:p>
    <w:p w14:paraId="489C745D" w14:textId="595B0914" w:rsidR="00754143" w:rsidRDefault="00AB2C0B" w:rsidP="002E55BC">
      <w:pPr>
        <w:pStyle w:val="DELWPbodyafterbullets"/>
      </w:pPr>
      <w:r>
        <w:t xml:space="preserve">Refer to the style </w:t>
      </w:r>
      <w:r w:rsidR="0051326E">
        <w:t>guide</w:t>
      </w:r>
      <w:r>
        <w:t xml:space="preserve"> in the </w:t>
      </w:r>
      <w:r w:rsidRPr="00ED6D42">
        <w:rPr>
          <w:i/>
          <w:iCs/>
        </w:rPr>
        <w:t>Ministerial Direction</w:t>
      </w:r>
      <w:r w:rsidR="00ED6D42">
        <w:t xml:space="preserve"> -</w:t>
      </w:r>
      <w:r>
        <w:t xml:space="preserve"> </w:t>
      </w:r>
      <w:r w:rsidRPr="007E64CD">
        <w:rPr>
          <w:rStyle w:val="Emphasis"/>
        </w:rPr>
        <w:t>The Form and Content of Planning Schemes</w:t>
      </w:r>
      <w:r>
        <w:t xml:space="preserve"> for the correct styles to use.</w:t>
      </w:r>
    </w:p>
    <w:p w14:paraId="489C745E" w14:textId="77777777" w:rsidR="00DC2411" w:rsidRDefault="00AB2C0B" w:rsidP="002123AF">
      <w:pPr>
        <w:pStyle w:val="Heading4"/>
        <w:rPr>
          <w:rFonts w:ascii="VIC-Light" w:hAnsi="VIC-Light" w:cs="VIC-Light"/>
          <w:color w:val="000000"/>
          <w:spacing w:val="2"/>
          <w:szCs w:val="20"/>
        </w:rPr>
      </w:pPr>
      <w:r>
        <w:t>In-sentence lists</w:t>
      </w:r>
    </w:p>
    <w:p w14:paraId="489C745F" w14:textId="77777777" w:rsidR="00754143" w:rsidRDefault="00AB2C0B" w:rsidP="002E55BC">
      <w:pPr>
        <w:pStyle w:val="BodyText1"/>
      </w:pPr>
      <w:r>
        <w:t>Do not use in-sentence lists in a control.</w:t>
      </w:r>
      <w:r w:rsidR="00DA5AF6">
        <w:t xml:space="preserve"> </w:t>
      </w:r>
      <w:r>
        <w:t>They may sometimes be suitable in a policy statement.</w:t>
      </w:r>
    </w:p>
    <w:p w14:paraId="489C7460" w14:textId="77777777" w:rsidR="00754143" w:rsidRDefault="00AB2C0B" w:rsidP="002E55BC">
      <w:pPr>
        <w:pStyle w:val="BodyText1"/>
      </w:pPr>
      <w:r>
        <w:lastRenderedPageBreak/>
        <w:t>Only use an in-sentence list if the number of items is small.</w:t>
      </w:r>
    </w:p>
    <w:p w14:paraId="489C7461" w14:textId="77777777" w:rsidR="00DC2411" w:rsidRDefault="00AB2C0B" w:rsidP="002E55BC">
      <w:pPr>
        <w:pStyle w:val="BodyText1"/>
      </w:pPr>
      <w:r>
        <w:t>Only use a colon to introduce list items if a complete sentence precedes the list.</w:t>
      </w:r>
    </w:p>
    <w:tbl>
      <w:tblPr>
        <w:tblStyle w:val="TableGrid"/>
        <w:tblW w:w="9241" w:type="dxa"/>
        <w:tblInd w:w="-5" w:type="dxa"/>
        <w:tblBorders>
          <w:top w:val="single" w:sz="4" w:space="0" w:color="D9ECEA" w:themeColor="accent2"/>
          <w:left w:val="single" w:sz="4" w:space="0" w:color="D9ECEA" w:themeColor="accent2"/>
          <w:bottom w:val="single" w:sz="4" w:space="0" w:color="D9ECEA" w:themeColor="accent2"/>
          <w:right w:val="single" w:sz="4" w:space="0" w:color="D9ECEA" w:themeColor="accent2"/>
          <w:insideH w:val="single" w:sz="4" w:space="0" w:color="D9ECEA" w:themeColor="accent2"/>
          <w:insideV w:val="single" w:sz="4" w:space="0" w:color="D9ECEA" w:themeColor="accent2"/>
        </w:tblBorders>
        <w:tblLook w:val="04A0" w:firstRow="1" w:lastRow="0" w:firstColumn="1" w:lastColumn="0" w:noHBand="0" w:noVBand="1"/>
      </w:tblPr>
      <w:tblGrid>
        <w:gridCol w:w="680"/>
        <w:gridCol w:w="8561"/>
      </w:tblGrid>
      <w:tr w:rsidR="00FF51A7" w14:paraId="51D8362B" w14:textId="77777777" w:rsidTr="00ED27E1">
        <w:trPr>
          <w:cnfStyle w:val="100000000000" w:firstRow="1" w:lastRow="0" w:firstColumn="0" w:lastColumn="0" w:oddVBand="0" w:evenVBand="0" w:oddHBand="0" w:evenHBand="0" w:firstRowFirstColumn="0" w:firstRowLastColumn="0" w:lastRowFirstColumn="0" w:lastRowLastColumn="0"/>
        </w:trPr>
        <w:tc>
          <w:tcPr>
            <w:tcW w:w="680" w:type="dxa"/>
            <w:shd w:val="clear" w:color="auto" w:fill="D9ECEA" w:themeFill="accent2"/>
          </w:tcPr>
          <w:p w14:paraId="3CCC6D6F" w14:textId="20A7FAFF" w:rsidR="009D5F5D" w:rsidRPr="005319A6" w:rsidRDefault="006D6661" w:rsidP="000D4746">
            <w:pPr>
              <w:pStyle w:val="Symbol"/>
            </w:pPr>
            <w:r>
              <w:sym w:font="Wingdings" w:char="F0FC"/>
            </w:r>
          </w:p>
        </w:tc>
        <w:tc>
          <w:tcPr>
            <w:tcW w:w="8561" w:type="dxa"/>
            <w:shd w:val="clear" w:color="auto" w:fill="D9ECEA" w:themeFill="accent2"/>
          </w:tcPr>
          <w:p w14:paraId="098F19AA" w14:textId="1C436F19" w:rsidR="00FF308B" w:rsidRPr="00BB13DB" w:rsidRDefault="00FF308B" w:rsidP="006D6661">
            <w:pPr>
              <w:pStyle w:val="DELWPexamplebody"/>
            </w:pPr>
            <w:r w:rsidRPr="00BB13DB">
              <w:t>For this project you need tape, scissors and white-out.</w:t>
            </w:r>
          </w:p>
        </w:tc>
      </w:tr>
      <w:tr w:rsidR="00FF51A7" w14:paraId="12BB82DE" w14:textId="77777777" w:rsidTr="00ED27E1">
        <w:tc>
          <w:tcPr>
            <w:tcW w:w="680" w:type="dxa"/>
            <w:shd w:val="clear" w:color="auto" w:fill="D9ECEA" w:themeFill="accent2"/>
          </w:tcPr>
          <w:p w14:paraId="257633F6" w14:textId="6754D0A4" w:rsidR="006D6661" w:rsidRPr="005319A6" w:rsidRDefault="006D6661" w:rsidP="000D4746">
            <w:pPr>
              <w:pStyle w:val="Symbol"/>
            </w:pPr>
            <w:r>
              <w:sym w:font="Wingdings" w:char="F0FC"/>
            </w:r>
          </w:p>
        </w:tc>
        <w:tc>
          <w:tcPr>
            <w:tcW w:w="8561" w:type="dxa"/>
            <w:shd w:val="clear" w:color="auto" w:fill="D9ECEA" w:themeFill="accent2"/>
          </w:tcPr>
          <w:p w14:paraId="42B41CA3" w14:textId="5A2985A8" w:rsidR="006D6661" w:rsidRPr="00BB13DB" w:rsidRDefault="006D6661" w:rsidP="002E55BC">
            <w:pPr>
              <w:pStyle w:val="DELWPexamplebody"/>
            </w:pPr>
            <w:r w:rsidRPr="00BB13DB">
              <w:t>For this project you need three items: tape, scissors and white-out.</w:t>
            </w:r>
          </w:p>
        </w:tc>
      </w:tr>
      <w:tr w:rsidR="00FF51A7" w14:paraId="379AF621" w14:textId="77777777" w:rsidTr="00ED27E1">
        <w:tc>
          <w:tcPr>
            <w:tcW w:w="680" w:type="dxa"/>
            <w:shd w:val="clear" w:color="auto" w:fill="D9ECEA" w:themeFill="accent2"/>
          </w:tcPr>
          <w:p w14:paraId="6EA2FE4A" w14:textId="3BD512C6" w:rsidR="00FF308B" w:rsidRDefault="006D6661" w:rsidP="000D4746">
            <w:pPr>
              <w:pStyle w:val="Symbol"/>
            </w:pPr>
            <w:r>
              <w:sym w:font="Wingdings" w:char="F0FB"/>
            </w:r>
          </w:p>
        </w:tc>
        <w:tc>
          <w:tcPr>
            <w:tcW w:w="8561" w:type="dxa"/>
            <w:shd w:val="clear" w:color="auto" w:fill="D9ECEA" w:themeFill="accent2"/>
          </w:tcPr>
          <w:p w14:paraId="7E024195" w14:textId="7FBA3F51" w:rsidR="00FF308B" w:rsidRPr="00BB13DB" w:rsidRDefault="00FF308B" w:rsidP="00FF308B">
            <w:pPr>
              <w:pStyle w:val="DELWPexamplecaption"/>
              <w:spacing w:before="120"/>
              <w:rPr>
                <w:b w:val="0"/>
              </w:rPr>
            </w:pPr>
            <w:r w:rsidRPr="00BB13DB">
              <w:rPr>
                <w:b w:val="0"/>
              </w:rPr>
              <w:t>For this project you need: tape, scissors and white-out.</w:t>
            </w:r>
          </w:p>
        </w:tc>
      </w:tr>
    </w:tbl>
    <w:p w14:paraId="74E398FC" w14:textId="51B5384D" w:rsidR="00F40915" w:rsidRDefault="00B821E0" w:rsidP="004F6A20">
      <w:pPr>
        <w:pStyle w:val="Heading3"/>
      </w:pPr>
      <w:bookmarkStart w:id="284" w:name="_Hlk29982914"/>
      <w:r>
        <w:t>6.1.</w:t>
      </w:r>
      <w:r w:rsidR="004F6A20">
        <w:t>7</w:t>
      </w:r>
      <w:r w:rsidR="00134C6C">
        <w:tab/>
      </w:r>
      <w:r w:rsidR="000B7EED">
        <w:tab/>
      </w:r>
      <w:r w:rsidR="00F40915" w:rsidRPr="00F40915">
        <w:t>Content longevity</w:t>
      </w:r>
    </w:p>
    <w:p w14:paraId="4A91B98D" w14:textId="04F04F75" w:rsidR="00F40915" w:rsidRPr="001F2301" w:rsidRDefault="00F40915" w:rsidP="002E55BC">
      <w:pPr>
        <w:pStyle w:val="BodyText1"/>
      </w:pPr>
      <w:r w:rsidRPr="001F2301">
        <w:t>Where possible, draft provisions to endure without the need for regular amendments.</w:t>
      </w:r>
      <w:r w:rsidR="00D92C0F">
        <w:t xml:space="preserve"> </w:t>
      </w:r>
      <w:r w:rsidRPr="001F2301">
        <w:t>Avoid things like:</w:t>
      </w:r>
    </w:p>
    <w:p w14:paraId="53882CEA" w14:textId="77777777" w:rsidR="00F40915" w:rsidRPr="001F2301" w:rsidRDefault="00F40915" w:rsidP="00A705A5">
      <w:pPr>
        <w:pStyle w:val="BodyText1"/>
        <w:numPr>
          <w:ilvl w:val="0"/>
          <w:numId w:val="17"/>
        </w:numPr>
      </w:pPr>
      <w:r w:rsidRPr="001F2301">
        <w:t xml:space="preserve">Quoting census </w:t>
      </w:r>
      <w:proofErr w:type="gramStart"/>
      <w:r w:rsidRPr="001F2301">
        <w:t>data, unless</w:t>
      </w:r>
      <w:proofErr w:type="gramEnd"/>
      <w:r w:rsidRPr="001F2301">
        <w:t xml:space="preserve"> it will be regularly reviewed and updated.</w:t>
      </w:r>
    </w:p>
    <w:p w14:paraId="2A2FECEB" w14:textId="02B3CDBD" w:rsidR="00F40915" w:rsidRPr="001F2301" w:rsidRDefault="00F40915" w:rsidP="00A705A5">
      <w:pPr>
        <w:pStyle w:val="BodyText1"/>
        <w:numPr>
          <w:ilvl w:val="0"/>
          <w:numId w:val="17"/>
        </w:numPr>
      </w:pPr>
      <w:r w:rsidRPr="001F2301">
        <w:t xml:space="preserve">Naming external documents that are regularly updated </w:t>
      </w:r>
      <w:r w:rsidR="00B45220" w:rsidRPr="00B45220">
        <w:t>–</w:t>
      </w:r>
      <w:r w:rsidR="00791531">
        <w:t xml:space="preserve"> </w:t>
      </w:r>
      <w:r w:rsidRPr="001F2301">
        <w:t>aim to include relevant content directly within the scheme.</w:t>
      </w:r>
    </w:p>
    <w:p w14:paraId="438CB27E" w14:textId="16032950" w:rsidR="00F40915" w:rsidRDefault="00F40915" w:rsidP="00A705A5">
      <w:pPr>
        <w:pStyle w:val="BodyText1"/>
        <w:numPr>
          <w:ilvl w:val="0"/>
          <w:numId w:val="17"/>
        </w:numPr>
      </w:pPr>
      <w:r w:rsidRPr="001F2301">
        <w:t xml:space="preserve">Citing cross-references to other clause numbers, except </w:t>
      </w:r>
      <w:r w:rsidR="00F00186">
        <w:t>where</w:t>
      </w:r>
      <w:r w:rsidRPr="001F2301">
        <w:t xml:space="preserve"> it avoids </w:t>
      </w:r>
      <w:r w:rsidR="00F00186">
        <w:t xml:space="preserve">content being repeated </w:t>
      </w:r>
      <w:r w:rsidR="00642E82">
        <w:t>(</w:t>
      </w:r>
      <w:proofErr w:type="gramStart"/>
      <w:r w:rsidR="00642E82">
        <w:t>e.g.</w:t>
      </w:r>
      <w:proofErr w:type="gramEnd"/>
      <w:r w:rsidR="00642E82">
        <w:t xml:space="preserve"> maps)</w:t>
      </w:r>
      <w:r w:rsidRPr="001F2301">
        <w:t>.</w:t>
      </w:r>
    </w:p>
    <w:p w14:paraId="1254970A" w14:textId="6EECA510" w:rsidR="0093192A" w:rsidRDefault="0093192A" w:rsidP="002E55BC">
      <w:pPr>
        <w:pStyle w:val="BodyText1"/>
      </w:pPr>
      <w:r>
        <w:t>Where a planning scheme cites</w:t>
      </w:r>
      <w:r w:rsidR="00CD4078">
        <w:t xml:space="preserve"> population figures (usually within an MPS)</w:t>
      </w:r>
      <w:r w:rsidR="00322766">
        <w:t xml:space="preserve"> the source and date should follow the statistic – e.g. (ABS</w:t>
      </w:r>
      <w:r w:rsidR="00322766" w:rsidRPr="0082496E">
        <w:t xml:space="preserve">, </w:t>
      </w:r>
      <w:r w:rsidR="0043217B" w:rsidRPr="0082496E">
        <w:t>2021</w:t>
      </w:r>
      <w:r w:rsidR="00322766" w:rsidRPr="0082496E">
        <w:t>).</w:t>
      </w:r>
    </w:p>
    <w:p w14:paraId="489C7572" w14:textId="21A2D8A2" w:rsidR="00DC2411" w:rsidRPr="00986209" w:rsidRDefault="00ED29B3" w:rsidP="00BA6981">
      <w:pPr>
        <w:pStyle w:val="Heading2"/>
      </w:pPr>
      <w:bookmarkStart w:id="285" w:name="_6.2_How_to"/>
      <w:bookmarkStart w:id="286" w:name="_Ref528576201"/>
      <w:bookmarkStart w:id="287" w:name="_Toc158706991"/>
      <w:bookmarkEnd w:id="284"/>
      <w:bookmarkEnd w:id="285"/>
      <w:r>
        <w:t>6.2</w:t>
      </w:r>
      <w:r>
        <w:tab/>
      </w:r>
      <w:r w:rsidR="00AB2C0B" w:rsidRPr="00986209">
        <w:t>How to include a map or diagram</w:t>
      </w:r>
      <w:bookmarkEnd w:id="286"/>
      <w:bookmarkEnd w:id="287"/>
    </w:p>
    <w:p w14:paraId="489C7573" w14:textId="7AAE6DE0" w:rsidR="00754143" w:rsidRDefault="00AB2C0B" w:rsidP="002E55BC">
      <w:pPr>
        <w:pStyle w:val="BodyText1"/>
      </w:pPr>
      <w:r>
        <w:t xml:space="preserve">The </w:t>
      </w:r>
      <w:r w:rsidRPr="00ED6D42">
        <w:rPr>
          <w:i/>
          <w:iCs/>
        </w:rPr>
        <w:t>Ministerial Direction</w:t>
      </w:r>
      <w:r>
        <w:t xml:space="preserve"> </w:t>
      </w:r>
      <w:r w:rsidR="00ED6D42">
        <w:t xml:space="preserve">- </w:t>
      </w:r>
      <w:r w:rsidRPr="007E64CD">
        <w:rPr>
          <w:rStyle w:val="Emphasis"/>
        </w:rPr>
        <w:t>The Form and Content of Planning Schemes</w:t>
      </w:r>
      <w:r>
        <w:t xml:space="preserve"> requires that any image in a planning scheme ordinance including a map must meet </w:t>
      </w:r>
      <w:proofErr w:type="gramStart"/>
      <w:r>
        <w:t>all of</w:t>
      </w:r>
      <w:proofErr w:type="gramEnd"/>
      <w:r>
        <w:t xml:space="preserve"> the following requirements:</w:t>
      </w:r>
    </w:p>
    <w:p w14:paraId="489C7574" w14:textId="308D799E" w:rsidR="00DC2411" w:rsidRDefault="00AB2C0B" w:rsidP="00723A0D">
      <w:pPr>
        <w:pStyle w:val="DELWPbullet1"/>
      </w:pPr>
      <w:r>
        <w:t xml:space="preserve">The image cropped and sized to fit the available space on the page with a maximum file size of </w:t>
      </w:r>
      <w:r w:rsidRPr="00916125">
        <w:t>3</w:t>
      </w:r>
      <w:r w:rsidR="00483400" w:rsidRPr="00916125">
        <w:t>,</w:t>
      </w:r>
      <w:r w:rsidRPr="00916125">
        <w:t>000 kilobytes</w:t>
      </w:r>
      <w:r>
        <w:t xml:space="preserve"> and 300 pixels per inch (</w:t>
      </w:r>
      <w:proofErr w:type="spellStart"/>
      <w:r>
        <w:t>ppi</w:t>
      </w:r>
      <w:proofErr w:type="spellEnd"/>
      <w:r>
        <w:t>).</w:t>
      </w:r>
    </w:p>
    <w:p w14:paraId="489C7575" w14:textId="77777777" w:rsidR="00DC2411" w:rsidRDefault="00AB2C0B" w:rsidP="00723A0D">
      <w:pPr>
        <w:pStyle w:val="DELWPbullet1"/>
      </w:pPr>
      <w:r>
        <w:t>Be the only image on a horizontal line (that is, no images side by side or use of multiple images or layered images to make one single image).</w:t>
      </w:r>
    </w:p>
    <w:p w14:paraId="489C7576" w14:textId="77777777" w:rsidR="00DC2411" w:rsidRDefault="00AB2C0B" w:rsidP="00723A0D">
      <w:pPr>
        <w:pStyle w:val="DELWPbullet1"/>
      </w:pPr>
      <w:r>
        <w:t>Have a title, reference number and border.</w:t>
      </w:r>
    </w:p>
    <w:p w14:paraId="489C7577" w14:textId="77777777" w:rsidR="00DC2411" w:rsidRDefault="00AB2C0B" w:rsidP="00723A0D">
      <w:pPr>
        <w:pStyle w:val="DELWPbullet1"/>
      </w:pPr>
      <w:r>
        <w:t>The image title written as text outside of the image.</w:t>
      </w:r>
    </w:p>
    <w:p w14:paraId="489C7578" w14:textId="77777777" w:rsidR="00DC2411" w:rsidRDefault="00AB2C0B" w:rsidP="00723A0D">
      <w:pPr>
        <w:pStyle w:val="DELWPbullet1"/>
      </w:pPr>
      <w:r>
        <w:t>Include a legend and source, where applicable.</w:t>
      </w:r>
    </w:p>
    <w:p w14:paraId="489C7579" w14:textId="77777777" w:rsidR="00DC2411" w:rsidRDefault="00AB2C0B" w:rsidP="00723A0D">
      <w:pPr>
        <w:pStyle w:val="DELWPbullet1"/>
      </w:pPr>
      <w:r>
        <w:t>Include a north arrow and scale, where applicable.</w:t>
      </w:r>
    </w:p>
    <w:p w14:paraId="489C757A" w14:textId="1C2705DC" w:rsidR="00754143" w:rsidRDefault="00AB2C0B" w:rsidP="002E55BC">
      <w:pPr>
        <w:pStyle w:val="DELWPbodyafterbullets"/>
      </w:pPr>
      <w:r>
        <w:t xml:space="preserve">When preparing a map or presenting visual data, </w:t>
      </w:r>
      <w:r w:rsidR="00CA424E">
        <w:t>aim for it to be</w:t>
      </w:r>
      <w:r>
        <w:t xml:space="preserve"> readable in both:</w:t>
      </w:r>
    </w:p>
    <w:p w14:paraId="489C757B" w14:textId="77777777" w:rsidR="00DC2411" w:rsidRDefault="00AB2C0B" w:rsidP="00723A0D">
      <w:pPr>
        <w:pStyle w:val="DELWPbullet1"/>
      </w:pPr>
      <w:r>
        <w:t>black and white</w:t>
      </w:r>
    </w:p>
    <w:p w14:paraId="489C757C" w14:textId="77777777" w:rsidR="00DC2411" w:rsidRDefault="00AB2C0B" w:rsidP="00723A0D">
      <w:pPr>
        <w:pStyle w:val="DELWPbullet1"/>
      </w:pPr>
      <w:r>
        <w:t>by a person affected by colour blindness.</w:t>
      </w:r>
    </w:p>
    <w:p w14:paraId="55DDB753" w14:textId="77777777" w:rsidR="00DC4FF0" w:rsidRDefault="00E2090D" w:rsidP="002E55BC">
      <w:pPr>
        <w:pStyle w:val="DELWPbodyafterbullets"/>
      </w:pPr>
      <w:r>
        <w:fldChar w:fldCharType="begin"/>
      </w:r>
      <w:r>
        <w:instrText>HYPERLINK "https://www.planning.vic.gov.au/guides-and-resources/guides/all-guides/communicating-data-with-colour"</w:instrText>
      </w:r>
      <w:r>
        <w:fldChar w:fldCharType="separate"/>
      </w:r>
    </w:p>
    <w:p w14:paraId="5BEEAD56" w14:textId="77777777" w:rsidR="00DC4FF0" w:rsidRDefault="00DC4FF0">
      <w:pPr>
        <w:suppressAutoHyphens w:val="0"/>
        <w:spacing w:after="0" w:line="240" w:lineRule="auto"/>
        <w:rPr>
          <w:rFonts w:ascii="VIC" w:eastAsia="Times" w:hAnsi="VIC"/>
          <w:lang w:eastAsia="en-US"/>
        </w:rPr>
      </w:pPr>
      <w:r>
        <w:br w:type="page"/>
      </w:r>
    </w:p>
    <w:p w14:paraId="489C757D" w14:textId="35CEDC85" w:rsidR="00754143" w:rsidRDefault="00AB2C0B" w:rsidP="002E55BC">
      <w:pPr>
        <w:pStyle w:val="DELWPbodyafterbullets"/>
      </w:pPr>
      <w:r w:rsidRPr="00744455">
        <w:rPr>
          <w:rStyle w:val="Hyperlink"/>
          <w:i/>
          <w:iCs/>
        </w:rPr>
        <w:lastRenderedPageBreak/>
        <w:t xml:space="preserve">Communicating </w:t>
      </w:r>
      <w:r w:rsidR="008A52BA" w:rsidRPr="00744455">
        <w:rPr>
          <w:rStyle w:val="Hyperlink"/>
          <w:i/>
          <w:iCs/>
        </w:rPr>
        <w:t xml:space="preserve">Data </w:t>
      </w:r>
      <w:r w:rsidR="00045CAD" w:rsidRPr="00744455">
        <w:rPr>
          <w:rStyle w:val="Hyperlink"/>
          <w:i/>
          <w:iCs/>
        </w:rPr>
        <w:t>w</w:t>
      </w:r>
      <w:r w:rsidR="008A52BA" w:rsidRPr="00744455">
        <w:rPr>
          <w:rStyle w:val="Hyperlink"/>
          <w:i/>
          <w:iCs/>
        </w:rPr>
        <w:t xml:space="preserve">ith Colour: </w:t>
      </w:r>
      <w:r w:rsidRPr="00744455">
        <w:rPr>
          <w:rStyle w:val="Hyperlink"/>
          <w:i/>
          <w:iCs/>
        </w:rPr>
        <w:t xml:space="preserve">A </w:t>
      </w:r>
      <w:r w:rsidR="008A52BA" w:rsidRPr="00744455">
        <w:rPr>
          <w:rStyle w:val="Hyperlink"/>
          <w:i/>
          <w:iCs/>
        </w:rPr>
        <w:t xml:space="preserve">Guide </w:t>
      </w:r>
      <w:r w:rsidR="00045CAD" w:rsidRPr="00744455">
        <w:rPr>
          <w:rStyle w:val="Hyperlink"/>
          <w:i/>
          <w:iCs/>
        </w:rPr>
        <w:t>t</w:t>
      </w:r>
      <w:r w:rsidR="008A52BA" w:rsidRPr="00744455">
        <w:rPr>
          <w:rStyle w:val="Hyperlink"/>
          <w:i/>
          <w:iCs/>
        </w:rPr>
        <w:t xml:space="preserve">o Producing Colour Accessible Maps </w:t>
      </w:r>
      <w:r w:rsidR="00045CAD" w:rsidRPr="00744455">
        <w:rPr>
          <w:rStyle w:val="Hyperlink"/>
          <w:i/>
          <w:iCs/>
        </w:rPr>
        <w:t>a</w:t>
      </w:r>
      <w:r w:rsidR="008A52BA" w:rsidRPr="00744455">
        <w:rPr>
          <w:rStyle w:val="Hyperlink"/>
          <w:i/>
          <w:iCs/>
        </w:rPr>
        <w:t>nd Visual Data</w:t>
      </w:r>
      <w:r w:rsidR="00E2090D">
        <w:rPr>
          <w:rStyle w:val="Hyperlink"/>
          <w:i/>
          <w:iCs/>
        </w:rPr>
        <w:fldChar w:fldCharType="end"/>
      </w:r>
      <w:r w:rsidR="008A52BA" w:rsidRPr="00B1472D">
        <w:t xml:space="preserve"> </w:t>
      </w:r>
      <w:r>
        <w:t>(DPCD</w:t>
      </w:r>
      <w:r w:rsidR="00045CAD">
        <w:t>,</w:t>
      </w:r>
      <w:r>
        <w:t xml:space="preserve"> 2011) </w:t>
      </w:r>
      <w:r w:rsidR="00B33461">
        <w:t>is a useful guide</w:t>
      </w:r>
      <w:r w:rsidR="00AA7D61">
        <w:t xml:space="preserve"> for use of colour in maps</w:t>
      </w:r>
      <w:r w:rsidR="00B33461">
        <w:t xml:space="preserve">. </w:t>
      </w:r>
    </w:p>
    <w:p w14:paraId="1CA286CB" w14:textId="77777777" w:rsidR="00953DB9" w:rsidRDefault="00953DB9" w:rsidP="002E55BC">
      <w:pPr>
        <w:pStyle w:val="DELWPbodyafterbullets"/>
      </w:pPr>
    </w:p>
    <w:p w14:paraId="489C757E" w14:textId="77777777" w:rsidR="00292462" w:rsidRDefault="00213FAD" w:rsidP="00994245">
      <w:pPr>
        <w:pStyle w:val="DELWPdiagraminline"/>
      </w:pPr>
      <w:r>
        <w:rPr>
          <w:noProof/>
          <w:color w:val="2B579A"/>
          <w:shd w:val="clear" w:color="auto" w:fill="E6E6E6"/>
          <w:lang w:val="en-US"/>
        </w:rPr>
        <w:drawing>
          <wp:inline distT="0" distB="0" distL="0" distR="0" wp14:anchorId="489C7AC4" wp14:editId="489C7AC5">
            <wp:extent cx="4500000" cy="2435400"/>
            <wp:effectExtent l="0" t="0" r="0" b="3175"/>
            <wp:docPr id="15" name="Picture 15" descr="Cover of Communicating data with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ng-data-with-colour.png"/>
                    <pic:cNvPicPr/>
                  </pic:nvPicPr>
                  <pic:blipFill>
                    <a:blip r:embed="rId38">
                      <a:extLst>
                        <a:ext uri="{28A0092B-C50C-407E-A947-70E740481C1C}">
                          <a14:useLocalDpi xmlns:a14="http://schemas.microsoft.com/office/drawing/2010/main" val="0"/>
                        </a:ext>
                      </a:extLst>
                    </a:blip>
                    <a:stretch>
                      <a:fillRect/>
                    </a:stretch>
                  </pic:blipFill>
                  <pic:spPr>
                    <a:xfrm>
                      <a:off x="0" y="0"/>
                      <a:ext cx="4500000" cy="2435400"/>
                    </a:xfrm>
                    <a:prstGeom prst="rect">
                      <a:avLst/>
                    </a:prstGeom>
                  </pic:spPr>
                </pic:pic>
              </a:graphicData>
            </a:graphic>
          </wp:inline>
        </w:drawing>
      </w:r>
    </w:p>
    <w:p w14:paraId="489C757F" w14:textId="3F1770C4" w:rsidR="00DA5AF6" w:rsidRDefault="00AB2D21" w:rsidP="00BA6981">
      <w:pPr>
        <w:pStyle w:val="Heading2"/>
      </w:pPr>
      <w:bookmarkStart w:id="288" w:name="_6.3_How_to"/>
      <w:bookmarkStart w:id="289" w:name="_Ref528680181"/>
      <w:bookmarkStart w:id="290" w:name="_Ref528680263"/>
      <w:bookmarkStart w:id="291" w:name="_Toc158706992"/>
      <w:bookmarkEnd w:id="288"/>
      <w:r>
        <w:t>6.3</w:t>
      </w:r>
      <w:r>
        <w:tab/>
      </w:r>
      <w:r w:rsidR="00AB2C0B" w:rsidRPr="00986209">
        <w:t xml:space="preserve">How to </w:t>
      </w:r>
      <w:r w:rsidR="00AB2C0B" w:rsidRPr="00F34CD2">
        <w:t>write a</w:t>
      </w:r>
      <w:r w:rsidR="00AB2C0B" w:rsidRPr="00986209">
        <w:t xml:space="preserve"> Municipal Planning Strategy</w:t>
      </w:r>
      <w:bookmarkEnd w:id="289"/>
      <w:bookmarkEnd w:id="290"/>
      <w:bookmarkEnd w:id="291"/>
    </w:p>
    <w:p w14:paraId="489C7583" w14:textId="064BFEE4" w:rsidR="00754143" w:rsidRDefault="00AB2C0B" w:rsidP="002E55BC">
      <w:pPr>
        <w:pStyle w:val="DELWPbodyaftertablediagram"/>
      </w:pPr>
      <w:r>
        <w:t xml:space="preserve">The MPS is located at </w:t>
      </w:r>
      <w:r w:rsidR="001F616D" w:rsidRPr="00BA0BD1">
        <w:t>c</w:t>
      </w:r>
      <w:r w:rsidRPr="00BA0BD1">
        <w:t>lause 02</w:t>
      </w:r>
      <w:r>
        <w:t xml:space="preserve"> and sets the basis for the local content in the planning scheme. It does not form part of the VPP as it consists only of local content.</w:t>
      </w:r>
      <w:r w:rsidR="00DA5AF6">
        <w:t xml:space="preserve"> </w:t>
      </w:r>
      <w:r>
        <w:t xml:space="preserve">The structure of the MPS is set out by the </w:t>
      </w:r>
      <w:r w:rsidRPr="00ED6D42">
        <w:rPr>
          <w:i/>
          <w:iCs/>
        </w:rPr>
        <w:t>Ministerial Direction</w:t>
      </w:r>
      <w:r>
        <w:t xml:space="preserve"> </w:t>
      </w:r>
      <w:r w:rsidR="00ED6D42">
        <w:t xml:space="preserve">- </w:t>
      </w:r>
      <w:r w:rsidRPr="007E64CD">
        <w:rPr>
          <w:rStyle w:val="Emphasis"/>
        </w:rPr>
        <w:t>The Form and Content of Planning Schemes</w:t>
      </w:r>
      <w:r>
        <w:t xml:space="preserve"> and includes:</w:t>
      </w:r>
    </w:p>
    <w:p w14:paraId="489C7584" w14:textId="77777777" w:rsidR="00DA5AF6" w:rsidRDefault="00AB2C0B" w:rsidP="00723A0D">
      <w:pPr>
        <w:pStyle w:val="DELWPbullet1"/>
      </w:pPr>
      <w:r>
        <w:t>Context</w:t>
      </w:r>
    </w:p>
    <w:p w14:paraId="489C7585" w14:textId="77777777" w:rsidR="00DA5AF6" w:rsidRDefault="00AB2C0B" w:rsidP="00723A0D">
      <w:pPr>
        <w:pStyle w:val="DELWPbullet1"/>
      </w:pPr>
      <w:r>
        <w:t>Vision</w:t>
      </w:r>
    </w:p>
    <w:p w14:paraId="489C7586" w14:textId="77777777" w:rsidR="00DC2411" w:rsidRDefault="00AB2C0B" w:rsidP="00723A0D">
      <w:pPr>
        <w:pStyle w:val="DELWPbullet1"/>
      </w:pPr>
      <w:r>
        <w:t>Strategic directions</w:t>
      </w:r>
    </w:p>
    <w:p w14:paraId="489C7587" w14:textId="77777777" w:rsidR="00CB429B" w:rsidRDefault="00AB2C0B" w:rsidP="00723A0D">
      <w:pPr>
        <w:pStyle w:val="DELWPbullet1"/>
      </w:pPr>
      <w:r>
        <w:t>Strategic framework plan.</w:t>
      </w:r>
    </w:p>
    <w:p w14:paraId="489C7588" w14:textId="4C032117" w:rsidR="00754143" w:rsidRDefault="00AB2C0B" w:rsidP="002E55BC">
      <w:pPr>
        <w:pStyle w:val="DELWPbodyafterbullets"/>
      </w:pPr>
      <w:r>
        <w:t>The MPS must succinctly explain the context for a municipality and provide the overarching strategies for the major land use and development matters that affect it.</w:t>
      </w:r>
      <w:r w:rsidR="00DA5AF6">
        <w:t xml:space="preserve"> </w:t>
      </w:r>
      <w:r>
        <w:t xml:space="preserve">Detailed policy belongs in </w:t>
      </w:r>
      <w:r w:rsidR="00092E0F" w:rsidRPr="00BA0BD1">
        <w:t xml:space="preserve">clauses </w:t>
      </w:r>
      <w:r w:rsidRPr="00BA0BD1">
        <w:t>10 to 19</w:t>
      </w:r>
      <w:r>
        <w:t xml:space="preserve"> of the planning scheme.</w:t>
      </w:r>
    </w:p>
    <w:p w14:paraId="489C7589" w14:textId="00DCF66B" w:rsidR="00754143" w:rsidRDefault="00AB2C0B" w:rsidP="002E55BC">
      <w:pPr>
        <w:pStyle w:val="BodyText1"/>
      </w:pPr>
      <w:r>
        <w:t>The content of the MPS should be easily read, expressed in a logical sequence and grouped by related land use and development themes.</w:t>
      </w:r>
      <w:r w:rsidR="00DA5AF6">
        <w:t xml:space="preserve"> </w:t>
      </w:r>
      <w:r>
        <w:t>The preferred approach is to follow the PPF themes.</w:t>
      </w:r>
      <w:r w:rsidR="00DA5AF6">
        <w:t xml:space="preserve"> </w:t>
      </w:r>
      <w:r>
        <w:t>This reinforces the strategic linkages between the PPF and the MPS, helps navigation and improves the ease of use of the planning scheme.</w:t>
      </w:r>
      <w:r w:rsidR="00DA5AF6">
        <w:t xml:space="preserve"> </w:t>
      </w:r>
      <w:r>
        <w:t>PPF policy topics are addressed in the MPS based on the priorities of the municipality.</w:t>
      </w:r>
    </w:p>
    <w:p w14:paraId="37E618D9" w14:textId="11541C98" w:rsidR="00073717" w:rsidRDefault="00073717" w:rsidP="002E55BC">
      <w:pPr>
        <w:pStyle w:val="BodyText1"/>
      </w:pPr>
      <w:r w:rsidRPr="00874AE7">
        <w:t>Information that is likely to become out of date before the next review cycle (about 4 years) should not be included.</w:t>
      </w:r>
    </w:p>
    <w:p w14:paraId="489C758A" w14:textId="2F10B006" w:rsidR="00754143" w:rsidRDefault="00AB2C0B" w:rsidP="002E55BC">
      <w:pPr>
        <w:pStyle w:val="BodyText1"/>
      </w:pPr>
      <w:r>
        <w:t xml:space="preserve">To ensure the MPS focuses on priorities and provides a clear and direct message about a council’s planning aspirations, the </w:t>
      </w:r>
      <w:r w:rsidRPr="00F8621E">
        <w:rPr>
          <w:i/>
          <w:iCs/>
        </w:rPr>
        <w:t xml:space="preserve">Ministerial Direction </w:t>
      </w:r>
      <w:r w:rsidR="00F8621E" w:rsidRPr="00F8621E">
        <w:rPr>
          <w:i/>
          <w:iCs/>
        </w:rPr>
        <w:t>-</w:t>
      </w:r>
      <w:r w:rsidR="00F8621E">
        <w:t xml:space="preserve"> </w:t>
      </w:r>
      <w:r w:rsidRPr="007E64CD">
        <w:rPr>
          <w:rStyle w:val="Emphasis"/>
        </w:rPr>
        <w:t xml:space="preserve">The Form and Content of Planning Schemes </w:t>
      </w:r>
      <w:r>
        <w:t>specifies a word limit for the MPS.</w:t>
      </w:r>
      <w:r w:rsidR="00DA5AF6">
        <w:t xml:space="preserve"> </w:t>
      </w:r>
      <w:r>
        <w:t>Plans are not included in the word limit.</w:t>
      </w:r>
    </w:p>
    <w:p w14:paraId="489C758B" w14:textId="56948AD4" w:rsidR="00754143" w:rsidRDefault="00AB2C0B" w:rsidP="002E55BC">
      <w:pPr>
        <w:pStyle w:val="BodyText1"/>
      </w:pPr>
      <w:r>
        <w:t xml:space="preserve">An example MPS is provided in </w:t>
      </w:r>
      <w:r w:rsidRPr="004C2B4B">
        <w:t xml:space="preserve">Appendix </w:t>
      </w:r>
      <w:r w:rsidR="00F564B2" w:rsidRPr="004C2B4B">
        <w:t>3</w:t>
      </w:r>
      <w:r>
        <w:t>.</w:t>
      </w:r>
    </w:p>
    <w:p w14:paraId="489C758C" w14:textId="014DE1B4" w:rsidR="00754143" w:rsidRPr="00361E71" w:rsidRDefault="00AB2D21" w:rsidP="004F6A20">
      <w:pPr>
        <w:pStyle w:val="Heading3"/>
      </w:pPr>
      <w:r>
        <w:lastRenderedPageBreak/>
        <w:t>6.3.1</w:t>
      </w:r>
      <w:r>
        <w:tab/>
      </w:r>
      <w:r w:rsidR="000B7EED">
        <w:tab/>
      </w:r>
      <w:r w:rsidR="00AB2C0B" w:rsidRPr="00361E71">
        <w:t>Context</w:t>
      </w:r>
    </w:p>
    <w:p w14:paraId="489C758D" w14:textId="7E64156A" w:rsidR="00754143" w:rsidRDefault="00AB2C0B" w:rsidP="002E55BC">
      <w:pPr>
        <w:pStyle w:val="BodyText1"/>
      </w:pPr>
      <w:r>
        <w:t xml:space="preserve">The context is a </w:t>
      </w:r>
      <w:r w:rsidRPr="003A1DC6">
        <w:t>concise</w:t>
      </w:r>
      <w:r w:rsidR="001472B6" w:rsidRPr="003A1DC6">
        <w:t xml:space="preserve"> </w:t>
      </w:r>
      <w:r w:rsidR="005652C6" w:rsidRPr="003A1DC6">
        <w:t xml:space="preserve">half </w:t>
      </w:r>
      <w:r w:rsidR="001472B6" w:rsidRPr="003A1DC6">
        <w:t>to</w:t>
      </w:r>
      <w:r w:rsidR="001472B6">
        <w:t xml:space="preserve"> one page</w:t>
      </w:r>
      <w:r>
        <w:t xml:space="preserve"> description of the municipality in its regional setting.</w:t>
      </w:r>
      <w:r w:rsidR="00DA5AF6">
        <w:t xml:space="preserve"> </w:t>
      </w:r>
      <w:r>
        <w:t>It should provide a very brief description of the geographic, economic, environmental and demographic qualities of the municipality.</w:t>
      </w:r>
      <w:r w:rsidR="00DA5AF6">
        <w:t xml:space="preserve"> </w:t>
      </w:r>
      <w:r>
        <w:t>These should represent both the opportunities and challenges that establish the key land use and development issues to be addressed in the municipal vision and strategic directions.</w:t>
      </w:r>
    </w:p>
    <w:p w14:paraId="489C758E" w14:textId="43E20A8E" w:rsidR="00754143" w:rsidRDefault="00AB2C0B" w:rsidP="002E55BC">
      <w:pPr>
        <w:pStyle w:val="BodyText1"/>
      </w:pPr>
      <w:r w:rsidRPr="00775163">
        <w:t>The context should set the scene for what issues are important to the municipality and need to be addressed by the planning scheme.</w:t>
      </w:r>
      <w:r w:rsidR="00DA5AF6" w:rsidRPr="00775163">
        <w:t xml:space="preserve"> </w:t>
      </w:r>
      <w:r w:rsidRPr="00775163">
        <w:t>There is no need to</w:t>
      </w:r>
      <w:r w:rsidR="00EA1B2D">
        <w:t xml:space="preserve"> provide </w:t>
      </w:r>
      <w:r w:rsidR="003D614A">
        <w:t>extensive</w:t>
      </w:r>
      <w:r w:rsidR="00EA1B2D">
        <w:t xml:space="preserve"> detail or</w:t>
      </w:r>
      <w:r w:rsidRPr="00775163">
        <w:t xml:space="preserve"> state how the issue will be addressed in the context statement </w:t>
      </w:r>
      <w:r w:rsidR="006C61DF">
        <w:t>because</w:t>
      </w:r>
      <w:r w:rsidR="006C61DF" w:rsidRPr="00775163">
        <w:t xml:space="preserve"> </w:t>
      </w:r>
      <w:r w:rsidRPr="00775163">
        <w:t xml:space="preserve">this is the role of the strategic directions. </w:t>
      </w:r>
    </w:p>
    <w:p w14:paraId="489C758F" w14:textId="77777777" w:rsidR="00754143" w:rsidRDefault="00AB2C0B" w:rsidP="002E55BC">
      <w:pPr>
        <w:pStyle w:val="BodyText1"/>
      </w:pPr>
      <w:r>
        <w:t xml:space="preserve">The context can be accompanied by a plan, if needed. A context plan is a useful tool to portray municipal context information ‘at a glance’. This can be a separate </w:t>
      </w:r>
      <w:proofErr w:type="gramStart"/>
      <w:r>
        <w:t>plan</w:t>
      </w:r>
      <w:proofErr w:type="gramEnd"/>
      <w:r>
        <w:t xml:space="preserve"> or the information can be integrated with a strategic framework plan, if appropriate.</w:t>
      </w:r>
      <w:r w:rsidR="00DA5AF6">
        <w:t xml:space="preserve"> </w:t>
      </w:r>
      <w:r>
        <w:t>Annotations can be used as required.</w:t>
      </w:r>
    </w:p>
    <w:p w14:paraId="489C7590" w14:textId="2F48CBAE" w:rsidR="00754143" w:rsidRDefault="00AB2C0B" w:rsidP="002E55BC">
      <w:pPr>
        <w:pStyle w:val="BodyText1"/>
      </w:pPr>
      <w:r>
        <w:t>A context plan can illustrate the key features of the municipality and provide a regional context. It can convey further detail on an aspect of the municipality.</w:t>
      </w:r>
      <w:r w:rsidR="00DA5AF6">
        <w:t xml:space="preserve"> </w:t>
      </w:r>
      <w:r>
        <w:t>For instance, if the population of individual towns is important to subsequent strategies, then that information can be conveyed by a map.</w:t>
      </w:r>
    </w:p>
    <w:p w14:paraId="4599245B" w14:textId="4053F925" w:rsidR="00641BA2" w:rsidRDefault="0055365B" w:rsidP="002E55BC">
      <w:pPr>
        <w:pStyle w:val="BodyText1"/>
      </w:pPr>
      <w:r>
        <w:t>P</w:t>
      </w:r>
      <w:r w:rsidR="00ED062A">
        <w:t>opulation figures</w:t>
      </w:r>
      <w:r>
        <w:t xml:space="preserve"> are often used to help explain the</w:t>
      </w:r>
      <w:r w:rsidR="005C3751">
        <w:t xml:space="preserve"> </w:t>
      </w:r>
      <w:r>
        <w:t xml:space="preserve">context </w:t>
      </w:r>
      <w:r w:rsidR="005C3751">
        <w:t>of</w:t>
      </w:r>
      <w:r w:rsidR="00831904">
        <w:t xml:space="preserve"> a municipality</w:t>
      </w:r>
      <w:r w:rsidR="00982187">
        <w:t xml:space="preserve"> in the MPS</w:t>
      </w:r>
      <w:r w:rsidR="004C11A5">
        <w:t>.</w:t>
      </w:r>
      <w:r w:rsidR="00CE72DF">
        <w:t xml:space="preserve"> </w:t>
      </w:r>
      <w:r w:rsidR="004A00EC">
        <w:t>Only c</w:t>
      </w:r>
      <w:r w:rsidR="0016572D">
        <w:t>ite statistics in the MPS</w:t>
      </w:r>
      <w:r w:rsidR="00F83FDC">
        <w:t xml:space="preserve"> </w:t>
      </w:r>
      <w:r w:rsidR="00B66B6A">
        <w:t>if</w:t>
      </w:r>
      <w:r w:rsidR="00F83FDC">
        <w:t xml:space="preserve"> it </w:t>
      </w:r>
      <w:r w:rsidR="003E4C75">
        <w:t>provides</w:t>
      </w:r>
      <w:r w:rsidR="00982187">
        <w:t xml:space="preserve"> useful planning context</w:t>
      </w:r>
      <w:r w:rsidR="00B66B6A">
        <w:t xml:space="preserve"> and can be</w:t>
      </w:r>
      <w:r w:rsidR="00541C49">
        <w:t xml:space="preserve"> </w:t>
      </w:r>
      <w:r w:rsidR="002348C4" w:rsidRPr="001F2301">
        <w:t>regularly reviewed and updated</w:t>
      </w:r>
      <w:r w:rsidR="00541C49">
        <w:t>.</w:t>
      </w:r>
      <w:r w:rsidR="00875E56">
        <w:t xml:space="preserve">  Where statistics are used, the source and date of the data should be specified – e.g. (ABS</w:t>
      </w:r>
      <w:r w:rsidR="00875E56" w:rsidRPr="003A1DC6">
        <w:t xml:space="preserve">, </w:t>
      </w:r>
      <w:r w:rsidR="003724D1" w:rsidRPr="003A1DC6">
        <w:t>2021</w:t>
      </w:r>
      <w:r w:rsidR="00875E56" w:rsidRPr="003A1DC6">
        <w:t>).</w:t>
      </w:r>
    </w:p>
    <w:p w14:paraId="1EFBD164" w14:textId="14C3BD10" w:rsidR="00286840" w:rsidRPr="000E20A0" w:rsidRDefault="00286840" w:rsidP="008E6235">
      <w:pPr>
        <w:pStyle w:val="Heading4"/>
      </w:pPr>
      <w:r w:rsidRPr="000E20A0">
        <w:t xml:space="preserve">Acknowledgement of Country </w:t>
      </w:r>
    </w:p>
    <w:p w14:paraId="3D9CA233" w14:textId="694964BB" w:rsidR="00286840" w:rsidRDefault="00286840" w:rsidP="00286840">
      <w:pPr>
        <w:pStyle w:val="BodyText10"/>
        <w:suppressAutoHyphens/>
        <w:spacing w:before="120" w:after="0" w:line="288" w:lineRule="auto"/>
        <w:ind w:left="0"/>
        <w:rPr>
          <w:rFonts w:ascii="VIC" w:eastAsia="Times" w:hAnsi="VIC"/>
          <w:lang w:eastAsia="en-US"/>
        </w:rPr>
      </w:pPr>
      <w:r w:rsidRPr="00286840">
        <w:rPr>
          <w:rFonts w:ascii="VIC" w:eastAsia="Times" w:hAnsi="VIC"/>
          <w:lang w:eastAsia="en-US"/>
        </w:rPr>
        <w:t>To acknowledge and honour Traditional Owners’ strong and continuing connection to land within a municipality, a Municipal Planning Strategy may start with a short Acknowledgement of Country at clause 02.</w:t>
      </w:r>
      <w:r w:rsidR="00EE1F62">
        <w:rPr>
          <w:rFonts w:ascii="VIC" w:eastAsia="Times" w:hAnsi="VIC"/>
          <w:lang w:eastAsia="en-US"/>
        </w:rPr>
        <w:t xml:space="preserve"> </w:t>
      </w:r>
    </w:p>
    <w:p w14:paraId="37BC40AA" w14:textId="77777777" w:rsidR="00EE1F62" w:rsidRPr="00EE1F62" w:rsidRDefault="00EE1F62" w:rsidP="00EE1F62">
      <w:pPr>
        <w:pStyle w:val="BodyText10"/>
        <w:suppressAutoHyphens/>
        <w:spacing w:before="120" w:after="0" w:line="288" w:lineRule="auto"/>
        <w:ind w:left="0"/>
        <w:rPr>
          <w:rFonts w:ascii="VIC" w:eastAsia="Times" w:hAnsi="VIC"/>
          <w:lang w:eastAsia="en-US"/>
        </w:rPr>
      </w:pPr>
      <w:r w:rsidRPr="00EE1F62">
        <w:rPr>
          <w:rFonts w:ascii="VIC" w:eastAsia="Times" w:hAnsi="VIC"/>
          <w:lang w:eastAsia="en-US"/>
        </w:rPr>
        <w:t>In some instances, there will be more than one Traditional Owner group represented in an Acknowledgement of Country due to municipal boundaries being inconsistent with Traditional Owners’ land boundaries.</w:t>
      </w:r>
    </w:p>
    <w:p w14:paraId="4C0979E5" w14:textId="6B4D41D9" w:rsidR="00EE1F62" w:rsidRPr="00EE1F62" w:rsidRDefault="00EE1F62" w:rsidP="00EE1F62">
      <w:pPr>
        <w:pStyle w:val="BodyText10"/>
        <w:suppressAutoHyphens/>
        <w:spacing w:before="120" w:after="0" w:line="288" w:lineRule="auto"/>
        <w:ind w:left="0"/>
        <w:rPr>
          <w:rFonts w:ascii="VIC" w:eastAsia="Times" w:hAnsi="VIC"/>
          <w:lang w:eastAsia="en-US"/>
        </w:rPr>
      </w:pPr>
      <w:r w:rsidRPr="00EE1F62">
        <w:rPr>
          <w:rFonts w:ascii="VIC" w:eastAsia="Times" w:hAnsi="VIC"/>
          <w:lang w:eastAsia="en-US"/>
        </w:rPr>
        <w:t xml:space="preserve">To identify relevant Traditional Owner land for a </w:t>
      </w:r>
      <w:proofErr w:type="gramStart"/>
      <w:r w:rsidRPr="00EE1F62">
        <w:rPr>
          <w:rFonts w:ascii="VIC" w:eastAsia="Times" w:hAnsi="VIC"/>
          <w:lang w:eastAsia="en-US"/>
        </w:rPr>
        <w:t>municipality</w:t>
      </w:r>
      <w:proofErr w:type="gramEnd"/>
      <w:r w:rsidRPr="00EE1F62">
        <w:rPr>
          <w:rFonts w:ascii="VIC" w:eastAsia="Times" w:hAnsi="VIC"/>
          <w:lang w:eastAsia="en-US"/>
        </w:rPr>
        <w:t xml:space="preserve"> refer to the Aboriginal Cultural Register and Information System (ACHRIS) </w:t>
      </w:r>
      <w:hyperlink r:id="rId39" w:history="1">
        <w:r w:rsidRPr="00EE1F62">
          <w:rPr>
            <w:rStyle w:val="Hyperlink"/>
            <w:rFonts w:ascii="VIC" w:eastAsia="Times" w:hAnsi="VIC"/>
            <w:lang w:eastAsia="en-US"/>
          </w:rPr>
          <w:t>live map</w:t>
        </w:r>
      </w:hyperlink>
      <w:r w:rsidRPr="00EE1F62">
        <w:rPr>
          <w:rFonts w:ascii="VIC" w:eastAsia="Times" w:hAnsi="VIC"/>
          <w:lang w:eastAsia="en-US"/>
        </w:rPr>
        <w:t>.</w:t>
      </w:r>
    </w:p>
    <w:p w14:paraId="489C7591" w14:textId="23D86958" w:rsidR="00754143" w:rsidRPr="00361E71" w:rsidRDefault="00AB2D21" w:rsidP="004F6A20">
      <w:pPr>
        <w:pStyle w:val="Heading3"/>
      </w:pPr>
      <w:r>
        <w:t>6.3.2</w:t>
      </w:r>
      <w:r>
        <w:tab/>
      </w:r>
      <w:r w:rsidR="000B7EED">
        <w:tab/>
      </w:r>
      <w:r w:rsidR="00AB2C0B" w:rsidRPr="00361E71">
        <w:t>Vision</w:t>
      </w:r>
    </w:p>
    <w:p w14:paraId="489C7592" w14:textId="569AFDB3" w:rsidR="00754143" w:rsidRDefault="00AB2C0B" w:rsidP="002E55BC">
      <w:pPr>
        <w:pStyle w:val="BodyText1"/>
      </w:pPr>
      <w:r>
        <w:t>The vision is an overarching statement of intent that describes the type of municipality a council seeks to create. It should be concise</w:t>
      </w:r>
      <w:r w:rsidR="008A1087">
        <w:t>,</w:t>
      </w:r>
      <w:r w:rsidR="007525C1">
        <w:t xml:space="preserve"> </w:t>
      </w:r>
      <w:r w:rsidR="007525C1" w:rsidRPr="003A1DC6">
        <w:t xml:space="preserve">typically </w:t>
      </w:r>
      <w:r w:rsidR="005652C6" w:rsidRPr="003A1DC6">
        <w:t xml:space="preserve">half </w:t>
      </w:r>
      <w:r w:rsidR="007525C1" w:rsidRPr="003A1DC6">
        <w:t>to</w:t>
      </w:r>
      <w:r w:rsidR="007525C1">
        <w:t xml:space="preserve"> one page</w:t>
      </w:r>
      <w:r w:rsidR="008A1087">
        <w:t>,</w:t>
      </w:r>
      <w:r>
        <w:t xml:space="preserve"> and can comprise one consolidated statement or a set of statements.</w:t>
      </w:r>
      <w:r w:rsidR="00DA5AF6">
        <w:t xml:space="preserve"> </w:t>
      </w:r>
      <w:r>
        <w:t>The vision must focus on land use and development issues capable of being influenced by the planning scheme.</w:t>
      </w:r>
    </w:p>
    <w:p w14:paraId="489C7593" w14:textId="29D50ED3" w:rsidR="00754143" w:rsidRDefault="00AB2C0B" w:rsidP="002E55BC">
      <w:pPr>
        <w:pStyle w:val="BodyText1"/>
      </w:pPr>
      <w:r>
        <w:t>If the vision is derived from a vision statement sourced outside the planning scheme (such as from a council plan that addresses broader issues), that wider vision statement will need to be distilled into a vision for the MPS that focuses on land use and development.</w:t>
      </w:r>
    </w:p>
    <w:p w14:paraId="489C7594" w14:textId="26EE74D5" w:rsidR="00754143" w:rsidRDefault="00AB2C0B" w:rsidP="002E55BC">
      <w:pPr>
        <w:pStyle w:val="BodyText1"/>
      </w:pPr>
      <w:r>
        <w:lastRenderedPageBreak/>
        <w:t xml:space="preserve">The vision together with the strategic directions and strategic framework plan provide an opportunity to set out the local directions of the planning scheme, consistent with state policy in </w:t>
      </w:r>
      <w:r w:rsidR="00092E0F" w:rsidRPr="00BA0BD1">
        <w:t xml:space="preserve">clauses </w:t>
      </w:r>
      <w:r w:rsidRPr="00BA0BD1">
        <w:t>10 to 19</w:t>
      </w:r>
      <w:r>
        <w:t>.</w:t>
      </w:r>
    </w:p>
    <w:p w14:paraId="489C7595" w14:textId="404E1C3A" w:rsidR="00754143" w:rsidRPr="00590277" w:rsidRDefault="00AB2D21" w:rsidP="004F6A20">
      <w:pPr>
        <w:pStyle w:val="Heading3"/>
      </w:pPr>
      <w:r>
        <w:t>6.3.3</w:t>
      </w:r>
      <w:r>
        <w:tab/>
      </w:r>
      <w:r w:rsidR="000B7EED">
        <w:tab/>
      </w:r>
      <w:r w:rsidR="00AB2C0B" w:rsidRPr="00590277">
        <w:t>Strategic directions</w:t>
      </w:r>
    </w:p>
    <w:p w14:paraId="489C7596" w14:textId="01D696FE" w:rsidR="00754143" w:rsidRDefault="00AB2C0B" w:rsidP="002E55BC">
      <w:pPr>
        <w:pStyle w:val="BodyText1"/>
      </w:pPr>
      <w:r>
        <w:t>The strategic directions outline how a municipality will implement its vision and manage key issues</w:t>
      </w:r>
      <w:r w:rsidR="00613722">
        <w:t xml:space="preserve"> relevant to the municipality</w:t>
      </w:r>
      <w:r>
        <w:t>.</w:t>
      </w:r>
      <w:r w:rsidR="00DA5AF6">
        <w:t xml:space="preserve"> </w:t>
      </w:r>
      <w:r>
        <w:t xml:space="preserve">Strategic directions are the high-level policy intentions for the municipality that provide the basis for matters that are implemented through more detailed policy at </w:t>
      </w:r>
      <w:r w:rsidR="00092E0F" w:rsidRPr="00BA0BD1">
        <w:t>clauses</w:t>
      </w:r>
      <w:r w:rsidRPr="00BA0BD1">
        <w:t xml:space="preserve"> 10 to 19</w:t>
      </w:r>
      <w:r>
        <w:t xml:space="preserve"> or a planning scheme control.</w:t>
      </w:r>
    </w:p>
    <w:p w14:paraId="5853DBE3" w14:textId="2BBF3B8E" w:rsidR="00034463" w:rsidRDefault="00034463" w:rsidP="002E55BC">
      <w:pPr>
        <w:pStyle w:val="BodyText1"/>
      </w:pPr>
      <w:r>
        <w:t xml:space="preserve">Strategic directions are consistent with and </w:t>
      </w:r>
      <w:r w:rsidRPr="00034463">
        <w:t xml:space="preserve">build on </w:t>
      </w:r>
      <w:r>
        <w:t>state planning policy</w:t>
      </w:r>
      <w:r w:rsidRPr="00034463">
        <w:t xml:space="preserve"> in the PPF and</w:t>
      </w:r>
      <w:r>
        <w:t xml:space="preserve"> respond to</w:t>
      </w:r>
      <w:r w:rsidRPr="00034463">
        <w:t xml:space="preserve"> </w:t>
      </w:r>
      <w:r>
        <w:t>the planning vision in a c</w:t>
      </w:r>
      <w:r w:rsidRPr="00034463">
        <w:t>ouncil plan</w:t>
      </w:r>
      <w:r>
        <w:t>.</w:t>
      </w:r>
    </w:p>
    <w:p w14:paraId="489C7597" w14:textId="1B9ED9A9" w:rsidR="00754143" w:rsidRDefault="00AB2C0B" w:rsidP="002E55BC">
      <w:pPr>
        <w:pStyle w:val="BodyText1"/>
      </w:pPr>
      <w:r>
        <w:t>The strategic directions must be supported by background strategic work that has already been undertaken by a council.</w:t>
      </w:r>
      <w:r w:rsidR="00DA5AF6">
        <w:t xml:space="preserve"> </w:t>
      </w:r>
      <w:r>
        <w:t xml:space="preserve">If the work to support the strategic directions has not been undertaken, then that matter may be identified as further strategic work in </w:t>
      </w:r>
      <w:r w:rsidR="001F616D" w:rsidRPr="00BA0BD1">
        <w:t>c</w:t>
      </w:r>
      <w:r w:rsidRPr="00BA0BD1">
        <w:t>lause 74.02</w:t>
      </w:r>
      <w:r>
        <w:t xml:space="preserve"> or elsewhere in a council work or business plan, not in the MPS.</w:t>
      </w:r>
      <w:r w:rsidR="00DA5AF6">
        <w:t xml:space="preserve"> </w:t>
      </w:r>
      <w:r>
        <w:t xml:space="preserve">The strategic directions need to be </w:t>
      </w:r>
      <w:r w:rsidRPr="00E1203E">
        <w:t>evidence</w:t>
      </w:r>
      <w:r w:rsidR="00E1203E">
        <w:t>-</w:t>
      </w:r>
      <w:r w:rsidRPr="00E1203E">
        <w:t>based so</w:t>
      </w:r>
      <w:r>
        <w:t xml:space="preserve"> that they can be reasonably implemented through the planning scheme.</w:t>
      </w:r>
    </w:p>
    <w:p w14:paraId="489C7598" w14:textId="77777777" w:rsidR="00754143" w:rsidRDefault="00AB2C0B" w:rsidP="002E55BC">
      <w:pPr>
        <w:pStyle w:val="BodyText1"/>
      </w:pPr>
      <w:r>
        <w:t>The strategic directions should articulate what is most important to the municipality from a land use and development perspective and provide an understanding of why those issues are important.</w:t>
      </w:r>
      <w:r w:rsidR="00DA5AF6">
        <w:t xml:space="preserve"> </w:t>
      </w:r>
      <w:proofErr w:type="gramStart"/>
      <w:r>
        <w:t>In particular, they</w:t>
      </w:r>
      <w:proofErr w:type="gramEnd"/>
      <w:r>
        <w:t xml:space="preserve"> may:</w:t>
      </w:r>
    </w:p>
    <w:p w14:paraId="489C7599" w14:textId="77777777" w:rsidR="00DC2411" w:rsidRDefault="00AB2C0B" w:rsidP="00723A0D">
      <w:pPr>
        <w:pStyle w:val="DELWPbullet1"/>
      </w:pPr>
      <w:r>
        <w:t>set out how state and regional policy will be implemented at the municipal level</w:t>
      </w:r>
    </w:p>
    <w:p w14:paraId="489C759A" w14:textId="67F6DC73" w:rsidR="00DC2411" w:rsidRDefault="00AB2C0B" w:rsidP="00723A0D">
      <w:pPr>
        <w:pStyle w:val="DELWPbullet1"/>
      </w:pPr>
      <w:r>
        <w:t xml:space="preserve">articulate how </w:t>
      </w:r>
      <w:r w:rsidR="00613722">
        <w:t>ident</w:t>
      </w:r>
      <w:r w:rsidR="00917540">
        <w:t>i</w:t>
      </w:r>
      <w:r w:rsidR="00613722">
        <w:t xml:space="preserve">fied </w:t>
      </w:r>
      <w:r>
        <w:t>issues will be addressed and how the vision will be implemented</w:t>
      </w:r>
    </w:p>
    <w:p w14:paraId="489C759B" w14:textId="77777777" w:rsidR="00DC2411" w:rsidRDefault="00AB2C0B" w:rsidP="00723A0D">
      <w:pPr>
        <w:pStyle w:val="DELWPbullet1"/>
      </w:pPr>
      <w:r>
        <w:t>contain direction on matters such as opportunities for growth, a township or activity centre hierarchy, areas of environmental significance or any other topic that is relevant to land use and development within the municipality</w:t>
      </w:r>
    </w:p>
    <w:p w14:paraId="489C759C" w14:textId="631ECAFE" w:rsidR="00DC2411" w:rsidRPr="00792BBF" w:rsidRDefault="00AB2C0B" w:rsidP="00723A0D">
      <w:pPr>
        <w:pStyle w:val="DELWPbullet1"/>
      </w:pPr>
      <w:r>
        <w:t xml:space="preserve">provide the policy basis for the application of controls and the local policies in </w:t>
      </w:r>
      <w:r w:rsidR="00092E0F" w:rsidRPr="00BA0BD1">
        <w:t xml:space="preserve">clauses </w:t>
      </w:r>
      <w:r w:rsidRPr="00BA0BD1">
        <w:t>10 to 19</w:t>
      </w:r>
      <w:r>
        <w:t xml:space="preserve">. A description of the relationship between a planning scheme’s policy and controls should be set out at </w:t>
      </w:r>
      <w:r w:rsidR="001F616D" w:rsidRPr="00BA0BD1">
        <w:t>c</w:t>
      </w:r>
      <w:r w:rsidRPr="00BA0BD1">
        <w:t>lause 74.01</w:t>
      </w:r>
      <w:r>
        <w:t xml:space="preserve"> (</w:t>
      </w:r>
      <w:r w:rsidRPr="00792BBF">
        <w:t xml:space="preserve">see </w:t>
      </w:r>
      <w:r w:rsidR="0074503B" w:rsidRPr="00BA0BD1">
        <w:t>Chapter</w:t>
      </w:r>
      <w:r w:rsidR="00792BBF" w:rsidRPr="00BA0BD1">
        <w:t xml:space="preserve"> 5.5.7</w:t>
      </w:r>
      <w:r w:rsidRPr="00792BBF">
        <w:t>)</w:t>
      </w:r>
    </w:p>
    <w:p w14:paraId="489C759D" w14:textId="77777777" w:rsidR="00DC2411" w:rsidRDefault="00AB2C0B" w:rsidP="00723A0D">
      <w:pPr>
        <w:pStyle w:val="DELWPbullet1"/>
      </w:pPr>
      <w:r>
        <w:t xml:space="preserve">potentially provide direction on future change that is beyond the life of the planning scheme review period, </w:t>
      </w:r>
      <w:proofErr w:type="gramStart"/>
      <w:r>
        <w:t>provided that</w:t>
      </w:r>
      <w:proofErr w:type="gramEnd"/>
      <w:r>
        <w:t xml:space="preserve"> it is based on strategic work already undertaken.</w:t>
      </w:r>
    </w:p>
    <w:p w14:paraId="489C759E" w14:textId="2102E20D" w:rsidR="00754143" w:rsidRDefault="00AB2C0B" w:rsidP="002E55BC">
      <w:pPr>
        <w:pStyle w:val="DELWPbodyafterbullets"/>
      </w:pPr>
      <w:r>
        <w:t>Strategic directions should be grouped by theme and identified by sub-headings. The themes should follow those of the PPF for consistency and navigability.</w:t>
      </w:r>
      <w:r w:rsidR="00D92C0F">
        <w:t xml:space="preserve"> </w:t>
      </w:r>
      <w:r w:rsidR="00CA424E">
        <w:t>The strategic directions for each theme may be supplemented with a brief context</w:t>
      </w:r>
      <w:r w:rsidR="00F25F22">
        <w:t xml:space="preserve"> (</w:t>
      </w:r>
      <w:r w:rsidR="00F25F22" w:rsidRPr="00CE3B1F">
        <w:t>generally 1 or 2 paragraphs</w:t>
      </w:r>
      <w:r w:rsidR="00A55D1D">
        <w:t>)</w:t>
      </w:r>
      <w:r w:rsidR="00F25F22">
        <w:t xml:space="preserve"> to help explain the basis of the strategic directions.</w:t>
      </w:r>
      <w:r w:rsidR="00CA424E">
        <w:t xml:space="preserve"> </w:t>
      </w:r>
      <w:r w:rsidR="00613722">
        <w:t>While</w:t>
      </w:r>
      <w:r w:rsidR="00F25F22">
        <w:t xml:space="preserve"> this</w:t>
      </w:r>
      <w:r w:rsidR="00613722">
        <w:t xml:space="preserve"> contextual information </w:t>
      </w:r>
      <w:r w:rsidR="00F25F22">
        <w:t>is written</w:t>
      </w:r>
      <w:r w:rsidR="00613722">
        <w:t xml:space="preserve"> in </w:t>
      </w:r>
      <w:r w:rsidR="00F25F22">
        <w:t xml:space="preserve">the </w:t>
      </w:r>
      <w:r>
        <w:t>narrative form</w:t>
      </w:r>
      <w:r w:rsidR="00613722">
        <w:t>, strategic directions must be in</w:t>
      </w:r>
      <w:r>
        <w:t xml:space="preserve"> bullet point form</w:t>
      </w:r>
      <w:r w:rsidR="00F25F22">
        <w:t>,</w:t>
      </w:r>
      <w:r w:rsidR="00613722">
        <w:t xml:space="preserve"> so they are clearly identified</w:t>
      </w:r>
      <w:r w:rsidR="00624332">
        <w:t xml:space="preserve">. </w:t>
      </w:r>
      <w:r w:rsidR="00676CB7" w:rsidRPr="00C34089">
        <w:t>Each strategic direction should</w:t>
      </w:r>
      <w:r w:rsidR="00C34089">
        <w:t xml:space="preserve"> only</w:t>
      </w:r>
      <w:r w:rsidR="00892E60" w:rsidRPr="00C34089">
        <w:t xml:space="preserve"> express one idea</w:t>
      </w:r>
      <w:r w:rsidR="00676CB7" w:rsidRPr="00C34089">
        <w:t>.</w:t>
      </w:r>
    </w:p>
    <w:p w14:paraId="68D1B364" w14:textId="3CF23486" w:rsidR="007566A6" w:rsidRDefault="00AB2C0B" w:rsidP="00AD5632">
      <w:pPr>
        <w:pStyle w:val="DELWPbodyafterbullets"/>
      </w:pPr>
      <w:r>
        <w:t>These are examples of appropriate strategic directions:</w:t>
      </w:r>
    </w:p>
    <w:tbl>
      <w:tblPr>
        <w:tblStyle w:val="DELWPhighlighttable"/>
        <w:tblW w:w="9781" w:type="dxa"/>
        <w:tblInd w:w="0" w:type="dxa"/>
        <w:tblLook w:val="0400" w:firstRow="0" w:lastRow="0" w:firstColumn="0" w:lastColumn="0" w:noHBand="0" w:noVBand="1"/>
      </w:tblPr>
      <w:tblGrid>
        <w:gridCol w:w="709"/>
        <w:gridCol w:w="9072"/>
      </w:tblGrid>
      <w:tr w:rsidR="007566A6" w:rsidRPr="0042661F" w14:paraId="5D63A0EE" w14:textId="77777777" w:rsidTr="00FB3A97">
        <w:trPr>
          <w:cantSplit/>
        </w:trPr>
        <w:tc>
          <w:tcPr>
            <w:tcW w:w="709" w:type="dxa"/>
          </w:tcPr>
          <w:p w14:paraId="1C33BFBB" w14:textId="4F0B8E85" w:rsidR="007566A6" w:rsidRPr="0042661F" w:rsidRDefault="007566A6" w:rsidP="007566A6">
            <w:pPr>
              <w:pStyle w:val="Symbol"/>
            </w:pPr>
            <w:r>
              <w:sym w:font="Wingdings" w:char="F0FC"/>
            </w:r>
          </w:p>
        </w:tc>
        <w:tc>
          <w:tcPr>
            <w:tcW w:w="9072" w:type="dxa"/>
          </w:tcPr>
          <w:p w14:paraId="084F184B" w14:textId="363FBE99" w:rsidR="007566A6" w:rsidRPr="007566A6" w:rsidRDefault="007566A6" w:rsidP="007566A6">
            <w:pPr>
              <w:pStyle w:val="DELWPexamplebody"/>
              <w:rPr>
                <w:color w:val="006666"/>
                <w:sz w:val="18"/>
                <w:szCs w:val="18"/>
              </w:rPr>
            </w:pPr>
            <w:r w:rsidRPr="0042661F">
              <w:t xml:space="preserve">Encourage tourism uses in the Port Shipwreck township, particularly where they support the local farming and fishing industries. </w:t>
            </w:r>
            <w:r w:rsidRPr="00BC7634">
              <w:rPr>
                <w:rStyle w:val="Emphasis"/>
                <w:i w:val="0"/>
                <w:iCs w:val="0"/>
                <w:color w:val="006666"/>
                <w:sz w:val="18"/>
                <w:szCs w:val="18"/>
              </w:rPr>
              <w:t xml:space="preserve">[This is a </w:t>
            </w:r>
            <w:proofErr w:type="gramStart"/>
            <w:r w:rsidRPr="00BC7634">
              <w:rPr>
                <w:rStyle w:val="Emphasis"/>
                <w:i w:val="0"/>
                <w:iCs w:val="0"/>
                <w:color w:val="006666"/>
                <w:sz w:val="18"/>
                <w:szCs w:val="18"/>
              </w:rPr>
              <w:t>high level</w:t>
            </w:r>
            <w:proofErr w:type="gramEnd"/>
            <w:r w:rsidRPr="00BC7634">
              <w:rPr>
                <w:rStyle w:val="Emphasis"/>
                <w:i w:val="0"/>
                <w:iCs w:val="0"/>
                <w:color w:val="006666"/>
                <w:sz w:val="18"/>
                <w:szCs w:val="18"/>
              </w:rPr>
              <w:t xml:space="preserve"> strategic direction and should be in the MPS.]</w:t>
            </w:r>
          </w:p>
        </w:tc>
      </w:tr>
      <w:tr w:rsidR="007566A6" w:rsidRPr="0042661F" w14:paraId="5753C23F" w14:textId="77777777" w:rsidTr="00FB3A97">
        <w:trPr>
          <w:cantSplit/>
        </w:trPr>
        <w:tc>
          <w:tcPr>
            <w:tcW w:w="709" w:type="dxa"/>
          </w:tcPr>
          <w:p w14:paraId="11DBFE5C" w14:textId="61023D90" w:rsidR="007566A6" w:rsidRPr="0042661F" w:rsidRDefault="007566A6" w:rsidP="007566A6">
            <w:pPr>
              <w:pStyle w:val="Symbol"/>
            </w:pPr>
            <w:r>
              <w:lastRenderedPageBreak/>
              <w:sym w:font="Wingdings" w:char="F0FC"/>
            </w:r>
          </w:p>
        </w:tc>
        <w:tc>
          <w:tcPr>
            <w:tcW w:w="9072" w:type="dxa"/>
          </w:tcPr>
          <w:p w14:paraId="3FB9D601" w14:textId="2561852D" w:rsidR="007566A6" w:rsidRPr="0042661F" w:rsidRDefault="00875858" w:rsidP="007566A6">
            <w:pPr>
              <w:pStyle w:val="DELWPexamplebody"/>
            </w:pPr>
            <w:r w:rsidRPr="0042661F">
              <w:t xml:space="preserve">Facilitate the provision of lower cost accommodation, social housing and housing for people of all abilities in and around the Gumnut town centre and neighbourhood centres. </w:t>
            </w:r>
            <w:r w:rsidRPr="00BC7634">
              <w:rPr>
                <w:rStyle w:val="Emphasis"/>
                <w:i w:val="0"/>
                <w:iCs w:val="0"/>
                <w:color w:val="006666"/>
                <w:sz w:val="18"/>
                <w:szCs w:val="18"/>
              </w:rPr>
              <w:t xml:space="preserve">[This expands on state policy but is still a </w:t>
            </w:r>
            <w:proofErr w:type="gramStart"/>
            <w:r w:rsidRPr="00BC7634">
              <w:rPr>
                <w:rStyle w:val="Emphasis"/>
                <w:i w:val="0"/>
                <w:iCs w:val="0"/>
                <w:color w:val="006666"/>
                <w:sz w:val="18"/>
                <w:szCs w:val="18"/>
              </w:rPr>
              <w:t>high level</w:t>
            </w:r>
            <w:proofErr w:type="gramEnd"/>
            <w:r w:rsidRPr="00BC7634">
              <w:rPr>
                <w:rStyle w:val="Emphasis"/>
                <w:i w:val="0"/>
                <w:iCs w:val="0"/>
                <w:color w:val="006666"/>
                <w:sz w:val="18"/>
                <w:szCs w:val="18"/>
              </w:rPr>
              <w:t xml:space="preserve"> direction.]</w:t>
            </w:r>
          </w:p>
        </w:tc>
      </w:tr>
    </w:tbl>
    <w:p w14:paraId="489C75A5" w14:textId="6A282DAF" w:rsidR="00DC2411" w:rsidRDefault="00AB2C0B" w:rsidP="00AD5632">
      <w:pPr>
        <w:pStyle w:val="DELWPbodyafterbullets"/>
      </w:pPr>
      <w:r>
        <w:t xml:space="preserve">Some examples </w:t>
      </w:r>
      <w:r w:rsidR="008F7E76">
        <w:t xml:space="preserve">of </w:t>
      </w:r>
      <w:r w:rsidR="00C80582">
        <w:t>i</w:t>
      </w:r>
      <w:r w:rsidR="008F7E76">
        <w:t>n</w:t>
      </w:r>
      <w:r>
        <w:t>appropriate strategic direction are:</w:t>
      </w:r>
    </w:p>
    <w:tbl>
      <w:tblPr>
        <w:tblStyle w:val="DELWPhighlighttable"/>
        <w:tblW w:w="9781" w:type="dxa"/>
        <w:tblInd w:w="0" w:type="dxa"/>
        <w:tblLook w:val="0400" w:firstRow="0" w:lastRow="0" w:firstColumn="0" w:lastColumn="0" w:noHBand="0" w:noVBand="1"/>
      </w:tblPr>
      <w:tblGrid>
        <w:gridCol w:w="709"/>
        <w:gridCol w:w="9072"/>
      </w:tblGrid>
      <w:tr w:rsidR="0056251C" w:rsidRPr="00CB2481" w14:paraId="489C75A9" w14:textId="77777777" w:rsidTr="0056251C">
        <w:trPr>
          <w:cantSplit/>
        </w:trPr>
        <w:tc>
          <w:tcPr>
            <w:tcW w:w="709" w:type="dxa"/>
          </w:tcPr>
          <w:p w14:paraId="4CA3A1CE" w14:textId="259F051C" w:rsidR="0056251C" w:rsidRPr="0042661F" w:rsidRDefault="0056251C" w:rsidP="0056251C">
            <w:pPr>
              <w:pStyle w:val="Symbol"/>
            </w:pPr>
            <w:r w:rsidRPr="000D4746">
              <w:sym w:font="Wingdings" w:char="F0FB"/>
            </w:r>
          </w:p>
        </w:tc>
        <w:tc>
          <w:tcPr>
            <w:tcW w:w="9072" w:type="dxa"/>
          </w:tcPr>
          <w:p w14:paraId="489C75A8" w14:textId="63BFB585" w:rsidR="0056251C" w:rsidRPr="0042661F" w:rsidRDefault="0056251C" w:rsidP="0056251C">
            <w:pPr>
              <w:pStyle w:val="DELWPexamplebody"/>
            </w:pPr>
            <w:r w:rsidRPr="0042661F">
              <w:t xml:space="preserve">The town of Port Shipwreck is a district centre servicing surrounding settlements and a focus for tourism in the Shire. </w:t>
            </w:r>
            <w:r w:rsidRPr="00BC7634">
              <w:rPr>
                <w:rStyle w:val="Emphasis"/>
                <w:i w:val="0"/>
                <w:iCs w:val="0"/>
                <w:color w:val="006666"/>
                <w:sz w:val="18"/>
                <w:szCs w:val="18"/>
              </w:rPr>
              <w:t>[This is a statement of context not a strategic direction. It would suitably preface a strategic direction.]</w:t>
            </w:r>
          </w:p>
        </w:tc>
      </w:tr>
      <w:tr w:rsidR="0056251C" w:rsidRPr="00CB2481" w14:paraId="6986974E" w14:textId="77777777" w:rsidTr="0056251C">
        <w:trPr>
          <w:cantSplit/>
        </w:trPr>
        <w:tc>
          <w:tcPr>
            <w:tcW w:w="709" w:type="dxa"/>
          </w:tcPr>
          <w:p w14:paraId="7BBB28C0" w14:textId="635BEBAB" w:rsidR="0056251C" w:rsidRPr="00B447C7" w:rsidRDefault="0056251C" w:rsidP="0056251C">
            <w:pPr>
              <w:pStyle w:val="Symbol"/>
              <w:rPr>
                <w:i w:val="0"/>
                <w:iCs w:val="0"/>
              </w:rPr>
            </w:pPr>
            <w:r w:rsidRPr="00B447C7">
              <w:rPr>
                <w:i w:val="0"/>
                <w:iCs w:val="0"/>
              </w:rPr>
              <w:sym w:font="Wingdings" w:char="F0FB"/>
            </w:r>
          </w:p>
        </w:tc>
        <w:tc>
          <w:tcPr>
            <w:tcW w:w="9072" w:type="dxa"/>
          </w:tcPr>
          <w:p w14:paraId="10D22949" w14:textId="41913C17" w:rsidR="0056251C" w:rsidRPr="0056251C" w:rsidRDefault="0056251C" w:rsidP="0056251C">
            <w:pPr>
              <w:pStyle w:val="DELWPexamplebody"/>
              <w:rPr>
                <w:b/>
                <w:bCs/>
                <w:i/>
                <w:iCs/>
                <w:color w:val="006666"/>
              </w:rPr>
            </w:pPr>
            <w:r w:rsidRPr="00B447C7">
              <w:t>A range of housing types should be provided in North Gumnut</w:t>
            </w:r>
            <w:r w:rsidRPr="0042661F">
              <w:rPr>
                <w:i/>
                <w:iCs/>
              </w:rPr>
              <w:t>.</w:t>
            </w:r>
            <w:r w:rsidRPr="0042661F">
              <w:t xml:space="preserve"> </w:t>
            </w:r>
            <w:r w:rsidRPr="00BC7634">
              <w:rPr>
                <w:rStyle w:val="Emphasis"/>
                <w:i w:val="0"/>
                <w:iCs w:val="0"/>
                <w:color w:val="006666"/>
                <w:sz w:val="18"/>
                <w:szCs w:val="18"/>
              </w:rPr>
              <w:t>[This is too general and does not provide any further guidance or direction beyond state planning policy and should not be included.]</w:t>
            </w:r>
          </w:p>
        </w:tc>
      </w:tr>
      <w:tr w:rsidR="00CA63E6" w:rsidRPr="00CB2481" w14:paraId="52C19EE0" w14:textId="77777777" w:rsidTr="0056251C">
        <w:trPr>
          <w:cantSplit/>
        </w:trPr>
        <w:tc>
          <w:tcPr>
            <w:tcW w:w="709" w:type="dxa"/>
          </w:tcPr>
          <w:p w14:paraId="2FEC8865" w14:textId="4A1DCCCA" w:rsidR="00CA63E6" w:rsidRPr="00B447C7" w:rsidRDefault="00CA63E6" w:rsidP="00CA63E6">
            <w:pPr>
              <w:pStyle w:val="Symbol"/>
              <w:rPr>
                <w:i w:val="0"/>
                <w:iCs w:val="0"/>
              </w:rPr>
            </w:pPr>
            <w:r w:rsidRPr="00B447C7">
              <w:rPr>
                <w:i w:val="0"/>
                <w:iCs w:val="0"/>
              </w:rPr>
              <w:sym w:font="Wingdings" w:char="F0FB"/>
            </w:r>
          </w:p>
        </w:tc>
        <w:tc>
          <w:tcPr>
            <w:tcW w:w="9072" w:type="dxa"/>
          </w:tcPr>
          <w:p w14:paraId="203956BF" w14:textId="57C7A38C" w:rsidR="00CA63E6" w:rsidRPr="0042661F" w:rsidRDefault="00CA63E6" w:rsidP="00CA63E6">
            <w:pPr>
              <w:pStyle w:val="DELWPexamplebody"/>
              <w:rPr>
                <w:i/>
                <w:iCs/>
              </w:rPr>
            </w:pPr>
            <w:r w:rsidRPr="0042661F">
              <w:t>Support larger lots in Precinct 3 to ensure an appropriate interface with the Sun Moth Nature Reserve. Direct medium density housing to Precinct 1 which is within walking distance of the North Gumnut Railway Station.</w:t>
            </w:r>
            <w:r w:rsidRPr="0042661F">
              <w:rPr>
                <w:rStyle w:val="Emphasis"/>
                <w:i w:val="0"/>
                <w:iCs w:val="0"/>
              </w:rPr>
              <w:t xml:space="preserve"> </w:t>
            </w:r>
            <w:r w:rsidRPr="00BC7634">
              <w:rPr>
                <w:rStyle w:val="Emphasis"/>
                <w:i w:val="0"/>
                <w:iCs w:val="0"/>
                <w:color w:val="006666"/>
                <w:sz w:val="18"/>
                <w:szCs w:val="18"/>
              </w:rPr>
              <w:t>[This provides specific direction that will assist decision making and therefore belongs in the PPF.]</w:t>
            </w:r>
          </w:p>
        </w:tc>
      </w:tr>
      <w:tr w:rsidR="0056251C" w:rsidRPr="00CB2481" w14:paraId="08BF72E7" w14:textId="77777777" w:rsidTr="0056251C">
        <w:trPr>
          <w:cantSplit/>
        </w:trPr>
        <w:tc>
          <w:tcPr>
            <w:tcW w:w="709" w:type="dxa"/>
          </w:tcPr>
          <w:p w14:paraId="612F83F5" w14:textId="441EFA0B" w:rsidR="0056251C" w:rsidRPr="00B447C7" w:rsidRDefault="0056251C" w:rsidP="0056251C">
            <w:pPr>
              <w:pStyle w:val="Symbol"/>
              <w:rPr>
                <w:i w:val="0"/>
                <w:iCs w:val="0"/>
              </w:rPr>
            </w:pPr>
            <w:r w:rsidRPr="00B447C7">
              <w:rPr>
                <w:i w:val="0"/>
                <w:iCs w:val="0"/>
              </w:rPr>
              <w:sym w:font="Wingdings" w:char="F0FB"/>
            </w:r>
          </w:p>
        </w:tc>
        <w:tc>
          <w:tcPr>
            <w:tcW w:w="9072" w:type="dxa"/>
          </w:tcPr>
          <w:p w14:paraId="04D55F8E" w14:textId="0E634557" w:rsidR="0056251C" w:rsidRPr="0042661F" w:rsidRDefault="0056251C" w:rsidP="0056251C">
            <w:pPr>
              <w:pStyle w:val="DELWPexamplebody"/>
            </w:pPr>
            <w:r w:rsidRPr="0042661F">
              <w:t xml:space="preserve">The consideration of neighbourhood character is required in the assessment of infill housing development proposals within existing residential areas. There can be a tension in planning policy between urban consolidation objectives and the desire to respect residential amenity and neighbourhood character. </w:t>
            </w:r>
            <w:r w:rsidRPr="00BC7634">
              <w:rPr>
                <w:rStyle w:val="Emphasis"/>
                <w:i w:val="0"/>
                <w:iCs w:val="0"/>
                <w:color w:val="006666"/>
                <w:sz w:val="18"/>
                <w:szCs w:val="18"/>
              </w:rPr>
              <w:t xml:space="preserve">[This requires </w:t>
            </w:r>
            <w:r w:rsidR="00BA1DB3" w:rsidRPr="00BA1DB3">
              <w:rPr>
                <w:rStyle w:val="Emphasis"/>
                <w:i w:val="0"/>
                <w:iCs w:val="0"/>
                <w:color w:val="006666"/>
                <w:sz w:val="18"/>
                <w:szCs w:val="18"/>
              </w:rPr>
              <w:t>consideration of</w:t>
            </w:r>
            <w:r w:rsidRPr="00BA1DB3">
              <w:rPr>
                <w:rStyle w:val="Emphasis"/>
                <w:i w:val="0"/>
                <w:iCs w:val="0"/>
                <w:color w:val="006666"/>
                <w:sz w:val="18"/>
                <w:szCs w:val="18"/>
              </w:rPr>
              <w:t xml:space="preserve"> neighbourhood character for infill housing and identifies that a conflict exists </w:t>
            </w:r>
            <w:r w:rsidRPr="00BC7634">
              <w:rPr>
                <w:rStyle w:val="Emphasis"/>
                <w:i w:val="0"/>
                <w:iCs w:val="0"/>
                <w:color w:val="006666"/>
                <w:sz w:val="18"/>
                <w:szCs w:val="18"/>
              </w:rPr>
              <w:t>between development and neighbourhood character but gives no direction about how neighbourhood character is to be considered or how the identified conflict might be resolved.]</w:t>
            </w:r>
          </w:p>
        </w:tc>
      </w:tr>
    </w:tbl>
    <w:p w14:paraId="489C75AA" w14:textId="77777777" w:rsidR="00DC2411" w:rsidRDefault="00AB2C0B" w:rsidP="002C2ABB">
      <w:pPr>
        <w:pStyle w:val="BodyText1"/>
      </w:pPr>
      <w:r>
        <w:t>This would be better written as:</w:t>
      </w:r>
    </w:p>
    <w:tbl>
      <w:tblPr>
        <w:tblStyle w:val="DELWPhighlighttable"/>
        <w:tblW w:w="9781" w:type="dxa"/>
        <w:tblInd w:w="0" w:type="dxa"/>
        <w:tblLook w:val="0400" w:firstRow="0" w:lastRow="0" w:firstColumn="0" w:lastColumn="0" w:noHBand="0" w:noVBand="1"/>
      </w:tblPr>
      <w:tblGrid>
        <w:gridCol w:w="709"/>
        <w:gridCol w:w="9072"/>
      </w:tblGrid>
      <w:tr w:rsidR="002C2ABB" w:rsidRPr="00CB2481" w14:paraId="489C75AC" w14:textId="77777777" w:rsidTr="002C2ABB">
        <w:trPr>
          <w:cantSplit/>
        </w:trPr>
        <w:tc>
          <w:tcPr>
            <w:tcW w:w="709" w:type="dxa"/>
          </w:tcPr>
          <w:p w14:paraId="2BE856B9" w14:textId="10C632A8" w:rsidR="002C2ABB" w:rsidRPr="00B447C7" w:rsidRDefault="00314969" w:rsidP="000D4746">
            <w:pPr>
              <w:pStyle w:val="Symbol"/>
              <w:rPr>
                <w:i w:val="0"/>
                <w:iCs w:val="0"/>
              </w:rPr>
            </w:pPr>
            <w:r w:rsidRPr="00B447C7">
              <w:rPr>
                <w:i w:val="0"/>
                <w:iCs w:val="0"/>
              </w:rPr>
              <w:sym w:font="Wingdings" w:char="F0FC"/>
            </w:r>
          </w:p>
        </w:tc>
        <w:tc>
          <w:tcPr>
            <w:tcW w:w="9072" w:type="dxa"/>
          </w:tcPr>
          <w:p w14:paraId="489C75AB" w14:textId="17C619CF" w:rsidR="002C2ABB" w:rsidRPr="00B447C7" w:rsidRDefault="002C2ABB" w:rsidP="009924CA">
            <w:pPr>
              <w:pStyle w:val="Exampletext"/>
              <w:rPr>
                <w:rStyle w:val="Emphasis"/>
                <w:i/>
                <w:iCs/>
              </w:rPr>
            </w:pPr>
            <w:r w:rsidRPr="00B447C7">
              <w:rPr>
                <w:i w:val="0"/>
                <w:iCs w:val="0"/>
              </w:rPr>
              <w:t>Support infill housing development that respects the neighbourhood character of the area.</w:t>
            </w:r>
          </w:p>
        </w:tc>
      </w:tr>
      <w:tr w:rsidR="00314969" w:rsidRPr="00CB2481" w14:paraId="5636615E" w14:textId="77777777" w:rsidTr="002C2ABB">
        <w:trPr>
          <w:cantSplit/>
        </w:trPr>
        <w:tc>
          <w:tcPr>
            <w:tcW w:w="709" w:type="dxa"/>
          </w:tcPr>
          <w:p w14:paraId="681712D6" w14:textId="5C7DEE46" w:rsidR="00314969" w:rsidRPr="00B447C7" w:rsidRDefault="00314969" w:rsidP="00314969">
            <w:pPr>
              <w:pStyle w:val="Symbol"/>
              <w:rPr>
                <w:i w:val="0"/>
                <w:iCs w:val="0"/>
              </w:rPr>
            </w:pPr>
            <w:r w:rsidRPr="00B447C7">
              <w:rPr>
                <w:i w:val="0"/>
                <w:iCs w:val="0"/>
              </w:rPr>
              <w:sym w:font="Wingdings" w:char="F0FC"/>
            </w:r>
          </w:p>
        </w:tc>
        <w:tc>
          <w:tcPr>
            <w:tcW w:w="9072" w:type="dxa"/>
          </w:tcPr>
          <w:p w14:paraId="583A78BA" w14:textId="483454C0" w:rsidR="00314969" w:rsidRPr="00B447C7" w:rsidRDefault="00314969" w:rsidP="00314969">
            <w:pPr>
              <w:pStyle w:val="Exampletext"/>
              <w:rPr>
                <w:i w:val="0"/>
                <w:iCs w:val="0"/>
              </w:rPr>
            </w:pPr>
            <w:r w:rsidRPr="00B447C7">
              <w:rPr>
                <w:i w:val="0"/>
                <w:iCs w:val="0"/>
              </w:rPr>
              <w:t xml:space="preserve">Facilitate a new character that complements important natural, cultural and historic built form and landscape values in urban consolidation and greenfield development areas. </w:t>
            </w:r>
          </w:p>
        </w:tc>
      </w:tr>
      <w:tr w:rsidR="00314969" w:rsidRPr="00CB2481" w14:paraId="69FC40B3" w14:textId="77777777" w:rsidTr="002C2ABB">
        <w:trPr>
          <w:cantSplit/>
        </w:trPr>
        <w:tc>
          <w:tcPr>
            <w:tcW w:w="709" w:type="dxa"/>
          </w:tcPr>
          <w:p w14:paraId="3A060D7F" w14:textId="77777777" w:rsidR="00314969" w:rsidRPr="00610ACA" w:rsidRDefault="00314969" w:rsidP="00314969">
            <w:pPr>
              <w:pStyle w:val="Symbol"/>
            </w:pPr>
          </w:p>
        </w:tc>
        <w:tc>
          <w:tcPr>
            <w:tcW w:w="9072" w:type="dxa"/>
          </w:tcPr>
          <w:p w14:paraId="15409762" w14:textId="1D29368D" w:rsidR="00314969" w:rsidRPr="007F361E" w:rsidRDefault="00314969" w:rsidP="00314969">
            <w:pPr>
              <w:pStyle w:val="Exampletext"/>
            </w:pPr>
            <w:r w:rsidRPr="001568E0">
              <w:rPr>
                <w:rStyle w:val="Emphasis"/>
                <w:color w:val="006666"/>
                <w:sz w:val="18"/>
                <w:szCs w:val="18"/>
              </w:rPr>
              <w:t xml:space="preserve">[The direction has been split and specifies that neighbourhood character in existing areas is to be maintained and identifies the areas where a </w:t>
            </w:r>
            <w:r w:rsidRPr="00BC7634">
              <w:rPr>
                <w:rStyle w:val="Emphasis"/>
                <w:i/>
                <w:iCs/>
              </w:rPr>
              <w:t>new</w:t>
            </w:r>
            <w:r w:rsidRPr="001568E0">
              <w:rPr>
                <w:rStyle w:val="Emphasis"/>
                <w:color w:val="006666"/>
                <w:sz w:val="18"/>
                <w:szCs w:val="18"/>
              </w:rPr>
              <w:t xml:space="preserve"> character would be supported. If necessary, this direction could be supported by the application of a Neighbourhood Character Overlay, a local variation to the Neighbourhood Residential Zone or a local policy on neighbourhood character.]</w:t>
            </w:r>
          </w:p>
        </w:tc>
      </w:tr>
    </w:tbl>
    <w:p w14:paraId="390E82F7" w14:textId="4DFF887B" w:rsidR="003301FA" w:rsidRPr="0012231B" w:rsidRDefault="003301FA" w:rsidP="002E55BC">
      <w:pPr>
        <w:pStyle w:val="BodyText1"/>
      </w:pPr>
      <w:r w:rsidRPr="0012231B">
        <w:t xml:space="preserve">Ensure the </w:t>
      </w:r>
      <w:r w:rsidR="00702ADD" w:rsidRPr="0012231B">
        <w:t xml:space="preserve">strategic </w:t>
      </w:r>
      <w:r w:rsidRPr="0012231B">
        <w:t>directions have a clear and direct basis in land use and development planning.</w:t>
      </w:r>
      <w:r w:rsidR="00D92C0F" w:rsidRPr="0012231B">
        <w:t xml:space="preserve"> </w:t>
      </w:r>
      <w:r w:rsidRPr="0012231B">
        <w:t>Do not include directions that cannot be i</w:t>
      </w:r>
      <w:r w:rsidR="00702ADD" w:rsidRPr="0012231B">
        <w:t>mplemented by a planning scheme</w:t>
      </w:r>
      <w:r w:rsidR="00583A9F" w:rsidRPr="0012231B">
        <w:t xml:space="preserve"> or are so </w:t>
      </w:r>
      <w:r w:rsidR="002C63DE" w:rsidRPr="0012231B">
        <w:t>vague</w:t>
      </w:r>
      <w:r w:rsidR="00583A9F" w:rsidRPr="0012231B">
        <w:t xml:space="preserve"> that their relevance to planning is tenuous</w:t>
      </w:r>
      <w:r w:rsidR="00C5291D" w:rsidRPr="0012231B">
        <w:t>.</w:t>
      </w:r>
    </w:p>
    <w:tbl>
      <w:tblPr>
        <w:tblStyle w:val="TableGrid"/>
        <w:tblW w:w="978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CCC" w:themeFill="accent5" w:themeFillTint="33"/>
        <w:tblLayout w:type="fixed"/>
        <w:tblLook w:val="04A0" w:firstRow="1" w:lastRow="0" w:firstColumn="1" w:lastColumn="0" w:noHBand="0" w:noVBand="1"/>
      </w:tblPr>
      <w:tblGrid>
        <w:gridCol w:w="738"/>
        <w:gridCol w:w="9043"/>
      </w:tblGrid>
      <w:tr w:rsidR="003301FA" w:rsidRPr="00702ADD" w14:paraId="6EACACE3" w14:textId="77777777" w:rsidTr="00CA6B3C">
        <w:trPr>
          <w:cnfStyle w:val="100000000000" w:firstRow="1" w:lastRow="0" w:firstColumn="0" w:lastColumn="0" w:oddVBand="0" w:evenVBand="0" w:oddHBand="0" w:evenHBand="0" w:firstRowFirstColumn="0" w:firstRowLastColumn="0" w:lastRowFirstColumn="0" w:lastRowLastColumn="0"/>
        </w:trPr>
        <w:tc>
          <w:tcPr>
            <w:tcW w:w="738" w:type="dxa"/>
            <w:shd w:val="clear" w:color="auto" w:fill="D9ECEA" w:themeFill="accent2"/>
            <w:vAlign w:val="top"/>
          </w:tcPr>
          <w:p w14:paraId="35123B57" w14:textId="01ECE1CE" w:rsidR="003301FA" w:rsidRPr="00B447C7" w:rsidRDefault="00356BAA" w:rsidP="000D4746">
            <w:pPr>
              <w:pStyle w:val="Symbol"/>
              <w:rPr>
                <w:i w:val="0"/>
                <w:iCs w:val="0"/>
              </w:rPr>
            </w:pPr>
            <w:r w:rsidRPr="00B447C7">
              <w:rPr>
                <w:i w:val="0"/>
                <w:iCs w:val="0"/>
              </w:rPr>
              <w:sym w:font="Wingdings" w:char="F0FB"/>
            </w:r>
          </w:p>
        </w:tc>
        <w:tc>
          <w:tcPr>
            <w:tcW w:w="9043" w:type="dxa"/>
            <w:shd w:val="clear" w:color="auto" w:fill="D9ECEA" w:themeFill="accent2"/>
          </w:tcPr>
          <w:p w14:paraId="19388B78" w14:textId="77777777" w:rsidR="003301FA" w:rsidRPr="00B447C7" w:rsidRDefault="003301FA" w:rsidP="00BC7634">
            <w:pPr>
              <w:pStyle w:val="Exampletext"/>
              <w:rPr>
                <w:i w:val="0"/>
                <w:iCs w:val="0"/>
              </w:rPr>
            </w:pPr>
            <w:r w:rsidRPr="00B447C7">
              <w:rPr>
                <w:i w:val="0"/>
                <w:iCs w:val="0"/>
              </w:rPr>
              <w:t>Support the development of new skills and jobs.</w:t>
            </w:r>
          </w:p>
          <w:p w14:paraId="177B4256" w14:textId="44391FC7" w:rsidR="006120B1" w:rsidRPr="00B301D1" w:rsidRDefault="006120B1" w:rsidP="00BC7634">
            <w:pPr>
              <w:pStyle w:val="ExampleInstruction"/>
              <w:rPr>
                <w:i/>
                <w:iCs/>
                <w:lang w:val="en-US"/>
              </w:rPr>
            </w:pPr>
            <w:r w:rsidRPr="00FF50D6">
              <w:rPr>
                <w:rStyle w:val="Emphasis"/>
                <w:i w:val="0"/>
                <w:iCs w:val="0"/>
              </w:rPr>
              <w:t xml:space="preserve">[This direction is not </w:t>
            </w:r>
            <w:proofErr w:type="gramStart"/>
            <w:r w:rsidRPr="00FF50D6">
              <w:rPr>
                <w:rStyle w:val="Emphasis"/>
                <w:i w:val="0"/>
                <w:iCs w:val="0"/>
              </w:rPr>
              <w:t>land</w:t>
            </w:r>
            <w:proofErr w:type="gramEnd"/>
            <w:r w:rsidRPr="00FF50D6">
              <w:rPr>
                <w:rStyle w:val="Emphasis"/>
                <w:i w:val="0"/>
                <w:iCs w:val="0"/>
              </w:rPr>
              <w:t xml:space="preserve"> use and development focussed.</w:t>
            </w:r>
            <w:r w:rsidR="00D92C0F" w:rsidRPr="00FF50D6">
              <w:rPr>
                <w:rStyle w:val="Emphasis"/>
                <w:i w:val="0"/>
                <w:iCs w:val="0"/>
              </w:rPr>
              <w:t xml:space="preserve"> </w:t>
            </w:r>
            <w:r w:rsidR="004F27CB" w:rsidRPr="00FF50D6">
              <w:rPr>
                <w:rStyle w:val="Emphasis"/>
                <w:i w:val="0"/>
                <w:iCs w:val="0"/>
              </w:rPr>
              <w:t>A policy that seeks to facilitate particular industries (</w:t>
            </w:r>
            <w:proofErr w:type="gramStart"/>
            <w:r w:rsidR="004F27CB" w:rsidRPr="00FF50D6">
              <w:rPr>
                <w:rStyle w:val="Emphasis"/>
                <w:i w:val="0"/>
                <w:iCs w:val="0"/>
              </w:rPr>
              <w:t>e</w:t>
            </w:r>
            <w:r w:rsidR="001A2AFC" w:rsidRPr="00FF50D6">
              <w:rPr>
                <w:rStyle w:val="Emphasis"/>
                <w:i w:val="0"/>
                <w:iCs w:val="0"/>
              </w:rPr>
              <w:t>.</w:t>
            </w:r>
            <w:r w:rsidR="004F27CB" w:rsidRPr="00FF50D6">
              <w:rPr>
                <w:rStyle w:val="Emphasis"/>
                <w:i w:val="0"/>
                <w:iCs w:val="0"/>
              </w:rPr>
              <w:t>g.</w:t>
            </w:r>
            <w:proofErr w:type="gramEnd"/>
            <w:r w:rsidR="004F27CB" w:rsidRPr="00FF50D6">
              <w:rPr>
                <w:rStyle w:val="Emphasis"/>
                <w:i w:val="0"/>
                <w:iCs w:val="0"/>
              </w:rPr>
              <w:t xml:space="preserve"> tourism or the intensive animal industry) would have the effect of supporting job </w:t>
            </w:r>
            <w:r w:rsidR="004F27CB" w:rsidRPr="00FF50D6">
              <w:rPr>
                <w:rStyle w:val="Emphasis"/>
                <w:i w:val="0"/>
                <w:iCs w:val="0"/>
              </w:rPr>
              <w:lastRenderedPageBreak/>
              <w:t>creation but would have more relevance in planning decision-making.</w:t>
            </w:r>
            <w:r w:rsidR="00D92C0F" w:rsidRPr="00FF50D6">
              <w:rPr>
                <w:rStyle w:val="Emphasis"/>
                <w:i w:val="0"/>
                <w:iCs w:val="0"/>
              </w:rPr>
              <w:t xml:space="preserve"> </w:t>
            </w:r>
            <w:r w:rsidR="00594DD7" w:rsidRPr="00FF50D6">
              <w:rPr>
                <w:rStyle w:val="Emphasis"/>
                <w:i w:val="0"/>
                <w:iCs w:val="0"/>
              </w:rPr>
              <w:t>The direction should</w:t>
            </w:r>
            <w:r w:rsidR="004F27CB" w:rsidRPr="00FF50D6">
              <w:rPr>
                <w:rStyle w:val="Emphasis"/>
                <w:i w:val="0"/>
                <w:iCs w:val="0"/>
              </w:rPr>
              <w:t xml:space="preserve"> still explain how industry would be facilitated.]</w:t>
            </w:r>
          </w:p>
        </w:tc>
      </w:tr>
      <w:tr w:rsidR="00702ADD" w:rsidRPr="00702ADD" w14:paraId="26BA0D2B" w14:textId="77777777" w:rsidTr="002C2ABB">
        <w:tc>
          <w:tcPr>
            <w:tcW w:w="738" w:type="dxa"/>
            <w:shd w:val="clear" w:color="auto" w:fill="D9ECEA" w:themeFill="accent2"/>
          </w:tcPr>
          <w:p w14:paraId="35324820" w14:textId="4438DE2B" w:rsidR="00702ADD" w:rsidRPr="00B447C7" w:rsidRDefault="00356BAA" w:rsidP="000D4746">
            <w:pPr>
              <w:pStyle w:val="Symbol"/>
              <w:rPr>
                <w:i w:val="0"/>
                <w:iCs w:val="0"/>
              </w:rPr>
            </w:pPr>
            <w:r w:rsidRPr="00B447C7">
              <w:rPr>
                <w:i w:val="0"/>
                <w:iCs w:val="0"/>
              </w:rPr>
              <w:lastRenderedPageBreak/>
              <w:sym w:font="Wingdings" w:char="F0FB"/>
            </w:r>
          </w:p>
        </w:tc>
        <w:tc>
          <w:tcPr>
            <w:tcW w:w="9043" w:type="dxa"/>
            <w:shd w:val="clear" w:color="auto" w:fill="D9ECEA" w:themeFill="accent2"/>
          </w:tcPr>
          <w:p w14:paraId="3442D663" w14:textId="77777777" w:rsidR="00C5291D" w:rsidRPr="00B447C7" w:rsidRDefault="00702ADD" w:rsidP="00BC7634">
            <w:pPr>
              <w:pStyle w:val="Exampletext"/>
              <w:rPr>
                <w:i w:val="0"/>
                <w:iCs w:val="0"/>
              </w:rPr>
            </w:pPr>
            <w:r w:rsidRPr="00B447C7">
              <w:rPr>
                <w:i w:val="0"/>
                <w:iCs w:val="0"/>
              </w:rPr>
              <w:t>Monitor the impact of erosion on agricultural land and respond with appropriate measures.</w:t>
            </w:r>
          </w:p>
          <w:p w14:paraId="6505B33D" w14:textId="1BD81E1B" w:rsidR="00702ADD" w:rsidRPr="00930D19" w:rsidRDefault="007823BA" w:rsidP="00BC7634">
            <w:pPr>
              <w:pStyle w:val="ExampleInstruction"/>
              <w:rPr>
                <w:i/>
                <w:iCs/>
                <w:lang w:val="en-US"/>
              </w:rPr>
            </w:pPr>
            <w:r w:rsidRPr="00FF50D6">
              <w:rPr>
                <w:rStyle w:val="Emphasis"/>
                <w:i w:val="0"/>
                <w:iCs w:val="0"/>
              </w:rPr>
              <w:t>[</w:t>
            </w:r>
            <w:r w:rsidR="00C5291D" w:rsidRPr="00FF50D6">
              <w:rPr>
                <w:rStyle w:val="Emphasis"/>
                <w:i w:val="0"/>
                <w:iCs w:val="0"/>
              </w:rPr>
              <w:t>T</w:t>
            </w:r>
            <w:r w:rsidR="00702ADD" w:rsidRPr="00FF50D6">
              <w:rPr>
                <w:rStyle w:val="Emphasis"/>
                <w:i w:val="0"/>
                <w:iCs w:val="0"/>
              </w:rPr>
              <w:t>he planning scheme does not enact monitoring</w:t>
            </w:r>
            <w:r w:rsidR="00583A9F" w:rsidRPr="00FF50D6">
              <w:rPr>
                <w:rStyle w:val="Emphasis"/>
                <w:i w:val="0"/>
                <w:iCs w:val="0"/>
              </w:rPr>
              <w:t xml:space="preserve"> and it is unclear what an ‘appropriate measure’ is</w:t>
            </w:r>
            <w:r w:rsidR="00702ADD" w:rsidRPr="00FF50D6">
              <w:rPr>
                <w:rStyle w:val="Emphasis"/>
                <w:i w:val="0"/>
                <w:iCs w:val="0"/>
              </w:rPr>
              <w:t>.</w:t>
            </w:r>
            <w:r w:rsidR="00D92C0F" w:rsidRPr="00FF50D6">
              <w:rPr>
                <w:rStyle w:val="Emphasis"/>
                <w:i w:val="0"/>
                <w:iCs w:val="0"/>
              </w:rPr>
              <w:t xml:space="preserve"> </w:t>
            </w:r>
            <w:r w:rsidR="00702ADD" w:rsidRPr="00FF50D6">
              <w:rPr>
                <w:rStyle w:val="Emphasis"/>
                <w:i w:val="0"/>
                <w:iCs w:val="0"/>
              </w:rPr>
              <w:t>This direction needs to be rewritten to address how planning will manage erosion on agricultural land.</w:t>
            </w:r>
            <w:r w:rsidR="00D92C0F" w:rsidRPr="00FF50D6">
              <w:rPr>
                <w:rStyle w:val="Emphasis"/>
                <w:i w:val="0"/>
                <w:iCs w:val="0"/>
              </w:rPr>
              <w:t xml:space="preserve"> </w:t>
            </w:r>
            <w:r w:rsidR="00702ADD" w:rsidRPr="00FF50D6">
              <w:rPr>
                <w:rStyle w:val="Emphasis"/>
                <w:i w:val="0"/>
                <w:iCs w:val="0"/>
              </w:rPr>
              <w:t>It should follow with local planning policy that explains the measures to be implemented.</w:t>
            </w:r>
            <w:r w:rsidRPr="00FF50D6">
              <w:rPr>
                <w:rStyle w:val="Emphasis"/>
                <w:i w:val="0"/>
                <w:iCs w:val="0"/>
              </w:rPr>
              <w:t>]</w:t>
            </w:r>
          </w:p>
        </w:tc>
      </w:tr>
    </w:tbl>
    <w:p w14:paraId="318B3430" w14:textId="7EDEA9A5" w:rsidR="002C63DE" w:rsidRPr="0012231B" w:rsidRDefault="002C63DE" w:rsidP="002E55BC">
      <w:pPr>
        <w:pStyle w:val="BodyText1"/>
      </w:pPr>
      <w:r w:rsidRPr="0012231B">
        <w:t>Often public realm aspirations to promote things like cycling and wa</w:t>
      </w:r>
      <w:r w:rsidR="0089049B" w:rsidRPr="0012231B">
        <w:t>l</w:t>
      </w:r>
      <w:r w:rsidRPr="0012231B">
        <w:t>king paths, safer roads or attractive gateway entries</w:t>
      </w:r>
      <w:r w:rsidR="004C6A1F">
        <w:t>,</w:t>
      </w:r>
      <w:r w:rsidRPr="0012231B">
        <w:t xml:space="preserve"> do not need a planning permit</w:t>
      </w:r>
      <w:r w:rsidR="0089049B" w:rsidRPr="0012231B">
        <w:t xml:space="preserve"> to be realised</w:t>
      </w:r>
      <w:r w:rsidRPr="0012231B">
        <w:t>, so cannot be included as policy in a planning scheme.</w:t>
      </w:r>
      <w:r w:rsidR="00D92C0F" w:rsidRPr="0012231B">
        <w:t xml:space="preserve"> </w:t>
      </w:r>
      <w:r w:rsidRPr="0012231B">
        <w:t>In some instances</w:t>
      </w:r>
      <w:r w:rsidR="00827971" w:rsidRPr="0012231B">
        <w:t>,</w:t>
      </w:r>
      <w:r w:rsidRPr="0012231B">
        <w:t xml:space="preserve"> these directions might have a strategic aim</w:t>
      </w:r>
      <w:r w:rsidR="009149EC" w:rsidRPr="0012231B">
        <w:t xml:space="preserve"> –</w:t>
      </w:r>
      <w:r w:rsidRPr="0012231B">
        <w:t xml:space="preserve"> for </w:t>
      </w:r>
      <w:r w:rsidR="006B70B3" w:rsidRPr="0012231B">
        <w:t>example</w:t>
      </w:r>
      <w:r w:rsidR="009149EC" w:rsidRPr="0012231B">
        <w:t>,</w:t>
      </w:r>
      <w:r w:rsidR="006B70B3" w:rsidRPr="0012231B">
        <w:t xml:space="preserve"> in </w:t>
      </w:r>
      <w:r w:rsidRPr="0012231B">
        <w:t>a growth area (</w:t>
      </w:r>
      <w:proofErr w:type="gramStart"/>
      <w:r w:rsidRPr="0012231B">
        <w:t>i</w:t>
      </w:r>
      <w:r w:rsidR="00F07B4E" w:rsidRPr="0012231B">
        <w:t>.</w:t>
      </w:r>
      <w:r w:rsidRPr="0012231B">
        <w:t>e.</w:t>
      </w:r>
      <w:proofErr w:type="gramEnd"/>
      <w:r w:rsidRPr="0012231B">
        <w:t xml:space="preserve"> that future subdivisions achieve a particular outcome).</w:t>
      </w:r>
      <w:r w:rsidR="00D92C0F" w:rsidRPr="0012231B">
        <w:t xml:space="preserve"> </w:t>
      </w:r>
      <w:r w:rsidR="00203FD7" w:rsidRPr="0012231B">
        <w:t>Whether a policy is a high-level strategic direction or a more detailed strategy in the PPF, its context needs to be made clear</w:t>
      </w:r>
      <w:r w:rsidR="00F07B4E" w:rsidRPr="0012231B">
        <w:t>,</w:t>
      </w:r>
      <w:r w:rsidR="00203FD7" w:rsidRPr="0012231B">
        <w:t xml:space="preserve"> so a user understands how to apply it.</w:t>
      </w:r>
    </w:p>
    <w:p w14:paraId="489C75AD" w14:textId="0F9DB873" w:rsidR="00754143" w:rsidRPr="00361E71" w:rsidRDefault="00AB2D21" w:rsidP="004F6A20">
      <w:pPr>
        <w:pStyle w:val="Heading3"/>
      </w:pPr>
      <w:r>
        <w:t>6.3.</w:t>
      </w:r>
      <w:r w:rsidR="00790D55">
        <w:t>4</w:t>
      </w:r>
      <w:r w:rsidR="00790D55">
        <w:tab/>
      </w:r>
      <w:r w:rsidR="000B7EED">
        <w:tab/>
      </w:r>
      <w:r w:rsidR="00AB2C0B" w:rsidRPr="00361E71">
        <w:t>Strategic framework plan</w:t>
      </w:r>
    </w:p>
    <w:p w14:paraId="489C75AE" w14:textId="77777777" w:rsidR="00754143" w:rsidRDefault="00AB2C0B" w:rsidP="002E55BC">
      <w:pPr>
        <w:pStyle w:val="BodyText1"/>
      </w:pPr>
      <w:r>
        <w:t xml:space="preserve">The </w:t>
      </w:r>
      <w:r w:rsidRPr="0012231B">
        <w:t>strategic</w:t>
      </w:r>
      <w:r>
        <w:t xml:space="preserve"> framework plan is a spatial representation of the key strategic directions for the municipality. The vision, strategic directions and strategic framework plan together provide the ‘big picture’ response to the opportunities and challenges facing a municipality.</w:t>
      </w:r>
    </w:p>
    <w:p w14:paraId="489C75AF" w14:textId="77777777" w:rsidR="00754143" w:rsidRDefault="00AB2C0B" w:rsidP="002E55BC">
      <w:pPr>
        <w:pStyle w:val="BodyText1"/>
      </w:pPr>
      <w:r>
        <w:t>The strategic framework plan:</w:t>
      </w:r>
    </w:p>
    <w:p w14:paraId="489C75B0" w14:textId="76B2572E" w:rsidR="00DC2411" w:rsidRDefault="00AB2C0B" w:rsidP="00723A0D">
      <w:pPr>
        <w:pStyle w:val="DELWPbullet1"/>
      </w:pPr>
      <w:r>
        <w:t xml:space="preserve">should show spatially how the municipality is expected to change </w:t>
      </w:r>
      <w:proofErr w:type="gramStart"/>
      <w:r>
        <w:t>as a result of</w:t>
      </w:r>
      <w:proofErr w:type="gramEnd"/>
      <w:r>
        <w:t xml:space="preserve"> the implementation of the planning scheme</w:t>
      </w:r>
    </w:p>
    <w:p w14:paraId="32C77A12" w14:textId="071FA2CF" w:rsidR="00E41AB2" w:rsidRPr="008C36C4" w:rsidRDefault="008B10EF" w:rsidP="00723A0D">
      <w:pPr>
        <w:pStyle w:val="DELWPbullet1"/>
      </w:pPr>
      <w:r w:rsidRPr="008C36C4">
        <w:t>complements the policy in the MPS and</w:t>
      </w:r>
      <w:r w:rsidR="008C36C4" w:rsidRPr="008C36C4">
        <w:t xml:space="preserve"> where relevant,</w:t>
      </w:r>
      <w:r w:rsidRPr="008C36C4">
        <w:t xml:space="preserve"> PPF.</w:t>
      </w:r>
      <w:r w:rsidR="00D92C0F">
        <w:t xml:space="preserve"> </w:t>
      </w:r>
      <w:r w:rsidRPr="008C36C4">
        <w:t xml:space="preserve">It </w:t>
      </w:r>
      <w:r w:rsidR="00E41AB2" w:rsidRPr="008C36C4">
        <w:t>cannot replace policy tex</w:t>
      </w:r>
      <w:r w:rsidRPr="008C36C4">
        <w:t>t</w:t>
      </w:r>
      <w:r w:rsidR="00E41AB2" w:rsidRPr="008C36C4">
        <w:t>.</w:t>
      </w:r>
      <w:r w:rsidR="00D92C0F">
        <w:t xml:space="preserve"> </w:t>
      </w:r>
      <w:r w:rsidRPr="008C36C4">
        <w:t xml:space="preserve">For </w:t>
      </w:r>
      <w:r w:rsidR="008C36C4" w:rsidRPr="008C36C4">
        <w:t>example,</w:t>
      </w:r>
      <w:r w:rsidRPr="008C36C4">
        <w:t xml:space="preserve"> </w:t>
      </w:r>
      <w:r w:rsidR="00E41AB2" w:rsidRPr="008C36C4">
        <w:t>a strategic direction must be in the text of the MPS</w:t>
      </w:r>
      <w:r w:rsidRPr="008C36C4">
        <w:t xml:space="preserve"> and not solely on a framework plan</w:t>
      </w:r>
    </w:p>
    <w:p w14:paraId="489C75B1" w14:textId="604E1134" w:rsidR="00DC2411" w:rsidRDefault="00AB2C0B" w:rsidP="00723A0D">
      <w:pPr>
        <w:pStyle w:val="DELWPbullet1"/>
      </w:pPr>
      <w:r>
        <w:t>should have a clear link with the strategic directions in the MPS and</w:t>
      </w:r>
      <w:r w:rsidR="008B10EF">
        <w:t xml:space="preserve"> can</w:t>
      </w:r>
      <w:r>
        <w:t xml:space="preserve"> be annotated to express the strategic directions on the plan</w:t>
      </w:r>
    </w:p>
    <w:p w14:paraId="489C75B2" w14:textId="51D89811" w:rsidR="00DC2411" w:rsidRDefault="00AB2C0B" w:rsidP="00723A0D">
      <w:pPr>
        <w:pStyle w:val="DELWPbullet1"/>
      </w:pPr>
      <w:r>
        <w:t>may show matters such as directions for growth and development, housing frameworks, industrial land supply, productive agricultural land, strategic redevelopment sites, significant infrastructure, areas of environmental significance or areas where environmental risk must be managed</w:t>
      </w:r>
      <w:r w:rsidR="008B10EF">
        <w:t xml:space="preserve"> or any other matter that the MPS identifies</w:t>
      </w:r>
    </w:p>
    <w:p w14:paraId="489C75B3" w14:textId="586C67D7" w:rsidR="00DC2411" w:rsidRDefault="00AB2C0B" w:rsidP="00723A0D">
      <w:pPr>
        <w:pStyle w:val="DELWPbullet1"/>
      </w:pPr>
      <w:r>
        <w:t>should do more than show existing conditions</w:t>
      </w:r>
    </w:p>
    <w:p w14:paraId="489C75B4" w14:textId="77777777" w:rsidR="00CB429B" w:rsidRDefault="00AB2C0B" w:rsidP="00723A0D">
      <w:pPr>
        <w:pStyle w:val="DELWPbullet1"/>
      </w:pPr>
      <w:r>
        <w:t>can be more than one plan if a single plan would not be legible.</w:t>
      </w:r>
    </w:p>
    <w:p w14:paraId="489C75B5" w14:textId="30B9C7A1" w:rsidR="00754143" w:rsidRPr="00361E71" w:rsidRDefault="00790D55" w:rsidP="004F6A20">
      <w:pPr>
        <w:pStyle w:val="Heading3"/>
      </w:pPr>
      <w:r>
        <w:t>6.3.5</w:t>
      </w:r>
      <w:r>
        <w:tab/>
      </w:r>
      <w:r w:rsidR="000B7EED">
        <w:tab/>
      </w:r>
      <w:r w:rsidR="00AB2C0B" w:rsidRPr="00361E71">
        <w:t>Incorporated and background documents</w:t>
      </w:r>
    </w:p>
    <w:p w14:paraId="3B8A3BCE" w14:textId="6CE373B2" w:rsidR="00290D56" w:rsidRDefault="00AB2C0B" w:rsidP="002E55BC">
      <w:pPr>
        <w:pStyle w:val="BodyText1"/>
      </w:pPr>
      <w:r w:rsidRPr="00613722">
        <w:t xml:space="preserve">Incorporated and background </w:t>
      </w:r>
      <w:r w:rsidRPr="008C36C4">
        <w:t xml:space="preserve">documents </w:t>
      </w:r>
      <w:r w:rsidR="00E41AB2" w:rsidRPr="008C36C4">
        <w:t xml:space="preserve">may </w:t>
      </w:r>
      <w:r w:rsidRPr="008C36C4">
        <w:t>be referenced</w:t>
      </w:r>
      <w:r w:rsidRPr="00613722">
        <w:t xml:space="preserve"> in the text of the MPS where a document has directly informed the creation of a </w:t>
      </w:r>
      <w:r w:rsidR="00613722" w:rsidRPr="00613722">
        <w:t>strategic direction</w:t>
      </w:r>
      <w:r w:rsidRPr="00613722">
        <w:t>.</w:t>
      </w:r>
      <w:r w:rsidR="00613722" w:rsidRPr="00613722">
        <w:t xml:space="preserve"> Documents that generally inform the creation of the MPS do not need to be specifically listed within it.</w:t>
      </w:r>
      <w:r w:rsidR="00DA5AF6" w:rsidRPr="00613722">
        <w:t xml:space="preserve"> </w:t>
      </w:r>
      <w:r w:rsidR="00290D56">
        <w:t xml:space="preserve">A </w:t>
      </w:r>
      <w:r w:rsidR="00DA475E">
        <w:t>c</w:t>
      </w:r>
      <w:r w:rsidR="00290D56">
        <w:t xml:space="preserve">ouncil </w:t>
      </w:r>
      <w:r w:rsidR="00DA475E">
        <w:t>p</w:t>
      </w:r>
      <w:r w:rsidR="00290D56">
        <w:t>lan does not need to be referenced in the planning scheme.</w:t>
      </w:r>
      <w:r w:rsidR="00D92C0F">
        <w:t xml:space="preserve"> </w:t>
      </w:r>
      <w:r w:rsidR="00290D56">
        <w:t>Its relevance is implicit.</w:t>
      </w:r>
    </w:p>
    <w:p w14:paraId="489C75B6" w14:textId="3B4B8765" w:rsidR="00754143" w:rsidRDefault="00AB2C0B" w:rsidP="002E55BC">
      <w:pPr>
        <w:pStyle w:val="BodyText1"/>
      </w:pPr>
      <w:r w:rsidRPr="00613722">
        <w:t xml:space="preserve">The schedules to </w:t>
      </w:r>
      <w:r w:rsidR="00092E0F" w:rsidRPr="00BA0BD1">
        <w:t>clauses</w:t>
      </w:r>
      <w:r w:rsidRPr="00BA0BD1">
        <w:t xml:space="preserve"> 72.04 and 72.08</w:t>
      </w:r>
      <w:r w:rsidRPr="00613722">
        <w:t xml:space="preserve"> allow local incorporated and background documents to be listed in the planning scheme.</w:t>
      </w:r>
    </w:p>
    <w:p w14:paraId="489C75B7" w14:textId="622C39A3" w:rsidR="00754143" w:rsidRPr="00361E71" w:rsidRDefault="00790D55" w:rsidP="004F6A20">
      <w:pPr>
        <w:pStyle w:val="Heading3"/>
      </w:pPr>
      <w:bookmarkStart w:id="292" w:name="_Hlk35430759"/>
      <w:r>
        <w:lastRenderedPageBreak/>
        <w:t>6.3.6</w:t>
      </w:r>
      <w:r>
        <w:tab/>
      </w:r>
      <w:r w:rsidR="000B7EED">
        <w:tab/>
      </w:r>
      <w:r w:rsidR="00B10E6D">
        <w:t>Application of zones, overlays and provisions</w:t>
      </w:r>
    </w:p>
    <w:p w14:paraId="28154AE6" w14:textId="5FF2AC7C" w:rsidR="00F917DB" w:rsidRDefault="00B32559" w:rsidP="002E55BC">
      <w:pPr>
        <w:pStyle w:val="BodyText1"/>
      </w:pPr>
      <w:bookmarkStart w:id="293" w:name="_Hlk35431778"/>
      <w:r>
        <w:t xml:space="preserve">The schedule to </w:t>
      </w:r>
      <w:bookmarkEnd w:id="293"/>
      <w:r w:rsidR="001F616D" w:rsidRPr="004C2B4B">
        <w:t>c</w:t>
      </w:r>
      <w:r w:rsidR="00F917DB" w:rsidRPr="004C2B4B">
        <w:t>lause 74.01</w:t>
      </w:r>
      <w:r w:rsidR="00F917DB">
        <w:t xml:space="preserve"> </w:t>
      </w:r>
      <w:r w:rsidR="00607879">
        <w:t>includes a general explanation of the relationship between the Municipal Planning Strategy,</w:t>
      </w:r>
      <w:r w:rsidR="001B41A9">
        <w:t xml:space="preserve"> the objectives and strategies in </w:t>
      </w:r>
      <w:r w:rsidR="001B41A9" w:rsidRPr="004C2B4B">
        <w:t>clauses 10 to 19</w:t>
      </w:r>
      <w:r w:rsidR="001B41A9">
        <w:t xml:space="preserve"> and the controls in the planning scheme.</w:t>
      </w:r>
      <w:r w:rsidR="00607879">
        <w:t xml:space="preserve"> </w:t>
      </w:r>
      <w:r w:rsidR="00783328">
        <w:t xml:space="preserve">It </w:t>
      </w:r>
      <w:r w:rsidR="00F917DB">
        <w:t>must be drafted as follows:</w:t>
      </w:r>
    </w:p>
    <w:p w14:paraId="3294FB0C" w14:textId="133E774E" w:rsidR="00F917DB" w:rsidRPr="00F917DB" w:rsidRDefault="00F917DB" w:rsidP="00A705A5">
      <w:pPr>
        <w:pStyle w:val="BodyText1"/>
        <w:numPr>
          <w:ilvl w:val="0"/>
          <w:numId w:val="20"/>
        </w:numPr>
      </w:pPr>
      <w:r w:rsidRPr="00F917DB">
        <w:t>List provisions in sequence with the VPP (</w:t>
      </w:r>
      <w:proofErr w:type="gramStart"/>
      <w:r w:rsidRPr="00F917DB">
        <w:t>i</w:t>
      </w:r>
      <w:r>
        <w:t>.</w:t>
      </w:r>
      <w:r w:rsidRPr="00F917DB">
        <w:t>e.</w:t>
      </w:r>
      <w:proofErr w:type="gramEnd"/>
      <w:r w:rsidRPr="00F917DB">
        <w:t xml:space="preserve"> residential zones first, </w:t>
      </w:r>
      <w:r>
        <w:t xml:space="preserve">with each of the residential </w:t>
      </w:r>
      <w:r w:rsidRPr="00F917DB">
        <w:t>zones being listed in order</w:t>
      </w:r>
      <w:r w:rsidR="005C4710">
        <w:t>,</w:t>
      </w:r>
      <w:r>
        <w:t xml:space="preserve"> </w:t>
      </w:r>
      <w:r w:rsidR="005C4710">
        <w:t>and so on</w:t>
      </w:r>
      <w:r w:rsidRPr="00F917DB">
        <w:t>).</w:t>
      </w:r>
    </w:p>
    <w:p w14:paraId="177E8F94" w14:textId="25AF8022" w:rsidR="00F917DB" w:rsidRDefault="00F917DB" w:rsidP="00A705A5">
      <w:pPr>
        <w:pStyle w:val="BodyText1"/>
        <w:numPr>
          <w:ilvl w:val="0"/>
          <w:numId w:val="20"/>
        </w:numPr>
      </w:pPr>
      <w:r w:rsidRPr="00F917DB">
        <w:t xml:space="preserve">Include a short statement of how </w:t>
      </w:r>
      <w:r w:rsidR="005C4710">
        <w:t>or</w:t>
      </w:r>
      <w:r w:rsidRPr="00F917DB">
        <w:t xml:space="preserve"> why the provision was applied</w:t>
      </w:r>
      <w:r w:rsidR="00D6673D">
        <w:t xml:space="preserve">. </w:t>
      </w:r>
      <w:r w:rsidRPr="00F917DB">
        <w:t>If the reason is obvious</w:t>
      </w:r>
      <w:r w:rsidR="001F62DF">
        <w:t>,</w:t>
      </w:r>
      <w:r w:rsidRPr="00F917DB">
        <w:t xml:space="preserve"> </w:t>
      </w:r>
      <w:r w:rsidR="001C50E3">
        <w:t>do not list the item</w:t>
      </w:r>
      <w:r w:rsidRPr="00F917DB">
        <w:t xml:space="preserve"> </w:t>
      </w:r>
      <w:r w:rsidR="001C50E3">
        <w:t xml:space="preserve">in </w:t>
      </w:r>
      <w:r w:rsidR="0016768D">
        <w:t>the schedule</w:t>
      </w:r>
      <w:r w:rsidR="001C50E3">
        <w:t xml:space="preserve"> </w:t>
      </w:r>
      <w:r w:rsidR="009149EC" w:rsidRPr="009149EC">
        <w:t>–</w:t>
      </w:r>
      <w:r w:rsidR="008B5995">
        <w:t xml:space="preserve"> t</w:t>
      </w:r>
      <w:r w:rsidR="001C50E3">
        <w:t xml:space="preserve">he application of some provisions </w:t>
      </w:r>
      <w:r w:rsidR="005C4710">
        <w:t>is</w:t>
      </w:r>
      <w:r w:rsidR="001C50E3">
        <w:t xml:space="preserve"> automatically</w:t>
      </w:r>
      <w:r w:rsidR="001C50E3" w:rsidRPr="001C50E3">
        <w:t xml:space="preserve"> </w:t>
      </w:r>
      <w:r w:rsidR="001C50E3">
        <w:t>evident (</w:t>
      </w:r>
      <w:proofErr w:type="gramStart"/>
      <w:r w:rsidR="001C50E3">
        <w:t>e.g.</w:t>
      </w:r>
      <w:proofErr w:type="gramEnd"/>
      <w:r w:rsidR="001C50E3">
        <w:t xml:space="preserve"> the Heritage Overlay</w:t>
      </w:r>
      <w:r w:rsidR="009149EC">
        <w:t>,</w:t>
      </w:r>
      <w:r w:rsidR="001C50E3">
        <w:t xml:space="preserve"> which is applied to heritage places of natural or cultural significance</w:t>
      </w:r>
      <w:r w:rsidR="009149EC">
        <w:t>,</w:t>
      </w:r>
      <w:r w:rsidR="005C4710">
        <w:t xml:space="preserve"> or the </w:t>
      </w:r>
      <w:r w:rsidR="006D2C83">
        <w:t xml:space="preserve">Transport </w:t>
      </w:r>
      <w:r w:rsidR="005C4710">
        <w:t>Zone to identify</w:t>
      </w:r>
      <w:r w:rsidR="008A2179">
        <w:t xml:space="preserve"> the transport system</w:t>
      </w:r>
      <w:r w:rsidR="00E30D9B">
        <w:t>)</w:t>
      </w:r>
      <w:r w:rsidRPr="00F917DB">
        <w:t>.</w:t>
      </w:r>
    </w:p>
    <w:p w14:paraId="797D5E7C" w14:textId="3A4F1A0E" w:rsidR="00F917DB" w:rsidRPr="00FD6E5A" w:rsidRDefault="001C50E3" w:rsidP="00A705A5">
      <w:pPr>
        <w:pStyle w:val="BodyText1"/>
        <w:numPr>
          <w:ilvl w:val="0"/>
          <w:numId w:val="20"/>
        </w:numPr>
        <w:rPr>
          <w:rStyle w:val="Emphasis"/>
          <w:i w:val="0"/>
          <w:iCs w:val="0"/>
        </w:rPr>
      </w:pPr>
      <w:r>
        <w:t xml:space="preserve">Use a concise bulleted format </w:t>
      </w:r>
      <w:r w:rsidR="00CA6A51" w:rsidRPr="00CA6A51">
        <w:t>–</w:t>
      </w:r>
      <w:r>
        <w:t xml:space="preserve"> see the </w:t>
      </w:r>
      <w:r w:rsidRPr="00A40CB0">
        <w:rPr>
          <w:i/>
          <w:iCs/>
        </w:rPr>
        <w:t>Ministerial Direction</w:t>
      </w:r>
      <w:r w:rsidR="00A40CB0">
        <w:rPr>
          <w:i/>
          <w:iCs/>
        </w:rPr>
        <w:t xml:space="preserve"> </w:t>
      </w:r>
      <w:r w:rsidR="00A40CB0">
        <w:rPr>
          <w:rStyle w:val="Emphasis"/>
        </w:rPr>
        <w:t>-</w:t>
      </w:r>
      <w:r w:rsidRPr="00A40CB0">
        <w:rPr>
          <w:rStyle w:val="Emphasis"/>
        </w:rPr>
        <w:t xml:space="preserve"> </w:t>
      </w:r>
      <w:r w:rsidRPr="007E64CD">
        <w:rPr>
          <w:rStyle w:val="Emphasis"/>
        </w:rPr>
        <w:t>The Form and Content of Planning Schemes</w:t>
      </w:r>
      <w:r>
        <w:rPr>
          <w:rStyle w:val="Emphasis"/>
          <w:i w:val="0"/>
        </w:rPr>
        <w:t xml:space="preserve"> for the prescribed format</w:t>
      </w:r>
      <w:r>
        <w:rPr>
          <w:rStyle w:val="Emphasis"/>
        </w:rPr>
        <w:t>.</w:t>
      </w:r>
    </w:p>
    <w:tbl>
      <w:tblPr>
        <w:tblStyle w:val="DELWPhighlighttable"/>
        <w:tblW w:w="9242" w:type="dxa"/>
        <w:tblInd w:w="0" w:type="dxa"/>
        <w:tblCellMar>
          <w:bottom w:w="85" w:type="dxa"/>
        </w:tblCellMar>
        <w:tblLook w:val="04A0" w:firstRow="1" w:lastRow="0" w:firstColumn="1" w:lastColumn="0" w:noHBand="0" w:noVBand="1"/>
      </w:tblPr>
      <w:tblGrid>
        <w:gridCol w:w="9242"/>
      </w:tblGrid>
      <w:tr w:rsidR="00AC6805" w:rsidRPr="00AC6805" w14:paraId="489C75BF" w14:textId="77777777" w:rsidTr="00EE7766">
        <w:trPr>
          <w:cantSplit/>
        </w:trPr>
        <w:tc>
          <w:tcPr>
            <w:tcW w:w="9242" w:type="dxa"/>
          </w:tcPr>
          <w:p w14:paraId="3AC59098" w14:textId="77777777" w:rsidR="00C455BF" w:rsidRPr="003D2C58" w:rsidRDefault="00911669" w:rsidP="002123AF">
            <w:pPr>
              <w:pStyle w:val="Heading4"/>
            </w:pPr>
            <w:r w:rsidRPr="003D2C58">
              <w:t>Example</w:t>
            </w:r>
          </w:p>
          <w:p w14:paraId="38D54438" w14:textId="6279774D" w:rsidR="00F957B3" w:rsidRPr="00B447C7" w:rsidRDefault="00F957B3" w:rsidP="00F957B3">
            <w:pPr>
              <w:pStyle w:val="BodyText2"/>
              <w:ind w:left="0"/>
              <w:rPr>
                <w:rFonts w:ascii="VIC" w:hAnsi="VIC" w:cs="Arial"/>
              </w:rPr>
            </w:pPr>
            <w:r w:rsidRPr="00B447C7">
              <w:rPr>
                <w:rFonts w:ascii="VIC" w:hAnsi="VIC" w:cs="Arial"/>
              </w:rPr>
              <w:t xml:space="preserve">This planning scheme applies the following zones, overlays and provisions to implement the Municipal Planning Strategy and the objectives and strategies in </w:t>
            </w:r>
            <w:r w:rsidR="00EE2F6B" w:rsidRPr="00B447C7">
              <w:rPr>
                <w:rFonts w:ascii="VIC" w:hAnsi="VIC" w:cs="Arial"/>
              </w:rPr>
              <w:t>c</w:t>
            </w:r>
            <w:r w:rsidRPr="00B447C7">
              <w:rPr>
                <w:rFonts w:ascii="VIC" w:hAnsi="VIC" w:cs="Arial"/>
              </w:rPr>
              <w:t>lauses 1</w:t>
            </w:r>
            <w:r w:rsidR="00A51AC8" w:rsidRPr="00B447C7">
              <w:rPr>
                <w:rFonts w:ascii="VIC" w:hAnsi="VIC" w:cs="Arial"/>
              </w:rPr>
              <w:t>0</w:t>
            </w:r>
            <w:r w:rsidRPr="00B447C7">
              <w:rPr>
                <w:rFonts w:ascii="VIC" w:hAnsi="VIC" w:cs="Arial"/>
              </w:rPr>
              <w:t xml:space="preserve"> to 19:</w:t>
            </w:r>
          </w:p>
          <w:p w14:paraId="60C91075" w14:textId="1A65D41B" w:rsidR="00F71596" w:rsidRPr="0019137F" w:rsidRDefault="00F71596" w:rsidP="005510AA">
            <w:pPr>
              <w:pStyle w:val="DELWPexamplebullet"/>
            </w:pPr>
            <w:bookmarkStart w:id="294" w:name="_Hlk35429098"/>
            <w:r w:rsidRPr="0019137F">
              <w:t>Low Density Residential Zone to:</w:t>
            </w:r>
          </w:p>
          <w:p w14:paraId="1C8939B0" w14:textId="77777777" w:rsidR="00F71596" w:rsidRPr="00B447C7" w:rsidRDefault="00F71596" w:rsidP="00A705A5">
            <w:pPr>
              <w:pStyle w:val="Bodytext"/>
              <w:numPr>
                <w:ilvl w:val="2"/>
                <w:numId w:val="49"/>
              </w:numPr>
              <w:suppressAutoHyphens w:val="0"/>
              <w:spacing w:before="60" w:after="80" w:line="240" w:lineRule="exact"/>
              <w:ind w:left="678" w:right="571"/>
              <w:rPr>
                <w:rFonts w:ascii="VIC" w:hAnsi="VIC" w:cs="Arial"/>
              </w:rPr>
            </w:pPr>
            <w:r w:rsidRPr="00B447C7">
              <w:rPr>
                <w:rFonts w:ascii="VIC" w:hAnsi="VIC" w:cs="Arial"/>
              </w:rPr>
              <w:t>Sewered residential lots of at least 0.2 hectare.</w:t>
            </w:r>
          </w:p>
          <w:p w14:paraId="5776DEF7" w14:textId="77777777" w:rsidR="00F71596" w:rsidRPr="00B447C7" w:rsidRDefault="00F71596" w:rsidP="00A705A5">
            <w:pPr>
              <w:pStyle w:val="Bodytext"/>
              <w:numPr>
                <w:ilvl w:val="2"/>
                <w:numId w:val="49"/>
              </w:numPr>
              <w:tabs>
                <w:tab w:val="left" w:pos="5931"/>
              </w:tabs>
              <w:suppressAutoHyphens w:val="0"/>
              <w:spacing w:before="60" w:after="80" w:line="240" w:lineRule="exact"/>
              <w:ind w:left="678" w:right="1524"/>
              <w:rPr>
                <w:rFonts w:ascii="VIC" w:hAnsi="VIC" w:cs="Arial"/>
              </w:rPr>
            </w:pPr>
            <w:r w:rsidRPr="00B447C7">
              <w:rPr>
                <w:rFonts w:ascii="VIC" w:hAnsi="VIC" w:cs="Arial"/>
              </w:rPr>
              <w:t xml:space="preserve">Residential areas in and around major towns.  </w:t>
            </w:r>
          </w:p>
          <w:p w14:paraId="06549542" w14:textId="77777777" w:rsidR="00F71596" w:rsidRPr="0019137F" w:rsidRDefault="00F71596" w:rsidP="005510AA">
            <w:pPr>
              <w:pStyle w:val="DELWPexamplebullet"/>
            </w:pPr>
            <w:r w:rsidRPr="0019137F">
              <w:t>Township Zone:</w:t>
            </w:r>
          </w:p>
          <w:p w14:paraId="602A42B4" w14:textId="67C439A1" w:rsidR="00F71596" w:rsidRPr="00B447C7" w:rsidRDefault="00F71596" w:rsidP="00A705A5">
            <w:pPr>
              <w:pStyle w:val="Bodytext"/>
              <w:numPr>
                <w:ilvl w:val="2"/>
                <w:numId w:val="50"/>
              </w:numPr>
              <w:suppressAutoHyphens w:val="0"/>
              <w:spacing w:before="60" w:after="80" w:line="240" w:lineRule="exact"/>
              <w:ind w:left="678" w:right="571"/>
              <w:rPr>
                <w:rFonts w:ascii="VIC" w:hAnsi="VIC" w:cs="Arial"/>
              </w:rPr>
            </w:pPr>
            <w:r w:rsidRPr="00B447C7">
              <w:rPr>
                <w:rFonts w:ascii="VIC" w:hAnsi="VIC" w:cs="Arial"/>
              </w:rPr>
              <w:t xml:space="preserve">To facilitate </w:t>
            </w:r>
            <w:r w:rsidR="00684847" w:rsidRPr="00B447C7">
              <w:rPr>
                <w:rFonts w:ascii="VIC" w:hAnsi="VIC" w:cs="Arial"/>
              </w:rPr>
              <w:t xml:space="preserve">a </w:t>
            </w:r>
            <w:r w:rsidR="002E4F53" w:rsidRPr="00B447C7">
              <w:rPr>
                <w:rFonts w:ascii="VIC" w:hAnsi="VIC" w:cs="Arial"/>
              </w:rPr>
              <w:t>commercial development</w:t>
            </w:r>
            <w:r w:rsidR="00684847" w:rsidRPr="00B447C7">
              <w:rPr>
                <w:rFonts w:ascii="VIC" w:hAnsi="VIC" w:cs="Arial"/>
              </w:rPr>
              <w:t xml:space="preserve"> </w:t>
            </w:r>
            <w:r w:rsidRPr="00B447C7">
              <w:rPr>
                <w:rFonts w:ascii="VIC" w:hAnsi="VIC" w:cs="Arial"/>
              </w:rPr>
              <w:t xml:space="preserve">where the separation of land uses is not critical to the function of the town. </w:t>
            </w:r>
          </w:p>
          <w:p w14:paraId="504DCD61" w14:textId="77777777" w:rsidR="00F71596" w:rsidRPr="00B447C7" w:rsidRDefault="00F71596" w:rsidP="00A705A5">
            <w:pPr>
              <w:pStyle w:val="Bodytext"/>
              <w:numPr>
                <w:ilvl w:val="2"/>
                <w:numId w:val="50"/>
              </w:numPr>
              <w:suppressAutoHyphens w:val="0"/>
              <w:spacing w:before="60" w:after="80" w:line="240" w:lineRule="exact"/>
              <w:ind w:left="678" w:right="571"/>
              <w:rPr>
                <w:rFonts w:ascii="VIC" w:hAnsi="VIC" w:cs="Arial"/>
              </w:rPr>
            </w:pPr>
            <w:r w:rsidRPr="00B447C7">
              <w:rPr>
                <w:rFonts w:ascii="VIC" w:hAnsi="VIC" w:cs="Arial"/>
              </w:rPr>
              <w:t>Within the Janszoon Town Centre to facilitate mixed use development.</w:t>
            </w:r>
          </w:p>
          <w:p w14:paraId="6C45287F" w14:textId="6A148F84" w:rsidR="00AC6805" w:rsidRPr="0019137F" w:rsidRDefault="00AC6805" w:rsidP="005510AA">
            <w:pPr>
              <w:pStyle w:val="DELWPexamplebullet"/>
            </w:pPr>
            <w:r w:rsidRPr="0019137F">
              <w:t>Design and Development Overlay to manage the scale and design of development on land within the setting and backdrop area of the War Memorial.</w:t>
            </w:r>
          </w:p>
          <w:p w14:paraId="489C75BE" w14:textId="0E995BB5" w:rsidR="00BC5F96" w:rsidRPr="00C455BF" w:rsidRDefault="000C3740" w:rsidP="005510AA">
            <w:pPr>
              <w:pStyle w:val="DELWPexamplebullet"/>
            </w:pPr>
            <w:r w:rsidRPr="0019137F">
              <w:t>Floodway Overlay to floodplains in Inverleigh, Waratah Creek and Cumberland as identified by the Gumnut Catchment Management Authority.</w:t>
            </w:r>
          </w:p>
        </w:tc>
        <w:bookmarkEnd w:id="294"/>
      </w:tr>
    </w:tbl>
    <w:bookmarkEnd w:id="292"/>
    <w:p w14:paraId="489C75C0" w14:textId="77777777" w:rsidR="00DC2411" w:rsidRDefault="00AB2C0B" w:rsidP="002123AF">
      <w:pPr>
        <w:pStyle w:val="Heading4"/>
      </w:pPr>
      <w:r>
        <w:t>Further strategic work</w:t>
      </w:r>
    </w:p>
    <w:p w14:paraId="489C75C1" w14:textId="7BCFEA6F" w:rsidR="00754143" w:rsidRDefault="00AB2C0B" w:rsidP="002E55BC">
      <w:pPr>
        <w:pStyle w:val="BodyText1"/>
      </w:pPr>
      <w:r>
        <w:t>The identification of further strategic work may be useful for a council to set strategic priorities and obtain funding for a project.</w:t>
      </w:r>
      <w:r w:rsidR="00DA5AF6">
        <w:t xml:space="preserve"> </w:t>
      </w:r>
      <w:r>
        <w:t>However, as these strategic intentions are not fully formed and have not had the benefit of strategic work to underpin them, there is a risk that they can be used as speculative policy and lead to decisions being made that are not based on adopted policy.</w:t>
      </w:r>
      <w:r w:rsidR="00DA5AF6">
        <w:t xml:space="preserve"> </w:t>
      </w:r>
      <w:r>
        <w:t>The identification of further strategic work is not a requirement of the Act and does not form part of the MPS or PPF.</w:t>
      </w:r>
      <w:r w:rsidR="00DA5AF6">
        <w:t xml:space="preserve"> </w:t>
      </w:r>
      <w:r>
        <w:t xml:space="preserve">Instead, this information may be listed in a separate schedule to </w:t>
      </w:r>
      <w:r w:rsidR="001F616D" w:rsidRPr="00BA0BD1">
        <w:t>c</w:t>
      </w:r>
      <w:r w:rsidRPr="00BA0BD1">
        <w:t>lause 74.02</w:t>
      </w:r>
      <w:r>
        <w:t>.</w:t>
      </w:r>
      <w:r w:rsidR="00DA5AF6">
        <w:t xml:space="preserve"> </w:t>
      </w:r>
      <w:r>
        <w:t xml:space="preserve">A responsible authority is not required to take this clause into account when </w:t>
      </w:r>
      <w:proofErr w:type="gramStart"/>
      <w:r>
        <w:t>making a decision</w:t>
      </w:r>
      <w:proofErr w:type="gramEnd"/>
      <w:r>
        <w:t>.</w:t>
      </w:r>
    </w:p>
    <w:p w14:paraId="489C75C2" w14:textId="77777777" w:rsidR="00754143" w:rsidRDefault="00AB2C0B" w:rsidP="002E55BC">
      <w:pPr>
        <w:pStyle w:val="BodyText1"/>
      </w:pPr>
      <w:r>
        <w:t>Where a list of further strategic work is provided in a planning scheme, it should comprise a concise list of work the council intends to undertake in the next review cycle (about 4 years).</w:t>
      </w:r>
      <w:r w:rsidR="00DA5AF6">
        <w:t xml:space="preserve"> </w:t>
      </w:r>
      <w:r>
        <w:t>The work must have a land use and development focus and must relate to matters that can be implemented through a planning scheme.</w:t>
      </w:r>
    </w:p>
    <w:p w14:paraId="489C75C3" w14:textId="448978E2" w:rsidR="00DC2411" w:rsidRPr="003451B7" w:rsidRDefault="00790D55" w:rsidP="00BA6981">
      <w:pPr>
        <w:pStyle w:val="Heading2"/>
      </w:pPr>
      <w:bookmarkStart w:id="295" w:name="_6.4_How_to"/>
      <w:bookmarkStart w:id="296" w:name="_Ref528601234"/>
      <w:bookmarkStart w:id="297" w:name="_Ref528601268"/>
      <w:bookmarkStart w:id="298" w:name="_Toc158706993"/>
      <w:bookmarkEnd w:id="295"/>
      <w:r>
        <w:lastRenderedPageBreak/>
        <w:t>6.4</w:t>
      </w:r>
      <w:r>
        <w:tab/>
      </w:r>
      <w:r w:rsidR="00AB2C0B" w:rsidRPr="003451B7">
        <w:t>How to write a local policy</w:t>
      </w:r>
      <w:bookmarkEnd w:id="296"/>
      <w:bookmarkEnd w:id="297"/>
      <w:bookmarkEnd w:id="298"/>
    </w:p>
    <w:p w14:paraId="489C75C7" w14:textId="39B8D748" w:rsidR="00754143" w:rsidRPr="00361E71" w:rsidRDefault="00790D55" w:rsidP="004F6A20">
      <w:pPr>
        <w:pStyle w:val="Heading3"/>
      </w:pPr>
      <w:r>
        <w:t>6.4.1</w:t>
      </w:r>
      <w:r>
        <w:tab/>
      </w:r>
      <w:r w:rsidR="00AB2C0B" w:rsidRPr="00361E71">
        <w:t>The role and content of local policy</w:t>
      </w:r>
    </w:p>
    <w:p w14:paraId="489C75C8" w14:textId="77777777" w:rsidR="00754143" w:rsidRDefault="00AB2C0B" w:rsidP="002E55BC">
      <w:pPr>
        <w:pStyle w:val="BodyText1"/>
      </w:pPr>
      <w:r>
        <w:t>Local policy provides the detailed policy directions for a municipality.</w:t>
      </w:r>
      <w:r w:rsidR="00DA5AF6">
        <w:t xml:space="preserve"> </w:t>
      </w:r>
      <w:r>
        <w:t>The role of local policy in the PPF differs from the MPS, which provides higher level strategic policy direction.</w:t>
      </w:r>
      <w:r w:rsidR="00DA5AF6">
        <w:t xml:space="preserve"> </w:t>
      </w:r>
      <w:r>
        <w:t>Local policy helps a council to implement state policy in a way that is relevant to their vision for the municipality.</w:t>
      </w:r>
    </w:p>
    <w:p w14:paraId="489C75C9" w14:textId="759BC390" w:rsidR="00754143" w:rsidRDefault="00AB2C0B" w:rsidP="002E55BC">
      <w:pPr>
        <w:pStyle w:val="BodyText1"/>
      </w:pPr>
      <w:r>
        <w:t>Zones, overlays</w:t>
      </w:r>
      <w:r w:rsidR="007E55FE">
        <w:t>,</w:t>
      </w:r>
      <w:r w:rsidDel="007E55FE">
        <w:t xml:space="preserve"> </w:t>
      </w:r>
      <w:r>
        <w:t>particular and general provisions are the primary implementation mechanism of the strategic policy directions in a planning scheme.</w:t>
      </w:r>
      <w:r w:rsidR="00DA5AF6">
        <w:t xml:space="preserve"> </w:t>
      </w:r>
      <w:r>
        <w:t xml:space="preserve">Where a zone, overlay, particular provision or general provision provides all the direction required to </w:t>
      </w:r>
      <w:proofErr w:type="gramStart"/>
      <w:r>
        <w:t>make a decision</w:t>
      </w:r>
      <w:proofErr w:type="gramEnd"/>
      <w:r>
        <w:t>, a local policy is not needed.</w:t>
      </w:r>
      <w:r w:rsidR="00DA5AF6">
        <w:t xml:space="preserve"> </w:t>
      </w:r>
      <w:r>
        <w:t>Similarly, where statewide or regional policy provides all relevant direction required for decision making, a local policy is not required.</w:t>
      </w:r>
    </w:p>
    <w:p w14:paraId="489C75CA" w14:textId="77777777" w:rsidR="00754143" w:rsidRDefault="00AB2C0B" w:rsidP="002E55BC">
      <w:pPr>
        <w:pStyle w:val="BodyText1"/>
      </w:pPr>
      <w:r>
        <w:t>Local policy has a role in providing direction at a municipal level where:</w:t>
      </w:r>
    </w:p>
    <w:p w14:paraId="489C75CB" w14:textId="77777777" w:rsidR="00DA5AF6" w:rsidRDefault="00AB2C0B" w:rsidP="00723A0D">
      <w:pPr>
        <w:pStyle w:val="DELWPbullet1"/>
      </w:pPr>
      <w:r>
        <w:t>locally specific policy guidance is needed on a particular matter</w:t>
      </w:r>
    </w:p>
    <w:p w14:paraId="489C75CC" w14:textId="51B506F8" w:rsidR="00DC2411" w:rsidRDefault="00AB2C0B" w:rsidP="00723A0D">
      <w:pPr>
        <w:pStyle w:val="DELWPbullet1"/>
      </w:pPr>
      <w:r>
        <w:t xml:space="preserve">directions intersect with </w:t>
      </w:r>
      <w:proofErr w:type="gramStart"/>
      <w:r>
        <w:t>a number of</w:t>
      </w:r>
      <w:proofErr w:type="gramEnd"/>
      <w:r>
        <w:t xml:space="preserve"> controls (for example, </w:t>
      </w:r>
      <w:r w:rsidR="008C36C4">
        <w:t>urban design</w:t>
      </w:r>
      <w:r>
        <w:t xml:space="preserve"> considerations may apply to multiple zones)</w:t>
      </w:r>
    </w:p>
    <w:p w14:paraId="489C75CD" w14:textId="71B2CA77" w:rsidR="00CB429B" w:rsidRDefault="00AB2C0B" w:rsidP="00723A0D">
      <w:pPr>
        <w:pStyle w:val="DELWPbullet1"/>
      </w:pPr>
      <w:r>
        <w:t xml:space="preserve">guidance is needed to support </w:t>
      </w:r>
      <w:r w:rsidRPr="00B66F8A">
        <w:t>decision</w:t>
      </w:r>
      <w:r w:rsidR="00B66F8A">
        <w:t xml:space="preserve"> </w:t>
      </w:r>
      <w:r w:rsidRPr="00B66F8A">
        <w:t>making</w:t>
      </w:r>
      <w:r>
        <w:t xml:space="preserve"> associated with a zone, overlay or other controls (such as non-residential uses in a residential zone).</w:t>
      </w:r>
    </w:p>
    <w:p w14:paraId="489C75CE" w14:textId="77777777" w:rsidR="00754143" w:rsidRDefault="00AB2C0B" w:rsidP="002E55BC">
      <w:pPr>
        <w:pStyle w:val="DELWPbodyafterbullets"/>
      </w:pPr>
      <w:r>
        <w:t>Local policy has an important role in expressing the local objectives of a municipality and helping shape the kind of place a council wishes to create.</w:t>
      </w:r>
      <w:r w:rsidR="00DA5AF6">
        <w:t xml:space="preserve"> </w:t>
      </w:r>
      <w:r>
        <w:t>As a result, it is important that policy be clear, concise, accurate and works towards achieving the intended outcome.</w:t>
      </w:r>
      <w:r w:rsidR="00DA5AF6">
        <w:t xml:space="preserve"> </w:t>
      </w:r>
      <w:r>
        <w:t>Local policy complements the zones, overlays and provisions that are the primary implementation mechanism for the objectives of a municipality.</w:t>
      </w:r>
    </w:p>
    <w:p w14:paraId="489C75CF" w14:textId="0278854C" w:rsidR="00754143" w:rsidRDefault="00AB2C0B" w:rsidP="002E55BC">
      <w:pPr>
        <w:pStyle w:val="BodyText1"/>
      </w:pPr>
      <w:r>
        <w:t>Ambiguity weaken</w:t>
      </w:r>
      <w:r w:rsidR="000E76CD">
        <w:t>s</w:t>
      </w:r>
      <w:r>
        <w:t xml:space="preserve"> policy.</w:t>
      </w:r>
      <w:r w:rsidR="00DA5AF6">
        <w:t xml:space="preserve"> </w:t>
      </w:r>
      <w:r>
        <w:t>Ambiguous statements give rise to inconsistent interpretations that dilute the intent of policy.</w:t>
      </w:r>
      <w:r w:rsidR="00D92C0F">
        <w:t xml:space="preserve"> </w:t>
      </w:r>
      <w:r w:rsidR="000E76CD">
        <w:t>Ensure policy can be clearly and consistently interpreted.</w:t>
      </w:r>
    </w:p>
    <w:p w14:paraId="2EDB5B82" w14:textId="3288FD3B" w:rsidR="00E55CE3" w:rsidRPr="00E55CE3" w:rsidRDefault="000E76CD" w:rsidP="002E55BC">
      <w:pPr>
        <w:pStyle w:val="BodyText1"/>
      </w:pPr>
      <w:r w:rsidRPr="00062B45">
        <w:rPr>
          <w:bCs/>
        </w:rPr>
        <w:t>Avoid repetition</w:t>
      </w:r>
      <w:r>
        <w:rPr>
          <w:bCs/>
        </w:rPr>
        <w:t>.</w:t>
      </w:r>
      <w:r w:rsidR="00D92C0F">
        <w:rPr>
          <w:bCs/>
        </w:rPr>
        <w:t xml:space="preserve"> </w:t>
      </w:r>
      <w:r w:rsidRPr="00E55CE3">
        <w:t xml:space="preserve">Each </w:t>
      </w:r>
      <w:r>
        <w:t>policy</w:t>
      </w:r>
      <w:r w:rsidRPr="00E55CE3">
        <w:t xml:space="preserve"> should have a clear purpose that is distinct from other </w:t>
      </w:r>
      <w:r>
        <w:t>policies</w:t>
      </w:r>
      <w:r w:rsidRPr="00E55CE3">
        <w:t xml:space="preserve"> but flows to the next to create a well-rounded </w:t>
      </w:r>
      <w:r>
        <w:t>policy set</w:t>
      </w:r>
      <w:r w:rsidRPr="00E55CE3">
        <w:t>.</w:t>
      </w:r>
      <w:r w:rsidR="00D92C0F">
        <w:t xml:space="preserve"> </w:t>
      </w:r>
      <w:r w:rsidRPr="00E55CE3">
        <w:t xml:space="preserve">Once a point has been made, do not be tempted to repeat it </w:t>
      </w:r>
      <w:proofErr w:type="gramStart"/>
      <w:r w:rsidRPr="00E55CE3">
        <w:t>in an effort to</w:t>
      </w:r>
      <w:proofErr w:type="gramEnd"/>
      <w:r w:rsidRPr="00E55CE3">
        <w:t xml:space="preserve"> strengthen the message, even if </w:t>
      </w:r>
      <w:r>
        <w:t xml:space="preserve">it is </w:t>
      </w:r>
      <w:r w:rsidRPr="00E55CE3">
        <w:t>expressed in a different way</w:t>
      </w:r>
      <w:r>
        <w:t xml:space="preserve"> or a different part of the scheme</w:t>
      </w:r>
      <w:r w:rsidRPr="00E55CE3">
        <w:t xml:space="preserve">. The only exception to this is within the </w:t>
      </w:r>
      <w:r>
        <w:t>MPS,</w:t>
      </w:r>
      <w:r w:rsidRPr="00E55CE3">
        <w:t xml:space="preserve"> where </w:t>
      </w:r>
      <w:r>
        <w:t>a local strategic direction may reaffirm a state planning policy to emphasise the importance of that policy to that municipality</w:t>
      </w:r>
      <w:r w:rsidRPr="00E55CE3">
        <w:t>.</w:t>
      </w:r>
    </w:p>
    <w:p w14:paraId="489C75D0" w14:textId="77777777" w:rsidR="00754143" w:rsidRDefault="00AB2C0B" w:rsidP="002E55BC">
      <w:pPr>
        <w:pStyle w:val="BodyText1"/>
      </w:pPr>
      <w:r>
        <w:t>Local policy should only be used to provide locally specific direction for a municipality.</w:t>
      </w:r>
      <w:r w:rsidR="00DA5AF6">
        <w:t xml:space="preserve"> </w:t>
      </w:r>
      <w:r>
        <w:t>It must not assume the role of state policy or take on a broader mandate.</w:t>
      </w:r>
    </w:p>
    <w:p w14:paraId="489C75D1" w14:textId="77777777" w:rsidR="00754143" w:rsidRDefault="00AB2C0B" w:rsidP="002E55BC">
      <w:pPr>
        <w:pStyle w:val="BodyText1"/>
      </w:pPr>
      <w:r>
        <w:t>A policy objective may be common across precincts or themes.</w:t>
      </w:r>
      <w:r w:rsidR="00DA5AF6">
        <w:t xml:space="preserve"> </w:t>
      </w:r>
      <w:r>
        <w:t>If precinct-based policies have common directions across all precincts, rather than repeating the direction for each precinct, create an ‘all precincts’ section to the policy to communicate the message more efficiently.</w:t>
      </w:r>
      <w:r w:rsidR="00DA5AF6">
        <w:t xml:space="preserve"> </w:t>
      </w:r>
      <w:r>
        <w:t>This approach also highlights the distinctive elements to the different precincts, strengthening the policy.</w:t>
      </w:r>
    </w:p>
    <w:p w14:paraId="489C75D2" w14:textId="47B353D3" w:rsidR="00754143" w:rsidRDefault="00AB2C0B" w:rsidP="002E55BC">
      <w:pPr>
        <w:pStyle w:val="BodyText1"/>
      </w:pPr>
      <w:r>
        <w:t>Policy should be written in plain English and must clearly articulate the outcome it seeks to achieve.</w:t>
      </w:r>
      <w:r w:rsidR="00DA5AF6">
        <w:t xml:space="preserve"> </w:t>
      </w:r>
      <w:r>
        <w:t xml:space="preserve">Avoid making statements that do not provide direction, such as contextual </w:t>
      </w:r>
      <w:r>
        <w:lastRenderedPageBreak/>
        <w:t>information or descriptions, high level strategies (that belong in the MPS) or portraying the challenges involved in resolving a particular issue.</w:t>
      </w:r>
      <w:r w:rsidR="00E41AB2">
        <w:t xml:space="preserve"> </w:t>
      </w:r>
    </w:p>
    <w:p w14:paraId="45A39500" w14:textId="64467BFE" w:rsidR="000514E9" w:rsidRDefault="000514E9" w:rsidP="002E55BC">
      <w:pPr>
        <w:pStyle w:val="BodyText1"/>
      </w:pPr>
      <w:r w:rsidRPr="0097135E">
        <w:t xml:space="preserve">Good policy requires a deliberate and precise choice of words, careful sentence construction to eliminate superfluous content and proper use of grammar. Clear and concise policy writing that is straight to the point and uses the fewest possible words without sacrificing meaning makes </w:t>
      </w:r>
      <w:r w:rsidRPr="0097135E">
        <w:rPr>
          <w:bCs/>
        </w:rPr>
        <w:t>writing</w:t>
      </w:r>
      <w:r w:rsidRPr="0097135E">
        <w:t xml:space="preserve"> more understandable to its audience.</w:t>
      </w:r>
    </w:p>
    <w:p w14:paraId="489C75D3" w14:textId="77777777" w:rsidR="00754143" w:rsidRDefault="00AB2C0B" w:rsidP="002E55BC">
      <w:pPr>
        <w:pStyle w:val="BodyText1"/>
      </w:pPr>
      <w:r>
        <w:t>Objectives and strategies are the key elements used to communicate the intent of a policy.</w:t>
      </w:r>
    </w:p>
    <w:p w14:paraId="489C75D4" w14:textId="77777777" w:rsidR="00754143" w:rsidRDefault="00AB2C0B" w:rsidP="00BA0BD1">
      <w:pPr>
        <w:pStyle w:val="DELWPbodyaftertablediagram"/>
      </w:pPr>
      <w:r w:rsidRPr="00BA0BD1">
        <w:t>Objectives</w:t>
      </w:r>
      <w:r w:rsidRPr="001D382F">
        <w:t xml:space="preserve"> are</w:t>
      </w:r>
      <w:r>
        <w:t xml:space="preserve"> a statement of what a policy seeks to achieve.</w:t>
      </w:r>
      <w:r w:rsidR="00DA5AF6">
        <w:t xml:space="preserve"> </w:t>
      </w:r>
      <w:r>
        <w:t>Objectives must be clear, concise and be able to be implemented via the planning scheme.</w:t>
      </w:r>
    </w:p>
    <w:p w14:paraId="489C75D5" w14:textId="77777777" w:rsidR="00754143" w:rsidRDefault="00AB2C0B" w:rsidP="00BA0BD1">
      <w:pPr>
        <w:pStyle w:val="DELWPbodyaftertablediagram"/>
      </w:pPr>
      <w:r w:rsidRPr="00BA0BD1">
        <w:t>Strategies</w:t>
      </w:r>
      <w:r>
        <w:t xml:space="preserve"> are statements that outline how an objective is to be achieved.</w:t>
      </w:r>
      <w:r w:rsidR="00DA5AF6">
        <w:t xml:space="preserve"> </w:t>
      </w:r>
      <w:r>
        <w:t>Strategies must be able to be implemented via a planning scheme.</w:t>
      </w:r>
    </w:p>
    <w:p w14:paraId="489C75D6" w14:textId="77777777" w:rsidR="00754143" w:rsidRDefault="00AB2C0B" w:rsidP="002E55BC">
      <w:pPr>
        <w:pStyle w:val="BodyText1"/>
      </w:pPr>
      <w:r>
        <w:t>At a local level, the MPS provides the ‘why’ of policy, an objective provides the ‘what’ and a strategy provides the ‘how’.</w:t>
      </w:r>
      <w:r w:rsidR="00DA5AF6">
        <w:t xml:space="preserve"> </w:t>
      </w:r>
      <w:r>
        <w:t>Policy guidelines are a more detailed form of ‘how’.</w:t>
      </w:r>
    </w:p>
    <w:p w14:paraId="489C75D7" w14:textId="7AA99655" w:rsidR="00754143" w:rsidRDefault="00AB2C0B" w:rsidP="002E55BC">
      <w:pPr>
        <w:pStyle w:val="BodyText1"/>
      </w:pPr>
      <w:proofErr w:type="gramStart"/>
      <w:r>
        <w:t>In order to</w:t>
      </w:r>
      <w:proofErr w:type="gramEnd"/>
      <w:r>
        <w:t xml:space="preserve"> be included in the PPF, a local policy must meet </w:t>
      </w:r>
      <w:r w:rsidR="003110AC">
        <w:t xml:space="preserve">suitability </w:t>
      </w:r>
      <w:r w:rsidR="00CF2B7A">
        <w:t>requirements</w:t>
      </w:r>
      <w:r>
        <w:t xml:space="preserve"> relating to its content and drafting.</w:t>
      </w:r>
      <w:r w:rsidR="00DA5AF6">
        <w:t xml:space="preserve"> </w:t>
      </w:r>
      <w:r>
        <w:t xml:space="preserve">These </w:t>
      </w:r>
      <w:r w:rsidR="00792BBF">
        <w:t>requir</w:t>
      </w:r>
      <w:r w:rsidR="00257413">
        <w:t>e</w:t>
      </w:r>
      <w:r w:rsidR="00792BBF">
        <w:t xml:space="preserve">ments </w:t>
      </w:r>
      <w:r>
        <w:t xml:space="preserve">are set out in </w:t>
      </w:r>
      <w:r w:rsidR="0074503B" w:rsidRPr="00BA0BD1">
        <w:t>Chapter</w:t>
      </w:r>
      <w:r w:rsidR="00B16545" w:rsidRPr="00BA0BD1">
        <w:t xml:space="preserve"> </w:t>
      </w:r>
      <w:r w:rsidR="00792BBF" w:rsidRPr="00BA0BD1">
        <w:t>6.4</w:t>
      </w:r>
      <w:r>
        <w:t>.</w:t>
      </w:r>
    </w:p>
    <w:p w14:paraId="489C75D8" w14:textId="68EF569B" w:rsidR="00754143" w:rsidRPr="00CC2EA5" w:rsidRDefault="00A95051" w:rsidP="004F6A20">
      <w:pPr>
        <w:pStyle w:val="Heading3"/>
      </w:pPr>
      <w:r>
        <w:t>6.4.2</w:t>
      </w:r>
      <w:r>
        <w:tab/>
      </w:r>
      <w:r w:rsidR="000B7EED">
        <w:tab/>
      </w:r>
      <w:r w:rsidR="00AB2C0B" w:rsidRPr="00CC2EA5">
        <w:t>Policy composition</w:t>
      </w:r>
    </w:p>
    <w:p w14:paraId="489C75D9" w14:textId="67B1CEF8" w:rsidR="00DC2411" w:rsidRDefault="00AB2C0B" w:rsidP="002E55BC">
      <w:pPr>
        <w:pStyle w:val="BodyText1"/>
      </w:pPr>
      <w:r>
        <w:t xml:space="preserve">This </w:t>
      </w:r>
      <w:r w:rsidR="0074503B">
        <w:t>chapter</w:t>
      </w:r>
      <w:r>
        <w:t xml:space="preserve"> explains how to populate content in </w:t>
      </w:r>
      <w:r w:rsidR="00092E0F" w:rsidRPr="00BA0BD1">
        <w:t>clauses</w:t>
      </w:r>
      <w:r w:rsidRPr="00BA0BD1">
        <w:t xml:space="preserve"> 10 to 19</w:t>
      </w:r>
      <w:r>
        <w:t>.</w:t>
      </w:r>
      <w:r w:rsidR="00DA5AF6">
        <w:t xml:space="preserve"> </w:t>
      </w:r>
      <w:r>
        <w:t xml:space="preserve">This complements the structure provided in Annexure 3 of the </w:t>
      </w:r>
      <w:r w:rsidRPr="00F8621E">
        <w:rPr>
          <w:i/>
          <w:iCs/>
        </w:rPr>
        <w:t>Ministerial Direction</w:t>
      </w:r>
      <w:r w:rsidR="00F8621E">
        <w:t xml:space="preserve"> -</w:t>
      </w:r>
      <w:r>
        <w:t xml:space="preserve"> </w:t>
      </w:r>
      <w:r w:rsidRPr="007E64CD">
        <w:rPr>
          <w:rStyle w:val="Emphasis"/>
        </w:rPr>
        <w:t>The Form and Content of Planning Schemes</w:t>
      </w:r>
      <w:r>
        <w:t>.</w:t>
      </w:r>
      <w:r w:rsidR="00DA5AF6">
        <w:t xml:space="preserve"> </w:t>
      </w:r>
      <w:r>
        <w:t>The table below sets out the policy elements that can be used for a policy theme by each tier of policy.</w:t>
      </w:r>
      <w:r w:rsidR="00DA5AF6">
        <w:t xml:space="preserve"> </w:t>
      </w:r>
      <w:r>
        <w:t xml:space="preserve">While not all policy elements need to be used, it is not possible to </w:t>
      </w:r>
      <w:r w:rsidR="002E496D">
        <w:t>add additional policy elements.</w:t>
      </w:r>
    </w:p>
    <w:p w14:paraId="489C75DA" w14:textId="77777777" w:rsidR="002E496D" w:rsidRPr="001838B1" w:rsidRDefault="002E496D" w:rsidP="005510AA">
      <w:pPr>
        <w:pStyle w:val="Tablecaption"/>
      </w:pPr>
      <w:r w:rsidRPr="001838B1">
        <w:t>Use of policy elements</w:t>
      </w:r>
    </w:p>
    <w:tbl>
      <w:tblPr>
        <w:tblStyle w:val="TableGrid"/>
        <w:tblW w:w="9180" w:type="dxa"/>
        <w:tblInd w:w="0" w:type="dxa"/>
        <w:tblLayout w:type="fixed"/>
        <w:tblLook w:val="00A0" w:firstRow="1" w:lastRow="0" w:firstColumn="1" w:lastColumn="0" w:noHBand="0" w:noVBand="0"/>
      </w:tblPr>
      <w:tblGrid>
        <w:gridCol w:w="2131"/>
        <w:gridCol w:w="2736"/>
        <w:gridCol w:w="1424"/>
        <w:gridCol w:w="1445"/>
        <w:gridCol w:w="1444"/>
      </w:tblGrid>
      <w:tr w:rsidR="00DC2411" w:rsidRPr="00DF371F" w14:paraId="489C75E0" w14:textId="77777777" w:rsidTr="00966D5A">
        <w:trPr>
          <w:cnfStyle w:val="100000000000" w:firstRow="1" w:lastRow="0" w:firstColumn="0" w:lastColumn="0" w:oddVBand="0" w:evenVBand="0" w:oddHBand="0" w:evenHBand="0" w:firstRowFirstColumn="0" w:firstRowLastColumn="0" w:lastRowFirstColumn="0" w:lastRowLastColumn="0"/>
          <w:tblHeader/>
        </w:trPr>
        <w:tc>
          <w:tcPr>
            <w:tcW w:w="2131" w:type="dxa"/>
            <w:tcBorders>
              <w:left w:val="nil"/>
            </w:tcBorders>
          </w:tcPr>
          <w:p w14:paraId="489C75DB" w14:textId="77777777" w:rsidR="00DC2411" w:rsidRPr="00F85646" w:rsidRDefault="001838B1" w:rsidP="00966D5A">
            <w:pPr>
              <w:pStyle w:val="Tablecolhead"/>
            </w:pPr>
            <w:r w:rsidRPr="00F85646">
              <w:t>Policy Element</w:t>
            </w:r>
          </w:p>
        </w:tc>
        <w:tc>
          <w:tcPr>
            <w:tcW w:w="2736" w:type="dxa"/>
          </w:tcPr>
          <w:p w14:paraId="489C75DC" w14:textId="77777777" w:rsidR="00DC2411" w:rsidRPr="00F85646" w:rsidRDefault="001838B1" w:rsidP="00966D5A">
            <w:pPr>
              <w:pStyle w:val="Tablecolhead"/>
            </w:pPr>
            <w:r w:rsidRPr="00F85646">
              <w:t>Function</w:t>
            </w:r>
          </w:p>
        </w:tc>
        <w:tc>
          <w:tcPr>
            <w:tcW w:w="1424" w:type="dxa"/>
            <w:tcBorders>
              <w:bottom w:val="single" w:sz="4" w:space="0" w:color="00828D"/>
            </w:tcBorders>
          </w:tcPr>
          <w:p w14:paraId="489C75DD" w14:textId="77777777" w:rsidR="00DC2411" w:rsidRPr="00F85646" w:rsidRDefault="001838B1" w:rsidP="00966D5A">
            <w:pPr>
              <w:pStyle w:val="Tablecolhead"/>
            </w:pPr>
            <w:r w:rsidRPr="00F85646">
              <w:t>State</w:t>
            </w:r>
          </w:p>
        </w:tc>
        <w:tc>
          <w:tcPr>
            <w:tcW w:w="1445" w:type="dxa"/>
            <w:tcBorders>
              <w:bottom w:val="single" w:sz="4" w:space="0" w:color="00828D"/>
            </w:tcBorders>
          </w:tcPr>
          <w:p w14:paraId="489C75DE" w14:textId="77777777" w:rsidR="00DC2411" w:rsidRPr="00F85646" w:rsidRDefault="001838B1" w:rsidP="00966D5A">
            <w:pPr>
              <w:pStyle w:val="Tablecolhead"/>
            </w:pPr>
            <w:r w:rsidRPr="00F85646">
              <w:t xml:space="preserve">Regional </w:t>
            </w:r>
            <w:r w:rsidRPr="00F85646">
              <w:br/>
            </w:r>
            <w:r w:rsidRPr="00966D5A">
              <w:rPr>
                <w:b w:val="0"/>
                <w:bCs/>
                <w:sz w:val="18"/>
                <w:szCs w:val="18"/>
              </w:rPr>
              <w:t>(if included)</w:t>
            </w:r>
          </w:p>
        </w:tc>
        <w:tc>
          <w:tcPr>
            <w:tcW w:w="1444" w:type="dxa"/>
            <w:tcBorders>
              <w:bottom w:val="single" w:sz="4" w:space="0" w:color="00828D"/>
              <w:right w:val="nil"/>
            </w:tcBorders>
          </w:tcPr>
          <w:p w14:paraId="489C75DF" w14:textId="77777777" w:rsidR="00DC2411" w:rsidRPr="00F85646" w:rsidRDefault="001838B1" w:rsidP="00966D5A">
            <w:pPr>
              <w:pStyle w:val="Tablecolhead"/>
            </w:pPr>
            <w:r w:rsidRPr="00F85646">
              <w:t xml:space="preserve">Local </w:t>
            </w:r>
            <w:r w:rsidRPr="00F85646">
              <w:br/>
            </w:r>
            <w:r w:rsidRPr="00966D5A">
              <w:rPr>
                <w:b w:val="0"/>
                <w:bCs/>
                <w:sz w:val="18"/>
                <w:szCs w:val="18"/>
              </w:rPr>
              <w:t>(if included)</w:t>
            </w:r>
          </w:p>
        </w:tc>
      </w:tr>
      <w:tr w:rsidR="00DC2411" w:rsidRPr="00DF371F" w14:paraId="489C75E6" w14:textId="77777777" w:rsidTr="009B53DE">
        <w:trPr>
          <w:trHeight w:val="510"/>
        </w:trPr>
        <w:tc>
          <w:tcPr>
            <w:tcW w:w="2131" w:type="dxa"/>
            <w:tcBorders>
              <w:left w:val="nil"/>
            </w:tcBorders>
          </w:tcPr>
          <w:p w14:paraId="489C75E1" w14:textId="77777777" w:rsidR="00DC2411" w:rsidRPr="00DF371F" w:rsidRDefault="00AB2C0B" w:rsidP="00D02070">
            <w:pPr>
              <w:pStyle w:val="Tablebodybold"/>
            </w:pPr>
            <w:r w:rsidRPr="00DF371F">
              <w:t>Title</w:t>
            </w:r>
          </w:p>
        </w:tc>
        <w:tc>
          <w:tcPr>
            <w:tcW w:w="2736" w:type="dxa"/>
          </w:tcPr>
          <w:p w14:paraId="489C75E2" w14:textId="77777777" w:rsidR="00DC2411" w:rsidRPr="00DF371F" w:rsidRDefault="00AB2C0B" w:rsidP="00D02070">
            <w:pPr>
              <w:pStyle w:val="Tablebody"/>
            </w:pPr>
            <w:r w:rsidRPr="00DF371F">
              <w:t>Identifies the policy</w:t>
            </w:r>
          </w:p>
        </w:tc>
        <w:tc>
          <w:tcPr>
            <w:tcW w:w="1424" w:type="dxa"/>
            <w:shd w:val="clear" w:color="auto" w:fill="D9ECEA" w:themeFill="accent2"/>
          </w:tcPr>
          <w:p w14:paraId="489C75E3" w14:textId="77777777" w:rsidR="00DC2411" w:rsidRPr="00DF371F" w:rsidRDefault="00AB2C0B" w:rsidP="00D02070">
            <w:pPr>
              <w:pStyle w:val="Tablebody"/>
              <w:rPr>
                <w:rStyle w:val="Strong"/>
              </w:rPr>
            </w:pPr>
            <w:r w:rsidRPr="00DF371F">
              <w:rPr>
                <w:rStyle w:val="Strong"/>
              </w:rPr>
              <w:t>Must be included</w:t>
            </w:r>
          </w:p>
        </w:tc>
        <w:tc>
          <w:tcPr>
            <w:tcW w:w="1445" w:type="dxa"/>
            <w:shd w:val="clear" w:color="auto" w:fill="D9ECEA" w:themeFill="accent2"/>
          </w:tcPr>
          <w:p w14:paraId="489C75E4" w14:textId="77777777" w:rsidR="00DC2411" w:rsidRPr="00DF371F" w:rsidRDefault="00AB2C0B" w:rsidP="00D02070">
            <w:pPr>
              <w:pStyle w:val="Tablebody"/>
              <w:rPr>
                <w:rStyle w:val="Strong"/>
              </w:rPr>
            </w:pPr>
            <w:r w:rsidRPr="00DF371F">
              <w:rPr>
                <w:rStyle w:val="Strong"/>
              </w:rPr>
              <w:t>Must be included</w:t>
            </w:r>
          </w:p>
        </w:tc>
        <w:tc>
          <w:tcPr>
            <w:tcW w:w="1444" w:type="dxa"/>
            <w:tcBorders>
              <w:right w:val="nil"/>
            </w:tcBorders>
            <w:shd w:val="clear" w:color="auto" w:fill="D9ECEA" w:themeFill="accent2"/>
          </w:tcPr>
          <w:p w14:paraId="489C75E5" w14:textId="77777777" w:rsidR="00DC2411" w:rsidRPr="00DF371F" w:rsidRDefault="00AB2C0B" w:rsidP="00D02070">
            <w:pPr>
              <w:pStyle w:val="Tablebody"/>
              <w:rPr>
                <w:rStyle w:val="Strong"/>
              </w:rPr>
            </w:pPr>
            <w:r w:rsidRPr="00DF371F">
              <w:rPr>
                <w:rStyle w:val="Strong"/>
              </w:rPr>
              <w:t>Must be included</w:t>
            </w:r>
          </w:p>
        </w:tc>
      </w:tr>
      <w:tr w:rsidR="00DC2411" w:rsidRPr="00DF371F" w14:paraId="489C75EC" w14:textId="77777777" w:rsidTr="009B53DE">
        <w:trPr>
          <w:trHeight w:val="510"/>
        </w:trPr>
        <w:tc>
          <w:tcPr>
            <w:tcW w:w="2131" w:type="dxa"/>
            <w:tcBorders>
              <w:left w:val="nil"/>
            </w:tcBorders>
          </w:tcPr>
          <w:p w14:paraId="489C75E7" w14:textId="77777777" w:rsidR="00DC2411" w:rsidRPr="00DF371F" w:rsidRDefault="00AB2C0B" w:rsidP="00D02070">
            <w:pPr>
              <w:pStyle w:val="Tablebodybold"/>
            </w:pPr>
            <w:r w:rsidRPr="00DF371F">
              <w:t>Policy application</w:t>
            </w:r>
          </w:p>
        </w:tc>
        <w:tc>
          <w:tcPr>
            <w:tcW w:w="2736" w:type="dxa"/>
          </w:tcPr>
          <w:p w14:paraId="489C75E8" w14:textId="77777777" w:rsidR="00DC2411" w:rsidRPr="00DF371F" w:rsidRDefault="00AB2C0B" w:rsidP="00D02070">
            <w:pPr>
              <w:pStyle w:val="Tablebody"/>
            </w:pPr>
            <w:r w:rsidRPr="00DF371F">
              <w:t xml:space="preserve">Sets out </w:t>
            </w:r>
            <w:r w:rsidRPr="00DF371F">
              <w:rPr>
                <w:rStyle w:val="Strongitalic"/>
              </w:rPr>
              <w:t>where</w:t>
            </w:r>
            <w:r w:rsidRPr="00DF371F">
              <w:t xml:space="preserve"> a policy is applicable</w:t>
            </w:r>
          </w:p>
        </w:tc>
        <w:tc>
          <w:tcPr>
            <w:tcW w:w="1424" w:type="dxa"/>
            <w:tcBorders>
              <w:bottom w:val="single" w:sz="4" w:space="0" w:color="00828D"/>
            </w:tcBorders>
          </w:tcPr>
          <w:p w14:paraId="489C75E9" w14:textId="77777777" w:rsidR="00DC2411" w:rsidRPr="00DF371F" w:rsidRDefault="00AB2C0B" w:rsidP="00D02070">
            <w:pPr>
              <w:pStyle w:val="Tablebody"/>
            </w:pPr>
            <w:r w:rsidRPr="00DF371F">
              <w:t>May be included</w:t>
            </w:r>
          </w:p>
        </w:tc>
        <w:tc>
          <w:tcPr>
            <w:tcW w:w="1445" w:type="dxa"/>
          </w:tcPr>
          <w:p w14:paraId="489C75EA" w14:textId="77777777" w:rsidR="00DC2411" w:rsidRPr="00DF371F" w:rsidRDefault="00AB2C0B" w:rsidP="00D02070">
            <w:pPr>
              <w:pStyle w:val="Tablebody"/>
            </w:pPr>
            <w:r w:rsidRPr="00DF371F">
              <w:t>May be included</w:t>
            </w:r>
          </w:p>
        </w:tc>
        <w:tc>
          <w:tcPr>
            <w:tcW w:w="1444" w:type="dxa"/>
            <w:tcBorders>
              <w:right w:val="nil"/>
            </w:tcBorders>
          </w:tcPr>
          <w:p w14:paraId="489C75EB" w14:textId="77777777" w:rsidR="00DC2411" w:rsidRPr="00DF371F" w:rsidRDefault="00AB2C0B" w:rsidP="00D02070">
            <w:pPr>
              <w:pStyle w:val="Tablebody"/>
            </w:pPr>
            <w:r w:rsidRPr="00DF371F">
              <w:t>May be included</w:t>
            </w:r>
          </w:p>
        </w:tc>
      </w:tr>
      <w:tr w:rsidR="00DC2411" w:rsidRPr="00DF371F" w14:paraId="489C75F2" w14:textId="77777777" w:rsidTr="009B53DE">
        <w:trPr>
          <w:trHeight w:val="510"/>
        </w:trPr>
        <w:tc>
          <w:tcPr>
            <w:tcW w:w="2131" w:type="dxa"/>
            <w:tcBorders>
              <w:left w:val="nil"/>
            </w:tcBorders>
          </w:tcPr>
          <w:p w14:paraId="489C75ED" w14:textId="77777777" w:rsidR="00DC2411" w:rsidRPr="00DF371F" w:rsidRDefault="00AB2C0B" w:rsidP="00D02070">
            <w:pPr>
              <w:pStyle w:val="Tablebodybold"/>
            </w:pPr>
            <w:r w:rsidRPr="00DF371F">
              <w:t>Objective</w:t>
            </w:r>
          </w:p>
        </w:tc>
        <w:tc>
          <w:tcPr>
            <w:tcW w:w="2736" w:type="dxa"/>
          </w:tcPr>
          <w:p w14:paraId="489C75EE" w14:textId="77777777" w:rsidR="00DC2411" w:rsidRPr="00DF371F" w:rsidRDefault="00AB2C0B" w:rsidP="00D02070">
            <w:pPr>
              <w:pStyle w:val="Tablebody"/>
            </w:pPr>
            <w:r w:rsidRPr="00DF371F">
              <w:t xml:space="preserve">Sets out </w:t>
            </w:r>
            <w:r w:rsidRPr="00DF371F">
              <w:rPr>
                <w:rStyle w:val="Strongitalic"/>
              </w:rPr>
              <w:t>what</w:t>
            </w:r>
            <w:r w:rsidR="00136C42">
              <w:t xml:space="preserve"> the</w:t>
            </w:r>
            <w:r w:rsidRPr="00DF371F">
              <w:t xml:space="preserve"> aim of </w:t>
            </w:r>
            <w:r w:rsidR="00136C42">
              <w:t>a</w:t>
            </w:r>
            <w:r w:rsidRPr="00DF371F">
              <w:t xml:space="preserve"> policy is</w:t>
            </w:r>
          </w:p>
        </w:tc>
        <w:tc>
          <w:tcPr>
            <w:tcW w:w="1424" w:type="dxa"/>
            <w:tcBorders>
              <w:bottom w:val="single" w:sz="4" w:space="0" w:color="00828D"/>
            </w:tcBorders>
            <w:shd w:val="clear" w:color="auto" w:fill="D9ECEA" w:themeFill="accent2"/>
          </w:tcPr>
          <w:p w14:paraId="489C75EF" w14:textId="77777777" w:rsidR="00DC2411" w:rsidRPr="00DF371F" w:rsidRDefault="00AB2C0B" w:rsidP="00D02070">
            <w:pPr>
              <w:pStyle w:val="Tablebody"/>
              <w:rPr>
                <w:rStyle w:val="Strong"/>
              </w:rPr>
            </w:pPr>
            <w:r w:rsidRPr="00DF371F">
              <w:rPr>
                <w:rStyle w:val="Strong"/>
              </w:rPr>
              <w:t>Must be included</w:t>
            </w:r>
          </w:p>
        </w:tc>
        <w:tc>
          <w:tcPr>
            <w:tcW w:w="1445" w:type="dxa"/>
            <w:tcBorders>
              <w:bottom w:val="single" w:sz="4" w:space="0" w:color="00828D"/>
            </w:tcBorders>
          </w:tcPr>
          <w:p w14:paraId="489C75F0" w14:textId="77777777" w:rsidR="00DC2411" w:rsidRPr="00DF371F" w:rsidRDefault="00AB2C0B" w:rsidP="00D02070">
            <w:pPr>
              <w:pStyle w:val="Tablebody"/>
            </w:pPr>
            <w:r w:rsidRPr="00DF371F">
              <w:t>May be included</w:t>
            </w:r>
          </w:p>
        </w:tc>
        <w:tc>
          <w:tcPr>
            <w:tcW w:w="1444" w:type="dxa"/>
            <w:tcBorders>
              <w:bottom w:val="single" w:sz="4" w:space="0" w:color="00828D"/>
              <w:right w:val="nil"/>
            </w:tcBorders>
          </w:tcPr>
          <w:p w14:paraId="489C75F1" w14:textId="77777777" w:rsidR="00DC2411" w:rsidRPr="00DF371F" w:rsidRDefault="00AB2C0B" w:rsidP="00D02070">
            <w:pPr>
              <w:pStyle w:val="Tablebody"/>
            </w:pPr>
            <w:r w:rsidRPr="00DF371F">
              <w:t>May be included</w:t>
            </w:r>
          </w:p>
        </w:tc>
      </w:tr>
      <w:tr w:rsidR="00DC2411" w:rsidRPr="00DF371F" w14:paraId="489C75F8" w14:textId="77777777" w:rsidTr="009B53DE">
        <w:trPr>
          <w:trHeight w:val="510"/>
        </w:trPr>
        <w:tc>
          <w:tcPr>
            <w:tcW w:w="2131" w:type="dxa"/>
            <w:tcBorders>
              <w:left w:val="nil"/>
            </w:tcBorders>
          </w:tcPr>
          <w:p w14:paraId="489C75F3" w14:textId="77777777" w:rsidR="00DC2411" w:rsidRPr="00DF371F" w:rsidRDefault="00AB2C0B" w:rsidP="00D02070">
            <w:pPr>
              <w:pStyle w:val="Tablebodybold"/>
            </w:pPr>
            <w:r w:rsidRPr="00DF371F">
              <w:t>Strategies</w:t>
            </w:r>
          </w:p>
        </w:tc>
        <w:tc>
          <w:tcPr>
            <w:tcW w:w="2736" w:type="dxa"/>
          </w:tcPr>
          <w:p w14:paraId="489C75F4" w14:textId="77777777" w:rsidR="00DC2411" w:rsidRPr="00DF371F" w:rsidRDefault="00AB2C0B" w:rsidP="00D02070">
            <w:pPr>
              <w:pStyle w:val="Tablebody"/>
            </w:pPr>
            <w:r w:rsidRPr="00DF371F">
              <w:t xml:space="preserve">Specifies </w:t>
            </w:r>
            <w:r w:rsidRPr="00DF371F">
              <w:rPr>
                <w:rStyle w:val="Strongitalic"/>
              </w:rPr>
              <w:t>how</w:t>
            </w:r>
            <w:r w:rsidRPr="00DF371F">
              <w:t xml:space="preserve"> a policy is to be achieved</w:t>
            </w:r>
          </w:p>
        </w:tc>
        <w:tc>
          <w:tcPr>
            <w:tcW w:w="1424" w:type="dxa"/>
            <w:shd w:val="clear" w:color="auto" w:fill="D9ECEA" w:themeFill="accent2"/>
          </w:tcPr>
          <w:p w14:paraId="489C75F5" w14:textId="77777777" w:rsidR="00DC2411" w:rsidRPr="00DF371F" w:rsidRDefault="00AB2C0B" w:rsidP="00D02070">
            <w:pPr>
              <w:pStyle w:val="Tablebody"/>
              <w:rPr>
                <w:rStyle w:val="Strong"/>
              </w:rPr>
            </w:pPr>
            <w:r w:rsidRPr="00DF371F">
              <w:rPr>
                <w:rStyle w:val="Strong"/>
              </w:rPr>
              <w:t>Must be included</w:t>
            </w:r>
          </w:p>
        </w:tc>
        <w:tc>
          <w:tcPr>
            <w:tcW w:w="1445" w:type="dxa"/>
            <w:shd w:val="clear" w:color="auto" w:fill="D9ECEA" w:themeFill="accent2"/>
          </w:tcPr>
          <w:p w14:paraId="489C75F6" w14:textId="77777777" w:rsidR="00DC2411" w:rsidRPr="00DF371F" w:rsidRDefault="00AB2C0B" w:rsidP="00D02070">
            <w:pPr>
              <w:pStyle w:val="Tablebody"/>
              <w:rPr>
                <w:rStyle w:val="Strong"/>
              </w:rPr>
            </w:pPr>
            <w:r w:rsidRPr="00DF371F">
              <w:rPr>
                <w:rStyle w:val="Strong"/>
              </w:rPr>
              <w:t>Must be included</w:t>
            </w:r>
          </w:p>
        </w:tc>
        <w:tc>
          <w:tcPr>
            <w:tcW w:w="1444" w:type="dxa"/>
            <w:tcBorders>
              <w:right w:val="nil"/>
            </w:tcBorders>
            <w:shd w:val="clear" w:color="auto" w:fill="D9ECEA" w:themeFill="accent2"/>
          </w:tcPr>
          <w:p w14:paraId="489C75F7" w14:textId="77777777" w:rsidR="00DC2411" w:rsidRPr="00DF371F" w:rsidRDefault="00AB2C0B" w:rsidP="00D02070">
            <w:pPr>
              <w:pStyle w:val="Tablebody"/>
              <w:rPr>
                <w:rStyle w:val="Strong"/>
              </w:rPr>
            </w:pPr>
            <w:r w:rsidRPr="00DF371F">
              <w:rPr>
                <w:rStyle w:val="Strong"/>
              </w:rPr>
              <w:t>Must be included</w:t>
            </w:r>
          </w:p>
        </w:tc>
      </w:tr>
      <w:tr w:rsidR="00DC2411" w:rsidRPr="00DF371F" w14:paraId="489C75FE" w14:textId="77777777" w:rsidTr="009B53DE">
        <w:trPr>
          <w:trHeight w:val="510"/>
        </w:trPr>
        <w:tc>
          <w:tcPr>
            <w:tcW w:w="2131" w:type="dxa"/>
            <w:tcBorders>
              <w:left w:val="nil"/>
            </w:tcBorders>
          </w:tcPr>
          <w:p w14:paraId="489C75F9" w14:textId="77777777" w:rsidR="00DC2411" w:rsidRPr="00DF371F" w:rsidRDefault="00AB2C0B" w:rsidP="00D02070">
            <w:pPr>
              <w:pStyle w:val="Tablebodybold"/>
            </w:pPr>
            <w:r w:rsidRPr="00DF371F">
              <w:t>Policy guidelines</w:t>
            </w:r>
          </w:p>
        </w:tc>
        <w:tc>
          <w:tcPr>
            <w:tcW w:w="2736" w:type="dxa"/>
          </w:tcPr>
          <w:p w14:paraId="489C75FA" w14:textId="77777777" w:rsidR="00DC2411" w:rsidRPr="00DF371F" w:rsidRDefault="00AB2C0B" w:rsidP="00D02070">
            <w:pPr>
              <w:pStyle w:val="Tablebody"/>
            </w:pPr>
            <w:r w:rsidRPr="00DF371F">
              <w:t xml:space="preserve">Provides detailed guidance on </w:t>
            </w:r>
            <w:r w:rsidRPr="00DF371F">
              <w:rPr>
                <w:rStyle w:val="Strongitalic"/>
              </w:rPr>
              <w:t>how</w:t>
            </w:r>
            <w:r w:rsidRPr="00DF371F">
              <w:t xml:space="preserve"> a policy may be achieved</w:t>
            </w:r>
          </w:p>
        </w:tc>
        <w:tc>
          <w:tcPr>
            <w:tcW w:w="1424" w:type="dxa"/>
          </w:tcPr>
          <w:p w14:paraId="489C75FB" w14:textId="77777777" w:rsidR="00DC2411" w:rsidRPr="00DF371F" w:rsidRDefault="00AB2C0B" w:rsidP="00D02070">
            <w:pPr>
              <w:pStyle w:val="Tablebody"/>
            </w:pPr>
            <w:r w:rsidRPr="00DF371F">
              <w:t>May be included</w:t>
            </w:r>
          </w:p>
        </w:tc>
        <w:tc>
          <w:tcPr>
            <w:tcW w:w="1445" w:type="dxa"/>
          </w:tcPr>
          <w:p w14:paraId="489C75FC" w14:textId="77777777" w:rsidR="00DC2411" w:rsidRPr="00DF371F" w:rsidRDefault="00AB2C0B" w:rsidP="00D02070">
            <w:pPr>
              <w:pStyle w:val="Tablebody"/>
            </w:pPr>
            <w:r w:rsidRPr="00DF371F">
              <w:t>May be included</w:t>
            </w:r>
          </w:p>
        </w:tc>
        <w:tc>
          <w:tcPr>
            <w:tcW w:w="1444" w:type="dxa"/>
            <w:tcBorders>
              <w:right w:val="nil"/>
            </w:tcBorders>
          </w:tcPr>
          <w:p w14:paraId="489C75FD" w14:textId="77777777" w:rsidR="00DC2411" w:rsidRPr="00DF371F" w:rsidRDefault="00AB2C0B" w:rsidP="00D02070">
            <w:pPr>
              <w:pStyle w:val="Tablebody"/>
            </w:pPr>
            <w:r w:rsidRPr="00DF371F">
              <w:t>May be included</w:t>
            </w:r>
          </w:p>
        </w:tc>
      </w:tr>
      <w:tr w:rsidR="00DC2411" w:rsidRPr="00DF371F" w14:paraId="489C7604" w14:textId="77777777" w:rsidTr="009B53DE">
        <w:trPr>
          <w:trHeight w:val="510"/>
        </w:trPr>
        <w:tc>
          <w:tcPr>
            <w:tcW w:w="2131" w:type="dxa"/>
            <w:tcBorders>
              <w:left w:val="nil"/>
            </w:tcBorders>
          </w:tcPr>
          <w:p w14:paraId="489C75FF" w14:textId="77777777" w:rsidR="00DC2411" w:rsidRPr="00DF371F" w:rsidRDefault="00AB2C0B" w:rsidP="00D02070">
            <w:pPr>
              <w:pStyle w:val="Tablebodybold"/>
            </w:pPr>
            <w:r w:rsidRPr="00DF371F">
              <w:t>Policy documents</w:t>
            </w:r>
          </w:p>
        </w:tc>
        <w:tc>
          <w:tcPr>
            <w:tcW w:w="2736" w:type="dxa"/>
          </w:tcPr>
          <w:p w14:paraId="489C7600" w14:textId="77777777" w:rsidR="00DC2411" w:rsidRPr="00DF371F" w:rsidRDefault="00AB2C0B" w:rsidP="00D02070">
            <w:pPr>
              <w:pStyle w:val="Tablebody"/>
            </w:pPr>
            <w:r w:rsidRPr="00DF371F">
              <w:t>Lists directly relevant incorporated, background documents</w:t>
            </w:r>
          </w:p>
        </w:tc>
        <w:tc>
          <w:tcPr>
            <w:tcW w:w="1424" w:type="dxa"/>
          </w:tcPr>
          <w:p w14:paraId="489C7601" w14:textId="77777777" w:rsidR="00DC2411" w:rsidRPr="00DF371F" w:rsidRDefault="00AB2C0B" w:rsidP="00D02070">
            <w:pPr>
              <w:pStyle w:val="Tablebody"/>
            </w:pPr>
            <w:r w:rsidRPr="00DF371F">
              <w:t>May be included</w:t>
            </w:r>
          </w:p>
        </w:tc>
        <w:tc>
          <w:tcPr>
            <w:tcW w:w="1445" w:type="dxa"/>
          </w:tcPr>
          <w:p w14:paraId="489C7602" w14:textId="77777777" w:rsidR="00DC2411" w:rsidRPr="00DF371F" w:rsidRDefault="00AB2C0B" w:rsidP="00D02070">
            <w:pPr>
              <w:pStyle w:val="Tablebody"/>
            </w:pPr>
            <w:r w:rsidRPr="00DF371F">
              <w:t>May be included</w:t>
            </w:r>
          </w:p>
        </w:tc>
        <w:tc>
          <w:tcPr>
            <w:tcW w:w="1444" w:type="dxa"/>
            <w:tcBorders>
              <w:right w:val="nil"/>
            </w:tcBorders>
          </w:tcPr>
          <w:p w14:paraId="489C7603" w14:textId="77777777" w:rsidR="00DC2411" w:rsidRPr="00DF371F" w:rsidRDefault="00AB2C0B" w:rsidP="00D02070">
            <w:pPr>
              <w:pStyle w:val="Tablebody"/>
            </w:pPr>
            <w:r w:rsidRPr="00DF371F">
              <w:t>May be included</w:t>
            </w:r>
          </w:p>
        </w:tc>
      </w:tr>
      <w:tr w:rsidR="00DC2411" w:rsidRPr="00DF371F" w14:paraId="489C760A" w14:textId="77777777" w:rsidTr="009B53DE">
        <w:trPr>
          <w:trHeight w:val="510"/>
        </w:trPr>
        <w:tc>
          <w:tcPr>
            <w:tcW w:w="2131" w:type="dxa"/>
            <w:tcBorders>
              <w:left w:val="nil"/>
            </w:tcBorders>
          </w:tcPr>
          <w:p w14:paraId="489C7605" w14:textId="77777777" w:rsidR="00DC2411" w:rsidRPr="00DF371F" w:rsidRDefault="00AB2C0B" w:rsidP="00D02070">
            <w:pPr>
              <w:pStyle w:val="Tablebodybold"/>
            </w:pPr>
            <w:r w:rsidRPr="00DF371F">
              <w:lastRenderedPageBreak/>
              <w:t>Maps</w:t>
            </w:r>
          </w:p>
        </w:tc>
        <w:tc>
          <w:tcPr>
            <w:tcW w:w="2736" w:type="dxa"/>
          </w:tcPr>
          <w:p w14:paraId="489C7606" w14:textId="77777777" w:rsidR="00DC2411" w:rsidRPr="00DF371F" w:rsidRDefault="00AB2C0B" w:rsidP="00D02070">
            <w:pPr>
              <w:pStyle w:val="Tablebody"/>
            </w:pPr>
            <w:r w:rsidRPr="00DF371F">
              <w:t>Provides a visual expression of policy or sets out where a policy applies</w:t>
            </w:r>
          </w:p>
        </w:tc>
        <w:tc>
          <w:tcPr>
            <w:tcW w:w="1424" w:type="dxa"/>
          </w:tcPr>
          <w:p w14:paraId="489C7607" w14:textId="77777777" w:rsidR="00DC2411" w:rsidRPr="00DF371F" w:rsidRDefault="00AB2C0B" w:rsidP="00D02070">
            <w:pPr>
              <w:pStyle w:val="Tablebody"/>
            </w:pPr>
            <w:r w:rsidRPr="00DF371F">
              <w:t>May be included</w:t>
            </w:r>
          </w:p>
        </w:tc>
        <w:tc>
          <w:tcPr>
            <w:tcW w:w="1445" w:type="dxa"/>
          </w:tcPr>
          <w:p w14:paraId="489C7608" w14:textId="77777777" w:rsidR="00DC2411" w:rsidRPr="00DF371F" w:rsidRDefault="00AB2C0B" w:rsidP="00D02070">
            <w:pPr>
              <w:pStyle w:val="Tablebody"/>
            </w:pPr>
            <w:r w:rsidRPr="00DF371F">
              <w:t>May be included</w:t>
            </w:r>
          </w:p>
        </w:tc>
        <w:tc>
          <w:tcPr>
            <w:tcW w:w="1444" w:type="dxa"/>
            <w:tcBorders>
              <w:right w:val="nil"/>
            </w:tcBorders>
          </w:tcPr>
          <w:p w14:paraId="489C7609" w14:textId="77777777" w:rsidR="00DC2411" w:rsidRPr="00DF371F" w:rsidRDefault="00AB2C0B" w:rsidP="00D02070">
            <w:pPr>
              <w:pStyle w:val="Tablebody"/>
            </w:pPr>
            <w:r w:rsidRPr="00DF371F">
              <w:t>May be included</w:t>
            </w:r>
          </w:p>
        </w:tc>
      </w:tr>
    </w:tbl>
    <w:p w14:paraId="489C760B" w14:textId="77777777" w:rsidR="00754143" w:rsidRDefault="00AB2C0B" w:rsidP="002E55BC">
      <w:pPr>
        <w:pStyle w:val="DELWPbodyaftertablediagram"/>
      </w:pPr>
      <w:r>
        <w:t>Where needed:</w:t>
      </w:r>
    </w:p>
    <w:p w14:paraId="489C760C" w14:textId="77777777" w:rsidR="00DC2411" w:rsidRDefault="00AB2C0B" w:rsidP="00723A0D">
      <w:pPr>
        <w:pStyle w:val="DELWPbullet1"/>
      </w:pPr>
      <w:r>
        <w:t>more than one regional or local policy may be included under a PPF theme</w:t>
      </w:r>
    </w:p>
    <w:p w14:paraId="489C760D" w14:textId="77777777" w:rsidR="00CB429B" w:rsidRDefault="00AB2C0B" w:rsidP="00723A0D">
      <w:pPr>
        <w:pStyle w:val="DELWPbullet1"/>
      </w:pPr>
      <w:r>
        <w:t>more than one objective may be included for a local policy.</w:t>
      </w:r>
    </w:p>
    <w:p w14:paraId="489C760E" w14:textId="77777777" w:rsidR="00DC2411" w:rsidRDefault="00AB2C0B" w:rsidP="002123AF">
      <w:pPr>
        <w:pStyle w:val="Heading4"/>
      </w:pPr>
      <w:r>
        <w:t>Policy title</w:t>
      </w:r>
    </w:p>
    <w:p w14:paraId="489C760F" w14:textId="77777777" w:rsidR="00754143" w:rsidRDefault="00AB2C0B" w:rsidP="002E55BC">
      <w:pPr>
        <w:pStyle w:val="BodyText1"/>
      </w:pPr>
      <w:r>
        <w:t>All policies must have a title that identifies the policy.</w:t>
      </w:r>
      <w:r w:rsidR="00DA5AF6">
        <w:t xml:space="preserve"> </w:t>
      </w:r>
      <w:r>
        <w:t xml:space="preserve">The title should be short but descriptive, such as ‘East Myrtle neighbourhood character’ or ‘Shadow Bay </w:t>
      </w:r>
      <w:proofErr w:type="gramStart"/>
      <w:r>
        <w:t>gateway built</w:t>
      </w:r>
      <w:proofErr w:type="gramEnd"/>
      <w:r>
        <w:t xml:space="preserve"> form design’.</w:t>
      </w:r>
    </w:p>
    <w:p w14:paraId="489C7610" w14:textId="77777777" w:rsidR="00754143" w:rsidRDefault="00AB2C0B" w:rsidP="002E55BC">
      <w:pPr>
        <w:pStyle w:val="BodyText1"/>
      </w:pPr>
      <w:r>
        <w:t xml:space="preserve">The word 'policy' must not be </w:t>
      </w:r>
      <w:proofErr w:type="gramStart"/>
      <w:r>
        <w:t>included</w:t>
      </w:r>
      <w:proofErr w:type="gramEnd"/>
      <w:r>
        <w:t xml:space="preserve"> and the title must accurately reflect the content of the policy.</w:t>
      </w:r>
    </w:p>
    <w:p w14:paraId="489C7611" w14:textId="77777777" w:rsidR="00DA5AF6" w:rsidRDefault="00AB2C0B" w:rsidP="002123AF">
      <w:pPr>
        <w:pStyle w:val="Heading4"/>
      </w:pPr>
      <w:r>
        <w:t>Policy application</w:t>
      </w:r>
    </w:p>
    <w:p w14:paraId="489C7612" w14:textId="77777777" w:rsidR="00754143" w:rsidRDefault="00AB2C0B" w:rsidP="002E55BC">
      <w:pPr>
        <w:pStyle w:val="BodyText1"/>
      </w:pPr>
      <w:r>
        <w:t>Policy application identifies where the policy applies.</w:t>
      </w:r>
    </w:p>
    <w:p w14:paraId="489C7613" w14:textId="77777777" w:rsidR="00754143" w:rsidRDefault="00AB2C0B" w:rsidP="002E55BC">
      <w:pPr>
        <w:pStyle w:val="BodyText1"/>
      </w:pPr>
      <w:r>
        <w:t>As local policy is often more targeted in nature than a state policy, a local policy will more often identify where (or to what type of application) a policy applies.</w:t>
      </w:r>
    </w:p>
    <w:p w14:paraId="489C7614" w14:textId="5D7AA5B1" w:rsidR="00754143" w:rsidRDefault="00AB2C0B" w:rsidP="002E55BC">
      <w:pPr>
        <w:pStyle w:val="BodyText1"/>
      </w:pPr>
      <w:r>
        <w:t xml:space="preserve">Local policy should relate clearly to a specific discretion or group of discretions in the planning scheme and can relate to an </w:t>
      </w:r>
      <w:r w:rsidRPr="005D752C">
        <w:t>area o</w:t>
      </w:r>
      <w:r w:rsidR="005461DF" w:rsidRPr="005D752C">
        <w:t>r</w:t>
      </w:r>
      <w:r w:rsidRPr="005D752C">
        <w:t xml:space="preserve"> both</w:t>
      </w:r>
      <w:r w:rsidRPr="008C36C4">
        <w:t>.</w:t>
      </w:r>
      <w:r w:rsidR="00D92C0F">
        <w:t xml:space="preserve"> </w:t>
      </w:r>
      <w:r w:rsidR="008C36C4">
        <w:t>A p</w:t>
      </w:r>
      <w:r w:rsidR="00E41AB2" w:rsidRPr="008C36C4">
        <w:t xml:space="preserve">olicy application </w:t>
      </w:r>
      <w:r w:rsidR="008C36C4">
        <w:t>must be</w:t>
      </w:r>
      <w:r w:rsidR="00E41AB2" w:rsidRPr="008C36C4">
        <w:t xml:space="preserve"> consistent with </w:t>
      </w:r>
      <w:r w:rsidR="008C36C4">
        <w:t>the</w:t>
      </w:r>
      <w:r w:rsidR="00E41AB2" w:rsidRPr="008C36C4">
        <w:t xml:space="preserve"> content</w:t>
      </w:r>
      <w:r w:rsidR="008C36C4">
        <w:t xml:space="preserve"> of the policy</w:t>
      </w:r>
      <w:r w:rsidR="00E41AB2" w:rsidRPr="008C36C4">
        <w:t>.</w:t>
      </w:r>
      <w:r w:rsidR="00D92C0F">
        <w:t xml:space="preserve"> </w:t>
      </w:r>
      <w:r w:rsidR="00E41AB2" w:rsidRPr="008C36C4">
        <w:t>If the strategies contained within a policy</w:t>
      </w:r>
      <w:r w:rsidR="008F45A6">
        <w:t xml:space="preserve"> relate</w:t>
      </w:r>
      <w:r w:rsidR="00D92C0F">
        <w:t xml:space="preserve"> </w:t>
      </w:r>
      <w:r w:rsidR="00E41AB2" w:rsidRPr="008C36C4">
        <w:t xml:space="preserve">to use </w:t>
      </w:r>
      <w:r w:rsidR="00E41AB2" w:rsidRPr="008C36C4">
        <w:rPr>
          <w:i/>
        </w:rPr>
        <w:t>and</w:t>
      </w:r>
      <w:r w:rsidR="00E41AB2" w:rsidRPr="008C36C4">
        <w:t xml:space="preserve"> development</w:t>
      </w:r>
      <w:r w:rsidR="0032404D" w:rsidRPr="008C36C4">
        <w:t>,</w:t>
      </w:r>
      <w:r w:rsidR="00E41AB2" w:rsidRPr="008C36C4">
        <w:t xml:space="preserve"> then make sure this is reflected in the policy application.</w:t>
      </w:r>
    </w:p>
    <w:p w14:paraId="489C7615" w14:textId="77777777" w:rsidR="00754143" w:rsidRDefault="00AB2C0B" w:rsidP="002E55BC">
      <w:pPr>
        <w:pStyle w:val="BodyText1"/>
      </w:pPr>
      <w:r>
        <w:t>The land area or type of application a policy applies to must be clearly defined so that the policy can be appropriately applied.</w:t>
      </w:r>
    </w:p>
    <w:p w14:paraId="489C7616" w14:textId="77777777" w:rsidR="00754143" w:rsidRDefault="00AB2C0B" w:rsidP="002E55BC">
      <w:pPr>
        <w:pStyle w:val="BodyText1"/>
      </w:pPr>
      <w:r>
        <w:t>A policy that applies to an entire municipality does not need its application stipulated.</w:t>
      </w:r>
      <w:r w:rsidR="00DA5AF6">
        <w:t xml:space="preserve"> </w:t>
      </w:r>
      <w:r w:rsidRPr="00BA0BD1">
        <w:t>Clause 71.02-2</w:t>
      </w:r>
      <w:r>
        <w:t xml:space="preserve"> states that a planning policy applies to all land subject to the planning scheme unless the policy specifies otherwise.</w:t>
      </w:r>
    </w:p>
    <w:p w14:paraId="489C7617" w14:textId="77777777" w:rsidR="00754143" w:rsidRDefault="00AB2C0B" w:rsidP="002E55BC">
      <w:pPr>
        <w:pStyle w:val="BodyText1"/>
      </w:pPr>
      <w:r>
        <w:t>Where a policy applies can be identified using one of the following techniques:</w:t>
      </w:r>
    </w:p>
    <w:p w14:paraId="489C7618" w14:textId="77777777" w:rsidR="001E6C73" w:rsidRPr="001E6C73" w:rsidRDefault="00AB2C0B" w:rsidP="00723A0D">
      <w:pPr>
        <w:pStyle w:val="DELWPbullet1"/>
        <w:rPr>
          <w:i/>
          <w:iCs/>
        </w:rPr>
      </w:pPr>
      <w:r>
        <w:t>If a policy applies to a specific area already defined in the planning scheme, identification can be achieved by a brief statement such as:</w:t>
      </w:r>
    </w:p>
    <w:p w14:paraId="489C7619" w14:textId="77777777" w:rsidR="00DC2411" w:rsidRPr="00B447C7" w:rsidRDefault="00AB2C0B" w:rsidP="0059360A">
      <w:pPr>
        <w:pStyle w:val="Examplein-text"/>
        <w:rPr>
          <w:i w:val="0"/>
          <w:iCs/>
        </w:rPr>
      </w:pPr>
      <w:r w:rsidRPr="00B447C7">
        <w:rPr>
          <w:i w:val="0"/>
          <w:iCs/>
        </w:rPr>
        <w:t>This policy applies to all planning applications for rural industry in the Farming Zone and the Rural Conservation Zone.</w:t>
      </w:r>
    </w:p>
    <w:p w14:paraId="489C761A" w14:textId="77777777" w:rsidR="00B97D6C" w:rsidRDefault="00AB2C0B" w:rsidP="00723A0D">
      <w:pPr>
        <w:pStyle w:val="DELWPbullet1"/>
      </w:pPr>
      <w:r>
        <w:t>If a policy applies to all applications in a specific area that has not been defined in the planning scheme, a map must be included with the local policy that defines the area of application. Use words such as:</w:t>
      </w:r>
    </w:p>
    <w:p w14:paraId="489C761B" w14:textId="7CAFC5E5" w:rsidR="00CB429B" w:rsidRPr="00B447C7" w:rsidRDefault="00AB2C0B" w:rsidP="0059360A">
      <w:pPr>
        <w:pStyle w:val="Examplein-text"/>
        <w:rPr>
          <w:i w:val="0"/>
          <w:iCs/>
        </w:rPr>
      </w:pPr>
      <w:r w:rsidRPr="00B447C7">
        <w:rPr>
          <w:i w:val="0"/>
          <w:iCs/>
        </w:rPr>
        <w:t>This policy applies to</w:t>
      </w:r>
      <w:r w:rsidR="005461DF" w:rsidRPr="00B447C7">
        <w:rPr>
          <w:i w:val="0"/>
          <w:iCs/>
        </w:rPr>
        <w:t xml:space="preserve"> land shown in </w:t>
      </w:r>
      <w:r w:rsidRPr="00B447C7">
        <w:rPr>
          <w:i w:val="0"/>
          <w:iCs/>
        </w:rPr>
        <w:t>the East Gumnut urban renewal precinct</w:t>
      </w:r>
      <w:r w:rsidR="005461DF" w:rsidRPr="00B447C7">
        <w:rPr>
          <w:i w:val="0"/>
          <w:iCs/>
        </w:rPr>
        <w:t xml:space="preserve"> map</w:t>
      </w:r>
      <w:r w:rsidRPr="00B447C7">
        <w:rPr>
          <w:i w:val="0"/>
          <w:iCs/>
        </w:rPr>
        <w:t>.</w:t>
      </w:r>
    </w:p>
    <w:p w14:paraId="489C761C" w14:textId="77777777" w:rsidR="00DA5AF6" w:rsidRDefault="00AB2C0B" w:rsidP="00723A0D">
      <w:pPr>
        <w:pStyle w:val="DELWPbullet1"/>
      </w:pPr>
      <w:r>
        <w:lastRenderedPageBreak/>
        <w:t>If a policy applies to certain types of use or development, use a written description. For example:</w:t>
      </w:r>
    </w:p>
    <w:p w14:paraId="489C761D" w14:textId="54CBD8F6" w:rsidR="00CB429B" w:rsidRPr="00B447C7" w:rsidRDefault="00AB2C0B" w:rsidP="0059360A">
      <w:pPr>
        <w:pStyle w:val="Examplein-text"/>
        <w:rPr>
          <w:i w:val="0"/>
          <w:iCs/>
        </w:rPr>
      </w:pPr>
      <w:r w:rsidRPr="00B447C7">
        <w:rPr>
          <w:i w:val="0"/>
          <w:iCs/>
        </w:rPr>
        <w:t>This policy applies to applications for residential development of five or more storeys.</w:t>
      </w:r>
    </w:p>
    <w:p w14:paraId="489C761E" w14:textId="77777777" w:rsidR="00DA5AF6" w:rsidRDefault="00AB2C0B" w:rsidP="00723A0D">
      <w:pPr>
        <w:pStyle w:val="DELWPbullet1"/>
      </w:pPr>
      <w:r>
        <w:t>If a policy applies to a site that has a specific address, then it can be identified by that address.</w:t>
      </w:r>
      <w:r w:rsidR="00DA5AF6">
        <w:t xml:space="preserve"> </w:t>
      </w:r>
      <w:r>
        <w:t>For example:</w:t>
      </w:r>
    </w:p>
    <w:p w14:paraId="489C761F" w14:textId="77777777" w:rsidR="00CB429B" w:rsidRPr="00B447C7" w:rsidRDefault="00AB2C0B" w:rsidP="0059360A">
      <w:pPr>
        <w:pStyle w:val="Examplein-text"/>
        <w:rPr>
          <w:i w:val="0"/>
          <w:iCs/>
        </w:rPr>
      </w:pPr>
      <w:r w:rsidRPr="00B447C7">
        <w:rPr>
          <w:i w:val="0"/>
          <w:iCs/>
        </w:rPr>
        <w:t>This policy applies to the land at 112-216 Lorikeet Way, Timothy Crossing.</w:t>
      </w:r>
    </w:p>
    <w:p w14:paraId="489C7620" w14:textId="77777777" w:rsidR="00754143" w:rsidRDefault="00AB2C0B" w:rsidP="002E55BC">
      <w:pPr>
        <w:pStyle w:val="DELWPbodyafterbullets"/>
      </w:pPr>
      <w:r>
        <w:t>Do not use long, written descriptions for a policy area boundary.</w:t>
      </w:r>
      <w:r w:rsidR="00DA5AF6">
        <w:t xml:space="preserve"> </w:t>
      </w:r>
      <w:r>
        <w:t xml:space="preserve">Use a local policy map that clearly identifies the boundary of the policy area using precise markers such as property boundaries, </w:t>
      </w:r>
      <w:r w:rsidR="005461DF">
        <w:t xml:space="preserve">roads (including the road names), </w:t>
      </w:r>
      <w:r>
        <w:t>waterways and railways.</w:t>
      </w:r>
    </w:p>
    <w:p w14:paraId="489C7621" w14:textId="77777777" w:rsidR="00DA5AF6" w:rsidRDefault="00AB2C0B" w:rsidP="002123AF">
      <w:pPr>
        <w:pStyle w:val="Heading4"/>
      </w:pPr>
      <w:r>
        <w:t>Objective</w:t>
      </w:r>
    </w:p>
    <w:p w14:paraId="489C7622" w14:textId="77777777" w:rsidR="00754143" w:rsidRDefault="00AB2C0B" w:rsidP="002E55BC">
      <w:pPr>
        <w:pStyle w:val="BodyText1"/>
      </w:pPr>
      <w:r>
        <w:t>An objective and its associated strategies convey the key policy directions of the planning scheme.</w:t>
      </w:r>
      <w:r w:rsidR="00DA5AF6">
        <w:t xml:space="preserve"> </w:t>
      </w:r>
      <w:r>
        <w:t>An objective sets out the core purpose of a policy.</w:t>
      </w:r>
    </w:p>
    <w:p w14:paraId="489C7623" w14:textId="77777777" w:rsidR="00754143" w:rsidRDefault="00AB2C0B" w:rsidP="002E55BC">
      <w:pPr>
        <w:pStyle w:val="BodyText1"/>
      </w:pPr>
      <w:r w:rsidRPr="007E64CD">
        <w:rPr>
          <w:rStyle w:val="Strong"/>
        </w:rPr>
        <w:t>State policy:</w:t>
      </w:r>
      <w:r w:rsidR="00DA5AF6" w:rsidRPr="007E64CD">
        <w:rPr>
          <w:rStyle w:val="Strong"/>
        </w:rPr>
        <w:t xml:space="preserve"> </w:t>
      </w:r>
      <w:r>
        <w:t>Each state policy will comprise an objective with supporting strategies.</w:t>
      </w:r>
      <w:r w:rsidR="00DA5AF6">
        <w:t xml:space="preserve"> </w:t>
      </w:r>
      <w:r>
        <w:t>State policy must include an objective as it sets out the overarching direction for each policy.</w:t>
      </w:r>
    </w:p>
    <w:p w14:paraId="489C7624" w14:textId="0349ED0F" w:rsidR="00754143" w:rsidRDefault="00AB2C0B" w:rsidP="002E55BC">
      <w:pPr>
        <w:pStyle w:val="BodyText1"/>
      </w:pPr>
      <w:r w:rsidRPr="007E64CD">
        <w:rPr>
          <w:rStyle w:val="Strong"/>
        </w:rPr>
        <w:t>Regional policy:</w:t>
      </w:r>
      <w:r w:rsidR="00DA5AF6" w:rsidRPr="007E64CD">
        <w:rPr>
          <w:rStyle w:val="Strong"/>
        </w:rPr>
        <w:t xml:space="preserve"> </w:t>
      </w:r>
      <w:r>
        <w:t xml:space="preserve">A regional objective is only included if it expands on the state objective, with the region’s particular policy emphasis or distinction. If a regional objective is absent, a regional strategy is read in the context of the state objective. </w:t>
      </w:r>
      <w:r w:rsidR="006A5EE2">
        <w:t>A</w:t>
      </w:r>
      <w:r>
        <w:t xml:space="preserve"> regional objective </w:t>
      </w:r>
      <w:r w:rsidR="006A5EE2">
        <w:t xml:space="preserve">must not </w:t>
      </w:r>
      <w:r>
        <w:t>repeat a state objective.</w:t>
      </w:r>
    </w:p>
    <w:p w14:paraId="489C7625" w14:textId="77777777" w:rsidR="00754143" w:rsidRDefault="00AB2C0B" w:rsidP="002E55BC">
      <w:pPr>
        <w:pStyle w:val="BodyText1"/>
      </w:pPr>
      <w:r w:rsidRPr="007E64CD">
        <w:rPr>
          <w:rStyle w:val="Strong"/>
        </w:rPr>
        <w:t>Local policy:</w:t>
      </w:r>
      <w:r w:rsidR="00DA5AF6" w:rsidRPr="007E64CD">
        <w:rPr>
          <w:rStyle w:val="Strong"/>
        </w:rPr>
        <w:t xml:space="preserve"> </w:t>
      </w:r>
      <w:r>
        <w:t>Local objectives must be relevant to the municipality and should only be included if they expand on a state or regional objective with a particular local emphasis or distinction.</w:t>
      </w:r>
    </w:p>
    <w:p w14:paraId="489C7626" w14:textId="77777777" w:rsidR="00754143" w:rsidRDefault="00AB2C0B" w:rsidP="002E55BC">
      <w:pPr>
        <w:pStyle w:val="BodyText1"/>
      </w:pPr>
      <w:r>
        <w:t>Where a local objective is absent, a local strategy is interpreted to be implementing the state or regional objective.</w:t>
      </w:r>
      <w:r w:rsidR="00DA5AF6">
        <w:t xml:space="preserve"> </w:t>
      </w:r>
      <w:r>
        <w:t>There can be more than one objective in a local policy, although the number of objectives should be minimised wherever possible.</w:t>
      </w:r>
    </w:p>
    <w:p w14:paraId="489C7627" w14:textId="2E8EDED7" w:rsidR="00754143" w:rsidRDefault="00AB2C0B" w:rsidP="002E55BC">
      <w:pPr>
        <w:pStyle w:val="BodyText1"/>
      </w:pPr>
      <w:r>
        <w:t>If a local objective repeats a state or regional objective</w:t>
      </w:r>
      <w:r w:rsidR="00607FEB">
        <w:t>,</w:t>
      </w:r>
      <w:r>
        <w:t xml:space="preserve"> then it must not be included.</w:t>
      </w:r>
    </w:p>
    <w:p w14:paraId="489C7628" w14:textId="77777777" w:rsidR="00754143" w:rsidRDefault="00AB2C0B" w:rsidP="002E55BC">
      <w:pPr>
        <w:pStyle w:val="BodyText1"/>
      </w:pPr>
      <w:r>
        <w:t>Objectives must be expressed to make clear what outcome is being sought, keeping in mind that a policy can only relate to the exercise of a discretion under the planning scheme.</w:t>
      </w:r>
    </w:p>
    <w:p w14:paraId="489C7629" w14:textId="77777777" w:rsidR="00DC2411" w:rsidRDefault="00AB2C0B" w:rsidP="002123AF">
      <w:pPr>
        <w:pStyle w:val="Heading4"/>
      </w:pPr>
      <w:r>
        <w:t>Strategies</w:t>
      </w:r>
    </w:p>
    <w:p w14:paraId="489C762A" w14:textId="1DE2DFCC" w:rsidR="00754143" w:rsidRDefault="00AB2C0B" w:rsidP="002E55BC">
      <w:pPr>
        <w:pStyle w:val="BodyText1"/>
      </w:pPr>
      <w:r>
        <w:t>Strategies describe how an objective is to be achieved</w:t>
      </w:r>
      <w:r w:rsidR="00680481" w:rsidRPr="009D6810">
        <w:t>. I</w:t>
      </w:r>
      <w:r w:rsidR="00912E3B" w:rsidRPr="009D6810">
        <w:t>n the case of a local policy</w:t>
      </w:r>
      <w:r w:rsidR="00680481" w:rsidRPr="009D6810">
        <w:t>, a strategy</w:t>
      </w:r>
      <w:r w:rsidR="00912E3B">
        <w:t xml:space="preserve"> may describe how a strategic direction from the MPS is to be achieved</w:t>
      </w:r>
      <w:r>
        <w:t>.</w:t>
      </w:r>
      <w:r w:rsidR="009D6810">
        <w:t xml:space="preserve"> </w:t>
      </w:r>
      <w:r>
        <w:t>Every statewide policy objective in the PPF is supported by a set of strategies.</w:t>
      </w:r>
      <w:r w:rsidR="00DA5AF6">
        <w:t xml:space="preserve"> </w:t>
      </w:r>
      <w:r>
        <w:t>Further strategies may be provided at a regional level if needed and these can respond to the state objective or a regional objective if one has been identified.</w:t>
      </w:r>
      <w:r w:rsidR="00DA5AF6">
        <w:t xml:space="preserve"> </w:t>
      </w:r>
      <w:r>
        <w:t>Additional strategies may also be provided at the local level that:</w:t>
      </w:r>
    </w:p>
    <w:p w14:paraId="489C762B" w14:textId="77777777" w:rsidR="00DC2411" w:rsidRDefault="00AB2C0B" w:rsidP="00723A0D">
      <w:pPr>
        <w:pStyle w:val="DELWPbullet1"/>
      </w:pPr>
      <w:r>
        <w:t>expand on or refine a statewide objective or strategy</w:t>
      </w:r>
    </w:p>
    <w:p w14:paraId="489C762C" w14:textId="77777777" w:rsidR="00DC2411" w:rsidRDefault="00AB2C0B" w:rsidP="00723A0D">
      <w:pPr>
        <w:pStyle w:val="DELWPbullet1"/>
      </w:pPr>
      <w:r>
        <w:t>expand on or refine a regional objective or strategy (where relevant)</w:t>
      </w:r>
    </w:p>
    <w:p w14:paraId="72792BEB" w14:textId="58413695" w:rsidR="00912E3B" w:rsidRDefault="00912E3B" w:rsidP="00723A0D">
      <w:pPr>
        <w:pStyle w:val="DELWPbullet1"/>
      </w:pPr>
      <w:r>
        <w:t>expand on a strategic direction in the MPS</w:t>
      </w:r>
    </w:p>
    <w:p w14:paraId="489C762D" w14:textId="77777777" w:rsidR="00CB429B" w:rsidRDefault="00AB2C0B" w:rsidP="00723A0D">
      <w:pPr>
        <w:pStyle w:val="DELWPbullet1"/>
      </w:pPr>
      <w:r>
        <w:t>respond to a local objective (where relevant).</w:t>
      </w:r>
    </w:p>
    <w:p w14:paraId="489C762E" w14:textId="77777777" w:rsidR="00754143" w:rsidRDefault="00AB2C0B" w:rsidP="002E55BC">
      <w:pPr>
        <w:pStyle w:val="DELWPbodyafterbullets"/>
      </w:pPr>
      <w:r>
        <w:lastRenderedPageBreak/>
        <w:t>A regional or local strategy must not repeat a statewide strategy.</w:t>
      </w:r>
      <w:r w:rsidR="00DA5AF6">
        <w:t xml:space="preserve"> </w:t>
      </w:r>
      <w:r>
        <w:t>Similarly, a local strategy must not repeat a regional strategy.</w:t>
      </w:r>
      <w:r w:rsidR="00DA5AF6">
        <w:t xml:space="preserve"> </w:t>
      </w:r>
      <w:r>
        <w:t>The practical outcome of this is that if there are no specific strategies that expand on or refine either state or regional policy, then no policy is required at a local level.</w:t>
      </w:r>
      <w:r w:rsidR="00DA5AF6">
        <w:t xml:space="preserve"> </w:t>
      </w:r>
      <w:r>
        <w:t>This also applies to regional strategies that do not expand on or refine state policy.</w:t>
      </w:r>
    </w:p>
    <w:p w14:paraId="489C762F" w14:textId="5DD03E7B" w:rsidR="00754143" w:rsidRDefault="00AB2C0B" w:rsidP="002E55BC">
      <w:pPr>
        <w:pStyle w:val="BodyText1"/>
      </w:pPr>
      <w:r>
        <w:t>Where strategies directly support a state or regional objective then the objective does not need to be re-stated.</w:t>
      </w:r>
      <w:r w:rsidR="00DA5AF6">
        <w:t xml:space="preserve"> </w:t>
      </w:r>
      <w:r>
        <w:t>It is essential that the strategies be focused on the implementation of a policy that can be achieved through the application of a planning scheme.</w:t>
      </w:r>
    </w:p>
    <w:p w14:paraId="18F9CEE6" w14:textId="404C5F04" w:rsidR="007D5BB1" w:rsidRDefault="00FA3113" w:rsidP="002E55BC">
      <w:pPr>
        <w:pStyle w:val="BodyText1"/>
      </w:pPr>
      <w:r w:rsidRPr="008C36C4">
        <w:t>Each strateg</w:t>
      </w:r>
      <w:r w:rsidR="00E14840" w:rsidRPr="008C36C4">
        <w:t>y</w:t>
      </w:r>
      <w:r w:rsidRPr="008C36C4">
        <w:t xml:space="preserve"> should express</w:t>
      </w:r>
      <w:r w:rsidR="00E41AB2" w:rsidRPr="008C36C4">
        <w:t xml:space="preserve"> only</w:t>
      </w:r>
      <w:r w:rsidRPr="008C36C4">
        <w:t xml:space="preserve"> one </w:t>
      </w:r>
      <w:r w:rsidR="00E14840" w:rsidRPr="008C36C4">
        <w:t>idea.</w:t>
      </w:r>
      <w:r w:rsidR="00D415E2">
        <w:t xml:space="preserve"> Avoid</w:t>
      </w:r>
      <w:r w:rsidR="00FC50C4">
        <w:t xml:space="preserve"> long or</w:t>
      </w:r>
      <w:r w:rsidR="00D415E2">
        <w:t xml:space="preserve"> multi-sentence strategie</w:t>
      </w:r>
      <w:r w:rsidR="009F65AD">
        <w:t>s. Instead</w:t>
      </w:r>
      <w:r w:rsidR="00C54F1A">
        <w:t xml:space="preserve">, where a strategy is complex and lengthy because it has </w:t>
      </w:r>
      <w:proofErr w:type="gramStart"/>
      <w:r w:rsidR="00C54F1A">
        <w:t>a number of</w:t>
      </w:r>
      <w:proofErr w:type="gramEnd"/>
      <w:r w:rsidR="00C54F1A">
        <w:t xml:space="preserve"> directly interrelated elements</w:t>
      </w:r>
      <w:r w:rsidR="009F65AD">
        <w:t>, use</w:t>
      </w:r>
      <w:r w:rsidR="00D415E2">
        <w:t xml:space="preserve"> bullets to </w:t>
      </w:r>
      <w:r w:rsidR="00FC50C4">
        <w:t xml:space="preserve">break down the information </w:t>
      </w:r>
      <w:r w:rsidR="00860F34">
        <w:t>to help</w:t>
      </w:r>
      <w:r w:rsidR="00FC50C4">
        <w:t xml:space="preserve"> relay </w:t>
      </w:r>
      <w:r w:rsidR="00C54F1A">
        <w:t>the information</w:t>
      </w:r>
      <w:r w:rsidR="00FC50C4">
        <w:t xml:space="preserve"> more clearly</w:t>
      </w:r>
      <w:r w:rsidR="00D415E2">
        <w:t>.</w:t>
      </w:r>
    </w:p>
    <w:p w14:paraId="489C7630" w14:textId="77777777" w:rsidR="00DC2411" w:rsidRDefault="00AB2C0B" w:rsidP="002123AF">
      <w:pPr>
        <w:pStyle w:val="Heading4"/>
      </w:pPr>
      <w:r>
        <w:t>Policy guidelines</w:t>
      </w:r>
    </w:p>
    <w:p w14:paraId="489C7631" w14:textId="77777777" w:rsidR="00754143" w:rsidRDefault="00AB2C0B" w:rsidP="002E55BC">
      <w:pPr>
        <w:pStyle w:val="BodyText1"/>
      </w:pPr>
      <w:r>
        <w:t>Planning policy must be sufficiently flexible to allow for alternative solutions to achieve the outcome sought.</w:t>
      </w:r>
      <w:r w:rsidR="00DA5AF6">
        <w:t xml:space="preserve"> </w:t>
      </w:r>
      <w:r>
        <w:t>Sometimes greater direction through explicit measures, may more effectively direct an outcome.</w:t>
      </w:r>
      <w:r w:rsidR="00DA5AF6">
        <w:t xml:space="preserve"> </w:t>
      </w:r>
      <w:r>
        <w:t>In most instances, specific (often numerical) requirements can be included in a schedule to a zone or overlay.</w:t>
      </w:r>
    </w:p>
    <w:p w14:paraId="489C7632" w14:textId="23A6A354" w:rsidR="00754143" w:rsidRDefault="00AB2C0B" w:rsidP="002E55BC">
      <w:pPr>
        <w:pStyle w:val="BodyText1"/>
      </w:pPr>
      <w:r>
        <w:t>However</w:t>
      </w:r>
      <w:r w:rsidR="001B0139">
        <w:t>,</w:t>
      </w:r>
      <w:r>
        <w:t xml:space="preserve"> there may be some measures that clarify an expectation of how a policy can be met that:</w:t>
      </w:r>
    </w:p>
    <w:p w14:paraId="489C7633" w14:textId="77777777" w:rsidR="00DC2411" w:rsidRDefault="00AB2C0B" w:rsidP="00723A0D">
      <w:pPr>
        <w:pStyle w:val="DELWPbullet1"/>
      </w:pPr>
      <w:r>
        <w:t>are too prescriptive for policy</w:t>
      </w:r>
    </w:p>
    <w:p w14:paraId="489C7634" w14:textId="77777777" w:rsidR="00DC2411" w:rsidRDefault="00AB2C0B" w:rsidP="00723A0D">
      <w:pPr>
        <w:pStyle w:val="DELWPbullet1"/>
      </w:pPr>
      <w:r>
        <w:t>may represent one way of achieving a desired outcome, where other suitable options may be available</w:t>
      </w:r>
    </w:p>
    <w:p w14:paraId="489C7635" w14:textId="58B15832" w:rsidR="00DA5AF6" w:rsidRDefault="00AB2C0B" w:rsidP="00723A0D">
      <w:pPr>
        <w:pStyle w:val="DELWPbullet1"/>
      </w:pPr>
      <w:r>
        <w:t xml:space="preserve">intersect with </w:t>
      </w:r>
      <w:proofErr w:type="gramStart"/>
      <w:r>
        <w:t>a number of</w:t>
      </w:r>
      <w:proofErr w:type="gramEnd"/>
      <w:r>
        <w:t xml:space="preserve"> zones and overlays</w:t>
      </w:r>
      <w:r w:rsidR="00F16394">
        <w:t>.</w:t>
      </w:r>
    </w:p>
    <w:p w14:paraId="489C7637" w14:textId="77777777" w:rsidR="00754143" w:rsidRDefault="00AB2C0B" w:rsidP="002E55BC">
      <w:pPr>
        <w:pStyle w:val="DELWPbodyafterbullets"/>
      </w:pPr>
      <w:r>
        <w:t>Examples of such measures include specifying recommended hours of operation for non-residential uses in residential zones or the preferred number of vehicle crossings in a neighbourhood character precinct.</w:t>
      </w:r>
      <w:r w:rsidR="00DA5AF6">
        <w:t xml:space="preserve"> </w:t>
      </w:r>
      <w:r>
        <w:t>These measures can be set out in the PPF as policy guidelines.</w:t>
      </w:r>
    </w:p>
    <w:p w14:paraId="489C7638" w14:textId="77777777" w:rsidR="00754143" w:rsidRDefault="00AB2C0B" w:rsidP="002E55BC">
      <w:pPr>
        <w:pStyle w:val="BodyText1"/>
      </w:pPr>
      <w:r>
        <w:t>Decision guidelines and application requirements are not policy guidelines.</w:t>
      </w:r>
    </w:p>
    <w:p w14:paraId="489C7639" w14:textId="21CB0914" w:rsidR="00754143" w:rsidRDefault="00AB2C0B" w:rsidP="002E55BC">
      <w:pPr>
        <w:pStyle w:val="BodyText1"/>
      </w:pPr>
      <w:r>
        <w:t>Policy guidelines are an optional part of policy and are not a substitute for a control.</w:t>
      </w:r>
      <w:r w:rsidR="00DA5AF6">
        <w:t xml:space="preserve"> </w:t>
      </w:r>
      <w:r>
        <w:t>They are generally only required in exceptional circumstances.</w:t>
      </w:r>
      <w:r w:rsidR="00DA5AF6">
        <w:t xml:space="preserve"> </w:t>
      </w:r>
      <w:r>
        <w:t>Proper use of zone and overlay schedules together with robust strategies in policy will usually avoid the need for policy guidelines.</w:t>
      </w:r>
    </w:p>
    <w:p w14:paraId="489C763A" w14:textId="05280921" w:rsidR="00754143" w:rsidRDefault="00AB2C0B" w:rsidP="002E55BC">
      <w:pPr>
        <w:pStyle w:val="BodyText1"/>
      </w:pPr>
      <w:r>
        <w:t xml:space="preserve">In addition to meeting the rules outlined in </w:t>
      </w:r>
      <w:r w:rsidR="0074503B" w:rsidRPr="00BA0BD1">
        <w:t>Chapter</w:t>
      </w:r>
      <w:r w:rsidRPr="00BA0BD1">
        <w:t xml:space="preserve"> </w:t>
      </w:r>
      <w:r w:rsidR="003110AC" w:rsidRPr="00BA0BD1">
        <w:t>4</w:t>
      </w:r>
      <w:r>
        <w:t xml:space="preserve"> a policy guideline must:</w:t>
      </w:r>
    </w:p>
    <w:p w14:paraId="489C763B" w14:textId="0FCF986F" w:rsidR="00DC2411" w:rsidRDefault="00AB2C0B" w:rsidP="00723A0D">
      <w:pPr>
        <w:pStyle w:val="DELWPbullet1"/>
      </w:pPr>
      <w:r>
        <w:t>directly derive from an objective or strategy in a policy</w:t>
      </w:r>
      <w:r w:rsidR="005461DF">
        <w:t xml:space="preserve"> (at the state, regional or local level)</w:t>
      </w:r>
      <w:r>
        <w:t xml:space="preserve"> and set out a clear expectation of how an objective</w:t>
      </w:r>
      <w:r w:rsidR="00D67750">
        <w:t xml:space="preserve"> or strategy</w:t>
      </w:r>
      <w:r>
        <w:t xml:space="preserve"> can be met</w:t>
      </w:r>
    </w:p>
    <w:p w14:paraId="489C763C" w14:textId="70AC0B62" w:rsidR="00DC2411" w:rsidRDefault="00AB2C0B" w:rsidP="00723A0D">
      <w:pPr>
        <w:pStyle w:val="DELWPbullet1"/>
      </w:pPr>
      <w:r>
        <w:t xml:space="preserve">provide a standard that guides the exercise of discretion for a </w:t>
      </w:r>
      <w:r w:rsidRPr="00347299">
        <w:t>decision</w:t>
      </w:r>
      <w:r w:rsidR="00944202" w:rsidRPr="00347299">
        <w:t>-</w:t>
      </w:r>
      <w:r w:rsidRPr="00347299">
        <w:t>maker</w:t>
      </w:r>
    </w:p>
    <w:p w14:paraId="489C763D" w14:textId="77777777" w:rsidR="00DC2411" w:rsidRDefault="00AB2C0B" w:rsidP="00723A0D">
      <w:pPr>
        <w:pStyle w:val="DELWPbullet1"/>
      </w:pPr>
      <w:r>
        <w:t>be based on appropriate data or research</w:t>
      </w:r>
    </w:p>
    <w:p w14:paraId="489C763E" w14:textId="31087A6F" w:rsidR="00DC2411" w:rsidRDefault="00AB2C0B" w:rsidP="00723A0D">
      <w:pPr>
        <w:pStyle w:val="DELWPbullet1"/>
      </w:pPr>
      <w:r>
        <w:t>not repeat or contradict controls in a zone, overlay, particular or general provision.</w:t>
      </w:r>
      <w:r w:rsidR="00DA5AF6">
        <w:t xml:space="preserve"> </w:t>
      </w:r>
      <w:r>
        <w:t>This would include not repeating application requirements or decision guidelines</w:t>
      </w:r>
    </w:p>
    <w:p w14:paraId="489C763F" w14:textId="5835F494" w:rsidR="00DC2411" w:rsidRDefault="00AB2C0B" w:rsidP="00723A0D">
      <w:pPr>
        <w:pStyle w:val="DELWPbullet1"/>
      </w:pPr>
      <w:r>
        <w:lastRenderedPageBreak/>
        <w:t xml:space="preserve">not attempt to prohibit an alternative outcome that meets the </w:t>
      </w:r>
      <w:r w:rsidRPr="00347299">
        <w:t>objective</w:t>
      </w:r>
      <w:r w:rsidR="00900EF0" w:rsidRPr="00347299">
        <w:t>(</w:t>
      </w:r>
      <w:r w:rsidRPr="00347299">
        <w:t>s</w:t>
      </w:r>
      <w:r w:rsidR="00900EF0" w:rsidRPr="00347299">
        <w:t>)</w:t>
      </w:r>
      <w:r w:rsidRPr="00347299">
        <w:t xml:space="preserve"> of</w:t>
      </w:r>
      <w:r>
        <w:t xml:space="preserve"> the policy</w:t>
      </w:r>
    </w:p>
    <w:p w14:paraId="4922E164" w14:textId="71C46A5A" w:rsidR="00E4637F" w:rsidRPr="00E4637F" w:rsidRDefault="00AB2C0B" w:rsidP="00132C10">
      <w:pPr>
        <w:pStyle w:val="DELWPbullet1"/>
      </w:pPr>
      <w:r>
        <w:t>be the only appropriate implementation measure to convey the guideline</w:t>
      </w:r>
      <w:r w:rsidR="00E4637F">
        <w:t xml:space="preserve"> </w:t>
      </w:r>
      <w:r w:rsidRPr="00352970">
        <w:t>because</w:t>
      </w:r>
      <w:r w:rsidR="00656C7A">
        <w:t>:</w:t>
      </w:r>
    </w:p>
    <w:p w14:paraId="35B592C0" w14:textId="626FA6B9" w:rsidR="00E4637F" w:rsidRDefault="00AB2C0B" w:rsidP="00A705A5">
      <w:pPr>
        <w:pStyle w:val="DELWPbullet2"/>
        <w:numPr>
          <w:ilvl w:val="1"/>
          <w:numId w:val="45"/>
        </w:numPr>
      </w:pPr>
      <w:r>
        <w:t xml:space="preserve">an appropriate alternative VPP instrument is not available or </w:t>
      </w:r>
    </w:p>
    <w:p w14:paraId="489C7640" w14:textId="3AB237C4" w:rsidR="00CB429B" w:rsidRDefault="00AB2C0B" w:rsidP="00A705A5">
      <w:pPr>
        <w:pStyle w:val="DELWPbullet2"/>
        <w:numPr>
          <w:ilvl w:val="1"/>
          <w:numId w:val="45"/>
        </w:numPr>
      </w:pPr>
      <w:r>
        <w:t>an inefficient or complicated implementation</w:t>
      </w:r>
      <w:r w:rsidR="00D92D44" w:rsidRPr="00D92D44">
        <w:t xml:space="preserve"> </w:t>
      </w:r>
      <w:r w:rsidR="00D92D44">
        <w:t>would be needed</w:t>
      </w:r>
      <w:r>
        <w:t xml:space="preserve"> using </w:t>
      </w:r>
      <w:proofErr w:type="gramStart"/>
      <w:r>
        <w:t>a number of</w:t>
      </w:r>
      <w:proofErr w:type="gramEnd"/>
      <w:r>
        <w:t xml:space="preserve"> zones and overlays.</w:t>
      </w:r>
    </w:p>
    <w:p w14:paraId="489C7641" w14:textId="77777777" w:rsidR="00754143" w:rsidRDefault="00AB2C0B" w:rsidP="002E55BC">
      <w:pPr>
        <w:pStyle w:val="DELWPbodyafterbullets"/>
      </w:pPr>
      <w:r>
        <w:t xml:space="preserve">Operationally, policy guidelines must be </w:t>
      </w:r>
      <w:proofErr w:type="gramStart"/>
      <w:r>
        <w:t>taken into account</w:t>
      </w:r>
      <w:proofErr w:type="gramEnd"/>
      <w:r>
        <w:t>, but are not required to be given effect to (unlike objectives and strategies).</w:t>
      </w:r>
      <w:r w:rsidR="00DA5AF6">
        <w:t xml:space="preserve"> </w:t>
      </w:r>
      <w:r>
        <w:t xml:space="preserve">A permit applicant can propose an alternative </w:t>
      </w:r>
      <w:proofErr w:type="gramStart"/>
      <w:r>
        <w:t>method, but</w:t>
      </w:r>
      <w:proofErr w:type="gramEnd"/>
      <w:r>
        <w:t xml:space="preserve"> must still demonstrate that any proposed alternative satisfies the relevant objective or strategy.</w:t>
      </w:r>
    </w:p>
    <w:p w14:paraId="489C7642" w14:textId="2FED5E39" w:rsidR="00754143" w:rsidRDefault="00AB2C0B" w:rsidP="002E55BC">
      <w:pPr>
        <w:pStyle w:val="BodyText1"/>
      </w:pPr>
      <w:r>
        <w:t>State and regional policies can also include policy guidelines.</w:t>
      </w:r>
    </w:p>
    <w:p w14:paraId="489C7643" w14:textId="77777777" w:rsidR="00DA5AF6" w:rsidRDefault="00AB2C0B" w:rsidP="002123AF">
      <w:pPr>
        <w:pStyle w:val="Heading4"/>
      </w:pPr>
      <w:r>
        <w:t>Policy documents</w:t>
      </w:r>
    </w:p>
    <w:p w14:paraId="489C7644" w14:textId="4044316E" w:rsidR="00754143" w:rsidRDefault="00AB2C0B" w:rsidP="002E55BC">
      <w:pPr>
        <w:pStyle w:val="BodyText1"/>
      </w:pPr>
      <w:r>
        <w:t>There are two types of documents that can support local policy in the PPF</w:t>
      </w:r>
      <w:r w:rsidR="00F27583">
        <w:t xml:space="preserve"> -</w:t>
      </w:r>
      <w:r>
        <w:t xml:space="preserve"> incorporated and background documents.</w:t>
      </w:r>
      <w:r w:rsidR="00DA5AF6">
        <w:t xml:space="preserve"> </w:t>
      </w:r>
      <w:r>
        <w:t>State planning policy also includes some legislative references and references to ministerial directions.</w:t>
      </w:r>
    </w:p>
    <w:p w14:paraId="489C7645" w14:textId="77777777" w:rsidR="00754143" w:rsidRDefault="00AB2C0B" w:rsidP="002E55BC">
      <w:pPr>
        <w:pStyle w:val="BodyText1"/>
      </w:pPr>
      <w:r>
        <w:t xml:space="preserve">Policy (and other provisions) should generally be self-contained and include the information necessary to assess and decide an application. Where additional, more detailed guidance is </w:t>
      </w:r>
      <w:proofErr w:type="gramStart"/>
      <w:r>
        <w:t>absolutely necessary</w:t>
      </w:r>
      <w:proofErr w:type="gramEnd"/>
      <w:r>
        <w:t>, it can be provided through an incorporated document.</w:t>
      </w:r>
    </w:p>
    <w:p w14:paraId="489C7646" w14:textId="10FCC2EF" w:rsidR="00754143" w:rsidRDefault="00AB2C0B" w:rsidP="002E55BC">
      <w:pPr>
        <w:pStyle w:val="BodyText1"/>
      </w:pPr>
      <w:r>
        <w:t xml:space="preserve">If a policy relies on an incorporated </w:t>
      </w:r>
      <w:proofErr w:type="gramStart"/>
      <w:r>
        <w:t>document</w:t>
      </w:r>
      <w:proofErr w:type="gramEnd"/>
      <w:r>
        <w:t xml:space="preserve"> then it must be referenced in the policy as a policy document and a </w:t>
      </w:r>
      <w:r w:rsidRPr="00347299">
        <w:t>decision</w:t>
      </w:r>
      <w:r w:rsidR="00EC4216" w:rsidRPr="00347299">
        <w:t>-</w:t>
      </w:r>
      <w:r w:rsidRPr="00347299">
        <w:t>maker must</w:t>
      </w:r>
      <w:r>
        <w:t xml:space="preserve"> consider it</w:t>
      </w:r>
      <w:r w:rsidR="0082101C">
        <w:t xml:space="preserve">, as </w:t>
      </w:r>
      <w:r w:rsidR="00621BA6">
        <w:t>relevant,</w:t>
      </w:r>
      <w:r>
        <w:t xml:space="preserve"> when making a decision.</w:t>
      </w:r>
    </w:p>
    <w:p w14:paraId="489C7647" w14:textId="2B9D63B6" w:rsidR="00754143" w:rsidRDefault="00AB2C0B" w:rsidP="002E55BC">
      <w:pPr>
        <w:pStyle w:val="BodyText1"/>
      </w:pPr>
      <w:r>
        <w:t xml:space="preserve">For more information about incorporated documents, </w:t>
      </w:r>
      <w:r w:rsidRPr="00F55DE7">
        <w:t>see</w:t>
      </w:r>
      <w:r w:rsidRPr="00BA0BD1">
        <w:t xml:space="preserve"> </w:t>
      </w:r>
      <w:r w:rsidR="0074503B" w:rsidRPr="00BA0BD1">
        <w:t>Chapter</w:t>
      </w:r>
      <w:r w:rsidRPr="00BA0BD1">
        <w:t xml:space="preserve"> </w:t>
      </w:r>
      <w:r w:rsidR="003779EB" w:rsidRPr="00BA0BD1">
        <w:t>6.</w:t>
      </w:r>
      <w:r w:rsidR="0040065E" w:rsidRPr="00BA0BD1">
        <w:t>6</w:t>
      </w:r>
      <w:r w:rsidR="003110AC" w:rsidRPr="00BA0BD1">
        <w:t>.1</w:t>
      </w:r>
      <w:r w:rsidRPr="00BA0BD1">
        <w:t>.</w:t>
      </w:r>
    </w:p>
    <w:p w14:paraId="489C7648" w14:textId="14CCE838" w:rsidR="00DC2411" w:rsidRDefault="00AB2C0B" w:rsidP="002E55BC">
      <w:pPr>
        <w:pStyle w:val="BodyText1"/>
      </w:pPr>
      <w:r w:rsidRPr="008C36C4">
        <w:t>Background documents provide information to explain the context in which a particular policy has been framed.</w:t>
      </w:r>
      <w:r w:rsidR="00DA5AF6" w:rsidRPr="008C36C4">
        <w:t xml:space="preserve"> </w:t>
      </w:r>
      <w:r w:rsidRPr="008C36C4">
        <w:t xml:space="preserve">A background document may explain why particular requirements are in the planning scheme, substantiate a specific issue or provide background to a provision. </w:t>
      </w:r>
      <w:r w:rsidR="00A71F51">
        <w:t>As</w:t>
      </w:r>
      <w:r w:rsidR="00A71F51" w:rsidRPr="008C36C4">
        <w:t xml:space="preserve"> </w:t>
      </w:r>
      <w:r w:rsidR="00F006E4" w:rsidRPr="008C36C4">
        <w:t>background documents are not part of the planning scheme</w:t>
      </w:r>
      <w:r w:rsidR="00B53CF7" w:rsidRPr="008C36C4">
        <w:t>,</w:t>
      </w:r>
      <w:r w:rsidR="00F006E4" w:rsidRPr="008C36C4">
        <w:t xml:space="preserve"> t</w:t>
      </w:r>
      <w:r w:rsidRPr="008C36C4">
        <w:t>he substantive planning elements of the document</w:t>
      </w:r>
      <w:r w:rsidR="00F006E4" w:rsidRPr="008C36C4">
        <w:t xml:space="preserve"> (such as built form guidelines or the like)</w:t>
      </w:r>
      <w:r w:rsidRPr="008C36C4">
        <w:t xml:space="preserve"> will have been included in the planning scheme in either a local policy or a schedule.</w:t>
      </w:r>
      <w:r w:rsidR="00F006E4" w:rsidRPr="008C36C4">
        <w:t xml:space="preserve"> </w:t>
      </w:r>
    </w:p>
    <w:p w14:paraId="489C7649" w14:textId="29AB2AE7" w:rsidR="00754143" w:rsidRDefault="00AB2C0B" w:rsidP="002E55BC">
      <w:pPr>
        <w:pStyle w:val="BodyText1"/>
      </w:pPr>
      <w:r>
        <w:t xml:space="preserve">Where a background document is directly related to a policy in </w:t>
      </w:r>
      <w:r w:rsidR="00092E0F" w:rsidRPr="00BA0BD1">
        <w:t>clauses</w:t>
      </w:r>
      <w:r w:rsidRPr="00BA0BD1">
        <w:t xml:space="preserve"> 10 to 19</w:t>
      </w:r>
      <w:r>
        <w:t xml:space="preserve"> it may be referenced </w:t>
      </w:r>
      <w:r w:rsidR="000E0B6C">
        <w:t xml:space="preserve">in </w:t>
      </w:r>
      <w:r>
        <w:t>that specific policy</w:t>
      </w:r>
      <w:r w:rsidR="000F11E5">
        <w:t xml:space="preserve"> as well as the schedule to </w:t>
      </w:r>
      <w:r w:rsidR="001F616D" w:rsidRPr="00BA0BD1">
        <w:t>c</w:t>
      </w:r>
      <w:r w:rsidR="000F11E5" w:rsidRPr="00BA0BD1">
        <w:t xml:space="preserve">lause </w:t>
      </w:r>
      <w:r w:rsidR="000E0B6C" w:rsidRPr="00BA0BD1">
        <w:t>72.08</w:t>
      </w:r>
      <w:r>
        <w:t>. If a background document relates to a substantial number of policies (such as a Regional Growth Plan) it should not be repetitively referenced in the PPF.</w:t>
      </w:r>
      <w:r w:rsidR="00DA5AF6">
        <w:t xml:space="preserve"> </w:t>
      </w:r>
      <w:r>
        <w:t xml:space="preserve">The schedule to </w:t>
      </w:r>
      <w:r w:rsidR="001F616D" w:rsidRPr="00BA0BD1">
        <w:t>c</w:t>
      </w:r>
      <w:r w:rsidRPr="00BA0BD1">
        <w:t>lause 72.08</w:t>
      </w:r>
      <w:r>
        <w:t xml:space="preserve"> enables a consolidated list of local background documents to be maintained in the planning scheme.</w:t>
      </w:r>
    </w:p>
    <w:p w14:paraId="64607D5C" w14:textId="5F9AA75C" w:rsidR="00412161" w:rsidRPr="008C36C4" w:rsidRDefault="00412161" w:rsidP="002E55BC">
      <w:pPr>
        <w:pStyle w:val="BodyText1"/>
      </w:pPr>
      <w:r w:rsidRPr="008C36C4">
        <w:t>Practice notes are not suitable to be referenced as background documents.</w:t>
      </w:r>
    </w:p>
    <w:p w14:paraId="489C764A" w14:textId="7032EF93" w:rsidR="00754143" w:rsidRPr="008C36C4" w:rsidRDefault="00AB2C0B" w:rsidP="002E55BC">
      <w:pPr>
        <w:pStyle w:val="BodyText1"/>
      </w:pPr>
      <w:r w:rsidRPr="008C36C4">
        <w:t xml:space="preserve">For more information on background documents, see </w:t>
      </w:r>
      <w:r w:rsidR="0074503B" w:rsidRPr="00BA0BD1">
        <w:t>Chapter</w:t>
      </w:r>
      <w:r w:rsidR="0040065E" w:rsidRPr="00BA0BD1">
        <w:t xml:space="preserve"> </w:t>
      </w:r>
      <w:r w:rsidR="003779EB" w:rsidRPr="00BA0BD1">
        <w:t>6.</w:t>
      </w:r>
      <w:r w:rsidR="00742525">
        <w:t>6.2</w:t>
      </w:r>
      <w:r w:rsidRPr="008C36C4">
        <w:t>.</w:t>
      </w:r>
    </w:p>
    <w:p w14:paraId="489C764B" w14:textId="77777777" w:rsidR="00DC2411" w:rsidRDefault="00AB2C0B" w:rsidP="002123AF">
      <w:pPr>
        <w:pStyle w:val="Heading4"/>
      </w:pPr>
      <w:r>
        <w:t>Policy maps</w:t>
      </w:r>
    </w:p>
    <w:p w14:paraId="489C764C" w14:textId="168F84D2" w:rsidR="00754143" w:rsidRDefault="00AB2C0B" w:rsidP="002E55BC">
      <w:pPr>
        <w:pStyle w:val="BodyText1"/>
      </w:pPr>
      <w:r>
        <w:t>Maps can be an important part of understanding the locational aspects of a local policy.</w:t>
      </w:r>
      <w:r w:rsidR="00DA5AF6">
        <w:t xml:space="preserve"> </w:t>
      </w:r>
      <w:r>
        <w:t xml:space="preserve">Maps are required where a policy application refers to a geographic area not already mapped elsewhere in a planning scheme. Where a policy area is adequately mapped </w:t>
      </w:r>
      <w:r>
        <w:lastRenderedPageBreak/>
        <w:t xml:space="preserve">elsewhere (such as </w:t>
      </w:r>
      <w:r w:rsidR="001513D0">
        <w:t>‘</w:t>
      </w:r>
      <w:r>
        <w:t>all land within the General Residential Zone Schedule 1</w:t>
      </w:r>
      <w:r w:rsidR="001513D0">
        <w:t>’</w:t>
      </w:r>
      <w:r>
        <w:t>) or it can be identified by an address, a map is not required.</w:t>
      </w:r>
    </w:p>
    <w:p w14:paraId="2EB71E91" w14:textId="5ADF6B9A" w:rsidR="00E41AB2" w:rsidRDefault="00E41AB2" w:rsidP="002E55BC">
      <w:pPr>
        <w:pStyle w:val="BodyText1"/>
      </w:pPr>
      <w:r w:rsidRPr="008C36C4">
        <w:t>Maps complement a policy</w:t>
      </w:r>
      <w:r w:rsidR="00304DAB">
        <w:t xml:space="preserve"> and</w:t>
      </w:r>
      <w:r w:rsidR="008C36C4">
        <w:t xml:space="preserve"> can be important in</w:t>
      </w:r>
      <w:r w:rsidR="009602D0">
        <w:t xml:space="preserve"> providing the spatial understanding of a policy.</w:t>
      </w:r>
      <w:r w:rsidR="00D92C0F">
        <w:t xml:space="preserve"> </w:t>
      </w:r>
      <w:r w:rsidR="00E52702" w:rsidRPr="008C36C4">
        <w:t>T</w:t>
      </w:r>
      <w:r w:rsidRPr="008C36C4">
        <w:t xml:space="preserve">hey cannot be a </w:t>
      </w:r>
      <w:r w:rsidR="00CC777D" w:rsidRPr="008C36C4">
        <w:t>substitute</w:t>
      </w:r>
      <w:r w:rsidRPr="008C36C4">
        <w:t xml:space="preserve"> for </w:t>
      </w:r>
      <w:r w:rsidR="00555A69" w:rsidRPr="008C36C4">
        <w:t>policy</w:t>
      </w:r>
      <w:r w:rsidRPr="008C36C4">
        <w:t>. Any policy content (such as a strategy or an objective) must be in the text of</w:t>
      </w:r>
      <w:r w:rsidR="00304DAB">
        <w:t xml:space="preserve"> the</w:t>
      </w:r>
      <w:r w:rsidRPr="008C36C4">
        <w:t xml:space="preserve"> policy.</w:t>
      </w:r>
    </w:p>
    <w:p w14:paraId="489C764D" w14:textId="4BFFA62A" w:rsidR="00754143" w:rsidRDefault="00AB2C0B" w:rsidP="002E55BC">
      <w:pPr>
        <w:pStyle w:val="BodyText1"/>
      </w:pPr>
      <w:r>
        <w:t>Maps should be digital (not a scanned copy of a paper map) and be of sufficient resolution to ensure that relevant details can be read.</w:t>
      </w:r>
      <w:r w:rsidR="00DA5AF6">
        <w:t xml:space="preserve"> </w:t>
      </w:r>
      <w:r>
        <w:t>If a map outlines precincts, the boundaries of those precincts must be clearly identifiable.</w:t>
      </w:r>
      <w:r w:rsidR="00DA5AF6">
        <w:t xml:space="preserve"> </w:t>
      </w:r>
      <w:r>
        <w:t xml:space="preserve">Maps must conform to the requirements of </w:t>
      </w:r>
      <w:r w:rsidRPr="00F8621E">
        <w:rPr>
          <w:i/>
          <w:iCs/>
        </w:rPr>
        <w:t>Ministerial Direction</w:t>
      </w:r>
      <w:r w:rsidR="00F8621E">
        <w:t xml:space="preserve"> -</w:t>
      </w:r>
      <w:r>
        <w:t xml:space="preserve"> </w:t>
      </w:r>
      <w:r w:rsidRPr="007E64CD">
        <w:rPr>
          <w:rStyle w:val="Emphasis"/>
        </w:rPr>
        <w:t>The Form and Content of Planning Schemes</w:t>
      </w:r>
      <w:r>
        <w:t>.</w:t>
      </w:r>
      <w:r w:rsidR="00DA5AF6">
        <w:t xml:space="preserve"> </w:t>
      </w:r>
      <w:r>
        <w:t xml:space="preserve">Use more than one map if that will convey the information </w:t>
      </w:r>
      <w:r w:rsidRPr="00F55DE7">
        <w:t>more clearly.</w:t>
      </w:r>
    </w:p>
    <w:p w14:paraId="22E1FB6F" w14:textId="40DA76B7" w:rsidR="006F1DFA" w:rsidRDefault="00A95051" w:rsidP="004F6A20">
      <w:pPr>
        <w:pStyle w:val="Heading3"/>
      </w:pPr>
      <w:bookmarkStart w:id="299" w:name="_Hlk32996134"/>
      <w:r>
        <w:t>6.4.3</w:t>
      </w:r>
      <w:r>
        <w:tab/>
      </w:r>
      <w:r w:rsidR="000B7EED">
        <w:tab/>
      </w:r>
      <w:r w:rsidR="004F1B63">
        <w:t>Applying the</w:t>
      </w:r>
      <w:r w:rsidR="006F1DFA">
        <w:t xml:space="preserve"> PPF policy elements</w:t>
      </w:r>
    </w:p>
    <w:bookmarkEnd w:id="299"/>
    <w:p w14:paraId="281DCFA2" w14:textId="77777777" w:rsidR="00401C96" w:rsidRDefault="00401C96" w:rsidP="002123AF">
      <w:pPr>
        <w:pStyle w:val="Heading4"/>
      </w:pPr>
      <w:r>
        <w:t>Differentiating policy elements</w:t>
      </w:r>
    </w:p>
    <w:p w14:paraId="1AB32F34" w14:textId="77777777" w:rsidR="00401C96" w:rsidRDefault="00401C96" w:rsidP="002E55BC">
      <w:pPr>
        <w:pStyle w:val="BodyText1"/>
      </w:pPr>
      <w:r>
        <w:t>The PPF’s ongoing legibility relies on each of the PPF policy elements being properly applied.</w:t>
      </w:r>
    </w:p>
    <w:p w14:paraId="67269DF4" w14:textId="53DB2DA0" w:rsidR="00401C96" w:rsidRDefault="00401C96" w:rsidP="002E55BC">
      <w:pPr>
        <w:pStyle w:val="BodyText1"/>
      </w:pPr>
      <w:r>
        <w:t>Knowing how each of the policy elements differ, how they relate to strategic directions in the MPS and how the state, regional and local policy levels interact is key to maintaining a concise, consistent and navigable planning scheme.</w:t>
      </w:r>
      <w:r w:rsidR="009D6810">
        <w:t xml:space="preserve"> </w:t>
      </w:r>
      <w:r>
        <w:t xml:space="preserve">The table below summarises </w:t>
      </w:r>
      <w:r w:rsidR="0074503B" w:rsidRPr="007A43CB">
        <w:t>Chapter</w:t>
      </w:r>
      <w:r w:rsidRPr="007A43CB">
        <w:t xml:space="preserve"> 6.4.2 </w:t>
      </w:r>
      <w:r w:rsidRPr="00800A9F">
        <w:t>above</w:t>
      </w:r>
      <w:r>
        <w:t>, explaining the key characteristics of the main PPF elements and how they relate to the strategic directions of the MPS.</w:t>
      </w:r>
    </w:p>
    <w:p w14:paraId="4F867F18" w14:textId="77777777" w:rsidR="00401C96" w:rsidRDefault="00401C96" w:rsidP="002E55BC">
      <w:pPr>
        <w:pStyle w:val="BodyText1"/>
      </w:pPr>
      <w:r>
        <w:t>The table and subsequent examples are provided to help clarify the difference between the policy elements.</w:t>
      </w:r>
    </w:p>
    <w:p w14:paraId="75C6934F" w14:textId="77777777" w:rsidR="00401C96" w:rsidRPr="00A04963" w:rsidRDefault="00401C96" w:rsidP="00D72398">
      <w:pPr>
        <w:pStyle w:val="Tablecaption"/>
        <w:tabs>
          <w:tab w:val="clear" w:pos="992"/>
          <w:tab w:val="clear" w:pos="1134"/>
          <w:tab w:val="clear" w:pos="5246"/>
        </w:tabs>
      </w:pPr>
      <w:r w:rsidRPr="00A04963">
        <w:t>MPS and PPF policy elements</w:t>
      </w:r>
    </w:p>
    <w:tbl>
      <w:tblPr>
        <w:tblStyle w:val="TableGrid"/>
        <w:tblW w:w="9005" w:type="dxa"/>
        <w:tblInd w:w="0" w:type="dxa"/>
        <w:tblLayout w:type="fixed"/>
        <w:tblLook w:val="00A0" w:firstRow="1" w:lastRow="0" w:firstColumn="1" w:lastColumn="0" w:noHBand="0" w:noVBand="0"/>
      </w:tblPr>
      <w:tblGrid>
        <w:gridCol w:w="2131"/>
        <w:gridCol w:w="2736"/>
        <w:gridCol w:w="4138"/>
      </w:tblGrid>
      <w:tr w:rsidR="00401C96" w:rsidRPr="00DF371F" w14:paraId="4827B460" w14:textId="77777777" w:rsidTr="00C63A84">
        <w:trPr>
          <w:cnfStyle w:val="100000000000" w:firstRow="1" w:lastRow="0" w:firstColumn="0" w:lastColumn="0" w:oddVBand="0" w:evenVBand="0" w:oddHBand="0" w:evenHBand="0" w:firstRowFirstColumn="0" w:firstRowLastColumn="0" w:lastRowFirstColumn="0" w:lastRowLastColumn="0"/>
          <w:tblHeader/>
        </w:trPr>
        <w:tc>
          <w:tcPr>
            <w:tcW w:w="2131" w:type="dxa"/>
            <w:tcBorders>
              <w:left w:val="nil"/>
            </w:tcBorders>
            <w:shd w:val="clear" w:color="auto" w:fill="00828D" w:themeFill="text2"/>
          </w:tcPr>
          <w:p w14:paraId="5E0E2480" w14:textId="77777777" w:rsidR="00401C96" w:rsidRPr="005D1650" w:rsidRDefault="00401C96" w:rsidP="00D02070">
            <w:pPr>
              <w:pStyle w:val="Tablecolhead"/>
            </w:pPr>
            <w:r w:rsidRPr="005D1650">
              <w:t>Policy Element</w:t>
            </w:r>
          </w:p>
        </w:tc>
        <w:tc>
          <w:tcPr>
            <w:tcW w:w="2736" w:type="dxa"/>
            <w:shd w:val="clear" w:color="auto" w:fill="00828D" w:themeFill="text2"/>
          </w:tcPr>
          <w:p w14:paraId="5F9B246E" w14:textId="77777777" w:rsidR="00401C96" w:rsidRPr="005D1650" w:rsidRDefault="00401C96" w:rsidP="00D02070">
            <w:pPr>
              <w:pStyle w:val="Tablecolhead"/>
            </w:pPr>
            <w:r w:rsidRPr="005D1650">
              <w:t>Function</w:t>
            </w:r>
          </w:p>
        </w:tc>
        <w:tc>
          <w:tcPr>
            <w:tcW w:w="4138" w:type="dxa"/>
            <w:tcBorders>
              <w:bottom w:val="single" w:sz="4" w:space="0" w:color="00828D"/>
              <w:right w:val="nil"/>
            </w:tcBorders>
            <w:shd w:val="clear" w:color="auto" w:fill="00828D" w:themeFill="text2"/>
          </w:tcPr>
          <w:p w14:paraId="5DD1794F" w14:textId="77777777" w:rsidR="00401C96" w:rsidRPr="005D1650" w:rsidRDefault="00401C96" w:rsidP="00D02070">
            <w:pPr>
              <w:pStyle w:val="Tablecolhead"/>
            </w:pPr>
            <w:r w:rsidRPr="005D1650">
              <w:t>Key characteristics</w:t>
            </w:r>
          </w:p>
        </w:tc>
      </w:tr>
      <w:tr w:rsidR="00401C96" w:rsidRPr="00DF371F" w14:paraId="54854D3D" w14:textId="77777777" w:rsidTr="00372B13">
        <w:trPr>
          <w:trHeight w:val="510"/>
        </w:trPr>
        <w:tc>
          <w:tcPr>
            <w:tcW w:w="2131" w:type="dxa"/>
            <w:tcBorders>
              <w:left w:val="nil"/>
            </w:tcBorders>
          </w:tcPr>
          <w:p w14:paraId="363F9733" w14:textId="77777777" w:rsidR="00401C96" w:rsidRPr="00DF371F" w:rsidRDefault="00401C96" w:rsidP="00A705A5">
            <w:pPr>
              <w:pStyle w:val="Tablebodybold"/>
              <w:jc w:val="both"/>
            </w:pPr>
            <w:r>
              <w:t xml:space="preserve">Strategic direction </w:t>
            </w:r>
            <w:r w:rsidRPr="00A04963">
              <w:rPr>
                <w:sz w:val="18"/>
                <w:szCs w:val="18"/>
              </w:rPr>
              <w:t>[MPS]</w:t>
            </w:r>
          </w:p>
        </w:tc>
        <w:tc>
          <w:tcPr>
            <w:tcW w:w="2736" w:type="dxa"/>
          </w:tcPr>
          <w:p w14:paraId="40984E94" w14:textId="33F97857" w:rsidR="00401C96" w:rsidRPr="007A43CB" w:rsidRDefault="00401C96" w:rsidP="00D02070">
            <w:pPr>
              <w:pStyle w:val="Tablebody"/>
              <w:rPr>
                <w:b/>
                <w:bCs/>
                <w:i/>
              </w:rPr>
            </w:pPr>
            <w:r w:rsidRPr="007A43CB">
              <w:rPr>
                <w:rStyle w:val="Strongitalic"/>
                <w:b w:val="0"/>
                <w:bCs w:val="0"/>
                <w:i w:val="0"/>
              </w:rPr>
              <w:t>Over</w:t>
            </w:r>
            <w:r w:rsidR="00356437" w:rsidRPr="007A43CB">
              <w:rPr>
                <w:rStyle w:val="Strongitalic"/>
                <w:b w:val="0"/>
                <w:bCs w:val="0"/>
                <w:i w:val="0"/>
              </w:rPr>
              <w:t>-</w:t>
            </w:r>
            <w:r w:rsidRPr="007A43CB">
              <w:rPr>
                <w:rStyle w:val="Strongitalic"/>
                <w:b w:val="0"/>
                <w:bCs w:val="0"/>
                <w:i w:val="0"/>
              </w:rPr>
              <w:t>arching municipal policy</w:t>
            </w:r>
          </w:p>
        </w:tc>
        <w:tc>
          <w:tcPr>
            <w:tcW w:w="4138" w:type="dxa"/>
            <w:tcBorders>
              <w:bottom w:val="single" w:sz="4" w:space="0" w:color="00828D"/>
              <w:right w:val="nil"/>
            </w:tcBorders>
            <w:shd w:val="clear" w:color="auto" w:fill="auto"/>
          </w:tcPr>
          <w:p w14:paraId="2E0B4F72" w14:textId="77777777" w:rsidR="00401C96" w:rsidRPr="00A04963" w:rsidRDefault="00401C96" w:rsidP="00723A0D">
            <w:pPr>
              <w:pStyle w:val="DELWPbullet1"/>
            </w:pPr>
            <w:r w:rsidRPr="00A04963">
              <w:t>Outlines the important local planning policies for the municipality</w:t>
            </w:r>
          </w:p>
          <w:p w14:paraId="02F38D6D" w14:textId="2ECFCC75" w:rsidR="00401C96" w:rsidRPr="00A04963" w:rsidRDefault="00401C96" w:rsidP="00723A0D">
            <w:pPr>
              <w:pStyle w:val="DELWPbullet1"/>
            </w:pPr>
            <w:r w:rsidRPr="00A04963">
              <w:t>Can reiterate a state planning policy, where the direction seeks to emphasise a key issue for the municipality</w:t>
            </w:r>
            <w:r w:rsidR="00EC49DF">
              <w:t>.</w:t>
            </w:r>
            <w:r w:rsidRPr="00A04963">
              <w:t xml:space="preserve"> </w:t>
            </w:r>
          </w:p>
        </w:tc>
      </w:tr>
      <w:tr w:rsidR="00401C96" w:rsidRPr="00DF371F" w14:paraId="4D3333E7" w14:textId="77777777" w:rsidTr="00372B13">
        <w:trPr>
          <w:trHeight w:val="510"/>
        </w:trPr>
        <w:tc>
          <w:tcPr>
            <w:tcW w:w="2131" w:type="dxa"/>
            <w:tcBorders>
              <w:left w:val="nil"/>
            </w:tcBorders>
          </w:tcPr>
          <w:p w14:paraId="18F0F14F" w14:textId="77777777" w:rsidR="00401C96" w:rsidRPr="00A04963" w:rsidRDefault="00401C96" w:rsidP="00D02070">
            <w:pPr>
              <w:pStyle w:val="Tablebodybold"/>
            </w:pPr>
            <w:r w:rsidRPr="00A04963">
              <w:t xml:space="preserve">Objective </w:t>
            </w:r>
            <w:r w:rsidRPr="00A04963">
              <w:rPr>
                <w:sz w:val="18"/>
                <w:szCs w:val="18"/>
              </w:rPr>
              <w:t>[PPF]</w:t>
            </w:r>
          </w:p>
        </w:tc>
        <w:tc>
          <w:tcPr>
            <w:tcW w:w="2736" w:type="dxa"/>
          </w:tcPr>
          <w:p w14:paraId="6E662D80" w14:textId="77777777" w:rsidR="00401C96" w:rsidRPr="00A04963" w:rsidRDefault="00401C96" w:rsidP="00D02070">
            <w:pPr>
              <w:pStyle w:val="Tablebody"/>
              <w:rPr>
                <w:i/>
              </w:rPr>
            </w:pPr>
            <w:r w:rsidRPr="007A43CB">
              <w:rPr>
                <w:rStyle w:val="Strongitalic"/>
                <w:b w:val="0"/>
                <w:bCs w:val="0"/>
                <w:i w:val="0"/>
              </w:rPr>
              <w:t>Key policy direction</w:t>
            </w:r>
            <w:r w:rsidRPr="00A04963">
              <w:rPr>
                <w:rStyle w:val="Strongitalic"/>
                <w:i w:val="0"/>
              </w:rPr>
              <w:t xml:space="preserve"> </w:t>
            </w:r>
            <w:r w:rsidRPr="00A04963">
              <w:rPr>
                <w:rStyle w:val="Strongitalic"/>
                <w:b w:val="0"/>
                <w:bCs w:val="0"/>
                <w:i w:val="0"/>
                <w:iCs/>
              </w:rPr>
              <w:t>(whether state, regional or local)</w:t>
            </w:r>
          </w:p>
        </w:tc>
        <w:tc>
          <w:tcPr>
            <w:tcW w:w="4138" w:type="dxa"/>
            <w:tcBorders>
              <w:bottom w:val="single" w:sz="4" w:space="0" w:color="00828D"/>
              <w:right w:val="nil"/>
            </w:tcBorders>
            <w:shd w:val="clear" w:color="auto" w:fill="auto"/>
          </w:tcPr>
          <w:p w14:paraId="60EC847B" w14:textId="77777777" w:rsidR="00401C96" w:rsidRPr="00A04963" w:rsidRDefault="00401C96" w:rsidP="00723A0D">
            <w:pPr>
              <w:pStyle w:val="DELWPbullet1"/>
            </w:pPr>
            <w:r w:rsidRPr="00A04963">
              <w:t xml:space="preserve">Sets out </w:t>
            </w:r>
            <w:r w:rsidRPr="00A04963">
              <w:rPr>
                <w:b/>
                <w:bCs/>
                <w:i/>
              </w:rPr>
              <w:t>what</w:t>
            </w:r>
            <w:r w:rsidRPr="00A04963">
              <w:t xml:space="preserve"> the aim of a policy is</w:t>
            </w:r>
          </w:p>
          <w:p w14:paraId="5230594D" w14:textId="77777777" w:rsidR="009D7877" w:rsidRPr="00A04963" w:rsidRDefault="00401C96" w:rsidP="00723A0D">
            <w:pPr>
              <w:pStyle w:val="DELWPbullet1"/>
            </w:pPr>
            <w:r w:rsidRPr="00A04963">
              <w:t>Outcome-based</w:t>
            </w:r>
          </w:p>
          <w:p w14:paraId="6CA33B9F" w14:textId="1DA13775" w:rsidR="009D7877" w:rsidRPr="00A04963" w:rsidRDefault="009D7877" w:rsidP="00723A0D">
            <w:pPr>
              <w:pStyle w:val="DELWPbullet1"/>
            </w:pPr>
            <w:r w:rsidRPr="00A04963">
              <w:t xml:space="preserve">Local objectives only required in exceptional circumstances </w:t>
            </w:r>
            <w:r w:rsidR="00BE09A2" w:rsidRPr="00A04963">
              <w:t>–</w:t>
            </w:r>
            <w:r w:rsidRPr="00A04963">
              <w:t xml:space="preserve"> where there is a need to </w:t>
            </w:r>
            <w:r w:rsidR="00AF522C" w:rsidRPr="00A04963">
              <w:t>expand on</w:t>
            </w:r>
            <w:r w:rsidRPr="00A04963">
              <w:t xml:space="preserve"> a state objective or strategy.</w:t>
            </w:r>
          </w:p>
        </w:tc>
      </w:tr>
      <w:tr w:rsidR="00401C96" w:rsidRPr="00DF371F" w14:paraId="6ADA5E29" w14:textId="77777777" w:rsidTr="00372B13">
        <w:trPr>
          <w:trHeight w:val="510"/>
        </w:trPr>
        <w:tc>
          <w:tcPr>
            <w:tcW w:w="2131" w:type="dxa"/>
            <w:tcBorders>
              <w:left w:val="nil"/>
            </w:tcBorders>
          </w:tcPr>
          <w:p w14:paraId="405B098C" w14:textId="0E10BAEE" w:rsidR="00401C96" w:rsidRPr="00A04963" w:rsidRDefault="00401C96" w:rsidP="00D02070">
            <w:pPr>
              <w:pStyle w:val="Tablebodybold"/>
            </w:pPr>
            <w:r w:rsidRPr="00A04963">
              <w:t>Strateg</w:t>
            </w:r>
            <w:r w:rsidR="00356437" w:rsidRPr="00A04963">
              <w:t>y</w:t>
            </w:r>
            <w:r w:rsidRPr="00A04963">
              <w:t xml:space="preserve"> </w:t>
            </w:r>
            <w:r w:rsidRPr="00A04963">
              <w:rPr>
                <w:sz w:val="18"/>
                <w:szCs w:val="18"/>
              </w:rPr>
              <w:t>[PPF]</w:t>
            </w:r>
          </w:p>
        </w:tc>
        <w:tc>
          <w:tcPr>
            <w:tcW w:w="2736" w:type="dxa"/>
          </w:tcPr>
          <w:p w14:paraId="7F8A1786" w14:textId="77777777" w:rsidR="00401C96" w:rsidRPr="00A04963" w:rsidRDefault="00401C96" w:rsidP="00D02070">
            <w:pPr>
              <w:pStyle w:val="Tablebody"/>
              <w:rPr>
                <w:b/>
              </w:rPr>
            </w:pPr>
            <w:r w:rsidRPr="007A43CB">
              <w:rPr>
                <w:bCs/>
              </w:rPr>
              <w:t>Detailed policy</w:t>
            </w:r>
            <w:r w:rsidRPr="00A04963">
              <w:rPr>
                <w:b/>
              </w:rPr>
              <w:t xml:space="preserve"> </w:t>
            </w:r>
            <w:r w:rsidRPr="00A04963">
              <w:t>describing how an objective, state strategy or an MPS strategic direction is to be achieved</w:t>
            </w:r>
          </w:p>
        </w:tc>
        <w:tc>
          <w:tcPr>
            <w:tcW w:w="4138" w:type="dxa"/>
            <w:tcBorders>
              <w:right w:val="nil"/>
            </w:tcBorders>
            <w:shd w:val="clear" w:color="auto" w:fill="auto"/>
          </w:tcPr>
          <w:p w14:paraId="6FB55D72" w14:textId="77777777" w:rsidR="00401C96" w:rsidRPr="00A04963" w:rsidRDefault="00401C96" w:rsidP="00723A0D">
            <w:pPr>
              <w:pStyle w:val="DELWPbullet1"/>
            </w:pPr>
            <w:r w:rsidRPr="00A04963">
              <w:t xml:space="preserve">Specifies </w:t>
            </w:r>
            <w:r w:rsidRPr="00A04963">
              <w:rPr>
                <w:b/>
                <w:bCs/>
                <w:i/>
              </w:rPr>
              <w:t>how</w:t>
            </w:r>
            <w:r w:rsidRPr="00A04963">
              <w:t xml:space="preserve"> a policy is to be achieved</w:t>
            </w:r>
          </w:p>
          <w:p w14:paraId="1BCEE2AA" w14:textId="25500022" w:rsidR="00401C96" w:rsidRPr="00A04963" w:rsidRDefault="00401C96" w:rsidP="00723A0D">
            <w:pPr>
              <w:pStyle w:val="DELWPbullet1"/>
            </w:pPr>
            <w:r w:rsidRPr="00A04963">
              <w:t>Is sufficiently flexible to allow for alternative solutions to achieve the outcome sought</w:t>
            </w:r>
            <w:r w:rsidR="00882FB6">
              <w:t>.</w:t>
            </w:r>
          </w:p>
        </w:tc>
      </w:tr>
      <w:tr w:rsidR="00401C96" w:rsidRPr="00DF371F" w14:paraId="779F2F7E" w14:textId="77777777" w:rsidTr="00372B13">
        <w:trPr>
          <w:trHeight w:val="510"/>
        </w:trPr>
        <w:tc>
          <w:tcPr>
            <w:tcW w:w="2131" w:type="dxa"/>
            <w:tcBorders>
              <w:left w:val="nil"/>
            </w:tcBorders>
          </w:tcPr>
          <w:p w14:paraId="565B32E5" w14:textId="32DFEE70" w:rsidR="00401C96" w:rsidRPr="00DF371F" w:rsidRDefault="00401C96" w:rsidP="00D02070">
            <w:pPr>
              <w:pStyle w:val="Tablebodybold"/>
            </w:pPr>
            <w:r w:rsidRPr="00DF371F">
              <w:lastRenderedPageBreak/>
              <w:t>Policy guideline</w:t>
            </w:r>
            <w:r>
              <w:t xml:space="preserve"> </w:t>
            </w:r>
            <w:r w:rsidRPr="00A04963">
              <w:rPr>
                <w:sz w:val="18"/>
                <w:szCs w:val="18"/>
              </w:rPr>
              <w:t>[PPF]</w:t>
            </w:r>
          </w:p>
        </w:tc>
        <w:tc>
          <w:tcPr>
            <w:tcW w:w="2736" w:type="dxa"/>
          </w:tcPr>
          <w:p w14:paraId="03BC5988" w14:textId="77777777" w:rsidR="00401C96" w:rsidRPr="00A04963" w:rsidRDefault="00401C96" w:rsidP="00D02070">
            <w:pPr>
              <w:pStyle w:val="Tablebody"/>
            </w:pPr>
            <w:r w:rsidRPr="007A43CB">
              <w:rPr>
                <w:bCs/>
              </w:rPr>
              <w:t>Prescribed policy options</w:t>
            </w:r>
            <w:r w:rsidRPr="00A04963">
              <w:rPr>
                <w:b/>
              </w:rPr>
              <w:t xml:space="preserve"> </w:t>
            </w:r>
            <w:r w:rsidRPr="00A04963">
              <w:t>describing how a local strategy may be implemented</w:t>
            </w:r>
          </w:p>
        </w:tc>
        <w:tc>
          <w:tcPr>
            <w:tcW w:w="4138" w:type="dxa"/>
            <w:tcBorders>
              <w:right w:val="nil"/>
            </w:tcBorders>
            <w:shd w:val="clear" w:color="auto" w:fill="auto"/>
          </w:tcPr>
          <w:p w14:paraId="6BC35DD1" w14:textId="6997765C" w:rsidR="00401C96" w:rsidRPr="00A04963" w:rsidRDefault="00401C96" w:rsidP="00723A0D">
            <w:pPr>
              <w:pStyle w:val="DELWPbullet1"/>
            </w:pPr>
            <w:r w:rsidRPr="00A04963">
              <w:t xml:space="preserve">Provides detailed guidance on </w:t>
            </w:r>
            <w:r w:rsidRPr="00A04963">
              <w:rPr>
                <w:b/>
                <w:bCs/>
                <w:i/>
              </w:rPr>
              <w:t>how</w:t>
            </w:r>
            <w:r w:rsidRPr="00A04963">
              <w:t xml:space="preserve"> a </w:t>
            </w:r>
            <w:r w:rsidR="00AF522C" w:rsidRPr="00A04963">
              <w:t>strategy</w:t>
            </w:r>
            <w:r w:rsidRPr="00A04963">
              <w:t xml:space="preserve"> is to be achieved</w:t>
            </w:r>
          </w:p>
          <w:p w14:paraId="40F30998" w14:textId="77777777" w:rsidR="00401C96" w:rsidRPr="00A04963" w:rsidRDefault="00401C96" w:rsidP="00723A0D">
            <w:pPr>
              <w:pStyle w:val="DELWPbullet1"/>
            </w:pPr>
            <w:r w:rsidRPr="00A04963">
              <w:t>Gives explicit/prescriptive measures</w:t>
            </w:r>
          </w:p>
          <w:p w14:paraId="46C3F0FF" w14:textId="77777777" w:rsidR="00401C96" w:rsidRPr="00A04963" w:rsidRDefault="00401C96" w:rsidP="00723A0D">
            <w:pPr>
              <w:pStyle w:val="DELWPbullet1"/>
            </w:pPr>
            <w:r w:rsidRPr="00A04963">
              <w:t>Typically represents one way of achieving a desired outcome, where other suitable options are available</w:t>
            </w:r>
          </w:p>
          <w:p w14:paraId="66014C3D" w14:textId="77777777" w:rsidR="00401C96" w:rsidRPr="00A04963" w:rsidRDefault="00401C96" w:rsidP="00723A0D">
            <w:pPr>
              <w:pStyle w:val="DELWPbullet1"/>
            </w:pPr>
            <w:r w:rsidRPr="00A04963">
              <w:t>Only required in exceptional circumstances</w:t>
            </w:r>
          </w:p>
          <w:p w14:paraId="201098F1" w14:textId="77777777" w:rsidR="00401C96" w:rsidRPr="00A04963" w:rsidRDefault="00401C96" w:rsidP="00723A0D">
            <w:pPr>
              <w:pStyle w:val="DELWPbullet1"/>
            </w:pPr>
            <w:r w:rsidRPr="00A04963">
              <w:t xml:space="preserve">Robust strategies coupled </w:t>
            </w:r>
            <w:r w:rsidR="00BE09A2" w:rsidRPr="00A04963">
              <w:t xml:space="preserve">with </w:t>
            </w:r>
            <w:r w:rsidRPr="00A04963">
              <w:t>zone and overlay provisions will usually avoid the need for policy guidelines</w:t>
            </w:r>
          </w:p>
          <w:p w14:paraId="5AD6A5B0" w14:textId="0921DD70" w:rsidR="00ED6E62" w:rsidRPr="00A04963" w:rsidRDefault="00ED6E62" w:rsidP="00723A0D">
            <w:pPr>
              <w:pStyle w:val="DELWPbullet1"/>
            </w:pPr>
            <w:r w:rsidRPr="00A04963">
              <w:t>Unlike decision guidelines, policy guidelines</w:t>
            </w:r>
            <w:r w:rsidR="00C54F1A" w:rsidRPr="00A04963">
              <w:t xml:space="preserve"> are directive.  They</w:t>
            </w:r>
            <w:r w:rsidRPr="00A04963">
              <w:t xml:space="preserve"> do not consist of neutral considerations</w:t>
            </w:r>
            <w:r w:rsidR="00882FB6">
              <w:t>.</w:t>
            </w:r>
          </w:p>
        </w:tc>
      </w:tr>
    </w:tbl>
    <w:p w14:paraId="187EB2C4" w14:textId="5FDD4D05" w:rsidR="007D6FB6" w:rsidRDefault="007D6FB6" w:rsidP="002E55BC">
      <w:pPr>
        <w:pStyle w:val="BodyText1"/>
      </w:pPr>
      <w:bookmarkStart w:id="300" w:name="_Hlk33438840"/>
      <w:r w:rsidRPr="004E4E9F">
        <w:t>The example below shows how strategic directions may restate a state planning policy to highlight a key issue for a municipality.</w:t>
      </w:r>
      <w:r w:rsidR="00D92C0F">
        <w:t xml:space="preserve"> </w:t>
      </w:r>
      <w:r w:rsidRPr="004E4E9F">
        <w:t>Duplicate policy is</w:t>
      </w:r>
      <w:r w:rsidR="00BE09A2">
        <w:t>,</w:t>
      </w:r>
      <w:r w:rsidRPr="004E4E9F">
        <w:t xml:space="preserve"> however</w:t>
      </w:r>
      <w:r w:rsidR="00BE09A2">
        <w:t>,</w:t>
      </w:r>
      <w:r w:rsidRPr="004E4E9F">
        <w:t xml:space="preserve"> not provided for within the PPF, as the integrated nature of the framework eliminates the need for </w:t>
      </w:r>
      <w:r>
        <w:t>any</w:t>
      </w:r>
      <w:r w:rsidRPr="004E4E9F">
        <w:t xml:space="preserve"> </w:t>
      </w:r>
      <w:r>
        <w:t>replication</w:t>
      </w:r>
      <w:r w:rsidRPr="004E4E9F">
        <w:t>.</w:t>
      </w:r>
    </w:p>
    <w:p w14:paraId="6FC07C01" w14:textId="77777777" w:rsidR="00514461" w:rsidRDefault="00514461" w:rsidP="00234F88">
      <w:pPr>
        <w:pStyle w:val="Heading4"/>
        <w:rPr>
          <w:rFonts w:cs="Arial"/>
          <w:i/>
        </w:rPr>
      </w:pPr>
      <w:bookmarkStart w:id="301" w:name="_Hlk33438870"/>
      <w:bookmarkEnd w:id="300"/>
      <w:r>
        <w:t xml:space="preserve">Reiterating state planning policy in MPS </w:t>
      </w:r>
      <w:r w:rsidRPr="00BE09A2">
        <w:t>–</w:t>
      </w:r>
      <w:r>
        <w:t xml:space="preserve"> </w:t>
      </w:r>
      <w:r w:rsidRPr="00AD011F">
        <w:t>Example</w:t>
      </w:r>
    </w:p>
    <w:tbl>
      <w:tblPr>
        <w:tblStyle w:val="TableGrid"/>
        <w:tblW w:w="900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3193"/>
        <w:gridCol w:w="5812"/>
      </w:tblGrid>
      <w:tr w:rsidR="007D6FB6" w:rsidRPr="0048528F" w14:paraId="6B19044E" w14:textId="77777777" w:rsidTr="00811368">
        <w:trPr>
          <w:cnfStyle w:val="100000000000" w:firstRow="1" w:lastRow="0" w:firstColumn="0" w:lastColumn="0" w:oddVBand="0" w:evenVBand="0" w:oddHBand="0" w:evenHBand="0" w:firstRowFirstColumn="0" w:firstRowLastColumn="0" w:lastRowFirstColumn="0" w:lastRowLastColumn="0"/>
          <w:trHeight w:val="510"/>
        </w:trPr>
        <w:tc>
          <w:tcPr>
            <w:tcW w:w="3193" w:type="dxa"/>
            <w:shd w:val="clear" w:color="auto" w:fill="D9ECEA"/>
            <w:vAlign w:val="top"/>
          </w:tcPr>
          <w:p w14:paraId="216FC6EA" w14:textId="77777777" w:rsidR="007D6FB6" w:rsidRPr="009C0327" w:rsidRDefault="007D6FB6" w:rsidP="00234F88">
            <w:pPr>
              <w:pStyle w:val="Tablebodybold"/>
            </w:pPr>
            <w:r w:rsidRPr="009C0327">
              <w:t>Strategic direction</w:t>
            </w:r>
            <w:r>
              <w:t>s</w:t>
            </w:r>
            <w:r w:rsidRPr="009C0327">
              <w:t xml:space="preserve"> </w:t>
            </w:r>
            <w:r w:rsidRPr="002473FA">
              <w:t>[MPS]</w:t>
            </w:r>
          </w:p>
        </w:tc>
        <w:tc>
          <w:tcPr>
            <w:tcW w:w="5812" w:type="dxa"/>
            <w:shd w:val="clear" w:color="auto" w:fill="D9ECEA"/>
          </w:tcPr>
          <w:p w14:paraId="582EC85D" w14:textId="2E675143" w:rsidR="007D6FB6" w:rsidRPr="00A04963" w:rsidRDefault="007D6FB6" w:rsidP="00D02070">
            <w:pPr>
              <w:pStyle w:val="Tablebody"/>
              <w:rPr>
                <w:rFonts w:ascii="Arial Narrow" w:hAnsi="Arial Narrow"/>
                <w:color w:val="4B978F" w:themeColor="accent2" w:themeShade="80"/>
                <w:sz w:val="16"/>
                <w:szCs w:val="16"/>
                <w:lang w:val="en-US" w:eastAsia="en-AU"/>
              </w:rPr>
            </w:pPr>
            <w:r w:rsidRPr="00A04963">
              <w:rPr>
                <w:lang w:val="en-US"/>
              </w:rPr>
              <w:t>Protect life and property from bushfire events.</w:t>
            </w:r>
            <w:r w:rsidR="009D6810" w:rsidRPr="00A04963">
              <w:rPr>
                <w:lang w:val="en-US"/>
              </w:rPr>
              <w:t xml:space="preserve"> </w:t>
            </w:r>
            <w:r w:rsidRPr="00A10EA3">
              <w:rPr>
                <w:rStyle w:val="PPFmarkupsourceChar"/>
              </w:rPr>
              <w:t>[</w:t>
            </w:r>
            <w:r w:rsidR="00CB446C" w:rsidRPr="00A10EA3">
              <w:rPr>
                <w:rStyle w:val="PPFmarkupsourceChar"/>
              </w:rPr>
              <w:t xml:space="preserve">clause </w:t>
            </w:r>
            <w:r w:rsidRPr="00A10EA3">
              <w:rPr>
                <w:rStyle w:val="PPFmarkupsourceChar"/>
              </w:rPr>
              <w:t>02.03-3 Gumnut Planning Scheme]</w:t>
            </w:r>
          </w:p>
          <w:p w14:paraId="15C96AF5" w14:textId="0BAC67DD" w:rsidR="007D6FB6" w:rsidRPr="00A04963" w:rsidRDefault="007D6FB6" w:rsidP="00D02070">
            <w:pPr>
              <w:pStyle w:val="Tablebody"/>
              <w:rPr>
                <w:lang w:val="en-US"/>
              </w:rPr>
            </w:pPr>
            <w:r w:rsidRPr="00A04963">
              <w:rPr>
                <w:lang w:val="en-US"/>
              </w:rPr>
              <w:t xml:space="preserve">Manage the urban bushfire threat interface of towns in areas prone to bushfire risk. </w:t>
            </w:r>
            <w:r w:rsidRPr="00A10EA3">
              <w:rPr>
                <w:rStyle w:val="PPFmarkupsourceChar"/>
              </w:rPr>
              <w:t>[</w:t>
            </w:r>
            <w:r w:rsidR="00820892" w:rsidRPr="00A10EA3">
              <w:rPr>
                <w:rStyle w:val="PPFmarkupsourceChar"/>
              </w:rPr>
              <w:t xml:space="preserve">clause </w:t>
            </w:r>
            <w:r w:rsidRPr="00A10EA3">
              <w:rPr>
                <w:rStyle w:val="PPFmarkupsourceChar"/>
              </w:rPr>
              <w:t>02.03-3 Gumnut Planning Scheme]</w:t>
            </w:r>
          </w:p>
        </w:tc>
      </w:tr>
      <w:tr w:rsidR="007D6FB6" w:rsidRPr="00AD011F" w14:paraId="2C96927C" w14:textId="77777777" w:rsidTr="00234F88">
        <w:trPr>
          <w:trHeight w:val="510"/>
        </w:trPr>
        <w:tc>
          <w:tcPr>
            <w:tcW w:w="3193" w:type="dxa"/>
            <w:shd w:val="clear" w:color="auto" w:fill="D9ECEA"/>
          </w:tcPr>
          <w:p w14:paraId="39C7133B" w14:textId="77777777" w:rsidR="007D6FB6" w:rsidRPr="009C0327" w:rsidRDefault="007D6FB6" w:rsidP="00234F88">
            <w:pPr>
              <w:pStyle w:val="Tablebodybold"/>
            </w:pPr>
            <w:r w:rsidRPr="009C0327">
              <w:t xml:space="preserve">State Planning Policy </w:t>
            </w:r>
            <w:r w:rsidRPr="002473FA">
              <w:t>[PPF]</w:t>
            </w:r>
          </w:p>
        </w:tc>
        <w:tc>
          <w:tcPr>
            <w:tcW w:w="5812" w:type="dxa"/>
            <w:shd w:val="clear" w:color="auto" w:fill="D9ECEA"/>
          </w:tcPr>
          <w:p w14:paraId="253991AE" w14:textId="79B313D1" w:rsidR="007D6FB6" w:rsidRPr="00A04963" w:rsidRDefault="007D6FB6" w:rsidP="00D02070">
            <w:pPr>
              <w:pStyle w:val="Tablebody"/>
              <w:rPr>
                <w:lang w:val="en-US"/>
              </w:rPr>
            </w:pPr>
            <w:r w:rsidRPr="00A04963">
              <w:rPr>
                <w:lang w:val="en-US"/>
              </w:rPr>
              <w:t xml:space="preserve">To strengthen the resilience of settlements and communities to bushfire through risk-based planning that </w:t>
            </w:r>
            <w:proofErr w:type="spellStart"/>
            <w:r w:rsidRPr="00A04963">
              <w:rPr>
                <w:lang w:val="en-US"/>
              </w:rPr>
              <w:t>prioritises</w:t>
            </w:r>
            <w:proofErr w:type="spellEnd"/>
            <w:r w:rsidRPr="00A04963">
              <w:rPr>
                <w:lang w:val="en-US"/>
              </w:rPr>
              <w:t xml:space="preserve"> the protection of human life.</w:t>
            </w:r>
            <w:r w:rsidRPr="00A04963">
              <w:t xml:space="preserve"> </w:t>
            </w:r>
            <w:r w:rsidRPr="00A10EA3">
              <w:rPr>
                <w:rStyle w:val="PPFmarkupsourceChar"/>
              </w:rPr>
              <w:t>[</w:t>
            </w:r>
            <w:r w:rsidR="00820892" w:rsidRPr="00A10EA3">
              <w:rPr>
                <w:rStyle w:val="PPFmarkupsourceChar"/>
              </w:rPr>
              <w:t xml:space="preserve">clause </w:t>
            </w:r>
            <w:r w:rsidRPr="00A10EA3">
              <w:rPr>
                <w:rStyle w:val="PPFmarkupsourceChar"/>
              </w:rPr>
              <w:t>13.02-1S]</w:t>
            </w:r>
          </w:p>
        </w:tc>
      </w:tr>
    </w:tbl>
    <w:bookmarkEnd w:id="301"/>
    <w:p w14:paraId="6B842621" w14:textId="49C2D883" w:rsidR="00401C96" w:rsidRDefault="00401C96" w:rsidP="002E55BC">
      <w:pPr>
        <w:pStyle w:val="BodyText1"/>
      </w:pPr>
      <w:r>
        <w:t xml:space="preserve">Some </w:t>
      </w:r>
      <w:r w:rsidR="00CD3BFE">
        <w:t xml:space="preserve">further </w:t>
      </w:r>
      <w:r>
        <w:t xml:space="preserve">examples of the </w:t>
      </w:r>
      <w:r w:rsidR="00CD3BFE">
        <w:t xml:space="preserve">main </w:t>
      </w:r>
      <w:r>
        <w:t xml:space="preserve">policy elements </w:t>
      </w:r>
      <w:r w:rsidR="00CD3BFE">
        <w:t xml:space="preserve">discussed in </w:t>
      </w:r>
      <w:r w:rsidR="00CD3BFE" w:rsidRPr="007A43CB">
        <w:t xml:space="preserve">Table </w:t>
      </w:r>
      <w:r w:rsidR="0061049F" w:rsidRPr="007A43CB">
        <w:t>6</w:t>
      </w:r>
      <w:r w:rsidR="00CD3BFE">
        <w:t xml:space="preserve"> </w:t>
      </w:r>
      <w:r>
        <w:t>are set out below</w:t>
      </w:r>
      <w:r w:rsidR="00CD3BFE">
        <w:t>.</w:t>
      </w:r>
      <w:r w:rsidR="00D92C0F">
        <w:t xml:space="preserve"> </w:t>
      </w:r>
      <w:r w:rsidR="0074503B" w:rsidRPr="007A43CB">
        <w:t>Chapter</w:t>
      </w:r>
      <w:r w:rsidR="00CD3BFE" w:rsidRPr="007A43CB">
        <w:t xml:space="preserve"> 6.4.2</w:t>
      </w:r>
      <w:r w:rsidR="00CD3BFE" w:rsidRPr="00A04963">
        <w:t xml:space="preserve"> above explains the operation of other policy elements, such as policy application and p</w:t>
      </w:r>
      <w:r w:rsidR="00CD3BFE">
        <w:t>olicy documents.</w:t>
      </w:r>
    </w:p>
    <w:p w14:paraId="69AA6636" w14:textId="77777777" w:rsidR="00B43636" w:rsidRPr="00B43636" w:rsidRDefault="00B43636" w:rsidP="00B43636">
      <w:pPr>
        <w:pStyle w:val="Heading4"/>
      </w:pPr>
      <w:r>
        <w:t xml:space="preserve">Positioning policy in MPS and PPF </w:t>
      </w:r>
      <w:r w:rsidRPr="00BE09A2">
        <w:t>–</w:t>
      </w:r>
      <w:r>
        <w:t xml:space="preserve"> </w:t>
      </w:r>
      <w:r w:rsidRPr="00AD011F">
        <w:t xml:space="preserve">Example </w:t>
      </w:r>
      <w:r>
        <w:t>1 – Scenic values</w:t>
      </w:r>
    </w:p>
    <w:tbl>
      <w:tblPr>
        <w:tblStyle w:val="TableGrid"/>
        <w:tblW w:w="900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3193"/>
        <w:gridCol w:w="5812"/>
      </w:tblGrid>
      <w:tr w:rsidR="00401C96" w:rsidRPr="0048528F" w14:paraId="6AAEF0F0" w14:textId="77777777" w:rsidTr="001D598B">
        <w:trPr>
          <w:cnfStyle w:val="100000000000" w:firstRow="1" w:lastRow="0" w:firstColumn="0" w:lastColumn="0" w:oddVBand="0" w:evenVBand="0" w:oddHBand="0" w:evenHBand="0" w:firstRowFirstColumn="0" w:firstRowLastColumn="0" w:lastRowFirstColumn="0" w:lastRowLastColumn="0"/>
          <w:trHeight w:val="510"/>
        </w:trPr>
        <w:tc>
          <w:tcPr>
            <w:tcW w:w="3193" w:type="dxa"/>
            <w:shd w:val="clear" w:color="auto" w:fill="D9ECEA" w:themeFill="accent2"/>
            <w:vAlign w:val="top"/>
          </w:tcPr>
          <w:p w14:paraId="4B41E6A6" w14:textId="77777777" w:rsidR="00401C96" w:rsidRPr="005557C7" w:rsidRDefault="00401C96" w:rsidP="00D02070">
            <w:pPr>
              <w:pStyle w:val="Tablebodybold"/>
            </w:pPr>
            <w:r w:rsidRPr="005557C7">
              <w:t>Strategic direction [MPS]</w:t>
            </w:r>
          </w:p>
        </w:tc>
        <w:tc>
          <w:tcPr>
            <w:tcW w:w="5812" w:type="dxa"/>
            <w:shd w:val="clear" w:color="auto" w:fill="D9ECEA" w:themeFill="accent2"/>
          </w:tcPr>
          <w:p w14:paraId="3A3A53D5" w14:textId="093AA894" w:rsidR="00401C96" w:rsidRPr="005557C7" w:rsidRDefault="00401C96" w:rsidP="00D02070">
            <w:pPr>
              <w:pStyle w:val="Tablebody"/>
            </w:pPr>
            <w:r w:rsidRPr="005557C7">
              <w:rPr>
                <w:lang w:val="en-US"/>
              </w:rPr>
              <w:t>Protect the environmental, landscape and scenic values of the Gumnut Ranges</w:t>
            </w:r>
            <w:r w:rsidRPr="005557C7">
              <w:t xml:space="preserve">. </w:t>
            </w:r>
            <w:r w:rsidRPr="00A10EA3">
              <w:rPr>
                <w:rStyle w:val="PPFmarkupsourceChar"/>
              </w:rPr>
              <w:t>[</w:t>
            </w:r>
            <w:r w:rsidR="00820892" w:rsidRPr="00A10EA3">
              <w:rPr>
                <w:rStyle w:val="PPFmarkupsourceChar"/>
              </w:rPr>
              <w:t xml:space="preserve">clause </w:t>
            </w:r>
            <w:r w:rsidRPr="00A10EA3">
              <w:rPr>
                <w:rStyle w:val="PPFmarkupsourceChar"/>
              </w:rPr>
              <w:t>02.03-2</w:t>
            </w:r>
            <w:r w:rsidR="00820892" w:rsidRPr="00A10EA3">
              <w:rPr>
                <w:rStyle w:val="PPFmarkupsourceChar"/>
              </w:rPr>
              <w:t xml:space="preserve"> Gumnut Planning Scheme</w:t>
            </w:r>
            <w:r w:rsidRPr="00A10EA3">
              <w:rPr>
                <w:rStyle w:val="PPFmarkupsourceChar"/>
              </w:rPr>
              <w:t>]</w:t>
            </w:r>
          </w:p>
        </w:tc>
      </w:tr>
      <w:tr w:rsidR="00401C96" w:rsidRPr="0048528F" w14:paraId="1EC2B0AA" w14:textId="77777777" w:rsidTr="00B43636">
        <w:trPr>
          <w:trHeight w:val="510"/>
        </w:trPr>
        <w:tc>
          <w:tcPr>
            <w:tcW w:w="3193" w:type="dxa"/>
            <w:shd w:val="clear" w:color="auto" w:fill="D9ECEA" w:themeFill="accent2"/>
          </w:tcPr>
          <w:p w14:paraId="545E09DE" w14:textId="77777777" w:rsidR="00401C96" w:rsidRPr="005557C7" w:rsidRDefault="00401C96" w:rsidP="00D02070">
            <w:pPr>
              <w:pStyle w:val="Tablebodybold"/>
            </w:pPr>
            <w:r w:rsidRPr="005557C7">
              <w:t>State Planning Policy [PPF]</w:t>
            </w:r>
          </w:p>
        </w:tc>
        <w:tc>
          <w:tcPr>
            <w:tcW w:w="5812" w:type="dxa"/>
            <w:shd w:val="clear" w:color="auto" w:fill="D9ECEA" w:themeFill="accent2"/>
          </w:tcPr>
          <w:p w14:paraId="36AD6BF5" w14:textId="428DF7C6" w:rsidR="00401C96" w:rsidRPr="005557C7" w:rsidRDefault="00401C96" w:rsidP="00D02070">
            <w:pPr>
              <w:pStyle w:val="Tablebody"/>
              <w:rPr>
                <w:rFonts w:ascii="Arial Narrow" w:hAnsi="Arial Narrow"/>
                <w:sz w:val="16"/>
                <w:szCs w:val="16"/>
                <w:lang w:val="en-US" w:eastAsia="en-AU"/>
              </w:rPr>
            </w:pPr>
            <w:r w:rsidRPr="005557C7">
              <w:rPr>
                <w:lang w:val="en-US"/>
              </w:rPr>
              <w:t xml:space="preserve">To protect and enhance significant landscapes and open spaces that contribute to character, </w:t>
            </w:r>
            <w:proofErr w:type="gramStart"/>
            <w:r w:rsidRPr="005557C7">
              <w:rPr>
                <w:lang w:val="en-US"/>
              </w:rPr>
              <w:t>identity</w:t>
            </w:r>
            <w:proofErr w:type="gramEnd"/>
            <w:r w:rsidRPr="005557C7">
              <w:rPr>
                <w:lang w:val="en-US"/>
              </w:rPr>
              <w:t xml:space="preserve"> and sustainable environments</w:t>
            </w:r>
            <w:r w:rsidRPr="005557C7">
              <w:t xml:space="preserve">. </w:t>
            </w:r>
            <w:r w:rsidRPr="00A10EA3">
              <w:rPr>
                <w:rStyle w:val="PPFmarkupsourceChar"/>
              </w:rPr>
              <w:t>[</w:t>
            </w:r>
            <w:r w:rsidR="00820892" w:rsidRPr="00A10EA3">
              <w:rPr>
                <w:rStyle w:val="PPFmarkupsourceChar"/>
              </w:rPr>
              <w:t xml:space="preserve">clause </w:t>
            </w:r>
            <w:r w:rsidRPr="00A10EA3">
              <w:rPr>
                <w:rStyle w:val="PPFmarkupsourceChar"/>
              </w:rPr>
              <w:t>12.05-2S]</w:t>
            </w:r>
          </w:p>
          <w:p w14:paraId="36135578" w14:textId="615EE70E" w:rsidR="00401C96" w:rsidRPr="005557C7" w:rsidRDefault="00401C96" w:rsidP="00D02070">
            <w:pPr>
              <w:pStyle w:val="Tablebody"/>
            </w:pPr>
            <w:r w:rsidRPr="005557C7">
              <w:t>The S</w:t>
            </w:r>
            <w:r w:rsidR="00CC2E93">
              <w:t>tate Planning Policy (S</w:t>
            </w:r>
            <w:r w:rsidRPr="005557C7">
              <w:t>PP</w:t>
            </w:r>
            <w:r w:rsidR="00CC2E93">
              <w:t>)</w:t>
            </w:r>
            <w:r w:rsidRPr="005557C7">
              <w:t xml:space="preserve"> also includes several relevant strategies.</w:t>
            </w:r>
          </w:p>
        </w:tc>
      </w:tr>
      <w:tr w:rsidR="00401C96" w14:paraId="220A6428" w14:textId="77777777" w:rsidTr="00B43636">
        <w:trPr>
          <w:trHeight w:val="392"/>
        </w:trPr>
        <w:tc>
          <w:tcPr>
            <w:tcW w:w="3193" w:type="dxa"/>
            <w:shd w:val="clear" w:color="auto" w:fill="D9ECEA" w:themeFill="accent2"/>
          </w:tcPr>
          <w:p w14:paraId="2E003BF5" w14:textId="77777777" w:rsidR="00401C96" w:rsidRPr="005557C7" w:rsidRDefault="00401C96" w:rsidP="00D02070">
            <w:pPr>
              <w:pStyle w:val="Tablebodybold"/>
            </w:pPr>
            <w:r w:rsidRPr="005557C7">
              <w:t>Local Planning Policy [PPF]</w:t>
            </w:r>
          </w:p>
        </w:tc>
        <w:tc>
          <w:tcPr>
            <w:tcW w:w="5812" w:type="dxa"/>
            <w:shd w:val="clear" w:color="auto" w:fill="D9ECEA" w:themeFill="accent2"/>
          </w:tcPr>
          <w:p w14:paraId="5A08E372" w14:textId="77777777" w:rsidR="00401C96" w:rsidRPr="005557C7" w:rsidRDefault="00401C96" w:rsidP="00D02070">
            <w:pPr>
              <w:pStyle w:val="Tablebody"/>
            </w:pPr>
          </w:p>
        </w:tc>
      </w:tr>
      <w:tr w:rsidR="00401C96" w:rsidRPr="002D38B7" w14:paraId="177E3D32" w14:textId="77777777" w:rsidTr="00B43636">
        <w:trPr>
          <w:trHeight w:val="510"/>
        </w:trPr>
        <w:tc>
          <w:tcPr>
            <w:tcW w:w="3193" w:type="dxa"/>
            <w:shd w:val="clear" w:color="auto" w:fill="D9ECEA" w:themeFill="accent2"/>
          </w:tcPr>
          <w:p w14:paraId="03B120E9" w14:textId="77777777" w:rsidR="00401C96" w:rsidRPr="005557C7" w:rsidRDefault="00401C96" w:rsidP="00A705A5">
            <w:pPr>
              <w:pStyle w:val="Tablebodybold"/>
              <w:numPr>
                <w:ilvl w:val="0"/>
                <w:numId w:val="19"/>
              </w:numPr>
            </w:pPr>
            <w:r w:rsidRPr="005557C7">
              <w:t>Objective</w:t>
            </w:r>
          </w:p>
        </w:tc>
        <w:tc>
          <w:tcPr>
            <w:tcW w:w="5812" w:type="dxa"/>
            <w:shd w:val="clear" w:color="auto" w:fill="D9ECEA" w:themeFill="accent2"/>
          </w:tcPr>
          <w:p w14:paraId="3D483DF9" w14:textId="25B07A45" w:rsidR="00401C96" w:rsidRPr="005557C7" w:rsidRDefault="00401C96" w:rsidP="00D02070">
            <w:pPr>
              <w:pStyle w:val="Tablebody"/>
            </w:pPr>
            <w:r w:rsidRPr="005557C7">
              <w:rPr>
                <w:lang w:val="en-US"/>
              </w:rPr>
              <w:t>To ensure development respects the scenic qualities of the Gumnut Ranges</w:t>
            </w:r>
            <w:r w:rsidRPr="005557C7">
              <w:t>.</w:t>
            </w:r>
            <w:r w:rsidRPr="005557C7">
              <w:rPr>
                <w:rFonts w:ascii="Arial Narrow" w:hAnsi="Arial Narrow"/>
                <w:color w:val="4B978F" w:themeColor="accent2" w:themeShade="80"/>
                <w:sz w:val="16"/>
                <w:szCs w:val="16"/>
                <w:lang w:val="en-US" w:eastAsia="en-AU"/>
              </w:rPr>
              <w:t xml:space="preserve"> </w:t>
            </w:r>
            <w:r w:rsidRPr="00A10EA3">
              <w:rPr>
                <w:rStyle w:val="PPFmarkupsourceChar"/>
              </w:rPr>
              <w:t>[12.05-2L</w:t>
            </w:r>
            <w:r w:rsidR="00820892" w:rsidRPr="00A10EA3">
              <w:rPr>
                <w:rStyle w:val="PPFmarkupsourceChar"/>
              </w:rPr>
              <w:t xml:space="preserve"> Gumnut Planning Scheme</w:t>
            </w:r>
            <w:r w:rsidRPr="00A10EA3">
              <w:rPr>
                <w:rStyle w:val="PPFmarkupsourceChar"/>
              </w:rPr>
              <w:t>]</w:t>
            </w:r>
          </w:p>
        </w:tc>
      </w:tr>
      <w:tr w:rsidR="00401C96" w:rsidRPr="00DD5588" w14:paraId="2E21B5E4" w14:textId="77777777" w:rsidTr="00B43636">
        <w:trPr>
          <w:trHeight w:val="268"/>
        </w:trPr>
        <w:tc>
          <w:tcPr>
            <w:tcW w:w="3193" w:type="dxa"/>
            <w:shd w:val="clear" w:color="auto" w:fill="D9ECEA" w:themeFill="accent2"/>
          </w:tcPr>
          <w:p w14:paraId="60FE626E" w14:textId="77777777" w:rsidR="00401C96" w:rsidRPr="005557C7" w:rsidRDefault="00401C96" w:rsidP="00A705A5">
            <w:pPr>
              <w:pStyle w:val="Tablebodybold"/>
              <w:numPr>
                <w:ilvl w:val="0"/>
                <w:numId w:val="19"/>
              </w:numPr>
            </w:pPr>
            <w:r w:rsidRPr="005557C7">
              <w:lastRenderedPageBreak/>
              <w:t>Strategies</w:t>
            </w:r>
          </w:p>
        </w:tc>
        <w:tc>
          <w:tcPr>
            <w:tcW w:w="5812" w:type="dxa"/>
            <w:shd w:val="clear" w:color="auto" w:fill="D9ECEA" w:themeFill="accent2"/>
          </w:tcPr>
          <w:p w14:paraId="1A1309CD" w14:textId="33E4226D" w:rsidR="00401C96" w:rsidRPr="005557C7" w:rsidRDefault="00401C96" w:rsidP="00D02070">
            <w:pPr>
              <w:pStyle w:val="Tablebody"/>
            </w:pPr>
            <w:r w:rsidRPr="005557C7">
              <w:t xml:space="preserve">Design development near ridgelines and hilltops </w:t>
            </w:r>
            <w:r w:rsidR="007511BB" w:rsidRPr="005557C7">
              <w:t xml:space="preserve">to follow </w:t>
            </w:r>
            <w:r w:rsidRPr="005557C7">
              <w:t>the profile</w:t>
            </w:r>
            <w:r w:rsidR="007511BB" w:rsidRPr="005557C7">
              <w:t xml:space="preserve"> of the land</w:t>
            </w:r>
            <w:r w:rsidR="00B66576" w:rsidRPr="005557C7">
              <w:t xml:space="preserve"> </w:t>
            </w:r>
            <w:r w:rsidRPr="005557C7">
              <w:t>on which it is sited.</w:t>
            </w:r>
            <w:r w:rsidR="009D6810" w:rsidRPr="005557C7">
              <w:t xml:space="preserve"> </w:t>
            </w:r>
            <w:r w:rsidRPr="00A10EA3">
              <w:rPr>
                <w:rStyle w:val="PPFmarkupsourceChar"/>
              </w:rPr>
              <w:t>[12.05-2L</w:t>
            </w:r>
            <w:r w:rsidR="00820892" w:rsidRPr="00A10EA3">
              <w:rPr>
                <w:rStyle w:val="PPFmarkupsourceChar"/>
              </w:rPr>
              <w:t xml:space="preserve"> Gumnut Planning Scheme</w:t>
            </w:r>
            <w:r w:rsidRPr="00A10EA3">
              <w:rPr>
                <w:rStyle w:val="PPFmarkupsourceChar"/>
              </w:rPr>
              <w:t>]</w:t>
            </w:r>
          </w:p>
          <w:p w14:paraId="676BD044" w14:textId="4AF094DE" w:rsidR="00401C96" w:rsidRPr="005557C7" w:rsidRDefault="00401C96" w:rsidP="00D02070">
            <w:pPr>
              <w:pStyle w:val="Tablebody"/>
            </w:pPr>
            <w:r w:rsidRPr="005557C7">
              <w:t>Minimise earthworks or removal of vegetation near ridgelines and hilltops.</w:t>
            </w:r>
            <w:r w:rsidR="009D6810" w:rsidRPr="005557C7">
              <w:t xml:space="preserve"> </w:t>
            </w:r>
            <w:r w:rsidRPr="00A10EA3">
              <w:rPr>
                <w:rStyle w:val="PPFmarkupsourceChar"/>
              </w:rPr>
              <w:t>[12.05-2L</w:t>
            </w:r>
            <w:r w:rsidR="00820892" w:rsidRPr="00A10EA3">
              <w:rPr>
                <w:rStyle w:val="PPFmarkupsourceChar"/>
              </w:rPr>
              <w:t xml:space="preserve"> Gumnut Planning Scheme</w:t>
            </w:r>
            <w:r w:rsidRPr="00A10EA3">
              <w:rPr>
                <w:rStyle w:val="PPFmarkupsourceChar"/>
              </w:rPr>
              <w:t>]</w:t>
            </w:r>
          </w:p>
        </w:tc>
      </w:tr>
      <w:tr w:rsidR="00401C96" w:rsidRPr="00ED1815" w14:paraId="612478DC" w14:textId="77777777" w:rsidTr="00B43636">
        <w:trPr>
          <w:trHeight w:val="277"/>
        </w:trPr>
        <w:tc>
          <w:tcPr>
            <w:tcW w:w="3193" w:type="dxa"/>
            <w:shd w:val="clear" w:color="auto" w:fill="D9ECEA" w:themeFill="accent2"/>
          </w:tcPr>
          <w:p w14:paraId="5E4BC8F6" w14:textId="77777777" w:rsidR="00401C96" w:rsidRPr="005557C7" w:rsidRDefault="00401C96" w:rsidP="00A705A5">
            <w:pPr>
              <w:pStyle w:val="Tablebodybold"/>
              <w:numPr>
                <w:ilvl w:val="0"/>
                <w:numId w:val="19"/>
              </w:numPr>
            </w:pPr>
            <w:r w:rsidRPr="005557C7">
              <w:t>Policy guidelines</w:t>
            </w:r>
          </w:p>
        </w:tc>
        <w:tc>
          <w:tcPr>
            <w:tcW w:w="5812" w:type="dxa"/>
            <w:shd w:val="clear" w:color="auto" w:fill="D9ECEA" w:themeFill="accent2"/>
          </w:tcPr>
          <w:p w14:paraId="1C697D1B" w14:textId="77777777" w:rsidR="00401C96" w:rsidRPr="005557C7" w:rsidRDefault="00401C96" w:rsidP="00D02070">
            <w:pPr>
              <w:pStyle w:val="Tablebody"/>
            </w:pPr>
            <w:r w:rsidRPr="005557C7">
              <w:t>Consider as relevant:</w:t>
            </w:r>
          </w:p>
          <w:p w14:paraId="15F13254" w14:textId="0E95AE13" w:rsidR="00401C96" w:rsidRPr="005557C7" w:rsidRDefault="00401C96" w:rsidP="00A10EA3">
            <w:pPr>
              <w:pStyle w:val="Tablebullet1"/>
            </w:pPr>
            <w:r w:rsidRPr="00A10EA3">
              <w:t>Avoiding earthworks or removal of vegetation on lots with a slope greater than 20</w:t>
            </w:r>
            <w:r w:rsidR="00B226DE" w:rsidRPr="00A10EA3">
              <w:t xml:space="preserve"> per cent</w:t>
            </w:r>
            <w:r w:rsidRPr="00A10EA3">
              <w:t xml:space="preserve">. </w:t>
            </w:r>
            <w:r w:rsidRPr="00A10EA3">
              <w:rPr>
                <w:rStyle w:val="PPFmarkupsourceChar"/>
              </w:rPr>
              <w:t>[12.05-2L</w:t>
            </w:r>
            <w:r w:rsidR="00820892" w:rsidRPr="00A10EA3">
              <w:rPr>
                <w:rStyle w:val="PPFmarkupsourceChar"/>
              </w:rPr>
              <w:t xml:space="preserve"> Gumnut Planning Scheme</w:t>
            </w:r>
            <w:r w:rsidRPr="00A10EA3">
              <w:rPr>
                <w:rStyle w:val="PPFmarkupsourceChar"/>
              </w:rPr>
              <w:t>]</w:t>
            </w:r>
          </w:p>
        </w:tc>
      </w:tr>
    </w:tbl>
    <w:p w14:paraId="4F3D808A" w14:textId="77777777" w:rsidR="00401C96" w:rsidRDefault="00401C96" w:rsidP="00401C96"/>
    <w:p w14:paraId="7BEC065E" w14:textId="77777777" w:rsidR="00B43636" w:rsidRPr="00AD011F" w:rsidRDefault="00B43636" w:rsidP="00B43636">
      <w:pPr>
        <w:pStyle w:val="Heading4"/>
      </w:pPr>
      <w:r>
        <w:t xml:space="preserve">Positioning policy in MPS and PPF </w:t>
      </w:r>
      <w:r w:rsidRPr="007C084A">
        <w:t>–</w:t>
      </w:r>
      <w:r>
        <w:t xml:space="preserve"> </w:t>
      </w:r>
      <w:r w:rsidRPr="00AD011F">
        <w:t xml:space="preserve">Example </w:t>
      </w:r>
      <w:r>
        <w:t>2 – Protecting farmland</w:t>
      </w:r>
    </w:p>
    <w:tbl>
      <w:tblPr>
        <w:tblStyle w:val="TableGrid"/>
        <w:tblW w:w="900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3193"/>
        <w:gridCol w:w="5812"/>
      </w:tblGrid>
      <w:tr w:rsidR="00401C96" w:rsidRPr="0048528F" w14:paraId="31DB8617" w14:textId="77777777" w:rsidTr="001D598B">
        <w:trPr>
          <w:cnfStyle w:val="100000000000" w:firstRow="1" w:lastRow="0" w:firstColumn="0" w:lastColumn="0" w:oddVBand="0" w:evenVBand="0" w:oddHBand="0" w:evenHBand="0" w:firstRowFirstColumn="0" w:firstRowLastColumn="0" w:lastRowFirstColumn="0" w:lastRowLastColumn="0"/>
          <w:trHeight w:val="510"/>
        </w:trPr>
        <w:tc>
          <w:tcPr>
            <w:tcW w:w="3193" w:type="dxa"/>
            <w:shd w:val="clear" w:color="auto" w:fill="D9ECEA" w:themeFill="accent2"/>
            <w:vAlign w:val="top"/>
          </w:tcPr>
          <w:p w14:paraId="1758E20D" w14:textId="77777777" w:rsidR="00401C96" w:rsidRPr="00AF522C" w:rsidRDefault="00401C96" w:rsidP="00D02070">
            <w:pPr>
              <w:pStyle w:val="Tablebodybold"/>
            </w:pPr>
            <w:r w:rsidRPr="00AF522C">
              <w:t>Strategic direction [MPS]</w:t>
            </w:r>
          </w:p>
        </w:tc>
        <w:tc>
          <w:tcPr>
            <w:tcW w:w="5812" w:type="dxa"/>
            <w:shd w:val="clear" w:color="auto" w:fill="D9ECEA" w:themeFill="accent2"/>
          </w:tcPr>
          <w:p w14:paraId="47E4DC12" w14:textId="77777777" w:rsidR="00401C96" w:rsidRPr="00367110" w:rsidRDefault="00401C96" w:rsidP="00D02070">
            <w:pPr>
              <w:pStyle w:val="Tablebody"/>
            </w:pPr>
            <w:r w:rsidRPr="00367110">
              <w:t xml:space="preserve">Discourage fragmentation of farming land and an oversupply of rural living land. </w:t>
            </w:r>
            <w:r w:rsidRPr="00A10EA3">
              <w:rPr>
                <w:rStyle w:val="PPFmarkupsourceChar"/>
              </w:rPr>
              <w:t>[02.03-4]</w:t>
            </w:r>
          </w:p>
        </w:tc>
      </w:tr>
      <w:tr w:rsidR="00401C96" w:rsidRPr="0048528F" w14:paraId="338A916B" w14:textId="77777777" w:rsidTr="00B43636">
        <w:trPr>
          <w:trHeight w:val="510"/>
        </w:trPr>
        <w:tc>
          <w:tcPr>
            <w:tcW w:w="3193" w:type="dxa"/>
            <w:shd w:val="clear" w:color="auto" w:fill="D9ECEA" w:themeFill="accent2"/>
          </w:tcPr>
          <w:p w14:paraId="4DB3FB3E" w14:textId="77777777" w:rsidR="00401C96" w:rsidRPr="00AF522C" w:rsidRDefault="00401C96" w:rsidP="00D02070">
            <w:pPr>
              <w:pStyle w:val="Tablebodybold"/>
            </w:pPr>
            <w:r w:rsidRPr="00AF522C">
              <w:t>State Planning Policy [PPF]</w:t>
            </w:r>
          </w:p>
        </w:tc>
        <w:tc>
          <w:tcPr>
            <w:tcW w:w="5812" w:type="dxa"/>
            <w:shd w:val="clear" w:color="auto" w:fill="D9ECEA" w:themeFill="accent2"/>
          </w:tcPr>
          <w:p w14:paraId="0CBA6007" w14:textId="77777777" w:rsidR="00401C96" w:rsidRPr="00367110" w:rsidRDefault="00401C96" w:rsidP="00D02070">
            <w:pPr>
              <w:pStyle w:val="Tablebody"/>
              <w:rPr>
                <w:rFonts w:ascii="Arial Narrow" w:hAnsi="Arial Narrow" w:cs="Arial"/>
                <w:sz w:val="16"/>
                <w:szCs w:val="16"/>
                <w:lang w:val="en-US" w:eastAsia="en-AU"/>
              </w:rPr>
            </w:pPr>
            <w:r w:rsidRPr="00367110">
              <w:t xml:space="preserve">To protect the state’s agricultural base by preserving productive farmland. </w:t>
            </w:r>
            <w:r w:rsidRPr="00A10EA3">
              <w:rPr>
                <w:rStyle w:val="PPFmarkupsourceChar"/>
              </w:rPr>
              <w:t>[14.01-1S]</w:t>
            </w:r>
          </w:p>
          <w:p w14:paraId="6502B299" w14:textId="3E239039" w:rsidR="00401C96" w:rsidRPr="00367110" w:rsidRDefault="00401C96" w:rsidP="00D02070">
            <w:pPr>
              <w:pStyle w:val="Tablebody"/>
            </w:pPr>
            <w:r w:rsidRPr="00367110">
              <w:t>The SPP also includes several relevant strategies.</w:t>
            </w:r>
          </w:p>
        </w:tc>
      </w:tr>
      <w:tr w:rsidR="00401C96" w:rsidRPr="0048528F" w14:paraId="0CCB994B" w14:textId="77777777" w:rsidTr="00B43636">
        <w:trPr>
          <w:trHeight w:val="446"/>
        </w:trPr>
        <w:tc>
          <w:tcPr>
            <w:tcW w:w="3193" w:type="dxa"/>
            <w:shd w:val="clear" w:color="auto" w:fill="D9ECEA" w:themeFill="accent2"/>
          </w:tcPr>
          <w:p w14:paraId="65F976AF" w14:textId="77777777" w:rsidR="00401C96" w:rsidRPr="00AF522C" w:rsidRDefault="00401C96" w:rsidP="00D02070">
            <w:pPr>
              <w:pStyle w:val="Tablebodybold"/>
            </w:pPr>
            <w:r w:rsidRPr="00AF522C">
              <w:t>Local Planning Policy [PPF]</w:t>
            </w:r>
          </w:p>
        </w:tc>
        <w:tc>
          <w:tcPr>
            <w:tcW w:w="5812" w:type="dxa"/>
            <w:shd w:val="clear" w:color="auto" w:fill="D9ECEA" w:themeFill="accent2"/>
          </w:tcPr>
          <w:p w14:paraId="2E4AF5FC" w14:textId="77777777" w:rsidR="00401C96" w:rsidRPr="00AF522C" w:rsidRDefault="00401C96" w:rsidP="00D02070">
            <w:pPr>
              <w:pStyle w:val="Tablebody"/>
            </w:pPr>
          </w:p>
        </w:tc>
      </w:tr>
      <w:tr w:rsidR="00401C96" w:rsidRPr="0048528F" w14:paraId="79385DD1" w14:textId="77777777" w:rsidTr="00B43636">
        <w:trPr>
          <w:trHeight w:val="510"/>
        </w:trPr>
        <w:tc>
          <w:tcPr>
            <w:tcW w:w="3193" w:type="dxa"/>
            <w:shd w:val="clear" w:color="auto" w:fill="D9ECEA" w:themeFill="accent2"/>
          </w:tcPr>
          <w:p w14:paraId="79C4966D" w14:textId="77777777" w:rsidR="00401C96" w:rsidRPr="00AF522C" w:rsidRDefault="00401C96" w:rsidP="00A705A5">
            <w:pPr>
              <w:pStyle w:val="Tablebodybold"/>
              <w:numPr>
                <w:ilvl w:val="0"/>
                <w:numId w:val="19"/>
              </w:numPr>
            </w:pPr>
            <w:r w:rsidRPr="00AF522C">
              <w:t>Objective</w:t>
            </w:r>
          </w:p>
        </w:tc>
        <w:tc>
          <w:tcPr>
            <w:tcW w:w="5812" w:type="dxa"/>
            <w:shd w:val="clear" w:color="auto" w:fill="D9ECEA" w:themeFill="accent2"/>
          </w:tcPr>
          <w:p w14:paraId="05CBDF0B" w14:textId="77777777" w:rsidR="00401C96" w:rsidRPr="002E794B" w:rsidRDefault="00401C96" w:rsidP="00D02070">
            <w:pPr>
              <w:pStyle w:val="Tablebody"/>
            </w:pPr>
            <w:r w:rsidRPr="002E794B">
              <w:t>N/A - The State Planning Policy establishes a clear and extensive basis for the local strategies below.</w:t>
            </w:r>
          </w:p>
        </w:tc>
      </w:tr>
      <w:tr w:rsidR="00401C96" w:rsidRPr="00DD5588" w14:paraId="2A39DF47" w14:textId="77777777" w:rsidTr="00B43636">
        <w:trPr>
          <w:trHeight w:val="510"/>
        </w:trPr>
        <w:tc>
          <w:tcPr>
            <w:tcW w:w="3193" w:type="dxa"/>
            <w:shd w:val="clear" w:color="auto" w:fill="D9ECEA" w:themeFill="accent2"/>
          </w:tcPr>
          <w:p w14:paraId="02741D4E" w14:textId="77777777" w:rsidR="00401C96" w:rsidRPr="00AF522C" w:rsidRDefault="00401C96" w:rsidP="00A705A5">
            <w:pPr>
              <w:pStyle w:val="Tablebodybold"/>
              <w:numPr>
                <w:ilvl w:val="0"/>
                <w:numId w:val="19"/>
              </w:numPr>
            </w:pPr>
            <w:r w:rsidRPr="00AF522C">
              <w:t>Strategies</w:t>
            </w:r>
          </w:p>
        </w:tc>
        <w:tc>
          <w:tcPr>
            <w:tcW w:w="5812" w:type="dxa"/>
            <w:shd w:val="clear" w:color="auto" w:fill="D9ECEA" w:themeFill="accent2"/>
          </w:tcPr>
          <w:p w14:paraId="3B94EEE9" w14:textId="675A9B7F" w:rsidR="00401C96" w:rsidRPr="00AD44A1" w:rsidRDefault="00401C96" w:rsidP="00D02070">
            <w:pPr>
              <w:pStyle w:val="Tablebody"/>
            </w:pPr>
            <w:r w:rsidRPr="00AD44A1">
              <w:t>Discourage subdivision and accommodation that does not directly support the use of land for agriculture.</w:t>
            </w:r>
            <w:r w:rsidR="009D6810" w:rsidRPr="00AD44A1">
              <w:t xml:space="preserve"> </w:t>
            </w:r>
            <w:r w:rsidRPr="00A10EA3">
              <w:rPr>
                <w:rStyle w:val="PPFmarkupsourceChar"/>
              </w:rPr>
              <w:t>[14.01-1L]</w:t>
            </w:r>
          </w:p>
          <w:p w14:paraId="5B9E359D" w14:textId="77777777" w:rsidR="00401C96" w:rsidRPr="00AD44A1" w:rsidRDefault="00401C96" w:rsidP="00D02070">
            <w:pPr>
              <w:pStyle w:val="Tablebody"/>
            </w:pPr>
            <w:r w:rsidRPr="00AD44A1">
              <w:t xml:space="preserve">Retain agricultural land in parcels of sufficient size for agricultural purposes. </w:t>
            </w:r>
            <w:r w:rsidRPr="00A10EA3">
              <w:rPr>
                <w:rStyle w:val="PPFmarkupsourceChar"/>
              </w:rPr>
              <w:t>[14.01-1L]</w:t>
            </w:r>
          </w:p>
          <w:p w14:paraId="5F7BB820" w14:textId="77777777" w:rsidR="00401C96" w:rsidRPr="00AD44A1" w:rsidRDefault="00401C96" w:rsidP="00D02070">
            <w:pPr>
              <w:pStyle w:val="Tablebody"/>
            </w:pPr>
            <w:r w:rsidRPr="00AD44A1">
              <w:t xml:space="preserve">Discourage subdivision that is not for the purpose of excising an existing dwelling that is excess to the requirements of a rural use. </w:t>
            </w:r>
            <w:r w:rsidRPr="00A10EA3">
              <w:rPr>
                <w:rStyle w:val="PPFmarkupsourceChar"/>
              </w:rPr>
              <w:t>[14.01-1L]</w:t>
            </w:r>
          </w:p>
          <w:p w14:paraId="285399A4" w14:textId="77777777" w:rsidR="00401C96" w:rsidRPr="00AF522C" w:rsidRDefault="00401C96" w:rsidP="00D02070">
            <w:pPr>
              <w:pStyle w:val="Tablebody"/>
            </w:pPr>
            <w:r w:rsidRPr="00AD44A1">
              <w:t xml:space="preserve">Restructure lots to create a smaller lot for a dwelling instead of the creation of additional lots. </w:t>
            </w:r>
            <w:r w:rsidRPr="00A10EA3">
              <w:rPr>
                <w:rStyle w:val="PPFmarkupsourceChar"/>
              </w:rPr>
              <w:t>[14.01-1L]</w:t>
            </w:r>
          </w:p>
        </w:tc>
      </w:tr>
      <w:tr w:rsidR="00401C96" w:rsidRPr="00DD5588" w14:paraId="3B383318" w14:textId="77777777" w:rsidTr="00B43636">
        <w:trPr>
          <w:trHeight w:val="277"/>
        </w:trPr>
        <w:tc>
          <w:tcPr>
            <w:tcW w:w="3193" w:type="dxa"/>
            <w:shd w:val="clear" w:color="auto" w:fill="D9ECEA" w:themeFill="accent2"/>
          </w:tcPr>
          <w:p w14:paraId="09377133" w14:textId="77777777" w:rsidR="00401C96" w:rsidRPr="00AD44A1" w:rsidRDefault="00401C96" w:rsidP="00A705A5">
            <w:pPr>
              <w:pStyle w:val="Tablebodybold"/>
              <w:numPr>
                <w:ilvl w:val="0"/>
                <w:numId w:val="19"/>
              </w:numPr>
            </w:pPr>
            <w:r w:rsidRPr="00AD44A1">
              <w:t>Policy guidelines</w:t>
            </w:r>
          </w:p>
        </w:tc>
        <w:tc>
          <w:tcPr>
            <w:tcW w:w="5812" w:type="dxa"/>
            <w:shd w:val="clear" w:color="auto" w:fill="D9ECEA" w:themeFill="accent2"/>
          </w:tcPr>
          <w:p w14:paraId="2EFE732A" w14:textId="77777777" w:rsidR="00401C96" w:rsidRPr="00AD44A1" w:rsidRDefault="00401C96" w:rsidP="00D02070">
            <w:pPr>
              <w:pStyle w:val="Tablebody"/>
            </w:pPr>
            <w:r w:rsidRPr="00AD44A1">
              <w:t>Consider as relevant:</w:t>
            </w:r>
          </w:p>
          <w:p w14:paraId="7294F097" w14:textId="77777777" w:rsidR="00401C96" w:rsidRPr="00A10EA3" w:rsidRDefault="00401C96" w:rsidP="00A10EA3">
            <w:pPr>
              <w:pStyle w:val="Tablebullet1"/>
              <w:ind w:left="247"/>
            </w:pPr>
            <w:r w:rsidRPr="00A10EA3">
              <w:t>A maximum lot size of 2 hectares for any dwelling.</w:t>
            </w:r>
          </w:p>
          <w:p w14:paraId="56DEC4FE" w14:textId="77777777" w:rsidR="00401C96" w:rsidRPr="00AD44A1" w:rsidRDefault="00401C96" w:rsidP="00A10EA3">
            <w:pPr>
              <w:pStyle w:val="Tablebullet1"/>
              <w:ind w:left="247"/>
              <w:rPr>
                <w:rFonts w:ascii="Arial" w:hAnsi="Arial"/>
                <w:i/>
              </w:rPr>
            </w:pPr>
            <w:r w:rsidRPr="00A10EA3">
              <w:t>Whether any excised dwellings are in habitable condition.</w:t>
            </w:r>
            <w:r w:rsidRPr="00AD44A1">
              <w:rPr>
                <w:rFonts w:ascii="Arial" w:hAnsi="Arial"/>
                <w:i/>
              </w:rPr>
              <w:t xml:space="preserve"> </w:t>
            </w:r>
            <w:r w:rsidRPr="00A10EA3">
              <w:rPr>
                <w:rStyle w:val="PPFmarkupsourceChar"/>
              </w:rPr>
              <w:t>[14.01-1L]</w:t>
            </w:r>
          </w:p>
        </w:tc>
      </w:tr>
    </w:tbl>
    <w:p w14:paraId="1F2B3305" w14:textId="327BAC39" w:rsidR="00C63A84" w:rsidRDefault="00C63A84" w:rsidP="00401C96"/>
    <w:p w14:paraId="5FE05E6A" w14:textId="77777777" w:rsidR="00B43636" w:rsidRPr="00B43636" w:rsidRDefault="00B43636" w:rsidP="00B43636">
      <w:pPr>
        <w:pStyle w:val="Heading4"/>
      </w:pPr>
      <w:r w:rsidRPr="00F57649">
        <w:t>Positioning policy in MPS and PPF –</w:t>
      </w:r>
      <w:r>
        <w:t xml:space="preserve"> </w:t>
      </w:r>
      <w:r w:rsidRPr="00AD011F">
        <w:t xml:space="preserve">Example </w:t>
      </w:r>
      <w:r>
        <w:t>3 - Signs</w:t>
      </w:r>
    </w:p>
    <w:tbl>
      <w:tblPr>
        <w:tblStyle w:val="TableGrid"/>
        <w:tblW w:w="9005" w:type="dxa"/>
        <w:tblInd w:w="0" w:type="dxa"/>
        <w:tblLayout w:type="fixed"/>
        <w:tblLook w:val="00A0" w:firstRow="1" w:lastRow="0" w:firstColumn="1" w:lastColumn="0" w:noHBand="0" w:noVBand="0"/>
      </w:tblPr>
      <w:tblGrid>
        <w:gridCol w:w="3193"/>
        <w:gridCol w:w="5812"/>
      </w:tblGrid>
      <w:tr w:rsidR="00401C96" w:rsidRPr="0048528F" w14:paraId="6ED4C709" w14:textId="77777777" w:rsidTr="001D598B">
        <w:trPr>
          <w:cnfStyle w:val="100000000000" w:firstRow="1" w:lastRow="0" w:firstColumn="0" w:lastColumn="0" w:oddVBand="0" w:evenVBand="0" w:oddHBand="0" w:evenHBand="0" w:firstRowFirstColumn="0" w:firstRowLastColumn="0" w:lastRowFirstColumn="0" w:lastRowLastColumn="0"/>
          <w:trHeight w:val="510"/>
        </w:trPr>
        <w:tc>
          <w:tcPr>
            <w:tcW w:w="3193" w:type="dxa"/>
            <w:tcBorders>
              <w:top w:val="nil"/>
              <w:left w:val="nil"/>
              <w:bottom w:val="nil"/>
              <w:right w:val="nil"/>
            </w:tcBorders>
            <w:shd w:val="clear" w:color="auto" w:fill="D9ECEA" w:themeFill="accent2"/>
            <w:vAlign w:val="top"/>
          </w:tcPr>
          <w:p w14:paraId="6FD50487" w14:textId="77777777" w:rsidR="00401C96" w:rsidRPr="00AF522C" w:rsidRDefault="00401C96" w:rsidP="00D02070">
            <w:pPr>
              <w:pStyle w:val="Tablebodybold"/>
            </w:pPr>
            <w:r w:rsidRPr="00AF522C">
              <w:t>Strategic direction [MPS]</w:t>
            </w:r>
          </w:p>
        </w:tc>
        <w:tc>
          <w:tcPr>
            <w:tcW w:w="5812" w:type="dxa"/>
            <w:tcBorders>
              <w:top w:val="nil"/>
              <w:left w:val="nil"/>
              <w:bottom w:val="nil"/>
              <w:right w:val="nil"/>
            </w:tcBorders>
            <w:shd w:val="clear" w:color="auto" w:fill="D9ECEA" w:themeFill="accent2"/>
          </w:tcPr>
          <w:p w14:paraId="5A1B929F" w14:textId="51144629" w:rsidR="00401C96" w:rsidRPr="00BE309F" w:rsidRDefault="00401C96" w:rsidP="00D02070">
            <w:pPr>
              <w:pStyle w:val="Tablebody"/>
            </w:pPr>
            <w:r w:rsidRPr="00BE309F">
              <w:t>Protect and enhance the municipality’s valued streetscapes by managing the scale, intensity and form of development.</w:t>
            </w:r>
            <w:r w:rsidR="009D6810" w:rsidRPr="00BE309F">
              <w:t xml:space="preserve"> </w:t>
            </w:r>
            <w:r w:rsidRPr="00A10EA3">
              <w:rPr>
                <w:rStyle w:val="PPFmarkupsourceChar"/>
              </w:rPr>
              <w:t>[02.03-5]</w:t>
            </w:r>
          </w:p>
        </w:tc>
      </w:tr>
      <w:tr w:rsidR="00401C96" w:rsidRPr="00583A6A" w14:paraId="631BAB73" w14:textId="77777777" w:rsidTr="00B43636">
        <w:trPr>
          <w:trHeight w:val="510"/>
        </w:trPr>
        <w:tc>
          <w:tcPr>
            <w:tcW w:w="3193" w:type="dxa"/>
            <w:tcBorders>
              <w:top w:val="nil"/>
              <w:left w:val="nil"/>
              <w:bottom w:val="nil"/>
              <w:right w:val="nil"/>
            </w:tcBorders>
            <w:shd w:val="clear" w:color="auto" w:fill="D9ECEA" w:themeFill="accent2"/>
          </w:tcPr>
          <w:p w14:paraId="73E485F9" w14:textId="77777777" w:rsidR="00401C96" w:rsidRPr="00583A6A" w:rsidRDefault="00401C96" w:rsidP="00D02070">
            <w:pPr>
              <w:pStyle w:val="Tablebodybold"/>
            </w:pPr>
            <w:r w:rsidRPr="00583A6A">
              <w:t>State Planning Policy [PPF]</w:t>
            </w:r>
          </w:p>
        </w:tc>
        <w:tc>
          <w:tcPr>
            <w:tcW w:w="5812" w:type="dxa"/>
            <w:tcBorders>
              <w:top w:val="nil"/>
              <w:left w:val="nil"/>
              <w:bottom w:val="nil"/>
              <w:right w:val="nil"/>
            </w:tcBorders>
            <w:shd w:val="clear" w:color="auto" w:fill="D9ECEA" w:themeFill="accent2"/>
          </w:tcPr>
          <w:p w14:paraId="20F49C44" w14:textId="77777777" w:rsidR="00401C96" w:rsidRPr="00583A6A" w:rsidRDefault="00401C96" w:rsidP="00D02070">
            <w:pPr>
              <w:pStyle w:val="Tablebody"/>
            </w:pPr>
            <w:r w:rsidRPr="00583A6A">
              <w:t xml:space="preserve">Require development to respond to its context in terms of character, cultural identity, natural features, surrounding landscape and climate. </w:t>
            </w:r>
            <w:r w:rsidRPr="00A10EA3">
              <w:rPr>
                <w:rStyle w:val="PPFmarkupsourceChar"/>
              </w:rPr>
              <w:t>[15.01-1S]</w:t>
            </w:r>
          </w:p>
        </w:tc>
      </w:tr>
      <w:tr w:rsidR="00401C96" w:rsidRPr="00583A6A" w14:paraId="7CC7064D" w14:textId="77777777" w:rsidTr="00B43636">
        <w:trPr>
          <w:trHeight w:val="392"/>
        </w:trPr>
        <w:tc>
          <w:tcPr>
            <w:tcW w:w="3193" w:type="dxa"/>
            <w:tcBorders>
              <w:top w:val="nil"/>
              <w:left w:val="nil"/>
              <w:bottom w:val="nil"/>
              <w:right w:val="nil"/>
            </w:tcBorders>
            <w:shd w:val="clear" w:color="auto" w:fill="D9ECEA" w:themeFill="accent2"/>
          </w:tcPr>
          <w:p w14:paraId="378D574F" w14:textId="77777777" w:rsidR="00401C96" w:rsidRPr="00583A6A" w:rsidRDefault="00401C96" w:rsidP="00D02070">
            <w:pPr>
              <w:pStyle w:val="Tablebodybold"/>
            </w:pPr>
            <w:r w:rsidRPr="00583A6A">
              <w:t>Local Planning Policy [PPF]</w:t>
            </w:r>
          </w:p>
        </w:tc>
        <w:tc>
          <w:tcPr>
            <w:tcW w:w="5812" w:type="dxa"/>
            <w:tcBorders>
              <w:top w:val="nil"/>
              <w:left w:val="nil"/>
              <w:bottom w:val="nil"/>
              <w:right w:val="nil"/>
            </w:tcBorders>
            <w:shd w:val="clear" w:color="auto" w:fill="D9ECEA" w:themeFill="accent2"/>
          </w:tcPr>
          <w:p w14:paraId="445B4731" w14:textId="77777777" w:rsidR="00401C96" w:rsidRPr="00583A6A" w:rsidRDefault="00401C96" w:rsidP="00D02070">
            <w:pPr>
              <w:pStyle w:val="Tablebody"/>
            </w:pPr>
          </w:p>
        </w:tc>
      </w:tr>
      <w:tr w:rsidR="00401C96" w:rsidRPr="00583A6A" w14:paraId="501394E8" w14:textId="77777777" w:rsidTr="00B43636">
        <w:trPr>
          <w:trHeight w:val="510"/>
        </w:trPr>
        <w:tc>
          <w:tcPr>
            <w:tcW w:w="3193" w:type="dxa"/>
            <w:tcBorders>
              <w:top w:val="nil"/>
              <w:left w:val="nil"/>
              <w:bottom w:val="nil"/>
              <w:right w:val="nil"/>
            </w:tcBorders>
            <w:shd w:val="clear" w:color="auto" w:fill="D9ECEA" w:themeFill="accent2"/>
          </w:tcPr>
          <w:p w14:paraId="7A49C090" w14:textId="77777777" w:rsidR="00401C96" w:rsidRPr="00583A6A" w:rsidRDefault="00401C96" w:rsidP="00A705A5">
            <w:pPr>
              <w:pStyle w:val="Tablebodybold"/>
              <w:numPr>
                <w:ilvl w:val="0"/>
                <w:numId w:val="19"/>
              </w:numPr>
            </w:pPr>
            <w:r w:rsidRPr="00583A6A">
              <w:t>Objective</w:t>
            </w:r>
          </w:p>
        </w:tc>
        <w:tc>
          <w:tcPr>
            <w:tcW w:w="5812" w:type="dxa"/>
            <w:tcBorders>
              <w:top w:val="nil"/>
              <w:left w:val="nil"/>
              <w:bottom w:val="nil"/>
              <w:right w:val="nil"/>
            </w:tcBorders>
            <w:shd w:val="clear" w:color="auto" w:fill="D9ECEA" w:themeFill="accent2"/>
          </w:tcPr>
          <w:p w14:paraId="7A6D599B" w14:textId="580688ED" w:rsidR="00401C96" w:rsidRPr="00583A6A" w:rsidRDefault="00401C96" w:rsidP="00D02070">
            <w:pPr>
              <w:pStyle w:val="Tablebody"/>
            </w:pPr>
            <w:r w:rsidRPr="00583A6A">
              <w:t xml:space="preserve">To promote signs that make a positive contribution to </w:t>
            </w:r>
            <w:r w:rsidR="007511BB" w:rsidRPr="00583A6A">
              <w:t>t</w:t>
            </w:r>
            <w:r w:rsidRPr="00583A6A">
              <w:t xml:space="preserve">he </w:t>
            </w:r>
            <w:r w:rsidR="007511BB" w:rsidRPr="00583A6A">
              <w:t>streetscape</w:t>
            </w:r>
            <w:r w:rsidRPr="00583A6A">
              <w:t xml:space="preserve">. </w:t>
            </w:r>
            <w:r w:rsidRPr="00A10EA3">
              <w:rPr>
                <w:rStyle w:val="PPFmarkupsourceChar"/>
              </w:rPr>
              <w:t>[15.01-1L]</w:t>
            </w:r>
          </w:p>
        </w:tc>
      </w:tr>
      <w:tr w:rsidR="00401C96" w:rsidRPr="00583A6A" w14:paraId="776359A5" w14:textId="77777777" w:rsidTr="00B43636">
        <w:trPr>
          <w:trHeight w:val="510"/>
        </w:trPr>
        <w:tc>
          <w:tcPr>
            <w:tcW w:w="3193" w:type="dxa"/>
            <w:tcBorders>
              <w:top w:val="nil"/>
              <w:left w:val="nil"/>
              <w:bottom w:val="nil"/>
              <w:right w:val="nil"/>
            </w:tcBorders>
            <w:shd w:val="clear" w:color="auto" w:fill="D9ECEA" w:themeFill="accent2"/>
          </w:tcPr>
          <w:p w14:paraId="1A445D07" w14:textId="77777777" w:rsidR="00401C96" w:rsidRPr="00583A6A" w:rsidRDefault="00401C96" w:rsidP="00A705A5">
            <w:pPr>
              <w:pStyle w:val="Tablebodybold"/>
              <w:numPr>
                <w:ilvl w:val="0"/>
                <w:numId w:val="19"/>
              </w:numPr>
            </w:pPr>
            <w:r w:rsidRPr="00583A6A">
              <w:lastRenderedPageBreak/>
              <w:t>Strategies</w:t>
            </w:r>
          </w:p>
        </w:tc>
        <w:tc>
          <w:tcPr>
            <w:tcW w:w="5812" w:type="dxa"/>
            <w:tcBorders>
              <w:top w:val="nil"/>
              <w:left w:val="nil"/>
              <w:bottom w:val="nil"/>
              <w:right w:val="nil"/>
            </w:tcBorders>
            <w:shd w:val="clear" w:color="auto" w:fill="D9ECEA" w:themeFill="accent2"/>
          </w:tcPr>
          <w:p w14:paraId="4BB199BA" w14:textId="7BFE02E7" w:rsidR="00401C96" w:rsidRPr="00583A6A" w:rsidRDefault="00401C96" w:rsidP="00D02070">
            <w:pPr>
              <w:pStyle w:val="Tablebody"/>
            </w:pPr>
            <w:r w:rsidRPr="00583A6A">
              <w:t>Encourage signs that are proportioned and designed to complement the host building</w:t>
            </w:r>
            <w:r w:rsidR="007511BB" w:rsidRPr="00583A6A">
              <w:t xml:space="preserve"> and</w:t>
            </w:r>
            <w:r w:rsidRPr="00583A6A">
              <w:t xml:space="preserve"> site. </w:t>
            </w:r>
            <w:r w:rsidRPr="00A10EA3">
              <w:rPr>
                <w:rStyle w:val="PPFmarkupsourceChar"/>
              </w:rPr>
              <w:t>[15.01-1L]</w:t>
            </w:r>
          </w:p>
        </w:tc>
      </w:tr>
      <w:tr w:rsidR="00401C96" w:rsidRPr="00583A6A" w14:paraId="4AF7557C" w14:textId="77777777" w:rsidTr="00B43636">
        <w:trPr>
          <w:trHeight w:val="277"/>
        </w:trPr>
        <w:tc>
          <w:tcPr>
            <w:tcW w:w="3193" w:type="dxa"/>
            <w:tcBorders>
              <w:top w:val="nil"/>
              <w:left w:val="nil"/>
              <w:bottom w:val="nil"/>
              <w:right w:val="nil"/>
            </w:tcBorders>
            <w:shd w:val="clear" w:color="auto" w:fill="D9ECEA" w:themeFill="accent2"/>
          </w:tcPr>
          <w:p w14:paraId="3973106B" w14:textId="77777777" w:rsidR="00401C96" w:rsidRPr="00583A6A" w:rsidRDefault="00401C96" w:rsidP="00A705A5">
            <w:pPr>
              <w:pStyle w:val="Tablebodybold"/>
              <w:numPr>
                <w:ilvl w:val="0"/>
                <w:numId w:val="19"/>
              </w:numPr>
            </w:pPr>
            <w:r w:rsidRPr="00583A6A">
              <w:t>Policy guidelines</w:t>
            </w:r>
          </w:p>
        </w:tc>
        <w:tc>
          <w:tcPr>
            <w:tcW w:w="5812" w:type="dxa"/>
            <w:tcBorders>
              <w:top w:val="nil"/>
              <w:left w:val="nil"/>
              <w:bottom w:val="nil"/>
              <w:right w:val="nil"/>
            </w:tcBorders>
            <w:shd w:val="clear" w:color="auto" w:fill="D9ECEA" w:themeFill="accent2"/>
          </w:tcPr>
          <w:p w14:paraId="0E49ADEB" w14:textId="77777777" w:rsidR="00401C96" w:rsidRPr="00583A6A" w:rsidRDefault="00401C96" w:rsidP="00D02070">
            <w:pPr>
              <w:pStyle w:val="Tablebody"/>
            </w:pPr>
            <w:bookmarkStart w:id="302" w:name="_Hlk532471919"/>
            <w:r w:rsidRPr="00583A6A">
              <w:t>Consider as relevant:</w:t>
            </w:r>
            <w:bookmarkEnd w:id="302"/>
          </w:p>
          <w:p w14:paraId="3BA1CA11" w14:textId="77777777" w:rsidR="00401C96" w:rsidRPr="0010729F" w:rsidRDefault="00401C96" w:rsidP="0010729F">
            <w:pPr>
              <w:pStyle w:val="Tablebullet1"/>
              <w:ind w:left="247"/>
            </w:pPr>
            <w:r w:rsidRPr="0010729F">
              <w:t>Limiting under-</w:t>
            </w:r>
            <w:proofErr w:type="spellStart"/>
            <w:r w:rsidRPr="0010729F">
              <w:t>verandah</w:t>
            </w:r>
            <w:proofErr w:type="spellEnd"/>
            <w:r w:rsidRPr="0010729F">
              <w:t xml:space="preserve"> signs to:</w:t>
            </w:r>
          </w:p>
          <w:p w14:paraId="48D1C2C5" w14:textId="77777777" w:rsidR="00401C96" w:rsidRPr="0010729F" w:rsidRDefault="00401C96" w:rsidP="00C33D4C">
            <w:pPr>
              <w:pStyle w:val="DELWPtablebullet2"/>
              <w:numPr>
                <w:ilvl w:val="1"/>
                <w:numId w:val="51"/>
              </w:numPr>
              <w:ind w:left="529"/>
            </w:pPr>
            <w:r w:rsidRPr="0010729F">
              <w:t>One sign per building.</w:t>
            </w:r>
          </w:p>
          <w:p w14:paraId="3229DC2E" w14:textId="77777777" w:rsidR="00401C96" w:rsidRPr="0010729F" w:rsidRDefault="00401C96" w:rsidP="00C33D4C">
            <w:pPr>
              <w:pStyle w:val="DELWPtablebullet2"/>
              <w:numPr>
                <w:ilvl w:val="1"/>
                <w:numId w:val="51"/>
              </w:numPr>
              <w:ind w:left="529"/>
            </w:pPr>
            <w:r w:rsidRPr="0010729F">
              <w:t>A maximum of 1.5 square metres in area.</w:t>
            </w:r>
          </w:p>
          <w:p w14:paraId="0AF097AC" w14:textId="67908FD6" w:rsidR="00401C96" w:rsidRPr="00583A6A" w:rsidRDefault="00401C96" w:rsidP="0010729F">
            <w:pPr>
              <w:pStyle w:val="Tablebullet1"/>
              <w:ind w:left="247"/>
              <w:rPr>
                <w:rFonts w:ascii="Arial" w:hAnsi="Arial"/>
                <w:i/>
              </w:rPr>
            </w:pPr>
            <w:r w:rsidRPr="0010729F">
              <w:t>…</w:t>
            </w:r>
            <w:r w:rsidRPr="00583A6A">
              <w:rPr>
                <w:rFonts w:ascii="Arial" w:hAnsi="Arial"/>
                <w:i/>
              </w:rPr>
              <w:t xml:space="preserve"> </w:t>
            </w:r>
            <w:r w:rsidR="00C37E8E" w:rsidRPr="00A10EA3">
              <w:rPr>
                <w:rStyle w:val="PPFmarkupsourceChar"/>
              </w:rPr>
              <w:t>[</w:t>
            </w:r>
            <w:r w:rsidRPr="00A10EA3">
              <w:rPr>
                <w:rStyle w:val="PPFmarkupsourceChar"/>
              </w:rPr>
              <w:t>15.01-1L]</w:t>
            </w:r>
          </w:p>
        </w:tc>
      </w:tr>
    </w:tbl>
    <w:p w14:paraId="0136C543" w14:textId="77777777" w:rsidR="00401C96" w:rsidRPr="00C63A84" w:rsidRDefault="00401C96" w:rsidP="00401C96">
      <w:pPr>
        <w:rPr>
          <w:sz w:val="16"/>
          <w:szCs w:val="16"/>
        </w:rPr>
      </w:pPr>
    </w:p>
    <w:p w14:paraId="2599F9CA" w14:textId="77777777" w:rsidR="00B43636" w:rsidRPr="00B43636" w:rsidRDefault="00B43636" w:rsidP="00B43636">
      <w:pPr>
        <w:pStyle w:val="Heading4"/>
      </w:pPr>
      <w:r w:rsidRPr="00583A6A">
        <w:t>Positioning policy in MPS and PPF – Example 4 – Caretaker’s house</w:t>
      </w:r>
    </w:p>
    <w:tbl>
      <w:tblPr>
        <w:tblStyle w:val="TableGrid"/>
        <w:tblW w:w="9005" w:type="dxa"/>
        <w:tblInd w:w="0" w:type="dxa"/>
        <w:tblLayout w:type="fixed"/>
        <w:tblLook w:val="00A0" w:firstRow="1" w:lastRow="0" w:firstColumn="1" w:lastColumn="0" w:noHBand="0" w:noVBand="0"/>
      </w:tblPr>
      <w:tblGrid>
        <w:gridCol w:w="3193"/>
        <w:gridCol w:w="5812"/>
      </w:tblGrid>
      <w:tr w:rsidR="00401C96" w:rsidRPr="00583A6A" w14:paraId="61184843" w14:textId="77777777" w:rsidTr="001D598B">
        <w:trPr>
          <w:cnfStyle w:val="100000000000" w:firstRow="1" w:lastRow="0" w:firstColumn="0" w:lastColumn="0" w:oddVBand="0" w:evenVBand="0" w:oddHBand="0" w:evenHBand="0" w:firstRowFirstColumn="0" w:firstRowLastColumn="0" w:lastRowFirstColumn="0" w:lastRowLastColumn="0"/>
          <w:trHeight w:val="510"/>
        </w:trPr>
        <w:tc>
          <w:tcPr>
            <w:tcW w:w="3193" w:type="dxa"/>
            <w:tcBorders>
              <w:top w:val="nil"/>
              <w:left w:val="nil"/>
              <w:bottom w:val="nil"/>
              <w:right w:val="nil"/>
            </w:tcBorders>
            <w:shd w:val="clear" w:color="auto" w:fill="D9ECEA" w:themeFill="accent2"/>
            <w:vAlign w:val="top"/>
          </w:tcPr>
          <w:p w14:paraId="16BA2499" w14:textId="77777777" w:rsidR="00401C96" w:rsidRPr="00583A6A" w:rsidRDefault="00401C96" w:rsidP="00D02070">
            <w:pPr>
              <w:pStyle w:val="Tablebodybold"/>
            </w:pPr>
            <w:r w:rsidRPr="00583A6A">
              <w:t>Strategic direction [MPS]</w:t>
            </w:r>
          </w:p>
        </w:tc>
        <w:tc>
          <w:tcPr>
            <w:tcW w:w="5812" w:type="dxa"/>
            <w:tcBorders>
              <w:top w:val="nil"/>
              <w:left w:val="nil"/>
              <w:bottom w:val="nil"/>
              <w:right w:val="nil"/>
            </w:tcBorders>
            <w:shd w:val="clear" w:color="auto" w:fill="D9ECEA" w:themeFill="accent2"/>
          </w:tcPr>
          <w:p w14:paraId="7E1AB17F" w14:textId="7CC441C2" w:rsidR="00401C96" w:rsidRPr="00583A6A" w:rsidRDefault="00401C96" w:rsidP="00D02070">
            <w:pPr>
              <w:pStyle w:val="Tablebody"/>
              <w:rPr>
                <w:lang w:val="en-US"/>
              </w:rPr>
            </w:pPr>
            <w:r w:rsidRPr="00583A6A">
              <w:rPr>
                <w:lang w:val="en-US"/>
              </w:rPr>
              <w:t>Preserve and grow employment in Gumnut by protecting industrial and commercial areas</w:t>
            </w:r>
            <w:r w:rsidRPr="00A10EA3">
              <w:rPr>
                <w:rStyle w:val="PPFmarkupsourceChar"/>
              </w:rPr>
              <w:t>.</w:t>
            </w:r>
            <w:r w:rsidR="009D6810" w:rsidRPr="00A10EA3">
              <w:rPr>
                <w:rStyle w:val="PPFmarkupsourceChar"/>
              </w:rPr>
              <w:t xml:space="preserve"> </w:t>
            </w:r>
            <w:r w:rsidRPr="00A10EA3">
              <w:rPr>
                <w:rStyle w:val="PPFmarkupsourceChar"/>
              </w:rPr>
              <w:t>[02.03-3]</w:t>
            </w:r>
          </w:p>
        </w:tc>
      </w:tr>
      <w:tr w:rsidR="00401C96" w:rsidRPr="0048528F" w14:paraId="6E3D65E1" w14:textId="77777777" w:rsidTr="00B43636">
        <w:trPr>
          <w:trHeight w:val="510"/>
        </w:trPr>
        <w:tc>
          <w:tcPr>
            <w:tcW w:w="3193" w:type="dxa"/>
            <w:tcBorders>
              <w:top w:val="nil"/>
              <w:left w:val="nil"/>
              <w:bottom w:val="nil"/>
              <w:right w:val="nil"/>
            </w:tcBorders>
            <w:shd w:val="clear" w:color="auto" w:fill="D9ECEA" w:themeFill="accent2"/>
          </w:tcPr>
          <w:p w14:paraId="7B9922F4" w14:textId="77777777" w:rsidR="00401C96" w:rsidRPr="00583A6A" w:rsidRDefault="00401C96" w:rsidP="00D02070">
            <w:pPr>
              <w:pStyle w:val="Tablebodybold"/>
            </w:pPr>
            <w:r w:rsidRPr="00583A6A">
              <w:t>State Planning Policy [PPF]</w:t>
            </w:r>
          </w:p>
        </w:tc>
        <w:tc>
          <w:tcPr>
            <w:tcW w:w="5812" w:type="dxa"/>
            <w:tcBorders>
              <w:top w:val="nil"/>
              <w:left w:val="nil"/>
              <w:bottom w:val="nil"/>
              <w:right w:val="nil"/>
            </w:tcBorders>
            <w:shd w:val="clear" w:color="auto" w:fill="D9ECEA" w:themeFill="accent2"/>
          </w:tcPr>
          <w:p w14:paraId="3CDEEB11" w14:textId="2C0A7F15" w:rsidR="00401C96" w:rsidRPr="00583A6A" w:rsidRDefault="003B06CC" w:rsidP="00D02070">
            <w:pPr>
              <w:pStyle w:val="Tablebody"/>
              <w:rPr>
                <w:rFonts w:ascii="Arial Narrow" w:hAnsi="Arial Narrow"/>
                <w:sz w:val="16"/>
                <w:szCs w:val="16"/>
                <w:lang w:val="en-US" w:eastAsia="en-AU"/>
              </w:rPr>
            </w:pPr>
            <w:r w:rsidRPr="00583A6A">
              <w:rPr>
                <w:lang w:val="en-US"/>
              </w:rPr>
              <w:t>To protect community amenity, human health and safety while facilitating appropriate commercial, industrial, infrastructure or other uses with potential adverse off-site impacts.</w:t>
            </w:r>
            <w:r w:rsidR="00401C96" w:rsidRPr="00583A6A">
              <w:t xml:space="preserve"> </w:t>
            </w:r>
            <w:r w:rsidR="00401C96" w:rsidRPr="00A10EA3">
              <w:rPr>
                <w:rStyle w:val="PPFmarkupsourceChar"/>
              </w:rPr>
              <w:t>[13.07-1S]</w:t>
            </w:r>
          </w:p>
          <w:p w14:paraId="4EECD1E7" w14:textId="1A5AC15A" w:rsidR="00401C96" w:rsidRPr="00583A6A" w:rsidRDefault="00401C96" w:rsidP="00D02070">
            <w:pPr>
              <w:pStyle w:val="Tablebody"/>
            </w:pPr>
            <w:r w:rsidRPr="00583A6A">
              <w:t xml:space="preserve">The SPP also includes relevant strategies at </w:t>
            </w:r>
            <w:r w:rsidR="001F616D">
              <w:t>c</w:t>
            </w:r>
            <w:r w:rsidRPr="00583A6A">
              <w:t xml:space="preserve">lause 13.07-1S and in </w:t>
            </w:r>
            <w:r w:rsidR="001F616D">
              <w:t>c</w:t>
            </w:r>
            <w:r w:rsidRPr="00583A6A">
              <w:t>lause 17.</w:t>
            </w:r>
          </w:p>
        </w:tc>
      </w:tr>
      <w:tr w:rsidR="00401C96" w14:paraId="4979564D" w14:textId="77777777" w:rsidTr="00B43636">
        <w:trPr>
          <w:trHeight w:val="392"/>
        </w:trPr>
        <w:tc>
          <w:tcPr>
            <w:tcW w:w="3193" w:type="dxa"/>
            <w:tcBorders>
              <w:top w:val="nil"/>
              <w:left w:val="nil"/>
              <w:bottom w:val="nil"/>
              <w:right w:val="nil"/>
            </w:tcBorders>
            <w:shd w:val="clear" w:color="auto" w:fill="D9ECEA" w:themeFill="accent2"/>
          </w:tcPr>
          <w:p w14:paraId="447A5635" w14:textId="77777777" w:rsidR="00401C96" w:rsidRPr="00AF522C" w:rsidRDefault="00401C96" w:rsidP="00D02070">
            <w:pPr>
              <w:pStyle w:val="Tablebodybold"/>
            </w:pPr>
            <w:r w:rsidRPr="00AF522C">
              <w:t>Local Planning Policy [PPF]</w:t>
            </w:r>
          </w:p>
        </w:tc>
        <w:tc>
          <w:tcPr>
            <w:tcW w:w="5812" w:type="dxa"/>
            <w:tcBorders>
              <w:top w:val="nil"/>
              <w:left w:val="nil"/>
              <w:bottom w:val="nil"/>
              <w:right w:val="nil"/>
            </w:tcBorders>
            <w:shd w:val="clear" w:color="auto" w:fill="D9ECEA" w:themeFill="accent2"/>
          </w:tcPr>
          <w:p w14:paraId="244A17A2" w14:textId="77777777" w:rsidR="00401C96" w:rsidRPr="00AF522C" w:rsidRDefault="00401C96" w:rsidP="00D02070">
            <w:pPr>
              <w:pStyle w:val="Tablebody"/>
            </w:pPr>
          </w:p>
        </w:tc>
      </w:tr>
      <w:tr w:rsidR="00401C96" w:rsidRPr="002D38B7" w14:paraId="7F5198E0" w14:textId="77777777" w:rsidTr="00B43636">
        <w:trPr>
          <w:trHeight w:val="510"/>
        </w:trPr>
        <w:tc>
          <w:tcPr>
            <w:tcW w:w="3193" w:type="dxa"/>
            <w:tcBorders>
              <w:top w:val="nil"/>
              <w:left w:val="nil"/>
              <w:bottom w:val="nil"/>
              <w:right w:val="nil"/>
            </w:tcBorders>
            <w:shd w:val="clear" w:color="auto" w:fill="D9ECEA" w:themeFill="accent2"/>
          </w:tcPr>
          <w:p w14:paraId="4EF0A781" w14:textId="77777777" w:rsidR="00401C96" w:rsidRPr="00AF522C" w:rsidRDefault="00401C96" w:rsidP="00A705A5">
            <w:pPr>
              <w:pStyle w:val="Tablebodybold"/>
              <w:numPr>
                <w:ilvl w:val="0"/>
                <w:numId w:val="19"/>
              </w:numPr>
            </w:pPr>
            <w:r w:rsidRPr="00AF522C">
              <w:t>Objective</w:t>
            </w:r>
          </w:p>
        </w:tc>
        <w:tc>
          <w:tcPr>
            <w:tcW w:w="5812" w:type="dxa"/>
            <w:tcBorders>
              <w:top w:val="nil"/>
              <w:left w:val="nil"/>
              <w:bottom w:val="nil"/>
              <w:right w:val="nil"/>
            </w:tcBorders>
            <w:shd w:val="clear" w:color="auto" w:fill="D9ECEA" w:themeFill="accent2"/>
          </w:tcPr>
          <w:p w14:paraId="0156F069" w14:textId="77777777" w:rsidR="00401C96" w:rsidRPr="002A632E" w:rsidRDefault="00401C96" w:rsidP="00D02070">
            <w:pPr>
              <w:pStyle w:val="Tablebody"/>
              <w:rPr>
                <w:color w:val="4B978F" w:themeColor="accent2" w:themeShade="80"/>
              </w:rPr>
            </w:pPr>
            <w:r w:rsidRPr="002A632E">
              <w:t>N/A - The State Planning Policy establishes a clear basis for the local strategy below.</w:t>
            </w:r>
          </w:p>
        </w:tc>
      </w:tr>
      <w:tr w:rsidR="00401C96" w:rsidRPr="00DD5588" w14:paraId="746D0B9D" w14:textId="77777777" w:rsidTr="00B43636">
        <w:trPr>
          <w:trHeight w:val="274"/>
        </w:trPr>
        <w:tc>
          <w:tcPr>
            <w:tcW w:w="3193" w:type="dxa"/>
            <w:tcBorders>
              <w:top w:val="nil"/>
              <w:left w:val="nil"/>
              <w:bottom w:val="nil"/>
              <w:right w:val="nil"/>
            </w:tcBorders>
            <w:shd w:val="clear" w:color="auto" w:fill="D9ECEA" w:themeFill="accent2"/>
          </w:tcPr>
          <w:p w14:paraId="7862B412" w14:textId="77777777" w:rsidR="00401C96" w:rsidRPr="00AF522C" w:rsidRDefault="00401C96" w:rsidP="00A705A5">
            <w:pPr>
              <w:pStyle w:val="Tablebodybold"/>
              <w:numPr>
                <w:ilvl w:val="0"/>
                <w:numId w:val="19"/>
              </w:numPr>
            </w:pPr>
            <w:r w:rsidRPr="00AF522C">
              <w:t>Strategies</w:t>
            </w:r>
          </w:p>
        </w:tc>
        <w:tc>
          <w:tcPr>
            <w:tcW w:w="5812" w:type="dxa"/>
            <w:tcBorders>
              <w:top w:val="nil"/>
              <w:left w:val="nil"/>
              <w:bottom w:val="nil"/>
              <w:right w:val="nil"/>
            </w:tcBorders>
            <w:shd w:val="clear" w:color="auto" w:fill="D9ECEA" w:themeFill="accent2"/>
          </w:tcPr>
          <w:p w14:paraId="7DA31517" w14:textId="35FF3A60" w:rsidR="00401C96" w:rsidRPr="00AF522C" w:rsidRDefault="00401C96" w:rsidP="00A10EA3">
            <w:pPr>
              <w:pStyle w:val="Tablebody"/>
            </w:pPr>
            <w:r w:rsidRPr="00C10F63">
              <w:t xml:space="preserve">Protect business and industry by preventing dwellings from establishing in industrial and commercial zones where a dwelling is prohibited. </w:t>
            </w:r>
            <w:r w:rsidRPr="00A10EA3">
              <w:rPr>
                <w:rStyle w:val="PPFmarkupsourceChar"/>
              </w:rPr>
              <w:t>[13.07-1L]</w:t>
            </w:r>
          </w:p>
        </w:tc>
      </w:tr>
      <w:tr w:rsidR="00401C96" w:rsidRPr="00ED1815" w14:paraId="557E9B9E" w14:textId="77777777" w:rsidTr="00B43636">
        <w:trPr>
          <w:trHeight w:val="277"/>
        </w:trPr>
        <w:tc>
          <w:tcPr>
            <w:tcW w:w="3193" w:type="dxa"/>
            <w:tcBorders>
              <w:top w:val="nil"/>
              <w:left w:val="nil"/>
              <w:bottom w:val="nil"/>
              <w:right w:val="nil"/>
            </w:tcBorders>
            <w:shd w:val="clear" w:color="auto" w:fill="D9ECEA" w:themeFill="accent2"/>
          </w:tcPr>
          <w:p w14:paraId="16637468" w14:textId="77777777" w:rsidR="00401C96" w:rsidRPr="00AF522C" w:rsidRDefault="00401C96" w:rsidP="00A705A5">
            <w:pPr>
              <w:pStyle w:val="Tablebodybold"/>
              <w:numPr>
                <w:ilvl w:val="0"/>
                <w:numId w:val="19"/>
              </w:numPr>
            </w:pPr>
            <w:r w:rsidRPr="00AF522C">
              <w:t>Policy guidelines</w:t>
            </w:r>
          </w:p>
        </w:tc>
        <w:tc>
          <w:tcPr>
            <w:tcW w:w="5812" w:type="dxa"/>
            <w:tcBorders>
              <w:top w:val="nil"/>
              <w:left w:val="nil"/>
              <w:bottom w:val="nil"/>
              <w:right w:val="nil"/>
            </w:tcBorders>
            <w:shd w:val="clear" w:color="auto" w:fill="D9ECEA" w:themeFill="accent2"/>
          </w:tcPr>
          <w:p w14:paraId="007582B1" w14:textId="77777777" w:rsidR="00401C96" w:rsidRPr="000F61B1" w:rsidRDefault="00401C96" w:rsidP="00D02070">
            <w:pPr>
              <w:pStyle w:val="Tablebody"/>
              <w:rPr>
                <w:lang w:val="en-US"/>
              </w:rPr>
            </w:pPr>
            <w:r w:rsidRPr="000F61B1">
              <w:rPr>
                <w:lang w:val="en-US"/>
              </w:rPr>
              <w:t>Consider as relevant:</w:t>
            </w:r>
          </w:p>
          <w:p w14:paraId="372369A9" w14:textId="77777777" w:rsidR="00401C96" w:rsidRPr="00CB5497" w:rsidRDefault="00401C96" w:rsidP="00CB5497">
            <w:pPr>
              <w:pStyle w:val="Tablebullet1"/>
              <w:ind w:left="247"/>
            </w:pPr>
            <w:r w:rsidRPr="00CB5497">
              <w:t>Whether a caretaker’s house is legitimately associated with and ancillary to any commercial or industrial use on the land by:</w:t>
            </w:r>
          </w:p>
          <w:p w14:paraId="64995C6C" w14:textId="77777777" w:rsidR="00401C96" w:rsidRPr="00CB5497" w:rsidRDefault="00401C96" w:rsidP="00C33D4C">
            <w:pPr>
              <w:pStyle w:val="DELWPtablebullet2"/>
              <w:numPr>
                <w:ilvl w:val="1"/>
                <w:numId w:val="52"/>
              </w:numPr>
              <w:ind w:left="529"/>
            </w:pPr>
            <w:r w:rsidRPr="00CB5497">
              <w:t>It being above ground level and self-contained.</w:t>
            </w:r>
          </w:p>
          <w:p w14:paraId="6A7B9358" w14:textId="77777777" w:rsidR="00401C96" w:rsidRPr="00CB5497" w:rsidRDefault="00401C96" w:rsidP="00C33D4C">
            <w:pPr>
              <w:pStyle w:val="DELWPtablebullet2"/>
              <w:numPr>
                <w:ilvl w:val="1"/>
                <w:numId w:val="52"/>
              </w:numPr>
              <w:ind w:left="529"/>
            </w:pPr>
            <w:r w:rsidRPr="00CB5497">
              <w:t xml:space="preserve">It </w:t>
            </w:r>
            <w:proofErr w:type="gramStart"/>
            <w:r w:rsidRPr="00CB5497">
              <w:t>comprising</w:t>
            </w:r>
            <w:proofErr w:type="gramEnd"/>
            <w:r w:rsidRPr="00CB5497">
              <w:t xml:space="preserve"> less than 10 per cent of the total floor area of the associated commercial or industrial use (excluding car parking and loading bay areas) or 100 square metres, whichever is less.</w:t>
            </w:r>
          </w:p>
          <w:p w14:paraId="21D07754" w14:textId="77777777" w:rsidR="00401C96" w:rsidRPr="000F61B1" w:rsidRDefault="00401C96" w:rsidP="00C33D4C">
            <w:pPr>
              <w:pStyle w:val="DELWPtablebullet2"/>
              <w:numPr>
                <w:ilvl w:val="1"/>
                <w:numId w:val="52"/>
              </w:numPr>
              <w:ind w:left="529"/>
              <w:rPr>
                <w:rFonts w:cs="Arial"/>
                <w:i/>
                <w:lang w:val="en-US"/>
              </w:rPr>
            </w:pPr>
            <w:r w:rsidRPr="00CB5497">
              <w:t>There being a need for a caretaker to oversee the commercial or industrial property when it is unoccupied or to supervise its operation.</w:t>
            </w:r>
            <w:r w:rsidRPr="00A10EA3">
              <w:rPr>
                <w:rStyle w:val="PPFmarkupsourceChar"/>
              </w:rPr>
              <w:t xml:space="preserve"> </w:t>
            </w:r>
            <w:r w:rsidRPr="00A83E18">
              <w:rPr>
                <w:rStyle w:val="PPFmarkupsourceChar"/>
              </w:rPr>
              <w:t>[13.07-1L]</w:t>
            </w:r>
          </w:p>
        </w:tc>
      </w:tr>
    </w:tbl>
    <w:p w14:paraId="489C764E" w14:textId="272AE7F6" w:rsidR="00DC2411" w:rsidRDefault="00AB2C0B" w:rsidP="002123AF">
      <w:pPr>
        <w:pStyle w:val="Heading4"/>
      </w:pPr>
      <w:r>
        <w:t>Grouping of objectives, strategies and policy guidelines</w:t>
      </w:r>
    </w:p>
    <w:p w14:paraId="489C764F" w14:textId="06980C9E" w:rsidR="00754143" w:rsidRDefault="0062699D" w:rsidP="002E55BC">
      <w:pPr>
        <w:pStyle w:val="BodyText1"/>
      </w:pPr>
      <w:r>
        <w:t>Where a local policy provides multiple objectives, it</w:t>
      </w:r>
      <w:r w:rsidR="00AB2C0B">
        <w:t xml:space="preserve"> is more easily understood when relevant strategies are grouped with or linked to the objective they derive from.</w:t>
      </w:r>
      <w:r w:rsidR="00DA5AF6">
        <w:t xml:space="preserve"> </w:t>
      </w:r>
      <w:r w:rsidR="00AB2C0B">
        <w:t>Group or link like objectives with their relevant strategies and any associated policy guidelines in a clear way, considering the content of the policy.</w:t>
      </w:r>
      <w:r w:rsidR="00DA5AF6">
        <w:t xml:space="preserve"> </w:t>
      </w:r>
      <w:r w:rsidR="00AB2C0B">
        <w:t xml:space="preserve">Grouping long lists of objectives and long lists of strategies without distinguishing their relationship </w:t>
      </w:r>
      <w:r w:rsidR="008F3159">
        <w:t>should</w:t>
      </w:r>
      <w:r w:rsidR="00AB2C0B">
        <w:t xml:space="preserve"> be avoided.</w:t>
      </w:r>
      <w:r w:rsidR="00DA5AF6">
        <w:t xml:space="preserve"> </w:t>
      </w:r>
      <w:r w:rsidR="00AB2C0B">
        <w:t>The reader should be able to clearly</w:t>
      </w:r>
      <w:r w:rsidR="007B60CD">
        <w:t xml:space="preserve"> and efficiently</w:t>
      </w:r>
      <w:r w:rsidR="00AB2C0B">
        <w:t xml:space="preserve"> identify the strategies that support an objective.</w:t>
      </w:r>
    </w:p>
    <w:p w14:paraId="15184399" w14:textId="77777777" w:rsidR="00BB5269" w:rsidRDefault="00BB5269">
      <w:pPr>
        <w:suppressAutoHyphens w:val="0"/>
        <w:spacing w:after="0" w:line="240" w:lineRule="auto"/>
        <w:rPr>
          <w:rFonts w:ascii="VIC" w:eastAsia="Times" w:hAnsi="VIC"/>
          <w:lang w:eastAsia="en-US"/>
        </w:rPr>
      </w:pPr>
      <w:r>
        <w:br w:type="page"/>
      </w:r>
    </w:p>
    <w:p w14:paraId="489C7650" w14:textId="4FEB6897" w:rsidR="00CB429B" w:rsidRDefault="00AB2C0B" w:rsidP="002E55BC">
      <w:pPr>
        <w:pStyle w:val="BodyText1"/>
      </w:pPr>
      <w:r>
        <w:lastRenderedPageBreak/>
        <w:t xml:space="preserve">This is the preferred structure for a </w:t>
      </w:r>
      <w:r w:rsidR="007B60CD">
        <w:t xml:space="preserve">multi-objective </w:t>
      </w:r>
      <w:r>
        <w:t>policy</w:t>
      </w:r>
      <w:r w:rsidR="00732731">
        <w:t>:</w:t>
      </w:r>
    </w:p>
    <w:tbl>
      <w:tblPr>
        <w:tblStyle w:val="TableGrid"/>
        <w:tblW w:w="0" w:type="auto"/>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ECEA" w:themeFill="accent2"/>
        <w:tblLook w:val="04A0" w:firstRow="1" w:lastRow="0" w:firstColumn="1" w:lastColumn="0" w:noHBand="0" w:noVBand="1"/>
      </w:tblPr>
      <w:tblGrid>
        <w:gridCol w:w="9065"/>
      </w:tblGrid>
      <w:tr w:rsidR="00172704" w:rsidRPr="0074763C" w14:paraId="693E6E29" w14:textId="77777777" w:rsidTr="0074763C">
        <w:trPr>
          <w:cnfStyle w:val="100000000000" w:firstRow="1" w:lastRow="0" w:firstColumn="0" w:lastColumn="0" w:oddVBand="0" w:evenVBand="0" w:oddHBand="0" w:evenHBand="0" w:firstRowFirstColumn="0" w:firstRowLastColumn="0" w:lastRowFirstColumn="0" w:lastRowLastColumn="0"/>
        </w:trPr>
        <w:tc>
          <w:tcPr>
            <w:tcW w:w="9065" w:type="dxa"/>
            <w:shd w:val="clear" w:color="auto" w:fill="D9ECEA" w:themeFill="accent2"/>
          </w:tcPr>
          <w:p w14:paraId="6DA6C2E0" w14:textId="20F7F94B" w:rsidR="003E329F" w:rsidRPr="00231FA7" w:rsidRDefault="00BF3839" w:rsidP="00E00CE8">
            <w:pPr>
              <w:suppressAutoHyphens w:val="0"/>
              <w:autoSpaceDE w:val="0"/>
              <w:autoSpaceDN w:val="0"/>
              <w:adjustRightInd w:val="0"/>
              <w:spacing w:before="120" w:after="0" w:line="240" w:lineRule="auto"/>
              <w:rPr>
                <w:rFonts w:ascii="VIC" w:hAnsi="VIC" w:cstheme="minorHAnsi"/>
                <w:b/>
                <w:bCs/>
              </w:rPr>
            </w:pPr>
            <w:r w:rsidRPr="00231FA7">
              <w:rPr>
                <w:rFonts w:ascii="VIC" w:hAnsi="VIC" w:cstheme="minorHAnsi"/>
                <w:b/>
                <w:bCs/>
              </w:rPr>
              <w:t>XX</w:t>
            </w:r>
            <w:r w:rsidR="001B06EC" w:rsidRPr="00231FA7">
              <w:rPr>
                <w:rFonts w:ascii="VIC" w:hAnsi="VIC" w:cstheme="minorHAnsi"/>
                <w:b/>
                <w:bCs/>
              </w:rPr>
              <w:t>.</w:t>
            </w:r>
            <w:r w:rsidRPr="00231FA7">
              <w:rPr>
                <w:rFonts w:ascii="VIC" w:hAnsi="VIC" w:cstheme="minorHAnsi"/>
                <w:b/>
                <w:bCs/>
              </w:rPr>
              <w:t>XX</w:t>
            </w:r>
            <w:r w:rsidR="003E329F" w:rsidRPr="00231FA7">
              <w:rPr>
                <w:rFonts w:ascii="VIC" w:hAnsi="VIC" w:cstheme="minorHAnsi"/>
                <w:b/>
                <w:bCs/>
              </w:rPr>
              <w:t>-</w:t>
            </w:r>
            <w:r w:rsidRPr="00231FA7">
              <w:rPr>
                <w:rFonts w:ascii="VIC" w:hAnsi="VIC" w:cstheme="minorHAnsi"/>
                <w:b/>
                <w:bCs/>
              </w:rPr>
              <w:t>X</w:t>
            </w:r>
            <w:r w:rsidR="003E329F" w:rsidRPr="00231FA7">
              <w:rPr>
                <w:rFonts w:ascii="VIC" w:hAnsi="VIC" w:cstheme="minorHAnsi"/>
                <w:b/>
                <w:bCs/>
              </w:rPr>
              <w:t>L</w:t>
            </w:r>
            <w:r w:rsidR="00471C5A" w:rsidRPr="00231FA7">
              <w:rPr>
                <w:rFonts w:ascii="VIC" w:hAnsi="VIC" w:cstheme="minorHAnsi"/>
                <w:b/>
                <w:bCs/>
              </w:rPr>
              <w:t xml:space="preserve"> </w:t>
            </w:r>
            <w:r w:rsidR="00471C5A" w:rsidRPr="00231FA7">
              <w:rPr>
                <w:rFonts w:ascii="VIC" w:hAnsi="VIC" w:cstheme="minorHAnsi"/>
                <w:b/>
                <w:bCs/>
              </w:rPr>
              <w:tab/>
            </w:r>
            <w:proofErr w:type="spellStart"/>
            <w:r w:rsidR="000512C1" w:rsidRPr="00231FA7">
              <w:rPr>
                <w:rFonts w:ascii="VIC" w:hAnsi="VIC" w:cstheme="minorHAnsi"/>
                <w:b/>
                <w:bCs/>
              </w:rPr>
              <w:t>Desed</w:t>
            </w:r>
            <w:proofErr w:type="spellEnd"/>
            <w:r w:rsidR="000512C1" w:rsidRPr="00231FA7">
              <w:rPr>
                <w:rFonts w:ascii="VIC" w:hAnsi="VIC" w:cstheme="minorHAnsi"/>
                <w:b/>
                <w:bCs/>
              </w:rPr>
              <w:t xml:space="preserve"> </w:t>
            </w:r>
            <w:proofErr w:type="spellStart"/>
            <w:r w:rsidR="000512C1" w:rsidRPr="00231FA7">
              <w:rPr>
                <w:rFonts w:ascii="VIC" w:hAnsi="VIC" w:cstheme="minorHAnsi"/>
                <w:b/>
                <w:bCs/>
              </w:rPr>
              <w:t>moluptatio</w:t>
            </w:r>
            <w:proofErr w:type="spellEnd"/>
          </w:p>
          <w:p w14:paraId="1DD46E60" w14:textId="0AFED7BA" w:rsidR="00BF58F5" w:rsidRPr="00231FA7" w:rsidRDefault="00BF58F5" w:rsidP="003E329F">
            <w:pPr>
              <w:suppressAutoHyphens w:val="0"/>
              <w:autoSpaceDE w:val="0"/>
              <w:autoSpaceDN w:val="0"/>
              <w:adjustRightInd w:val="0"/>
              <w:spacing w:before="120" w:after="0" w:line="240" w:lineRule="auto"/>
              <w:ind w:left="1134"/>
              <w:rPr>
                <w:rFonts w:ascii="VIC" w:hAnsi="VIC" w:cstheme="minorHAnsi"/>
                <w:b/>
                <w:bCs/>
              </w:rPr>
            </w:pPr>
            <w:r w:rsidRPr="00231FA7">
              <w:rPr>
                <w:rFonts w:ascii="VIC" w:hAnsi="VIC" w:cstheme="minorHAnsi"/>
                <w:b/>
                <w:bCs/>
              </w:rPr>
              <w:t>Objective</w:t>
            </w:r>
          </w:p>
          <w:p w14:paraId="799B12DE" w14:textId="634D1924" w:rsidR="00BF58F5" w:rsidRPr="00231FA7" w:rsidRDefault="007F5459" w:rsidP="003E329F">
            <w:pPr>
              <w:suppressAutoHyphens w:val="0"/>
              <w:autoSpaceDE w:val="0"/>
              <w:autoSpaceDN w:val="0"/>
              <w:adjustRightInd w:val="0"/>
              <w:spacing w:before="80" w:after="0" w:line="240" w:lineRule="auto"/>
              <w:ind w:left="1134"/>
              <w:rPr>
                <w:rFonts w:ascii="VIC" w:hAnsi="VIC" w:cstheme="minorHAnsi"/>
              </w:rPr>
            </w:pPr>
            <w:r w:rsidRPr="00231FA7">
              <w:rPr>
                <w:rFonts w:ascii="VIC" w:hAnsi="VIC" w:cstheme="minorHAnsi"/>
              </w:rPr>
              <w:t xml:space="preserve">To </w:t>
            </w:r>
            <w:proofErr w:type="spellStart"/>
            <w:r w:rsidRPr="00231FA7">
              <w:rPr>
                <w:rFonts w:ascii="VIC" w:hAnsi="VIC" w:cstheme="minorHAnsi"/>
              </w:rPr>
              <w:t>f</w:t>
            </w:r>
            <w:r w:rsidR="00BF58F5" w:rsidRPr="00231FA7">
              <w:rPr>
                <w:rFonts w:ascii="VIC" w:hAnsi="VIC" w:cstheme="minorHAnsi"/>
              </w:rPr>
              <w:t>ugia</w:t>
            </w:r>
            <w:proofErr w:type="spellEnd"/>
            <w:r w:rsidR="00BF58F5" w:rsidRPr="00231FA7">
              <w:rPr>
                <w:rFonts w:ascii="VIC" w:hAnsi="VIC" w:cstheme="minorHAnsi"/>
              </w:rPr>
              <w:t xml:space="preserve"> </w:t>
            </w:r>
            <w:proofErr w:type="spellStart"/>
            <w:r w:rsidR="00BF58F5" w:rsidRPr="00231FA7">
              <w:rPr>
                <w:rFonts w:ascii="VIC" w:hAnsi="VIC" w:cstheme="minorHAnsi"/>
              </w:rPr>
              <w:t>desed</w:t>
            </w:r>
            <w:proofErr w:type="spellEnd"/>
            <w:r w:rsidR="00BF58F5" w:rsidRPr="00231FA7">
              <w:rPr>
                <w:rFonts w:ascii="VIC" w:hAnsi="VIC" w:cstheme="minorHAnsi"/>
              </w:rPr>
              <w:t xml:space="preserve"> </w:t>
            </w:r>
            <w:proofErr w:type="spellStart"/>
            <w:r w:rsidR="00BF58F5" w:rsidRPr="00231FA7">
              <w:rPr>
                <w:rFonts w:ascii="VIC" w:hAnsi="VIC" w:cstheme="minorHAnsi"/>
              </w:rPr>
              <w:t>moluptatio</w:t>
            </w:r>
            <w:proofErr w:type="spellEnd"/>
            <w:r w:rsidR="00BF58F5" w:rsidRPr="00231FA7">
              <w:rPr>
                <w:rFonts w:ascii="VIC" w:hAnsi="VIC" w:cstheme="minorHAnsi"/>
              </w:rPr>
              <w:t xml:space="preserve"> </w:t>
            </w:r>
            <w:proofErr w:type="spellStart"/>
            <w:r w:rsidR="00BF58F5" w:rsidRPr="00231FA7">
              <w:rPr>
                <w:rFonts w:ascii="VIC" w:hAnsi="VIC" w:cstheme="minorHAnsi"/>
              </w:rPr>
              <w:t>officiustior</w:t>
            </w:r>
            <w:proofErr w:type="spellEnd"/>
            <w:r w:rsidRPr="00231FA7">
              <w:rPr>
                <w:rFonts w:ascii="VIC" w:hAnsi="VIC" w:cstheme="minorHAnsi"/>
              </w:rPr>
              <w:t>.</w:t>
            </w:r>
          </w:p>
          <w:p w14:paraId="4D2FBF1E" w14:textId="77777777" w:rsidR="00BF58F5" w:rsidRPr="00231FA7" w:rsidRDefault="00BF58F5" w:rsidP="003E329F">
            <w:pPr>
              <w:suppressAutoHyphens w:val="0"/>
              <w:autoSpaceDE w:val="0"/>
              <w:autoSpaceDN w:val="0"/>
              <w:adjustRightInd w:val="0"/>
              <w:spacing w:before="120" w:after="0" w:line="240" w:lineRule="auto"/>
              <w:ind w:left="1134"/>
              <w:rPr>
                <w:rFonts w:ascii="VIC" w:hAnsi="VIC" w:cstheme="minorHAnsi"/>
                <w:b/>
                <w:bCs/>
              </w:rPr>
            </w:pPr>
            <w:r w:rsidRPr="00231FA7">
              <w:rPr>
                <w:rFonts w:ascii="VIC" w:hAnsi="VIC" w:cstheme="minorHAnsi"/>
                <w:b/>
                <w:bCs/>
              </w:rPr>
              <w:t>Strategies</w:t>
            </w:r>
          </w:p>
          <w:p w14:paraId="3BC3AE1A" w14:textId="30CDFB46" w:rsidR="00BF58F5" w:rsidRPr="00231FA7" w:rsidRDefault="00BF58F5" w:rsidP="003E329F">
            <w:pPr>
              <w:suppressAutoHyphens w:val="0"/>
              <w:autoSpaceDE w:val="0"/>
              <w:autoSpaceDN w:val="0"/>
              <w:adjustRightInd w:val="0"/>
              <w:spacing w:before="80" w:after="0" w:line="240" w:lineRule="auto"/>
              <w:ind w:left="1134"/>
              <w:rPr>
                <w:rFonts w:ascii="VIC" w:hAnsi="VIC" w:cstheme="minorHAnsi"/>
              </w:rPr>
            </w:pPr>
            <w:proofErr w:type="spellStart"/>
            <w:r w:rsidRPr="00231FA7">
              <w:rPr>
                <w:rFonts w:ascii="VIC" w:hAnsi="VIC" w:cstheme="minorHAnsi"/>
              </w:rPr>
              <w:t>Ximolo</w:t>
            </w:r>
            <w:proofErr w:type="spellEnd"/>
            <w:r w:rsidRPr="00231FA7">
              <w:rPr>
                <w:rFonts w:ascii="VIC" w:hAnsi="VIC" w:cstheme="minorHAnsi"/>
              </w:rPr>
              <w:t xml:space="preserve"> </w:t>
            </w:r>
            <w:proofErr w:type="spellStart"/>
            <w:r w:rsidRPr="00231FA7">
              <w:rPr>
                <w:rFonts w:ascii="VIC" w:hAnsi="VIC" w:cstheme="minorHAnsi"/>
              </w:rPr>
              <w:t>volessit</w:t>
            </w:r>
            <w:proofErr w:type="spellEnd"/>
            <w:r w:rsidRPr="00231FA7">
              <w:rPr>
                <w:rFonts w:ascii="VIC" w:hAnsi="VIC" w:cstheme="minorHAnsi"/>
              </w:rPr>
              <w:t xml:space="preserve">, nobis int </w:t>
            </w:r>
            <w:proofErr w:type="spellStart"/>
            <w:r w:rsidRPr="00231FA7">
              <w:rPr>
                <w:rFonts w:ascii="VIC" w:hAnsi="VIC" w:cstheme="minorHAnsi"/>
              </w:rPr>
              <w:t>odit</w:t>
            </w:r>
            <w:proofErr w:type="spellEnd"/>
            <w:r w:rsidRPr="00231FA7">
              <w:rPr>
                <w:rFonts w:ascii="VIC" w:hAnsi="VIC" w:cstheme="minorHAnsi"/>
              </w:rPr>
              <w:t xml:space="preserve"> </w:t>
            </w:r>
            <w:proofErr w:type="spellStart"/>
            <w:r w:rsidRPr="00231FA7">
              <w:rPr>
                <w:rFonts w:ascii="VIC" w:hAnsi="VIC" w:cstheme="minorHAnsi"/>
              </w:rPr>
              <w:t>vernate</w:t>
            </w:r>
            <w:proofErr w:type="spellEnd"/>
            <w:r w:rsidR="007F5459" w:rsidRPr="00231FA7">
              <w:rPr>
                <w:rFonts w:ascii="VIC" w:hAnsi="VIC" w:cstheme="minorHAnsi"/>
              </w:rPr>
              <w:t>.</w:t>
            </w:r>
          </w:p>
          <w:p w14:paraId="5CFAEADE" w14:textId="6624AE04" w:rsidR="00BF58F5" w:rsidRPr="00231FA7" w:rsidRDefault="00BF58F5" w:rsidP="003E329F">
            <w:pPr>
              <w:suppressAutoHyphens w:val="0"/>
              <w:autoSpaceDE w:val="0"/>
              <w:autoSpaceDN w:val="0"/>
              <w:adjustRightInd w:val="0"/>
              <w:spacing w:before="80" w:after="0" w:line="240" w:lineRule="auto"/>
              <w:ind w:left="1134"/>
              <w:rPr>
                <w:rFonts w:ascii="VIC" w:hAnsi="VIC" w:cstheme="minorHAnsi"/>
              </w:rPr>
            </w:pPr>
            <w:proofErr w:type="spellStart"/>
            <w:r w:rsidRPr="00231FA7">
              <w:rPr>
                <w:rFonts w:ascii="VIC" w:hAnsi="VIC" w:cstheme="minorHAnsi"/>
              </w:rPr>
              <w:t>Imperit</w:t>
            </w:r>
            <w:proofErr w:type="spellEnd"/>
            <w:r w:rsidRPr="00231FA7">
              <w:rPr>
                <w:rFonts w:ascii="VIC" w:hAnsi="VIC" w:cstheme="minorHAnsi"/>
              </w:rPr>
              <w:t xml:space="preserve"> </w:t>
            </w:r>
            <w:proofErr w:type="spellStart"/>
            <w:r w:rsidRPr="00231FA7">
              <w:rPr>
                <w:rFonts w:ascii="VIC" w:hAnsi="VIC" w:cstheme="minorHAnsi"/>
              </w:rPr>
              <w:t>offic</w:t>
            </w:r>
            <w:proofErr w:type="spellEnd"/>
            <w:r w:rsidRPr="00231FA7">
              <w:rPr>
                <w:rFonts w:ascii="VIC" w:hAnsi="VIC" w:cstheme="minorHAnsi"/>
              </w:rPr>
              <w:t xml:space="preserve"> test </w:t>
            </w:r>
            <w:proofErr w:type="spellStart"/>
            <w:r w:rsidRPr="00231FA7">
              <w:rPr>
                <w:rFonts w:ascii="VIC" w:hAnsi="VIC" w:cstheme="minorHAnsi"/>
              </w:rPr>
              <w:t>quis</w:t>
            </w:r>
            <w:proofErr w:type="spellEnd"/>
            <w:r w:rsidRPr="00231FA7">
              <w:rPr>
                <w:rFonts w:ascii="VIC" w:hAnsi="VIC" w:cstheme="minorHAnsi"/>
              </w:rPr>
              <w:t xml:space="preserve"> et in rest vel et ma</w:t>
            </w:r>
            <w:r w:rsidR="007F5459" w:rsidRPr="00231FA7">
              <w:rPr>
                <w:rFonts w:ascii="VIC" w:hAnsi="VIC" w:cstheme="minorHAnsi"/>
              </w:rPr>
              <w:t>.</w:t>
            </w:r>
          </w:p>
          <w:p w14:paraId="2111352B" w14:textId="77777777" w:rsidR="00BF58F5" w:rsidRPr="00231FA7" w:rsidRDefault="00BF58F5" w:rsidP="003E329F">
            <w:pPr>
              <w:suppressAutoHyphens w:val="0"/>
              <w:autoSpaceDE w:val="0"/>
              <w:autoSpaceDN w:val="0"/>
              <w:adjustRightInd w:val="0"/>
              <w:spacing w:before="120" w:after="0" w:line="240" w:lineRule="auto"/>
              <w:ind w:left="1134"/>
              <w:rPr>
                <w:rFonts w:ascii="VIC" w:hAnsi="VIC" w:cstheme="minorHAnsi"/>
                <w:b/>
                <w:bCs/>
              </w:rPr>
            </w:pPr>
            <w:r w:rsidRPr="00231FA7">
              <w:rPr>
                <w:rFonts w:ascii="VIC" w:hAnsi="VIC" w:cstheme="minorHAnsi"/>
                <w:b/>
                <w:bCs/>
              </w:rPr>
              <w:t>Objective</w:t>
            </w:r>
          </w:p>
          <w:p w14:paraId="2C318964" w14:textId="3009F91D" w:rsidR="00BF58F5" w:rsidRPr="00231FA7" w:rsidRDefault="007F5459" w:rsidP="003E329F">
            <w:pPr>
              <w:suppressAutoHyphens w:val="0"/>
              <w:autoSpaceDE w:val="0"/>
              <w:autoSpaceDN w:val="0"/>
              <w:adjustRightInd w:val="0"/>
              <w:spacing w:before="80" w:after="0" w:line="240" w:lineRule="auto"/>
              <w:ind w:left="1134"/>
              <w:rPr>
                <w:rFonts w:ascii="VIC" w:hAnsi="VIC" w:cstheme="minorHAnsi"/>
              </w:rPr>
            </w:pPr>
            <w:r w:rsidRPr="00231FA7">
              <w:rPr>
                <w:rFonts w:ascii="VIC" w:hAnsi="VIC" w:cstheme="minorHAnsi"/>
              </w:rPr>
              <w:t xml:space="preserve">To </w:t>
            </w:r>
            <w:proofErr w:type="spellStart"/>
            <w:r w:rsidR="00BF58F5" w:rsidRPr="00231FA7">
              <w:rPr>
                <w:rFonts w:ascii="VIC" w:hAnsi="VIC" w:cstheme="minorHAnsi"/>
              </w:rPr>
              <w:t>Ium</w:t>
            </w:r>
            <w:proofErr w:type="spellEnd"/>
            <w:r w:rsidR="00BF58F5" w:rsidRPr="00231FA7">
              <w:rPr>
                <w:rFonts w:ascii="VIC" w:hAnsi="VIC" w:cstheme="minorHAnsi"/>
              </w:rPr>
              <w:t xml:space="preserve"> </w:t>
            </w:r>
            <w:proofErr w:type="spellStart"/>
            <w:r w:rsidR="00BF58F5" w:rsidRPr="00231FA7">
              <w:rPr>
                <w:rFonts w:ascii="VIC" w:hAnsi="VIC" w:cstheme="minorHAnsi"/>
              </w:rPr>
              <w:t>nimaio</w:t>
            </w:r>
            <w:proofErr w:type="spellEnd"/>
            <w:r w:rsidR="001539AD">
              <w:rPr>
                <w:rFonts w:ascii="VIC" w:hAnsi="VIC" w:cstheme="minorHAnsi"/>
              </w:rPr>
              <w:t xml:space="preserve"> </w:t>
            </w:r>
            <w:proofErr w:type="spellStart"/>
            <w:r w:rsidR="001539AD">
              <w:rPr>
                <w:rFonts w:ascii="VIC" w:hAnsi="VIC" w:cstheme="minorHAnsi"/>
              </w:rPr>
              <w:t>n</w:t>
            </w:r>
            <w:r w:rsidR="00BF58F5" w:rsidRPr="00231FA7">
              <w:rPr>
                <w:rFonts w:ascii="VIC" w:hAnsi="VIC" w:cstheme="minorHAnsi"/>
              </w:rPr>
              <w:t>am</w:t>
            </w:r>
            <w:proofErr w:type="spellEnd"/>
            <w:r w:rsidR="00BF58F5" w:rsidRPr="00231FA7">
              <w:rPr>
                <w:rFonts w:ascii="VIC" w:hAnsi="VIC" w:cstheme="minorHAnsi"/>
              </w:rPr>
              <w:t xml:space="preserve"> et quat et, </w:t>
            </w:r>
            <w:proofErr w:type="spellStart"/>
            <w:r w:rsidR="00BF58F5" w:rsidRPr="00231FA7">
              <w:rPr>
                <w:rFonts w:ascii="VIC" w:hAnsi="VIC" w:cstheme="minorHAnsi"/>
              </w:rPr>
              <w:t>aute</w:t>
            </w:r>
            <w:proofErr w:type="spellEnd"/>
            <w:r w:rsidR="00BF58F5" w:rsidRPr="00231FA7">
              <w:rPr>
                <w:rFonts w:ascii="VIC" w:hAnsi="VIC" w:cstheme="minorHAnsi"/>
              </w:rPr>
              <w:t xml:space="preserve"> </w:t>
            </w:r>
            <w:proofErr w:type="spellStart"/>
            <w:r w:rsidR="00BF58F5" w:rsidRPr="00231FA7">
              <w:rPr>
                <w:rFonts w:ascii="VIC" w:hAnsi="VIC" w:cstheme="minorHAnsi"/>
              </w:rPr>
              <w:t>dollaut</w:t>
            </w:r>
            <w:proofErr w:type="spellEnd"/>
            <w:r w:rsidR="00BF58F5" w:rsidRPr="00231FA7">
              <w:rPr>
                <w:rFonts w:ascii="VIC" w:hAnsi="VIC" w:cstheme="minorHAnsi"/>
              </w:rPr>
              <w:t xml:space="preserve"> voles</w:t>
            </w:r>
            <w:r w:rsidRPr="00231FA7">
              <w:rPr>
                <w:rFonts w:ascii="VIC" w:hAnsi="VIC" w:cstheme="minorHAnsi"/>
              </w:rPr>
              <w:t>.</w:t>
            </w:r>
          </w:p>
          <w:p w14:paraId="037081D8" w14:textId="77777777" w:rsidR="00BF58F5" w:rsidRPr="00231FA7" w:rsidRDefault="00BF58F5" w:rsidP="003E329F">
            <w:pPr>
              <w:suppressAutoHyphens w:val="0"/>
              <w:autoSpaceDE w:val="0"/>
              <w:autoSpaceDN w:val="0"/>
              <w:adjustRightInd w:val="0"/>
              <w:spacing w:before="120" w:after="0" w:line="240" w:lineRule="auto"/>
              <w:ind w:left="1134"/>
              <w:rPr>
                <w:rFonts w:ascii="VIC" w:hAnsi="VIC" w:cstheme="minorHAnsi"/>
                <w:b/>
                <w:bCs/>
              </w:rPr>
            </w:pPr>
            <w:r w:rsidRPr="00231FA7">
              <w:rPr>
                <w:rFonts w:ascii="VIC" w:hAnsi="VIC" w:cstheme="minorHAnsi"/>
                <w:b/>
                <w:bCs/>
              </w:rPr>
              <w:t>Strategies</w:t>
            </w:r>
          </w:p>
          <w:p w14:paraId="0E31FE02" w14:textId="257A09FA" w:rsidR="00BF58F5" w:rsidRPr="00231FA7" w:rsidRDefault="00BF58F5" w:rsidP="003E329F">
            <w:pPr>
              <w:suppressAutoHyphens w:val="0"/>
              <w:autoSpaceDE w:val="0"/>
              <w:autoSpaceDN w:val="0"/>
              <w:adjustRightInd w:val="0"/>
              <w:spacing w:before="80" w:after="0" w:line="240" w:lineRule="auto"/>
              <w:ind w:left="1134"/>
              <w:rPr>
                <w:rFonts w:ascii="VIC" w:hAnsi="VIC" w:cstheme="minorHAnsi"/>
              </w:rPr>
            </w:pPr>
            <w:proofErr w:type="spellStart"/>
            <w:r w:rsidRPr="00231FA7">
              <w:rPr>
                <w:rFonts w:ascii="VIC" w:hAnsi="VIC" w:cstheme="minorHAnsi"/>
              </w:rPr>
              <w:t>Caboribearum</w:t>
            </w:r>
            <w:proofErr w:type="spellEnd"/>
            <w:r w:rsidRPr="00231FA7">
              <w:rPr>
                <w:rFonts w:ascii="VIC" w:hAnsi="VIC" w:cstheme="minorHAnsi"/>
              </w:rPr>
              <w:t xml:space="preserve">, </w:t>
            </w:r>
            <w:proofErr w:type="spellStart"/>
            <w:r w:rsidRPr="00231FA7">
              <w:rPr>
                <w:rFonts w:ascii="VIC" w:hAnsi="VIC" w:cstheme="minorHAnsi"/>
              </w:rPr>
              <w:t>volore</w:t>
            </w:r>
            <w:proofErr w:type="spellEnd"/>
            <w:r w:rsidRPr="00231FA7">
              <w:rPr>
                <w:rFonts w:ascii="VIC" w:hAnsi="VIC" w:cstheme="minorHAnsi"/>
              </w:rPr>
              <w:t xml:space="preserve"> </w:t>
            </w:r>
            <w:proofErr w:type="spellStart"/>
            <w:r w:rsidRPr="00231FA7">
              <w:rPr>
                <w:rFonts w:ascii="VIC" w:hAnsi="VIC" w:cstheme="minorHAnsi"/>
              </w:rPr>
              <w:t>venis</w:t>
            </w:r>
            <w:proofErr w:type="spellEnd"/>
            <w:r w:rsidRPr="00231FA7">
              <w:rPr>
                <w:rFonts w:ascii="VIC" w:hAnsi="VIC" w:cstheme="minorHAnsi"/>
              </w:rPr>
              <w:t xml:space="preserve"> et </w:t>
            </w:r>
            <w:proofErr w:type="spellStart"/>
            <w:r w:rsidRPr="00231FA7">
              <w:rPr>
                <w:rFonts w:ascii="VIC" w:hAnsi="VIC" w:cstheme="minorHAnsi"/>
              </w:rPr>
              <w:t>repedig</w:t>
            </w:r>
            <w:proofErr w:type="spellEnd"/>
            <w:r w:rsidRPr="00231FA7">
              <w:rPr>
                <w:rFonts w:ascii="VIC" w:hAnsi="VIC" w:cstheme="minorHAnsi"/>
              </w:rPr>
              <w:t xml:space="preserve"> </w:t>
            </w:r>
            <w:proofErr w:type="spellStart"/>
            <w:r w:rsidRPr="00231FA7">
              <w:rPr>
                <w:rFonts w:ascii="VIC" w:hAnsi="VIC" w:cstheme="minorHAnsi"/>
              </w:rPr>
              <w:t>entur</w:t>
            </w:r>
            <w:proofErr w:type="spellEnd"/>
            <w:r w:rsidR="007F5459" w:rsidRPr="00231FA7">
              <w:rPr>
                <w:rFonts w:ascii="VIC" w:hAnsi="VIC" w:cstheme="minorHAnsi"/>
              </w:rPr>
              <w:t>.</w:t>
            </w:r>
          </w:p>
          <w:p w14:paraId="2EEA5198" w14:textId="7F4C9DCE" w:rsidR="00BF58F5" w:rsidRPr="00231FA7" w:rsidRDefault="00BF58F5" w:rsidP="003E329F">
            <w:pPr>
              <w:suppressAutoHyphens w:val="0"/>
              <w:autoSpaceDE w:val="0"/>
              <w:autoSpaceDN w:val="0"/>
              <w:adjustRightInd w:val="0"/>
              <w:spacing w:before="80" w:after="0" w:line="240" w:lineRule="auto"/>
              <w:ind w:left="1134"/>
              <w:rPr>
                <w:rFonts w:ascii="VIC" w:hAnsi="VIC" w:cstheme="minorHAnsi"/>
              </w:rPr>
            </w:pPr>
            <w:r w:rsidRPr="00231FA7">
              <w:rPr>
                <w:rFonts w:ascii="VIC" w:hAnsi="VIC" w:cstheme="minorHAnsi"/>
              </w:rPr>
              <w:t xml:space="preserve">Nam </w:t>
            </w:r>
            <w:proofErr w:type="spellStart"/>
            <w:r w:rsidRPr="00231FA7">
              <w:rPr>
                <w:rFonts w:ascii="VIC" w:hAnsi="VIC" w:cstheme="minorHAnsi"/>
              </w:rPr>
              <w:t>conet</w:t>
            </w:r>
            <w:proofErr w:type="spellEnd"/>
            <w:r w:rsidRPr="00231FA7">
              <w:rPr>
                <w:rFonts w:ascii="VIC" w:hAnsi="VIC" w:cstheme="minorHAnsi"/>
              </w:rPr>
              <w:t xml:space="preserve"> </w:t>
            </w:r>
            <w:proofErr w:type="spellStart"/>
            <w:r w:rsidRPr="00231FA7">
              <w:rPr>
                <w:rFonts w:ascii="VIC" w:hAnsi="VIC" w:cstheme="minorHAnsi"/>
              </w:rPr>
              <w:t>aliquametur</w:t>
            </w:r>
            <w:proofErr w:type="spellEnd"/>
            <w:r w:rsidRPr="00231FA7">
              <w:rPr>
                <w:rFonts w:ascii="VIC" w:hAnsi="VIC" w:cstheme="minorHAnsi"/>
              </w:rPr>
              <w:t xml:space="preserve">, </w:t>
            </w:r>
            <w:proofErr w:type="spellStart"/>
            <w:r w:rsidRPr="00231FA7">
              <w:rPr>
                <w:rFonts w:ascii="VIC" w:hAnsi="VIC" w:cstheme="minorHAnsi"/>
              </w:rPr>
              <w:t>quodionseque</w:t>
            </w:r>
            <w:proofErr w:type="spellEnd"/>
            <w:r w:rsidRPr="00231FA7">
              <w:rPr>
                <w:rFonts w:ascii="VIC" w:hAnsi="VIC" w:cstheme="minorHAnsi"/>
              </w:rPr>
              <w:t xml:space="preserve"> id</w:t>
            </w:r>
            <w:r w:rsidR="007F5459" w:rsidRPr="00231FA7">
              <w:rPr>
                <w:rFonts w:ascii="VIC" w:hAnsi="VIC" w:cstheme="minorHAnsi"/>
              </w:rPr>
              <w:t>.</w:t>
            </w:r>
          </w:p>
          <w:p w14:paraId="3A77D549" w14:textId="77777777" w:rsidR="004F1418" w:rsidRPr="00231FA7" w:rsidRDefault="00BF58F5" w:rsidP="003E329F">
            <w:pPr>
              <w:suppressAutoHyphens w:val="0"/>
              <w:autoSpaceDE w:val="0"/>
              <w:autoSpaceDN w:val="0"/>
              <w:adjustRightInd w:val="0"/>
              <w:spacing w:before="80" w:after="0" w:line="240" w:lineRule="auto"/>
              <w:ind w:left="1134"/>
              <w:rPr>
                <w:rFonts w:ascii="VIC" w:hAnsi="VIC" w:cstheme="minorHAnsi"/>
              </w:rPr>
            </w:pPr>
            <w:r w:rsidRPr="00231FA7">
              <w:rPr>
                <w:rFonts w:ascii="VIC" w:hAnsi="VIC" w:cstheme="minorHAnsi"/>
              </w:rPr>
              <w:t xml:space="preserve">Ut </w:t>
            </w:r>
            <w:proofErr w:type="spellStart"/>
            <w:r w:rsidRPr="00231FA7">
              <w:rPr>
                <w:rFonts w:ascii="VIC" w:hAnsi="VIC" w:cstheme="minorHAnsi"/>
              </w:rPr>
              <w:t>andio</w:t>
            </w:r>
            <w:proofErr w:type="spellEnd"/>
            <w:r w:rsidRPr="00231FA7">
              <w:rPr>
                <w:rFonts w:ascii="VIC" w:hAnsi="VIC" w:cstheme="minorHAnsi"/>
              </w:rPr>
              <w:t xml:space="preserve"> ex </w:t>
            </w:r>
            <w:proofErr w:type="spellStart"/>
            <w:r w:rsidRPr="00231FA7">
              <w:rPr>
                <w:rFonts w:ascii="VIC" w:hAnsi="VIC" w:cstheme="minorHAnsi"/>
              </w:rPr>
              <w:t>est</w:t>
            </w:r>
            <w:proofErr w:type="spellEnd"/>
            <w:r w:rsidRPr="00231FA7">
              <w:rPr>
                <w:rFonts w:ascii="VIC" w:hAnsi="VIC" w:cstheme="minorHAnsi"/>
              </w:rPr>
              <w:t xml:space="preserve"> </w:t>
            </w:r>
            <w:proofErr w:type="spellStart"/>
            <w:r w:rsidRPr="00231FA7">
              <w:rPr>
                <w:rFonts w:ascii="VIC" w:hAnsi="VIC" w:cstheme="minorHAnsi"/>
              </w:rPr>
              <w:t>vollamet</w:t>
            </w:r>
            <w:proofErr w:type="spellEnd"/>
            <w:r w:rsidRPr="00231FA7">
              <w:rPr>
                <w:rFonts w:ascii="VIC" w:hAnsi="VIC" w:cstheme="minorHAnsi"/>
              </w:rPr>
              <w:t xml:space="preserve"> </w:t>
            </w:r>
            <w:proofErr w:type="spellStart"/>
            <w:r w:rsidRPr="00231FA7">
              <w:rPr>
                <w:rFonts w:ascii="VIC" w:hAnsi="VIC" w:cstheme="minorHAnsi"/>
              </w:rPr>
              <w:t>experrore</w:t>
            </w:r>
            <w:proofErr w:type="spellEnd"/>
            <w:r w:rsidRPr="00231FA7">
              <w:rPr>
                <w:rFonts w:ascii="VIC" w:hAnsi="VIC" w:cstheme="minorHAnsi"/>
              </w:rPr>
              <w:t xml:space="preserve"> pre</w:t>
            </w:r>
            <w:r w:rsidR="004F1418" w:rsidRPr="00231FA7">
              <w:rPr>
                <w:rFonts w:ascii="VIC" w:hAnsi="VIC" w:cstheme="minorHAnsi"/>
              </w:rPr>
              <w:t>.</w:t>
            </w:r>
          </w:p>
          <w:p w14:paraId="7D816CF8" w14:textId="255B4BCE" w:rsidR="00172704" w:rsidRPr="00231FA7" w:rsidRDefault="00BF58F5" w:rsidP="003E329F">
            <w:pPr>
              <w:suppressAutoHyphens w:val="0"/>
              <w:autoSpaceDE w:val="0"/>
              <w:autoSpaceDN w:val="0"/>
              <w:adjustRightInd w:val="0"/>
              <w:spacing w:before="80" w:after="120" w:line="240" w:lineRule="auto"/>
              <w:ind w:left="1134"/>
              <w:rPr>
                <w:rFonts w:ascii="VIC" w:hAnsi="VIC"/>
              </w:rPr>
            </w:pPr>
            <w:proofErr w:type="spellStart"/>
            <w:r w:rsidRPr="00231FA7">
              <w:rPr>
                <w:rFonts w:ascii="VIC" w:hAnsi="VIC" w:cstheme="minorHAnsi"/>
              </w:rPr>
              <w:t>Occatecus</w:t>
            </w:r>
            <w:proofErr w:type="spellEnd"/>
            <w:r w:rsidRPr="00231FA7">
              <w:rPr>
                <w:rFonts w:ascii="VIC" w:hAnsi="VIC" w:cstheme="minorHAnsi"/>
              </w:rPr>
              <w:t xml:space="preserve"> et </w:t>
            </w:r>
            <w:proofErr w:type="spellStart"/>
            <w:r w:rsidRPr="00231FA7">
              <w:rPr>
                <w:rFonts w:ascii="VIC" w:hAnsi="VIC" w:cstheme="minorHAnsi"/>
              </w:rPr>
              <w:t>opta</w:t>
            </w:r>
            <w:proofErr w:type="spellEnd"/>
            <w:r w:rsidRPr="00231FA7">
              <w:rPr>
                <w:rFonts w:ascii="VIC" w:hAnsi="VIC" w:cstheme="minorHAnsi"/>
              </w:rPr>
              <w:t xml:space="preserve"> </w:t>
            </w:r>
            <w:proofErr w:type="spellStart"/>
            <w:r w:rsidRPr="00231FA7">
              <w:rPr>
                <w:rFonts w:ascii="VIC" w:hAnsi="VIC" w:cstheme="minorHAnsi"/>
              </w:rPr>
              <w:t>quibea</w:t>
            </w:r>
            <w:proofErr w:type="spellEnd"/>
            <w:r w:rsidRPr="00231FA7">
              <w:rPr>
                <w:rFonts w:ascii="VIC" w:hAnsi="VIC" w:cstheme="minorHAnsi"/>
              </w:rPr>
              <w:t xml:space="preserve"> </w:t>
            </w:r>
            <w:proofErr w:type="spellStart"/>
            <w:r w:rsidRPr="00231FA7">
              <w:rPr>
                <w:rFonts w:ascii="VIC" w:hAnsi="VIC" w:cstheme="minorHAnsi"/>
              </w:rPr>
              <w:t>natecesequi</w:t>
            </w:r>
            <w:proofErr w:type="spellEnd"/>
            <w:r w:rsidR="007F5459" w:rsidRPr="00231FA7">
              <w:rPr>
                <w:rFonts w:ascii="VIC" w:hAnsi="VIC" w:cstheme="minorHAnsi"/>
              </w:rPr>
              <w:t>.</w:t>
            </w:r>
          </w:p>
        </w:tc>
      </w:tr>
    </w:tbl>
    <w:p w14:paraId="56BEFF37" w14:textId="489AD7D1" w:rsidR="00BA1C01" w:rsidRDefault="00AB2C0B" w:rsidP="002E55BC">
      <w:pPr>
        <w:pStyle w:val="DELWPbodyafterbullets"/>
      </w:pPr>
      <w:r>
        <w:t xml:space="preserve">The exact grouping of objectives, strategies and policy guidelines (if needed) is flexible and depends on the content of the policy and how it should be best laid out </w:t>
      </w:r>
      <w:proofErr w:type="gramStart"/>
      <w:r>
        <w:t>in order to</w:t>
      </w:r>
      <w:proofErr w:type="gramEnd"/>
      <w:r>
        <w:t xml:space="preserve"> ensure the policy is useable.</w:t>
      </w:r>
      <w:r w:rsidR="00DA5AF6">
        <w:t xml:space="preserve"> </w:t>
      </w:r>
      <w:r>
        <w:t>Objectives and strategies may be grouped by precinct or under thematic sub-headings depending on the content and complexity of a policy.</w:t>
      </w:r>
      <w:r w:rsidR="00DA5AF6">
        <w:t xml:space="preserve"> </w:t>
      </w:r>
    </w:p>
    <w:p w14:paraId="775642CA" w14:textId="23C055C1" w:rsidR="008F213F" w:rsidRDefault="008F213F" w:rsidP="002E55BC">
      <w:pPr>
        <w:pStyle w:val="DELWPbodyafterbullets"/>
      </w:pPr>
      <w:r>
        <w:t>Tables may</w:t>
      </w:r>
      <w:r w:rsidR="00530E23">
        <w:t xml:space="preserve"> only</w:t>
      </w:r>
      <w:r>
        <w:t xml:space="preserve"> be used in the PPF </w:t>
      </w:r>
      <w:r w:rsidR="00BF29FA">
        <w:t xml:space="preserve">where </w:t>
      </w:r>
      <w:r w:rsidR="00BF29FA" w:rsidRPr="00BF29FA">
        <w:t xml:space="preserve">it </w:t>
      </w:r>
      <w:r w:rsidR="00BF29FA">
        <w:t>would</w:t>
      </w:r>
      <w:r w:rsidR="00BF29FA" w:rsidRPr="00BF29FA">
        <w:t xml:space="preserve"> present information </w:t>
      </w:r>
      <w:r w:rsidR="00BF29FA">
        <w:t xml:space="preserve">more </w:t>
      </w:r>
      <w:r w:rsidR="00BF29FA" w:rsidRPr="00BF29FA">
        <w:t>clearly and efficiently</w:t>
      </w:r>
      <w:r w:rsidR="00BF29FA">
        <w:t xml:space="preserve"> than in the</w:t>
      </w:r>
      <w:r w:rsidR="00BF29FA" w:rsidRPr="00BF29FA">
        <w:t xml:space="preserve"> standard format</w:t>
      </w:r>
      <w:r w:rsidR="00BF29FA">
        <w:t>.</w:t>
      </w:r>
    </w:p>
    <w:p w14:paraId="489C7654" w14:textId="68DF2568" w:rsidR="00754143" w:rsidRDefault="00BA1C01" w:rsidP="002E55BC">
      <w:pPr>
        <w:pStyle w:val="DELWPbodyafterbullets"/>
      </w:pPr>
      <w:r>
        <w:t xml:space="preserve">PPF </w:t>
      </w:r>
      <w:r w:rsidR="008F213F">
        <w:t>objectives and strategies</w:t>
      </w:r>
      <w:r>
        <w:t xml:space="preserve"> are un-numbered.</w:t>
      </w:r>
      <w:r w:rsidR="00D92C0F">
        <w:t xml:space="preserve"> </w:t>
      </w:r>
      <w:r>
        <w:t xml:space="preserve">Bullets are applied </w:t>
      </w:r>
      <w:r w:rsidR="008F213F">
        <w:t>to</w:t>
      </w:r>
      <w:r>
        <w:t xml:space="preserve"> policy guidelines and policy document</w:t>
      </w:r>
      <w:r w:rsidR="008F213F">
        <w:t>s</w:t>
      </w:r>
      <w:r>
        <w:t>.</w:t>
      </w:r>
    </w:p>
    <w:p w14:paraId="489C7655" w14:textId="18090E5E" w:rsidR="00754143" w:rsidRPr="006951F8" w:rsidRDefault="00A95051" w:rsidP="004F6A20">
      <w:pPr>
        <w:pStyle w:val="Heading3"/>
      </w:pPr>
      <w:r>
        <w:t>6.4.4</w:t>
      </w:r>
      <w:r>
        <w:tab/>
      </w:r>
      <w:r w:rsidR="000B7EED">
        <w:tab/>
      </w:r>
      <w:r w:rsidR="00AB2C0B" w:rsidRPr="006951F8">
        <w:t xml:space="preserve">Policy </w:t>
      </w:r>
      <w:r w:rsidR="001B729E">
        <w:t>t</w:t>
      </w:r>
      <w:r w:rsidR="00AB2C0B" w:rsidRPr="006951F8">
        <w:t>hemes</w:t>
      </w:r>
    </w:p>
    <w:p w14:paraId="489C7656" w14:textId="115A7053" w:rsidR="00754143" w:rsidRDefault="00AB2C0B" w:rsidP="00BA0BD1">
      <w:pPr>
        <w:pStyle w:val="DELWPbodyaftertablediagram"/>
      </w:pPr>
      <w:r>
        <w:t xml:space="preserve">In </w:t>
      </w:r>
      <w:r w:rsidR="00092E0F" w:rsidRPr="00BA0BD1">
        <w:t xml:space="preserve">clauses </w:t>
      </w:r>
      <w:r w:rsidRPr="00BA0BD1">
        <w:t>10 to 19</w:t>
      </w:r>
      <w:r>
        <w:t>, the state, regional and local levels of policy are grouped by theme, with directly relevant regional and local policies ‘nested’ under the corresponding state planning policy where policy is in place at those levels.</w:t>
      </w:r>
    </w:p>
    <w:p w14:paraId="489C7657" w14:textId="0873C375" w:rsidR="00754143" w:rsidRDefault="00AB2C0B" w:rsidP="00BA0BD1">
      <w:pPr>
        <w:pStyle w:val="DELWPbodyaftertablediagram"/>
      </w:pPr>
      <w:r>
        <w:t>When preparing a local policy for the PPF, an assessment of the relevant policy themes is required to understand how best to prepare and place a policy.</w:t>
      </w:r>
      <w:r w:rsidR="00DA5AF6">
        <w:t xml:space="preserve"> </w:t>
      </w:r>
      <w:r>
        <w:t>Each local policy will address a particular theme.</w:t>
      </w:r>
      <w:r w:rsidR="00DA5AF6">
        <w:t xml:space="preserve"> </w:t>
      </w:r>
      <w:r>
        <w:t>That theme needs to correspond with a relevant state policy theme.</w:t>
      </w:r>
      <w:r w:rsidR="00DA5AF6">
        <w:t xml:space="preserve"> </w:t>
      </w:r>
      <w:r>
        <w:t xml:space="preserve">For instance, a local policy that relates to neighbourhood character would be placed under </w:t>
      </w:r>
      <w:r w:rsidR="001F616D" w:rsidRPr="00BA0BD1">
        <w:t>c</w:t>
      </w:r>
      <w:r w:rsidRPr="00BA0BD1">
        <w:t>lause 15.01-5</w:t>
      </w:r>
      <w:r>
        <w:t xml:space="preserve"> </w:t>
      </w:r>
      <w:r w:rsidR="009A22FA">
        <w:t>(</w:t>
      </w:r>
      <w:r w:rsidRPr="00BA0BD1">
        <w:t>Neighbourhood character</w:t>
      </w:r>
      <w:r w:rsidR="009A22FA" w:rsidRPr="00BA0BD1">
        <w:t>)</w:t>
      </w:r>
      <w:r>
        <w:t xml:space="preserve"> and a policy that relates to the subdivision of agricultural land would be placed under </w:t>
      </w:r>
      <w:r w:rsidR="001F616D" w:rsidRPr="00BA0BD1">
        <w:t>c</w:t>
      </w:r>
      <w:r w:rsidRPr="00BA0BD1">
        <w:t>lause 14.01-1</w:t>
      </w:r>
      <w:r>
        <w:t xml:space="preserve"> </w:t>
      </w:r>
      <w:r w:rsidR="009A22FA">
        <w:t>(</w:t>
      </w:r>
      <w:r w:rsidRPr="009A22FA">
        <w:rPr>
          <w:rStyle w:val="Strong"/>
        </w:rPr>
        <w:t>Protection of agricultural land</w:t>
      </w:r>
      <w:r w:rsidR="009A22FA">
        <w:rPr>
          <w:rStyle w:val="Strong"/>
        </w:rPr>
        <w:t>)</w:t>
      </w:r>
      <w:r>
        <w:t>.</w:t>
      </w:r>
    </w:p>
    <w:p w14:paraId="489C7658" w14:textId="77777777" w:rsidR="00754143" w:rsidRDefault="00AB2C0B" w:rsidP="002E55BC">
      <w:pPr>
        <w:pStyle w:val="BodyText1"/>
      </w:pPr>
      <w:r>
        <w:t>There will be instances where a policy primarily relates to a particular theme but has minor references to other related matters, which may suggest that certain strategies should be split out under alternative policy themes.</w:t>
      </w:r>
      <w:r w:rsidR="00DA5AF6">
        <w:t xml:space="preserve"> </w:t>
      </w:r>
      <w:r>
        <w:t>However, in these instances, the policy can be placed under its dominant theme rather than splitting the policy up unnecessarily. For example:</w:t>
      </w:r>
    </w:p>
    <w:p w14:paraId="489C7659" w14:textId="77777777" w:rsidR="00DC2411" w:rsidRDefault="00AB2C0B" w:rsidP="00723A0D">
      <w:pPr>
        <w:pStyle w:val="DELWPbullet1"/>
      </w:pPr>
      <w:r>
        <w:lastRenderedPageBreak/>
        <w:t>A local policy that relates to developing an area as a focus for technology and research but contains a reference to accommodation (such as only allowing accommodation uses that support the technology and research uses) can remain as a single policy.</w:t>
      </w:r>
    </w:p>
    <w:p w14:paraId="489C765A" w14:textId="2C815535" w:rsidR="00DA5AF6" w:rsidRDefault="00AB2C0B" w:rsidP="00723A0D">
      <w:pPr>
        <w:pStyle w:val="DELWPbullet1"/>
      </w:pPr>
      <w:r>
        <w:t xml:space="preserve">If a sign policy relates only to the appearance of a sign in a heritage area, the policy can sit with </w:t>
      </w:r>
      <w:r w:rsidR="001F616D" w:rsidRPr="00BA0BD1">
        <w:t>c</w:t>
      </w:r>
      <w:r w:rsidRPr="00BA0BD1">
        <w:t>lause 15.03-1</w:t>
      </w:r>
      <w:r>
        <w:t xml:space="preserve"> </w:t>
      </w:r>
      <w:r w:rsidR="009A22FA">
        <w:t>(</w:t>
      </w:r>
      <w:r w:rsidRPr="00BA0BD1">
        <w:t>Heritage conservation</w:t>
      </w:r>
      <w:r w:rsidR="009A22FA" w:rsidRPr="00BA0BD1">
        <w:t>)</w:t>
      </w:r>
      <w:r>
        <w:t xml:space="preserve">. However, if a set of strategies broadly relate to the urban design aspects of signs, but the policy has a component that relates to heritage, then </w:t>
      </w:r>
      <w:r w:rsidR="00515CDC">
        <w:t>those strategies</w:t>
      </w:r>
      <w:r>
        <w:t xml:space="preserve"> should remain together under </w:t>
      </w:r>
      <w:r w:rsidR="001F616D" w:rsidRPr="00BA0BD1">
        <w:t>c</w:t>
      </w:r>
      <w:r w:rsidRPr="00BA0BD1">
        <w:t>lause 15.01-1</w:t>
      </w:r>
      <w:r>
        <w:t xml:space="preserve"> </w:t>
      </w:r>
      <w:r w:rsidR="009A22FA">
        <w:t>(</w:t>
      </w:r>
      <w:r w:rsidRPr="009A22FA">
        <w:rPr>
          <w:rStyle w:val="Strong"/>
        </w:rPr>
        <w:t>Urban design</w:t>
      </w:r>
      <w:r w:rsidR="009A22FA">
        <w:rPr>
          <w:rStyle w:val="Strong"/>
        </w:rPr>
        <w:t>)</w:t>
      </w:r>
      <w:r>
        <w:t>.</w:t>
      </w:r>
    </w:p>
    <w:p w14:paraId="489C765B" w14:textId="5D83439E" w:rsidR="00754143" w:rsidRDefault="00AB2C0B" w:rsidP="002E55BC">
      <w:pPr>
        <w:pStyle w:val="DELWPbodyafterbullets"/>
      </w:pPr>
      <w:r>
        <w:t>When placing a local policy in the PPF, the content of the relevant state policy (the objectives and strategies) must be examined closely to determine the kinds of policies that can be placed with it.</w:t>
      </w:r>
      <w:r w:rsidR="00DA5AF6">
        <w:t xml:space="preserve"> </w:t>
      </w:r>
      <w:r>
        <w:t>The state policy headings will not always indicate the full range of policies allowed under a policy.</w:t>
      </w:r>
      <w:r w:rsidR="00DA5AF6">
        <w:t xml:space="preserve"> </w:t>
      </w:r>
      <w:r>
        <w:t xml:space="preserve">For example, </w:t>
      </w:r>
      <w:r w:rsidR="001F616D" w:rsidRPr="00BA0BD1">
        <w:t>c</w:t>
      </w:r>
      <w:r w:rsidRPr="00BA0BD1">
        <w:t>lause 15.01-1</w:t>
      </w:r>
      <w:r w:rsidRPr="007E64CD">
        <w:rPr>
          <w:rStyle w:val="Strong"/>
        </w:rPr>
        <w:t xml:space="preserve"> </w:t>
      </w:r>
      <w:r w:rsidR="009A22FA">
        <w:rPr>
          <w:rStyle w:val="Strong"/>
        </w:rPr>
        <w:t>(</w:t>
      </w:r>
      <w:r w:rsidRPr="009A22FA">
        <w:rPr>
          <w:rStyle w:val="Strong"/>
        </w:rPr>
        <w:t xml:space="preserve">Urban </w:t>
      </w:r>
      <w:r w:rsidR="009A22FA">
        <w:rPr>
          <w:rStyle w:val="Strong"/>
        </w:rPr>
        <w:t>d</w:t>
      </w:r>
      <w:r w:rsidRPr="009A22FA">
        <w:rPr>
          <w:rStyle w:val="Strong"/>
        </w:rPr>
        <w:t>esign</w:t>
      </w:r>
      <w:r w:rsidR="009A22FA">
        <w:rPr>
          <w:rStyle w:val="Strong"/>
        </w:rPr>
        <w:t>)</w:t>
      </w:r>
      <w:r>
        <w:t xml:space="preserve"> reads:</w:t>
      </w:r>
    </w:p>
    <w:p w14:paraId="489C765C" w14:textId="77777777" w:rsidR="00DC2411" w:rsidRPr="00B447C7" w:rsidRDefault="00AB2C0B" w:rsidP="000A6431">
      <w:pPr>
        <w:pStyle w:val="Examplein-text"/>
        <w:rPr>
          <w:b/>
          <w:bCs/>
          <w:i w:val="0"/>
          <w:iCs/>
        </w:rPr>
      </w:pPr>
      <w:r w:rsidRPr="00B447C7">
        <w:rPr>
          <w:b/>
          <w:bCs/>
          <w:i w:val="0"/>
          <w:iCs/>
        </w:rPr>
        <w:t>Objective</w:t>
      </w:r>
    </w:p>
    <w:p w14:paraId="489C765D" w14:textId="77777777" w:rsidR="00754143" w:rsidRPr="00B447C7" w:rsidRDefault="00AB2C0B" w:rsidP="000A6431">
      <w:pPr>
        <w:pStyle w:val="Examplein-text"/>
        <w:rPr>
          <w:i w:val="0"/>
          <w:iCs/>
        </w:rPr>
      </w:pPr>
      <w:r w:rsidRPr="00B447C7">
        <w:rPr>
          <w:i w:val="0"/>
          <w:iCs/>
        </w:rPr>
        <w:t>To create urban environments that are safe, healthy, functional and enjoyable and that contribute to a sense of place and cultural identity.</w:t>
      </w:r>
    </w:p>
    <w:p w14:paraId="489C765E" w14:textId="77777777" w:rsidR="00DC2411" w:rsidRPr="00B447C7" w:rsidRDefault="00AB2C0B" w:rsidP="000A6431">
      <w:pPr>
        <w:pStyle w:val="Examplein-text"/>
        <w:rPr>
          <w:b/>
          <w:bCs/>
          <w:i w:val="0"/>
          <w:iCs/>
        </w:rPr>
      </w:pPr>
      <w:r w:rsidRPr="00B447C7">
        <w:rPr>
          <w:b/>
          <w:bCs/>
          <w:i w:val="0"/>
          <w:iCs/>
        </w:rPr>
        <w:t>Strategies</w:t>
      </w:r>
    </w:p>
    <w:p w14:paraId="7B8CECBD" w14:textId="77777777" w:rsidR="0010225E" w:rsidRPr="00B447C7" w:rsidRDefault="0010225E" w:rsidP="000A6431">
      <w:pPr>
        <w:pStyle w:val="Examplein-text"/>
        <w:rPr>
          <w:i w:val="0"/>
          <w:iCs/>
        </w:rPr>
      </w:pPr>
      <w:r w:rsidRPr="00B447C7">
        <w:rPr>
          <w:i w:val="0"/>
          <w:iCs/>
        </w:rPr>
        <w:t>Require development to respond to its context in terms of character, cultural identity, natural features, surrounding landscape and climate.</w:t>
      </w:r>
    </w:p>
    <w:p w14:paraId="489C765F" w14:textId="5736F1B3" w:rsidR="00754143" w:rsidRPr="00B447C7" w:rsidRDefault="00AB2C0B" w:rsidP="000A6431">
      <w:pPr>
        <w:pStyle w:val="Examplein-text"/>
        <w:rPr>
          <w:i w:val="0"/>
          <w:iCs/>
        </w:rPr>
      </w:pPr>
      <w:r w:rsidRPr="00B447C7">
        <w:rPr>
          <w:i w:val="0"/>
          <w:iCs/>
        </w:rPr>
        <w:t>Ensure development contributes to community and cultural life by improving the quality of living and working environments, facilitating accessibility and providing for inclusiveness.</w:t>
      </w:r>
    </w:p>
    <w:p w14:paraId="489C7661" w14:textId="77777777" w:rsidR="00754143" w:rsidRPr="00B447C7" w:rsidRDefault="00AB2C0B" w:rsidP="000A6431">
      <w:pPr>
        <w:pStyle w:val="Examplein-text"/>
        <w:rPr>
          <w:i w:val="0"/>
          <w:iCs/>
        </w:rPr>
      </w:pPr>
      <w:r w:rsidRPr="00B447C7">
        <w:rPr>
          <w:i w:val="0"/>
          <w:iCs/>
        </w:rPr>
        <w:t>Ensure the interface between the private and the public realm protects and enhances personal safety.</w:t>
      </w:r>
    </w:p>
    <w:p w14:paraId="489C7662" w14:textId="77777777" w:rsidR="00754143" w:rsidRPr="00B447C7" w:rsidRDefault="00AB2C0B" w:rsidP="000A6431">
      <w:pPr>
        <w:pStyle w:val="Examplein-text"/>
        <w:rPr>
          <w:i w:val="0"/>
          <w:iCs/>
        </w:rPr>
      </w:pPr>
      <w:r w:rsidRPr="00B447C7">
        <w:rPr>
          <w:i w:val="0"/>
          <w:iCs/>
        </w:rPr>
        <w:t>Ensure development supports public realm amenity and safe access to walking and cycling environments and public transport.</w:t>
      </w:r>
    </w:p>
    <w:p w14:paraId="489C7663" w14:textId="77777777" w:rsidR="00754143" w:rsidRPr="00B447C7" w:rsidRDefault="00AB2C0B" w:rsidP="000A6431">
      <w:pPr>
        <w:pStyle w:val="Examplein-text"/>
        <w:rPr>
          <w:i w:val="0"/>
          <w:iCs/>
        </w:rPr>
      </w:pPr>
      <w:r w:rsidRPr="00B447C7">
        <w:rPr>
          <w:i w:val="0"/>
          <w:iCs/>
        </w:rPr>
        <w:t>Ensure that the design and location of publicly accessible private space, including car parking areas, forecourts and walkways, is of a high standard, creates a safe environment for users and enables easy and efficient use.</w:t>
      </w:r>
    </w:p>
    <w:p w14:paraId="489C7664" w14:textId="77777777" w:rsidR="00754143" w:rsidRPr="00B447C7" w:rsidRDefault="00AB2C0B" w:rsidP="000A6431">
      <w:pPr>
        <w:pStyle w:val="Examplein-text"/>
        <w:rPr>
          <w:i w:val="0"/>
          <w:iCs/>
        </w:rPr>
      </w:pPr>
      <w:r w:rsidRPr="00B447C7">
        <w:rPr>
          <w:i w:val="0"/>
          <w:iCs/>
        </w:rPr>
        <w:t>Ensure that development provides landscaping that supports the amenity, attractiveness and safety of the public realm.</w:t>
      </w:r>
    </w:p>
    <w:p w14:paraId="489C7665" w14:textId="77777777" w:rsidR="00754143" w:rsidRPr="00B447C7" w:rsidRDefault="00AB2C0B" w:rsidP="000A6431">
      <w:pPr>
        <w:pStyle w:val="Examplein-text"/>
        <w:rPr>
          <w:b/>
          <w:bCs/>
          <w:i w:val="0"/>
          <w:iCs/>
        </w:rPr>
      </w:pPr>
      <w:r w:rsidRPr="00B447C7">
        <w:rPr>
          <w:b/>
          <w:bCs/>
          <w:i w:val="0"/>
          <w:iCs/>
        </w:rPr>
        <w:t>Ensure that development, including signs, minimises detrimental impacts on amenity, on the natural and built environment and on the safety and efficiency of roads.</w:t>
      </w:r>
    </w:p>
    <w:p w14:paraId="489C7666" w14:textId="77777777" w:rsidR="00754143" w:rsidRPr="00B447C7" w:rsidRDefault="00AB2C0B" w:rsidP="000A6431">
      <w:pPr>
        <w:pStyle w:val="Examplein-text"/>
        <w:rPr>
          <w:i w:val="0"/>
          <w:iCs/>
        </w:rPr>
      </w:pPr>
      <w:r w:rsidRPr="00B447C7">
        <w:rPr>
          <w:i w:val="0"/>
          <w:iCs/>
        </w:rPr>
        <w:t>Promote good urban design along and abutting transport corridors.</w:t>
      </w:r>
    </w:p>
    <w:p w14:paraId="489C7667" w14:textId="554180D0" w:rsidR="00754143" w:rsidRDefault="00AB2C0B" w:rsidP="002E55BC">
      <w:pPr>
        <w:pStyle w:val="BodyText1"/>
      </w:pPr>
      <w:r>
        <w:t>If you only have regard to the heading and the objective</w:t>
      </w:r>
      <w:r w:rsidR="002A7698">
        <w:t>,</w:t>
      </w:r>
      <w:r>
        <w:t xml:space="preserve"> it may not be immediately apparent that a local policy on signs belongs under this </w:t>
      </w:r>
      <w:proofErr w:type="gramStart"/>
      <w:r>
        <w:t>particular policy</w:t>
      </w:r>
      <w:proofErr w:type="gramEnd"/>
      <w:r>
        <w:t>.</w:t>
      </w:r>
      <w:r w:rsidR="00DA5AF6">
        <w:t xml:space="preserve"> </w:t>
      </w:r>
      <w:r>
        <w:t>However, if you look at the second last strategy (in bold above) this policy clearly relates to signs and allows a local policy on signs to be placed under it.</w:t>
      </w:r>
    </w:p>
    <w:p w14:paraId="489C7668" w14:textId="77777777" w:rsidR="00DC2411" w:rsidRDefault="00AB2C0B" w:rsidP="002123AF">
      <w:pPr>
        <w:pStyle w:val="Heading4"/>
      </w:pPr>
      <w:r>
        <w:lastRenderedPageBreak/>
        <w:t>Multiple policies on a single theme</w:t>
      </w:r>
    </w:p>
    <w:p w14:paraId="489C7669" w14:textId="36728A3F" w:rsidR="00754143" w:rsidRDefault="00AB2C0B" w:rsidP="002E55BC">
      <w:pPr>
        <w:pStyle w:val="BodyText1"/>
      </w:pPr>
      <w:r>
        <w:t>Multiple policies can be added to the one theme.</w:t>
      </w:r>
      <w:r w:rsidR="00DA5AF6">
        <w:t xml:space="preserve"> </w:t>
      </w:r>
      <w:r>
        <w:t xml:space="preserve">If a planning scheme includes a policy that relates to student housing and another that relates to rooming houses, </w:t>
      </w:r>
      <w:proofErr w:type="gramStart"/>
      <w:r>
        <w:t>both of these</w:t>
      </w:r>
      <w:proofErr w:type="gramEnd"/>
      <w:r>
        <w:t xml:space="preserve"> policies can sit under </w:t>
      </w:r>
      <w:r w:rsidR="001F616D" w:rsidRPr="00BA0BD1">
        <w:t>c</w:t>
      </w:r>
      <w:r w:rsidRPr="00BA0BD1">
        <w:t>lause 16.01-1</w:t>
      </w:r>
      <w:r>
        <w:t xml:space="preserve"> </w:t>
      </w:r>
      <w:r w:rsidR="009A22FA">
        <w:t>(</w:t>
      </w:r>
      <w:r w:rsidR="00B14277" w:rsidRPr="009A22FA">
        <w:rPr>
          <w:rStyle w:val="Strong"/>
        </w:rPr>
        <w:t>H</w:t>
      </w:r>
      <w:r w:rsidRPr="009A22FA">
        <w:rPr>
          <w:rStyle w:val="Strong"/>
        </w:rPr>
        <w:t>ousing</w:t>
      </w:r>
      <w:r w:rsidRPr="009A22FA">
        <w:rPr>
          <w:b/>
          <w:bCs/>
        </w:rPr>
        <w:t xml:space="preserve"> </w:t>
      </w:r>
      <w:r w:rsidR="00B14277">
        <w:t>supply</w:t>
      </w:r>
      <w:r w:rsidR="009A22FA">
        <w:t>)</w:t>
      </w:r>
      <w:r>
        <w:t xml:space="preserve"> as separate local policies.</w:t>
      </w:r>
      <w:r w:rsidR="00DA5AF6">
        <w:t xml:space="preserve"> </w:t>
      </w:r>
      <w:r>
        <w:t xml:space="preserve">If there are two local policies on different activity </w:t>
      </w:r>
      <w:proofErr w:type="gramStart"/>
      <w:r>
        <w:t>centres</w:t>
      </w:r>
      <w:proofErr w:type="gramEnd"/>
      <w:r>
        <w:t xml:space="preserve"> then they can both sit under </w:t>
      </w:r>
      <w:r w:rsidR="001F616D" w:rsidRPr="00BA0BD1">
        <w:t>c</w:t>
      </w:r>
      <w:r w:rsidRPr="00BA0BD1">
        <w:t>lause 11.03-1</w:t>
      </w:r>
      <w:r>
        <w:t xml:space="preserve"> </w:t>
      </w:r>
      <w:r w:rsidR="009A22FA">
        <w:t>(</w:t>
      </w:r>
      <w:r w:rsidRPr="009A22FA">
        <w:rPr>
          <w:rStyle w:val="Strong"/>
        </w:rPr>
        <w:t>Activity centres</w:t>
      </w:r>
      <w:r w:rsidR="009A22FA">
        <w:rPr>
          <w:rStyle w:val="Strong"/>
        </w:rPr>
        <w:t>)</w:t>
      </w:r>
      <w:r>
        <w:t xml:space="preserve"> as separate local policies.</w:t>
      </w:r>
    </w:p>
    <w:p w14:paraId="489C766A" w14:textId="77777777" w:rsidR="00DC2411" w:rsidRDefault="00AB2C0B" w:rsidP="002123AF">
      <w:pPr>
        <w:pStyle w:val="Heading4"/>
      </w:pPr>
      <w:r>
        <w:t>Numbering and labelling of policy</w:t>
      </w:r>
    </w:p>
    <w:p w14:paraId="489C766B" w14:textId="77777777" w:rsidR="00754143" w:rsidRDefault="00AB2C0B" w:rsidP="002E55BC">
      <w:pPr>
        <w:pStyle w:val="BodyText1"/>
      </w:pPr>
      <w:r>
        <w:t>As regional and local policy is nested under the relevant state policy, the regional or local policy uses the same clause number as the state policy.</w:t>
      </w:r>
      <w:r w:rsidR="00DA5AF6">
        <w:t xml:space="preserve"> </w:t>
      </w:r>
      <w:r>
        <w:t>The three tiers of policy are distinguished using the following letter codes:</w:t>
      </w:r>
    </w:p>
    <w:p w14:paraId="489C766C" w14:textId="77777777" w:rsidR="00DC2411" w:rsidRDefault="00AB2C0B" w:rsidP="00723A0D">
      <w:pPr>
        <w:pStyle w:val="DELWPbullet1"/>
      </w:pPr>
      <w:r>
        <w:t>state policy is identified with an ‘S’</w:t>
      </w:r>
    </w:p>
    <w:p w14:paraId="489C766D" w14:textId="77777777" w:rsidR="00DC2411" w:rsidRDefault="00AB2C0B" w:rsidP="00723A0D">
      <w:pPr>
        <w:pStyle w:val="DELWPbullet1"/>
      </w:pPr>
      <w:r>
        <w:t>regional policy is identified with an ‘R’</w:t>
      </w:r>
    </w:p>
    <w:p w14:paraId="489C766E" w14:textId="77777777" w:rsidR="00DC2411" w:rsidRDefault="00AB2C0B" w:rsidP="00723A0D">
      <w:pPr>
        <w:pStyle w:val="DELWPbullet1"/>
      </w:pPr>
      <w:r>
        <w:t>local policy is identified with an ‘L’.</w:t>
      </w:r>
    </w:p>
    <w:tbl>
      <w:tblPr>
        <w:tblStyle w:val="DELWPhighlighttable"/>
        <w:tblW w:w="9242" w:type="dxa"/>
        <w:tblInd w:w="0" w:type="dxa"/>
        <w:tblLook w:val="0400" w:firstRow="0" w:lastRow="0" w:firstColumn="0" w:lastColumn="0" w:noHBand="0" w:noVBand="1"/>
      </w:tblPr>
      <w:tblGrid>
        <w:gridCol w:w="9242"/>
      </w:tblGrid>
      <w:tr w:rsidR="004B2395" w:rsidRPr="004B2395" w14:paraId="489C7673" w14:textId="77777777" w:rsidTr="00E80D47">
        <w:trPr>
          <w:cantSplit/>
        </w:trPr>
        <w:tc>
          <w:tcPr>
            <w:tcW w:w="9242" w:type="dxa"/>
          </w:tcPr>
          <w:p w14:paraId="489C766F" w14:textId="77777777" w:rsidR="004B2395" w:rsidRPr="00B447C7" w:rsidRDefault="004B2395" w:rsidP="003545FF">
            <w:pPr>
              <w:pStyle w:val="DELWPexamplebody"/>
              <w:spacing w:before="0" w:line="240" w:lineRule="auto"/>
            </w:pPr>
            <w:r w:rsidRPr="00B447C7">
              <w:t>17.04 Tourism</w:t>
            </w:r>
          </w:p>
          <w:p w14:paraId="489C7670" w14:textId="600D247D" w:rsidR="004B2395" w:rsidRPr="00B447C7" w:rsidRDefault="002B5262" w:rsidP="008758C0">
            <w:pPr>
              <w:pStyle w:val="DELWPexamplebodyindent"/>
              <w:spacing w:line="240" w:lineRule="auto"/>
              <w:ind w:left="0"/>
            </w:pPr>
            <w:r w:rsidRPr="00B447C7">
              <w:tab/>
            </w:r>
            <w:r w:rsidR="004B2395" w:rsidRPr="00B447C7">
              <w:t>17.04-1</w:t>
            </w:r>
            <w:r w:rsidR="004B2395" w:rsidRPr="00B447C7">
              <w:rPr>
                <w:rStyle w:val="Strong"/>
                <w:b/>
                <w:bCs/>
              </w:rPr>
              <w:t>S</w:t>
            </w:r>
            <w:r w:rsidR="004B2395" w:rsidRPr="00B447C7">
              <w:t xml:space="preserve"> Facilitating tourism</w:t>
            </w:r>
          </w:p>
          <w:p w14:paraId="489C7671" w14:textId="733DB90E" w:rsidR="004B2395" w:rsidRPr="00B447C7" w:rsidRDefault="002B5262" w:rsidP="008758C0">
            <w:pPr>
              <w:pStyle w:val="DELWPexamplebodyindent"/>
              <w:spacing w:line="240" w:lineRule="auto"/>
              <w:ind w:left="0"/>
            </w:pPr>
            <w:r w:rsidRPr="00B447C7">
              <w:tab/>
            </w:r>
            <w:r w:rsidR="004B2395" w:rsidRPr="00B447C7">
              <w:t>17.04-1</w:t>
            </w:r>
            <w:r w:rsidR="004B2395" w:rsidRPr="00B447C7">
              <w:rPr>
                <w:rStyle w:val="Strong"/>
                <w:b/>
                <w:bCs/>
              </w:rPr>
              <w:t>R</w:t>
            </w:r>
            <w:r w:rsidR="004B2395" w:rsidRPr="00B447C7">
              <w:t xml:space="preserve"> Tourism – Gippsland</w:t>
            </w:r>
          </w:p>
          <w:p w14:paraId="489C7672" w14:textId="21F152A3" w:rsidR="004B2395" w:rsidRPr="0087045F" w:rsidRDefault="002B5262" w:rsidP="008758C0">
            <w:pPr>
              <w:pStyle w:val="DELWPexamplebodyindent"/>
              <w:spacing w:after="120" w:line="240" w:lineRule="auto"/>
              <w:ind w:left="0"/>
              <w:rPr>
                <w:i/>
                <w:iCs/>
              </w:rPr>
            </w:pPr>
            <w:r w:rsidRPr="00B447C7">
              <w:tab/>
            </w:r>
            <w:r w:rsidR="004B2395" w:rsidRPr="00B447C7">
              <w:t>17.04-1</w:t>
            </w:r>
            <w:r w:rsidR="004B2395" w:rsidRPr="00B447C7">
              <w:rPr>
                <w:rStyle w:val="Strong"/>
                <w:b/>
                <w:bCs/>
              </w:rPr>
              <w:t>L</w:t>
            </w:r>
            <w:r w:rsidR="004B2395" w:rsidRPr="00B447C7">
              <w:t xml:space="preserve"> Nature-based tourism</w:t>
            </w:r>
          </w:p>
        </w:tc>
      </w:tr>
    </w:tbl>
    <w:p w14:paraId="489C7674" w14:textId="7CE90D90" w:rsidR="00754143" w:rsidRDefault="00AB2C0B" w:rsidP="00BB5269">
      <w:pPr>
        <w:pStyle w:val="DELWPbodyaftertablediagram"/>
        <w:spacing w:before="120"/>
      </w:pPr>
      <w:r>
        <w:t>Multiple policies at the regional or local level can be distinguished by having unique titles.</w:t>
      </w:r>
    </w:p>
    <w:tbl>
      <w:tblPr>
        <w:tblStyle w:val="DELWPhighlighttable"/>
        <w:tblW w:w="9242" w:type="dxa"/>
        <w:tblInd w:w="0" w:type="dxa"/>
        <w:tblLook w:val="0400" w:firstRow="0" w:lastRow="0" w:firstColumn="0" w:lastColumn="0" w:noHBand="0" w:noVBand="1"/>
      </w:tblPr>
      <w:tblGrid>
        <w:gridCol w:w="9242"/>
      </w:tblGrid>
      <w:tr w:rsidR="003315AB" w:rsidRPr="004B2395" w14:paraId="489C767A" w14:textId="77777777" w:rsidTr="00E80D47">
        <w:trPr>
          <w:cantSplit/>
        </w:trPr>
        <w:tc>
          <w:tcPr>
            <w:tcW w:w="9242" w:type="dxa"/>
            <w:shd w:val="clear" w:color="auto" w:fill="D9ECEA"/>
          </w:tcPr>
          <w:p w14:paraId="489C7675" w14:textId="6A18750E" w:rsidR="003315AB" w:rsidRPr="00B447C7" w:rsidRDefault="003315AB" w:rsidP="003545FF">
            <w:pPr>
              <w:pStyle w:val="DELWPexamplebody"/>
              <w:spacing w:before="0" w:line="240" w:lineRule="auto"/>
            </w:pPr>
            <w:r w:rsidRPr="00B447C7">
              <w:t>17.04 Tourism</w:t>
            </w:r>
          </w:p>
          <w:p w14:paraId="489C7676" w14:textId="49D2033A" w:rsidR="003315AB" w:rsidRPr="00B447C7" w:rsidRDefault="002B5262" w:rsidP="00A015D7">
            <w:pPr>
              <w:pStyle w:val="DELWPexamplebodyindent"/>
              <w:spacing w:line="240" w:lineRule="auto"/>
              <w:ind w:left="0"/>
            </w:pPr>
            <w:r w:rsidRPr="00B447C7">
              <w:tab/>
            </w:r>
            <w:r w:rsidR="003315AB" w:rsidRPr="00B447C7">
              <w:t>17.04-1S Facilitating tourism</w:t>
            </w:r>
          </w:p>
          <w:p w14:paraId="489C7677" w14:textId="18D2AD73" w:rsidR="003315AB" w:rsidRPr="00B447C7" w:rsidRDefault="002B5262" w:rsidP="00A015D7">
            <w:pPr>
              <w:pStyle w:val="DELWPexamplebodyindent"/>
              <w:spacing w:line="240" w:lineRule="auto"/>
              <w:ind w:left="0"/>
            </w:pPr>
            <w:r w:rsidRPr="00B447C7">
              <w:tab/>
            </w:r>
            <w:r w:rsidR="003315AB" w:rsidRPr="00B447C7">
              <w:t>17.04-1R Tourism – Gippsland</w:t>
            </w:r>
          </w:p>
          <w:p w14:paraId="2741C5C7" w14:textId="04F164FB" w:rsidR="00776D7C" w:rsidRPr="00B447C7" w:rsidRDefault="002B5262" w:rsidP="00A015D7">
            <w:pPr>
              <w:pStyle w:val="DELWPexamplebodyindent"/>
              <w:spacing w:line="240" w:lineRule="auto"/>
              <w:ind w:left="-24"/>
              <w:rPr>
                <w:rStyle w:val="Strong"/>
              </w:rPr>
            </w:pPr>
            <w:r w:rsidRPr="00B447C7">
              <w:tab/>
            </w:r>
            <w:r w:rsidRPr="00B447C7">
              <w:tab/>
            </w:r>
            <w:r w:rsidR="003315AB" w:rsidRPr="00B447C7">
              <w:t>17.04-1</w:t>
            </w:r>
            <w:r w:rsidR="003315AB" w:rsidRPr="00B447C7">
              <w:rPr>
                <w:rStyle w:val="Strong"/>
                <w:b/>
                <w:bCs/>
              </w:rPr>
              <w:t>L</w:t>
            </w:r>
            <w:r w:rsidR="003315AB" w:rsidRPr="00B447C7">
              <w:rPr>
                <w:rStyle w:val="Strong"/>
              </w:rPr>
              <w:t xml:space="preserve"> </w:t>
            </w:r>
            <w:r w:rsidR="003315AB" w:rsidRPr="00B447C7">
              <w:rPr>
                <w:rStyle w:val="Strong"/>
                <w:b/>
                <w:bCs/>
              </w:rPr>
              <w:t>Nature-based tourism</w:t>
            </w:r>
          </w:p>
          <w:p w14:paraId="489C7679" w14:textId="3BBBAC61" w:rsidR="003315AB" w:rsidRPr="0087045F" w:rsidRDefault="002B5262" w:rsidP="005975ED">
            <w:pPr>
              <w:pStyle w:val="DELWPexamplebodyindent"/>
              <w:spacing w:after="120" w:line="240" w:lineRule="auto"/>
              <w:ind w:left="0"/>
              <w:rPr>
                <w:i/>
                <w:iCs/>
              </w:rPr>
            </w:pPr>
            <w:r w:rsidRPr="00B447C7">
              <w:tab/>
            </w:r>
            <w:r w:rsidR="003315AB" w:rsidRPr="00B447C7">
              <w:t>17.04-1</w:t>
            </w:r>
            <w:r w:rsidR="003315AB" w:rsidRPr="00B447C7">
              <w:rPr>
                <w:rStyle w:val="Strong"/>
                <w:b/>
                <w:bCs/>
              </w:rPr>
              <w:t>L</w:t>
            </w:r>
            <w:r w:rsidR="003315AB" w:rsidRPr="00B447C7">
              <w:rPr>
                <w:rStyle w:val="Strong"/>
              </w:rPr>
              <w:t xml:space="preserve"> </w:t>
            </w:r>
            <w:r w:rsidR="003315AB" w:rsidRPr="00B447C7">
              <w:rPr>
                <w:rStyle w:val="Strong"/>
                <w:b/>
                <w:bCs/>
              </w:rPr>
              <w:t>Tourist accommodation</w:t>
            </w:r>
          </w:p>
        </w:tc>
      </w:tr>
    </w:tbl>
    <w:p w14:paraId="489C767B" w14:textId="62EFE673" w:rsidR="00CB429B" w:rsidRDefault="00AB2C0B" w:rsidP="00BB5269">
      <w:pPr>
        <w:pStyle w:val="DELWPbodyaftertablediagram"/>
        <w:spacing w:before="120"/>
      </w:pPr>
      <w:r>
        <w:t>Both the clause number and the title are used to identify a policy.</w:t>
      </w:r>
      <w:r w:rsidR="00D92C0F">
        <w:t xml:space="preserve"> </w:t>
      </w:r>
      <w:r w:rsidR="004377DA">
        <w:t>The local planning policy heading does not need to match the corresponding state or regional planning policy heading.</w:t>
      </w:r>
      <w:r w:rsidR="00D92C0F">
        <w:t xml:space="preserve"> </w:t>
      </w:r>
      <w:r w:rsidR="004377DA">
        <w:t xml:space="preserve">Tailor local policy headings to reflect the </w:t>
      </w:r>
      <w:r w:rsidR="00696AAC" w:rsidRPr="00696AAC">
        <w:t>substance</w:t>
      </w:r>
      <w:r w:rsidR="004377DA">
        <w:t xml:space="preserve"> of the policy. </w:t>
      </w:r>
    </w:p>
    <w:p w14:paraId="59A661C6" w14:textId="216F7F28" w:rsidR="304D8100" w:rsidRDefault="74F2608C" w:rsidP="002E55BC">
      <w:pPr>
        <w:pStyle w:val="BodyText1"/>
      </w:pPr>
      <w:r w:rsidRPr="74F2608C">
        <w:t xml:space="preserve">There </w:t>
      </w:r>
      <w:r w:rsidR="2BDD265C" w:rsidRPr="2BDD265C">
        <w:t>may be multiple local or regional policies with the same clause number. Clause</w:t>
      </w:r>
      <w:r w:rsidR="6F4F7324" w:rsidRPr="6F4F7324">
        <w:t xml:space="preserve"> numbers must follow the form </w:t>
      </w:r>
      <w:r w:rsidR="7A4BCBB8">
        <w:t>set out</w:t>
      </w:r>
      <w:r w:rsidR="6F4F7324" w:rsidRPr="6F4F7324">
        <w:t xml:space="preserve"> by the </w:t>
      </w:r>
      <w:r w:rsidR="5048D99B" w:rsidRPr="003D0080">
        <w:rPr>
          <w:i/>
        </w:rPr>
        <w:t>Ministerial Direction</w:t>
      </w:r>
      <w:r w:rsidR="00F8621E">
        <w:rPr>
          <w:iCs/>
        </w:rPr>
        <w:t xml:space="preserve"> -</w:t>
      </w:r>
      <w:r w:rsidR="5048D99B" w:rsidRPr="00310440">
        <w:rPr>
          <w:iCs/>
        </w:rPr>
        <w:t xml:space="preserve"> </w:t>
      </w:r>
      <w:r w:rsidR="7A4BCBB8" w:rsidRPr="00310440">
        <w:rPr>
          <w:i/>
          <w:iCs/>
        </w:rPr>
        <w:t xml:space="preserve">The </w:t>
      </w:r>
      <w:r w:rsidR="5048D99B" w:rsidRPr="00310440">
        <w:rPr>
          <w:i/>
        </w:rPr>
        <w:t>Form</w:t>
      </w:r>
      <w:r w:rsidR="5048D99B" w:rsidRPr="002B259A">
        <w:rPr>
          <w:i/>
        </w:rPr>
        <w:t xml:space="preserve"> and Content of Planning Schemes</w:t>
      </w:r>
      <w:r w:rsidR="5048D99B" w:rsidRPr="5048D99B">
        <w:t>.</w:t>
      </w:r>
    </w:p>
    <w:p w14:paraId="4D6BA3E4" w14:textId="55C4892A" w:rsidR="00A672C5" w:rsidRPr="00A672C5" w:rsidRDefault="00A672C5" w:rsidP="002E55BC">
      <w:pPr>
        <w:pStyle w:val="BodyText1"/>
      </w:pPr>
      <w:r w:rsidRPr="00A672C5">
        <w:t xml:space="preserve">Where a </w:t>
      </w:r>
      <w:r w:rsidR="00B77493">
        <w:t>planning scheme</w:t>
      </w:r>
      <w:r w:rsidRPr="00A672C5">
        <w:t xml:space="preserve"> has multiple policies under one theme, sub-numbering </w:t>
      </w:r>
      <w:r w:rsidR="00B77493">
        <w:t xml:space="preserve">may be used </w:t>
      </w:r>
      <w:r w:rsidRPr="00A672C5">
        <w:t>to differentiate the policies</w:t>
      </w:r>
      <w:r w:rsidR="00F33D92">
        <w:t xml:space="preserve"> where it will support</w:t>
      </w:r>
      <w:r w:rsidR="009E4D90">
        <w:t xml:space="preserve"> </w:t>
      </w:r>
      <w:r w:rsidR="00333A5C">
        <w:t>discoverability</w:t>
      </w:r>
      <w:r w:rsidR="00330016">
        <w:t xml:space="preserve">. </w:t>
      </w:r>
      <w:r w:rsidR="005D6A5E">
        <w:t>A</w:t>
      </w:r>
      <w:r w:rsidR="00F52C7B">
        <w:t xml:space="preserve"> format</w:t>
      </w:r>
      <w:r w:rsidR="005D6A5E">
        <w:t xml:space="preserve"> using the </w:t>
      </w:r>
      <w:r w:rsidR="00EE7F49">
        <w:t xml:space="preserve">standard </w:t>
      </w:r>
      <w:r w:rsidR="00F9277E">
        <w:t xml:space="preserve">policy </w:t>
      </w:r>
      <w:r w:rsidR="00EE7F49">
        <w:t xml:space="preserve">numbering, with the addition of a </w:t>
      </w:r>
      <w:r w:rsidR="00F12C6A">
        <w:t>numerical suffix</w:t>
      </w:r>
      <w:r w:rsidR="00C55E41">
        <w:t>,</w:t>
      </w:r>
      <w:r w:rsidR="00247569">
        <w:t xml:space="preserve"> </w:t>
      </w:r>
      <w:r w:rsidR="00D37272">
        <w:t>in the following for</w:t>
      </w:r>
      <w:r w:rsidR="00E5336C">
        <w:t>m</w:t>
      </w:r>
      <w:r w:rsidR="00C55E41">
        <w:t>,</w:t>
      </w:r>
      <w:r w:rsidR="00D37272">
        <w:t xml:space="preserve"> </w:t>
      </w:r>
      <w:r w:rsidR="00247569">
        <w:t>should be applied</w:t>
      </w:r>
      <w:r w:rsidR="00322447">
        <w:t xml:space="preserve"> where sub-numbering is sought</w:t>
      </w:r>
      <w:r w:rsidR="00D37272">
        <w:t>:</w:t>
      </w:r>
    </w:p>
    <w:tbl>
      <w:tblPr>
        <w:tblStyle w:val="TableGrid"/>
        <w:tblW w:w="0" w:type="auto"/>
        <w:tblInd w:w="0" w:type="dxa"/>
        <w:tblLook w:val="04A0" w:firstRow="1" w:lastRow="0" w:firstColumn="1" w:lastColumn="0" w:noHBand="0" w:noVBand="1"/>
      </w:tblPr>
      <w:tblGrid>
        <w:gridCol w:w="9070"/>
      </w:tblGrid>
      <w:tr w:rsidR="00E80D47" w14:paraId="1B4824F5" w14:textId="77777777" w:rsidTr="00E80D47">
        <w:trPr>
          <w:cnfStyle w:val="100000000000" w:firstRow="1" w:lastRow="0" w:firstColumn="0" w:lastColumn="0" w:oddVBand="0" w:evenVBand="0" w:oddHBand="0" w:evenHBand="0" w:firstRowFirstColumn="0" w:firstRowLastColumn="0" w:lastRowFirstColumn="0" w:lastRowLastColumn="0"/>
        </w:trPr>
        <w:tc>
          <w:tcPr>
            <w:tcW w:w="9070" w:type="dxa"/>
            <w:tcBorders>
              <w:top w:val="nil"/>
              <w:left w:val="nil"/>
              <w:bottom w:val="nil"/>
              <w:right w:val="nil"/>
            </w:tcBorders>
            <w:shd w:val="clear" w:color="auto" w:fill="D9ECEA"/>
          </w:tcPr>
          <w:p w14:paraId="1BE16E05" w14:textId="1F7EBFB1" w:rsidR="0040155B" w:rsidRPr="00B447C7" w:rsidRDefault="00FC5075" w:rsidP="00BB5269">
            <w:pPr>
              <w:pStyle w:val="BodyText1"/>
              <w:spacing w:before="60"/>
            </w:pPr>
            <w:r w:rsidRPr="00B447C7">
              <w:t>1</w:t>
            </w:r>
            <w:r w:rsidR="009642EA" w:rsidRPr="00B447C7">
              <w:t>2</w:t>
            </w:r>
            <w:r w:rsidRPr="00B447C7">
              <w:t>.0</w:t>
            </w:r>
            <w:r w:rsidR="009642EA" w:rsidRPr="00B447C7">
              <w:t>5</w:t>
            </w:r>
            <w:r w:rsidRPr="00B447C7">
              <w:t>-</w:t>
            </w:r>
            <w:r w:rsidR="006B7712" w:rsidRPr="00B447C7">
              <w:t>2</w:t>
            </w:r>
            <w:r w:rsidRPr="00B447C7">
              <w:t>L</w:t>
            </w:r>
            <w:r w:rsidR="008758C0" w:rsidRPr="00B447C7">
              <w:t xml:space="preserve"> </w:t>
            </w:r>
            <w:r w:rsidR="006B7712" w:rsidRPr="00B447C7">
              <w:t>Landscapes</w:t>
            </w:r>
          </w:p>
          <w:p w14:paraId="0A443244" w14:textId="29D0CBBF" w:rsidR="00EB3EDF" w:rsidRPr="00B447C7" w:rsidRDefault="002B5262" w:rsidP="00BB5269">
            <w:pPr>
              <w:pStyle w:val="DELWPexamplebodyindent"/>
              <w:spacing w:before="60" w:afterLines="60" w:after="144" w:line="240" w:lineRule="auto"/>
              <w:ind w:left="0"/>
              <w:rPr>
                <w:rStyle w:val="Strong"/>
                <w:b/>
                <w:bCs/>
              </w:rPr>
            </w:pPr>
            <w:r w:rsidRPr="00B447C7">
              <w:tab/>
            </w:r>
            <w:r w:rsidR="006B7712" w:rsidRPr="00B447C7">
              <w:t>12.05-2L</w:t>
            </w:r>
            <w:r w:rsidR="00EB3EDF" w:rsidRPr="00B447C7">
              <w:rPr>
                <w:rStyle w:val="Strong"/>
                <w:u w:val="single"/>
              </w:rPr>
              <w:t>-</w:t>
            </w:r>
            <w:r w:rsidR="00EB3EDF" w:rsidRPr="00B447C7">
              <w:rPr>
                <w:rStyle w:val="Strong"/>
                <w:b/>
                <w:bCs/>
                <w:u w:val="single"/>
              </w:rPr>
              <w:t>01</w:t>
            </w:r>
            <w:r w:rsidR="00BD4E05" w:rsidRPr="00B447C7">
              <w:rPr>
                <w:rStyle w:val="Strong"/>
              </w:rPr>
              <w:t xml:space="preserve"> </w:t>
            </w:r>
            <w:r w:rsidR="003E5F4C" w:rsidRPr="00B447C7">
              <w:t xml:space="preserve">Coastal </w:t>
            </w:r>
            <w:r w:rsidR="002E67F0" w:rsidRPr="00B447C7">
              <w:t xml:space="preserve">and hinterland </w:t>
            </w:r>
            <w:r w:rsidR="003E5F4C" w:rsidRPr="00B447C7">
              <w:t>landscapes</w:t>
            </w:r>
          </w:p>
          <w:p w14:paraId="169CB88B" w14:textId="4A25354E" w:rsidR="00A56496" w:rsidRPr="00B447C7" w:rsidRDefault="002B5262" w:rsidP="00BB5269">
            <w:pPr>
              <w:pStyle w:val="DELWPexamplebodyindent"/>
              <w:spacing w:before="60" w:afterLines="60" w:after="144" w:line="240" w:lineRule="auto"/>
              <w:ind w:left="0"/>
              <w:rPr>
                <w:rStyle w:val="Strong"/>
                <w:b/>
                <w:bCs/>
              </w:rPr>
            </w:pPr>
            <w:r w:rsidRPr="00B447C7">
              <w:tab/>
            </w:r>
            <w:r w:rsidR="006B7712" w:rsidRPr="00B447C7">
              <w:t>12.05-2L</w:t>
            </w:r>
            <w:r w:rsidR="00EB3EDF" w:rsidRPr="00B447C7">
              <w:rPr>
                <w:rStyle w:val="Strong"/>
                <w:u w:val="single"/>
              </w:rPr>
              <w:t>-</w:t>
            </w:r>
            <w:r w:rsidR="00EB3EDF" w:rsidRPr="00B447C7">
              <w:rPr>
                <w:rStyle w:val="Strong"/>
                <w:b/>
                <w:bCs/>
                <w:u w:val="single"/>
              </w:rPr>
              <w:t>02</w:t>
            </w:r>
            <w:r w:rsidR="00EB3EDF" w:rsidRPr="00B447C7">
              <w:rPr>
                <w:rStyle w:val="Strong"/>
              </w:rPr>
              <w:t xml:space="preserve"> </w:t>
            </w:r>
            <w:r w:rsidR="007E3212" w:rsidRPr="00B447C7">
              <w:t>Forest</w:t>
            </w:r>
            <w:r w:rsidR="003E5F4C" w:rsidRPr="00B447C7">
              <w:t xml:space="preserve"> landscapes</w:t>
            </w:r>
          </w:p>
          <w:p w14:paraId="274F850A" w14:textId="107ABFCA" w:rsidR="00EB3EDF" w:rsidRPr="0087045F" w:rsidRDefault="002B5262" w:rsidP="00BB5269">
            <w:pPr>
              <w:pStyle w:val="DELWPexamplebodyindent"/>
              <w:spacing w:before="60" w:afterLines="60" w:after="144" w:line="240" w:lineRule="auto"/>
              <w:ind w:left="0"/>
              <w:rPr>
                <w:i/>
                <w:iCs/>
              </w:rPr>
            </w:pPr>
            <w:r w:rsidRPr="00B447C7">
              <w:tab/>
            </w:r>
            <w:r w:rsidR="006B7712" w:rsidRPr="00B447C7">
              <w:t>12.05-2L</w:t>
            </w:r>
            <w:r w:rsidR="00EB3EDF" w:rsidRPr="00B447C7">
              <w:rPr>
                <w:rStyle w:val="Strong"/>
                <w:u w:val="single"/>
              </w:rPr>
              <w:t>-</w:t>
            </w:r>
            <w:r w:rsidR="00EB3EDF" w:rsidRPr="00B447C7">
              <w:rPr>
                <w:rStyle w:val="Strong"/>
                <w:b/>
                <w:bCs/>
                <w:u w:val="single"/>
              </w:rPr>
              <w:t>03</w:t>
            </w:r>
            <w:r w:rsidR="00EB3EDF" w:rsidRPr="00B447C7">
              <w:rPr>
                <w:rStyle w:val="Strong"/>
              </w:rPr>
              <w:t xml:space="preserve"> </w:t>
            </w:r>
            <w:r w:rsidR="004B6559" w:rsidRPr="00B447C7">
              <w:t>Significant landscape character areas</w:t>
            </w:r>
          </w:p>
        </w:tc>
      </w:tr>
    </w:tbl>
    <w:p w14:paraId="489C767C" w14:textId="77777777" w:rsidR="00DC2411" w:rsidRDefault="00AB2C0B" w:rsidP="002123AF">
      <w:pPr>
        <w:pStyle w:val="Heading4"/>
      </w:pPr>
      <w:r>
        <w:lastRenderedPageBreak/>
        <w:t>Place-based policies</w:t>
      </w:r>
    </w:p>
    <w:p w14:paraId="489C767D" w14:textId="374863A2" w:rsidR="00754143" w:rsidRPr="009A22FA" w:rsidRDefault="00AB2C0B" w:rsidP="00BA0BD1">
      <w:pPr>
        <w:pStyle w:val="DELWPbodyaftertablediagram"/>
      </w:pPr>
      <w:r>
        <w:t xml:space="preserve">Place-based policies </w:t>
      </w:r>
      <w:r w:rsidR="0022127A">
        <w:t xml:space="preserve">can be </w:t>
      </w:r>
      <w:r>
        <w:t>an important part of implementing a strategic vision for an area.</w:t>
      </w:r>
      <w:r w:rsidR="00DA5AF6">
        <w:t xml:space="preserve"> </w:t>
      </w:r>
      <w:r>
        <w:t>When assessing a permit application within a place</w:t>
      </w:r>
      <w:r w:rsidR="0022127A">
        <w:t xml:space="preserve"> where specific outcomes are sought</w:t>
      </w:r>
      <w:r>
        <w:t xml:space="preserve">, it is important to understand the wider context of the vision for the place and therefore there is a dedicated section for place-based policies in </w:t>
      </w:r>
      <w:r w:rsidR="001F616D" w:rsidRPr="00BA0BD1">
        <w:t>c</w:t>
      </w:r>
      <w:r w:rsidRPr="00BA0BD1">
        <w:t>lause 11.03</w:t>
      </w:r>
      <w:r>
        <w:t xml:space="preserve"> </w:t>
      </w:r>
      <w:r w:rsidR="009A22FA">
        <w:t>(</w:t>
      </w:r>
      <w:r w:rsidRPr="00BA0BD1">
        <w:t>Planning for places</w:t>
      </w:r>
      <w:r w:rsidR="009A22FA" w:rsidRPr="00BA0BD1">
        <w:t>)</w:t>
      </w:r>
      <w:r w:rsidRPr="009A22FA">
        <w:t>.</w:t>
      </w:r>
    </w:p>
    <w:p w14:paraId="489C767E" w14:textId="18E41EAE" w:rsidR="00754143" w:rsidRDefault="00AB2C0B" w:rsidP="00BA0BD1">
      <w:pPr>
        <w:pStyle w:val="DELWPbodyaftertablediagram"/>
      </w:pPr>
      <w:r>
        <w:t xml:space="preserve">An appropriate place-based policy under </w:t>
      </w:r>
      <w:r w:rsidR="001F616D" w:rsidRPr="00BA0BD1">
        <w:t>c</w:t>
      </w:r>
      <w:r w:rsidRPr="00BA0BD1">
        <w:t>lause 11.03</w:t>
      </w:r>
      <w:r>
        <w:t xml:space="preserve"> is a policy that relates to a specific geographic location or area and seeks to comprehensively develop that place in a cohesive and multi-faceted way. It includes broad-ra</w:t>
      </w:r>
      <w:r w:rsidRPr="00043F51">
        <w:t xml:space="preserve">nging thematic policies, </w:t>
      </w:r>
      <w:r w:rsidR="007A3A60" w:rsidRPr="00043F51">
        <w:t xml:space="preserve">often for </w:t>
      </w:r>
      <w:r w:rsidRPr="00043F51">
        <w:t xml:space="preserve">an activity centre or an urban renewal precinct or a township </w:t>
      </w:r>
      <w:r w:rsidR="007A3A60" w:rsidRPr="00043F51">
        <w:t>with</w:t>
      </w:r>
      <w:r w:rsidRPr="00043F51">
        <w:t xml:space="preserve"> a specific</w:t>
      </w:r>
      <w:r>
        <w:t xml:space="preserve"> strategic plan such as a structure plan.</w:t>
      </w:r>
      <w:r w:rsidR="00DA5AF6">
        <w:t xml:space="preserve"> </w:t>
      </w:r>
      <w:r>
        <w:t>The policy may include detailed policy direction relating to use, urban design, building design (including overall scale and building form), advertising signs and the like.</w:t>
      </w:r>
    </w:p>
    <w:p w14:paraId="489C767F" w14:textId="185EA97E" w:rsidR="00754143" w:rsidRDefault="00092E0F" w:rsidP="002E55BC">
      <w:pPr>
        <w:pStyle w:val="BodyText1"/>
      </w:pPr>
      <w:r w:rsidRPr="00BA0BD1">
        <w:t>Clauses</w:t>
      </w:r>
      <w:r w:rsidR="00AB2C0B" w:rsidRPr="00BA0BD1">
        <w:t xml:space="preserve"> 11.03-1 to 11.03-5</w:t>
      </w:r>
      <w:r w:rsidR="00AB2C0B">
        <w:t xml:space="preserve"> deal with specific place types</w:t>
      </w:r>
      <w:r w:rsidR="00C80EB8">
        <w:t xml:space="preserve"> such as activity centres</w:t>
      </w:r>
      <w:r w:rsidR="00276341">
        <w:t xml:space="preserve"> and growth areas</w:t>
      </w:r>
      <w:r w:rsidR="00AB2C0B">
        <w:t xml:space="preserve">. </w:t>
      </w:r>
      <w:r w:rsidR="00AB2C0B" w:rsidRPr="00BA0BD1">
        <w:t>Clause 11.03-6</w:t>
      </w:r>
      <w:r w:rsidR="00AB2C0B">
        <w:t xml:space="preserve"> deals with other types of places</w:t>
      </w:r>
      <w:r w:rsidR="000441FD">
        <w:t xml:space="preserve"> that are not already addressed in </w:t>
      </w:r>
      <w:r w:rsidR="000441FD" w:rsidRPr="007A43CB">
        <w:t>c</w:t>
      </w:r>
      <w:r w:rsidR="000441FD" w:rsidRPr="00BA0BD1">
        <w:t>lauses 11.03-1 to 11.03-5</w:t>
      </w:r>
      <w:r w:rsidR="00AB2C0B">
        <w:t>, such as an urban renewal precinct or township.</w:t>
      </w:r>
    </w:p>
    <w:p w14:paraId="489C7680" w14:textId="2D0958BD" w:rsidR="00754143" w:rsidRDefault="00AB2C0B" w:rsidP="002E55BC">
      <w:pPr>
        <w:pStyle w:val="BodyText1"/>
      </w:pPr>
      <w:r>
        <w:t xml:space="preserve">Use the following guidelines when preparing a placed-based policy under </w:t>
      </w:r>
      <w:r w:rsidR="001F616D" w:rsidRPr="00BA0BD1">
        <w:t>c</w:t>
      </w:r>
      <w:r w:rsidRPr="00BA0BD1">
        <w:t>lause 11.03</w:t>
      </w:r>
      <w:r>
        <w:t>. A place-based policy must:</w:t>
      </w:r>
    </w:p>
    <w:p w14:paraId="489C7681" w14:textId="77777777" w:rsidR="00DA5AF6" w:rsidRPr="005E3ADE" w:rsidRDefault="00AB2C0B" w:rsidP="005510AA">
      <w:pPr>
        <w:pStyle w:val="DELWPnumberdigit"/>
        <w:numPr>
          <w:ilvl w:val="0"/>
          <w:numId w:val="11"/>
        </w:numPr>
        <w:rPr>
          <w:rStyle w:val="Strong"/>
        </w:rPr>
      </w:pPr>
      <w:r w:rsidRPr="007D48CF">
        <w:rPr>
          <w:rStyle w:val="Strong"/>
        </w:rPr>
        <w:t>Apply to a specific, discrete spatial area.</w:t>
      </w:r>
      <w:r w:rsidRPr="007E64CD">
        <w:rPr>
          <w:rStyle w:val="Strong"/>
        </w:rPr>
        <w:t xml:space="preserve"> </w:t>
      </w:r>
      <w:r>
        <w:t>The area to which the policy applies must be mapped showing clear, defined boundaries.</w:t>
      </w:r>
    </w:p>
    <w:p w14:paraId="489C7682" w14:textId="77777777" w:rsidR="00DC2411" w:rsidRPr="000B1970" w:rsidRDefault="00AB2C0B" w:rsidP="005510AA">
      <w:pPr>
        <w:pStyle w:val="DELWPnumberdigit"/>
        <w:rPr>
          <w:rStyle w:val="Strong"/>
        </w:rPr>
      </w:pPr>
      <w:r w:rsidRPr="007D48CF">
        <w:rPr>
          <w:rStyle w:val="Strong"/>
        </w:rPr>
        <w:t>Have a common objective</w:t>
      </w:r>
      <w:r>
        <w:t xml:space="preserve"> that is achieved using strategies that negotiate different PPF themes.</w:t>
      </w:r>
    </w:p>
    <w:p w14:paraId="489C7683" w14:textId="77777777" w:rsidR="00DC2411" w:rsidRPr="000B1970" w:rsidRDefault="00AB2C0B" w:rsidP="005510AA">
      <w:pPr>
        <w:pStyle w:val="DELWPnumberdigit"/>
        <w:rPr>
          <w:rStyle w:val="Strong"/>
        </w:rPr>
      </w:pPr>
      <w:r w:rsidRPr="007D48CF">
        <w:rPr>
          <w:rStyle w:val="Strong"/>
        </w:rPr>
        <w:t>Provide guidance specific to that place.</w:t>
      </w:r>
      <w:r w:rsidRPr="007E64CD">
        <w:rPr>
          <w:rStyle w:val="Strong"/>
        </w:rPr>
        <w:t xml:space="preserve"> </w:t>
      </w:r>
      <w:r>
        <w:t>If the provisions are generic and apply across multiple places or to the whole municipality, they should be located under the relevant thematic heading.</w:t>
      </w:r>
    </w:p>
    <w:p w14:paraId="489C7684" w14:textId="77777777" w:rsidR="00DC2411" w:rsidRPr="000B1970" w:rsidRDefault="00AB2C0B" w:rsidP="005510AA">
      <w:pPr>
        <w:pStyle w:val="DELWPnumberdigit"/>
        <w:rPr>
          <w:rStyle w:val="Strong"/>
        </w:rPr>
      </w:pPr>
      <w:r w:rsidRPr="007D48CF">
        <w:rPr>
          <w:rStyle w:val="Strong"/>
        </w:rPr>
        <w:t>Include content relating to multiple issues</w:t>
      </w:r>
      <w:r w:rsidRPr="007D48CF">
        <w:t xml:space="preserve"> </w:t>
      </w:r>
      <w:r>
        <w:t>where there are interrelationships between those issues or interdependencies between related strategies that require an integrated policy approach to provide a coherent strategic narrative. If the policy content relates to just one or two discrete themes, these will be better located under the relevant thematic headings.</w:t>
      </w:r>
    </w:p>
    <w:p w14:paraId="489C7685" w14:textId="77777777" w:rsidR="00DC2411" w:rsidRPr="000B1970" w:rsidRDefault="00AB2C0B" w:rsidP="005510AA">
      <w:pPr>
        <w:pStyle w:val="DELWPnumberdigit"/>
        <w:rPr>
          <w:rStyle w:val="Strong"/>
        </w:rPr>
      </w:pPr>
      <w:r w:rsidRPr="007D48CF">
        <w:rPr>
          <w:rStyle w:val="Strong"/>
        </w:rPr>
        <w:t>Result in a clearer and simpler representation of the policy</w:t>
      </w:r>
      <w:r w:rsidRPr="007E64CD">
        <w:rPr>
          <w:rStyle w:val="Strong"/>
        </w:rPr>
        <w:t xml:space="preserve"> </w:t>
      </w:r>
      <w:r>
        <w:t>than if it were thematically distributed across the PPF, including avoiding undue repetition of a common objective.</w:t>
      </w:r>
    </w:p>
    <w:p w14:paraId="489C7686" w14:textId="77777777" w:rsidR="00DA5AF6" w:rsidRPr="000B1970" w:rsidRDefault="00AB2C0B" w:rsidP="005510AA">
      <w:pPr>
        <w:pStyle w:val="DELWPnumberdigit"/>
        <w:rPr>
          <w:rStyle w:val="Strong"/>
        </w:rPr>
      </w:pPr>
      <w:r w:rsidRPr="007D48CF">
        <w:rPr>
          <w:rStyle w:val="Strong"/>
        </w:rPr>
        <w:t>Not focus on high level strategic directions</w:t>
      </w:r>
      <w:r>
        <w:t xml:space="preserve"> about the role of a place, as these are better located in the MPS.</w:t>
      </w:r>
    </w:p>
    <w:p w14:paraId="489C7687" w14:textId="5A9E0BEC" w:rsidR="00CB429B" w:rsidRPr="000B1970" w:rsidRDefault="00AB2C0B" w:rsidP="005510AA">
      <w:pPr>
        <w:pStyle w:val="DELWPnumberdigit"/>
        <w:rPr>
          <w:rStyle w:val="Strong"/>
        </w:rPr>
      </w:pPr>
      <w:r w:rsidRPr="007D48CF">
        <w:rPr>
          <w:rStyle w:val="Strong"/>
        </w:rPr>
        <w:t>Not replicate content in specific controls</w:t>
      </w:r>
      <w:r w:rsidRPr="007E64CD">
        <w:rPr>
          <w:rStyle w:val="Strong"/>
        </w:rPr>
        <w:t xml:space="preserve"> </w:t>
      </w:r>
      <w:r>
        <w:t xml:space="preserve">that apply to the place, such as a Design and Development Overlay. However, there may be benefit in providing a brief cross-reference to a specific control where it would support the coherence of </w:t>
      </w:r>
      <w:r w:rsidR="00610E63">
        <w:t>a</w:t>
      </w:r>
      <w:r>
        <w:t xml:space="preserve"> policy.</w:t>
      </w:r>
    </w:p>
    <w:p w14:paraId="489C7688" w14:textId="5ED27015" w:rsidR="00754143" w:rsidRDefault="00AB2C0B" w:rsidP="002E55BC">
      <w:pPr>
        <w:pStyle w:val="BodyText1"/>
      </w:pPr>
      <w:r>
        <w:t xml:space="preserve">Policies that are about a place but are centred on a specific theme, are not suitable to be included in </w:t>
      </w:r>
      <w:r w:rsidR="001F616D" w:rsidRPr="007D48CF">
        <w:rPr>
          <w:rStyle w:val="Strong"/>
        </w:rPr>
        <w:t>c</w:t>
      </w:r>
      <w:r w:rsidRPr="007D48CF">
        <w:rPr>
          <w:rStyle w:val="Strong"/>
        </w:rPr>
        <w:t>lause 11.03</w:t>
      </w:r>
      <w:r>
        <w:t xml:space="preserve"> as a place-based policy even if they have a 'place based' title. These policies will need to be thematically distributed as they lack the multi-faceted form and </w:t>
      </w:r>
      <w:r>
        <w:lastRenderedPageBreak/>
        <w:t xml:space="preserve">inter-dependencies that would warrant inclusion in </w:t>
      </w:r>
      <w:r w:rsidR="001F616D" w:rsidRPr="007D48CF">
        <w:rPr>
          <w:rStyle w:val="Strong"/>
        </w:rPr>
        <w:t>c</w:t>
      </w:r>
      <w:r w:rsidRPr="007D48CF">
        <w:rPr>
          <w:rStyle w:val="Strong"/>
        </w:rPr>
        <w:t>lause 11.03</w:t>
      </w:r>
      <w:r>
        <w:t>.</w:t>
      </w:r>
      <w:r w:rsidR="00DA5AF6">
        <w:t xml:space="preserve"> </w:t>
      </w:r>
      <w:r>
        <w:t xml:space="preserve">For example, a policy for an industrial area that outlines preferred urban design and has some direction regarding locations for uses does not qualify for inclusion in </w:t>
      </w:r>
      <w:r w:rsidR="001F616D" w:rsidRPr="007D48CF">
        <w:rPr>
          <w:rStyle w:val="Strong"/>
        </w:rPr>
        <w:t>c</w:t>
      </w:r>
      <w:r w:rsidRPr="007D48CF">
        <w:rPr>
          <w:rStyle w:val="Strong"/>
        </w:rPr>
        <w:t>lause 11.03</w:t>
      </w:r>
      <w:r>
        <w:t>.</w:t>
      </w:r>
      <w:r w:rsidR="00DA5AF6">
        <w:t xml:space="preserve"> </w:t>
      </w:r>
      <w:r>
        <w:t xml:space="preserve">This kind of policy would need to be distributed under </w:t>
      </w:r>
      <w:r w:rsidR="001F616D" w:rsidRPr="007D48CF">
        <w:rPr>
          <w:rStyle w:val="Strong"/>
        </w:rPr>
        <w:t>c</w:t>
      </w:r>
      <w:r w:rsidRPr="007D48CF">
        <w:rPr>
          <w:rStyle w:val="Strong"/>
        </w:rPr>
        <w:t>lause 15.01</w:t>
      </w:r>
      <w:r w:rsidRPr="007E64CD">
        <w:rPr>
          <w:rStyle w:val="Strong"/>
        </w:rPr>
        <w:t xml:space="preserve"> </w:t>
      </w:r>
      <w:r w:rsidR="009A22FA" w:rsidRPr="009A22FA">
        <w:rPr>
          <w:rStyle w:val="Strong"/>
        </w:rPr>
        <w:t>(</w:t>
      </w:r>
      <w:r w:rsidRPr="009A22FA">
        <w:rPr>
          <w:rStyle w:val="Strong"/>
        </w:rPr>
        <w:t>Built Environment</w:t>
      </w:r>
      <w:r w:rsidR="009A22FA">
        <w:rPr>
          <w:rStyle w:val="Strong"/>
        </w:rPr>
        <w:t>)</w:t>
      </w:r>
      <w:r>
        <w:t xml:space="preserve"> and </w:t>
      </w:r>
      <w:r w:rsidR="001F616D" w:rsidRPr="007D48CF">
        <w:rPr>
          <w:rStyle w:val="Strong"/>
        </w:rPr>
        <w:t>c</w:t>
      </w:r>
      <w:r w:rsidRPr="007D48CF">
        <w:rPr>
          <w:rStyle w:val="Strong"/>
        </w:rPr>
        <w:t>lause 17.03</w:t>
      </w:r>
      <w:r w:rsidRPr="007E64CD">
        <w:rPr>
          <w:rStyle w:val="Strong"/>
        </w:rPr>
        <w:t xml:space="preserve"> </w:t>
      </w:r>
      <w:r w:rsidR="009A22FA" w:rsidRPr="009A22FA">
        <w:rPr>
          <w:rStyle w:val="Strong"/>
        </w:rPr>
        <w:t>(</w:t>
      </w:r>
      <w:r w:rsidRPr="009A22FA">
        <w:rPr>
          <w:rStyle w:val="Strong"/>
        </w:rPr>
        <w:t>Industry</w:t>
      </w:r>
      <w:r w:rsidR="009A22FA">
        <w:rPr>
          <w:rStyle w:val="Strong"/>
        </w:rPr>
        <w:t>)</w:t>
      </w:r>
      <w:r w:rsidRPr="009A22FA">
        <w:rPr>
          <w:b/>
          <w:bCs/>
        </w:rPr>
        <w:t xml:space="preserve"> </w:t>
      </w:r>
      <w:r>
        <w:t>respectively, depending on the detailed content.</w:t>
      </w:r>
    </w:p>
    <w:p w14:paraId="489C7689" w14:textId="30B7F480" w:rsidR="00754143" w:rsidRDefault="00AB2C0B" w:rsidP="002E55BC">
      <w:pPr>
        <w:pStyle w:val="BodyText1"/>
      </w:pPr>
      <w:r>
        <w:t xml:space="preserve">The Place-based Policy Checklist at </w:t>
      </w:r>
      <w:r w:rsidRPr="007D48CF">
        <w:rPr>
          <w:rStyle w:val="Strong"/>
        </w:rPr>
        <w:t xml:space="preserve">Appendix </w:t>
      </w:r>
      <w:r w:rsidR="00F564B2" w:rsidRPr="007D48CF">
        <w:rPr>
          <w:rStyle w:val="Strong"/>
        </w:rPr>
        <w:t>4</w:t>
      </w:r>
      <w:r>
        <w:t xml:space="preserve"> is a useful checklist to help guide the application of </w:t>
      </w:r>
      <w:r w:rsidR="001F616D" w:rsidRPr="007D48CF">
        <w:rPr>
          <w:rStyle w:val="Strong"/>
        </w:rPr>
        <w:t>c</w:t>
      </w:r>
      <w:r w:rsidRPr="007D48CF">
        <w:rPr>
          <w:rStyle w:val="Strong"/>
        </w:rPr>
        <w:t>lause 11.03</w:t>
      </w:r>
      <w:r>
        <w:t>.</w:t>
      </w:r>
    </w:p>
    <w:p w14:paraId="489C768A" w14:textId="1C2B8E25" w:rsidR="00754143" w:rsidRDefault="00AB2C0B" w:rsidP="002E55BC">
      <w:pPr>
        <w:pStyle w:val="BodyText1"/>
      </w:pPr>
      <w:r>
        <w:t xml:space="preserve">Avoiding over-use of </w:t>
      </w:r>
      <w:r w:rsidR="001F616D" w:rsidRPr="007D48CF">
        <w:rPr>
          <w:rStyle w:val="Strong"/>
        </w:rPr>
        <w:t>c</w:t>
      </w:r>
      <w:r w:rsidRPr="007D48CF">
        <w:rPr>
          <w:rStyle w:val="Strong"/>
        </w:rPr>
        <w:t>lause 11.03</w:t>
      </w:r>
      <w:r>
        <w:t xml:space="preserve"> will help preserve the thematic framework of the PPF and support the transparency and legibility of planning schemes.</w:t>
      </w:r>
    </w:p>
    <w:p w14:paraId="489C768B" w14:textId="2E78F55B" w:rsidR="00754143" w:rsidRPr="00361E71" w:rsidRDefault="00A95051" w:rsidP="004F6A20">
      <w:pPr>
        <w:pStyle w:val="Heading3"/>
      </w:pPr>
      <w:r>
        <w:t>6.4.5</w:t>
      </w:r>
      <w:r w:rsidR="000B7EED">
        <w:tab/>
      </w:r>
      <w:r>
        <w:tab/>
      </w:r>
      <w:r w:rsidR="00AB2C0B" w:rsidRPr="00361E71">
        <w:t xml:space="preserve">Dealing with </w:t>
      </w:r>
      <w:proofErr w:type="gramStart"/>
      <w:r w:rsidR="00AB2C0B" w:rsidRPr="00361E71">
        <w:t>particular local</w:t>
      </w:r>
      <w:proofErr w:type="gramEnd"/>
      <w:r w:rsidR="00AB2C0B" w:rsidRPr="00361E71">
        <w:t xml:space="preserve"> policy themes</w:t>
      </w:r>
    </w:p>
    <w:p w14:paraId="489C768C" w14:textId="621F6F88" w:rsidR="00754143" w:rsidRDefault="00AB2C0B" w:rsidP="002E55BC">
      <w:pPr>
        <w:pStyle w:val="BodyText1"/>
      </w:pPr>
      <w:r>
        <w:t>Most local policies will be easily categorised in the PPF.</w:t>
      </w:r>
      <w:r w:rsidR="00DA5AF6">
        <w:t xml:space="preserve"> </w:t>
      </w:r>
      <w:r>
        <w:t>Some will be less obvious.</w:t>
      </w:r>
      <w:r w:rsidR="00DA5AF6">
        <w:t xml:space="preserve"> </w:t>
      </w:r>
      <w:r>
        <w:t xml:space="preserve">This </w:t>
      </w:r>
      <w:r w:rsidR="0074503B">
        <w:t>chapter</w:t>
      </w:r>
      <w:r>
        <w:t xml:space="preserve"> looks at some major policy themes and potentially complex policy themes to explain how to best distribute them in the PPF.</w:t>
      </w:r>
    </w:p>
    <w:p w14:paraId="489C768D" w14:textId="77777777" w:rsidR="00DC2411" w:rsidRPr="002123AF" w:rsidRDefault="00AB2C0B" w:rsidP="002123AF">
      <w:pPr>
        <w:pStyle w:val="Heading4"/>
      </w:pPr>
      <w:r w:rsidRPr="002123AF">
        <w:t>Accommodation uses</w:t>
      </w:r>
    </w:p>
    <w:p w14:paraId="489C768E" w14:textId="616B663E" w:rsidR="00754143" w:rsidRDefault="00AB2C0B" w:rsidP="002E55BC">
      <w:pPr>
        <w:pStyle w:val="BodyText1"/>
      </w:pPr>
      <w:r>
        <w:t xml:space="preserve">Policies relating to the location and </w:t>
      </w:r>
      <w:r w:rsidRPr="00CF4A90">
        <w:t xml:space="preserve">quality of </w:t>
      </w:r>
      <w:proofErr w:type="gramStart"/>
      <w:r w:rsidRPr="00CF4A90">
        <w:t>particular types</w:t>
      </w:r>
      <w:proofErr w:type="gramEnd"/>
      <w:r w:rsidRPr="00CF4A90">
        <w:t xml:space="preserve"> of housing such as student housing, group accommodation belong under </w:t>
      </w:r>
      <w:r w:rsidR="001F616D" w:rsidRPr="007D48CF">
        <w:rPr>
          <w:rStyle w:val="Strong"/>
        </w:rPr>
        <w:t>c</w:t>
      </w:r>
      <w:r w:rsidRPr="007D48CF">
        <w:rPr>
          <w:rStyle w:val="Strong"/>
        </w:rPr>
        <w:t>lause 16.01-1</w:t>
      </w:r>
      <w:r w:rsidRPr="00CF4A90">
        <w:rPr>
          <w:rStyle w:val="Strong"/>
        </w:rPr>
        <w:t xml:space="preserve"> </w:t>
      </w:r>
      <w:r w:rsidR="009A22FA" w:rsidRPr="009A22FA">
        <w:rPr>
          <w:rStyle w:val="Strong"/>
        </w:rPr>
        <w:t>(</w:t>
      </w:r>
      <w:r w:rsidR="003D7D67" w:rsidRPr="009A22FA">
        <w:rPr>
          <w:rStyle w:val="Strong"/>
        </w:rPr>
        <w:t>H</w:t>
      </w:r>
      <w:r w:rsidRPr="009A22FA">
        <w:rPr>
          <w:rStyle w:val="Strong"/>
        </w:rPr>
        <w:t>ousing</w:t>
      </w:r>
      <w:r w:rsidR="003D7D67" w:rsidRPr="009A22FA">
        <w:rPr>
          <w:rStyle w:val="Strong"/>
        </w:rPr>
        <w:t xml:space="preserve"> supply</w:t>
      </w:r>
      <w:r w:rsidR="009A22FA">
        <w:rPr>
          <w:rStyle w:val="Strong"/>
        </w:rPr>
        <w:t>)</w:t>
      </w:r>
      <w:r w:rsidRPr="009A22FA">
        <w:t>.</w:t>
      </w:r>
      <w:r w:rsidR="00DA5AF6" w:rsidRPr="009A22FA">
        <w:t xml:space="preserve"> </w:t>
      </w:r>
      <w:r w:rsidRPr="00CF4A90">
        <w:t xml:space="preserve">Policies on aged care facilities belong under </w:t>
      </w:r>
      <w:r w:rsidR="001F616D" w:rsidRPr="007D48CF">
        <w:rPr>
          <w:rStyle w:val="Strong"/>
        </w:rPr>
        <w:t>c</w:t>
      </w:r>
      <w:r w:rsidRPr="007D48CF">
        <w:rPr>
          <w:rStyle w:val="Strong"/>
        </w:rPr>
        <w:t>lause 16.01-</w:t>
      </w:r>
      <w:r w:rsidR="00203F63" w:rsidRPr="007D48CF">
        <w:rPr>
          <w:rStyle w:val="Strong"/>
        </w:rPr>
        <w:t>5</w:t>
      </w:r>
      <w:r w:rsidRPr="00CF4A90">
        <w:t xml:space="preserve"> </w:t>
      </w:r>
      <w:r w:rsidR="009A22FA">
        <w:t>(</w:t>
      </w:r>
      <w:r w:rsidRPr="009A22FA">
        <w:rPr>
          <w:rStyle w:val="Strong"/>
        </w:rPr>
        <w:t>Residential aged care facilities</w:t>
      </w:r>
      <w:r w:rsidR="009A22FA">
        <w:rPr>
          <w:rStyle w:val="Strong"/>
        </w:rPr>
        <w:t>)</w:t>
      </w:r>
      <w:r>
        <w:t>.</w:t>
      </w:r>
    </w:p>
    <w:p w14:paraId="489C768F" w14:textId="4FDCE12C" w:rsidR="00DA5AF6" w:rsidRDefault="00AB2C0B" w:rsidP="002123AF">
      <w:pPr>
        <w:pStyle w:val="Heading4"/>
      </w:pPr>
      <w:r>
        <w:t>Amenity</w:t>
      </w:r>
      <w:r w:rsidR="004D654B">
        <w:t xml:space="preserve">, </w:t>
      </w:r>
      <w:r w:rsidR="004C6549">
        <w:t>h</w:t>
      </w:r>
      <w:r w:rsidR="004D654B">
        <w:t xml:space="preserve">uman </w:t>
      </w:r>
      <w:r w:rsidR="004C6549">
        <w:t>h</w:t>
      </w:r>
      <w:r w:rsidR="004D654B">
        <w:t xml:space="preserve">ealth and </w:t>
      </w:r>
      <w:proofErr w:type="gramStart"/>
      <w:r w:rsidR="004C6549">
        <w:t>safety</w:t>
      </w:r>
      <w:r>
        <w:t xml:space="preserve"> based</w:t>
      </w:r>
      <w:proofErr w:type="gramEnd"/>
      <w:r>
        <w:t xml:space="preserve"> policies</w:t>
      </w:r>
    </w:p>
    <w:p w14:paraId="489C7690" w14:textId="2B7E8FB3" w:rsidR="00754143" w:rsidRDefault="00AB2C0B" w:rsidP="002E55BC">
      <w:pPr>
        <w:pStyle w:val="BodyText1"/>
      </w:pPr>
      <w:r w:rsidRPr="007D48CF">
        <w:rPr>
          <w:rStyle w:val="Strong"/>
        </w:rPr>
        <w:t>Clause 13.07-1</w:t>
      </w:r>
      <w:r w:rsidRPr="009A22FA">
        <w:rPr>
          <w:rStyle w:val="Strong"/>
        </w:rPr>
        <w:t xml:space="preserve"> </w:t>
      </w:r>
      <w:r w:rsidR="009A22FA" w:rsidRPr="009A22FA">
        <w:rPr>
          <w:rStyle w:val="Strong"/>
        </w:rPr>
        <w:t>(</w:t>
      </w:r>
      <w:r w:rsidRPr="009A22FA">
        <w:rPr>
          <w:rStyle w:val="Strong"/>
        </w:rPr>
        <w:t>Land use</w:t>
      </w:r>
      <w:r w:rsidRPr="009A22FA">
        <w:rPr>
          <w:b/>
          <w:bCs/>
        </w:rPr>
        <w:t xml:space="preserve"> </w:t>
      </w:r>
      <w:r w:rsidRPr="009A22FA">
        <w:t>compatibility</w:t>
      </w:r>
      <w:r w:rsidR="009A22FA">
        <w:t>)</w:t>
      </w:r>
      <w:r w:rsidRPr="00CF4A90">
        <w:t xml:space="preserve"> relates</w:t>
      </w:r>
      <w:r>
        <w:t xml:space="preserve"> to the management of uses and their associated amenity</w:t>
      </w:r>
      <w:r w:rsidR="00AE7325">
        <w:t>, human health and safety</w:t>
      </w:r>
      <w:r>
        <w:t xml:space="preserve"> impacts such as:</w:t>
      </w:r>
    </w:p>
    <w:p w14:paraId="489C7691" w14:textId="77777777" w:rsidR="00DA5AF6" w:rsidRDefault="00AB2C0B" w:rsidP="00723A0D">
      <w:pPr>
        <w:pStyle w:val="DELWPbullet1"/>
      </w:pPr>
      <w:r>
        <w:t>conflicts between uses within a zone (such as non-residential uses in residential zones or caretaker’s residences in industrial areas)</w:t>
      </w:r>
    </w:p>
    <w:p w14:paraId="489C7692" w14:textId="77777777" w:rsidR="00DC2411" w:rsidRDefault="00AB2C0B" w:rsidP="00723A0D">
      <w:pPr>
        <w:pStyle w:val="DELWPbullet1"/>
      </w:pPr>
      <w:r>
        <w:t>uses at the interfaces of different zones (such as dwellings that abut an industrial zone)</w:t>
      </w:r>
    </w:p>
    <w:p w14:paraId="489C7693" w14:textId="77777777" w:rsidR="00CB429B" w:rsidRDefault="00AB2C0B" w:rsidP="00723A0D">
      <w:pPr>
        <w:pStyle w:val="DELWPbullet1"/>
      </w:pPr>
      <w:r>
        <w:t xml:space="preserve">policies about </w:t>
      </w:r>
      <w:proofErr w:type="gramStart"/>
      <w:r>
        <w:t>uses</w:t>
      </w:r>
      <w:proofErr w:type="gramEnd"/>
      <w:r>
        <w:t xml:space="preserve"> with a particular focus on the kinds of amenity impacts they generate, such as licensed premises or sexually explicit entertainment venues.</w:t>
      </w:r>
    </w:p>
    <w:p w14:paraId="489C7694" w14:textId="77777777" w:rsidR="00DC2411" w:rsidRDefault="00AB2C0B" w:rsidP="002123AF">
      <w:pPr>
        <w:pStyle w:val="Heading4"/>
      </w:pPr>
      <w:r>
        <w:t>Animal keeping and animal training</w:t>
      </w:r>
    </w:p>
    <w:p w14:paraId="489C7695" w14:textId="422700D4" w:rsidR="00CB429B" w:rsidRDefault="00AB2C0B" w:rsidP="00723A0D">
      <w:pPr>
        <w:pStyle w:val="DELWPbullet1"/>
      </w:pPr>
      <w:r w:rsidRPr="007D48CF">
        <w:rPr>
          <w:rStyle w:val="Strong"/>
        </w:rPr>
        <w:t>Clause 14.01-2</w:t>
      </w:r>
      <w:r>
        <w:t xml:space="preserve"> </w:t>
      </w:r>
      <w:r w:rsidR="00DB2115">
        <w:t>(</w:t>
      </w:r>
      <w:r w:rsidRPr="004401FC">
        <w:rPr>
          <w:rStyle w:val="Strong"/>
        </w:rPr>
        <w:t>Sustainable agricultural land use</w:t>
      </w:r>
      <w:r w:rsidR="00DB2115" w:rsidRPr="004401FC">
        <w:rPr>
          <w:rStyle w:val="Strong"/>
        </w:rPr>
        <w:t>)</w:t>
      </w:r>
      <w:r w:rsidRPr="004401FC">
        <w:rPr>
          <w:b/>
          <w:bCs/>
        </w:rPr>
        <w:t xml:space="preserve"> </w:t>
      </w:r>
      <w:r>
        <w:t>accommodates policies on animal keeping and training.</w:t>
      </w:r>
    </w:p>
    <w:p w14:paraId="489C7696" w14:textId="77777777" w:rsidR="00DC2411" w:rsidRDefault="00AB2C0B" w:rsidP="002123AF">
      <w:pPr>
        <w:pStyle w:val="Heading4"/>
      </w:pPr>
      <w:r>
        <w:t>Childcare centres</w:t>
      </w:r>
    </w:p>
    <w:p w14:paraId="489C7697" w14:textId="703E4F95" w:rsidR="00754143" w:rsidRDefault="00AB2C0B" w:rsidP="002E55BC">
      <w:pPr>
        <w:pStyle w:val="BodyText1"/>
      </w:pPr>
      <w:r>
        <w:t xml:space="preserve">Policies relating to childcare centres and kindergartens can be placed under </w:t>
      </w:r>
      <w:r w:rsidR="001F616D" w:rsidRPr="007D48CF">
        <w:rPr>
          <w:rStyle w:val="Strong"/>
        </w:rPr>
        <w:t>c</w:t>
      </w:r>
      <w:r w:rsidRPr="007D48CF">
        <w:rPr>
          <w:rStyle w:val="Strong"/>
        </w:rPr>
        <w:t>lause 19.02-2</w:t>
      </w:r>
      <w:r>
        <w:t xml:space="preserve"> </w:t>
      </w:r>
      <w:r w:rsidR="004401FC">
        <w:t>(</w:t>
      </w:r>
      <w:r w:rsidRPr="004401FC">
        <w:rPr>
          <w:rStyle w:val="Strong"/>
        </w:rPr>
        <w:t>Education facilities</w:t>
      </w:r>
      <w:r w:rsidR="004401FC" w:rsidRPr="004401FC">
        <w:rPr>
          <w:rStyle w:val="Strong"/>
        </w:rPr>
        <w:t>)</w:t>
      </w:r>
      <w:r>
        <w:t>.</w:t>
      </w:r>
    </w:p>
    <w:p w14:paraId="489C7698" w14:textId="77777777" w:rsidR="00DC2411" w:rsidRDefault="00AB2C0B" w:rsidP="002123AF">
      <w:pPr>
        <w:pStyle w:val="Heading4"/>
      </w:pPr>
      <w:r>
        <w:t>Dams</w:t>
      </w:r>
    </w:p>
    <w:p w14:paraId="489C7699" w14:textId="77777777" w:rsidR="00754143" w:rsidRDefault="00AB2C0B" w:rsidP="002E55BC">
      <w:pPr>
        <w:pStyle w:val="BodyText1"/>
      </w:pPr>
      <w:r>
        <w:t>The general policy themes relating to dams can be assigned to the following PPF clauses:</w:t>
      </w:r>
    </w:p>
    <w:p w14:paraId="489C769A" w14:textId="3A81FA87" w:rsidR="00DA5AF6" w:rsidRDefault="00B00C6F" w:rsidP="00723A0D">
      <w:pPr>
        <w:pStyle w:val="DELWPbullet1"/>
      </w:pPr>
      <w:r>
        <w:rPr>
          <w:rStyle w:val="Strong"/>
        </w:rPr>
        <w:t>W</w:t>
      </w:r>
      <w:r w:rsidR="00AB2C0B" w:rsidRPr="007E64CD">
        <w:rPr>
          <w:rStyle w:val="Strong"/>
        </w:rPr>
        <w:t>ater supply:</w:t>
      </w:r>
      <w:r w:rsidR="00AB2C0B">
        <w:t xml:space="preserve"> policies relating to the provision of dams for the purpose of supplying water for farming belong in </w:t>
      </w:r>
      <w:r w:rsidR="001F616D" w:rsidRPr="007D48CF">
        <w:rPr>
          <w:rStyle w:val="Strong"/>
        </w:rPr>
        <w:t>c</w:t>
      </w:r>
      <w:r w:rsidR="00AB2C0B" w:rsidRPr="007D48CF">
        <w:rPr>
          <w:rStyle w:val="Strong"/>
        </w:rPr>
        <w:t>lause 14.01-2</w:t>
      </w:r>
      <w:r w:rsidR="00AB2C0B" w:rsidRPr="007E64CD">
        <w:rPr>
          <w:rStyle w:val="Strong"/>
        </w:rPr>
        <w:t xml:space="preserve"> </w:t>
      </w:r>
      <w:r w:rsidR="004401FC" w:rsidRPr="004401FC">
        <w:rPr>
          <w:rStyle w:val="Strong"/>
        </w:rPr>
        <w:t>(</w:t>
      </w:r>
      <w:r w:rsidR="00AB2C0B" w:rsidRPr="004401FC">
        <w:rPr>
          <w:rStyle w:val="Strong"/>
        </w:rPr>
        <w:t>Sustainable agricultural land use</w:t>
      </w:r>
      <w:r w:rsidR="004401FC" w:rsidRPr="004401FC">
        <w:rPr>
          <w:rStyle w:val="Strong"/>
        </w:rPr>
        <w:t>)</w:t>
      </w:r>
      <w:r w:rsidR="00AB2C0B">
        <w:t>.</w:t>
      </w:r>
    </w:p>
    <w:p w14:paraId="489C769B" w14:textId="2774E217" w:rsidR="00DA5AF6" w:rsidRDefault="00B00C6F" w:rsidP="00723A0D">
      <w:pPr>
        <w:pStyle w:val="DELWPbullet1"/>
      </w:pPr>
      <w:r>
        <w:rPr>
          <w:rStyle w:val="Strong"/>
        </w:rPr>
        <w:t>W</w:t>
      </w:r>
      <w:r w:rsidR="00AB2C0B" w:rsidRPr="007E64CD">
        <w:rPr>
          <w:rStyle w:val="Strong"/>
        </w:rPr>
        <w:t>aterway function:</w:t>
      </w:r>
      <w:r w:rsidR="00AB2C0B">
        <w:t xml:space="preserve"> polices ensuring that dams do not affect the function of a waterway.</w:t>
      </w:r>
      <w:r w:rsidR="00DA5AF6">
        <w:t xml:space="preserve"> </w:t>
      </w:r>
      <w:r w:rsidR="00AB2C0B">
        <w:t xml:space="preserve">These policies belong in </w:t>
      </w:r>
      <w:r w:rsidR="001F616D" w:rsidRPr="007D48CF">
        <w:rPr>
          <w:rStyle w:val="Strong"/>
        </w:rPr>
        <w:t>c</w:t>
      </w:r>
      <w:r w:rsidR="00AB2C0B" w:rsidRPr="007D48CF">
        <w:rPr>
          <w:rStyle w:val="Strong"/>
        </w:rPr>
        <w:t>lause 12.03-1</w:t>
      </w:r>
      <w:r w:rsidR="00AB2C0B" w:rsidRPr="007E64CD">
        <w:rPr>
          <w:rStyle w:val="Strong"/>
        </w:rPr>
        <w:t xml:space="preserve"> </w:t>
      </w:r>
      <w:r w:rsidR="004401FC" w:rsidRPr="00C37E8E">
        <w:rPr>
          <w:rStyle w:val="Strong"/>
        </w:rPr>
        <w:t>(</w:t>
      </w:r>
      <w:r w:rsidR="00AB2C0B" w:rsidRPr="00C37E8E">
        <w:rPr>
          <w:rStyle w:val="Strong"/>
        </w:rPr>
        <w:t>River</w:t>
      </w:r>
      <w:r w:rsidR="008772D3" w:rsidRPr="00C37E8E">
        <w:rPr>
          <w:rStyle w:val="Strong"/>
        </w:rPr>
        <w:t xml:space="preserve"> and riparian</w:t>
      </w:r>
      <w:r w:rsidR="00AB2C0B" w:rsidRPr="00C37E8E">
        <w:rPr>
          <w:rStyle w:val="Strong"/>
        </w:rPr>
        <w:t xml:space="preserve"> </w:t>
      </w:r>
      <w:r w:rsidR="008772D3" w:rsidRPr="00C37E8E">
        <w:rPr>
          <w:rStyle w:val="Strong"/>
        </w:rPr>
        <w:t>c</w:t>
      </w:r>
      <w:r w:rsidR="00AB2C0B" w:rsidRPr="00C37E8E">
        <w:rPr>
          <w:rStyle w:val="Strong"/>
        </w:rPr>
        <w:t>orridors, waterways, lakes wetlands</w:t>
      </w:r>
      <w:r w:rsidR="008772D3" w:rsidRPr="00C37E8E">
        <w:rPr>
          <w:rStyle w:val="Strong"/>
        </w:rPr>
        <w:t xml:space="preserve"> and billabongs</w:t>
      </w:r>
      <w:r w:rsidR="004401FC" w:rsidRPr="00C37E8E">
        <w:rPr>
          <w:rStyle w:val="Strong"/>
        </w:rPr>
        <w:t>)</w:t>
      </w:r>
      <w:r w:rsidR="00AB2C0B" w:rsidRPr="00C37E8E">
        <w:t>.</w:t>
      </w:r>
    </w:p>
    <w:p w14:paraId="489C769C" w14:textId="4A12460D" w:rsidR="00DC2411" w:rsidRDefault="00B00C6F" w:rsidP="00723A0D">
      <w:pPr>
        <w:pStyle w:val="DELWPbullet1"/>
      </w:pPr>
      <w:r>
        <w:rPr>
          <w:rStyle w:val="Strong"/>
        </w:rPr>
        <w:lastRenderedPageBreak/>
        <w:t>F</w:t>
      </w:r>
      <w:r w:rsidR="00AB2C0B" w:rsidRPr="007E64CD">
        <w:rPr>
          <w:rStyle w:val="Strong"/>
        </w:rPr>
        <w:t>looding:</w:t>
      </w:r>
      <w:r w:rsidR="00AB2C0B">
        <w:t xml:space="preserve"> policies ensuring that dams do not create or exacerbate flooding impacts to adjoining properties belong in </w:t>
      </w:r>
      <w:r w:rsidR="001F616D" w:rsidRPr="007D48CF">
        <w:rPr>
          <w:rStyle w:val="Strong"/>
        </w:rPr>
        <w:t>c</w:t>
      </w:r>
      <w:r w:rsidR="00AB2C0B" w:rsidRPr="007D48CF">
        <w:rPr>
          <w:rStyle w:val="Strong"/>
        </w:rPr>
        <w:t>lause 13.03-1</w:t>
      </w:r>
      <w:r w:rsidR="00AB2C0B">
        <w:t xml:space="preserve"> </w:t>
      </w:r>
      <w:r w:rsidR="004401FC">
        <w:t>(</w:t>
      </w:r>
      <w:r w:rsidR="00AB2C0B" w:rsidRPr="004401FC">
        <w:rPr>
          <w:rStyle w:val="Strong"/>
        </w:rPr>
        <w:t>Floodplain management</w:t>
      </w:r>
      <w:r w:rsidR="004401FC" w:rsidRPr="004401FC">
        <w:rPr>
          <w:rStyle w:val="Strong"/>
        </w:rPr>
        <w:t>)</w:t>
      </w:r>
      <w:r w:rsidR="00AB2C0B">
        <w:t>.</w:t>
      </w:r>
    </w:p>
    <w:p w14:paraId="489C769D" w14:textId="3A163551" w:rsidR="00CB429B" w:rsidRDefault="00B00C6F" w:rsidP="00723A0D">
      <w:pPr>
        <w:pStyle w:val="DELWPbullet1"/>
      </w:pPr>
      <w:r>
        <w:rPr>
          <w:rStyle w:val="Strong"/>
        </w:rPr>
        <w:t>E</w:t>
      </w:r>
      <w:r w:rsidR="00AB2C0B" w:rsidRPr="007E64CD">
        <w:rPr>
          <w:rStyle w:val="Strong"/>
        </w:rPr>
        <w:t>rosion and landslip:</w:t>
      </w:r>
      <w:r w:rsidR="00DA5AF6" w:rsidRPr="007E64CD">
        <w:rPr>
          <w:rStyle w:val="Strong"/>
        </w:rPr>
        <w:t xml:space="preserve"> </w:t>
      </w:r>
      <w:r w:rsidR="00AB2C0B">
        <w:t xml:space="preserve">policies ensuring that dams do not exacerbate erosion or cause landslips should </w:t>
      </w:r>
      <w:proofErr w:type="gramStart"/>
      <w:r w:rsidR="00AB2C0B">
        <w:t>be located in</w:t>
      </w:r>
      <w:proofErr w:type="gramEnd"/>
      <w:r w:rsidR="00AB2C0B">
        <w:t xml:space="preserve"> </w:t>
      </w:r>
      <w:r w:rsidR="001F616D" w:rsidRPr="007D48CF">
        <w:rPr>
          <w:rStyle w:val="Strong"/>
        </w:rPr>
        <w:t>c</w:t>
      </w:r>
      <w:r w:rsidR="00AB2C0B" w:rsidRPr="007D48CF">
        <w:rPr>
          <w:rStyle w:val="Strong"/>
        </w:rPr>
        <w:t>lause 13.04-2</w:t>
      </w:r>
      <w:r w:rsidR="00AB2C0B">
        <w:t xml:space="preserve"> </w:t>
      </w:r>
      <w:r w:rsidR="004401FC">
        <w:t>(</w:t>
      </w:r>
      <w:r w:rsidR="00AB2C0B" w:rsidRPr="004401FC">
        <w:rPr>
          <w:rStyle w:val="Strong"/>
        </w:rPr>
        <w:t>Erosion and landslip</w:t>
      </w:r>
      <w:r w:rsidR="004401FC" w:rsidRPr="004401FC">
        <w:rPr>
          <w:rStyle w:val="Strong"/>
        </w:rPr>
        <w:t>)</w:t>
      </w:r>
      <w:r w:rsidR="00AB2C0B">
        <w:t>.</w:t>
      </w:r>
    </w:p>
    <w:p w14:paraId="489C769E" w14:textId="77777777" w:rsidR="00DC2411" w:rsidRDefault="00AB2C0B" w:rsidP="002123AF">
      <w:pPr>
        <w:pStyle w:val="Heading4"/>
      </w:pPr>
      <w:r>
        <w:t>Design for rural areas</w:t>
      </w:r>
    </w:p>
    <w:p w14:paraId="489C769F" w14:textId="2DF6720C" w:rsidR="00754143" w:rsidRDefault="00AB2C0B" w:rsidP="002E55BC">
      <w:pPr>
        <w:pStyle w:val="BodyText1"/>
      </w:pPr>
      <w:r w:rsidRPr="007D48CF">
        <w:rPr>
          <w:rStyle w:val="Strong"/>
        </w:rPr>
        <w:t>Clause 15.01-6</w:t>
      </w:r>
      <w:r>
        <w:t xml:space="preserve"> </w:t>
      </w:r>
      <w:r w:rsidR="004401FC">
        <w:t>(</w:t>
      </w:r>
      <w:r w:rsidRPr="004401FC">
        <w:rPr>
          <w:rStyle w:val="Strong"/>
        </w:rPr>
        <w:t>Design for rural areas</w:t>
      </w:r>
      <w:r w:rsidR="004401FC" w:rsidRPr="004401FC">
        <w:rPr>
          <w:rStyle w:val="Strong"/>
        </w:rPr>
        <w:t>)</w:t>
      </w:r>
      <w:r>
        <w:t>.</w:t>
      </w:r>
      <w:r w:rsidR="00DA5AF6">
        <w:t xml:space="preserve"> </w:t>
      </w:r>
      <w:r>
        <w:t>This policy theme seeks to ensure that development in rural areas is consistent with and enhances the surrounding rural character.</w:t>
      </w:r>
      <w:r w:rsidR="00DA5AF6">
        <w:t xml:space="preserve"> </w:t>
      </w:r>
      <w:r>
        <w:t>This would include policies relating to buildings in rural areas, development along tourist routes or approaches to townships and development on hilltops and ridgelines. This policy relates to design for more general rural areas.</w:t>
      </w:r>
      <w:r w:rsidR="00DA5AF6">
        <w:t xml:space="preserve"> </w:t>
      </w:r>
      <w:r>
        <w:t xml:space="preserve">For significant landscapes or other sensitive natural areas, see </w:t>
      </w:r>
      <w:r w:rsidR="001F616D" w:rsidRPr="007D48CF">
        <w:rPr>
          <w:rStyle w:val="Strong"/>
        </w:rPr>
        <w:t>c</w:t>
      </w:r>
      <w:r w:rsidRPr="007D48CF">
        <w:rPr>
          <w:rStyle w:val="Strong"/>
        </w:rPr>
        <w:t>lause 11.03-5</w:t>
      </w:r>
      <w:r>
        <w:t xml:space="preserve"> </w:t>
      </w:r>
      <w:r w:rsidR="004401FC">
        <w:t>(</w:t>
      </w:r>
      <w:r w:rsidRPr="004401FC">
        <w:rPr>
          <w:rStyle w:val="Strong"/>
        </w:rPr>
        <w:t>Distinctive areas and landscapes</w:t>
      </w:r>
      <w:r w:rsidR="004401FC" w:rsidRPr="004401FC">
        <w:rPr>
          <w:rStyle w:val="Strong"/>
        </w:rPr>
        <w:t>)</w:t>
      </w:r>
      <w:r>
        <w:t xml:space="preserve"> or </w:t>
      </w:r>
      <w:r w:rsidR="001F616D" w:rsidRPr="007D48CF">
        <w:rPr>
          <w:rStyle w:val="Strong"/>
        </w:rPr>
        <w:t>c</w:t>
      </w:r>
      <w:r w:rsidRPr="007D48CF">
        <w:rPr>
          <w:rStyle w:val="Strong"/>
        </w:rPr>
        <w:t>lause 12.05</w:t>
      </w:r>
      <w:r>
        <w:t xml:space="preserve"> </w:t>
      </w:r>
      <w:r w:rsidR="004401FC">
        <w:t>(</w:t>
      </w:r>
      <w:r w:rsidRPr="004401FC">
        <w:rPr>
          <w:rStyle w:val="Strong"/>
        </w:rPr>
        <w:t>Significant environments and landscapes</w:t>
      </w:r>
      <w:r w:rsidR="004401FC" w:rsidRPr="004401FC">
        <w:rPr>
          <w:rStyle w:val="Strong"/>
        </w:rPr>
        <w:t>)</w:t>
      </w:r>
      <w:r>
        <w:t>.</w:t>
      </w:r>
    </w:p>
    <w:p w14:paraId="489C76A0" w14:textId="77777777" w:rsidR="00DC2411" w:rsidRDefault="00AB2C0B" w:rsidP="002123AF">
      <w:pPr>
        <w:pStyle w:val="Heading4"/>
        <w:rPr>
          <w:rFonts w:ascii="VIC-Light" w:hAnsi="VIC-Light" w:cs="VIC-Light"/>
          <w:color w:val="000000"/>
          <w:spacing w:val="2"/>
          <w:szCs w:val="20"/>
        </w:rPr>
      </w:pPr>
      <w:r>
        <w:t>Development adjacent to highways</w:t>
      </w:r>
    </w:p>
    <w:p w14:paraId="489C76A1" w14:textId="6281FE37" w:rsidR="00754143" w:rsidRDefault="00AB2C0B" w:rsidP="002E55BC">
      <w:pPr>
        <w:pStyle w:val="BodyText1"/>
      </w:pPr>
      <w:r>
        <w:t xml:space="preserve">A policy that has the specific purpose of ensuring that development adjacent to highways does not adversely affect the function of the road belongs </w:t>
      </w:r>
      <w:r w:rsidRPr="000A34E3">
        <w:t xml:space="preserve">in </w:t>
      </w:r>
      <w:r w:rsidR="001F616D" w:rsidRPr="007D48CF">
        <w:rPr>
          <w:rStyle w:val="Strong"/>
        </w:rPr>
        <w:t>c</w:t>
      </w:r>
      <w:r w:rsidRPr="007D48CF">
        <w:rPr>
          <w:rStyle w:val="Strong"/>
        </w:rPr>
        <w:t>lause 18.01-</w:t>
      </w:r>
      <w:r w:rsidR="00A54DFA" w:rsidRPr="007D48CF">
        <w:rPr>
          <w:rStyle w:val="Strong"/>
        </w:rPr>
        <w:t>1</w:t>
      </w:r>
      <w:r w:rsidR="00A54DFA" w:rsidRPr="004401FC">
        <w:rPr>
          <w:rStyle w:val="Strong"/>
        </w:rPr>
        <w:t xml:space="preserve"> </w:t>
      </w:r>
      <w:r w:rsidR="004401FC" w:rsidRPr="004401FC">
        <w:rPr>
          <w:rStyle w:val="Strong"/>
        </w:rPr>
        <w:t>(</w:t>
      </w:r>
      <w:r w:rsidR="00A54DFA" w:rsidRPr="004401FC">
        <w:rPr>
          <w:rStyle w:val="Strong"/>
        </w:rPr>
        <w:t>Land Use and Transport Integration</w:t>
      </w:r>
      <w:r w:rsidR="004401FC" w:rsidRPr="004401FC">
        <w:rPr>
          <w:rStyle w:val="Strong"/>
        </w:rPr>
        <w:t>)</w:t>
      </w:r>
      <w:r w:rsidRPr="000A34E3">
        <w:t>.</w:t>
      </w:r>
    </w:p>
    <w:p w14:paraId="489C76A2" w14:textId="1F6E9E3A" w:rsidR="00DC2411" w:rsidRPr="00FC099F" w:rsidRDefault="00AB2C0B" w:rsidP="002123AF">
      <w:pPr>
        <w:pStyle w:val="Heading4"/>
      </w:pPr>
      <w:r w:rsidRPr="00FC099F">
        <w:t>Environmentally Sustainable Development</w:t>
      </w:r>
    </w:p>
    <w:p w14:paraId="489C76A3" w14:textId="3C1A6066" w:rsidR="00754143" w:rsidRDefault="00AB2C0B" w:rsidP="002E55BC">
      <w:pPr>
        <w:pStyle w:val="BodyText1"/>
      </w:pPr>
      <w:r w:rsidRPr="00FC099F">
        <w:t>Environmental Sustainability Development (ESD) is addressed throughout the PPF under a range of different themes.</w:t>
      </w:r>
      <w:r w:rsidR="00DA5AF6" w:rsidRPr="00FC099F">
        <w:t xml:space="preserve"> </w:t>
      </w:r>
      <w:r w:rsidRPr="00FC099F">
        <w:t>Local policies about ESD are encouraged to be integrated into the PPF under the appropriate themes.</w:t>
      </w:r>
    </w:p>
    <w:p w14:paraId="489C76A4" w14:textId="77777777" w:rsidR="00DA5AF6" w:rsidRPr="001C24A8" w:rsidRDefault="00AB2C0B" w:rsidP="002123AF">
      <w:pPr>
        <w:pStyle w:val="Heading4"/>
      </w:pPr>
      <w:r w:rsidRPr="001C24A8">
        <w:t>Heritage</w:t>
      </w:r>
    </w:p>
    <w:p w14:paraId="489C76A5" w14:textId="3002653D" w:rsidR="00754143" w:rsidRDefault="00AB2C0B" w:rsidP="002E55BC">
      <w:pPr>
        <w:pStyle w:val="BodyText1"/>
      </w:pPr>
      <w:r w:rsidRPr="001C24A8">
        <w:t xml:space="preserve">Policies relating to the general treatment of development within heritage areas can be located under </w:t>
      </w:r>
      <w:r w:rsidR="001F616D" w:rsidRPr="007D48CF">
        <w:rPr>
          <w:rStyle w:val="Strong"/>
        </w:rPr>
        <w:t>c</w:t>
      </w:r>
      <w:r w:rsidRPr="007D48CF">
        <w:rPr>
          <w:rStyle w:val="Strong"/>
        </w:rPr>
        <w:t>lause 15.03-1</w:t>
      </w:r>
      <w:r w:rsidRPr="001C24A8">
        <w:t xml:space="preserve"> </w:t>
      </w:r>
      <w:r w:rsidR="004401FC">
        <w:t>(</w:t>
      </w:r>
      <w:r w:rsidRPr="004401FC">
        <w:rPr>
          <w:rStyle w:val="Strong"/>
        </w:rPr>
        <w:t>Heritage conservation</w:t>
      </w:r>
      <w:r w:rsidR="004401FC" w:rsidRPr="004401FC">
        <w:rPr>
          <w:rStyle w:val="Strong"/>
        </w:rPr>
        <w:t>)</w:t>
      </w:r>
      <w:r w:rsidRPr="001C24A8">
        <w:t>.</w:t>
      </w:r>
      <w:r w:rsidR="00DA5AF6" w:rsidRPr="001C24A8">
        <w:t xml:space="preserve"> </w:t>
      </w:r>
      <w:r w:rsidRPr="001C24A8">
        <w:t xml:space="preserve">However, policies that contain statements of significance and detailed precinct-specific design guidelines cannot be accommodated within the PPF and should </w:t>
      </w:r>
      <w:proofErr w:type="gramStart"/>
      <w:r w:rsidRPr="001C24A8">
        <w:t>be located in</w:t>
      </w:r>
      <w:proofErr w:type="gramEnd"/>
      <w:r w:rsidRPr="001C24A8">
        <w:t xml:space="preserve"> the schedule to the Heritage Overlay.</w:t>
      </w:r>
    </w:p>
    <w:p w14:paraId="489C76A6" w14:textId="77777777" w:rsidR="00DC2411" w:rsidRDefault="00AB2C0B" w:rsidP="002123AF">
      <w:pPr>
        <w:pStyle w:val="Heading4"/>
      </w:pPr>
      <w:r>
        <w:t>Sealing of roads and road construction</w:t>
      </w:r>
    </w:p>
    <w:p w14:paraId="489C76A7" w14:textId="66F2A628" w:rsidR="00754143" w:rsidRDefault="00AB2C0B" w:rsidP="002E55BC">
      <w:pPr>
        <w:pStyle w:val="BodyText1"/>
      </w:pPr>
      <w:r>
        <w:t xml:space="preserve">Policies relating to the sealing of roads or road construction belong in </w:t>
      </w:r>
      <w:r w:rsidR="001F616D" w:rsidRPr="007D48CF">
        <w:rPr>
          <w:rStyle w:val="Strong"/>
        </w:rPr>
        <w:t>c</w:t>
      </w:r>
      <w:r w:rsidRPr="007D48CF">
        <w:rPr>
          <w:rStyle w:val="Strong"/>
        </w:rPr>
        <w:t>lause 18.02-</w:t>
      </w:r>
      <w:r w:rsidR="000B6E2A" w:rsidRPr="007D48CF">
        <w:rPr>
          <w:rStyle w:val="Strong"/>
        </w:rPr>
        <w:t>4</w:t>
      </w:r>
      <w:r w:rsidR="000B6E2A" w:rsidRPr="001C24A8">
        <w:t xml:space="preserve"> </w:t>
      </w:r>
      <w:r w:rsidR="004401FC">
        <w:t>(</w:t>
      </w:r>
      <w:r w:rsidRPr="004401FC">
        <w:rPr>
          <w:rStyle w:val="Strong"/>
        </w:rPr>
        <w:t>Road</w:t>
      </w:r>
      <w:r w:rsidR="000B6E2A" w:rsidRPr="004401FC">
        <w:rPr>
          <w:rStyle w:val="Strong"/>
        </w:rPr>
        <w:t>s</w:t>
      </w:r>
      <w:r w:rsidR="004401FC" w:rsidRPr="004401FC">
        <w:rPr>
          <w:rStyle w:val="Strong"/>
        </w:rPr>
        <w:t>)</w:t>
      </w:r>
      <w:r w:rsidRPr="001C24A8">
        <w:t>.</w:t>
      </w:r>
    </w:p>
    <w:p w14:paraId="489C76A8" w14:textId="77777777" w:rsidR="00DC2411" w:rsidRDefault="00AB2C0B" w:rsidP="002123AF">
      <w:pPr>
        <w:pStyle w:val="Heading4"/>
      </w:pPr>
      <w:r>
        <w:t>Signs</w:t>
      </w:r>
    </w:p>
    <w:p w14:paraId="489C76A9" w14:textId="553E5C60" w:rsidR="00754143" w:rsidRDefault="00AB2C0B" w:rsidP="002E55BC">
      <w:pPr>
        <w:pStyle w:val="BodyText1"/>
      </w:pPr>
      <w:r>
        <w:t>Policies relating to signs can be loosely categorised into a few types.</w:t>
      </w:r>
      <w:r w:rsidR="00DA5AF6">
        <w:t xml:space="preserve"> </w:t>
      </w:r>
      <w:r>
        <w:t>There are policies giving guidance on the appearance of signs, policies relating to signs along major transport routes and polic</w:t>
      </w:r>
      <w:r w:rsidR="002F5C12">
        <w:t>i</w:t>
      </w:r>
      <w:r>
        <w:t>es relating to signs in heritage areas.</w:t>
      </w:r>
      <w:r w:rsidR="00DA5AF6">
        <w:t xml:space="preserve"> </w:t>
      </w:r>
      <w:r>
        <w:t>These policies can be categorised within the PPF as follows:</w:t>
      </w:r>
    </w:p>
    <w:p w14:paraId="489C76AA" w14:textId="05DD33F0" w:rsidR="00DA5AF6" w:rsidRDefault="00AB2C0B" w:rsidP="00723A0D">
      <w:pPr>
        <w:pStyle w:val="DELWPbullet1"/>
      </w:pPr>
      <w:r w:rsidRPr="007E64CD">
        <w:rPr>
          <w:rStyle w:val="Strong"/>
        </w:rPr>
        <w:t>Design of signs:</w:t>
      </w:r>
      <w:r w:rsidR="00DA5AF6">
        <w:t xml:space="preserve"> </w:t>
      </w:r>
      <w:r>
        <w:t xml:space="preserve">policies that give guidance relating to the appearance of signs and the treatment of different types of signs (including road safety) belong under </w:t>
      </w:r>
      <w:r w:rsidR="001F616D" w:rsidRPr="007D48CF">
        <w:rPr>
          <w:rStyle w:val="Strong"/>
        </w:rPr>
        <w:t>c</w:t>
      </w:r>
      <w:r w:rsidRPr="007D48CF">
        <w:rPr>
          <w:rStyle w:val="Strong"/>
        </w:rPr>
        <w:t>lause 15.01-1</w:t>
      </w:r>
      <w:r w:rsidRPr="007E64CD">
        <w:rPr>
          <w:rStyle w:val="Strong"/>
        </w:rPr>
        <w:t xml:space="preserve"> </w:t>
      </w:r>
      <w:r w:rsidR="004401FC" w:rsidRPr="004401FC">
        <w:rPr>
          <w:rStyle w:val="Strong"/>
        </w:rPr>
        <w:t>(</w:t>
      </w:r>
      <w:r w:rsidRPr="004401FC">
        <w:rPr>
          <w:rStyle w:val="Strong"/>
        </w:rPr>
        <w:t>Urban design</w:t>
      </w:r>
      <w:r w:rsidR="004401FC" w:rsidRPr="004401FC">
        <w:rPr>
          <w:rStyle w:val="Strong"/>
        </w:rPr>
        <w:t>)</w:t>
      </w:r>
      <w:r>
        <w:t>.</w:t>
      </w:r>
    </w:p>
    <w:p w14:paraId="489C76AB" w14:textId="121E24C7" w:rsidR="00DC2411" w:rsidRDefault="00AB2C0B" w:rsidP="00723A0D">
      <w:pPr>
        <w:pStyle w:val="DELWPbullet1"/>
      </w:pPr>
      <w:r w:rsidRPr="007E64CD">
        <w:rPr>
          <w:rStyle w:val="Strong"/>
        </w:rPr>
        <w:t>Road signs:</w:t>
      </w:r>
      <w:r w:rsidR="00DA5AF6" w:rsidRPr="007E64CD">
        <w:rPr>
          <w:rStyle w:val="Strong"/>
        </w:rPr>
        <w:t xml:space="preserve"> </w:t>
      </w:r>
      <w:r>
        <w:t xml:space="preserve">policies relating to signs along major transport routes such as Eastlink or the Metropolitan Ring Road belong under </w:t>
      </w:r>
      <w:r w:rsidR="001F616D" w:rsidRPr="007D48CF">
        <w:rPr>
          <w:rStyle w:val="Strong"/>
        </w:rPr>
        <w:t>c</w:t>
      </w:r>
      <w:r w:rsidRPr="007D48CF">
        <w:rPr>
          <w:rStyle w:val="Strong"/>
        </w:rPr>
        <w:t>lause 18.02-</w:t>
      </w:r>
      <w:r w:rsidR="00C75188" w:rsidRPr="007D48CF">
        <w:rPr>
          <w:rStyle w:val="Strong"/>
        </w:rPr>
        <w:t>4</w:t>
      </w:r>
      <w:r w:rsidR="00C75188" w:rsidRPr="004401FC">
        <w:rPr>
          <w:rStyle w:val="Strong"/>
        </w:rPr>
        <w:t xml:space="preserve"> </w:t>
      </w:r>
      <w:r w:rsidR="004401FC" w:rsidRPr="004401FC">
        <w:rPr>
          <w:rStyle w:val="Strong"/>
        </w:rPr>
        <w:t>(</w:t>
      </w:r>
      <w:r w:rsidR="00C75188" w:rsidRPr="004401FC">
        <w:rPr>
          <w:rStyle w:val="Strong"/>
        </w:rPr>
        <w:t>Roads</w:t>
      </w:r>
      <w:r w:rsidR="004401FC" w:rsidRPr="004401FC">
        <w:rPr>
          <w:rStyle w:val="Strong"/>
        </w:rPr>
        <w:t>)</w:t>
      </w:r>
      <w:r w:rsidR="006D07D1" w:rsidRPr="004401FC">
        <w:rPr>
          <w:rStyle w:val="Strong"/>
        </w:rPr>
        <w:t>.</w:t>
      </w:r>
      <w:r w:rsidR="006D07D1" w:rsidRPr="00522046">
        <w:rPr>
          <w:rStyle w:val="Strong"/>
        </w:rPr>
        <w:t xml:space="preserve"> </w:t>
      </w:r>
    </w:p>
    <w:p w14:paraId="489C76AC" w14:textId="22BAE829" w:rsidR="00DC2411" w:rsidRDefault="00AB2C0B" w:rsidP="00723A0D">
      <w:pPr>
        <w:pStyle w:val="DELWPbullet1"/>
      </w:pPr>
      <w:r w:rsidRPr="007E64CD">
        <w:rPr>
          <w:rStyle w:val="Strong"/>
        </w:rPr>
        <w:t>Signs in Heritage areas:</w:t>
      </w:r>
      <w:r>
        <w:t xml:space="preserve"> if a sign policy solely relates to the appearance of signs within a heritage area, it can sit with </w:t>
      </w:r>
      <w:r w:rsidR="001F616D" w:rsidRPr="007D48CF">
        <w:rPr>
          <w:rStyle w:val="Strong"/>
        </w:rPr>
        <w:t>c</w:t>
      </w:r>
      <w:r w:rsidRPr="007D48CF">
        <w:rPr>
          <w:rStyle w:val="Strong"/>
        </w:rPr>
        <w:t>lause 15.03-1</w:t>
      </w:r>
      <w:r>
        <w:t xml:space="preserve"> </w:t>
      </w:r>
      <w:r w:rsidR="004401FC">
        <w:t>(</w:t>
      </w:r>
      <w:r w:rsidRPr="004401FC">
        <w:rPr>
          <w:rStyle w:val="Strong"/>
        </w:rPr>
        <w:t>Heritage conservation</w:t>
      </w:r>
      <w:r w:rsidR="004401FC" w:rsidRPr="004401FC">
        <w:rPr>
          <w:rStyle w:val="Strong"/>
        </w:rPr>
        <w:t>)</w:t>
      </w:r>
      <w:r>
        <w:t xml:space="preserve">. If a policy broadly </w:t>
      </w:r>
      <w:r>
        <w:lastRenderedPageBreak/>
        <w:t>relates to the urban design aspects of a sign and has a component that relates to heritage, the policy can remain under</w:t>
      </w:r>
      <w:r w:rsidRPr="007E64CD">
        <w:rPr>
          <w:rStyle w:val="Strong"/>
        </w:rPr>
        <w:t xml:space="preserve"> </w:t>
      </w:r>
      <w:r w:rsidR="001F616D" w:rsidRPr="007D48CF">
        <w:rPr>
          <w:rStyle w:val="Strong"/>
        </w:rPr>
        <w:t>c</w:t>
      </w:r>
      <w:r w:rsidRPr="007D48CF">
        <w:rPr>
          <w:rStyle w:val="Strong"/>
        </w:rPr>
        <w:t>lause 15.01-1</w:t>
      </w:r>
      <w:r>
        <w:t xml:space="preserve"> </w:t>
      </w:r>
      <w:r w:rsidR="004401FC">
        <w:t>(</w:t>
      </w:r>
      <w:r w:rsidRPr="004401FC">
        <w:rPr>
          <w:rStyle w:val="Strong"/>
        </w:rPr>
        <w:t>Urban design</w:t>
      </w:r>
      <w:r w:rsidR="004401FC" w:rsidRPr="004401FC">
        <w:rPr>
          <w:rStyle w:val="Strong"/>
        </w:rPr>
        <w:t>)</w:t>
      </w:r>
      <w:r>
        <w:t>.</w:t>
      </w:r>
    </w:p>
    <w:p w14:paraId="489C76AD" w14:textId="17258D06" w:rsidR="00754143" w:rsidRDefault="00AB2C0B" w:rsidP="002E55BC">
      <w:pPr>
        <w:pStyle w:val="DELWPbodyafterbullets"/>
      </w:pPr>
      <w:r>
        <w:t xml:space="preserve">See </w:t>
      </w:r>
      <w:r w:rsidRPr="007D48CF">
        <w:rPr>
          <w:rStyle w:val="Strong"/>
        </w:rPr>
        <w:t xml:space="preserve">Appendix </w:t>
      </w:r>
      <w:r w:rsidR="00F564B2" w:rsidRPr="007D48CF">
        <w:rPr>
          <w:rStyle w:val="Strong"/>
        </w:rPr>
        <w:t>5</w:t>
      </w:r>
      <w:r>
        <w:t xml:space="preserve"> for a more complete list showing where local policies can </w:t>
      </w:r>
      <w:proofErr w:type="gramStart"/>
      <w:r>
        <w:t xml:space="preserve">be located </w:t>
      </w:r>
      <w:r w:rsidR="00546ABB">
        <w:t>in</w:t>
      </w:r>
      <w:proofErr w:type="gramEnd"/>
      <w:r w:rsidR="00546ABB">
        <w:t xml:space="preserve"> the PPF</w:t>
      </w:r>
      <w:r>
        <w:t>.</w:t>
      </w:r>
    </w:p>
    <w:p w14:paraId="6F92144C" w14:textId="7169694A" w:rsidR="00A12C79" w:rsidRDefault="00A95051" w:rsidP="004F6A20">
      <w:pPr>
        <w:pStyle w:val="Heading3"/>
      </w:pPr>
      <w:r>
        <w:t>6.4.6</w:t>
      </w:r>
      <w:r>
        <w:tab/>
      </w:r>
      <w:r w:rsidR="000B7EED">
        <w:tab/>
      </w:r>
      <w:r w:rsidR="00A12C79">
        <w:t>General PPF drafting tips</w:t>
      </w:r>
    </w:p>
    <w:p w14:paraId="2B3A1DB3" w14:textId="5275EC66" w:rsidR="00A12C79" w:rsidRDefault="0074503B" w:rsidP="002E55BC">
      <w:pPr>
        <w:pStyle w:val="DELWPbodyafterbullets"/>
      </w:pPr>
      <w:r w:rsidRPr="007A43CB">
        <w:t>Chapter</w:t>
      </w:r>
      <w:r w:rsidR="00A12C79" w:rsidRPr="007A43CB">
        <w:t xml:space="preserve"> 6.1</w:t>
      </w:r>
      <w:r w:rsidR="00A12C79">
        <w:t xml:space="preserve"> </w:t>
      </w:r>
      <w:r w:rsidR="00A12C79" w:rsidRPr="00F06FB7">
        <w:t xml:space="preserve">sets </w:t>
      </w:r>
      <w:r w:rsidR="00A12C79">
        <w:t>out useful</w:t>
      </w:r>
      <w:r w:rsidR="00A12C79" w:rsidRPr="00F06FB7">
        <w:t xml:space="preserve"> drafting guidance</w:t>
      </w:r>
      <w:r w:rsidR="00A12C79">
        <w:t xml:space="preserve"> for </w:t>
      </w:r>
      <w:r w:rsidR="00A12C79" w:rsidRPr="001B56C6">
        <w:t>planning provisions.</w:t>
      </w:r>
      <w:r w:rsidR="00D92C0F">
        <w:t xml:space="preserve"> </w:t>
      </w:r>
      <w:r w:rsidR="00A12C79">
        <w:t>Some further tips relating to policy drafting are discussed below.</w:t>
      </w:r>
    </w:p>
    <w:p w14:paraId="74D7BBDD" w14:textId="77777777" w:rsidR="00A12C79" w:rsidRPr="001B56C6" w:rsidRDefault="00A12C79" w:rsidP="004F6A20">
      <w:pPr>
        <w:pStyle w:val="Heading3"/>
      </w:pPr>
      <w:r>
        <w:t>Audience</w:t>
      </w:r>
    </w:p>
    <w:p w14:paraId="134F1655" w14:textId="1AD556FB" w:rsidR="00A12C79" w:rsidRDefault="00A12C79" w:rsidP="002E55BC">
      <w:pPr>
        <w:pStyle w:val="DELWPbodyafterbullets"/>
        <w:rPr>
          <w:lang w:val="en-US"/>
        </w:rPr>
      </w:pPr>
      <w:r>
        <w:t>Most planning policies</w:t>
      </w:r>
      <w:r w:rsidRPr="003D397A">
        <w:rPr>
          <w:lang w:val="en-US"/>
        </w:rPr>
        <w:t xml:space="preserve"> apply to </w:t>
      </w:r>
      <w:r w:rsidRPr="00372682">
        <w:rPr>
          <w:lang w:val="en-US"/>
        </w:rPr>
        <w:t>decision</w:t>
      </w:r>
      <w:r w:rsidR="008905FD" w:rsidRPr="00372682">
        <w:rPr>
          <w:lang w:val="en-US"/>
        </w:rPr>
        <w:t>-</w:t>
      </w:r>
      <w:r w:rsidRPr="00372682">
        <w:rPr>
          <w:lang w:val="en-US"/>
        </w:rPr>
        <w:t>makers,</w:t>
      </w:r>
      <w:r w:rsidRPr="003D397A">
        <w:rPr>
          <w:lang w:val="en-US"/>
        </w:rPr>
        <w:t xml:space="preserve"> permit applicants </w:t>
      </w:r>
      <w:r>
        <w:rPr>
          <w:lang w:val="en-US"/>
        </w:rPr>
        <w:t>as well as</w:t>
      </w:r>
      <w:r w:rsidRPr="003D397A">
        <w:rPr>
          <w:lang w:val="en-US"/>
        </w:rPr>
        <w:t xml:space="preserve"> other parties. </w:t>
      </w:r>
      <w:r w:rsidR="009F47C3">
        <w:rPr>
          <w:lang w:val="en-US"/>
        </w:rPr>
        <w:t>When d</w:t>
      </w:r>
      <w:r w:rsidRPr="003D397A">
        <w:rPr>
          <w:lang w:val="en-US"/>
        </w:rPr>
        <w:t>raft</w:t>
      </w:r>
      <w:r w:rsidR="009F47C3">
        <w:rPr>
          <w:lang w:val="en-US"/>
        </w:rPr>
        <w:t>ing</w:t>
      </w:r>
      <w:r w:rsidRPr="003D397A">
        <w:rPr>
          <w:lang w:val="en-US"/>
        </w:rPr>
        <w:t xml:space="preserve"> policies</w:t>
      </w:r>
      <w:r w:rsidR="009F47C3">
        <w:rPr>
          <w:lang w:val="en-US"/>
        </w:rPr>
        <w:t xml:space="preserve"> write</w:t>
      </w:r>
      <w:r w:rsidRPr="003D397A">
        <w:rPr>
          <w:lang w:val="en-US"/>
        </w:rPr>
        <w:t xml:space="preserve"> for the whole </w:t>
      </w:r>
      <w:proofErr w:type="gramStart"/>
      <w:r w:rsidRPr="003D397A">
        <w:rPr>
          <w:lang w:val="en-US"/>
        </w:rPr>
        <w:t>audience</w:t>
      </w:r>
      <w:r>
        <w:rPr>
          <w:lang w:val="en-US"/>
        </w:rPr>
        <w:t>, unless</w:t>
      </w:r>
      <w:proofErr w:type="gramEnd"/>
      <w:r>
        <w:rPr>
          <w:lang w:val="en-US"/>
        </w:rPr>
        <w:t xml:space="preserve"> the policy is targeted to a particular stakeholder</w:t>
      </w:r>
      <w:r w:rsidRPr="003D397A">
        <w:rPr>
          <w:lang w:val="en-US"/>
        </w:rPr>
        <w:t>.</w:t>
      </w:r>
    </w:p>
    <w:tbl>
      <w:tblPr>
        <w:tblStyle w:val="TableGrid"/>
        <w:tblW w:w="949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CCC" w:themeFill="accent5" w:themeFillTint="33"/>
        <w:tblLook w:val="04A0" w:firstRow="1" w:lastRow="0" w:firstColumn="1" w:lastColumn="0" w:noHBand="0" w:noVBand="1"/>
      </w:tblPr>
      <w:tblGrid>
        <w:gridCol w:w="859"/>
        <w:gridCol w:w="8639"/>
      </w:tblGrid>
      <w:tr w:rsidR="00A12C79" w:rsidRPr="00283E39" w14:paraId="66BC88DB" w14:textId="77777777" w:rsidTr="00212512">
        <w:trPr>
          <w:cnfStyle w:val="100000000000" w:firstRow="1" w:lastRow="0" w:firstColumn="0" w:lastColumn="0" w:oddVBand="0" w:evenVBand="0" w:oddHBand="0" w:evenHBand="0" w:firstRowFirstColumn="0" w:firstRowLastColumn="0" w:lastRowFirstColumn="0" w:lastRowLastColumn="0"/>
        </w:trPr>
        <w:tc>
          <w:tcPr>
            <w:tcW w:w="859" w:type="dxa"/>
            <w:shd w:val="clear" w:color="auto" w:fill="D9ECEA" w:themeFill="accent2"/>
            <w:vAlign w:val="top"/>
          </w:tcPr>
          <w:p w14:paraId="5C1876E5" w14:textId="13AE7627" w:rsidR="00A12C79" w:rsidRPr="00B447C7" w:rsidRDefault="00F67A8D" w:rsidP="003F7CCB">
            <w:pPr>
              <w:pStyle w:val="Symbol"/>
              <w:rPr>
                <w:i w:val="0"/>
                <w:iCs w:val="0"/>
              </w:rPr>
            </w:pPr>
            <w:r w:rsidRPr="00B447C7">
              <w:rPr>
                <w:i w:val="0"/>
                <w:iCs w:val="0"/>
              </w:rPr>
              <w:sym w:font="Wingdings" w:char="F0FB"/>
            </w:r>
          </w:p>
        </w:tc>
        <w:tc>
          <w:tcPr>
            <w:tcW w:w="8639" w:type="dxa"/>
            <w:shd w:val="clear" w:color="auto" w:fill="D9ECEA" w:themeFill="accent2"/>
          </w:tcPr>
          <w:p w14:paraId="31961BFD" w14:textId="77777777" w:rsidR="00A12C79" w:rsidRPr="00B447C7" w:rsidRDefault="00A12C79" w:rsidP="007004E3">
            <w:pPr>
              <w:pStyle w:val="Exampletext"/>
              <w:rPr>
                <w:i w:val="0"/>
                <w:iCs w:val="0"/>
              </w:rPr>
            </w:pPr>
            <w:r w:rsidRPr="00B447C7">
              <w:rPr>
                <w:i w:val="0"/>
                <w:iCs w:val="0"/>
              </w:rPr>
              <w:t>Encourage owners of significant buildings within heritage precincts to preserve the streetscape character by…</w:t>
            </w:r>
          </w:p>
        </w:tc>
      </w:tr>
      <w:tr w:rsidR="00F67A8D" w:rsidRPr="003D397A" w14:paraId="6B68BE95" w14:textId="77777777" w:rsidTr="00616E0A">
        <w:tc>
          <w:tcPr>
            <w:tcW w:w="859" w:type="dxa"/>
            <w:shd w:val="clear" w:color="auto" w:fill="D9ECEA" w:themeFill="accent2"/>
          </w:tcPr>
          <w:p w14:paraId="69DB327E" w14:textId="3662C20C" w:rsidR="00F67A8D" w:rsidRPr="00B447C7" w:rsidRDefault="00F67A8D" w:rsidP="00F67A8D">
            <w:pPr>
              <w:pStyle w:val="Symbol"/>
              <w:rPr>
                <w:i w:val="0"/>
                <w:iCs w:val="0"/>
              </w:rPr>
            </w:pPr>
            <w:r w:rsidRPr="00B447C7">
              <w:rPr>
                <w:i w:val="0"/>
                <w:iCs w:val="0"/>
              </w:rPr>
              <w:sym w:font="Wingdings" w:char="F0FC"/>
            </w:r>
          </w:p>
        </w:tc>
        <w:tc>
          <w:tcPr>
            <w:tcW w:w="8639" w:type="dxa"/>
            <w:shd w:val="clear" w:color="auto" w:fill="D9ECEA" w:themeFill="accent2"/>
          </w:tcPr>
          <w:p w14:paraId="192CEC0F" w14:textId="77777777" w:rsidR="00F67A8D" w:rsidRPr="00B447C7" w:rsidRDefault="00F67A8D" w:rsidP="00F67A8D">
            <w:pPr>
              <w:pStyle w:val="Exampletext"/>
              <w:rPr>
                <w:i w:val="0"/>
                <w:iCs w:val="0"/>
              </w:rPr>
            </w:pPr>
            <w:r w:rsidRPr="00B447C7">
              <w:rPr>
                <w:i w:val="0"/>
                <w:iCs w:val="0"/>
              </w:rPr>
              <w:t>Preserve significant buildings within heritage precincts by…</w:t>
            </w:r>
          </w:p>
        </w:tc>
      </w:tr>
    </w:tbl>
    <w:p w14:paraId="2C6450BE" w14:textId="77777777" w:rsidR="00A12C79" w:rsidRDefault="00A12C79" w:rsidP="006107EF">
      <w:pPr>
        <w:pStyle w:val="DELWPbodyafterbullets"/>
      </w:pPr>
    </w:p>
    <w:tbl>
      <w:tblPr>
        <w:tblStyle w:val="TableGrid"/>
        <w:tblW w:w="949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CCC" w:themeFill="accent5" w:themeFillTint="33"/>
        <w:tblLook w:val="04A0" w:firstRow="1" w:lastRow="0" w:firstColumn="1" w:lastColumn="0" w:noHBand="0" w:noVBand="1"/>
      </w:tblPr>
      <w:tblGrid>
        <w:gridCol w:w="851"/>
        <w:gridCol w:w="8647"/>
      </w:tblGrid>
      <w:tr w:rsidR="005B1A63" w:rsidRPr="00A7370C" w14:paraId="52E2B732" w14:textId="77777777" w:rsidTr="00212512">
        <w:trPr>
          <w:cnfStyle w:val="100000000000" w:firstRow="1" w:lastRow="0" w:firstColumn="0" w:lastColumn="0" w:oddVBand="0" w:evenVBand="0" w:oddHBand="0" w:evenHBand="0" w:firstRowFirstColumn="0" w:firstRowLastColumn="0" w:lastRowFirstColumn="0" w:lastRowLastColumn="0"/>
        </w:trPr>
        <w:tc>
          <w:tcPr>
            <w:tcW w:w="851" w:type="dxa"/>
            <w:shd w:val="clear" w:color="auto" w:fill="D9ECEA" w:themeFill="accent2"/>
            <w:vAlign w:val="center"/>
          </w:tcPr>
          <w:p w14:paraId="1F7A512F" w14:textId="5E8FF63D" w:rsidR="005B1A63" w:rsidRPr="00B447C7" w:rsidRDefault="005B1A63" w:rsidP="005B1A63">
            <w:pPr>
              <w:pStyle w:val="Symbol"/>
              <w:rPr>
                <w:i w:val="0"/>
                <w:iCs w:val="0"/>
              </w:rPr>
            </w:pPr>
            <w:r w:rsidRPr="00B447C7">
              <w:rPr>
                <w:i w:val="0"/>
                <w:iCs w:val="0"/>
              </w:rPr>
              <w:sym w:font="Wingdings" w:char="F0FB"/>
            </w:r>
          </w:p>
        </w:tc>
        <w:tc>
          <w:tcPr>
            <w:tcW w:w="8647" w:type="dxa"/>
            <w:shd w:val="clear" w:color="auto" w:fill="D9ECEA" w:themeFill="accent2"/>
          </w:tcPr>
          <w:p w14:paraId="3289287B" w14:textId="77777777" w:rsidR="005B1A63" w:rsidRPr="00B447C7" w:rsidRDefault="005B1A63" w:rsidP="005B1A63">
            <w:pPr>
              <w:pStyle w:val="Exampletext"/>
              <w:rPr>
                <w:i w:val="0"/>
                <w:iCs w:val="0"/>
              </w:rPr>
            </w:pPr>
            <w:r w:rsidRPr="00B447C7">
              <w:rPr>
                <w:i w:val="0"/>
                <w:iCs w:val="0"/>
              </w:rPr>
              <w:t xml:space="preserve">Require that potential air quality impacts, including odours and emissions are assessed. </w:t>
            </w:r>
            <w:r w:rsidRPr="00B447C7">
              <w:rPr>
                <w:rStyle w:val="Examplein-textChar"/>
                <w:i/>
                <w:iCs w:val="0"/>
              </w:rPr>
              <w:t>[instruction to planners]</w:t>
            </w:r>
          </w:p>
        </w:tc>
      </w:tr>
    </w:tbl>
    <w:p w14:paraId="5E9AE210" w14:textId="77777777" w:rsidR="00A12C79" w:rsidRDefault="00A12C79" w:rsidP="006107EF">
      <w:pPr>
        <w:pStyle w:val="DELWPbodyafterbullets"/>
      </w:pPr>
    </w:p>
    <w:tbl>
      <w:tblPr>
        <w:tblStyle w:val="TableGrid"/>
        <w:tblW w:w="949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CCC" w:themeFill="accent5" w:themeFillTint="33"/>
        <w:tblLook w:val="04A0" w:firstRow="1" w:lastRow="0" w:firstColumn="1" w:lastColumn="0" w:noHBand="0" w:noVBand="1"/>
      </w:tblPr>
      <w:tblGrid>
        <w:gridCol w:w="859"/>
        <w:gridCol w:w="8639"/>
      </w:tblGrid>
      <w:tr w:rsidR="005B1A63" w:rsidRPr="00283E39" w14:paraId="30CA1B87" w14:textId="77777777" w:rsidTr="00212512">
        <w:trPr>
          <w:cnfStyle w:val="100000000000" w:firstRow="1" w:lastRow="0" w:firstColumn="0" w:lastColumn="0" w:oddVBand="0" w:evenVBand="0" w:oddHBand="0" w:evenHBand="0" w:firstRowFirstColumn="0" w:firstRowLastColumn="0" w:lastRowFirstColumn="0" w:lastRowLastColumn="0"/>
        </w:trPr>
        <w:tc>
          <w:tcPr>
            <w:tcW w:w="859" w:type="dxa"/>
            <w:shd w:val="clear" w:color="auto" w:fill="D9ECEA" w:themeFill="accent2"/>
            <w:vAlign w:val="top"/>
          </w:tcPr>
          <w:p w14:paraId="76DF650A" w14:textId="0563353F" w:rsidR="005B1A63" w:rsidRPr="00B447C7" w:rsidRDefault="005B1A63" w:rsidP="005B1A63">
            <w:pPr>
              <w:pStyle w:val="Symbol"/>
              <w:rPr>
                <w:i w:val="0"/>
                <w:iCs w:val="0"/>
              </w:rPr>
            </w:pPr>
            <w:r w:rsidRPr="00B447C7">
              <w:rPr>
                <w:i w:val="0"/>
                <w:iCs w:val="0"/>
              </w:rPr>
              <w:sym w:font="Wingdings" w:char="F0FB"/>
            </w:r>
          </w:p>
        </w:tc>
        <w:tc>
          <w:tcPr>
            <w:tcW w:w="8639" w:type="dxa"/>
            <w:shd w:val="clear" w:color="auto" w:fill="D9ECEA" w:themeFill="accent2"/>
          </w:tcPr>
          <w:p w14:paraId="733419AE" w14:textId="77777777" w:rsidR="005B1A63" w:rsidRPr="00B447C7" w:rsidRDefault="005B1A63" w:rsidP="005B1A63">
            <w:pPr>
              <w:pStyle w:val="Exampletext"/>
              <w:rPr>
                <w:i w:val="0"/>
                <w:iCs w:val="0"/>
              </w:rPr>
            </w:pPr>
            <w:r w:rsidRPr="00B447C7">
              <w:rPr>
                <w:i w:val="0"/>
                <w:iCs w:val="0"/>
              </w:rPr>
              <w:t>Demonstrate that commercial or industrial waste management practices, storage and disposal are carried out with a minimum of odour and noise disruption to nearby residential properties.</w:t>
            </w:r>
          </w:p>
        </w:tc>
      </w:tr>
      <w:tr w:rsidR="005B1A63" w:rsidRPr="003D397A" w14:paraId="38115CB0" w14:textId="77777777" w:rsidTr="00616E0A">
        <w:tc>
          <w:tcPr>
            <w:tcW w:w="859" w:type="dxa"/>
            <w:shd w:val="clear" w:color="auto" w:fill="D9ECEA" w:themeFill="accent2"/>
          </w:tcPr>
          <w:p w14:paraId="548ED27F" w14:textId="57677184" w:rsidR="005B1A63" w:rsidRPr="00B447C7" w:rsidRDefault="005B1A63" w:rsidP="005B1A63">
            <w:pPr>
              <w:pStyle w:val="Symbol"/>
              <w:rPr>
                <w:i w:val="0"/>
                <w:iCs w:val="0"/>
              </w:rPr>
            </w:pPr>
            <w:r w:rsidRPr="00B447C7">
              <w:rPr>
                <w:i w:val="0"/>
                <w:iCs w:val="0"/>
              </w:rPr>
              <w:sym w:font="Wingdings" w:char="F0FC"/>
            </w:r>
          </w:p>
        </w:tc>
        <w:tc>
          <w:tcPr>
            <w:tcW w:w="8639" w:type="dxa"/>
            <w:shd w:val="clear" w:color="auto" w:fill="D9ECEA" w:themeFill="accent2"/>
          </w:tcPr>
          <w:p w14:paraId="062E44C8" w14:textId="77777777" w:rsidR="005B1A63" w:rsidRPr="00B447C7" w:rsidRDefault="005B1A63" w:rsidP="005B1A63">
            <w:pPr>
              <w:pStyle w:val="Exampletext"/>
              <w:rPr>
                <w:i w:val="0"/>
                <w:iCs w:val="0"/>
              </w:rPr>
            </w:pPr>
            <w:r w:rsidRPr="00B447C7">
              <w:rPr>
                <w:i w:val="0"/>
                <w:iCs w:val="0"/>
              </w:rPr>
              <w:t>Minimise odour and noise disruption to nearby residential properties from commercial or industrial waste management practices, including storage and disposal.</w:t>
            </w:r>
          </w:p>
        </w:tc>
      </w:tr>
    </w:tbl>
    <w:p w14:paraId="0D1D8FFA" w14:textId="168F5E36" w:rsidR="00A12C79" w:rsidRPr="002C5E08" w:rsidRDefault="00A12C79" w:rsidP="002E55BC">
      <w:pPr>
        <w:pStyle w:val="DELWPbodyafterbullets"/>
        <w:rPr>
          <w:lang w:val="en-US"/>
        </w:rPr>
      </w:pPr>
      <w:r>
        <w:rPr>
          <w:lang w:val="en-US"/>
        </w:rPr>
        <w:t>In the example above, it is unclear w</w:t>
      </w:r>
      <w:r w:rsidRPr="007B187C">
        <w:rPr>
          <w:lang w:val="en-US"/>
        </w:rPr>
        <w:t xml:space="preserve">ho needs to demonstrate </w:t>
      </w:r>
      <w:r>
        <w:rPr>
          <w:lang w:val="en-US"/>
        </w:rPr>
        <w:t>that the policy has been met.</w:t>
      </w:r>
      <w:r w:rsidR="00D92C0F">
        <w:rPr>
          <w:lang w:val="en-US"/>
        </w:rPr>
        <w:t xml:space="preserve"> </w:t>
      </w:r>
      <w:r>
        <w:rPr>
          <w:lang w:val="en-US"/>
        </w:rPr>
        <w:t>In the first version, while it could be presumed that the instruction is for an applicant, it</w:t>
      </w:r>
      <w:r w:rsidRPr="007B187C">
        <w:rPr>
          <w:lang w:val="en-US"/>
        </w:rPr>
        <w:t xml:space="preserve"> could</w:t>
      </w:r>
      <w:r>
        <w:rPr>
          <w:lang w:val="en-US"/>
        </w:rPr>
        <w:t xml:space="preserve"> also</w:t>
      </w:r>
      <w:r w:rsidRPr="007B187C">
        <w:rPr>
          <w:lang w:val="en-US"/>
        </w:rPr>
        <w:t xml:space="preserve"> be read as if it puts the onus on the </w:t>
      </w:r>
      <w:r>
        <w:rPr>
          <w:lang w:val="en-US"/>
        </w:rPr>
        <w:t>responsible authority</w:t>
      </w:r>
      <w:r w:rsidRPr="007B187C">
        <w:rPr>
          <w:lang w:val="en-US"/>
        </w:rPr>
        <w:t>.</w:t>
      </w:r>
      <w:r w:rsidR="00D92C0F">
        <w:rPr>
          <w:lang w:val="en-US"/>
        </w:rPr>
        <w:t xml:space="preserve"> </w:t>
      </w:r>
      <w:r>
        <w:rPr>
          <w:lang w:val="en-US"/>
        </w:rPr>
        <w:t>The revision m</w:t>
      </w:r>
      <w:r w:rsidRPr="007B187C">
        <w:rPr>
          <w:lang w:val="en-US"/>
        </w:rPr>
        <w:t>ake</w:t>
      </w:r>
      <w:r>
        <w:rPr>
          <w:lang w:val="en-US"/>
        </w:rPr>
        <w:t>s</w:t>
      </w:r>
      <w:r w:rsidRPr="007B187C">
        <w:rPr>
          <w:lang w:val="en-US"/>
        </w:rPr>
        <w:t xml:space="preserve"> it apply</w:t>
      </w:r>
      <w:r>
        <w:rPr>
          <w:lang w:val="en-US"/>
        </w:rPr>
        <w:t xml:space="preserve"> evenly</w:t>
      </w:r>
      <w:r w:rsidRPr="007B187C">
        <w:rPr>
          <w:lang w:val="en-US"/>
        </w:rPr>
        <w:t xml:space="preserve"> to the whole audience of the polic</w:t>
      </w:r>
      <w:r>
        <w:rPr>
          <w:lang w:val="en-US"/>
        </w:rPr>
        <w:t>y, as a planning consideration</w:t>
      </w:r>
      <w:r w:rsidRPr="007B187C">
        <w:rPr>
          <w:lang w:val="en-US"/>
        </w:rPr>
        <w:t>.</w:t>
      </w:r>
    </w:p>
    <w:p w14:paraId="42291A99" w14:textId="77777777" w:rsidR="00A12C79" w:rsidRPr="001B56C6" w:rsidRDefault="00A12C79" w:rsidP="003D6FBF">
      <w:pPr>
        <w:pStyle w:val="Heading4"/>
      </w:pPr>
      <w:r>
        <w:t>Advocacy &amp; collaboration</w:t>
      </w:r>
    </w:p>
    <w:p w14:paraId="3DEE42F0" w14:textId="151DF3A5" w:rsidR="00A12C79" w:rsidRDefault="00A12C79" w:rsidP="002E55BC">
      <w:pPr>
        <w:pStyle w:val="DELWPbodyafterbullets"/>
        <w:rPr>
          <w:lang w:val="en-US"/>
        </w:rPr>
      </w:pPr>
      <w:r>
        <w:rPr>
          <w:lang w:val="en-US"/>
        </w:rPr>
        <w:t xml:space="preserve">Policy </w:t>
      </w:r>
      <w:r w:rsidRPr="00D05554">
        <w:t>cannot</w:t>
      </w:r>
      <w:r w:rsidRPr="00D143CE">
        <w:rPr>
          <w:lang w:val="en-US"/>
        </w:rPr>
        <w:t xml:space="preserve"> stipulat</w:t>
      </w:r>
      <w:r>
        <w:rPr>
          <w:lang w:val="en-US"/>
        </w:rPr>
        <w:t>e</w:t>
      </w:r>
      <w:r w:rsidRPr="00D143CE">
        <w:rPr>
          <w:lang w:val="en-US"/>
        </w:rPr>
        <w:t xml:space="preserve"> promotional</w:t>
      </w:r>
      <w:r>
        <w:rPr>
          <w:lang w:val="en-US"/>
        </w:rPr>
        <w:t xml:space="preserve"> or </w:t>
      </w:r>
      <w:r w:rsidRPr="00D143CE">
        <w:rPr>
          <w:lang w:val="en-US"/>
        </w:rPr>
        <w:t>collaborative actions</w:t>
      </w:r>
      <w:r>
        <w:rPr>
          <w:lang w:val="en-US"/>
        </w:rPr>
        <w:t>.</w:t>
      </w:r>
      <w:r w:rsidR="00D92C0F">
        <w:rPr>
          <w:lang w:val="en-US"/>
        </w:rPr>
        <w:t xml:space="preserve"> </w:t>
      </w:r>
      <w:r>
        <w:rPr>
          <w:lang w:val="en-US"/>
        </w:rPr>
        <w:t>This is beyond the scope</w:t>
      </w:r>
      <w:r w:rsidR="00FB0A45">
        <w:rPr>
          <w:lang w:val="en-US"/>
        </w:rPr>
        <w:t xml:space="preserve"> </w:t>
      </w:r>
      <w:r w:rsidR="00FB0A45" w:rsidRPr="00C847FB">
        <w:rPr>
          <w:lang w:val="en-US"/>
        </w:rPr>
        <w:t>of</w:t>
      </w:r>
      <w:r>
        <w:rPr>
          <w:lang w:val="en-US"/>
        </w:rPr>
        <w:t xml:space="preserve"> the planning scheme</w:t>
      </w:r>
      <w:r w:rsidR="00D05554">
        <w:rPr>
          <w:lang w:val="en-US"/>
        </w:rPr>
        <w:t>’s influence</w:t>
      </w:r>
      <w:r w:rsidR="000A2ABF">
        <w:rPr>
          <w:lang w:val="en-US"/>
        </w:rPr>
        <w:t>.</w:t>
      </w:r>
    </w:p>
    <w:tbl>
      <w:tblPr>
        <w:tblStyle w:val="TableGrid"/>
        <w:tblW w:w="949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CCC" w:themeFill="accent5" w:themeFillTint="33"/>
        <w:tblLook w:val="04A0" w:firstRow="1" w:lastRow="0" w:firstColumn="1" w:lastColumn="0" w:noHBand="0" w:noVBand="1"/>
      </w:tblPr>
      <w:tblGrid>
        <w:gridCol w:w="491"/>
        <w:gridCol w:w="9007"/>
      </w:tblGrid>
      <w:tr w:rsidR="00371853" w:rsidRPr="0035646D" w14:paraId="2F908476" w14:textId="77777777" w:rsidTr="00A75CA9">
        <w:trPr>
          <w:cnfStyle w:val="100000000000" w:firstRow="1" w:lastRow="0" w:firstColumn="0" w:lastColumn="0" w:oddVBand="0" w:evenVBand="0" w:oddHBand="0" w:evenHBand="0" w:firstRowFirstColumn="0" w:firstRowLastColumn="0" w:lastRowFirstColumn="0" w:lastRowLastColumn="0"/>
        </w:trPr>
        <w:tc>
          <w:tcPr>
            <w:tcW w:w="491" w:type="dxa"/>
            <w:shd w:val="clear" w:color="auto" w:fill="D9ECEA" w:themeFill="accent2"/>
          </w:tcPr>
          <w:p w14:paraId="788AC57B" w14:textId="5CE6CDB6" w:rsidR="00371853" w:rsidRPr="00B447C7" w:rsidRDefault="00371853" w:rsidP="00371853">
            <w:pPr>
              <w:pStyle w:val="Symbol"/>
              <w:rPr>
                <w:i w:val="0"/>
                <w:iCs w:val="0"/>
              </w:rPr>
            </w:pPr>
            <w:r w:rsidRPr="00B447C7">
              <w:rPr>
                <w:i w:val="0"/>
                <w:iCs w:val="0"/>
              </w:rPr>
              <w:sym w:font="Wingdings" w:char="F0FB"/>
            </w:r>
          </w:p>
        </w:tc>
        <w:tc>
          <w:tcPr>
            <w:tcW w:w="9007" w:type="dxa"/>
            <w:shd w:val="clear" w:color="auto" w:fill="D9ECEA" w:themeFill="accent2"/>
          </w:tcPr>
          <w:p w14:paraId="7EC6E6C8" w14:textId="77777777" w:rsidR="00371853" w:rsidRPr="00B447C7" w:rsidRDefault="00371853" w:rsidP="00371853">
            <w:pPr>
              <w:pStyle w:val="Exampletext"/>
              <w:rPr>
                <w:i w:val="0"/>
                <w:iCs w:val="0"/>
              </w:rPr>
            </w:pPr>
            <w:r w:rsidRPr="00B447C7">
              <w:rPr>
                <w:i w:val="0"/>
                <w:iCs w:val="0"/>
              </w:rPr>
              <w:t>Advocate for the protection of the environment.</w:t>
            </w:r>
          </w:p>
        </w:tc>
      </w:tr>
      <w:tr w:rsidR="00371853" w:rsidRPr="0035646D" w14:paraId="296C214D" w14:textId="77777777" w:rsidTr="00A75CA9">
        <w:tc>
          <w:tcPr>
            <w:tcW w:w="491" w:type="dxa"/>
            <w:shd w:val="clear" w:color="auto" w:fill="D9ECEA" w:themeFill="accent2"/>
          </w:tcPr>
          <w:p w14:paraId="56367BCE" w14:textId="6E796F3F" w:rsidR="00371853" w:rsidRPr="00B447C7" w:rsidRDefault="00371853" w:rsidP="00371853">
            <w:pPr>
              <w:pStyle w:val="Symbol"/>
              <w:rPr>
                <w:i w:val="0"/>
                <w:iCs w:val="0"/>
              </w:rPr>
            </w:pPr>
            <w:r w:rsidRPr="00B447C7">
              <w:rPr>
                <w:i w:val="0"/>
                <w:iCs w:val="0"/>
              </w:rPr>
              <w:sym w:font="Wingdings" w:char="F0FB"/>
            </w:r>
          </w:p>
        </w:tc>
        <w:tc>
          <w:tcPr>
            <w:tcW w:w="9007" w:type="dxa"/>
            <w:shd w:val="clear" w:color="auto" w:fill="D9ECEA" w:themeFill="accent2"/>
          </w:tcPr>
          <w:p w14:paraId="03387EFB" w14:textId="77777777" w:rsidR="00371853" w:rsidRPr="00B447C7" w:rsidRDefault="00371853" w:rsidP="00371853">
            <w:pPr>
              <w:pStyle w:val="Exampletext"/>
              <w:rPr>
                <w:i w:val="0"/>
                <w:iCs w:val="0"/>
              </w:rPr>
            </w:pPr>
            <w:r w:rsidRPr="00B447C7">
              <w:rPr>
                <w:i w:val="0"/>
                <w:iCs w:val="0"/>
              </w:rPr>
              <w:t>Work with the state government to develop a coordinated plan for the Gumnut corridor urban renewal precinct.</w:t>
            </w:r>
          </w:p>
        </w:tc>
      </w:tr>
    </w:tbl>
    <w:p w14:paraId="344650B5" w14:textId="77777777" w:rsidR="00A12C79" w:rsidRDefault="00A12C79" w:rsidP="003D6FBF">
      <w:pPr>
        <w:pStyle w:val="Heading4"/>
      </w:pPr>
      <w:r>
        <w:t>Procedures</w:t>
      </w:r>
    </w:p>
    <w:p w14:paraId="0892F00C" w14:textId="3918B2FF" w:rsidR="00A12C79" w:rsidRPr="00D143CE" w:rsidRDefault="00A12C79" w:rsidP="002E55BC">
      <w:pPr>
        <w:pStyle w:val="DELWPbodyafterbullets"/>
        <w:rPr>
          <w:lang w:val="en-US"/>
        </w:rPr>
      </w:pPr>
      <w:r w:rsidRPr="00D05554">
        <w:t>Procedures</w:t>
      </w:r>
      <w:r>
        <w:rPr>
          <w:lang w:val="en-US"/>
        </w:rPr>
        <w:t xml:space="preserve"> or future actions are not policy</w:t>
      </w:r>
      <w:r w:rsidRPr="00D143CE">
        <w:rPr>
          <w:lang w:val="en-US"/>
        </w:rPr>
        <w:t>.</w:t>
      </w:r>
      <w:r w:rsidR="00D92C0F">
        <w:rPr>
          <w:lang w:val="en-US"/>
        </w:rPr>
        <w:t xml:space="preserve"> </w:t>
      </w:r>
      <w:r w:rsidR="00A566F3">
        <w:rPr>
          <w:lang w:val="en-US"/>
        </w:rPr>
        <w:t>Do not use the PPF</w:t>
      </w:r>
      <w:r>
        <w:rPr>
          <w:lang w:val="en-US"/>
        </w:rPr>
        <w:t xml:space="preserve"> to </w:t>
      </w:r>
      <w:r w:rsidRPr="00D143CE">
        <w:rPr>
          <w:lang w:val="en-US"/>
        </w:rPr>
        <w:t>prescrib</w:t>
      </w:r>
      <w:r>
        <w:rPr>
          <w:lang w:val="en-US"/>
        </w:rPr>
        <w:t>e processes and actions.</w:t>
      </w:r>
    </w:p>
    <w:tbl>
      <w:tblPr>
        <w:tblStyle w:val="TableGrid"/>
        <w:tblW w:w="949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CCC" w:themeFill="accent5" w:themeFillTint="33"/>
        <w:tblLook w:val="04A0" w:firstRow="1" w:lastRow="0" w:firstColumn="1" w:lastColumn="0" w:noHBand="0" w:noVBand="1"/>
      </w:tblPr>
      <w:tblGrid>
        <w:gridCol w:w="491"/>
        <w:gridCol w:w="9007"/>
      </w:tblGrid>
      <w:tr w:rsidR="00371853" w:rsidRPr="0035646D" w14:paraId="042C566E" w14:textId="77777777" w:rsidTr="00915899">
        <w:trPr>
          <w:cnfStyle w:val="100000000000" w:firstRow="1" w:lastRow="0" w:firstColumn="0" w:lastColumn="0" w:oddVBand="0" w:evenVBand="0" w:oddHBand="0" w:evenHBand="0" w:firstRowFirstColumn="0" w:firstRowLastColumn="0" w:lastRowFirstColumn="0" w:lastRowLastColumn="0"/>
        </w:trPr>
        <w:tc>
          <w:tcPr>
            <w:tcW w:w="491" w:type="dxa"/>
            <w:shd w:val="clear" w:color="auto" w:fill="D9ECEA" w:themeFill="accent2"/>
            <w:vAlign w:val="top"/>
          </w:tcPr>
          <w:p w14:paraId="080FA9FF" w14:textId="695FEAEB" w:rsidR="00371853" w:rsidRPr="00B447C7" w:rsidRDefault="00371853" w:rsidP="00371853">
            <w:pPr>
              <w:pStyle w:val="Symbol"/>
              <w:rPr>
                <w:i w:val="0"/>
                <w:iCs w:val="0"/>
              </w:rPr>
            </w:pPr>
            <w:r w:rsidRPr="00B447C7">
              <w:rPr>
                <w:i w:val="0"/>
                <w:iCs w:val="0"/>
              </w:rPr>
              <w:lastRenderedPageBreak/>
              <w:sym w:font="Wingdings" w:char="F0FB"/>
            </w:r>
          </w:p>
        </w:tc>
        <w:tc>
          <w:tcPr>
            <w:tcW w:w="9007" w:type="dxa"/>
            <w:shd w:val="clear" w:color="auto" w:fill="D9ECEA" w:themeFill="accent2"/>
          </w:tcPr>
          <w:p w14:paraId="5BF94080" w14:textId="669239A8" w:rsidR="00371853" w:rsidRPr="00B447C7" w:rsidRDefault="00371853" w:rsidP="00371853">
            <w:pPr>
              <w:pStyle w:val="Exampletext"/>
              <w:rPr>
                <w:i w:val="0"/>
                <w:iCs w:val="0"/>
              </w:rPr>
            </w:pPr>
            <w:r w:rsidRPr="00B447C7">
              <w:rPr>
                <w:i w:val="0"/>
                <w:iCs w:val="0"/>
              </w:rPr>
              <w:t>Encourage appropriate assessment methods to achieve environmentally sustainable design outcomes.</w:t>
            </w:r>
          </w:p>
        </w:tc>
      </w:tr>
      <w:tr w:rsidR="00371853" w:rsidRPr="0035646D" w14:paraId="16148819" w14:textId="77777777" w:rsidTr="00A75CA9">
        <w:tc>
          <w:tcPr>
            <w:tcW w:w="491" w:type="dxa"/>
            <w:shd w:val="clear" w:color="auto" w:fill="D9ECEA" w:themeFill="accent2"/>
          </w:tcPr>
          <w:p w14:paraId="33FC6AF7" w14:textId="10DCC8E2" w:rsidR="00371853" w:rsidRPr="00B447C7" w:rsidRDefault="00371853" w:rsidP="00371853">
            <w:pPr>
              <w:pStyle w:val="Symbol"/>
              <w:rPr>
                <w:i w:val="0"/>
                <w:iCs w:val="0"/>
              </w:rPr>
            </w:pPr>
            <w:r w:rsidRPr="00B447C7">
              <w:rPr>
                <w:i w:val="0"/>
                <w:iCs w:val="0"/>
              </w:rPr>
              <w:sym w:font="Wingdings" w:char="F0FB"/>
            </w:r>
          </w:p>
        </w:tc>
        <w:tc>
          <w:tcPr>
            <w:tcW w:w="9007" w:type="dxa"/>
            <w:shd w:val="clear" w:color="auto" w:fill="D9ECEA" w:themeFill="accent2"/>
          </w:tcPr>
          <w:p w14:paraId="75A057A0" w14:textId="47B7C29E" w:rsidR="00371853" w:rsidRPr="00B447C7" w:rsidRDefault="00371853" w:rsidP="00371853">
            <w:pPr>
              <w:pStyle w:val="Exampletext"/>
              <w:rPr>
                <w:i w:val="0"/>
                <w:iCs w:val="0"/>
              </w:rPr>
            </w:pPr>
            <w:r w:rsidRPr="00B447C7">
              <w:rPr>
                <w:i w:val="0"/>
                <w:iCs w:val="0"/>
              </w:rPr>
              <w:t>Define a township boundary for all towns that identifies the current extent of the township and accommodates future growth.</w:t>
            </w:r>
          </w:p>
          <w:p w14:paraId="234E836C" w14:textId="77777777" w:rsidR="00371853" w:rsidRPr="00B447C7" w:rsidRDefault="00371853" w:rsidP="00371853">
            <w:pPr>
              <w:pStyle w:val="Exampletext"/>
              <w:rPr>
                <w:i w:val="0"/>
                <w:iCs w:val="0"/>
              </w:rPr>
            </w:pPr>
            <w:r w:rsidRPr="00B447C7">
              <w:rPr>
                <w:rStyle w:val="Examplein-textChar"/>
                <w:iCs w:val="0"/>
              </w:rPr>
              <w:t>[Further strategic work]</w:t>
            </w:r>
          </w:p>
        </w:tc>
      </w:tr>
    </w:tbl>
    <w:p w14:paraId="2CB5F3F6" w14:textId="741B531E" w:rsidR="00A12C79" w:rsidRPr="001B56C6" w:rsidRDefault="00C13104" w:rsidP="003D6FBF">
      <w:pPr>
        <w:pStyle w:val="Heading4"/>
      </w:pPr>
      <w:r>
        <w:t>W</w:t>
      </w:r>
      <w:r w:rsidR="00A12C79">
        <w:t>ord choice</w:t>
      </w:r>
    </w:p>
    <w:p w14:paraId="5B5CE5C7" w14:textId="17B50F38" w:rsidR="00A12C79" w:rsidRPr="00D05554" w:rsidRDefault="003C070D" w:rsidP="002E55BC">
      <w:pPr>
        <w:pStyle w:val="DELWPbodyafterbullets"/>
      </w:pPr>
      <w:r w:rsidRPr="009D6810">
        <w:t>Accurate</w:t>
      </w:r>
      <w:r w:rsidR="00A12C79" w:rsidRPr="00D05554">
        <w:t xml:space="preserve"> word choice is critical to providing clear direction.</w:t>
      </w:r>
      <w:r w:rsidR="00D92C0F">
        <w:t xml:space="preserve"> </w:t>
      </w:r>
      <w:r w:rsidR="00A12C79" w:rsidRPr="00D05554">
        <w:t>Be mindful when using terms such as:</w:t>
      </w:r>
    </w:p>
    <w:p w14:paraId="15E7F317" w14:textId="77777777" w:rsidR="00A12C79" w:rsidRPr="00D05554" w:rsidRDefault="00A12C79" w:rsidP="00371853">
      <w:pPr>
        <w:pStyle w:val="DELWPbullet1"/>
        <w:rPr>
          <w:lang w:val="en-US"/>
        </w:rPr>
      </w:pPr>
      <w:r w:rsidRPr="00D05554">
        <w:rPr>
          <w:lang w:val="en-US"/>
        </w:rPr>
        <w:t>Appropriate</w:t>
      </w:r>
    </w:p>
    <w:p w14:paraId="7E656D21" w14:textId="77777777" w:rsidR="00A12C79" w:rsidRPr="00D05554" w:rsidRDefault="00A12C79" w:rsidP="00371853">
      <w:pPr>
        <w:pStyle w:val="DELWPbullet1"/>
        <w:rPr>
          <w:lang w:val="en-US"/>
        </w:rPr>
      </w:pPr>
      <w:r w:rsidRPr="00D05554">
        <w:rPr>
          <w:lang w:val="en-US"/>
        </w:rPr>
        <w:t>Ensure</w:t>
      </w:r>
    </w:p>
    <w:p w14:paraId="14187889" w14:textId="77777777" w:rsidR="00A12C79" w:rsidRPr="00D05554" w:rsidRDefault="00A12C79" w:rsidP="00371853">
      <w:pPr>
        <w:pStyle w:val="DELWPbullet1"/>
        <w:rPr>
          <w:lang w:val="en-US"/>
        </w:rPr>
      </w:pPr>
      <w:r w:rsidRPr="00D05554">
        <w:rPr>
          <w:lang w:val="en-US"/>
        </w:rPr>
        <w:t>Best practice</w:t>
      </w:r>
    </w:p>
    <w:p w14:paraId="09D4E8D4" w14:textId="77777777" w:rsidR="00A12C79" w:rsidRPr="00D05554" w:rsidRDefault="00A12C79" w:rsidP="00371853">
      <w:pPr>
        <w:pStyle w:val="DELWPbullet1"/>
        <w:rPr>
          <w:lang w:val="en-US"/>
        </w:rPr>
      </w:pPr>
      <w:r w:rsidRPr="00D05554">
        <w:rPr>
          <w:lang w:val="en-US"/>
        </w:rPr>
        <w:t>Consider</w:t>
      </w:r>
    </w:p>
    <w:p w14:paraId="47F4C450" w14:textId="77777777" w:rsidR="00A12C79" w:rsidRPr="00D05554" w:rsidRDefault="00A12C79" w:rsidP="00371853">
      <w:pPr>
        <w:pStyle w:val="DELWPbullet1"/>
        <w:rPr>
          <w:lang w:val="en-US"/>
        </w:rPr>
      </w:pPr>
      <w:proofErr w:type="spellStart"/>
      <w:r w:rsidRPr="00D05554">
        <w:rPr>
          <w:lang w:val="en-US"/>
        </w:rPr>
        <w:t>Recognise</w:t>
      </w:r>
      <w:proofErr w:type="spellEnd"/>
    </w:p>
    <w:p w14:paraId="141C0CDA" w14:textId="77777777" w:rsidR="00A12C79" w:rsidRPr="00D05554" w:rsidRDefault="00A12C79" w:rsidP="00371853">
      <w:pPr>
        <w:pStyle w:val="DELWPbullet1"/>
        <w:rPr>
          <w:lang w:val="en-US"/>
        </w:rPr>
      </w:pPr>
      <w:r w:rsidRPr="00D05554">
        <w:rPr>
          <w:lang w:val="en-US"/>
        </w:rPr>
        <w:t>Acknowledge</w:t>
      </w:r>
    </w:p>
    <w:p w14:paraId="1325CE3B" w14:textId="77777777" w:rsidR="00A12C79" w:rsidRPr="00D05554" w:rsidRDefault="00A12C79" w:rsidP="00371853">
      <w:pPr>
        <w:pStyle w:val="DELWPbullet1"/>
        <w:rPr>
          <w:lang w:val="en-US"/>
        </w:rPr>
      </w:pPr>
      <w:r w:rsidRPr="00D05554">
        <w:rPr>
          <w:lang w:val="en-US"/>
        </w:rPr>
        <w:t>Which or that</w:t>
      </w:r>
    </w:p>
    <w:p w14:paraId="49630F62" w14:textId="4F406F82" w:rsidR="00A12C79" w:rsidRPr="00D05554" w:rsidRDefault="00A12C79" w:rsidP="00371853">
      <w:pPr>
        <w:pStyle w:val="DELWPbullet1"/>
        <w:rPr>
          <w:lang w:val="en-US"/>
        </w:rPr>
      </w:pPr>
      <w:r w:rsidRPr="00D05554">
        <w:rPr>
          <w:lang w:val="en-US"/>
        </w:rPr>
        <w:t>High quality</w:t>
      </w:r>
    </w:p>
    <w:p w14:paraId="6C8278C6" w14:textId="77777777" w:rsidR="008C5641" w:rsidRPr="008C5641" w:rsidRDefault="008C5641" w:rsidP="003D6FBF">
      <w:pPr>
        <w:pStyle w:val="Heading4"/>
      </w:pPr>
      <w:r w:rsidRPr="008C5641">
        <w:t>‘Appropriate’</w:t>
      </w:r>
    </w:p>
    <w:tbl>
      <w:tblPr>
        <w:tblStyle w:val="TableGrid"/>
        <w:tblW w:w="949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CCC" w:themeFill="accent5" w:themeFillTint="33"/>
        <w:tblLook w:val="04A0" w:firstRow="1" w:lastRow="0" w:firstColumn="1" w:lastColumn="0" w:noHBand="0" w:noVBand="1"/>
      </w:tblPr>
      <w:tblGrid>
        <w:gridCol w:w="578"/>
        <w:gridCol w:w="8920"/>
      </w:tblGrid>
      <w:tr w:rsidR="00C5146E" w:rsidRPr="00FC1CF6" w14:paraId="79A1BE50" w14:textId="77777777" w:rsidTr="00A75CA9">
        <w:trPr>
          <w:cnfStyle w:val="100000000000" w:firstRow="1" w:lastRow="0" w:firstColumn="0" w:lastColumn="0" w:oddVBand="0" w:evenVBand="0" w:oddHBand="0" w:evenHBand="0" w:firstRowFirstColumn="0" w:firstRowLastColumn="0" w:lastRowFirstColumn="0" w:lastRowLastColumn="0"/>
        </w:trPr>
        <w:tc>
          <w:tcPr>
            <w:tcW w:w="578" w:type="dxa"/>
            <w:shd w:val="clear" w:color="auto" w:fill="D9ECEA" w:themeFill="accent2"/>
          </w:tcPr>
          <w:p w14:paraId="298A4CD2" w14:textId="1FFAE547" w:rsidR="00C5146E" w:rsidRPr="00B447C7" w:rsidRDefault="00C5146E" w:rsidP="00C5146E">
            <w:pPr>
              <w:pStyle w:val="Symbol"/>
              <w:rPr>
                <w:i w:val="0"/>
                <w:iCs w:val="0"/>
              </w:rPr>
            </w:pPr>
            <w:r w:rsidRPr="00B447C7">
              <w:rPr>
                <w:i w:val="0"/>
                <w:iCs w:val="0"/>
              </w:rPr>
              <w:sym w:font="Wingdings" w:char="F0FB"/>
            </w:r>
          </w:p>
        </w:tc>
        <w:tc>
          <w:tcPr>
            <w:tcW w:w="8920" w:type="dxa"/>
            <w:shd w:val="clear" w:color="auto" w:fill="D9ECEA" w:themeFill="accent2"/>
          </w:tcPr>
          <w:p w14:paraId="39B1EB6E" w14:textId="77777777" w:rsidR="00C5146E" w:rsidRPr="00B447C7" w:rsidRDefault="00C5146E" w:rsidP="00C5146E">
            <w:pPr>
              <w:pStyle w:val="Exampletext"/>
              <w:rPr>
                <w:i w:val="0"/>
                <w:iCs w:val="0"/>
              </w:rPr>
            </w:pPr>
            <w:r w:rsidRPr="00B447C7">
              <w:rPr>
                <w:i w:val="0"/>
                <w:iCs w:val="0"/>
              </w:rPr>
              <w:t xml:space="preserve">Encourage </w:t>
            </w:r>
            <w:r w:rsidRPr="00B447C7">
              <w:rPr>
                <w:b/>
                <w:i w:val="0"/>
                <w:iCs w:val="0"/>
              </w:rPr>
              <w:t>appropriate</w:t>
            </w:r>
            <w:r w:rsidRPr="00B447C7">
              <w:rPr>
                <w:i w:val="0"/>
                <w:iCs w:val="0"/>
              </w:rPr>
              <w:t xml:space="preserve"> development in the Eucalyptus Way Precinct.</w:t>
            </w:r>
          </w:p>
        </w:tc>
      </w:tr>
      <w:tr w:rsidR="00A12C79" w:rsidRPr="00FC1CF6" w14:paraId="4F6B953A" w14:textId="77777777" w:rsidTr="00A75CA9">
        <w:tc>
          <w:tcPr>
            <w:tcW w:w="578" w:type="dxa"/>
            <w:shd w:val="clear" w:color="auto" w:fill="D9ECEA" w:themeFill="accent2"/>
          </w:tcPr>
          <w:p w14:paraId="4D0EFDB8" w14:textId="6F165618" w:rsidR="00A12C79" w:rsidRPr="00B447C7" w:rsidRDefault="00986B79" w:rsidP="000D4746">
            <w:pPr>
              <w:pStyle w:val="Symbol"/>
              <w:rPr>
                <w:i w:val="0"/>
                <w:iCs w:val="0"/>
              </w:rPr>
            </w:pPr>
            <w:r w:rsidRPr="00B447C7">
              <w:rPr>
                <w:i w:val="0"/>
                <w:iCs w:val="0"/>
              </w:rPr>
              <w:sym w:font="Wingdings" w:char="F0FC"/>
            </w:r>
          </w:p>
        </w:tc>
        <w:tc>
          <w:tcPr>
            <w:tcW w:w="8920" w:type="dxa"/>
            <w:shd w:val="clear" w:color="auto" w:fill="D9ECEA" w:themeFill="accent2"/>
          </w:tcPr>
          <w:p w14:paraId="53286305" w14:textId="10FAD6E1" w:rsidR="00A12C79" w:rsidRPr="00B447C7" w:rsidRDefault="00A12C79" w:rsidP="00092E73">
            <w:pPr>
              <w:pStyle w:val="Exampletext"/>
              <w:rPr>
                <w:i w:val="0"/>
                <w:iCs w:val="0"/>
              </w:rPr>
            </w:pPr>
            <w:r w:rsidRPr="00B447C7">
              <w:rPr>
                <w:i w:val="0"/>
                <w:iCs w:val="0"/>
              </w:rPr>
              <w:t xml:space="preserve">Encourage development of up to </w:t>
            </w:r>
            <w:r w:rsidR="001503DE" w:rsidRPr="00B447C7">
              <w:rPr>
                <w:i w:val="0"/>
                <w:iCs w:val="0"/>
              </w:rPr>
              <w:t>four</w:t>
            </w:r>
            <w:r w:rsidRPr="00B447C7">
              <w:rPr>
                <w:i w:val="0"/>
                <w:iCs w:val="0"/>
              </w:rPr>
              <w:t xml:space="preserve"> stories in the Eucalyptus Way Precinct.</w:t>
            </w:r>
          </w:p>
        </w:tc>
      </w:tr>
      <w:tr w:rsidR="00A12C79" w:rsidRPr="00F67E7F" w14:paraId="4FF16B66" w14:textId="77777777" w:rsidTr="00A75CA9">
        <w:tc>
          <w:tcPr>
            <w:tcW w:w="578" w:type="dxa"/>
            <w:shd w:val="clear" w:color="auto" w:fill="D9ECEA" w:themeFill="accent2"/>
          </w:tcPr>
          <w:p w14:paraId="6D48A6D0" w14:textId="55F6E97E" w:rsidR="00A12C79" w:rsidRPr="00B447C7" w:rsidRDefault="00986B79" w:rsidP="000D4746">
            <w:pPr>
              <w:pStyle w:val="Symbol"/>
              <w:rPr>
                <w:i w:val="0"/>
                <w:iCs w:val="0"/>
              </w:rPr>
            </w:pPr>
            <w:r w:rsidRPr="00B447C7">
              <w:rPr>
                <w:i w:val="0"/>
                <w:iCs w:val="0"/>
              </w:rPr>
              <w:sym w:font="Wingdings" w:char="F0FC"/>
            </w:r>
          </w:p>
        </w:tc>
        <w:tc>
          <w:tcPr>
            <w:tcW w:w="8920" w:type="dxa"/>
            <w:shd w:val="clear" w:color="auto" w:fill="D9ECEA" w:themeFill="accent2"/>
          </w:tcPr>
          <w:p w14:paraId="1734641D" w14:textId="77777777" w:rsidR="00A12C79" w:rsidRPr="00B447C7" w:rsidRDefault="00A12C79" w:rsidP="00092E73">
            <w:pPr>
              <w:pStyle w:val="Exampletext"/>
              <w:rPr>
                <w:i w:val="0"/>
                <w:iCs w:val="0"/>
              </w:rPr>
            </w:pPr>
            <w:r w:rsidRPr="00B447C7">
              <w:rPr>
                <w:i w:val="0"/>
                <w:iCs w:val="0"/>
              </w:rPr>
              <w:t>Set buildings fronting Eucalyptus Way back from the street frontage to allow for the planting of canopy trees.</w:t>
            </w:r>
          </w:p>
        </w:tc>
      </w:tr>
      <w:tr w:rsidR="00C5146E" w:rsidRPr="00F67E7F" w14:paraId="3B67A62E" w14:textId="77777777" w:rsidTr="00A75CA9">
        <w:tc>
          <w:tcPr>
            <w:tcW w:w="578" w:type="dxa"/>
            <w:shd w:val="clear" w:color="auto" w:fill="D9ECEA" w:themeFill="accent2"/>
          </w:tcPr>
          <w:p w14:paraId="7947059B" w14:textId="40FE9074" w:rsidR="00C5146E" w:rsidRPr="00B447C7" w:rsidRDefault="00C5146E" w:rsidP="00C5146E">
            <w:pPr>
              <w:pStyle w:val="Symbol"/>
              <w:rPr>
                <w:i w:val="0"/>
                <w:iCs w:val="0"/>
                <w:color w:val="00B1A8"/>
              </w:rPr>
            </w:pPr>
            <w:r w:rsidRPr="00B447C7">
              <w:rPr>
                <w:i w:val="0"/>
                <w:iCs w:val="0"/>
              </w:rPr>
              <w:sym w:font="Wingdings" w:char="F0FB"/>
            </w:r>
          </w:p>
        </w:tc>
        <w:tc>
          <w:tcPr>
            <w:tcW w:w="8920" w:type="dxa"/>
            <w:shd w:val="clear" w:color="auto" w:fill="D9ECEA" w:themeFill="accent2"/>
          </w:tcPr>
          <w:p w14:paraId="34AF128E" w14:textId="77777777" w:rsidR="00C5146E" w:rsidRPr="00B447C7" w:rsidRDefault="00C5146E" w:rsidP="00C5146E">
            <w:pPr>
              <w:pStyle w:val="Exampletext"/>
              <w:rPr>
                <w:i w:val="0"/>
                <w:iCs w:val="0"/>
              </w:rPr>
            </w:pPr>
            <w:r w:rsidRPr="00B447C7">
              <w:rPr>
                <w:i w:val="0"/>
                <w:iCs w:val="0"/>
              </w:rPr>
              <w:t>Ensure</w:t>
            </w:r>
            <w:r w:rsidRPr="00B447C7">
              <w:rPr>
                <w:i w:val="0"/>
                <w:iCs w:val="0"/>
                <w:lang w:val="en-US"/>
              </w:rPr>
              <w:t xml:space="preserve"> front fences and gates provide an </w:t>
            </w:r>
            <w:r w:rsidRPr="00B447C7">
              <w:rPr>
                <w:b/>
                <w:i w:val="0"/>
                <w:iCs w:val="0"/>
                <w:lang w:val="en-US"/>
              </w:rPr>
              <w:t>appropriate</w:t>
            </w:r>
            <w:r w:rsidRPr="00B447C7">
              <w:rPr>
                <w:i w:val="0"/>
                <w:iCs w:val="0"/>
                <w:lang w:val="en-US"/>
              </w:rPr>
              <w:t xml:space="preserve"> level of privacy and security.</w:t>
            </w:r>
          </w:p>
        </w:tc>
      </w:tr>
    </w:tbl>
    <w:p w14:paraId="125F0F53" w14:textId="77777777" w:rsidR="00A12C79" w:rsidRPr="00D05554" w:rsidRDefault="00A12C79" w:rsidP="002E55BC">
      <w:pPr>
        <w:pStyle w:val="DELWPbodyafterbullets"/>
      </w:pPr>
      <w:r w:rsidRPr="00D05554">
        <w:t>Avoid using vague adjectives such as ‘adequate’, ‘appropriate’ or ‘inappropriate’ in isolation of an explanation of what is adequate etc.</w:t>
      </w:r>
    </w:p>
    <w:p w14:paraId="6781E5F2" w14:textId="77777777" w:rsidR="008C5641" w:rsidRPr="008C5641" w:rsidRDefault="008C5641" w:rsidP="003D6FBF">
      <w:pPr>
        <w:pStyle w:val="Heading4"/>
      </w:pPr>
      <w:r w:rsidRPr="008C5641">
        <w:t>‘Ensure’</w:t>
      </w:r>
    </w:p>
    <w:tbl>
      <w:tblPr>
        <w:tblStyle w:val="TableGrid"/>
        <w:tblW w:w="949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CCC" w:themeFill="accent5" w:themeFillTint="33"/>
        <w:tblLook w:val="04A0" w:firstRow="1" w:lastRow="0" w:firstColumn="1" w:lastColumn="0" w:noHBand="0" w:noVBand="1"/>
      </w:tblPr>
      <w:tblGrid>
        <w:gridCol w:w="567"/>
        <w:gridCol w:w="8931"/>
      </w:tblGrid>
      <w:tr w:rsidR="00736FDB" w:rsidRPr="00FC1CF6" w14:paraId="7832AAF2" w14:textId="77777777" w:rsidTr="00915899">
        <w:trPr>
          <w:cnfStyle w:val="100000000000" w:firstRow="1" w:lastRow="0" w:firstColumn="0" w:lastColumn="0" w:oddVBand="0" w:evenVBand="0" w:oddHBand="0" w:evenHBand="0" w:firstRowFirstColumn="0" w:firstRowLastColumn="0" w:lastRowFirstColumn="0" w:lastRowLastColumn="0"/>
        </w:trPr>
        <w:tc>
          <w:tcPr>
            <w:tcW w:w="567" w:type="dxa"/>
            <w:shd w:val="clear" w:color="auto" w:fill="D9ECEA" w:themeFill="accent2"/>
            <w:vAlign w:val="top"/>
          </w:tcPr>
          <w:p w14:paraId="621539DB" w14:textId="4D3ED98E" w:rsidR="00736FDB" w:rsidRPr="00B447C7" w:rsidRDefault="00736FDB" w:rsidP="00736FDB">
            <w:pPr>
              <w:pStyle w:val="Symbol"/>
              <w:rPr>
                <w:i w:val="0"/>
                <w:iCs w:val="0"/>
              </w:rPr>
            </w:pPr>
            <w:r w:rsidRPr="00B447C7">
              <w:rPr>
                <w:i w:val="0"/>
                <w:iCs w:val="0"/>
              </w:rPr>
              <w:sym w:font="Wingdings" w:char="F0FB"/>
            </w:r>
          </w:p>
        </w:tc>
        <w:tc>
          <w:tcPr>
            <w:tcW w:w="8931" w:type="dxa"/>
            <w:shd w:val="clear" w:color="auto" w:fill="D9ECEA" w:themeFill="accent2"/>
          </w:tcPr>
          <w:p w14:paraId="63596989" w14:textId="77777777" w:rsidR="00736FDB" w:rsidRPr="00B447C7" w:rsidRDefault="00736FDB" w:rsidP="00736FDB">
            <w:pPr>
              <w:pStyle w:val="Exampletext"/>
              <w:rPr>
                <w:i w:val="0"/>
                <w:iCs w:val="0"/>
              </w:rPr>
            </w:pPr>
            <w:r w:rsidRPr="00B447C7">
              <w:rPr>
                <w:i w:val="0"/>
                <w:iCs w:val="0"/>
              </w:rPr>
              <w:t>Ensure non-residential uses do not cause amenity impacts to adjoining and nearby dwellings.</w:t>
            </w:r>
          </w:p>
        </w:tc>
      </w:tr>
      <w:tr w:rsidR="00736FDB" w:rsidRPr="00FC1CF6" w14:paraId="2A7E8EDC" w14:textId="77777777" w:rsidTr="00A75CA9">
        <w:tc>
          <w:tcPr>
            <w:tcW w:w="567" w:type="dxa"/>
            <w:shd w:val="clear" w:color="auto" w:fill="D9ECEA" w:themeFill="accent2"/>
          </w:tcPr>
          <w:p w14:paraId="4AD5019F" w14:textId="250A1091" w:rsidR="00736FDB" w:rsidRPr="00B447C7" w:rsidRDefault="00986B79" w:rsidP="00736FDB">
            <w:pPr>
              <w:pStyle w:val="Symbol"/>
              <w:rPr>
                <w:i w:val="0"/>
                <w:iCs w:val="0"/>
              </w:rPr>
            </w:pPr>
            <w:r w:rsidRPr="00B447C7">
              <w:rPr>
                <w:i w:val="0"/>
                <w:iCs w:val="0"/>
              </w:rPr>
              <w:sym w:font="Wingdings" w:char="F0FC"/>
            </w:r>
          </w:p>
        </w:tc>
        <w:tc>
          <w:tcPr>
            <w:tcW w:w="8931" w:type="dxa"/>
            <w:shd w:val="clear" w:color="auto" w:fill="D9ECEA" w:themeFill="accent2"/>
          </w:tcPr>
          <w:p w14:paraId="68AC0667" w14:textId="77777777" w:rsidR="00736FDB" w:rsidRPr="00B447C7" w:rsidRDefault="00736FDB" w:rsidP="00736FDB">
            <w:pPr>
              <w:pStyle w:val="Exampletext"/>
              <w:rPr>
                <w:i w:val="0"/>
                <w:iCs w:val="0"/>
              </w:rPr>
            </w:pPr>
            <w:r w:rsidRPr="00B447C7">
              <w:rPr>
                <w:i w:val="0"/>
                <w:iCs w:val="0"/>
              </w:rPr>
              <w:t>Minimise impacts from non-residential uses on the amenity of adjoining and nearby dwellings.</w:t>
            </w:r>
          </w:p>
        </w:tc>
      </w:tr>
      <w:tr w:rsidR="00736FDB" w:rsidRPr="00F67E7F" w14:paraId="6A1DCFC2" w14:textId="77777777" w:rsidTr="00A75CA9">
        <w:tc>
          <w:tcPr>
            <w:tcW w:w="567" w:type="dxa"/>
            <w:shd w:val="clear" w:color="auto" w:fill="D9ECEA" w:themeFill="accent2"/>
          </w:tcPr>
          <w:p w14:paraId="543B67E9" w14:textId="47373C5F" w:rsidR="00736FDB" w:rsidRPr="00B447C7" w:rsidRDefault="00986B79" w:rsidP="00736FDB">
            <w:pPr>
              <w:pStyle w:val="Symbol"/>
              <w:rPr>
                <w:i w:val="0"/>
                <w:iCs w:val="0"/>
              </w:rPr>
            </w:pPr>
            <w:r w:rsidRPr="00B447C7">
              <w:rPr>
                <w:i w:val="0"/>
                <w:iCs w:val="0"/>
              </w:rPr>
              <w:sym w:font="Wingdings" w:char="F0FC"/>
            </w:r>
          </w:p>
        </w:tc>
        <w:tc>
          <w:tcPr>
            <w:tcW w:w="8931" w:type="dxa"/>
            <w:shd w:val="clear" w:color="auto" w:fill="D9ECEA" w:themeFill="accent2"/>
          </w:tcPr>
          <w:p w14:paraId="060E3542" w14:textId="77777777" w:rsidR="00736FDB" w:rsidRPr="00B447C7" w:rsidRDefault="00736FDB" w:rsidP="00736FDB">
            <w:pPr>
              <w:pStyle w:val="Exampletext"/>
              <w:rPr>
                <w:i w:val="0"/>
                <w:iCs w:val="0"/>
              </w:rPr>
            </w:pPr>
            <w:r w:rsidRPr="00B447C7">
              <w:rPr>
                <w:i w:val="0"/>
                <w:iCs w:val="0"/>
              </w:rPr>
              <w:t>Ensure all areas for waste collection facilities are screened from the street and adjoining residential properties.</w:t>
            </w:r>
          </w:p>
        </w:tc>
      </w:tr>
    </w:tbl>
    <w:p w14:paraId="14B83AD1" w14:textId="0FDF0197" w:rsidR="00A12C79" w:rsidRPr="00D05554" w:rsidRDefault="00A12C79" w:rsidP="002E55BC">
      <w:pPr>
        <w:pStyle w:val="DELWPbodyafterbullets"/>
      </w:pPr>
      <w:r w:rsidRPr="00D05554">
        <w:t xml:space="preserve">Be careful with the term ‘ensure’ </w:t>
      </w:r>
      <w:r w:rsidR="0049175B" w:rsidRPr="0049175B">
        <w:t>–</w:t>
      </w:r>
      <w:r w:rsidRPr="00D05554">
        <w:t xml:space="preserve"> only use the term when the outcome can be ensured.</w:t>
      </w:r>
    </w:p>
    <w:p w14:paraId="6901B4A9" w14:textId="77777777" w:rsidR="008C5641" w:rsidRPr="008C5641" w:rsidRDefault="008C5641" w:rsidP="003D6FBF">
      <w:pPr>
        <w:pStyle w:val="Heading4"/>
      </w:pPr>
      <w:r w:rsidRPr="008C5641">
        <w:lastRenderedPageBreak/>
        <w:t>‘Best practice’</w:t>
      </w:r>
    </w:p>
    <w:p w14:paraId="5E2AFB12" w14:textId="3A2365D7" w:rsidR="000A2ABF" w:rsidRDefault="00A12C79" w:rsidP="002E55BC">
      <w:pPr>
        <w:pStyle w:val="DELWPbodyafterbullets"/>
      </w:pPr>
      <w:r w:rsidRPr="00D05554">
        <w:t>‘Best practice’ distinguishes a method or technique that has consistently shown results superior to those achieved by other means.</w:t>
      </w:r>
      <w:r w:rsidR="00D92C0F">
        <w:t xml:space="preserve"> </w:t>
      </w:r>
      <w:r w:rsidRPr="00D05554">
        <w:t>It is used as a benchmark.</w:t>
      </w:r>
      <w:r w:rsidR="00D92C0F">
        <w:t xml:space="preserve"> </w:t>
      </w:r>
      <w:r w:rsidRPr="00D05554">
        <w:t>Avoid using the term unless a best practice has been suitably established and is properly understood and articulated in the planning system.</w:t>
      </w:r>
    </w:p>
    <w:p w14:paraId="7AB528A2" w14:textId="7B06AB1D" w:rsidR="00A12C79" w:rsidRPr="00D05554" w:rsidRDefault="000A2ABF" w:rsidP="002E55BC">
      <w:pPr>
        <w:pStyle w:val="DELWPbodyafterbullets"/>
      </w:pPr>
      <w:bookmarkStart w:id="303" w:name="_Hlk33445720"/>
      <w:r>
        <w:t>In policy, it is more useful to simply set out what is sought to be achieved, whether best practice or otherwise.</w:t>
      </w:r>
      <w:r w:rsidR="00D92C0F">
        <w:t xml:space="preserve"> </w:t>
      </w:r>
      <w:r>
        <w:t>This leaves a reader in no doubt about</w:t>
      </w:r>
      <w:r w:rsidR="009B6370">
        <w:t xml:space="preserve"> the outcome being sought.</w:t>
      </w:r>
    </w:p>
    <w:bookmarkEnd w:id="303"/>
    <w:p w14:paraId="3B5B2621" w14:textId="77777777" w:rsidR="008C5641" w:rsidRPr="008C5641" w:rsidRDefault="008C5641" w:rsidP="003D6FBF">
      <w:pPr>
        <w:pStyle w:val="Heading4"/>
      </w:pPr>
      <w:r w:rsidRPr="008C5641">
        <w:t>‘Consider’, ‘Recognise’ and ‘Acknowledge’</w:t>
      </w:r>
    </w:p>
    <w:tbl>
      <w:tblPr>
        <w:tblStyle w:val="TableGrid"/>
        <w:tblW w:w="949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CCC" w:themeFill="accent5" w:themeFillTint="33"/>
        <w:tblLook w:val="04A0" w:firstRow="1" w:lastRow="0" w:firstColumn="1" w:lastColumn="0" w:noHBand="0" w:noVBand="1"/>
      </w:tblPr>
      <w:tblGrid>
        <w:gridCol w:w="567"/>
        <w:gridCol w:w="8931"/>
      </w:tblGrid>
      <w:tr w:rsidR="00736FDB" w:rsidRPr="00FC1CF6" w14:paraId="0F1A1F96" w14:textId="77777777" w:rsidTr="00A75CA9">
        <w:trPr>
          <w:cnfStyle w:val="100000000000" w:firstRow="1" w:lastRow="0" w:firstColumn="0" w:lastColumn="0" w:oddVBand="0" w:evenVBand="0" w:oddHBand="0" w:evenHBand="0" w:firstRowFirstColumn="0" w:firstRowLastColumn="0" w:lastRowFirstColumn="0" w:lastRowLastColumn="0"/>
        </w:trPr>
        <w:tc>
          <w:tcPr>
            <w:tcW w:w="567" w:type="dxa"/>
            <w:shd w:val="clear" w:color="auto" w:fill="D9ECEA" w:themeFill="accent2"/>
          </w:tcPr>
          <w:p w14:paraId="4A74373F" w14:textId="70BB3F6D" w:rsidR="00736FDB" w:rsidRPr="00B447C7" w:rsidRDefault="00736FDB" w:rsidP="00736FDB">
            <w:pPr>
              <w:pStyle w:val="Symbol"/>
              <w:rPr>
                <w:i w:val="0"/>
                <w:iCs w:val="0"/>
              </w:rPr>
            </w:pPr>
            <w:r w:rsidRPr="00B447C7">
              <w:rPr>
                <w:i w:val="0"/>
                <w:iCs w:val="0"/>
              </w:rPr>
              <w:sym w:font="Wingdings" w:char="F0FB"/>
            </w:r>
          </w:p>
        </w:tc>
        <w:tc>
          <w:tcPr>
            <w:tcW w:w="8931" w:type="dxa"/>
            <w:shd w:val="clear" w:color="auto" w:fill="D9ECEA" w:themeFill="accent2"/>
          </w:tcPr>
          <w:p w14:paraId="677859CE" w14:textId="537C91F0" w:rsidR="00736FDB" w:rsidRPr="00B447C7" w:rsidRDefault="00736FDB" w:rsidP="00736FDB">
            <w:pPr>
              <w:pStyle w:val="Exampletext"/>
              <w:rPr>
                <w:i w:val="0"/>
                <w:iCs w:val="0"/>
              </w:rPr>
            </w:pPr>
            <w:r w:rsidRPr="00B447C7">
              <w:rPr>
                <w:b/>
                <w:i w:val="0"/>
                <w:iCs w:val="0"/>
              </w:rPr>
              <w:t>Recognise</w:t>
            </w:r>
            <w:r w:rsidRPr="00B447C7">
              <w:rPr>
                <w:i w:val="0"/>
                <w:iCs w:val="0"/>
              </w:rPr>
              <w:t xml:space="preserve"> the existing character of Sugarplum Boulevard.</w:t>
            </w:r>
          </w:p>
        </w:tc>
      </w:tr>
      <w:tr w:rsidR="00A12C79" w:rsidRPr="00FC1CF6" w14:paraId="72348870" w14:textId="77777777" w:rsidTr="00A75CA9">
        <w:tc>
          <w:tcPr>
            <w:tcW w:w="567" w:type="dxa"/>
            <w:shd w:val="clear" w:color="auto" w:fill="D9ECEA" w:themeFill="accent2"/>
          </w:tcPr>
          <w:p w14:paraId="783A789C" w14:textId="2DEB8F42" w:rsidR="00A12C79" w:rsidRPr="00B447C7" w:rsidRDefault="00986B79" w:rsidP="000D4746">
            <w:pPr>
              <w:pStyle w:val="Symbol"/>
              <w:rPr>
                <w:i w:val="0"/>
                <w:iCs w:val="0"/>
              </w:rPr>
            </w:pPr>
            <w:r w:rsidRPr="00B447C7">
              <w:rPr>
                <w:i w:val="0"/>
                <w:iCs w:val="0"/>
              </w:rPr>
              <w:sym w:font="Wingdings" w:char="F0FC"/>
            </w:r>
          </w:p>
        </w:tc>
        <w:tc>
          <w:tcPr>
            <w:tcW w:w="8931" w:type="dxa"/>
            <w:shd w:val="clear" w:color="auto" w:fill="D9ECEA" w:themeFill="accent2"/>
          </w:tcPr>
          <w:p w14:paraId="7631DE92" w14:textId="7F9CC817" w:rsidR="00A12C79" w:rsidRPr="00B447C7" w:rsidRDefault="00A12C79" w:rsidP="00092E73">
            <w:pPr>
              <w:pStyle w:val="Exampletext"/>
              <w:rPr>
                <w:i w:val="0"/>
                <w:iCs w:val="0"/>
              </w:rPr>
            </w:pPr>
            <w:r w:rsidRPr="00B447C7">
              <w:rPr>
                <w:i w:val="0"/>
                <w:iCs w:val="0"/>
              </w:rPr>
              <w:t>Support development that respects the existing</w:t>
            </w:r>
            <w:r w:rsidR="007619A4" w:rsidRPr="00B447C7">
              <w:rPr>
                <w:i w:val="0"/>
                <w:iCs w:val="0"/>
              </w:rPr>
              <w:t xml:space="preserve"> low-scale, uniform</w:t>
            </w:r>
            <w:r w:rsidRPr="00B447C7">
              <w:rPr>
                <w:i w:val="0"/>
                <w:iCs w:val="0"/>
              </w:rPr>
              <w:t xml:space="preserve"> character of Sugarplum Boulevard.</w:t>
            </w:r>
          </w:p>
        </w:tc>
      </w:tr>
    </w:tbl>
    <w:p w14:paraId="7BC43664" w14:textId="31678746" w:rsidR="0051483A" w:rsidRPr="00102FA3" w:rsidRDefault="0051483A" w:rsidP="00A75CA9">
      <w:pPr>
        <w:pStyle w:val="DELWPbodyafterbullets"/>
      </w:pPr>
    </w:p>
    <w:tbl>
      <w:tblPr>
        <w:tblStyle w:val="TableGrid"/>
        <w:tblW w:w="949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931"/>
      </w:tblGrid>
      <w:tr w:rsidR="00736FDB" w:rsidRPr="00FC1CF6" w14:paraId="2F53558A" w14:textId="77777777" w:rsidTr="00915899">
        <w:trPr>
          <w:cnfStyle w:val="100000000000" w:firstRow="1" w:lastRow="0" w:firstColumn="0" w:lastColumn="0" w:oddVBand="0" w:evenVBand="0" w:oddHBand="0" w:evenHBand="0" w:firstRowFirstColumn="0" w:firstRowLastColumn="0" w:lastRowFirstColumn="0" w:lastRowLastColumn="0"/>
        </w:trPr>
        <w:tc>
          <w:tcPr>
            <w:tcW w:w="567" w:type="dxa"/>
            <w:shd w:val="clear" w:color="auto" w:fill="D9ECEA" w:themeFill="accent2"/>
            <w:vAlign w:val="top"/>
          </w:tcPr>
          <w:p w14:paraId="3BBB9D24" w14:textId="126ED8D5" w:rsidR="00736FDB" w:rsidRPr="00B447C7" w:rsidRDefault="00736FDB" w:rsidP="00736FDB">
            <w:pPr>
              <w:pStyle w:val="Symbol"/>
              <w:rPr>
                <w:i w:val="0"/>
                <w:iCs w:val="0"/>
              </w:rPr>
            </w:pPr>
            <w:bookmarkStart w:id="304" w:name="_Hlk33614285"/>
            <w:r w:rsidRPr="00B447C7">
              <w:rPr>
                <w:i w:val="0"/>
                <w:iCs w:val="0"/>
              </w:rPr>
              <w:sym w:font="Wingdings" w:char="F0FB"/>
            </w:r>
          </w:p>
        </w:tc>
        <w:tc>
          <w:tcPr>
            <w:tcW w:w="8931" w:type="dxa"/>
            <w:shd w:val="clear" w:color="auto" w:fill="D9ECEA" w:themeFill="accent2"/>
          </w:tcPr>
          <w:p w14:paraId="27883483" w14:textId="14337BD8" w:rsidR="00736FDB" w:rsidRPr="00B447C7" w:rsidRDefault="00736FDB" w:rsidP="00736FDB">
            <w:pPr>
              <w:pStyle w:val="Exampletext"/>
              <w:rPr>
                <w:i w:val="0"/>
                <w:iCs w:val="0"/>
              </w:rPr>
            </w:pPr>
            <w:r w:rsidRPr="00B447C7">
              <w:rPr>
                <w:b/>
                <w:i w:val="0"/>
                <w:iCs w:val="0"/>
              </w:rPr>
              <w:t>Consider</w:t>
            </w:r>
            <w:r w:rsidRPr="00B447C7">
              <w:rPr>
                <w:i w:val="0"/>
                <w:iCs w:val="0"/>
              </w:rPr>
              <w:t xml:space="preserve"> whether there is a need to consolidate land in the same ownership if it is considered that the consolidation would facilitate the productive use of rural land.</w:t>
            </w:r>
          </w:p>
        </w:tc>
      </w:tr>
      <w:tr w:rsidR="00736FDB" w:rsidRPr="00FC1CF6" w14:paraId="01ACADFD" w14:textId="77777777" w:rsidTr="00A75CA9">
        <w:tc>
          <w:tcPr>
            <w:tcW w:w="567" w:type="dxa"/>
            <w:shd w:val="clear" w:color="auto" w:fill="D9ECEA" w:themeFill="accent2"/>
          </w:tcPr>
          <w:p w14:paraId="2B0561B5" w14:textId="57D1A539" w:rsidR="00736FDB" w:rsidRPr="00B447C7" w:rsidRDefault="00986B79" w:rsidP="00736FDB">
            <w:pPr>
              <w:pStyle w:val="Symbol"/>
              <w:rPr>
                <w:i w:val="0"/>
                <w:iCs w:val="0"/>
              </w:rPr>
            </w:pPr>
            <w:r w:rsidRPr="00B447C7">
              <w:rPr>
                <w:i w:val="0"/>
                <w:iCs w:val="0"/>
              </w:rPr>
              <w:sym w:font="Wingdings" w:char="F0FC"/>
            </w:r>
          </w:p>
        </w:tc>
        <w:tc>
          <w:tcPr>
            <w:tcW w:w="8931" w:type="dxa"/>
            <w:shd w:val="clear" w:color="auto" w:fill="D9ECEA" w:themeFill="accent2"/>
          </w:tcPr>
          <w:p w14:paraId="088216AD" w14:textId="0ED39FCE" w:rsidR="00736FDB" w:rsidRPr="00B447C7" w:rsidRDefault="00736FDB" w:rsidP="00736FDB">
            <w:pPr>
              <w:pStyle w:val="Exampletext"/>
              <w:rPr>
                <w:i w:val="0"/>
                <w:iCs w:val="0"/>
              </w:rPr>
            </w:pPr>
            <w:r w:rsidRPr="00B447C7">
              <w:rPr>
                <w:i w:val="0"/>
                <w:iCs w:val="0"/>
              </w:rPr>
              <w:t>Encourage the consolidation of land in the same ownership if the consolidation would facilitate the productive use of rural land.</w:t>
            </w:r>
          </w:p>
        </w:tc>
      </w:tr>
    </w:tbl>
    <w:bookmarkEnd w:id="304"/>
    <w:p w14:paraId="64632533" w14:textId="47ABE81B" w:rsidR="00A12C79" w:rsidRPr="00D05554" w:rsidRDefault="00A12C79" w:rsidP="00092E73">
      <w:pPr>
        <w:pStyle w:val="DELWPbodyafterbullets"/>
      </w:pPr>
      <w:r w:rsidRPr="00D05554">
        <w:t>Use more directive wording in place of terms like ‘consider’, ‘recognise’ or ‘acknowledge’, which are open to misinterpretation and give little guidance.</w:t>
      </w:r>
    </w:p>
    <w:p w14:paraId="04B56B3D" w14:textId="77777777" w:rsidR="008C5641" w:rsidRPr="008C5641" w:rsidRDefault="008C5641" w:rsidP="003D6FBF">
      <w:pPr>
        <w:pStyle w:val="Heading4"/>
      </w:pPr>
      <w:bookmarkStart w:id="305" w:name="_Hlk31888756"/>
      <w:r w:rsidRPr="008C5641">
        <w:t>‘Which’ or ‘That’</w:t>
      </w:r>
    </w:p>
    <w:tbl>
      <w:tblPr>
        <w:tblStyle w:val="TableGrid"/>
        <w:tblW w:w="949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CCC" w:themeFill="accent5" w:themeFillTint="33"/>
        <w:tblLook w:val="04A0" w:firstRow="1" w:lastRow="0" w:firstColumn="1" w:lastColumn="0" w:noHBand="0" w:noVBand="1"/>
      </w:tblPr>
      <w:tblGrid>
        <w:gridCol w:w="567"/>
        <w:gridCol w:w="8931"/>
      </w:tblGrid>
      <w:tr w:rsidR="00736FDB" w:rsidRPr="00FC1CF6" w14:paraId="2C5FBA0C" w14:textId="77777777" w:rsidTr="00A75CA9">
        <w:trPr>
          <w:cnfStyle w:val="100000000000" w:firstRow="1" w:lastRow="0" w:firstColumn="0" w:lastColumn="0" w:oddVBand="0" w:evenVBand="0" w:oddHBand="0" w:evenHBand="0" w:firstRowFirstColumn="0" w:firstRowLastColumn="0" w:lastRowFirstColumn="0" w:lastRowLastColumn="0"/>
        </w:trPr>
        <w:tc>
          <w:tcPr>
            <w:tcW w:w="567" w:type="dxa"/>
            <w:shd w:val="clear" w:color="auto" w:fill="D9ECEA" w:themeFill="accent2"/>
          </w:tcPr>
          <w:p w14:paraId="3200DA50" w14:textId="57CEDC7F" w:rsidR="00736FDB" w:rsidRPr="00B447C7" w:rsidRDefault="00736FDB" w:rsidP="00736FDB">
            <w:pPr>
              <w:pStyle w:val="Symbol"/>
              <w:rPr>
                <w:i w:val="0"/>
                <w:iCs w:val="0"/>
              </w:rPr>
            </w:pPr>
            <w:r w:rsidRPr="00B447C7">
              <w:rPr>
                <w:i w:val="0"/>
                <w:iCs w:val="0"/>
              </w:rPr>
              <w:sym w:font="Wingdings" w:char="F0FB"/>
            </w:r>
          </w:p>
        </w:tc>
        <w:tc>
          <w:tcPr>
            <w:tcW w:w="8931" w:type="dxa"/>
            <w:shd w:val="clear" w:color="auto" w:fill="D9ECEA" w:themeFill="accent2"/>
          </w:tcPr>
          <w:p w14:paraId="65C4077A" w14:textId="77777777" w:rsidR="00736FDB" w:rsidRPr="00B447C7" w:rsidRDefault="00736FDB" w:rsidP="00736FDB">
            <w:pPr>
              <w:pStyle w:val="Exampletext"/>
              <w:rPr>
                <w:i w:val="0"/>
                <w:iCs w:val="0"/>
              </w:rPr>
            </w:pPr>
            <w:r w:rsidRPr="00B447C7">
              <w:rPr>
                <w:i w:val="0"/>
                <w:iCs w:val="0"/>
              </w:rPr>
              <w:t xml:space="preserve">Discourage signs </w:t>
            </w:r>
            <w:r w:rsidRPr="00B447C7">
              <w:rPr>
                <w:b/>
                <w:bCs/>
                <w:i w:val="0"/>
                <w:iCs w:val="0"/>
                <w:u w:val="single"/>
              </w:rPr>
              <w:t>which</w:t>
            </w:r>
            <w:r w:rsidRPr="00B447C7">
              <w:rPr>
                <w:i w:val="0"/>
                <w:iCs w:val="0"/>
              </w:rPr>
              <w:t xml:space="preserve"> obscure major view lines.</w:t>
            </w:r>
          </w:p>
        </w:tc>
      </w:tr>
      <w:tr w:rsidR="00736FDB" w:rsidRPr="00FC1CF6" w14:paraId="4F64885A" w14:textId="77777777" w:rsidTr="00A75CA9">
        <w:tc>
          <w:tcPr>
            <w:tcW w:w="567" w:type="dxa"/>
            <w:shd w:val="clear" w:color="auto" w:fill="D9ECEA" w:themeFill="accent2"/>
          </w:tcPr>
          <w:p w14:paraId="6F713952" w14:textId="6D51C799" w:rsidR="00736FDB" w:rsidRPr="00B447C7" w:rsidRDefault="00986B79" w:rsidP="00736FDB">
            <w:pPr>
              <w:pStyle w:val="Symbol"/>
              <w:rPr>
                <w:i w:val="0"/>
                <w:iCs w:val="0"/>
              </w:rPr>
            </w:pPr>
            <w:r w:rsidRPr="00B447C7">
              <w:rPr>
                <w:i w:val="0"/>
                <w:iCs w:val="0"/>
              </w:rPr>
              <w:sym w:font="Wingdings" w:char="F0FC"/>
            </w:r>
          </w:p>
        </w:tc>
        <w:tc>
          <w:tcPr>
            <w:tcW w:w="8931" w:type="dxa"/>
            <w:shd w:val="clear" w:color="auto" w:fill="D9ECEA" w:themeFill="accent2"/>
          </w:tcPr>
          <w:p w14:paraId="65B0EC42" w14:textId="77777777" w:rsidR="00736FDB" w:rsidRPr="00B447C7" w:rsidRDefault="00736FDB" w:rsidP="00736FDB">
            <w:pPr>
              <w:pStyle w:val="Exampletext"/>
              <w:rPr>
                <w:i w:val="0"/>
                <w:iCs w:val="0"/>
              </w:rPr>
            </w:pPr>
            <w:r w:rsidRPr="00B447C7">
              <w:rPr>
                <w:i w:val="0"/>
                <w:iCs w:val="0"/>
              </w:rPr>
              <w:t xml:space="preserve">Discourage signs </w:t>
            </w:r>
            <w:r w:rsidRPr="00B447C7">
              <w:rPr>
                <w:b/>
                <w:bCs/>
                <w:i w:val="0"/>
                <w:iCs w:val="0"/>
                <w:u w:val="single"/>
              </w:rPr>
              <w:t>that</w:t>
            </w:r>
            <w:r w:rsidRPr="00B447C7">
              <w:rPr>
                <w:i w:val="0"/>
                <w:iCs w:val="0"/>
              </w:rPr>
              <w:t xml:space="preserve"> obscure major view lines.</w:t>
            </w:r>
          </w:p>
        </w:tc>
      </w:tr>
    </w:tbl>
    <w:p w14:paraId="5ECFBF82" w14:textId="77777777" w:rsidR="00A12C79" w:rsidRPr="00D05554" w:rsidRDefault="00A12C79" w:rsidP="002E55BC">
      <w:pPr>
        <w:pStyle w:val="DELWPbodyafterbullets"/>
      </w:pPr>
      <w:r w:rsidRPr="00D05554">
        <w:t>If a policy:</w:t>
      </w:r>
    </w:p>
    <w:p w14:paraId="62F2BDC2" w14:textId="5779F23E" w:rsidR="00A12C79" w:rsidRPr="00D05554" w:rsidRDefault="00A12C79" w:rsidP="00986B79">
      <w:pPr>
        <w:pStyle w:val="DELWPbullet1"/>
        <w:rPr>
          <w:lang w:val="en-US"/>
        </w:rPr>
      </w:pPr>
      <w:r w:rsidRPr="00D05554">
        <w:rPr>
          <w:lang w:val="en-US"/>
        </w:rPr>
        <w:t xml:space="preserve">Does not need the latter part of the sentence, use ‘which’ </w:t>
      </w:r>
      <w:r w:rsidR="0049175B">
        <w:rPr>
          <w:lang w:val="en-US"/>
        </w:rPr>
        <w:t>–</w:t>
      </w:r>
      <w:r w:rsidRPr="00D05554">
        <w:rPr>
          <w:lang w:val="en-US"/>
        </w:rPr>
        <w:t xml:space="preserve"> </w:t>
      </w:r>
      <w:proofErr w:type="gramStart"/>
      <w:r w:rsidRPr="00D05554">
        <w:rPr>
          <w:lang w:val="en-US"/>
        </w:rPr>
        <w:t>i</w:t>
      </w:r>
      <w:r w:rsidR="0049175B">
        <w:rPr>
          <w:lang w:val="en-US"/>
        </w:rPr>
        <w:t>.</w:t>
      </w:r>
      <w:r w:rsidRPr="00D05554">
        <w:rPr>
          <w:lang w:val="en-US"/>
        </w:rPr>
        <w:t>e.</w:t>
      </w:r>
      <w:proofErr w:type="gramEnd"/>
      <w:r w:rsidRPr="00D05554">
        <w:rPr>
          <w:lang w:val="en-US"/>
        </w:rPr>
        <w:t xml:space="preserve"> where it only provides added context or may be read as a digression.</w:t>
      </w:r>
    </w:p>
    <w:p w14:paraId="1566AC06" w14:textId="0C2787EA" w:rsidR="00A12C79" w:rsidRPr="00D05554" w:rsidRDefault="00A12C79" w:rsidP="00986B79">
      <w:pPr>
        <w:pStyle w:val="DELWPbullet1"/>
        <w:rPr>
          <w:lang w:val="en-US"/>
        </w:rPr>
      </w:pPr>
      <w:r w:rsidRPr="00D05554">
        <w:rPr>
          <w:lang w:val="en-US"/>
        </w:rPr>
        <w:t>Does need the latter part of the sentence, use ‘that’ (the effect of the policy would be different without it – for example</w:t>
      </w:r>
      <w:r w:rsidR="0049175B">
        <w:rPr>
          <w:lang w:val="en-US"/>
        </w:rPr>
        <w:t>,</w:t>
      </w:r>
      <w:r w:rsidRPr="00D05554">
        <w:rPr>
          <w:lang w:val="en-US"/>
        </w:rPr>
        <w:t xml:space="preserve"> by having a broader effect).</w:t>
      </w:r>
    </w:p>
    <w:p w14:paraId="1EE20EEA" w14:textId="49DF78B6" w:rsidR="00A12C79" w:rsidRPr="00D05554" w:rsidRDefault="00A12C79" w:rsidP="002E55BC">
      <w:pPr>
        <w:pStyle w:val="DELWPbodyafterbullets"/>
      </w:pPr>
      <w:r w:rsidRPr="00D05554">
        <w:t>The example above demonstrates how the use of ‘which’ or ‘that’ may change the effect of a policy.</w:t>
      </w:r>
      <w:r w:rsidR="00D92C0F">
        <w:t xml:space="preserve"> </w:t>
      </w:r>
      <w:r w:rsidRPr="00D05554">
        <w:t>The council’s intent was to discourage only those signs having the effect of obscuring major view lines, not all signs.</w:t>
      </w:r>
    </w:p>
    <w:bookmarkEnd w:id="305"/>
    <w:p w14:paraId="7199C2A3" w14:textId="77777777" w:rsidR="008C5641" w:rsidRPr="008C5641" w:rsidRDefault="008C5641" w:rsidP="003D6FBF">
      <w:pPr>
        <w:pStyle w:val="Heading4"/>
      </w:pPr>
      <w:r w:rsidRPr="008C5641">
        <w:t>‘High quality’</w:t>
      </w:r>
    </w:p>
    <w:tbl>
      <w:tblPr>
        <w:tblStyle w:val="TableGrid"/>
        <w:tblW w:w="949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CCC" w:themeFill="accent5" w:themeFillTint="33"/>
        <w:tblLook w:val="04A0" w:firstRow="1" w:lastRow="0" w:firstColumn="1" w:lastColumn="0" w:noHBand="0" w:noVBand="1"/>
      </w:tblPr>
      <w:tblGrid>
        <w:gridCol w:w="567"/>
        <w:gridCol w:w="8931"/>
      </w:tblGrid>
      <w:tr w:rsidR="00736FDB" w:rsidRPr="00FC1CF6" w14:paraId="68CDDBF4" w14:textId="77777777" w:rsidTr="00A75CA9">
        <w:trPr>
          <w:cnfStyle w:val="100000000000" w:firstRow="1" w:lastRow="0" w:firstColumn="0" w:lastColumn="0" w:oddVBand="0" w:evenVBand="0" w:oddHBand="0" w:evenHBand="0" w:firstRowFirstColumn="0" w:firstRowLastColumn="0" w:lastRowFirstColumn="0" w:lastRowLastColumn="0"/>
        </w:trPr>
        <w:tc>
          <w:tcPr>
            <w:tcW w:w="567" w:type="dxa"/>
            <w:shd w:val="clear" w:color="auto" w:fill="D9ECEA" w:themeFill="accent2"/>
          </w:tcPr>
          <w:p w14:paraId="2226B5A2" w14:textId="3D28DB2D" w:rsidR="00736FDB" w:rsidRPr="00B447C7" w:rsidRDefault="00736FDB" w:rsidP="00736FDB">
            <w:pPr>
              <w:pStyle w:val="Symbol"/>
              <w:rPr>
                <w:i w:val="0"/>
                <w:iCs w:val="0"/>
              </w:rPr>
            </w:pPr>
            <w:r w:rsidRPr="00B447C7">
              <w:rPr>
                <w:i w:val="0"/>
                <w:iCs w:val="0"/>
              </w:rPr>
              <w:sym w:font="Wingdings" w:char="F0FB"/>
            </w:r>
          </w:p>
        </w:tc>
        <w:tc>
          <w:tcPr>
            <w:tcW w:w="8931" w:type="dxa"/>
            <w:shd w:val="clear" w:color="auto" w:fill="D9ECEA" w:themeFill="accent2"/>
          </w:tcPr>
          <w:p w14:paraId="4212DDA5" w14:textId="5FEB7E1B" w:rsidR="00736FDB" w:rsidRPr="00B447C7" w:rsidRDefault="00736FDB" w:rsidP="00736FDB">
            <w:pPr>
              <w:pStyle w:val="Exampletext"/>
              <w:rPr>
                <w:i w:val="0"/>
                <w:iCs w:val="0"/>
              </w:rPr>
            </w:pPr>
            <w:r w:rsidRPr="00B447C7">
              <w:rPr>
                <w:i w:val="0"/>
                <w:iCs w:val="0"/>
              </w:rPr>
              <w:t xml:space="preserve">Provide </w:t>
            </w:r>
            <w:r w:rsidRPr="00B447C7">
              <w:rPr>
                <w:b/>
                <w:i w:val="0"/>
                <w:iCs w:val="0"/>
              </w:rPr>
              <w:t>high-quality</w:t>
            </w:r>
            <w:r w:rsidRPr="00B447C7">
              <w:rPr>
                <w:i w:val="0"/>
                <w:iCs w:val="0"/>
              </w:rPr>
              <w:t xml:space="preserve"> building facades.</w:t>
            </w:r>
          </w:p>
        </w:tc>
      </w:tr>
      <w:tr w:rsidR="00736FDB" w:rsidRPr="00FC1CF6" w14:paraId="6B3F5946" w14:textId="77777777" w:rsidTr="00A75CA9">
        <w:tc>
          <w:tcPr>
            <w:tcW w:w="567" w:type="dxa"/>
            <w:shd w:val="clear" w:color="auto" w:fill="D9ECEA" w:themeFill="accent2"/>
          </w:tcPr>
          <w:p w14:paraId="3C7C17C0" w14:textId="1D6F3D59" w:rsidR="00736FDB" w:rsidRPr="00B447C7" w:rsidRDefault="00736FDB" w:rsidP="00736FDB">
            <w:pPr>
              <w:pStyle w:val="Symbol"/>
              <w:rPr>
                <w:i w:val="0"/>
                <w:iCs w:val="0"/>
              </w:rPr>
            </w:pPr>
            <w:r w:rsidRPr="00B447C7">
              <w:rPr>
                <w:i w:val="0"/>
                <w:iCs w:val="0"/>
              </w:rPr>
              <w:sym w:font="Wingdings" w:char="F0FB"/>
            </w:r>
          </w:p>
        </w:tc>
        <w:tc>
          <w:tcPr>
            <w:tcW w:w="8931" w:type="dxa"/>
            <w:shd w:val="clear" w:color="auto" w:fill="D9ECEA" w:themeFill="accent2"/>
          </w:tcPr>
          <w:p w14:paraId="7FA8011B" w14:textId="6851CD23" w:rsidR="00736FDB" w:rsidRPr="00B447C7" w:rsidRDefault="00736FDB" w:rsidP="00736FDB">
            <w:pPr>
              <w:pStyle w:val="Exampletext"/>
              <w:rPr>
                <w:i w:val="0"/>
                <w:iCs w:val="0"/>
              </w:rPr>
            </w:pPr>
            <w:r w:rsidRPr="00B447C7">
              <w:rPr>
                <w:i w:val="0"/>
                <w:iCs w:val="0"/>
              </w:rPr>
              <w:t>Provide</w:t>
            </w:r>
            <w:r w:rsidRPr="00B447C7">
              <w:rPr>
                <w:bCs/>
                <w:i w:val="0"/>
                <w:iCs w:val="0"/>
              </w:rPr>
              <w:t xml:space="preserve"> </w:t>
            </w:r>
            <w:r w:rsidRPr="00B447C7">
              <w:rPr>
                <w:b/>
                <w:bCs/>
                <w:i w:val="0"/>
                <w:iCs w:val="0"/>
              </w:rPr>
              <w:t xml:space="preserve">high-quality </w:t>
            </w:r>
            <w:r w:rsidRPr="00B447C7">
              <w:rPr>
                <w:bCs/>
                <w:i w:val="0"/>
                <w:iCs w:val="0"/>
              </w:rPr>
              <w:t>building facades</w:t>
            </w:r>
            <w:r w:rsidRPr="00B447C7">
              <w:rPr>
                <w:i w:val="0"/>
                <w:iCs w:val="0"/>
              </w:rPr>
              <w:t xml:space="preserve"> made from durable and attractive materials and finishes that complement surrounding buildings and provide visual interest.</w:t>
            </w:r>
          </w:p>
        </w:tc>
      </w:tr>
    </w:tbl>
    <w:p w14:paraId="7850C4FE" w14:textId="2537B72B" w:rsidR="00A12C79" w:rsidRPr="00D05554" w:rsidRDefault="00A12C79" w:rsidP="002E55BC">
      <w:pPr>
        <w:pStyle w:val="DELWPbodyafterbullets"/>
      </w:pPr>
      <w:r w:rsidRPr="00D05554">
        <w:t>When seeking ‘</w:t>
      </w:r>
      <w:r w:rsidRPr="009D6810">
        <w:t>high</w:t>
      </w:r>
      <w:r w:rsidR="0049175B" w:rsidRPr="009D6810">
        <w:t>-</w:t>
      </w:r>
      <w:r w:rsidRPr="009D6810">
        <w:t>quality’</w:t>
      </w:r>
      <w:r w:rsidRPr="00D05554">
        <w:t xml:space="preserve"> outcomes, be more directive about what the term means in the context of the policy.</w:t>
      </w:r>
    </w:p>
    <w:p w14:paraId="33C0A4CB" w14:textId="77777777" w:rsidR="008C5641" w:rsidRPr="008C5641" w:rsidRDefault="008C5641" w:rsidP="003D6FBF">
      <w:pPr>
        <w:pStyle w:val="Heading4"/>
      </w:pPr>
      <w:r w:rsidRPr="008C5641">
        <w:lastRenderedPageBreak/>
        <w:t>Narrowed focus</w:t>
      </w:r>
    </w:p>
    <w:tbl>
      <w:tblPr>
        <w:tblStyle w:val="TableGrid"/>
        <w:tblW w:w="949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CCC" w:themeFill="accent5" w:themeFillTint="33"/>
        <w:tblLook w:val="04A0" w:firstRow="1" w:lastRow="0" w:firstColumn="1" w:lastColumn="0" w:noHBand="0" w:noVBand="1"/>
      </w:tblPr>
      <w:tblGrid>
        <w:gridCol w:w="567"/>
        <w:gridCol w:w="8931"/>
      </w:tblGrid>
      <w:tr w:rsidR="00736FDB" w:rsidRPr="00FC1CF6" w14:paraId="78338394" w14:textId="77777777" w:rsidTr="00915899">
        <w:trPr>
          <w:cnfStyle w:val="100000000000" w:firstRow="1" w:lastRow="0" w:firstColumn="0" w:lastColumn="0" w:oddVBand="0" w:evenVBand="0" w:oddHBand="0" w:evenHBand="0" w:firstRowFirstColumn="0" w:firstRowLastColumn="0" w:lastRowFirstColumn="0" w:lastRowLastColumn="0"/>
        </w:trPr>
        <w:tc>
          <w:tcPr>
            <w:tcW w:w="567" w:type="dxa"/>
            <w:shd w:val="clear" w:color="auto" w:fill="D9ECEA" w:themeFill="accent2"/>
            <w:vAlign w:val="center"/>
          </w:tcPr>
          <w:p w14:paraId="1DDE2DA0" w14:textId="6980329A" w:rsidR="00736FDB" w:rsidRPr="00B447C7" w:rsidRDefault="00736FDB" w:rsidP="00736FDB">
            <w:pPr>
              <w:pStyle w:val="Symbol"/>
              <w:rPr>
                <w:i w:val="0"/>
                <w:iCs w:val="0"/>
                <w:color w:val="00B1A8"/>
              </w:rPr>
            </w:pPr>
            <w:r w:rsidRPr="00B447C7">
              <w:rPr>
                <w:i w:val="0"/>
                <w:iCs w:val="0"/>
              </w:rPr>
              <w:sym w:font="Wingdings" w:char="F0FB"/>
            </w:r>
          </w:p>
        </w:tc>
        <w:tc>
          <w:tcPr>
            <w:tcW w:w="8931" w:type="dxa"/>
            <w:shd w:val="clear" w:color="auto" w:fill="D9ECEA" w:themeFill="accent2"/>
          </w:tcPr>
          <w:p w14:paraId="6F890FE4" w14:textId="77777777" w:rsidR="00736FDB" w:rsidRPr="00B447C7" w:rsidRDefault="00736FDB" w:rsidP="00736FDB">
            <w:pPr>
              <w:pStyle w:val="Exampletext"/>
              <w:rPr>
                <w:i w:val="0"/>
                <w:iCs w:val="0"/>
                <w:lang w:val="en-US"/>
              </w:rPr>
            </w:pPr>
            <w:r w:rsidRPr="00B447C7">
              <w:rPr>
                <w:rFonts w:ascii="Cambria" w:hAnsi="Cambria" w:cs="Cambria"/>
                <w:i w:val="0"/>
                <w:iCs w:val="0"/>
                <w:lang w:val="en-US"/>
              </w:rPr>
              <w:t> </w:t>
            </w:r>
            <w:r w:rsidRPr="00B447C7">
              <w:rPr>
                <w:i w:val="0"/>
                <w:iCs w:val="0"/>
                <w:lang w:val="en-US"/>
              </w:rPr>
              <w:t xml:space="preserve">Avoid </w:t>
            </w:r>
            <w:r w:rsidRPr="00B447C7">
              <w:rPr>
                <w:b/>
                <w:i w:val="0"/>
                <w:iCs w:val="0"/>
                <w:lang w:val="en-US"/>
              </w:rPr>
              <w:t xml:space="preserve">incremental </w:t>
            </w:r>
            <w:r w:rsidRPr="00B447C7">
              <w:rPr>
                <w:i w:val="0"/>
                <w:iCs w:val="0"/>
                <w:lang w:val="en-US"/>
              </w:rPr>
              <w:t xml:space="preserve">incursions into environmentally sensitive areas beyond the </w:t>
            </w:r>
            <w:r w:rsidRPr="00B447C7">
              <w:rPr>
                <w:i w:val="0"/>
                <w:iCs w:val="0"/>
              </w:rPr>
              <w:t>boundaries</w:t>
            </w:r>
            <w:r w:rsidRPr="00B447C7">
              <w:rPr>
                <w:i w:val="0"/>
                <w:iCs w:val="0"/>
                <w:lang w:val="en-US"/>
              </w:rPr>
              <w:t xml:space="preserve"> of land reserved future for urban development.</w:t>
            </w:r>
          </w:p>
        </w:tc>
      </w:tr>
    </w:tbl>
    <w:p w14:paraId="6B4BB861" w14:textId="60C9B33B" w:rsidR="00A12C79" w:rsidRPr="00D05554" w:rsidRDefault="00A12C79" w:rsidP="002E55BC">
      <w:pPr>
        <w:pStyle w:val="DELWPbodyafterbullets"/>
      </w:pPr>
      <w:r w:rsidRPr="00D05554">
        <w:t>Be careful when adding words that inadvertently narrow the focus of a policy.</w:t>
      </w:r>
      <w:r w:rsidR="00D92C0F">
        <w:t xml:space="preserve"> </w:t>
      </w:r>
      <w:r w:rsidR="0049175B" w:rsidRPr="009D6810">
        <w:t>In the example above,</w:t>
      </w:r>
      <w:r w:rsidR="0049175B">
        <w:t xml:space="preserve"> a</w:t>
      </w:r>
      <w:r w:rsidRPr="00D05554">
        <w:t>dding the word ‘incremental’ narrows the policy to just incremental incursions when in this instance, any incursion should be avoided.</w:t>
      </w:r>
    </w:p>
    <w:p w14:paraId="33612240" w14:textId="77777777" w:rsidR="00A12C79" w:rsidRDefault="00A12C79" w:rsidP="003D6FBF">
      <w:pPr>
        <w:pStyle w:val="Heading4"/>
      </w:pPr>
      <w:bookmarkStart w:id="306" w:name="_Hlk31887459"/>
      <w:r>
        <w:t>Colloquial and promotional language</w:t>
      </w:r>
    </w:p>
    <w:p w14:paraId="46434068" w14:textId="360C5D1E" w:rsidR="00FD3DDD" w:rsidRDefault="00A12C79" w:rsidP="002E55BC">
      <w:pPr>
        <w:pStyle w:val="DELWPbodyafterbullets"/>
      </w:pPr>
      <w:r w:rsidRPr="00D05554">
        <w:t xml:space="preserve">Keep language simple and professional and avoid </w:t>
      </w:r>
      <w:r w:rsidR="002F2FF8">
        <w:t xml:space="preserve">emotive, </w:t>
      </w:r>
      <w:r w:rsidRPr="00D05554">
        <w:t>casual or popular conversational language or terms that are uncertain.</w:t>
      </w:r>
      <w:r w:rsidR="00D92C0F">
        <w:t xml:space="preserve"> </w:t>
      </w:r>
      <w:r w:rsidRPr="00D05554">
        <w:t>For example, where a policy seeks to make a place ‘colourful’, ‘exciting’, ‘</w:t>
      </w:r>
      <w:r>
        <w:t>vibrant’, ‘cosmopolitan’ or ‘green’</w:t>
      </w:r>
      <w:r w:rsidR="0049175B">
        <w:t>,</w:t>
      </w:r>
      <w:r>
        <w:t xml:space="preserve"> or where you may seek ‘statement’ design</w:t>
      </w:r>
      <w:r w:rsidRPr="007F31B9">
        <w:t>.</w:t>
      </w:r>
      <w:r w:rsidR="00D92C0F">
        <w:t xml:space="preserve"> </w:t>
      </w:r>
      <w:r w:rsidRPr="00A3100E">
        <w:t>Using too many abstract terms makes your writing vague and your message unclear</w:t>
      </w:r>
      <w:r>
        <w:t>.</w:t>
      </w:r>
      <w:bookmarkEnd w:id="306"/>
    </w:p>
    <w:p w14:paraId="3D92FD59" w14:textId="171D60D6" w:rsidR="00FD3DDD" w:rsidRPr="00FD3DDD" w:rsidRDefault="00FD3DDD" w:rsidP="003D6FBF">
      <w:pPr>
        <w:pStyle w:val="Heading4"/>
      </w:pPr>
      <w:r w:rsidRPr="00FD3DDD">
        <w:t>Information requirements</w:t>
      </w:r>
    </w:p>
    <w:p w14:paraId="2981F4AA" w14:textId="3D3D0ADF" w:rsidR="00FD3DDD" w:rsidRDefault="00FD3DDD" w:rsidP="002E55BC">
      <w:pPr>
        <w:pStyle w:val="BodyText1"/>
        <w:rPr>
          <w:lang w:val="en-US"/>
        </w:rPr>
      </w:pPr>
      <w:r w:rsidRPr="0076240B">
        <w:rPr>
          <w:lang w:val="en-US"/>
        </w:rPr>
        <w:t>Matters such as</w:t>
      </w:r>
      <w:r w:rsidR="00343673">
        <w:rPr>
          <w:lang w:val="en-US"/>
        </w:rPr>
        <w:t xml:space="preserve"> information requirements or</w:t>
      </w:r>
      <w:r w:rsidRPr="0076240B">
        <w:rPr>
          <w:lang w:val="en-US"/>
        </w:rPr>
        <w:t xml:space="preserve"> </w:t>
      </w:r>
      <w:r w:rsidR="00343673">
        <w:rPr>
          <w:lang w:val="en-US"/>
        </w:rPr>
        <w:t>‘</w:t>
      </w:r>
      <w:r w:rsidRPr="0076240B">
        <w:rPr>
          <w:lang w:val="en-US"/>
        </w:rPr>
        <w:t>application requirements</w:t>
      </w:r>
      <w:r w:rsidR="00343673">
        <w:rPr>
          <w:lang w:val="en-US"/>
        </w:rPr>
        <w:t xml:space="preserve">’ </w:t>
      </w:r>
      <w:r w:rsidRPr="0076240B">
        <w:rPr>
          <w:lang w:val="en-US"/>
        </w:rPr>
        <w:t>are not statements of policy and do not form part of the PPF.</w:t>
      </w:r>
      <w:r w:rsidR="00D92C0F">
        <w:rPr>
          <w:lang w:val="en-US"/>
        </w:rPr>
        <w:t xml:space="preserve"> </w:t>
      </w:r>
      <w:r w:rsidRPr="0076240B">
        <w:rPr>
          <w:lang w:val="en-US"/>
        </w:rPr>
        <w:t>Most overlays provide for matters such as locally defined objectives, decision guidelines and application requirements to be set out in a schedule.</w:t>
      </w:r>
    </w:p>
    <w:p w14:paraId="3A5833BB" w14:textId="69D6E0A1" w:rsidR="00FD3DDD" w:rsidRDefault="00343673" w:rsidP="002E55BC">
      <w:pPr>
        <w:pStyle w:val="BodyText1"/>
        <w:rPr>
          <w:lang w:val="en-US"/>
        </w:rPr>
      </w:pPr>
      <w:r>
        <w:rPr>
          <w:lang w:val="en-US"/>
        </w:rPr>
        <w:t>In</w:t>
      </w:r>
      <w:r w:rsidR="00FD3DDD">
        <w:rPr>
          <w:lang w:val="en-US"/>
        </w:rPr>
        <w:t>formation requirement</w:t>
      </w:r>
      <w:r>
        <w:rPr>
          <w:lang w:val="en-US"/>
        </w:rPr>
        <w:t>s are best recast as</w:t>
      </w:r>
      <w:r w:rsidR="00FD3DDD">
        <w:rPr>
          <w:lang w:val="en-US"/>
        </w:rPr>
        <w:t xml:space="preserve"> policy.</w:t>
      </w:r>
      <w:r w:rsidR="00D92C0F">
        <w:rPr>
          <w:lang w:val="en-US"/>
        </w:rPr>
        <w:t xml:space="preserve"> </w:t>
      </w:r>
      <w:r w:rsidR="00FD3DDD">
        <w:rPr>
          <w:lang w:val="en-US"/>
        </w:rPr>
        <w:t>For example:</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CCC" w:themeFill="accent5" w:themeFillTint="33"/>
        <w:tblLook w:val="04A0" w:firstRow="1" w:lastRow="0" w:firstColumn="1" w:lastColumn="0" w:noHBand="0" w:noVBand="1"/>
      </w:tblPr>
      <w:tblGrid>
        <w:gridCol w:w="567"/>
        <w:gridCol w:w="8503"/>
      </w:tblGrid>
      <w:tr w:rsidR="00986B79" w:rsidRPr="00B447C7" w14:paraId="56E0AFCE" w14:textId="77777777" w:rsidTr="00A75CA9">
        <w:trPr>
          <w:cnfStyle w:val="100000000000" w:firstRow="1" w:lastRow="0" w:firstColumn="0" w:lastColumn="0" w:oddVBand="0" w:evenVBand="0" w:oddHBand="0" w:evenHBand="0" w:firstRowFirstColumn="0" w:firstRowLastColumn="0" w:lastRowFirstColumn="0" w:lastRowLastColumn="0"/>
        </w:trPr>
        <w:tc>
          <w:tcPr>
            <w:tcW w:w="567" w:type="dxa"/>
            <w:shd w:val="clear" w:color="auto" w:fill="D9ECEA" w:themeFill="accent2"/>
          </w:tcPr>
          <w:p w14:paraId="64C56C9D" w14:textId="60788EFF" w:rsidR="00986B79" w:rsidRPr="00B447C7" w:rsidRDefault="00986B79" w:rsidP="00986B79">
            <w:pPr>
              <w:pStyle w:val="Symbol"/>
              <w:rPr>
                <w:i w:val="0"/>
                <w:iCs w:val="0"/>
              </w:rPr>
            </w:pPr>
            <w:r w:rsidRPr="00B447C7">
              <w:rPr>
                <w:i w:val="0"/>
                <w:iCs w:val="0"/>
              </w:rPr>
              <w:sym w:font="Wingdings" w:char="F0FB"/>
            </w:r>
          </w:p>
        </w:tc>
        <w:tc>
          <w:tcPr>
            <w:tcW w:w="8503" w:type="dxa"/>
            <w:shd w:val="clear" w:color="auto" w:fill="D9ECEA" w:themeFill="accent2"/>
          </w:tcPr>
          <w:p w14:paraId="04E4C185" w14:textId="77777777" w:rsidR="00986B79" w:rsidRPr="00B447C7" w:rsidRDefault="00986B79" w:rsidP="00986B79">
            <w:pPr>
              <w:pStyle w:val="Exampletext"/>
              <w:rPr>
                <w:i w:val="0"/>
                <w:iCs w:val="0"/>
              </w:rPr>
            </w:pPr>
            <w:r w:rsidRPr="00B447C7">
              <w:rPr>
                <w:i w:val="0"/>
                <w:iCs w:val="0"/>
              </w:rPr>
              <w:t>Provide a traffic impact assessment where there is a material traffic impact.</w:t>
            </w:r>
          </w:p>
        </w:tc>
      </w:tr>
      <w:tr w:rsidR="00FD3DDD" w:rsidRPr="00B447C7" w14:paraId="4F51E503" w14:textId="77777777" w:rsidTr="00A75CA9">
        <w:tc>
          <w:tcPr>
            <w:tcW w:w="567" w:type="dxa"/>
            <w:shd w:val="clear" w:color="auto" w:fill="D9ECEA" w:themeFill="accent2"/>
          </w:tcPr>
          <w:p w14:paraId="04C55D49" w14:textId="7B84E422" w:rsidR="00FD3DDD" w:rsidRPr="00B447C7" w:rsidRDefault="00986B79" w:rsidP="000D4746">
            <w:pPr>
              <w:pStyle w:val="Symbol"/>
              <w:rPr>
                <w:i w:val="0"/>
                <w:iCs w:val="0"/>
              </w:rPr>
            </w:pPr>
            <w:r w:rsidRPr="00B447C7">
              <w:rPr>
                <w:i w:val="0"/>
                <w:iCs w:val="0"/>
              </w:rPr>
              <w:sym w:font="Wingdings" w:char="F0FC"/>
            </w:r>
          </w:p>
        </w:tc>
        <w:tc>
          <w:tcPr>
            <w:tcW w:w="8503" w:type="dxa"/>
            <w:shd w:val="clear" w:color="auto" w:fill="D9ECEA" w:themeFill="accent2"/>
          </w:tcPr>
          <w:p w14:paraId="22987F21" w14:textId="77777777" w:rsidR="00FD3DDD" w:rsidRPr="00B447C7" w:rsidRDefault="00FD3DDD" w:rsidP="00092E73">
            <w:pPr>
              <w:pStyle w:val="Exampletext"/>
              <w:rPr>
                <w:i w:val="0"/>
                <w:iCs w:val="0"/>
              </w:rPr>
            </w:pPr>
            <w:r w:rsidRPr="00B447C7">
              <w:rPr>
                <w:i w:val="0"/>
                <w:iCs w:val="0"/>
              </w:rPr>
              <w:t>Minimise material traffic impacts.</w:t>
            </w:r>
          </w:p>
        </w:tc>
      </w:tr>
    </w:tbl>
    <w:p w14:paraId="13CB7DA2" w14:textId="77777777" w:rsidR="00FD3DDD" w:rsidRPr="00FE1651" w:rsidRDefault="00FD3DDD" w:rsidP="00D07CA3">
      <w:pPr>
        <w:pStyle w:val="BodyText10"/>
        <w:suppressAutoHyphens/>
        <w:spacing w:before="120" w:after="0" w:line="288" w:lineRule="auto"/>
        <w:ind w:left="0"/>
      </w:pPr>
      <w:r w:rsidRPr="00FE1651">
        <w:tab/>
      </w:r>
    </w:p>
    <w:tbl>
      <w:tblPr>
        <w:tblStyle w:val="TableGrid"/>
        <w:tblW w:w="0" w:type="auto"/>
        <w:tblInd w:w="0" w:type="dxa"/>
        <w:tblLook w:val="04A0" w:firstRow="1" w:lastRow="0" w:firstColumn="1" w:lastColumn="0" w:noHBand="0" w:noVBand="1"/>
      </w:tblPr>
      <w:tblGrid>
        <w:gridCol w:w="567"/>
        <w:gridCol w:w="8503"/>
      </w:tblGrid>
      <w:tr w:rsidR="00986B79" w:rsidRPr="00B447C7" w14:paraId="6FB26708" w14:textId="77777777" w:rsidTr="00915899">
        <w:trPr>
          <w:cnfStyle w:val="100000000000" w:firstRow="1" w:lastRow="0" w:firstColumn="0" w:lastColumn="0" w:oddVBand="0" w:evenVBand="0" w:oddHBand="0" w:evenHBand="0" w:firstRowFirstColumn="0" w:firstRowLastColumn="0" w:lastRowFirstColumn="0" w:lastRowLastColumn="0"/>
        </w:trPr>
        <w:tc>
          <w:tcPr>
            <w:tcW w:w="567" w:type="dxa"/>
            <w:tcBorders>
              <w:top w:val="nil"/>
              <w:left w:val="nil"/>
              <w:bottom w:val="nil"/>
              <w:right w:val="nil"/>
            </w:tcBorders>
            <w:shd w:val="clear" w:color="auto" w:fill="D9ECEA" w:themeFill="accent2"/>
            <w:vAlign w:val="top"/>
          </w:tcPr>
          <w:p w14:paraId="009F65A7" w14:textId="15D30ACF" w:rsidR="00986B79" w:rsidRPr="00B447C7" w:rsidRDefault="00986B79" w:rsidP="00986B79">
            <w:pPr>
              <w:pStyle w:val="Symbol"/>
              <w:rPr>
                <w:i w:val="0"/>
                <w:iCs w:val="0"/>
              </w:rPr>
            </w:pPr>
            <w:bookmarkStart w:id="307" w:name="_Hlk22654924"/>
            <w:r w:rsidRPr="00B447C7">
              <w:rPr>
                <w:i w:val="0"/>
                <w:iCs w:val="0"/>
              </w:rPr>
              <w:sym w:font="Wingdings" w:char="F0FB"/>
            </w:r>
          </w:p>
        </w:tc>
        <w:tc>
          <w:tcPr>
            <w:tcW w:w="8503" w:type="dxa"/>
            <w:tcBorders>
              <w:top w:val="nil"/>
              <w:left w:val="nil"/>
              <w:bottom w:val="nil"/>
              <w:right w:val="nil"/>
            </w:tcBorders>
            <w:shd w:val="clear" w:color="auto" w:fill="D9ECEA" w:themeFill="accent2"/>
          </w:tcPr>
          <w:p w14:paraId="7E0B7B2D" w14:textId="77777777" w:rsidR="00986B79" w:rsidRPr="00B447C7" w:rsidRDefault="00986B79" w:rsidP="00986B79">
            <w:pPr>
              <w:pStyle w:val="Exampletext"/>
              <w:rPr>
                <w:i w:val="0"/>
                <w:iCs w:val="0"/>
              </w:rPr>
            </w:pPr>
            <w:r w:rsidRPr="00B447C7">
              <w:rPr>
                <w:i w:val="0"/>
                <w:iCs w:val="0"/>
              </w:rPr>
              <w:t>Require an application for demolition to be supported with documentation which demonstrates:</w:t>
            </w:r>
          </w:p>
          <w:p w14:paraId="19816071" w14:textId="77777777" w:rsidR="00986B79" w:rsidRPr="00B447C7" w:rsidRDefault="00986B79" w:rsidP="005510AA">
            <w:pPr>
              <w:pStyle w:val="Examplebullet"/>
              <w:rPr>
                <w:i w:val="0"/>
                <w:iCs w:val="0"/>
              </w:rPr>
            </w:pPr>
            <w:r w:rsidRPr="00B447C7">
              <w:rPr>
                <w:i w:val="0"/>
                <w:iCs w:val="0"/>
              </w:rPr>
              <w:t>That the demolition will contribute to the long-term conservation of the building fabric.</w:t>
            </w:r>
          </w:p>
          <w:p w14:paraId="135D8E12" w14:textId="77777777" w:rsidR="00986B79" w:rsidRPr="00B447C7" w:rsidRDefault="00986B79" w:rsidP="005510AA">
            <w:pPr>
              <w:pStyle w:val="Examplebullet"/>
              <w:rPr>
                <w:i w:val="0"/>
                <w:iCs w:val="0"/>
              </w:rPr>
            </w:pPr>
            <w:r w:rsidRPr="00B447C7">
              <w:rPr>
                <w:i w:val="0"/>
                <w:iCs w:val="0"/>
              </w:rPr>
              <w:t>That the demolition involves the removal of later uncomplimentary</w:t>
            </w:r>
            <w:r w:rsidRPr="00B447C7" w:rsidDel="0000511C">
              <w:rPr>
                <w:i w:val="0"/>
                <w:iCs w:val="0"/>
              </w:rPr>
              <w:t xml:space="preserve"> </w:t>
            </w:r>
            <w:r w:rsidRPr="00B447C7">
              <w:rPr>
                <w:i w:val="0"/>
                <w:iCs w:val="0"/>
              </w:rPr>
              <w:t>modifications.</w:t>
            </w:r>
          </w:p>
          <w:p w14:paraId="071FF2CD" w14:textId="34985CA6" w:rsidR="00986B79" w:rsidRPr="00B447C7" w:rsidRDefault="00986B79" w:rsidP="005510AA">
            <w:pPr>
              <w:pStyle w:val="Examplebullet"/>
              <w:rPr>
                <w:i w:val="0"/>
                <w:iCs w:val="0"/>
              </w:rPr>
            </w:pPr>
            <w:r w:rsidRPr="00B447C7">
              <w:rPr>
                <w:i w:val="0"/>
                <w:iCs w:val="0"/>
              </w:rPr>
              <w:t>That the cultural heritage significance of the place will be enhanced.</w:t>
            </w:r>
          </w:p>
        </w:tc>
      </w:tr>
      <w:tr w:rsidR="00FD3DDD" w:rsidRPr="00B447C7" w14:paraId="710EC5EE" w14:textId="77777777" w:rsidTr="00A75CA9">
        <w:tc>
          <w:tcPr>
            <w:tcW w:w="567" w:type="dxa"/>
            <w:tcBorders>
              <w:top w:val="nil"/>
              <w:left w:val="nil"/>
              <w:bottom w:val="nil"/>
              <w:right w:val="nil"/>
            </w:tcBorders>
            <w:shd w:val="clear" w:color="auto" w:fill="D9ECEA" w:themeFill="accent2"/>
          </w:tcPr>
          <w:p w14:paraId="2A277F77" w14:textId="307AFB98" w:rsidR="00FD3DDD" w:rsidRPr="00B447C7" w:rsidRDefault="00986B79" w:rsidP="000D4746">
            <w:pPr>
              <w:pStyle w:val="Symbol"/>
              <w:rPr>
                <w:i w:val="0"/>
                <w:iCs w:val="0"/>
              </w:rPr>
            </w:pPr>
            <w:r w:rsidRPr="00B447C7">
              <w:rPr>
                <w:i w:val="0"/>
                <w:iCs w:val="0"/>
              </w:rPr>
              <w:sym w:font="Wingdings" w:char="F0FC"/>
            </w:r>
          </w:p>
        </w:tc>
        <w:tc>
          <w:tcPr>
            <w:tcW w:w="8503" w:type="dxa"/>
            <w:tcBorders>
              <w:top w:val="nil"/>
              <w:left w:val="nil"/>
              <w:bottom w:val="nil"/>
              <w:right w:val="nil"/>
            </w:tcBorders>
            <w:shd w:val="clear" w:color="auto" w:fill="D9ECEA" w:themeFill="accent2"/>
          </w:tcPr>
          <w:p w14:paraId="4851BEE3" w14:textId="77777777" w:rsidR="00FD3DDD" w:rsidRPr="00B447C7" w:rsidRDefault="00FD3DDD" w:rsidP="00092E73">
            <w:pPr>
              <w:pStyle w:val="Exampletext"/>
              <w:rPr>
                <w:i w:val="0"/>
                <w:iCs w:val="0"/>
              </w:rPr>
            </w:pPr>
            <w:r w:rsidRPr="00B447C7">
              <w:rPr>
                <w:i w:val="0"/>
                <w:iCs w:val="0"/>
              </w:rPr>
              <w:t>Support demolition where it:</w:t>
            </w:r>
          </w:p>
          <w:p w14:paraId="0314EF53" w14:textId="77777777" w:rsidR="00FD3DDD" w:rsidRPr="00B447C7" w:rsidRDefault="00FD3DDD" w:rsidP="005510AA">
            <w:pPr>
              <w:pStyle w:val="Examplebullet"/>
              <w:rPr>
                <w:i w:val="0"/>
                <w:iCs w:val="0"/>
              </w:rPr>
            </w:pPr>
            <w:r w:rsidRPr="00B447C7">
              <w:rPr>
                <w:i w:val="0"/>
                <w:iCs w:val="0"/>
              </w:rPr>
              <w:t>Contributes to the long-term conservation of the building fabric.</w:t>
            </w:r>
          </w:p>
          <w:p w14:paraId="552DE2FF" w14:textId="77777777" w:rsidR="00FD3DDD" w:rsidRPr="00B447C7" w:rsidRDefault="00FD3DDD" w:rsidP="005510AA">
            <w:pPr>
              <w:pStyle w:val="Examplebullet"/>
              <w:rPr>
                <w:i w:val="0"/>
                <w:iCs w:val="0"/>
              </w:rPr>
            </w:pPr>
            <w:r w:rsidRPr="00B447C7">
              <w:rPr>
                <w:i w:val="0"/>
                <w:iCs w:val="0"/>
              </w:rPr>
              <w:t>Involves the removal of later uncomplimentary modifications.</w:t>
            </w:r>
          </w:p>
          <w:p w14:paraId="5C6A320B" w14:textId="77777777" w:rsidR="00FD3DDD" w:rsidRPr="00B447C7" w:rsidRDefault="00FD3DDD" w:rsidP="005510AA">
            <w:pPr>
              <w:pStyle w:val="Examplebullet"/>
              <w:rPr>
                <w:i w:val="0"/>
                <w:iCs w:val="0"/>
              </w:rPr>
            </w:pPr>
            <w:r w:rsidRPr="00B447C7">
              <w:rPr>
                <w:i w:val="0"/>
                <w:iCs w:val="0"/>
              </w:rPr>
              <w:t>Enhances the heritage significance of the place.</w:t>
            </w:r>
          </w:p>
        </w:tc>
      </w:tr>
    </w:tbl>
    <w:bookmarkEnd w:id="307"/>
    <w:p w14:paraId="544300C9" w14:textId="2F3C8604" w:rsidR="00FD3DDD" w:rsidRDefault="00FD3DDD" w:rsidP="002E55BC">
      <w:pPr>
        <w:pStyle w:val="DELWPbodyafterbullets"/>
      </w:pPr>
      <w:r>
        <w:t>Once the basis for a local policy is established in the PPF (</w:t>
      </w:r>
      <w:proofErr w:type="gramStart"/>
      <w:r>
        <w:t>i</w:t>
      </w:r>
      <w:r w:rsidR="0049175B">
        <w:t>.</w:t>
      </w:r>
      <w:r>
        <w:t>e.</w:t>
      </w:r>
      <w:proofErr w:type="gramEnd"/>
      <w:r>
        <w:t xml:space="preserve"> </w:t>
      </w:r>
      <w:r>
        <w:rPr>
          <w:lang w:val="en-US"/>
        </w:rPr>
        <w:t>a matter to be considered or an outcome being sought)</w:t>
      </w:r>
      <w:r w:rsidR="00FD5B95">
        <w:rPr>
          <w:lang w:val="en-US"/>
        </w:rPr>
        <w:t>,</w:t>
      </w:r>
      <w:r>
        <w:t xml:space="preserve"> an</w:t>
      </w:r>
      <w:r w:rsidRPr="00756703">
        <w:t xml:space="preserve"> application checklist outside of the planning scheme</w:t>
      </w:r>
      <w:r w:rsidR="00263B6C">
        <w:t xml:space="preserve"> </w:t>
      </w:r>
      <w:r>
        <w:t>can</w:t>
      </w:r>
      <w:r w:rsidR="00115F50">
        <w:t xml:space="preserve"> </w:t>
      </w:r>
      <w:r w:rsidR="00115F50" w:rsidRPr="009D6810">
        <w:t>be used to</w:t>
      </w:r>
      <w:r w:rsidRPr="009D6810">
        <w:t xml:space="preserve"> </w:t>
      </w:r>
      <w:r w:rsidR="00263B6C" w:rsidRPr="009D6810">
        <w:t xml:space="preserve">supplement </w:t>
      </w:r>
      <w:r w:rsidR="00C37612" w:rsidRPr="009D6810">
        <w:t>the local policy</w:t>
      </w:r>
      <w:r w:rsidR="00115F50" w:rsidRPr="009D6810">
        <w:t>.</w:t>
      </w:r>
      <w:r w:rsidR="00885652" w:rsidRPr="009D6810">
        <w:t xml:space="preserve"> The checklist could</w:t>
      </w:r>
      <w:r w:rsidR="00C37612" w:rsidRPr="009D6810">
        <w:t xml:space="preserve"> </w:t>
      </w:r>
      <w:r w:rsidR="00417368" w:rsidRPr="009D6810">
        <w:t>include</w:t>
      </w:r>
      <w:r w:rsidR="00263B6C" w:rsidRPr="009D6810">
        <w:t xml:space="preserve"> a </w:t>
      </w:r>
      <w:r w:rsidRPr="009D6810">
        <w:t>list</w:t>
      </w:r>
      <w:r w:rsidR="00263B6C" w:rsidRPr="009D6810">
        <w:t xml:space="preserve"> of</w:t>
      </w:r>
      <w:r w:rsidRPr="009D6810">
        <w:t xml:space="preserve"> any information </w:t>
      </w:r>
      <w:r w:rsidR="00417368" w:rsidRPr="009D6810">
        <w:t xml:space="preserve">that may be </w:t>
      </w:r>
      <w:r w:rsidRPr="009D6810">
        <w:t xml:space="preserve">required for an applicant to demonstrate </w:t>
      </w:r>
      <w:r w:rsidR="00417368" w:rsidRPr="009D6810">
        <w:t xml:space="preserve">that they have </w:t>
      </w:r>
      <w:r w:rsidRPr="009D6810">
        <w:t>compli</w:t>
      </w:r>
      <w:r w:rsidR="00417368" w:rsidRPr="009D6810">
        <w:t>ed</w:t>
      </w:r>
      <w:r w:rsidRPr="009D6810">
        <w:t xml:space="preserve"> with the policy.</w:t>
      </w:r>
    </w:p>
    <w:p w14:paraId="7992A6D4" w14:textId="63E9BC7F" w:rsidR="00DA15DD" w:rsidRDefault="008B2C57" w:rsidP="004F6A20">
      <w:pPr>
        <w:pStyle w:val="Heading3"/>
      </w:pPr>
      <w:r>
        <w:lastRenderedPageBreak/>
        <w:t>6.4.7</w:t>
      </w:r>
      <w:r w:rsidR="000B7EED">
        <w:tab/>
      </w:r>
      <w:r>
        <w:tab/>
      </w:r>
      <w:r w:rsidR="00DA15DD">
        <w:t>Regional policies</w:t>
      </w:r>
    </w:p>
    <w:p w14:paraId="31E3A252" w14:textId="20CA3321" w:rsidR="00DA15DD" w:rsidRDefault="000A577A" w:rsidP="002E55BC">
      <w:pPr>
        <w:pStyle w:val="BodyText1"/>
      </w:pPr>
      <w:r>
        <w:t>In addition to local planning polic</w:t>
      </w:r>
      <w:r w:rsidR="00A567AB">
        <w:t>y</w:t>
      </w:r>
      <w:r w:rsidR="007B7861">
        <w:t>, the Minister may include state planning policy in the form of a statewide policy or regional policy.</w:t>
      </w:r>
    </w:p>
    <w:p w14:paraId="0046BCF8" w14:textId="5AA38E97" w:rsidR="00491636" w:rsidRDefault="00922D94" w:rsidP="002E55BC">
      <w:pPr>
        <w:pStyle w:val="BodyText1"/>
      </w:pPr>
      <w:r>
        <w:t xml:space="preserve">A regional planning policy may be applied </w:t>
      </w:r>
      <w:r w:rsidRPr="00805E49">
        <w:t>for matters of state or regional significance, where a unified policy response across municipal boundaries is warranted.</w:t>
      </w:r>
      <w:r w:rsidR="00491636">
        <w:t xml:space="preserve"> T</w:t>
      </w:r>
      <w:r w:rsidR="00491636" w:rsidRPr="00805E49">
        <w:t>he land affected</w:t>
      </w:r>
      <w:r w:rsidR="00491636">
        <w:t xml:space="preserve"> by a regional policy</w:t>
      </w:r>
      <w:r w:rsidR="00491636" w:rsidRPr="00805E49">
        <w:t xml:space="preserve"> does not need to be contiguous.</w:t>
      </w:r>
    </w:p>
    <w:p w14:paraId="364AE0DD" w14:textId="03E441E7" w:rsidR="0070789A" w:rsidRDefault="0070789A" w:rsidP="002E55BC">
      <w:pPr>
        <w:pStyle w:val="BodyText1"/>
      </w:pPr>
      <w:r>
        <w:t>Regional policies cannot be used for the purpose of introducing common policies of local significance across multiple planning schemes.</w:t>
      </w:r>
    </w:p>
    <w:p w14:paraId="489C76AE" w14:textId="45C741DD" w:rsidR="00DC2411" w:rsidRPr="00986209" w:rsidRDefault="004F1D61" w:rsidP="00BA6981">
      <w:pPr>
        <w:pStyle w:val="Heading2"/>
      </w:pPr>
      <w:bookmarkStart w:id="308" w:name="_6.5_How_to"/>
      <w:bookmarkStart w:id="309" w:name="_Ref528680198"/>
      <w:bookmarkStart w:id="310" w:name="_Ref528680247"/>
      <w:bookmarkStart w:id="311" w:name="_Toc158706994"/>
      <w:bookmarkEnd w:id="308"/>
      <w:r>
        <w:t>6.5</w:t>
      </w:r>
      <w:r>
        <w:tab/>
      </w:r>
      <w:r w:rsidR="00AB2C0B" w:rsidRPr="00986209">
        <w:t>How to write a schedule</w:t>
      </w:r>
      <w:bookmarkEnd w:id="309"/>
      <w:bookmarkEnd w:id="310"/>
      <w:bookmarkEnd w:id="311"/>
    </w:p>
    <w:p w14:paraId="489C76AF" w14:textId="3B847783" w:rsidR="00754143" w:rsidRPr="00361E71" w:rsidRDefault="004F1D61" w:rsidP="004F6A20">
      <w:pPr>
        <w:pStyle w:val="Heading3"/>
      </w:pPr>
      <w:r>
        <w:t>6.5.1</w:t>
      </w:r>
      <w:r>
        <w:tab/>
      </w:r>
      <w:r w:rsidR="000B7EED">
        <w:tab/>
      </w:r>
      <w:r w:rsidR="00AB2C0B" w:rsidRPr="00361E71">
        <w:t xml:space="preserve">What a </w:t>
      </w:r>
      <w:r w:rsidR="00AB2C0B" w:rsidRPr="00141DC5">
        <w:t>schedule</w:t>
      </w:r>
      <w:r w:rsidR="00AB2C0B" w:rsidRPr="00361E71">
        <w:t xml:space="preserve"> does</w:t>
      </w:r>
    </w:p>
    <w:p w14:paraId="489C76B0" w14:textId="77777777" w:rsidR="00754143" w:rsidRDefault="00AB2C0B" w:rsidP="002E55BC">
      <w:pPr>
        <w:pStyle w:val="BodyText1"/>
      </w:pPr>
      <w:r>
        <w:t>In addition to the local policy content in the MPS and the PPF, a schedule is a means of including local content in a planning scheme.</w:t>
      </w:r>
      <w:r w:rsidR="00DA5AF6">
        <w:t xml:space="preserve"> </w:t>
      </w:r>
      <w:r>
        <w:t>By providing local context and local refinement, a schedule can ‘fine tune’ a planning provision to align it more effectively to local circumstances and local planning objectives.</w:t>
      </w:r>
    </w:p>
    <w:p w14:paraId="489C76B1" w14:textId="18F14129" w:rsidR="00754143" w:rsidRPr="00361E71" w:rsidRDefault="004F1D61" w:rsidP="004F6A20">
      <w:pPr>
        <w:pStyle w:val="Heading3"/>
      </w:pPr>
      <w:r>
        <w:t>6.5.2</w:t>
      </w:r>
      <w:r>
        <w:tab/>
      </w:r>
      <w:r w:rsidR="000B7EED">
        <w:tab/>
      </w:r>
      <w:r w:rsidR="00AB2C0B" w:rsidRPr="00361E71">
        <w:t>When can a schedule be included?</w:t>
      </w:r>
    </w:p>
    <w:p w14:paraId="489C76B2" w14:textId="31735FE6" w:rsidR="00754143" w:rsidRDefault="00AB2C0B" w:rsidP="002E55BC">
      <w:pPr>
        <w:pStyle w:val="BodyText1"/>
      </w:pPr>
      <w:r>
        <w:t xml:space="preserve">A schedule must be included in a planning scheme where the </w:t>
      </w:r>
      <w:r w:rsidRPr="00742231">
        <w:rPr>
          <w:i/>
          <w:iCs/>
        </w:rPr>
        <w:t>Ministerial Direction</w:t>
      </w:r>
      <w:r>
        <w:t xml:space="preserve"> </w:t>
      </w:r>
      <w:r w:rsidR="00915899">
        <w:t xml:space="preserve">- </w:t>
      </w:r>
      <w:r w:rsidRPr="007E64CD">
        <w:rPr>
          <w:rStyle w:val="Emphasis"/>
        </w:rPr>
        <w:t>The Form and Content of Planning Schemes</w:t>
      </w:r>
      <w:r>
        <w:t xml:space="preserve"> makes provision for it. If there is no local content proposed for the schedule, the words ‘No content’ must be inserted to make it clear that there is no content intended for that </w:t>
      </w:r>
      <w:proofErr w:type="gramStart"/>
      <w:r>
        <w:t>particular matter</w:t>
      </w:r>
      <w:proofErr w:type="gramEnd"/>
      <w:r>
        <w:t>.</w:t>
      </w:r>
    </w:p>
    <w:p w14:paraId="489C76B3" w14:textId="77777777" w:rsidR="00754143" w:rsidRDefault="00AB2C0B" w:rsidP="002E55BC">
      <w:pPr>
        <w:pStyle w:val="BodyText1"/>
      </w:pPr>
      <w:r>
        <w:t>A schedule must always use the format set out in the Ministerial Direction.</w:t>
      </w:r>
    </w:p>
    <w:p w14:paraId="489C76B4" w14:textId="77777777" w:rsidR="00754143" w:rsidRDefault="00AB2C0B" w:rsidP="002E55BC">
      <w:pPr>
        <w:pStyle w:val="BodyText1"/>
      </w:pPr>
      <w:r>
        <w:t>If the Ministerial Direction does not provide for a schedule, a schedule cannot be included.</w:t>
      </w:r>
    </w:p>
    <w:p w14:paraId="489C76B5" w14:textId="00E18AF5" w:rsidR="00754143" w:rsidRPr="00361E71" w:rsidRDefault="004F1D61" w:rsidP="004F6A20">
      <w:pPr>
        <w:pStyle w:val="Heading3"/>
      </w:pPr>
      <w:r>
        <w:t>6.5.3</w:t>
      </w:r>
      <w:r>
        <w:tab/>
      </w:r>
      <w:r w:rsidR="000B7EED">
        <w:tab/>
      </w:r>
      <w:r w:rsidR="00AB2C0B" w:rsidRPr="00361E71">
        <w:t>Good practice for drafting a schedule</w:t>
      </w:r>
    </w:p>
    <w:p w14:paraId="489C76B6" w14:textId="4720686E" w:rsidR="00754143" w:rsidRDefault="00AB2C0B" w:rsidP="002E55BC">
      <w:pPr>
        <w:pStyle w:val="BodyText1"/>
      </w:pPr>
      <w:r>
        <w:t xml:space="preserve">A schedule should communicate clearly to the user by being technically accurate, easy to interpret and easy to apply. </w:t>
      </w:r>
      <w:r w:rsidR="00875C8D">
        <w:t>Writing</w:t>
      </w:r>
      <w:r>
        <w:t xml:space="preserve"> a good schedule requires a clear understanding of:</w:t>
      </w:r>
    </w:p>
    <w:p w14:paraId="489C76B7" w14:textId="77777777" w:rsidR="00DC2411" w:rsidRDefault="00AB2C0B" w:rsidP="00723A0D">
      <w:pPr>
        <w:pStyle w:val="DELWPbullet1"/>
      </w:pPr>
      <w:r>
        <w:t>the planning objective being sought</w:t>
      </w:r>
    </w:p>
    <w:p w14:paraId="489C76B8" w14:textId="77777777" w:rsidR="00DC2411" w:rsidRDefault="00AB2C0B" w:rsidP="00723A0D">
      <w:pPr>
        <w:pStyle w:val="DELWPbullet1"/>
      </w:pPr>
      <w:r>
        <w:t>the extent to which the parent provision needs to be augmented by the schedule to achieve the planning objective</w:t>
      </w:r>
    </w:p>
    <w:p w14:paraId="489C76B9" w14:textId="77777777" w:rsidR="00DC2411" w:rsidRDefault="00AB2C0B" w:rsidP="00723A0D">
      <w:pPr>
        <w:pStyle w:val="DELWPbullet1"/>
      </w:pPr>
      <w:r>
        <w:t>the requirements for schedules set out in the Ministerial Direction</w:t>
      </w:r>
    </w:p>
    <w:p w14:paraId="489C76BA" w14:textId="77777777" w:rsidR="00DC2411" w:rsidRDefault="00AB2C0B" w:rsidP="00723A0D">
      <w:pPr>
        <w:pStyle w:val="DELWPbullet1"/>
      </w:pPr>
      <w:r>
        <w:t>writing in plain English.</w:t>
      </w:r>
    </w:p>
    <w:p w14:paraId="489C76BB" w14:textId="3DD813F6" w:rsidR="00754143" w:rsidRDefault="00AB2C0B" w:rsidP="002E55BC">
      <w:pPr>
        <w:pStyle w:val="DELWPbodyafterbullets"/>
      </w:pPr>
      <w:r>
        <w:t>Whatever task the schedule is performing, consider the guidelines set out below</w:t>
      </w:r>
      <w:r w:rsidR="007C6F8D">
        <w:t>:</w:t>
      </w:r>
    </w:p>
    <w:p w14:paraId="489C76BC" w14:textId="41532332" w:rsidR="00DC2411" w:rsidRDefault="00AB2C0B" w:rsidP="00723A0D">
      <w:pPr>
        <w:pStyle w:val="DELWPbullet1"/>
      </w:pPr>
      <w:r>
        <w:t>A schedule must be read with other planning controls</w:t>
      </w:r>
    </w:p>
    <w:p w14:paraId="489C76BD" w14:textId="25828735" w:rsidR="00DC2411" w:rsidRDefault="00AB2C0B" w:rsidP="00723A0D">
      <w:pPr>
        <w:pStyle w:val="DELWPbullet1"/>
      </w:pPr>
      <w:r>
        <w:t>The local content in a schedule should help to implement a planning objective</w:t>
      </w:r>
    </w:p>
    <w:p w14:paraId="489C76BE" w14:textId="2D7A09D6" w:rsidR="00DC2411" w:rsidRDefault="00AB2C0B" w:rsidP="00723A0D">
      <w:pPr>
        <w:pStyle w:val="DELWPbullet1"/>
      </w:pPr>
      <w:r>
        <w:t>The local content in a schedule should be strategically justified</w:t>
      </w:r>
    </w:p>
    <w:p w14:paraId="489C76BF" w14:textId="1B89B0A2" w:rsidR="00DC2411" w:rsidRDefault="00AB2C0B" w:rsidP="00723A0D">
      <w:pPr>
        <w:pStyle w:val="DELWPbullet1"/>
      </w:pPr>
      <w:r>
        <w:t xml:space="preserve">The purpose of a local </w:t>
      </w:r>
      <w:r w:rsidRPr="005972C5">
        <w:t>requirement must</w:t>
      </w:r>
      <w:r>
        <w:t xml:space="preserve"> be clear</w:t>
      </w:r>
    </w:p>
    <w:p w14:paraId="489C76C0" w14:textId="0C49E90F" w:rsidR="00DC2411" w:rsidRDefault="00AB2C0B" w:rsidP="00723A0D">
      <w:pPr>
        <w:pStyle w:val="DELWPbullet1"/>
      </w:pPr>
      <w:r>
        <w:t>The local content in a schedule can only do what the parent provision enables</w:t>
      </w:r>
    </w:p>
    <w:p w14:paraId="489C76C1" w14:textId="0A7E8C64" w:rsidR="00DC2411" w:rsidRDefault="00AB2C0B" w:rsidP="00723A0D">
      <w:pPr>
        <w:pStyle w:val="DELWPbullet1"/>
      </w:pPr>
      <w:r>
        <w:t>The local content in a schedule should not duplicate other provisions</w:t>
      </w:r>
    </w:p>
    <w:p w14:paraId="489C76C2" w14:textId="3E0BDFBB" w:rsidR="00DC2411" w:rsidRDefault="005F062A" w:rsidP="00723A0D">
      <w:pPr>
        <w:pStyle w:val="DELWPbullet1"/>
      </w:pPr>
      <w:r>
        <w:lastRenderedPageBreak/>
        <w:t>T</w:t>
      </w:r>
      <w:r w:rsidR="00AB2C0B">
        <w:t>he local content in a schedule should have a legally certain meaning</w:t>
      </w:r>
    </w:p>
    <w:p w14:paraId="489C76C3" w14:textId="77777777" w:rsidR="00DC2411" w:rsidRDefault="00AB2C0B" w:rsidP="00723A0D">
      <w:pPr>
        <w:pStyle w:val="DELWPbullet1"/>
      </w:pPr>
      <w:r>
        <w:t>The local content in a schedule should be easy to read.</w:t>
      </w:r>
    </w:p>
    <w:p w14:paraId="489C76C4" w14:textId="77777777" w:rsidR="00754143" w:rsidRDefault="00AB2C0B" w:rsidP="002E55BC">
      <w:pPr>
        <w:pStyle w:val="DELWPbodyafterbullets"/>
      </w:pPr>
      <w:r>
        <w:t>These guidelines are explained below.</w:t>
      </w:r>
    </w:p>
    <w:p w14:paraId="489C76C5" w14:textId="77777777" w:rsidR="00DC2411" w:rsidRDefault="00AB2C0B" w:rsidP="002123AF">
      <w:pPr>
        <w:pStyle w:val="Heading4"/>
      </w:pPr>
      <w:r>
        <w:t>A schedule must be read with other planning controls</w:t>
      </w:r>
    </w:p>
    <w:p w14:paraId="489C76C6" w14:textId="77777777" w:rsidR="00754143" w:rsidRDefault="00AB2C0B" w:rsidP="002E55BC">
      <w:pPr>
        <w:pStyle w:val="BodyText1"/>
      </w:pPr>
      <w:r>
        <w:t>A schedule adds to the parent control that it is derived from. It is essential to understand the parent control before writing a schedule. Reading a schedule in isolation, or reading other controls without reading a relevant schedule, will give an incomplete picture of the provisions of the scheme.</w:t>
      </w:r>
    </w:p>
    <w:p w14:paraId="489C76C7" w14:textId="4C27D793" w:rsidR="00754143" w:rsidRDefault="00AB2C0B" w:rsidP="002E55BC">
      <w:pPr>
        <w:pStyle w:val="BodyText1"/>
      </w:pPr>
      <w:r>
        <w:t xml:space="preserve">The local content in a schedule should help to implement a planning </w:t>
      </w:r>
      <w:r w:rsidRPr="00187229">
        <w:t>objective</w:t>
      </w:r>
      <w:r w:rsidR="0059772A" w:rsidRPr="00187229">
        <w:t>.</w:t>
      </w:r>
    </w:p>
    <w:p w14:paraId="489C76C8" w14:textId="77777777" w:rsidR="00754143" w:rsidRDefault="00AB2C0B" w:rsidP="002E55BC">
      <w:pPr>
        <w:pStyle w:val="BodyText1"/>
      </w:pPr>
      <w:r>
        <w:t>Schedules are a key tool to adapt the provisions of zones and overlays to implement strategies contained in the PPF.</w:t>
      </w:r>
    </w:p>
    <w:p w14:paraId="489C76C9" w14:textId="77777777" w:rsidR="00754143" w:rsidRDefault="00AB2C0B" w:rsidP="002E55BC">
      <w:pPr>
        <w:pStyle w:val="BodyText1"/>
      </w:pPr>
      <w:r>
        <w:t>Schedule provisions should have a strategic justification in the MPS or PPF and must not conflict with policy objectives. Some clauses in the PPF contain specific guidance that the content in a schedule must be consistent with.</w:t>
      </w:r>
    </w:p>
    <w:p w14:paraId="489C76CA" w14:textId="673AAA47" w:rsidR="00754143" w:rsidRDefault="00AB2C0B" w:rsidP="002E55BC">
      <w:pPr>
        <w:pStyle w:val="BodyText1"/>
      </w:pPr>
      <w:r>
        <w:t>Before drafting a schedule, look at the relevant policy objectives and strategies. Ask how they can best be implemented and whether they need the specific controls of a schedule.</w:t>
      </w:r>
      <w:r w:rsidR="00DA5AF6">
        <w:t xml:space="preserve"> </w:t>
      </w:r>
      <w:r>
        <w:t xml:space="preserve">A local policy in the PPF may be an appropriate alternative. See Rule 2 at </w:t>
      </w:r>
      <w:r w:rsidR="0074503B" w:rsidRPr="007D48CF">
        <w:rPr>
          <w:rStyle w:val="Strong"/>
        </w:rPr>
        <w:t>Chapter</w:t>
      </w:r>
      <w:r w:rsidRPr="007D48CF">
        <w:rPr>
          <w:rStyle w:val="Strong"/>
        </w:rPr>
        <w:t xml:space="preserve"> </w:t>
      </w:r>
      <w:r w:rsidR="003110AC" w:rsidRPr="007D48CF">
        <w:rPr>
          <w:rStyle w:val="Strong"/>
        </w:rPr>
        <w:t>4.2</w:t>
      </w:r>
      <w:r>
        <w:t xml:space="preserve"> and Rule 4 at </w:t>
      </w:r>
      <w:r w:rsidR="0074503B" w:rsidRPr="007D48CF">
        <w:rPr>
          <w:rStyle w:val="Strong"/>
        </w:rPr>
        <w:t>Chapter</w:t>
      </w:r>
      <w:r w:rsidR="005F062A" w:rsidRPr="007D48CF">
        <w:rPr>
          <w:rStyle w:val="Strong"/>
        </w:rPr>
        <w:t xml:space="preserve"> </w:t>
      </w:r>
      <w:r w:rsidR="003110AC" w:rsidRPr="007D48CF">
        <w:rPr>
          <w:rStyle w:val="Strong"/>
        </w:rPr>
        <w:t>4.3</w:t>
      </w:r>
      <w:r w:rsidRPr="007D48CF">
        <w:t>.</w:t>
      </w:r>
    </w:p>
    <w:p w14:paraId="489C76CB" w14:textId="77777777" w:rsidR="00DC2411" w:rsidRDefault="00AB2C0B" w:rsidP="002123AF">
      <w:pPr>
        <w:pStyle w:val="Heading4"/>
      </w:pPr>
      <w:r>
        <w:t>The local content in a schedule should be strategically justified</w:t>
      </w:r>
    </w:p>
    <w:p w14:paraId="489C76CC" w14:textId="77777777" w:rsidR="00754143" w:rsidRDefault="00AB2C0B" w:rsidP="002E55BC">
      <w:pPr>
        <w:pStyle w:val="BodyText1"/>
      </w:pPr>
      <w:r>
        <w:t>Local content in schedules can change the provisions in a scheme if the ‘parent provision’ enables this to happen and there is sufficient strategic justification.</w:t>
      </w:r>
    </w:p>
    <w:p w14:paraId="489C76CD" w14:textId="6EB267D2" w:rsidR="00754143" w:rsidRDefault="00AB2C0B" w:rsidP="002E55BC">
      <w:pPr>
        <w:pStyle w:val="BodyText1"/>
      </w:pPr>
      <w:r>
        <w:t xml:space="preserve">For example, a schedule to the Design and Development Overlay can specify that a permit is not required to construct a building or construct or carry out works because </w:t>
      </w:r>
      <w:r w:rsidR="001F616D" w:rsidRPr="007D48CF">
        <w:rPr>
          <w:rStyle w:val="Strong"/>
        </w:rPr>
        <w:t>c</w:t>
      </w:r>
      <w:r w:rsidRPr="007D48CF">
        <w:rPr>
          <w:rStyle w:val="Strong"/>
        </w:rPr>
        <w:t>lause 43.02-2</w:t>
      </w:r>
      <w:r>
        <w:t xml:space="preserve"> in the Design and Development Overlay specifically allows for this.</w:t>
      </w:r>
    </w:p>
    <w:p w14:paraId="489C76CE" w14:textId="50A36313" w:rsidR="00754143" w:rsidRDefault="00AB2C0B" w:rsidP="002E55BC">
      <w:pPr>
        <w:pStyle w:val="BodyText1"/>
      </w:pPr>
      <w:r>
        <w:t xml:space="preserve">Such changes must have a strategic justification. The planning authority must be able to demonstrate that the change that they propose addresses clearly identified planning objectives. See Rule 2 at </w:t>
      </w:r>
      <w:r w:rsidR="0074503B" w:rsidRPr="007D48CF">
        <w:rPr>
          <w:rStyle w:val="Strong"/>
        </w:rPr>
        <w:t>Chapter</w:t>
      </w:r>
      <w:r w:rsidR="0070789A" w:rsidRPr="007D48CF">
        <w:rPr>
          <w:rStyle w:val="Strong"/>
        </w:rPr>
        <w:t xml:space="preserve"> </w:t>
      </w:r>
      <w:r w:rsidR="003110AC" w:rsidRPr="007D48CF">
        <w:rPr>
          <w:rStyle w:val="Strong"/>
        </w:rPr>
        <w:t>4.2</w:t>
      </w:r>
      <w:r>
        <w:t>.</w:t>
      </w:r>
    </w:p>
    <w:p w14:paraId="489C76CF" w14:textId="271C9E5B" w:rsidR="00754143" w:rsidRPr="007D48CF" w:rsidRDefault="00AB2C0B" w:rsidP="002E55BC">
      <w:pPr>
        <w:pStyle w:val="BodyText1"/>
      </w:pPr>
      <w:r>
        <w:t xml:space="preserve">Changes should be enabling rather than prescriptive. The creation of a new discretion or the removal of a permit requirement where proposals of a particular type meet defined planning objectives can be valid uses of a schedule. The use of a schedule to prohibit use or development allowed by the ‘parent provision’ will seldom be justified. See Rule 4 at </w:t>
      </w:r>
      <w:r w:rsidR="0074503B" w:rsidRPr="007D48CF">
        <w:rPr>
          <w:rStyle w:val="Strong"/>
        </w:rPr>
        <w:t>Chapter</w:t>
      </w:r>
      <w:r w:rsidR="0070789A" w:rsidRPr="007D48CF">
        <w:rPr>
          <w:rStyle w:val="Strong"/>
        </w:rPr>
        <w:t xml:space="preserve"> </w:t>
      </w:r>
      <w:r w:rsidR="003110AC" w:rsidRPr="007D48CF">
        <w:rPr>
          <w:rStyle w:val="Strong"/>
        </w:rPr>
        <w:t>4.3</w:t>
      </w:r>
      <w:r w:rsidRPr="007D48CF">
        <w:t>.</w:t>
      </w:r>
    </w:p>
    <w:p w14:paraId="489C76D0" w14:textId="77777777" w:rsidR="00DC2411" w:rsidRDefault="00AB2C0B" w:rsidP="002123AF">
      <w:pPr>
        <w:pStyle w:val="Heading4"/>
      </w:pPr>
      <w:r>
        <w:t>The purpose of a local requirement must be clear</w:t>
      </w:r>
    </w:p>
    <w:p w14:paraId="489C76D1" w14:textId="0FF3C35B" w:rsidR="00754143" w:rsidRDefault="00AB2C0B" w:rsidP="002E55BC">
      <w:pPr>
        <w:pStyle w:val="BodyText1"/>
      </w:pPr>
      <w:r>
        <w:t>A requirement of a schedule must be capable of achieving the planning outcomes sought by the ‘parent provision’ and the objectives or purposes of the schedule.</w:t>
      </w:r>
      <w:r w:rsidR="00DA5AF6">
        <w:t xml:space="preserve"> </w:t>
      </w:r>
      <w:r>
        <w:t xml:space="preserve">A requirement that cannot measurably achieve the planning outcome sought by the ‘parent provision’ or the schedule should be avoided. See Rule 6 at </w:t>
      </w:r>
      <w:r w:rsidR="0074503B" w:rsidRPr="007D48CF">
        <w:rPr>
          <w:rStyle w:val="Strong"/>
        </w:rPr>
        <w:t>Chapter</w:t>
      </w:r>
      <w:r w:rsidRPr="007D48CF">
        <w:rPr>
          <w:rStyle w:val="Strong"/>
        </w:rPr>
        <w:t xml:space="preserve"> </w:t>
      </w:r>
      <w:r w:rsidR="003110AC" w:rsidRPr="007D48CF">
        <w:rPr>
          <w:rStyle w:val="Strong"/>
        </w:rPr>
        <w:t>4.3</w:t>
      </w:r>
      <w:r w:rsidRPr="007D48CF">
        <w:t>.</w:t>
      </w:r>
    </w:p>
    <w:p w14:paraId="489C76D2" w14:textId="77777777" w:rsidR="00754143" w:rsidRDefault="00AB2C0B" w:rsidP="002E55BC">
      <w:pPr>
        <w:pStyle w:val="BodyText1"/>
      </w:pPr>
      <w:r>
        <w:lastRenderedPageBreak/>
        <w:t>Schedules can use a range of requirements such as performance standards, decision guidelines, application requirements, exemptions and the need for plans or conditions on approvals.</w:t>
      </w:r>
      <w:r w:rsidR="00DA5AF6">
        <w:t xml:space="preserve"> </w:t>
      </w:r>
      <w:r>
        <w:t>One type of requirement may better achieve the planning outcomes of a ‘parent provision’ and the schedule than others.</w:t>
      </w:r>
    </w:p>
    <w:p w14:paraId="489C76D3" w14:textId="77777777" w:rsidR="00DC2411" w:rsidRDefault="00AB2C0B" w:rsidP="002123AF">
      <w:pPr>
        <w:pStyle w:val="Heading4"/>
      </w:pPr>
      <w:r>
        <w:t>The local content in a schedule can only do what the parent provision enables</w:t>
      </w:r>
    </w:p>
    <w:p w14:paraId="489C76D4" w14:textId="744DA5B0" w:rsidR="00754143" w:rsidRDefault="00AB2C0B" w:rsidP="002E55BC">
      <w:pPr>
        <w:pStyle w:val="BodyText1"/>
      </w:pPr>
      <w:r>
        <w:t xml:space="preserve">A schedule can only do the tasks enabled by its ‘parent provision’. Using a schedule for a function not provided for in the parent provision is beyond the power of the schedule. See Rule 5 at </w:t>
      </w:r>
      <w:r w:rsidR="0074503B" w:rsidRPr="007D48CF">
        <w:rPr>
          <w:rStyle w:val="Strong"/>
        </w:rPr>
        <w:t>Chapter</w:t>
      </w:r>
      <w:r w:rsidRPr="007D48CF">
        <w:rPr>
          <w:rStyle w:val="Strong"/>
        </w:rPr>
        <w:t xml:space="preserve"> </w:t>
      </w:r>
      <w:r w:rsidR="003110AC" w:rsidRPr="007D48CF">
        <w:rPr>
          <w:rStyle w:val="Strong"/>
        </w:rPr>
        <w:t>4.3</w:t>
      </w:r>
      <w:r>
        <w:t>.</w:t>
      </w:r>
    </w:p>
    <w:p w14:paraId="489C76D5" w14:textId="12984C5B" w:rsidR="00754143" w:rsidRDefault="00AB2C0B" w:rsidP="002E55BC">
      <w:pPr>
        <w:pStyle w:val="BodyText1"/>
      </w:pPr>
      <w:r>
        <w:t>Generally, zones control use and development while overlays control only development</w:t>
      </w:r>
      <w:r w:rsidR="00240093">
        <w:t>;</w:t>
      </w:r>
      <w:r>
        <w:t xml:space="preserve"> however</w:t>
      </w:r>
      <w:r w:rsidR="00973083">
        <w:t>,</w:t>
      </w:r>
      <w:r>
        <w:t xml:space="preserve"> there are some exceptions to this.</w:t>
      </w:r>
      <w:r w:rsidR="00DA5AF6">
        <w:t xml:space="preserve"> </w:t>
      </w:r>
      <w:r>
        <w:t>The parent provision may restrict the scope of the schedule to only specified aspects of use or development.</w:t>
      </w:r>
      <w:r w:rsidR="00DA5AF6">
        <w:t xml:space="preserve"> </w:t>
      </w:r>
      <w:r>
        <w:t>For example, in the Industrial 1 Zone, the only matter able to be managed by a schedule arises from the condition relating to ‘</w:t>
      </w:r>
      <w:r w:rsidR="00305F88">
        <w:t>Office</w:t>
      </w:r>
      <w:r>
        <w:t xml:space="preserve">’ in the table of uses, which enables a schedule to specify a </w:t>
      </w:r>
      <w:r w:rsidR="00D0716E">
        <w:t>maximum</w:t>
      </w:r>
      <w:r>
        <w:t xml:space="preserve"> leasable floor area.</w:t>
      </w:r>
    </w:p>
    <w:p w14:paraId="489C76D6" w14:textId="77777777" w:rsidR="00754143" w:rsidRDefault="00AB2C0B" w:rsidP="002E55BC">
      <w:pPr>
        <w:pStyle w:val="BodyText1"/>
      </w:pPr>
      <w:r>
        <w:t>Read the parent provision carefully to identify the scope of the schedule and ensure that the schedule is consistent.</w:t>
      </w:r>
    </w:p>
    <w:p w14:paraId="489C76D7" w14:textId="77777777" w:rsidR="00DC2411" w:rsidRDefault="00AB2C0B" w:rsidP="002123AF">
      <w:pPr>
        <w:pStyle w:val="Heading4"/>
      </w:pPr>
      <w:r>
        <w:t>The local content in a schedule should not duplicate other provisions</w:t>
      </w:r>
    </w:p>
    <w:p w14:paraId="489C76D8" w14:textId="108FB695" w:rsidR="00754143" w:rsidRDefault="00AB2C0B" w:rsidP="002E55BC">
      <w:pPr>
        <w:pStyle w:val="BodyText1"/>
      </w:pPr>
      <w:r>
        <w:t xml:space="preserve">When drafting a schedule, the other provisions that apply to the affected area should be considered with care. If they contain controls that already meet the planning objectives for the area, the schedule should not duplicate these. See Rule 3 at </w:t>
      </w:r>
      <w:r w:rsidR="0074503B" w:rsidRPr="007D48CF">
        <w:rPr>
          <w:rStyle w:val="Strong"/>
        </w:rPr>
        <w:t>Chapter</w:t>
      </w:r>
      <w:r w:rsidRPr="007D48CF">
        <w:rPr>
          <w:rStyle w:val="Strong"/>
        </w:rPr>
        <w:t xml:space="preserve"> </w:t>
      </w:r>
      <w:r w:rsidR="003110AC" w:rsidRPr="007D48CF">
        <w:rPr>
          <w:rStyle w:val="Strong"/>
        </w:rPr>
        <w:t>4.2</w:t>
      </w:r>
      <w:r>
        <w:t>.</w:t>
      </w:r>
    </w:p>
    <w:p w14:paraId="489C76D9" w14:textId="4F1231DF" w:rsidR="00DC2411" w:rsidRDefault="00AB2C0B" w:rsidP="002123AF">
      <w:pPr>
        <w:pStyle w:val="Heading4"/>
      </w:pPr>
      <w:r>
        <w:t>The local content in a schedule should have a legally certain meaning</w:t>
      </w:r>
    </w:p>
    <w:p w14:paraId="489C76DA" w14:textId="0F32898D" w:rsidR="00754143" w:rsidRDefault="00AB2C0B" w:rsidP="002E55BC">
      <w:pPr>
        <w:pStyle w:val="BodyText1"/>
      </w:pPr>
      <w:r>
        <w:t>Take care when writing a schedule to use terms consistent with their meaning in the Act, the</w:t>
      </w:r>
      <w:r w:rsidRPr="007E64CD">
        <w:rPr>
          <w:rStyle w:val="Emphasis"/>
        </w:rPr>
        <w:t xml:space="preserve"> Interpretation of Legislation Act 1984</w:t>
      </w:r>
      <w:r>
        <w:t xml:space="preserve"> and </w:t>
      </w:r>
      <w:r w:rsidR="001F616D" w:rsidRPr="007D48CF">
        <w:rPr>
          <w:rStyle w:val="Strong"/>
        </w:rPr>
        <w:t>c</w:t>
      </w:r>
      <w:r w:rsidRPr="007D48CF">
        <w:rPr>
          <w:rStyle w:val="Strong"/>
        </w:rPr>
        <w:t>lause 73</w:t>
      </w:r>
      <w:r>
        <w:t xml:space="preserve"> of the planning scheme. See Rule 7 at </w:t>
      </w:r>
      <w:r w:rsidR="0074503B" w:rsidRPr="007D48CF">
        <w:rPr>
          <w:rStyle w:val="Strong"/>
        </w:rPr>
        <w:t>Chapter</w:t>
      </w:r>
      <w:r w:rsidR="00F83B49" w:rsidRPr="007D48CF">
        <w:rPr>
          <w:rStyle w:val="Strong"/>
          <w:rFonts w:ascii="Cambria" w:hAnsi="Cambria" w:cs="Cambria"/>
        </w:rPr>
        <w:t> </w:t>
      </w:r>
      <w:r w:rsidR="003110AC" w:rsidRPr="007D48CF">
        <w:rPr>
          <w:rStyle w:val="Strong"/>
        </w:rPr>
        <w:t>4.4</w:t>
      </w:r>
      <w:r>
        <w:t>.</w:t>
      </w:r>
    </w:p>
    <w:p w14:paraId="489C76DB" w14:textId="719D30B5" w:rsidR="00754143" w:rsidRDefault="00AB2C0B" w:rsidP="002E55BC">
      <w:pPr>
        <w:pStyle w:val="BodyText1"/>
      </w:pPr>
      <w:r w:rsidRPr="0052177C">
        <w:t>Terms that are not</w:t>
      </w:r>
      <w:r>
        <w:t xml:space="preserve"> defined in the planning scheme or legislation take their ordinary meanings as defined in the Macquarie Dictionary.</w:t>
      </w:r>
      <w:r w:rsidR="00DA5AF6">
        <w:t xml:space="preserve"> </w:t>
      </w:r>
      <w:r w:rsidR="008B22AD">
        <w:t>Avoid introducing</w:t>
      </w:r>
      <w:r>
        <w:t xml:space="preserve"> specific local definition</w:t>
      </w:r>
      <w:r w:rsidR="008B22AD">
        <w:t xml:space="preserve"> in local provision</w:t>
      </w:r>
      <w:r w:rsidR="00134CC9">
        <w:t>s</w:t>
      </w:r>
      <w:r>
        <w:t xml:space="preserve">. Using a term that is new to the </w:t>
      </w:r>
      <w:r w:rsidR="00032FFE">
        <w:t xml:space="preserve">planning </w:t>
      </w:r>
      <w:r>
        <w:t xml:space="preserve">scheme may make the meaning of a schedule uncertain, causing dispute, delay and expense if the term </w:t>
      </w:r>
      <w:proofErr w:type="gramStart"/>
      <w:r>
        <w:t>has to</w:t>
      </w:r>
      <w:proofErr w:type="gramEnd"/>
      <w:r>
        <w:t xml:space="preserve"> be legally interpreted.</w:t>
      </w:r>
      <w:r w:rsidR="00DA5AF6">
        <w:t xml:space="preserve"> </w:t>
      </w:r>
      <w:r>
        <w:t>Always check that the dictionary meaning of an undefined term aligns with the intention of the provision.</w:t>
      </w:r>
    </w:p>
    <w:p w14:paraId="489C76DC" w14:textId="77777777" w:rsidR="00DC2411" w:rsidRDefault="00AB2C0B" w:rsidP="002123AF">
      <w:pPr>
        <w:pStyle w:val="Heading4"/>
      </w:pPr>
      <w:r>
        <w:t>The local content in a schedule should be easy to read</w:t>
      </w:r>
    </w:p>
    <w:p w14:paraId="489C76DD" w14:textId="0FC209F9" w:rsidR="00754143" w:rsidRDefault="00AB2C0B" w:rsidP="002E55BC">
      <w:pPr>
        <w:pStyle w:val="BodyText1"/>
      </w:pPr>
      <w:r w:rsidRPr="00C022AE">
        <w:t xml:space="preserve">Schedules should be drafted using the plain English guidance set out at </w:t>
      </w:r>
      <w:r w:rsidR="0074503B" w:rsidRPr="00D97631">
        <w:rPr>
          <w:rStyle w:val="Strong"/>
        </w:rPr>
        <w:t>Chapter</w:t>
      </w:r>
      <w:r w:rsidR="00E70333" w:rsidRPr="00D97631">
        <w:rPr>
          <w:rStyle w:val="Strong"/>
        </w:rPr>
        <w:t xml:space="preserve"> </w:t>
      </w:r>
      <w:r w:rsidR="00C37E8E" w:rsidRPr="00D97631">
        <w:rPr>
          <w:rStyle w:val="Strong"/>
        </w:rPr>
        <w:t>6.1</w:t>
      </w:r>
      <w:r w:rsidR="002275B0" w:rsidRPr="002275B0">
        <w:rPr>
          <w:rStyle w:val="Strong"/>
        </w:rPr>
        <w:t>.</w:t>
      </w:r>
      <w:r w:rsidRPr="00C37E8E">
        <w:t xml:space="preserve"> </w:t>
      </w:r>
      <w:r w:rsidRPr="00C022AE">
        <w:t>See</w:t>
      </w:r>
      <w:r>
        <w:t xml:space="preserve"> Rule 8 and Rule 9 at </w:t>
      </w:r>
      <w:r w:rsidR="0074503B" w:rsidRPr="00D97631">
        <w:rPr>
          <w:rStyle w:val="Strong"/>
        </w:rPr>
        <w:t>Chapter</w:t>
      </w:r>
      <w:r w:rsidRPr="00D97631">
        <w:rPr>
          <w:rStyle w:val="Strong"/>
        </w:rPr>
        <w:t xml:space="preserve"> </w:t>
      </w:r>
      <w:r w:rsidR="003110AC" w:rsidRPr="00D97631">
        <w:rPr>
          <w:rStyle w:val="Strong"/>
        </w:rPr>
        <w:t>4.4</w:t>
      </w:r>
      <w:r>
        <w:t>.</w:t>
      </w:r>
    </w:p>
    <w:p w14:paraId="489C76DE" w14:textId="2B743FB9" w:rsidR="00754143" w:rsidRPr="00361E71" w:rsidRDefault="004F1D61" w:rsidP="004F6A20">
      <w:pPr>
        <w:pStyle w:val="Heading3"/>
      </w:pPr>
      <w:r>
        <w:t>6.5.4</w:t>
      </w:r>
      <w:r>
        <w:tab/>
      </w:r>
      <w:r w:rsidR="000B7EED">
        <w:tab/>
      </w:r>
      <w:r w:rsidR="00C33D4C">
        <w:tab/>
      </w:r>
      <w:r w:rsidR="00AB2C0B" w:rsidRPr="00361E71">
        <w:t>What can a schedule do?</w:t>
      </w:r>
    </w:p>
    <w:p w14:paraId="489C76DF" w14:textId="77777777" w:rsidR="00754143" w:rsidRDefault="00AB2C0B" w:rsidP="002E55BC">
      <w:pPr>
        <w:pStyle w:val="BodyText1"/>
      </w:pPr>
      <w:r>
        <w:t>An overview of the various tasks that a schedule can perform is provided below.</w:t>
      </w:r>
    </w:p>
    <w:p w14:paraId="489C76E0" w14:textId="77777777" w:rsidR="00DC2411" w:rsidRDefault="00AB2C0B" w:rsidP="002123AF">
      <w:pPr>
        <w:pStyle w:val="Heading4"/>
      </w:pPr>
      <w:r>
        <w:t>Use controls</w:t>
      </w:r>
    </w:p>
    <w:p w14:paraId="489C76E1" w14:textId="77777777" w:rsidR="00754143" w:rsidRDefault="00AB2C0B" w:rsidP="002E55BC">
      <w:pPr>
        <w:pStyle w:val="BodyText1"/>
      </w:pPr>
      <w:r>
        <w:t xml:space="preserve">Some schedules allow a planning authority to specify </w:t>
      </w:r>
      <w:proofErr w:type="gramStart"/>
      <w:r>
        <w:t>particular requirements</w:t>
      </w:r>
      <w:proofErr w:type="gramEnd"/>
      <w:r>
        <w:t xml:space="preserve"> about how land may be used. Schedules to zones typically fall into this category. The requirements can range from setting maximum leasable floor areas for specific uses to creating a table of </w:t>
      </w:r>
      <w:r>
        <w:lastRenderedPageBreak/>
        <w:t>uses. Examples of schedules that allow the planning authority to specify permit and other requirements for the use of land include the commercial, industrial and rural zones and the special purpose zones.</w:t>
      </w:r>
    </w:p>
    <w:p w14:paraId="489C76E2" w14:textId="77777777" w:rsidR="00DC2411" w:rsidRDefault="00AB2C0B" w:rsidP="002123AF">
      <w:pPr>
        <w:pStyle w:val="Heading4"/>
      </w:pPr>
      <w:r>
        <w:t>Subdivision controls</w:t>
      </w:r>
    </w:p>
    <w:p w14:paraId="489C76E3" w14:textId="77777777" w:rsidR="00754143" w:rsidRDefault="00AB2C0B" w:rsidP="002E55BC">
      <w:pPr>
        <w:pStyle w:val="BodyText1"/>
      </w:pPr>
      <w:r>
        <w:t xml:space="preserve">Some schedules allow a planning authority to specify </w:t>
      </w:r>
      <w:proofErr w:type="gramStart"/>
      <w:r>
        <w:t>particular requirements</w:t>
      </w:r>
      <w:proofErr w:type="gramEnd"/>
      <w:r>
        <w:t xml:space="preserve"> about how land may be subdivided, such as including a minimum lot size.</w:t>
      </w:r>
      <w:r w:rsidR="00DA5AF6">
        <w:t xml:space="preserve"> </w:t>
      </w:r>
      <w:r>
        <w:t>Examples of this type of schedule include the rural zones.</w:t>
      </w:r>
    </w:p>
    <w:p w14:paraId="489C76E4" w14:textId="77777777" w:rsidR="00DC2411" w:rsidRDefault="00AB2C0B" w:rsidP="002123AF">
      <w:pPr>
        <w:pStyle w:val="Heading4"/>
      </w:pPr>
      <w:r>
        <w:t>Buildings and works controls</w:t>
      </w:r>
    </w:p>
    <w:p w14:paraId="489C76E5" w14:textId="77777777" w:rsidR="00754143" w:rsidRDefault="00AB2C0B" w:rsidP="002E55BC">
      <w:pPr>
        <w:pStyle w:val="BodyText1"/>
      </w:pPr>
      <w:r>
        <w:t xml:space="preserve">Many schedules allow a planning authority to specify </w:t>
      </w:r>
      <w:proofErr w:type="gramStart"/>
      <w:r>
        <w:t>particular requirements</w:t>
      </w:r>
      <w:proofErr w:type="gramEnd"/>
      <w:r>
        <w:t xml:space="preserve"> about how land may be developed.</w:t>
      </w:r>
      <w:r w:rsidR="00DA5AF6">
        <w:t xml:space="preserve"> </w:t>
      </w:r>
      <w:r>
        <w:t>These schedules can be used to exempt certain forms of development from the need for a permit or to require a permit for certain forms of development. Examples of this type of schedule include the Farming Zone and the Development Plan Overlay.</w:t>
      </w:r>
    </w:p>
    <w:p w14:paraId="489C76E6" w14:textId="77777777" w:rsidR="00DC2411" w:rsidRDefault="00AB2C0B" w:rsidP="002123AF">
      <w:pPr>
        <w:pStyle w:val="Heading4"/>
      </w:pPr>
      <w:r>
        <w:t>Sign controls</w:t>
      </w:r>
    </w:p>
    <w:p w14:paraId="489C76E7" w14:textId="5BB7D89F" w:rsidR="00754143" w:rsidRDefault="00AB2C0B" w:rsidP="002E55BC">
      <w:pPr>
        <w:pStyle w:val="BodyText1"/>
      </w:pPr>
      <w:r>
        <w:t>A small number of schedules allow the planning authority to determine sign requirements for a parcel of land or particular land-use activity. The schedule to the Urban Floodway Zone, Special Use Zone, and Design and Development Overlay are examples of this type of schedule.</w:t>
      </w:r>
    </w:p>
    <w:p w14:paraId="489C76E8" w14:textId="77777777" w:rsidR="00DC2411" w:rsidRDefault="00AB2C0B" w:rsidP="002123AF">
      <w:pPr>
        <w:pStyle w:val="Heading4"/>
      </w:pPr>
      <w:r>
        <w:t>Statements of significance, objectives and decision guidelines</w:t>
      </w:r>
    </w:p>
    <w:p w14:paraId="489C76E9" w14:textId="77777777" w:rsidR="00754143" w:rsidRDefault="00AB2C0B" w:rsidP="002E55BC">
      <w:pPr>
        <w:pStyle w:val="BodyText1"/>
      </w:pPr>
      <w:r>
        <w:t xml:space="preserve">Some schedules enable the local definition of statements of significance, objectives or decision guidelines for </w:t>
      </w:r>
      <w:proofErr w:type="gramStart"/>
      <w:r>
        <w:t>particular areas</w:t>
      </w:r>
      <w:proofErr w:type="gramEnd"/>
      <w:r>
        <w:t>. These schedules provide the greatest opportunity to adapt the basic provisions of a zone or overlay to recognise the special characteristics of an area. They can also cause confusion to planning scheme users and be easily misinterpreted or be inconsistent with state policy if poorly written. Examples of schedules that allow the planning authority to specify statements of significance, objectives and decision guidelines include the Environmental Significance Overlay, Vegetation Protection Overlay and Significant Landscape Overlay.</w:t>
      </w:r>
    </w:p>
    <w:p w14:paraId="489C76EA" w14:textId="77777777" w:rsidR="00DC2411" w:rsidRDefault="00AB2C0B" w:rsidP="002123AF">
      <w:pPr>
        <w:pStyle w:val="Heading4"/>
      </w:pPr>
      <w:r>
        <w:t>Information about the scheme</w:t>
      </w:r>
    </w:p>
    <w:p w14:paraId="489C76EB" w14:textId="22055094" w:rsidR="00754143" w:rsidRDefault="00015134" w:rsidP="002E55BC">
      <w:pPr>
        <w:pStyle w:val="BodyText1"/>
      </w:pPr>
      <w:r>
        <w:t>The s</w:t>
      </w:r>
      <w:r w:rsidR="00AB2C0B">
        <w:t>chedules</w:t>
      </w:r>
      <w:r>
        <w:t xml:space="preserve"> to </w:t>
      </w:r>
      <w:r w:rsidRPr="00FA65B3">
        <w:rPr>
          <w:rStyle w:val="Strong"/>
        </w:rPr>
        <w:t>clauses 71 and 72</w:t>
      </w:r>
      <w:r>
        <w:t xml:space="preserve"> </w:t>
      </w:r>
      <w:r w:rsidR="00AB2C0B">
        <w:t xml:space="preserve">can also provide information about a planning scheme, such as its contents, the name of the responsible authority, the scheme area, scheme maps and incorporated and background documents. </w:t>
      </w:r>
    </w:p>
    <w:p w14:paraId="489C76EC" w14:textId="77777777" w:rsidR="00DC2411" w:rsidRDefault="00AB2C0B" w:rsidP="002123AF">
      <w:pPr>
        <w:pStyle w:val="Heading4"/>
      </w:pPr>
      <w:r>
        <w:t>Special tasks</w:t>
      </w:r>
    </w:p>
    <w:p w14:paraId="489C76ED" w14:textId="6E4F3EFD" w:rsidR="00754143" w:rsidRDefault="00AB2C0B" w:rsidP="002E55BC">
      <w:pPr>
        <w:pStyle w:val="BodyText1"/>
      </w:pPr>
      <w:r>
        <w:t>Some special functions are also carried out by schedules, such as the prohibition of gaming machines in a specific shopping complex or shopping centres</w:t>
      </w:r>
      <w:r w:rsidR="00CF7004">
        <w:t xml:space="preserve"> under </w:t>
      </w:r>
      <w:r w:rsidR="00CF7004" w:rsidRPr="007A43CB">
        <w:t>clause 52.28</w:t>
      </w:r>
      <w:r>
        <w:t>.</w:t>
      </w:r>
    </w:p>
    <w:p w14:paraId="489C76EE" w14:textId="25BD687C" w:rsidR="00CB429B" w:rsidRPr="00361E71" w:rsidRDefault="004F1D61" w:rsidP="004F6A20">
      <w:pPr>
        <w:pStyle w:val="Heading3"/>
      </w:pPr>
      <w:r>
        <w:t>6.5.5</w:t>
      </w:r>
      <w:r>
        <w:tab/>
      </w:r>
      <w:r w:rsidR="000B7EED">
        <w:tab/>
      </w:r>
      <w:r w:rsidR="00C33D4C">
        <w:tab/>
      </w:r>
      <w:r w:rsidR="00AB2C0B" w:rsidRPr="00361E71">
        <w:t>Schedule names and numbers</w:t>
      </w:r>
    </w:p>
    <w:p w14:paraId="489C76EF" w14:textId="77777777" w:rsidR="00DC2411" w:rsidRDefault="00AB2C0B" w:rsidP="002123AF">
      <w:pPr>
        <w:pStyle w:val="Heading4"/>
      </w:pPr>
      <w:r>
        <w:t>Schedule names</w:t>
      </w:r>
    </w:p>
    <w:p w14:paraId="489C76F0" w14:textId="01B0A140" w:rsidR="00CB429B" w:rsidRDefault="001329CE" w:rsidP="002E55BC">
      <w:pPr>
        <w:pStyle w:val="BodyText1"/>
      </w:pPr>
      <w:r>
        <w:t xml:space="preserve">The </w:t>
      </w:r>
      <w:r w:rsidRPr="00824368">
        <w:rPr>
          <w:i/>
          <w:iCs/>
        </w:rPr>
        <w:t>Ministerial Direction</w:t>
      </w:r>
      <w:r w:rsidR="00824368">
        <w:t xml:space="preserve"> -</w:t>
      </w:r>
      <w:r>
        <w:t xml:space="preserve"> </w:t>
      </w:r>
      <w:r w:rsidRPr="001329CE">
        <w:rPr>
          <w:i/>
          <w:iCs/>
        </w:rPr>
        <w:t>The Form and Content of Planning Schemes</w:t>
      </w:r>
      <w:r>
        <w:t xml:space="preserve"> </w:t>
      </w:r>
      <w:r w:rsidR="00F05CA5">
        <w:t>makes</w:t>
      </w:r>
      <w:r>
        <w:t xml:space="preserve"> provision for each local </w:t>
      </w:r>
      <w:r w:rsidR="00AB2C0B" w:rsidRPr="001329CE">
        <w:t>schedule</w:t>
      </w:r>
      <w:r>
        <w:t xml:space="preserve"> </w:t>
      </w:r>
      <w:r w:rsidR="00F05CA5">
        <w:t>to</w:t>
      </w:r>
      <w:r>
        <w:t xml:space="preserve"> include</w:t>
      </w:r>
      <w:r w:rsidR="00AB2C0B" w:rsidRPr="001329CE">
        <w:t xml:space="preserve"> a </w:t>
      </w:r>
      <w:r>
        <w:t xml:space="preserve">unique </w:t>
      </w:r>
      <w:r w:rsidR="00AB2C0B" w:rsidRPr="001329CE">
        <w:t>name</w:t>
      </w:r>
      <w:r w:rsidR="00AB2C0B">
        <w:t xml:space="preserve">. The name can help to identify the geographical scope of the schedule. For example, a schedule to the Environmental </w:t>
      </w:r>
      <w:r w:rsidR="00AB2C0B">
        <w:lastRenderedPageBreak/>
        <w:t xml:space="preserve">Significance Overlay could be called the </w:t>
      </w:r>
      <w:r w:rsidR="00AB2C0B" w:rsidRPr="007E64CD">
        <w:rPr>
          <w:rStyle w:val="Strong"/>
        </w:rPr>
        <w:t>‘BRISBANE RANGES’</w:t>
      </w:r>
      <w:r w:rsidR="00AB2C0B">
        <w:t xml:space="preserve"> schedule. A name can also encapsulate the objective that the schedule serves. For example, a schedule in the Vegetation Protection Overlay could be called the</w:t>
      </w:r>
      <w:r w:rsidR="00AB2C0B" w:rsidRPr="007E64CD">
        <w:rPr>
          <w:rStyle w:val="Strong"/>
        </w:rPr>
        <w:t xml:space="preserve"> ‘COASTAL HEATH PROTECTION’ </w:t>
      </w:r>
      <w:r w:rsidR="00AB2C0B">
        <w:t>schedule. The name should be short and descriptive. It should not include the word ‘OVERLAY’.</w:t>
      </w:r>
    </w:p>
    <w:p w14:paraId="489C76F1" w14:textId="77777777" w:rsidR="00DC2411" w:rsidRDefault="00AB2C0B" w:rsidP="002123AF">
      <w:pPr>
        <w:pStyle w:val="Heading4"/>
      </w:pPr>
      <w:r>
        <w:t>Schedule numbers</w:t>
      </w:r>
    </w:p>
    <w:p w14:paraId="489C76F2" w14:textId="69E91F66" w:rsidR="00754143" w:rsidRDefault="00AB2C0B" w:rsidP="002E55BC">
      <w:pPr>
        <w:pStyle w:val="BodyText1"/>
      </w:pPr>
      <w:r>
        <w:t xml:space="preserve">The </w:t>
      </w:r>
      <w:r w:rsidRPr="00824368">
        <w:rPr>
          <w:i/>
          <w:iCs/>
        </w:rPr>
        <w:t>Ministerial Direction</w:t>
      </w:r>
      <w:r w:rsidR="00824368">
        <w:t xml:space="preserve"> - </w:t>
      </w:r>
      <w:r w:rsidRPr="007E64CD">
        <w:rPr>
          <w:rStyle w:val="Emphasis"/>
        </w:rPr>
        <w:t>The Form and Content of Planning Schemes</w:t>
      </w:r>
      <w:r>
        <w:t xml:space="preserve"> enables some zones and overlays to have more than one schedule.</w:t>
      </w:r>
      <w:r w:rsidR="00DA5AF6">
        <w:t xml:space="preserve"> </w:t>
      </w:r>
      <w:r>
        <w:t>For these zones and overlays, every schedule must be given a number, even if only one schedule is provided.</w:t>
      </w:r>
      <w:r w:rsidR="00DA5AF6">
        <w:t xml:space="preserve"> </w:t>
      </w:r>
      <w:r>
        <w:t>It is recorded in the scheme and on the maps with the appropriate designation followed by its number. For example, Schedule 1 to the Special Use Zone is shown as SUZ1. Schedule 4 to the Vegetation Protection Overlay is shown as VPO4.</w:t>
      </w:r>
    </w:p>
    <w:p w14:paraId="489C76F3" w14:textId="77777777" w:rsidR="00754143" w:rsidRDefault="00AB2C0B" w:rsidP="002E55BC">
      <w:pPr>
        <w:pStyle w:val="BodyText1"/>
      </w:pPr>
      <w:r>
        <w:t>Where a provision is only able to have one schedule, the schedule is not numbered.</w:t>
      </w:r>
    </w:p>
    <w:p w14:paraId="489C76F4" w14:textId="6E5E3370" w:rsidR="00754143" w:rsidRPr="00361E71" w:rsidRDefault="004F1D61" w:rsidP="004F6A20">
      <w:pPr>
        <w:pStyle w:val="Heading3"/>
      </w:pPr>
      <w:r>
        <w:t>6.5.6</w:t>
      </w:r>
      <w:r>
        <w:tab/>
      </w:r>
      <w:r w:rsidR="000B7EED">
        <w:tab/>
      </w:r>
      <w:r w:rsidR="00C33D4C">
        <w:tab/>
      </w:r>
      <w:r w:rsidR="00AB2C0B" w:rsidRPr="00361E71">
        <w:t>Using tables in a schedule</w:t>
      </w:r>
    </w:p>
    <w:p w14:paraId="489C76F5" w14:textId="77777777" w:rsidR="00DC2411" w:rsidRDefault="00AB2C0B" w:rsidP="002123AF">
      <w:pPr>
        <w:pStyle w:val="Heading4"/>
      </w:pPr>
      <w:r>
        <w:t>Defining land areas and specifying conditions</w:t>
      </w:r>
    </w:p>
    <w:p w14:paraId="489C76F6" w14:textId="77777777" w:rsidR="00754143" w:rsidRDefault="00AB2C0B" w:rsidP="002E55BC">
      <w:pPr>
        <w:pStyle w:val="BodyText1"/>
      </w:pPr>
      <w:r>
        <w:t xml:space="preserve">Where specified, tables can be used in schedules to define </w:t>
      </w:r>
      <w:proofErr w:type="gramStart"/>
      <w:r>
        <w:t>particular land</w:t>
      </w:r>
      <w:proofErr w:type="gramEnd"/>
      <w:r>
        <w:t xml:space="preserve"> and specify requirements that relate to the land.</w:t>
      </w:r>
    </w:p>
    <w:p w14:paraId="489C76F7" w14:textId="38AD86EC" w:rsidR="00754143" w:rsidRDefault="00AB2C0B" w:rsidP="002E55BC">
      <w:pPr>
        <w:pStyle w:val="BodyText1"/>
      </w:pPr>
      <w:r>
        <w:t xml:space="preserve">Where the land area is large or includes multiple parcels, a written description is likely to be complex and difficult to understand. It is preferable to include a map in the schedule. See </w:t>
      </w:r>
      <w:r w:rsidR="0074503B" w:rsidRPr="00FA65B3">
        <w:rPr>
          <w:rStyle w:val="Strong"/>
        </w:rPr>
        <w:t>Chapter</w:t>
      </w:r>
      <w:r w:rsidRPr="00FA65B3">
        <w:rPr>
          <w:rStyle w:val="Strong"/>
        </w:rPr>
        <w:t xml:space="preserve"> </w:t>
      </w:r>
      <w:r w:rsidR="003110AC" w:rsidRPr="00FA65B3">
        <w:rPr>
          <w:rStyle w:val="Strong"/>
        </w:rPr>
        <w:t>6.5.14</w:t>
      </w:r>
      <w:r>
        <w:t xml:space="preserve"> for more about using a map in a schedule. See </w:t>
      </w:r>
      <w:r w:rsidR="0074503B" w:rsidRPr="00FA65B3">
        <w:rPr>
          <w:rStyle w:val="Strong"/>
        </w:rPr>
        <w:t>Chapter</w:t>
      </w:r>
      <w:r w:rsidRPr="00FA65B3">
        <w:rPr>
          <w:rStyle w:val="Strong"/>
        </w:rPr>
        <w:t xml:space="preserve"> </w:t>
      </w:r>
      <w:r w:rsidR="003110AC" w:rsidRPr="00FA65B3">
        <w:rPr>
          <w:rStyle w:val="Strong"/>
        </w:rPr>
        <w:t>6.</w:t>
      </w:r>
      <w:r w:rsidR="00384C2B" w:rsidRPr="00FA65B3">
        <w:rPr>
          <w:rStyle w:val="Strong"/>
        </w:rPr>
        <w:t>2</w:t>
      </w:r>
      <w:r>
        <w:t xml:space="preserve"> for general advice about using a map.</w:t>
      </w:r>
    </w:p>
    <w:p w14:paraId="489C76F8" w14:textId="77777777" w:rsidR="00DC2411" w:rsidRDefault="00AB2C0B" w:rsidP="002123AF">
      <w:pPr>
        <w:pStyle w:val="Heading4"/>
      </w:pPr>
      <w:r>
        <w:t>Tables of uses</w:t>
      </w:r>
    </w:p>
    <w:p w14:paraId="489C76F9" w14:textId="741DD769" w:rsidR="00754143" w:rsidRDefault="00AB2C0B" w:rsidP="002E55BC">
      <w:pPr>
        <w:pStyle w:val="BodyText1"/>
      </w:pPr>
      <w:r>
        <w:t>Schedules to the special purpose zones enable the planning authority to construct tables of uses. Like tables of uses in zones, schedule tables divide land uses into three sections and provide for the inclusion of conditions</w:t>
      </w:r>
      <w:r w:rsidR="00BB1045">
        <w:t>:</w:t>
      </w:r>
    </w:p>
    <w:p w14:paraId="56F26122" w14:textId="46AC3B25" w:rsidR="009C0B9F" w:rsidRDefault="009162EB" w:rsidP="00A705A5">
      <w:pPr>
        <w:pStyle w:val="BodyText1"/>
        <w:numPr>
          <w:ilvl w:val="0"/>
          <w:numId w:val="39"/>
        </w:numPr>
      </w:pPr>
      <w:r w:rsidRPr="009162EB">
        <w:rPr>
          <w:b/>
          <w:bCs/>
        </w:rPr>
        <w:t xml:space="preserve">Section 1 </w:t>
      </w:r>
      <w:r w:rsidR="00A16B15">
        <w:rPr>
          <w:b/>
          <w:bCs/>
        </w:rPr>
        <w:t>–</w:t>
      </w:r>
      <w:r w:rsidRPr="009162EB">
        <w:rPr>
          <w:b/>
          <w:bCs/>
        </w:rPr>
        <w:t xml:space="preserve"> Permit not required </w:t>
      </w:r>
      <w:r w:rsidR="00A16B15">
        <w:rPr>
          <w:b/>
          <w:bCs/>
        </w:rPr>
        <w:t>–</w:t>
      </w:r>
      <w:r>
        <w:t xml:space="preserve"> </w:t>
      </w:r>
      <w:r w:rsidR="00AB2C0B">
        <w:t>Uses should only be made ‘as</w:t>
      </w:r>
      <w:r w:rsidR="00FA549A">
        <w:t>-</w:t>
      </w:r>
      <w:r w:rsidR="00AB2C0B">
        <w:t>of</w:t>
      </w:r>
      <w:r w:rsidR="00B91543">
        <w:t>-</w:t>
      </w:r>
      <w:r w:rsidR="00AB2C0B">
        <w:t xml:space="preserve">right’ </w:t>
      </w:r>
      <w:r w:rsidR="0059223B">
        <w:t xml:space="preserve">(permit not required) </w:t>
      </w:r>
      <w:r w:rsidR="00AB2C0B">
        <w:t xml:space="preserve">by inclusion in Section 1 of the table of uses where they address the purpose of the schedule and are unlikely to require later detailed appraisal or cause significant off-site impacts or conflicts. </w:t>
      </w:r>
    </w:p>
    <w:p w14:paraId="489C76FA" w14:textId="130972D6" w:rsidR="00754143" w:rsidRDefault="009C0B9F" w:rsidP="00A705A5">
      <w:pPr>
        <w:pStyle w:val="BodyText1"/>
        <w:numPr>
          <w:ilvl w:val="0"/>
          <w:numId w:val="39"/>
        </w:numPr>
      </w:pPr>
      <w:r w:rsidRPr="00CC1A99">
        <w:rPr>
          <w:b/>
          <w:bCs/>
        </w:rPr>
        <w:t xml:space="preserve">Section 2 </w:t>
      </w:r>
      <w:r w:rsidR="00A16B15">
        <w:rPr>
          <w:b/>
          <w:bCs/>
        </w:rPr>
        <w:t>–</w:t>
      </w:r>
      <w:r w:rsidRPr="00CC1A99">
        <w:rPr>
          <w:b/>
          <w:bCs/>
        </w:rPr>
        <w:t xml:space="preserve"> Permit required</w:t>
      </w:r>
      <w:r>
        <w:t xml:space="preserve"> </w:t>
      </w:r>
      <w:r w:rsidR="00A16B15">
        <w:t>–</w:t>
      </w:r>
      <w:r>
        <w:t xml:space="preserve"> </w:t>
      </w:r>
      <w:r w:rsidR="00AB2C0B">
        <w:t>Other uses should normally fall within Section 2, enabling the responsible authority to exercise discretion. Where a land use term is not listed in the table, it is automatically in Section 2 and can be the subject of a permit application.</w:t>
      </w:r>
    </w:p>
    <w:p w14:paraId="526AE365" w14:textId="180EB5D2" w:rsidR="00495058" w:rsidRDefault="00495058" w:rsidP="00A705A5">
      <w:pPr>
        <w:pStyle w:val="BodyText1"/>
        <w:numPr>
          <w:ilvl w:val="0"/>
          <w:numId w:val="39"/>
        </w:numPr>
      </w:pPr>
      <w:r w:rsidRPr="00CC1A99">
        <w:rPr>
          <w:b/>
          <w:bCs/>
        </w:rPr>
        <w:t xml:space="preserve">Section 3 – Prohibited </w:t>
      </w:r>
      <w:r w:rsidR="00A16B15">
        <w:rPr>
          <w:b/>
          <w:bCs/>
        </w:rPr>
        <w:t>–</w:t>
      </w:r>
      <w:r>
        <w:t xml:space="preserve"> Uses should only be prohibited where they conflict with, or are irrelevant to, the purpose of the schedule and the consideration of permit applications would consequently waste the resources of the proponent and the responsible authority. </w:t>
      </w:r>
    </w:p>
    <w:p w14:paraId="489C76FB" w14:textId="4CEEF1F7" w:rsidR="00754143" w:rsidRDefault="00AB2C0B" w:rsidP="002E55BC">
      <w:pPr>
        <w:pStyle w:val="BodyText1"/>
      </w:pPr>
      <w:r>
        <w:t xml:space="preserve">Tables of uses must use the land use terms and follow the nesting diagrams in </w:t>
      </w:r>
      <w:r w:rsidR="001F616D" w:rsidRPr="00FA65B3">
        <w:rPr>
          <w:rStyle w:val="Strong"/>
        </w:rPr>
        <w:t>c</w:t>
      </w:r>
      <w:r w:rsidRPr="00FA65B3">
        <w:rPr>
          <w:rStyle w:val="Strong"/>
        </w:rPr>
        <w:t>lause 73</w:t>
      </w:r>
      <w:r>
        <w:t>. If the head of a nested group of land use terms is intended to be a Section 2 use and there are no exemptions anywhere else in the table, then it does not need to be listed.</w:t>
      </w:r>
    </w:p>
    <w:p w14:paraId="489C76FC" w14:textId="2DA77065" w:rsidR="00754143" w:rsidRDefault="00AB2C0B" w:rsidP="002E55BC">
      <w:pPr>
        <w:pStyle w:val="BodyText1"/>
      </w:pPr>
      <w:r>
        <w:t xml:space="preserve">Conditions can be used to fine tune a defined land use term. If a condition is included opposite a term, the table can also specify what happens if the condition is not met. For </w:t>
      </w:r>
      <w:r>
        <w:lastRenderedPageBreak/>
        <w:t>example, a condition in Section</w:t>
      </w:r>
      <w:r w:rsidR="001F6A78">
        <w:rPr>
          <w:rFonts w:ascii="Cambria" w:hAnsi="Cambria" w:cs="Cambria"/>
        </w:rPr>
        <w:t> </w:t>
      </w:r>
      <w:r>
        <w:t>1 may specify that there must be only one ‘</w:t>
      </w:r>
      <w:r w:rsidR="00662280" w:rsidRPr="00662280">
        <w:t>Small second dwelling</w:t>
      </w:r>
      <w:r w:rsidRPr="00662280">
        <w:t xml:space="preserve">’ </w:t>
      </w:r>
      <w:r>
        <w:t>on a residential lot. The use would only need to be mentioned in Section 2 if a further condition was proposed. If it is intended that the use be prohibited if the Section 1 condition is not met, the use must be listed in Section 3 with the provision ‘</w:t>
      </w:r>
      <w:r w:rsidR="000942C0">
        <w:t>–</w:t>
      </w:r>
      <w:r>
        <w:t xml:space="preserve"> if the Section 1 condition is not met’.</w:t>
      </w:r>
    </w:p>
    <w:p w14:paraId="489C76FD" w14:textId="07E10E00" w:rsidR="00754143" w:rsidRDefault="00AB2C0B" w:rsidP="002E55BC">
      <w:pPr>
        <w:pStyle w:val="BodyText1"/>
      </w:pPr>
      <w:r>
        <w:t xml:space="preserve">Where a schedule contains a table of uses, the </w:t>
      </w:r>
      <w:r w:rsidRPr="00824368">
        <w:rPr>
          <w:i/>
          <w:iCs/>
        </w:rPr>
        <w:t>Ministerial Direction</w:t>
      </w:r>
      <w:r>
        <w:t xml:space="preserve"> </w:t>
      </w:r>
      <w:r w:rsidR="00824368">
        <w:t xml:space="preserve">- </w:t>
      </w:r>
      <w:r w:rsidRPr="007E64CD">
        <w:rPr>
          <w:rStyle w:val="Emphasis"/>
        </w:rPr>
        <w:t>The Form and Content of Planning Schemes</w:t>
      </w:r>
      <w:r>
        <w:t xml:space="preserve"> sets out </w:t>
      </w:r>
      <w:proofErr w:type="gramStart"/>
      <w:r>
        <w:t>a number of</w:t>
      </w:r>
      <w:proofErr w:type="gramEnd"/>
      <w:r>
        <w:t xml:space="preserve"> requirements. Several drafting conventions help to make the meaning of a table more certain.</w:t>
      </w:r>
    </w:p>
    <w:p w14:paraId="489C76FE" w14:textId="2864A2C7" w:rsidR="00DC2411" w:rsidRDefault="00E52467" w:rsidP="002E55BC">
      <w:pPr>
        <w:pStyle w:val="BodyText1"/>
      </w:pPr>
      <w:r>
        <w:t>See the example below for</w:t>
      </w:r>
      <w:r w:rsidR="00AB2C0B">
        <w:t xml:space="preserve"> some writing and formatting advice.</w:t>
      </w:r>
    </w:p>
    <w:p w14:paraId="7071D809" w14:textId="79873C85" w:rsidR="00E52467" w:rsidRPr="00E52467" w:rsidRDefault="00E52467" w:rsidP="00E52467">
      <w:pPr>
        <w:pStyle w:val="Heading4"/>
      </w:pPr>
      <w:r>
        <w:lastRenderedPageBreak/>
        <w:t>Example</w:t>
      </w:r>
      <w:r w:rsidRPr="00E52467">
        <w:t xml:space="preserve"> schedule</w:t>
      </w:r>
    </w:p>
    <w:p w14:paraId="5A79C02A" w14:textId="77777777" w:rsidR="00E52467" w:rsidRPr="00266A28" w:rsidRDefault="00E52467" w:rsidP="00E52467">
      <w:pPr>
        <w:pStyle w:val="BodyText1"/>
      </w:pPr>
      <w:r>
        <w:rPr>
          <w:noProof/>
          <w:shd w:val="clear" w:color="auto" w:fill="E6E6E6"/>
          <w:lang w:val="en-US"/>
        </w:rPr>
        <w:drawing>
          <wp:inline distT="0" distB="0" distL="0" distR="0" wp14:anchorId="0BCDDE82" wp14:editId="73DDCD22">
            <wp:extent cx="6358270" cy="8087817"/>
            <wp:effectExtent l="0" t="0" r="4445" b="8890"/>
            <wp:docPr id="38" name="Picture 38" descr="An example of a schedule to highlight some of the requirements. Formatting tips include the following: The format of the table must be consistent with the VPP and the Ministerial Direction The Form and Content of Planning Schemes. Put a thin line above and below any land use that is subject to a condition – this makes it clear which land use term the condition applies to. Don’t put a full stop at the end of a land use term. Do put a full stop at the end of a condition. Land use terms are in bold text, whether or not they are defined in clause 73. List land use terms alphabetically in each section. If a land use term (including any exemption) uses more than one line, indent the second and subsequent lines so that it is clear that it is an independent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06.png"/>
                    <pic:cNvPicPr/>
                  </pic:nvPicPr>
                  <pic:blipFill>
                    <a:blip r:embed="rId40">
                      <a:extLst>
                        <a:ext uri="{28A0092B-C50C-407E-A947-70E740481C1C}">
                          <a14:useLocalDpi xmlns:a14="http://schemas.microsoft.com/office/drawing/2010/main" val="0"/>
                        </a:ext>
                      </a:extLst>
                    </a:blip>
                    <a:stretch>
                      <a:fillRect/>
                    </a:stretch>
                  </pic:blipFill>
                  <pic:spPr>
                    <a:xfrm>
                      <a:off x="0" y="0"/>
                      <a:ext cx="6378646" cy="8113735"/>
                    </a:xfrm>
                    <a:prstGeom prst="rect">
                      <a:avLst/>
                    </a:prstGeom>
                  </pic:spPr>
                </pic:pic>
              </a:graphicData>
            </a:graphic>
          </wp:inline>
        </w:drawing>
      </w:r>
    </w:p>
    <w:p w14:paraId="489C7701" w14:textId="1E093523" w:rsidR="00754143" w:rsidRPr="00361E71" w:rsidRDefault="004F1D61" w:rsidP="004F6A20">
      <w:pPr>
        <w:pStyle w:val="Heading3"/>
      </w:pPr>
      <w:r>
        <w:lastRenderedPageBreak/>
        <w:t>6.5.7</w:t>
      </w:r>
      <w:r>
        <w:tab/>
      </w:r>
      <w:r w:rsidR="000B7EED">
        <w:tab/>
      </w:r>
      <w:r w:rsidR="00C33D4C">
        <w:tab/>
      </w:r>
      <w:r w:rsidR="00AB2C0B" w:rsidRPr="00A5627A">
        <w:t>Setting minimum and maximum</w:t>
      </w:r>
      <w:r w:rsidR="00AB2C0B" w:rsidRPr="00361E71">
        <w:t xml:space="preserve"> floor areas</w:t>
      </w:r>
    </w:p>
    <w:p w14:paraId="489C7702" w14:textId="77777777" w:rsidR="00754143" w:rsidRDefault="00AB2C0B" w:rsidP="002E55BC">
      <w:pPr>
        <w:pStyle w:val="BodyText1"/>
      </w:pPr>
      <w:r>
        <w:t>Some schedules allow the planning authority to specify a maximum leasable floor area for specific uses or minimum areas or setbacks. These provisions have a valid use to support strategic objectives, for example, to safeguard the function of an established office node in a commercial area. However, the use of any such provision should have a strategic justification in the MPS or PPF.</w:t>
      </w:r>
    </w:p>
    <w:p w14:paraId="489C7703" w14:textId="77777777" w:rsidR="00754143" w:rsidRDefault="00AB2C0B" w:rsidP="002E55BC">
      <w:pPr>
        <w:pStyle w:val="BodyText1"/>
      </w:pPr>
      <w:r>
        <w:t>A provision should not act as a prohibition (implied or otherwise) on a use without satisfactory justification.</w:t>
      </w:r>
    </w:p>
    <w:p w14:paraId="489C7704" w14:textId="62483CB4" w:rsidR="00754143" w:rsidRPr="00361E71" w:rsidRDefault="004F1D61" w:rsidP="004F6A20">
      <w:pPr>
        <w:pStyle w:val="Heading3"/>
      </w:pPr>
      <w:bookmarkStart w:id="312" w:name="_Ref528600867"/>
      <w:r>
        <w:t>6.5.8</w:t>
      </w:r>
      <w:r>
        <w:tab/>
      </w:r>
      <w:r w:rsidR="000B7EED">
        <w:tab/>
      </w:r>
      <w:r w:rsidR="00C33D4C">
        <w:tab/>
      </w:r>
      <w:r w:rsidR="00AB2C0B" w:rsidRPr="00361E71">
        <w:t>Statements of significance</w:t>
      </w:r>
      <w:bookmarkEnd w:id="312"/>
    </w:p>
    <w:p w14:paraId="0D128C80" w14:textId="3D07B64D" w:rsidR="00B5472E" w:rsidRDefault="00AB2C0B" w:rsidP="002E55BC">
      <w:pPr>
        <w:pStyle w:val="BodyText1"/>
      </w:pPr>
      <w:r>
        <w:t xml:space="preserve">Some schedules to overlays require a </w:t>
      </w:r>
      <w:r w:rsidRPr="00C55C3E">
        <w:t>statement to be inserted</w:t>
      </w:r>
      <w:r>
        <w:t xml:space="preserve">. </w:t>
      </w:r>
      <w:r w:rsidR="009C4558">
        <w:t>For example</w:t>
      </w:r>
      <w:r w:rsidR="00501A76">
        <w:t>, t</w:t>
      </w:r>
      <w:r w:rsidR="00F34C67">
        <w:t xml:space="preserve">he </w:t>
      </w:r>
      <w:r w:rsidR="00501A76" w:rsidRPr="00F34C67">
        <w:t>Environmental Significance Overlay</w:t>
      </w:r>
      <w:r w:rsidR="00501A76">
        <w:t xml:space="preserve"> </w:t>
      </w:r>
      <w:r w:rsidR="00F34C67">
        <w:t xml:space="preserve">requires </w:t>
      </w:r>
      <w:r w:rsidR="00AC0C4E">
        <w:t>‘</w:t>
      </w:r>
      <w:r w:rsidR="00F34C67">
        <w:t>a statement of environmental significance</w:t>
      </w:r>
      <w:r w:rsidR="00AC0C4E">
        <w:t>’</w:t>
      </w:r>
      <w:r w:rsidR="000322F9">
        <w:t xml:space="preserve"> and the </w:t>
      </w:r>
      <w:r w:rsidR="00501A76">
        <w:t xml:space="preserve">Vegetation Protection Overlay </w:t>
      </w:r>
      <w:r w:rsidR="00B5472E">
        <w:t xml:space="preserve">requires </w:t>
      </w:r>
      <w:r w:rsidR="00AC0C4E">
        <w:t>‘</w:t>
      </w:r>
      <w:r w:rsidR="00B5472E">
        <w:t>a statement of the nature and significance of the vegetation to be protected</w:t>
      </w:r>
      <w:r w:rsidR="00AC0C4E">
        <w:t>’</w:t>
      </w:r>
      <w:r w:rsidR="00B5472E">
        <w:t>.</w:t>
      </w:r>
    </w:p>
    <w:p w14:paraId="489C7705" w14:textId="53F47D09" w:rsidR="00754143" w:rsidRDefault="000E2765" w:rsidP="002E55BC">
      <w:pPr>
        <w:pStyle w:val="BodyText1"/>
      </w:pPr>
      <w:r>
        <w:t xml:space="preserve">These statements </w:t>
      </w:r>
      <w:r w:rsidR="005A6CF0">
        <w:t xml:space="preserve">are intended to </w:t>
      </w:r>
      <w:r w:rsidR="009F6EC8" w:rsidRPr="00C55C3E">
        <w:t>summarise</w:t>
      </w:r>
      <w:r w:rsidR="00A65028" w:rsidRPr="00C55C3E">
        <w:t xml:space="preserve"> </w:t>
      </w:r>
      <w:r w:rsidR="00AB2C0B" w:rsidRPr="00C55C3E">
        <w:t>the essential</w:t>
      </w:r>
      <w:r w:rsidR="00AB2C0B">
        <w:t xml:space="preserve"> elements that define the significance of the overlay area.</w:t>
      </w:r>
    </w:p>
    <w:p w14:paraId="489C7706" w14:textId="5B04DED2" w:rsidR="00754143" w:rsidRDefault="00AB2C0B" w:rsidP="00A91D76">
      <w:pPr>
        <w:pStyle w:val="BodyText1"/>
      </w:pPr>
      <w:r>
        <w:t xml:space="preserve">Where possible, the statement should be based on study findings that clearly demonstrate the values that make the area </w:t>
      </w:r>
      <w:proofErr w:type="gramStart"/>
      <w:r>
        <w:t>special, and</w:t>
      </w:r>
      <w:proofErr w:type="gramEnd"/>
      <w:r>
        <w:t xml:space="preserve"> show how those values relate to the purposes of the chosen overlay. For example, a landscape study might provide the analysis from which to draw the statement for the schedule to the Significant Landscape Overlay.</w:t>
      </w:r>
    </w:p>
    <w:p w14:paraId="489C7707" w14:textId="77777777" w:rsidR="00754143" w:rsidRDefault="00AB2C0B" w:rsidP="002E55BC">
      <w:pPr>
        <w:pStyle w:val="BodyText1"/>
      </w:pPr>
      <w:r>
        <w:t xml:space="preserve">It may be appropriate to reference such studies as background documents, but it should not be necessary to refer to them </w:t>
      </w:r>
      <w:proofErr w:type="gramStart"/>
      <w:r>
        <w:t>in order to</w:t>
      </w:r>
      <w:proofErr w:type="gramEnd"/>
      <w:r>
        <w:t xml:space="preserve"> understand what the real significance of the place is. The reader of a statement should be able to understand why an area is special from the statement alone.</w:t>
      </w:r>
    </w:p>
    <w:p w14:paraId="489C7708" w14:textId="77777777" w:rsidR="00DC2411" w:rsidRDefault="00AB2C0B" w:rsidP="002123AF">
      <w:pPr>
        <w:pStyle w:val="Heading4"/>
        <w:rPr>
          <w:rFonts w:ascii="VIC-Light" w:hAnsi="VIC-Light" w:cs="VIC-Light"/>
          <w:color w:val="000000"/>
          <w:spacing w:val="2"/>
          <w:szCs w:val="20"/>
        </w:rPr>
      </w:pPr>
      <w:r>
        <w:t>Statements of significance in the Heritage Overlay</w:t>
      </w:r>
    </w:p>
    <w:p w14:paraId="489C7709" w14:textId="2F603556" w:rsidR="00754143" w:rsidRDefault="00AB2C0B" w:rsidP="002E55BC">
      <w:pPr>
        <w:pStyle w:val="BodyText1"/>
      </w:pPr>
      <w:r>
        <w:t xml:space="preserve">While the Heritage Overlay (HO) can apply a wide range of controls to heritage places, it does not establish the significance of any </w:t>
      </w:r>
      <w:proofErr w:type="gramStart"/>
      <w:r>
        <w:t>particular heritage</w:t>
      </w:r>
      <w:proofErr w:type="gramEnd"/>
      <w:r>
        <w:t xml:space="preserve"> place. Any new heritage place included in the schedule to the Heritage Overlay</w:t>
      </w:r>
      <w:r w:rsidR="005238FD">
        <w:t xml:space="preserve"> after 31 July 2018</w:t>
      </w:r>
      <w:r>
        <w:t xml:space="preserve"> must have a statement of significance specified in the schedule.</w:t>
      </w:r>
      <w:r w:rsidR="00DA5AF6">
        <w:t xml:space="preserve"> </w:t>
      </w:r>
      <w:r>
        <w:t xml:space="preserve">If detailed heritage design guidelines </w:t>
      </w:r>
      <w:r w:rsidR="00FB1634">
        <w:t>are required</w:t>
      </w:r>
      <w:r>
        <w:t xml:space="preserve"> for a heritage </w:t>
      </w:r>
      <w:proofErr w:type="gramStart"/>
      <w:r>
        <w:t>place</w:t>
      </w:r>
      <w:proofErr w:type="gramEnd"/>
      <w:r>
        <w:t xml:space="preserve"> they may be specified in the schedule. Any statement of significance or heritage design guidelines that are specified in the schedule must also be incorporated into the scheme in the schedule to </w:t>
      </w:r>
      <w:r w:rsidR="001F616D" w:rsidRPr="00FA65B3">
        <w:rPr>
          <w:rStyle w:val="Strong"/>
        </w:rPr>
        <w:t>c</w:t>
      </w:r>
      <w:r w:rsidRPr="00FA65B3">
        <w:rPr>
          <w:rStyle w:val="Strong"/>
        </w:rPr>
        <w:t>lause 72.04</w:t>
      </w:r>
      <w:r>
        <w:t>.</w:t>
      </w:r>
    </w:p>
    <w:p w14:paraId="489C770A" w14:textId="084DC00D" w:rsidR="00754143" w:rsidRPr="00361E71" w:rsidRDefault="004F1D61" w:rsidP="004F6A20">
      <w:pPr>
        <w:pStyle w:val="Heading3"/>
      </w:pPr>
      <w:r>
        <w:t>6.5.9</w:t>
      </w:r>
      <w:r>
        <w:tab/>
      </w:r>
      <w:r w:rsidR="00C33D4C">
        <w:tab/>
      </w:r>
      <w:r w:rsidR="000B7EED">
        <w:tab/>
      </w:r>
      <w:r w:rsidR="00AB2C0B" w:rsidRPr="00361E71">
        <w:t>Objectives</w:t>
      </w:r>
    </w:p>
    <w:p w14:paraId="489C770B" w14:textId="77777777" w:rsidR="00754143" w:rsidRDefault="00AB2C0B" w:rsidP="002E55BC">
      <w:pPr>
        <w:pStyle w:val="BodyText1"/>
      </w:pPr>
      <w:r>
        <w:t>Some schedules require objectives to be inserted. These objectives are specific aims or ambitions for the use, development, management or conservation of an identified area. The objectives apply in addition to any objectives elsewhere in the scheme.</w:t>
      </w:r>
    </w:p>
    <w:p w14:paraId="489C770C" w14:textId="77777777" w:rsidR="00754143" w:rsidRDefault="00AB2C0B" w:rsidP="002E55BC">
      <w:pPr>
        <w:pStyle w:val="BodyText1"/>
      </w:pPr>
      <w:r>
        <w:t>Schedule objectives flow from three sources:</w:t>
      </w:r>
    </w:p>
    <w:p w14:paraId="489C770D" w14:textId="77777777" w:rsidR="00DC2411" w:rsidRDefault="00AB2C0B" w:rsidP="00723A0D">
      <w:pPr>
        <w:pStyle w:val="DELWPbullet1"/>
      </w:pPr>
      <w:r>
        <w:t>the objectives and strategies of local content in the MPS and PPF</w:t>
      </w:r>
    </w:p>
    <w:p w14:paraId="489C770E" w14:textId="77777777" w:rsidR="00DC2411" w:rsidRDefault="00AB2C0B" w:rsidP="00723A0D">
      <w:pPr>
        <w:pStyle w:val="DELWPbullet1"/>
      </w:pPr>
      <w:r>
        <w:t>the purpose of the zone or overlay</w:t>
      </w:r>
    </w:p>
    <w:p w14:paraId="489C770F" w14:textId="77777777" w:rsidR="00DC2411" w:rsidRDefault="00AB2C0B" w:rsidP="00723A0D">
      <w:pPr>
        <w:pStyle w:val="DELWPbullet1"/>
      </w:pPr>
      <w:r>
        <w:t>where one is present, the statement of significance in the overlay.</w:t>
      </w:r>
    </w:p>
    <w:p w14:paraId="489C7710" w14:textId="77777777" w:rsidR="00754143" w:rsidRDefault="00AB2C0B" w:rsidP="002E55BC">
      <w:pPr>
        <w:pStyle w:val="DELWPbodyafterbullets"/>
      </w:pPr>
      <w:r>
        <w:lastRenderedPageBreak/>
        <w:t>Objectives are key to the interpretation and application of the discretion created by the zone or overlay. All decisions will be tested against them.</w:t>
      </w:r>
    </w:p>
    <w:p w14:paraId="489C7711" w14:textId="3D5DA965" w:rsidR="00DC2411" w:rsidRDefault="00AB2C0B" w:rsidP="002E55BC">
      <w:pPr>
        <w:pStyle w:val="BodyText1"/>
      </w:pPr>
      <w:r>
        <w:t>An objective should begin with the infinitive form of the verb.</w:t>
      </w:r>
      <w:r w:rsidR="00C34C17">
        <w:t xml:space="preserve"> For example:</w:t>
      </w:r>
    </w:p>
    <w:tbl>
      <w:tblPr>
        <w:tblStyle w:val="DELWPhighlighttable"/>
        <w:tblW w:w="9242" w:type="dxa"/>
        <w:tblInd w:w="0" w:type="dxa"/>
        <w:tblLook w:val="0400" w:firstRow="0" w:lastRow="0" w:firstColumn="0" w:lastColumn="0" w:noHBand="0" w:noVBand="1"/>
      </w:tblPr>
      <w:tblGrid>
        <w:gridCol w:w="9242"/>
      </w:tblGrid>
      <w:tr w:rsidR="005A76DB" w:rsidRPr="00B447C7" w14:paraId="489C7713" w14:textId="77777777" w:rsidTr="00E52467">
        <w:trPr>
          <w:cantSplit/>
        </w:trPr>
        <w:tc>
          <w:tcPr>
            <w:tcW w:w="9242" w:type="dxa"/>
          </w:tcPr>
          <w:p w14:paraId="489C7712" w14:textId="77777777" w:rsidR="005A76DB" w:rsidRPr="00B447C7" w:rsidRDefault="005A76DB" w:rsidP="00752EA2">
            <w:pPr>
              <w:pStyle w:val="Exampletext"/>
              <w:spacing w:before="0" w:after="120" w:line="240" w:lineRule="auto"/>
              <w:rPr>
                <w:i w:val="0"/>
                <w:iCs w:val="0"/>
              </w:rPr>
            </w:pPr>
            <w:r w:rsidRPr="00B447C7">
              <w:rPr>
                <w:i w:val="0"/>
                <w:iCs w:val="0"/>
              </w:rPr>
              <w:t>To promote the appropriate reuse of historic commercial buildings.</w:t>
            </w:r>
          </w:p>
        </w:tc>
      </w:tr>
    </w:tbl>
    <w:p w14:paraId="489C7714" w14:textId="77777777" w:rsidR="00754143" w:rsidRDefault="00AB2C0B" w:rsidP="002E55BC">
      <w:pPr>
        <w:pStyle w:val="DELWPbodyaftertablediagram"/>
      </w:pPr>
      <w:r>
        <w:t>A good objective will:</w:t>
      </w:r>
    </w:p>
    <w:p w14:paraId="489C7715" w14:textId="77777777" w:rsidR="00DC2411" w:rsidRDefault="00AB2C0B" w:rsidP="00723A0D">
      <w:pPr>
        <w:pStyle w:val="DELWPbullet1"/>
      </w:pPr>
      <w:r>
        <w:t>avoid what is self-evident and go beyond bland statements that nobody can disagree with</w:t>
      </w:r>
    </w:p>
    <w:p w14:paraId="489C7716" w14:textId="77777777" w:rsidR="00DC2411" w:rsidRDefault="00AB2C0B" w:rsidP="00723A0D">
      <w:pPr>
        <w:pStyle w:val="DELWPbullet1"/>
      </w:pPr>
      <w:r>
        <w:t>point the way to decision outcomes</w:t>
      </w:r>
    </w:p>
    <w:p w14:paraId="489C7717" w14:textId="77777777" w:rsidR="00DC2411" w:rsidRDefault="00AB2C0B" w:rsidP="00723A0D">
      <w:pPr>
        <w:pStyle w:val="DELWPbullet1"/>
      </w:pPr>
      <w:r>
        <w:t>not be an outcome itself, but be achievable by a variety of outcomes</w:t>
      </w:r>
    </w:p>
    <w:p w14:paraId="489C7718" w14:textId="77777777" w:rsidR="00DC2411" w:rsidRDefault="00AB2C0B" w:rsidP="00723A0D">
      <w:pPr>
        <w:pStyle w:val="DELWPbullet1"/>
      </w:pPr>
      <w:r>
        <w:t>respond to significance with local distinctiveness</w:t>
      </w:r>
    </w:p>
    <w:p w14:paraId="489C7719" w14:textId="77777777" w:rsidR="00DC2411" w:rsidRDefault="00AB2C0B" w:rsidP="00723A0D">
      <w:pPr>
        <w:pStyle w:val="DELWPbullet1"/>
      </w:pPr>
      <w:r>
        <w:t xml:space="preserve">be </w:t>
      </w:r>
      <w:proofErr w:type="gramStart"/>
      <w:r>
        <w:t>grounded in reality, not</w:t>
      </w:r>
      <w:proofErr w:type="gramEnd"/>
      <w:r>
        <w:t xml:space="preserve"> wishful thinking</w:t>
      </w:r>
    </w:p>
    <w:p w14:paraId="489C771A" w14:textId="77777777" w:rsidR="00DC2411" w:rsidRDefault="00AB2C0B" w:rsidP="00723A0D">
      <w:pPr>
        <w:pStyle w:val="DELWPbullet1"/>
      </w:pPr>
      <w:r>
        <w:t>not contradict or confuse other objectives in the planning scheme</w:t>
      </w:r>
    </w:p>
    <w:p w14:paraId="489C771B" w14:textId="77777777" w:rsidR="00DC2411" w:rsidRDefault="00AB2C0B" w:rsidP="00723A0D">
      <w:pPr>
        <w:pStyle w:val="DELWPbullet1"/>
      </w:pPr>
      <w:r>
        <w:t>express one idea only, not a complex set of ideas.</w:t>
      </w:r>
    </w:p>
    <w:p w14:paraId="489C771C" w14:textId="1C8E6584" w:rsidR="00754143" w:rsidRDefault="00AB2C0B" w:rsidP="002E55BC">
      <w:pPr>
        <w:pStyle w:val="DELWPbodyafterbullets"/>
      </w:pPr>
      <w:r>
        <w:t>A schedule may need to refer to more than one idea in its objectives. To do this, include multiple objectives rather than have a single complex objective.</w:t>
      </w:r>
      <w:r w:rsidR="00770938">
        <w:t xml:space="preserve"> </w:t>
      </w:r>
      <w:r w:rsidR="00D36A6F">
        <w:t>T</w:t>
      </w:r>
      <w:r w:rsidR="00CF3B64">
        <w:t>o keep objectives focussed, t</w:t>
      </w:r>
      <w:r w:rsidR="00D36A6F">
        <w:t xml:space="preserve">he </w:t>
      </w:r>
      <w:r w:rsidR="00D36A6F" w:rsidRPr="00824368">
        <w:rPr>
          <w:i/>
          <w:iCs/>
        </w:rPr>
        <w:t>Ministerial Direction</w:t>
      </w:r>
      <w:r w:rsidR="00D36A6F">
        <w:t xml:space="preserve"> </w:t>
      </w:r>
      <w:r w:rsidR="00824368">
        <w:t xml:space="preserve">- </w:t>
      </w:r>
      <w:r w:rsidR="00D36A6F" w:rsidRPr="007E64CD">
        <w:rPr>
          <w:rStyle w:val="Emphasis"/>
        </w:rPr>
        <w:t>The Form and Content of Planning Schemes</w:t>
      </w:r>
      <w:r w:rsidR="00D36A6F">
        <w:t xml:space="preserve"> provides for up to five objectives in m</w:t>
      </w:r>
      <w:r w:rsidR="00770938">
        <w:t>ost</w:t>
      </w:r>
      <w:r w:rsidR="00D36A6F">
        <w:t xml:space="preserve"> schedules</w:t>
      </w:r>
      <w:r>
        <w:t>.</w:t>
      </w:r>
    </w:p>
    <w:p w14:paraId="489C771D" w14:textId="29CD7376" w:rsidR="00754143" w:rsidRPr="00361E71" w:rsidRDefault="004F1D61" w:rsidP="004F6A20">
      <w:pPr>
        <w:pStyle w:val="Heading3"/>
      </w:pPr>
      <w:r>
        <w:t>6.5.10</w:t>
      </w:r>
      <w:r w:rsidR="000B7EED">
        <w:tab/>
      </w:r>
      <w:r>
        <w:tab/>
      </w:r>
      <w:r w:rsidR="00C33D4C">
        <w:tab/>
      </w:r>
      <w:r w:rsidR="00AB2C0B" w:rsidRPr="00361E71">
        <w:t>Permit requirements</w:t>
      </w:r>
    </w:p>
    <w:p w14:paraId="489C771E" w14:textId="77777777" w:rsidR="00754143" w:rsidRDefault="00AB2C0B" w:rsidP="002E55BC">
      <w:pPr>
        <w:pStyle w:val="BodyText1"/>
      </w:pPr>
      <w:r>
        <w:t>Permit requirements in a schedule should supplement those in the other provisions that apply to the land.</w:t>
      </w:r>
    </w:p>
    <w:p w14:paraId="489C771F" w14:textId="77777777" w:rsidR="00754143" w:rsidRDefault="00AB2C0B" w:rsidP="002E55BC">
      <w:pPr>
        <w:pStyle w:val="BodyText1"/>
      </w:pPr>
      <w:r>
        <w:t>Permit requirements in a schedule may state that a permit is required. For example, the schedules to the rural zones state that a permit is required for certain buildings or works above thresholds specified in the zones.</w:t>
      </w:r>
    </w:p>
    <w:p w14:paraId="489C7720" w14:textId="77777777" w:rsidR="00754143" w:rsidRDefault="00AB2C0B" w:rsidP="002E55BC">
      <w:pPr>
        <w:pStyle w:val="BodyText1"/>
      </w:pPr>
      <w:r>
        <w:t>Permit requirements can also state that a permit is not required. For example, the public land zones state that a permit is not required to use land, to construct a building or to carry out works provided that any condition in the schedule is complied with.</w:t>
      </w:r>
    </w:p>
    <w:p w14:paraId="489C7721" w14:textId="7F039325" w:rsidR="00754143" w:rsidRDefault="00AB2C0B" w:rsidP="002E55BC">
      <w:pPr>
        <w:pStyle w:val="BodyText1"/>
      </w:pPr>
      <w:r>
        <w:t xml:space="preserve">Some schedules create an additional permit requirement, where there was none before. This is sometimes referred to as ‘scheduling in’. Such a requirement can add to the permit requirements of the other provisions applying to the land. It can also remove all or part of the exemptions from a permit for minor works set out in </w:t>
      </w:r>
      <w:r w:rsidR="001F616D" w:rsidRPr="00FA65B3">
        <w:rPr>
          <w:rStyle w:val="Strong"/>
        </w:rPr>
        <w:t>c</w:t>
      </w:r>
      <w:r w:rsidRPr="00FA65B3">
        <w:rPr>
          <w:rStyle w:val="Strong"/>
        </w:rPr>
        <w:t>lause 62.02-2</w:t>
      </w:r>
      <w:r>
        <w:t>. This ability is particularly relevant to environmental management overlays. If land has a particular character or significance that justifies the application of the overlay and is reflected in its objectives, then buildings or works that may not meet the overlay objectives should always require a permit.</w:t>
      </w:r>
    </w:p>
    <w:p w14:paraId="489C7722" w14:textId="04F2F19E" w:rsidR="00754143" w:rsidRDefault="00AB2C0B" w:rsidP="002E55BC">
      <w:pPr>
        <w:pStyle w:val="BodyText1"/>
      </w:pPr>
      <w:r>
        <w:t>Alternatively, some schedules remove the need for a permit in circumstances where the other provisions applying to the land contain a permit requirement, making a proposal as</w:t>
      </w:r>
      <w:r w:rsidR="0059223B">
        <w:t>-</w:t>
      </w:r>
      <w:r>
        <w:t>of</w:t>
      </w:r>
      <w:r w:rsidR="0059223B">
        <w:t>-</w:t>
      </w:r>
      <w:r>
        <w:t xml:space="preserve">right. This is sometimes referred to as ‘scheduling out’. It can be a useful method of locally defining a performance basis for decision making on a particular theme or area in a planning scheme. A schedule can define objectives and conditions to be met. If a proposal </w:t>
      </w:r>
      <w:r>
        <w:lastRenderedPageBreak/>
        <w:t>meets these, it can be exempted from the need for a permit. Scheduling out removes the political and community accountability that would normally apply to a use or development. It</w:t>
      </w:r>
      <w:r w:rsidR="00E76186">
        <w:t xml:space="preserve"> sh</w:t>
      </w:r>
      <w:r w:rsidR="00A16B15">
        <w:t>oul</w:t>
      </w:r>
      <w:r>
        <w:t>d not be used in cases where the planning authority takes the view that the loss of this accountability would give rise to significant issues of third party or community conflict or detriment.</w:t>
      </w:r>
    </w:p>
    <w:p w14:paraId="489C7723" w14:textId="77777777" w:rsidR="00754143" w:rsidRDefault="00AB2C0B" w:rsidP="002E55BC">
      <w:pPr>
        <w:pStyle w:val="BodyText1"/>
      </w:pPr>
      <w:r>
        <w:t>Care should be taken to ensure that where a schedule can ‘schedule in’ or ‘schedule out’ permit requirements, the schedule is consistent with this structure.</w:t>
      </w:r>
      <w:r w:rsidR="00DA5AF6">
        <w:t xml:space="preserve"> </w:t>
      </w:r>
      <w:r>
        <w:t>For example, if a permit requirement is to be ‘scheduled in’, the permit requirement should only identify those uses or developments that require a permit, rather than applying a blanket permit requirement and then setting out a list of exempted uses and development.</w:t>
      </w:r>
    </w:p>
    <w:p w14:paraId="489C7724" w14:textId="77777777" w:rsidR="00754143" w:rsidRDefault="00AB2C0B" w:rsidP="002E55BC">
      <w:pPr>
        <w:pStyle w:val="BodyText1"/>
      </w:pPr>
      <w:r>
        <w:t>Any permit requirement, or exemption from a permit requirement, included in a schedule must be clearly capable of achieving the objectives or purposes of the zone or overlay or its schedule.</w:t>
      </w:r>
      <w:r w:rsidR="00DA5AF6">
        <w:t xml:space="preserve"> </w:t>
      </w:r>
      <w:r>
        <w:t>A permit requirement or exemption that cannot be objectively and measurably linked to achieving the desired planning outcome should not be used.</w:t>
      </w:r>
    </w:p>
    <w:p w14:paraId="489C7725" w14:textId="49D34D4F" w:rsidR="00754143" w:rsidRPr="00361E71" w:rsidRDefault="004F1D61" w:rsidP="004F6A20">
      <w:pPr>
        <w:pStyle w:val="Heading3"/>
      </w:pPr>
      <w:r>
        <w:t>6.5.11</w:t>
      </w:r>
      <w:r w:rsidR="000B7EED">
        <w:tab/>
      </w:r>
      <w:r>
        <w:tab/>
      </w:r>
      <w:r w:rsidR="00C33D4C">
        <w:tab/>
      </w:r>
      <w:r w:rsidR="00AB2C0B" w:rsidRPr="00361E71">
        <w:t>Decision guidelines</w:t>
      </w:r>
    </w:p>
    <w:p w14:paraId="489C7726" w14:textId="77777777" w:rsidR="00754143" w:rsidRDefault="00AB2C0B" w:rsidP="002E55BC">
      <w:pPr>
        <w:pStyle w:val="BodyText1"/>
      </w:pPr>
      <w:r>
        <w:t xml:space="preserve">Many schedules can include additional decision guidelines that require the responsible authority to </w:t>
      </w:r>
      <w:proofErr w:type="gramStart"/>
      <w:r>
        <w:t>give specific consideration to</w:t>
      </w:r>
      <w:proofErr w:type="gramEnd"/>
      <w:r>
        <w:t xml:space="preserve"> a particular issue or fact in addition to any relevant decision guidelines elsewhere in the scheme.</w:t>
      </w:r>
    </w:p>
    <w:p w14:paraId="489C7727" w14:textId="77777777" w:rsidR="00DA5AF6" w:rsidRDefault="00AB2C0B" w:rsidP="002E55BC">
      <w:pPr>
        <w:pStyle w:val="BodyText1"/>
      </w:pPr>
      <w:r>
        <w:t>A decision guideline should be ‘neutral’ and set a ‘test’ for the decision, not the answer.</w:t>
      </w:r>
    </w:p>
    <w:tbl>
      <w:tblPr>
        <w:tblStyle w:val="TableGrid"/>
        <w:tblW w:w="913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CCC" w:themeFill="accent5" w:themeFillTint="33"/>
        <w:tblLook w:val="04A0" w:firstRow="1" w:lastRow="0" w:firstColumn="1" w:lastColumn="0" w:noHBand="0" w:noVBand="1"/>
      </w:tblPr>
      <w:tblGrid>
        <w:gridCol w:w="499"/>
        <w:gridCol w:w="8639"/>
      </w:tblGrid>
      <w:tr w:rsidR="00D220F0" w:rsidRPr="00B447C7" w14:paraId="1F159AA9" w14:textId="77777777" w:rsidTr="00915899">
        <w:trPr>
          <w:cnfStyle w:val="100000000000" w:firstRow="1" w:lastRow="0" w:firstColumn="0" w:lastColumn="0" w:oddVBand="0" w:evenVBand="0" w:oddHBand="0" w:evenHBand="0" w:firstRowFirstColumn="0" w:firstRowLastColumn="0" w:lastRowFirstColumn="0" w:lastRowLastColumn="0"/>
        </w:trPr>
        <w:tc>
          <w:tcPr>
            <w:tcW w:w="499" w:type="dxa"/>
            <w:shd w:val="clear" w:color="auto" w:fill="D9ECEA" w:themeFill="accent2"/>
            <w:vAlign w:val="top"/>
          </w:tcPr>
          <w:p w14:paraId="497B7949" w14:textId="5EEF1D77" w:rsidR="00D220F0" w:rsidRPr="00B447C7" w:rsidRDefault="00DF48AA" w:rsidP="00E52467">
            <w:pPr>
              <w:pStyle w:val="Symbol"/>
              <w:ind w:right="-4066"/>
              <w:rPr>
                <w:i w:val="0"/>
                <w:iCs w:val="0"/>
              </w:rPr>
            </w:pPr>
            <w:r w:rsidRPr="00B447C7">
              <w:rPr>
                <w:i w:val="0"/>
                <w:iCs w:val="0"/>
              </w:rPr>
              <w:sym w:font="Wingdings" w:char="F0FC"/>
            </w:r>
          </w:p>
        </w:tc>
        <w:tc>
          <w:tcPr>
            <w:tcW w:w="8639" w:type="dxa"/>
            <w:shd w:val="clear" w:color="auto" w:fill="D9ECEA" w:themeFill="accent2"/>
          </w:tcPr>
          <w:p w14:paraId="20E8D3E4" w14:textId="41F898FB" w:rsidR="00D220F0" w:rsidRPr="00B447C7" w:rsidRDefault="00D220F0" w:rsidP="00E52467">
            <w:pPr>
              <w:pStyle w:val="Exampletext"/>
              <w:tabs>
                <w:tab w:val="center" w:pos="5526"/>
              </w:tabs>
              <w:rPr>
                <w:i w:val="0"/>
                <w:iCs w:val="0"/>
              </w:rPr>
            </w:pPr>
            <w:r w:rsidRPr="00B447C7">
              <w:rPr>
                <w:i w:val="0"/>
                <w:iCs w:val="0"/>
              </w:rPr>
              <w:t>Whether the siting, height and appearance of a building or works detrimentally affect the landscape qualities of the area</w:t>
            </w:r>
          </w:p>
        </w:tc>
      </w:tr>
      <w:tr w:rsidR="00D220F0" w:rsidRPr="00B447C7" w14:paraId="74FD0FE9" w14:textId="77777777" w:rsidTr="00E52467">
        <w:tc>
          <w:tcPr>
            <w:tcW w:w="499" w:type="dxa"/>
            <w:shd w:val="clear" w:color="auto" w:fill="D9ECEA" w:themeFill="accent2"/>
          </w:tcPr>
          <w:p w14:paraId="1ADB0E27" w14:textId="0093C55E" w:rsidR="00D220F0" w:rsidRPr="00B447C7" w:rsidRDefault="00DF48AA" w:rsidP="000D4746">
            <w:pPr>
              <w:pStyle w:val="Symbol"/>
              <w:rPr>
                <w:i w:val="0"/>
                <w:iCs w:val="0"/>
              </w:rPr>
            </w:pPr>
            <w:r w:rsidRPr="00B447C7">
              <w:rPr>
                <w:i w:val="0"/>
                <w:iCs w:val="0"/>
              </w:rPr>
              <w:sym w:font="Wingdings" w:char="F0FB"/>
            </w:r>
          </w:p>
        </w:tc>
        <w:tc>
          <w:tcPr>
            <w:tcW w:w="8639" w:type="dxa"/>
            <w:shd w:val="clear" w:color="auto" w:fill="D9ECEA" w:themeFill="accent2"/>
          </w:tcPr>
          <w:p w14:paraId="60BAAFF4" w14:textId="7A44FC93" w:rsidR="00D220F0" w:rsidRPr="00B447C7" w:rsidRDefault="00D220F0" w:rsidP="00BC26C7">
            <w:pPr>
              <w:pStyle w:val="Exampletext"/>
              <w:rPr>
                <w:i w:val="0"/>
                <w:iCs w:val="0"/>
              </w:rPr>
            </w:pPr>
            <w:r w:rsidRPr="00B447C7">
              <w:rPr>
                <w:i w:val="0"/>
                <w:iCs w:val="0"/>
              </w:rPr>
              <w:t xml:space="preserve">The impact of the development on coastal scenic vantage points. </w:t>
            </w:r>
            <w:r w:rsidRPr="00B447C7">
              <w:rPr>
                <w:rStyle w:val="ExampleInstructionChar"/>
                <w:i w:val="0"/>
                <w:iCs w:val="0"/>
              </w:rPr>
              <w:t>[This does not provide guidance for a decision.]</w:t>
            </w:r>
          </w:p>
        </w:tc>
      </w:tr>
    </w:tbl>
    <w:p w14:paraId="489C772E" w14:textId="38770951" w:rsidR="00754143" w:rsidRDefault="00AB2C0B" w:rsidP="002E55BC">
      <w:pPr>
        <w:pStyle w:val="DELWPbodyaftertablediagram"/>
      </w:pPr>
      <w:r w:rsidRPr="00695054">
        <w:t>Decision guidelines should relate</w:t>
      </w:r>
      <w:r>
        <w:t xml:space="preserve"> to the schedule objectives that they serve and any statement of </w:t>
      </w:r>
      <w:proofErr w:type="gramStart"/>
      <w:r>
        <w:t>significance, if</w:t>
      </w:r>
      <w:proofErr w:type="gramEnd"/>
      <w:r>
        <w:t xml:space="preserve"> one is present. They may refer to a document but only if the document is incorporated in the scheme.</w:t>
      </w:r>
      <w:r w:rsidR="00DA5AF6">
        <w:t xml:space="preserve"> </w:t>
      </w:r>
      <w:r>
        <w:t>A decision guideline should not refer to a background document.</w:t>
      </w:r>
    </w:p>
    <w:p w14:paraId="489C772F" w14:textId="77777777" w:rsidR="00DC2411" w:rsidRDefault="00AB2C0B" w:rsidP="002E55BC">
      <w:pPr>
        <w:pStyle w:val="BodyText1"/>
      </w:pPr>
      <w:bookmarkStart w:id="313" w:name="_Hlk33597962"/>
      <w:r>
        <w:t>A decision guideline should not include an informal referral requirement.</w:t>
      </w:r>
    </w:p>
    <w:tbl>
      <w:tblPr>
        <w:tblStyle w:val="TableGrid"/>
        <w:tblW w:w="913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CCC" w:themeFill="accent5" w:themeFillTint="33"/>
        <w:tblLook w:val="04A0" w:firstRow="1" w:lastRow="0" w:firstColumn="1" w:lastColumn="0" w:noHBand="0" w:noVBand="1"/>
      </w:tblPr>
      <w:tblGrid>
        <w:gridCol w:w="491"/>
        <w:gridCol w:w="8647"/>
      </w:tblGrid>
      <w:tr w:rsidR="00695054" w:rsidRPr="00B447C7" w14:paraId="5824578E" w14:textId="77777777" w:rsidTr="003E1404">
        <w:trPr>
          <w:cnfStyle w:val="100000000000" w:firstRow="1" w:lastRow="0" w:firstColumn="0" w:lastColumn="0" w:oddVBand="0" w:evenVBand="0" w:oddHBand="0" w:evenHBand="0" w:firstRowFirstColumn="0" w:firstRowLastColumn="0" w:lastRowFirstColumn="0" w:lastRowLastColumn="0"/>
        </w:trPr>
        <w:tc>
          <w:tcPr>
            <w:tcW w:w="491" w:type="dxa"/>
            <w:shd w:val="clear" w:color="auto" w:fill="D9ECEA" w:themeFill="accent2"/>
          </w:tcPr>
          <w:bookmarkEnd w:id="313"/>
          <w:p w14:paraId="5A3AFD7E" w14:textId="39E7CD37" w:rsidR="00695054" w:rsidRPr="00B447C7" w:rsidRDefault="00DF48AA" w:rsidP="000D4746">
            <w:pPr>
              <w:pStyle w:val="Symbol"/>
              <w:rPr>
                <w:i w:val="0"/>
                <w:iCs w:val="0"/>
              </w:rPr>
            </w:pPr>
            <w:r w:rsidRPr="00B447C7">
              <w:rPr>
                <w:i w:val="0"/>
                <w:iCs w:val="0"/>
              </w:rPr>
              <w:sym w:font="Wingdings" w:char="F0FB"/>
            </w:r>
          </w:p>
        </w:tc>
        <w:tc>
          <w:tcPr>
            <w:tcW w:w="8647" w:type="dxa"/>
            <w:shd w:val="clear" w:color="auto" w:fill="D9ECEA" w:themeFill="accent2"/>
          </w:tcPr>
          <w:p w14:paraId="241BC369" w14:textId="2A3B7455" w:rsidR="00695054" w:rsidRPr="00B447C7" w:rsidRDefault="00695054" w:rsidP="00DF48AA">
            <w:pPr>
              <w:pStyle w:val="Exampletext"/>
              <w:rPr>
                <w:i w:val="0"/>
                <w:iCs w:val="0"/>
              </w:rPr>
            </w:pPr>
            <w:r w:rsidRPr="00B447C7">
              <w:rPr>
                <w:i w:val="0"/>
                <w:iCs w:val="0"/>
              </w:rPr>
              <w:t>The views of the Central Coastal Board.</w:t>
            </w:r>
          </w:p>
        </w:tc>
      </w:tr>
    </w:tbl>
    <w:p w14:paraId="489C7733" w14:textId="4A49A890" w:rsidR="00754143" w:rsidRPr="00361E71" w:rsidRDefault="004F1D61" w:rsidP="004F6A20">
      <w:pPr>
        <w:pStyle w:val="Heading3"/>
      </w:pPr>
      <w:r>
        <w:t>6.5.12</w:t>
      </w:r>
      <w:r w:rsidR="000B7EED">
        <w:tab/>
      </w:r>
      <w:r>
        <w:tab/>
      </w:r>
      <w:r w:rsidR="00C33D4C">
        <w:tab/>
      </w:r>
      <w:r w:rsidR="009C50A4">
        <w:t>R</w:t>
      </w:r>
      <w:r w:rsidR="00AB2C0B" w:rsidRPr="00361E71">
        <w:t>eferral requirements</w:t>
      </w:r>
    </w:p>
    <w:p w14:paraId="489C7734" w14:textId="12DD4458" w:rsidR="00754143" w:rsidRDefault="00AB2C0B" w:rsidP="002E55BC">
      <w:pPr>
        <w:pStyle w:val="BodyText1"/>
      </w:pPr>
      <w:r>
        <w:t xml:space="preserve">Schedules to overlays that respond to </w:t>
      </w:r>
      <w:proofErr w:type="gramStart"/>
      <w:r>
        <w:t>particular technical</w:t>
      </w:r>
      <w:proofErr w:type="gramEnd"/>
      <w:r>
        <w:t xml:space="preserve"> requirements such as the safeguarding of airports (Airport Environs Overlay) or earth resources (State Resource Overlay) can include </w:t>
      </w:r>
      <w:r w:rsidR="00AF5051">
        <w:t xml:space="preserve">specific </w:t>
      </w:r>
      <w:r>
        <w:t xml:space="preserve">referral or notice requirements for applications. </w:t>
      </w:r>
      <w:r w:rsidR="004D4E3D">
        <w:t>These r</w:t>
      </w:r>
      <w:r>
        <w:t>eferral</w:t>
      </w:r>
      <w:r w:rsidR="00C5084F">
        <w:t xml:space="preserve"> and notice</w:t>
      </w:r>
      <w:r>
        <w:t xml:space="preserve"> requirements </w:t>
      </w:r>
      <w:r w:rsidR="00236049">
        <w:t xml:space="preserve">are </w:t>
      </w:r>
      <w:r w:rsidR="004D4E3D">
        <w:t xml:space="preserve">also </w:t>
      </w:r>
      <w:r>
        <w:t xml:space="preserve">specified in </w:t>
      </w:r>
      <w:r w:rsidR="001F616D" w:rsidRPr="00FA65B3">
        <w:rPr>
          <w:rStyle w:val="Strong"/>
        </w:rPr>
        <w:t>c</w:t>
      </w:r>
      <w:r w:rsidRPr="00FA65B3">
        <w:rPr>
          <w:rStyle w:val="Strong"/>
        </w:rPr>
        <w:t>lause 66</w:t>
      </w:r>
      <w:r>
        <w:t xml:space="preserve"> </w:t>
      </w:r>
      <w:r w:rsidR="004C50D5">
        <w:t>and local referral and notice requirements must be specified in</w:t>
      </w:r>
      <w:r>
        <w:t xml:space="preserve"> the schedule</w:t>
      </w:r>
      <w:r w:rsidR="004C50D5">
        <w:t>s</w:t>
      </w:r>
      <w:r>
        <w:t xml:space="preserve"> to</w:t>
      </w:r>
      <w:r w:rsidRPr="007E64CD">
        <w:rPr>
          <w:rStyle w:val="Strong"/>
        </w:rPr>
        <w:t xml:space="preserve"> </w:t>
      </w:r>
      <w:r w:rsidR="001F616D" w:rsidRPr="00FA65B3">
        <w:rPr>
          <w:rStyle w:val="Strong"/>
        </w:rPr>
        <w:t>c</w:t>
      </w:r>
      <w:r w:rsidRPr="00FA65B3">
        <w:rPr>
          <w:rStyle w:val="Strong"/>
        </w:rPr>
        <w:t>lause 66</w:t>
      </w:r>
      <w:r>
        <w:t>.</w:t>
      </w:r>
      <w:r w:rsidR="00DA5AF6">
        <w:t xml:space="preserve"> </w:t>
      </w:r>
      <w:r>
        <w:t xml:space="preserve">See </w:t>
      </w:r>
      <w:r w:rsidR="0074503B" w:rsidRPr="00FA65B3">
        <w:rPr>
          <w:rStyle w:val="Strong"/>
        </w:rPr>
        <w:t>Chapter</w:t>
      </w:r>
      <w:r w:rsidR="001F6A78" w:rsidRPr="00FA65B3">
        <w:rPr>
          <w:rStyle w:val="Strong"/>
          <w:rFonts w:ascii="Cambria" w:hAnsi="Cambria" w:cs="Cambria"/>
        </w:rPr>
        <w:t> </w:t>
      </w:r>
      <w:r w:rsidR="001D53A5" w:rsidRPr="00FA65B3">
        <w:rPr>
          <w:rStyle w:val="Strong"/>
        </w:rPr>
        <w:t>5</w:t>
      </w:r>
      <w:r w:rsidR="00F31A55" w:rsidRPr="00FA65B3">
        <w:rPr>
          <w:rStyle w:val="Strong"/>
        </w:rPr>
        <w:t>.4</w:t>
      </w:r>
      <w:r>
        <w:t xml:space="preserve"> for more information about referrals.</w:t>
      </w:r>
    </w:p>
    <w:p w14:paraId="489C7735" w14:textId="3E8A93F4" w:rsidR="00754143" w:rsidRPr="00DC3AE5" w:rsidRDefault="004F1D61" w:rsidP="004F6A20">
      <w:pPr>
        <w:pStyle w:val="Heading3"/>
      </w:pPr>
      <w:bookmarkStart w:id="314" w:name="_Ref528601182"/>
      <w:r>
        <w:lastRenderedPageBreak/>
        <w:t>6.5.13</w:t>
      </w:r>
      <w:r>
        <w:tab/>
      </w:r>
      <w:r w:rsidR="00A705A5">
        <w:tab/>
      </w:r>
      <w:r w:rsidR="00A705A5">
        <w:tab/>
      </w:r>
      <w:r w:rsidR="00AB2C0B" w:rsidRPr="00DC3AE5">
        <w:t>Signs</w:t>
      </w:r>
      <w:bookmarkEnd w:id="314"/>
    </w:p>
    <w:p w14:paraId="489C7736" w14:textId="77777777" w:rsidR="00754143" w:rsidRDefault="00AB2C0B" w:rsidP="002E55BC">
      <w:pPr>
        <w:pStyle w:val="BodyText1"/>
      </w:pPr>
      <w:r>
        <w:t>Some schedules enable the sign provisions that apply to land to be varied. This should be done only if the existing sign provisions do not respond to the purpose of the zone or overlay, or any zone or overlay objectives.</w:t>
      </w:r>
    </w:p>
    <w:p w14:paraId="489C7737" w14:textId="1368F4CB" w:rsidR="00754143" w:rsidRPr="00361E71" w:rsidRDefault="004F1D61" w:rsidP="004F6A20">
      <w:pPr>
        <w:pStyle w:val="Heading3"/>
      </w:pPr>
      <w:bookmarkStart w:id="315" w:name="_Ref528601219"/>
      <w:r>
        <w:t>6.5.14</w:t>
      </w:r>
      <w:r w:rsidR="00A705A5">
        <w:tab/>
      </w:r>
      <w:r>
        <w:t xml:space="preserve"> </w:t>
      </w:r>
      <w:r w:rsidR="00A705A5">
        <w:tab/>
      </w:r>
      <w:r w:rsidR="00A705A5">
        <w:tab/>
      </w:r>
      <w:r w:rsidR="00AB2C0B" w:rsidRPr="00361E71">
        <w:t>Maps in schedules</w:t>
      </w:r>
      <w:bookmarkEnd w:id="315"/>
    </w:p>
    <w:p w14:paraId="489C7738" w14:textId="42FDD8CF" w:rsidR="00754143" w:rsidRDefault="00AB2C0B" w:rsidP="002E55BC">
      <w:pPr>
        <w:pStyle w:val="BodyText1"/>
      </w:pPr>
      <w:r>
        <w:t>Where land is defined in a schedule, unless a clear and succinct description of the land can be given in words, a map should normally be used to define it. If there is already a map in the scheme that defines the land</w:t>
      </w:r>
      <w:r w:rsidR="000A437F">
        <w:t>,</w:t>
      </w:r>
      <w:r>
        <w:t xml:space="preserve"> the schedule can refer to this. Where a new map is required, this should normally be on a scaled map base and should show distinctive or named geographic features</w:t>
      </w:r>
      <w:r w:rsidR="00707E10">
        <w:t>, such as roads and rivers,</w:t>
      </w:r>
      <w:r>
        <w:t xml:space="preserve"> that enable the</w:t>
      </w:r>
      <w:r w:rsidR="00A61C3E">
        <w:t xml:space="preserve"> boundaries of the</w:t>
      </w:r>
      <w:r>
        <w:t xml:space="preserve"> land to be identified with certainty. The use of diagrammatic or sketch maps can lead to uncertainty.</w:t>
      </w:r>
    </w:p>
    <w:p w14:paraId="489C7739" w14:textId="77777777" w:rsidR="00754143" w:rsidRDefault="00AB2C0B" w:rsidP="002E55BC">
      <w:pPr>
        <w:pStyle w:val="BodyText1"/>
      </w:pPr>
      <w:r>
        <w:t>There are four ways of using a map to define land in a schedule:</w:t>
      </w:r>
    </w:p>
    <w:p w14:paraId="489C773A" w14:textId="77777777" w:rsidR="00DC2411" w:rsidRDefault="00AB2C0B" w:rsidP="00723A0D">
      <w:pPr>
        <w:pStyle w:val="DELWPbullet1"/>
      </w:pPr>
      <w:r>
        <w:t xml:space="preserve">If multiple schedules to an overlay can be used, the overlay on the planning scheme map must be annotated to show that it relates to a particular schedule. For example, Schedules 1 to 4 to the Vegetation Protection Overlay are shown as </w:t>
      </w:r>
      <w:r w:rsidRPr="00FA65B3">
        <w:rPr>
          <w:rStyle w:val="Strong"/>
        </w:rPr>
        <w:t>VPO1</w:t>
      </w:r>
      <w:r w:rsidRPr="00FA65B3">
        <w:t xml:space="preserve"> to </w:t>
      </w:r>
      <w:r w:rsidRPr="00FA65B3">
        <w:rPr>
          <w:rStyle w:val="Strong"/>
        </w:rPr>
        <w:t>VPO4</w:t>
      </w:r>
      <w:r>
        <w:t xml:space="preserve"> on the map. Further mapping will not be needed. Where possible, this is the preferred method of mapping schedules.</w:t>
      </w:r>
    </w:p>
    <w:p w14:paraId="489C773B" w14:textId="2CC6EA70" w:rsidR="00DA5AF6" w:rsidRDefault="00AB2C0B" w:rsidP="00723A0D">
      <w:pPr>
        <w:pStyle w:val="DELWPbullet1"/>
      </w:pPr>
      <w:r>
        <w:t xml:space="preserve">If only one schedule can be used but the schedule applies different controls to different parcels of land, the geographical scope of the schedule can be mapped on the planning scheme map and a separate </w:t>
      </w:r>
      <w:r w:rsidR="009F1F0C">
        <w:t xml:space="preserve">schedule </w:t>
      </w:r>
      <w:r>
        <w:t>map</w:t>
      </w:r>
      <w:r w:rsidR="00857D54">
        <w:t>.</w:t>
      </w:r>
      <w:r w:rsidR="009F1F0C">
        <w:t xml:space="preserve"> The schedule map would show</w:t>
      </w:r>
      <w:r>
        <w:t xml:space="preserve"> the ‘break down’ of where the different controls apply. </w:t>
      </w:r>
      <w:r w:rsidR="0047435F">
        <w:t>The</w:t>
      </w:r>
      <w:r>
        <w:t xml:space="preserve"> map should be headed ‘Map (number) to the Schedule to clause (number)’ and placed </w:t>
      </w:r>
      <w:r w:rsidR="00AE4234">
        <w:t xml:space="preserve">at the end of </w:t>
      </w:r>
      <w:r>
        <w:t xml:space="preserve">the schedule after the last text. It does not need to be referred to as an incorporated document in </w:t>
      </w:r>
      <w:r w:rsidR="001F616D" w:rsidRPr="00FA65B3">
        <w:rPr>
          <w:rStyle w:val="Strong"/>
        </w:rPr>
        <w:t>c</w:t>
      </w:r>
      <w:r w:rsidRPr="00FA65B3">
        <w:rPr>
          <w:rStyle w:val="Strong"/>
        </w:rPr>
        <w:t>lause 72.04</w:t>
      </w:r>
      <w:r>
        <w:t xml:space="preserve"> of the scheme.</w:t>
      </w:r>
    </w:p>
    <w:p w14:paraId="489C773C" w14:textId="77777777" w:rsidR="00DC2411" w:rsidRDefault="00AB2C0B" w:rsidP="00723A0D">
      <w:pPr>
        <w:pStyle w:val="DELWPbullet1"/>
      </w:pPr>
      <w:r>
        <w:t xml:space="preserve">Alternatively, the planning scheme map can be annotated to show that different controls in a schedule apply to different parcels of land. For example, different height controls applied to four different areas in a schedule to the Design and Development Overlay are shown as </w:t>
      </w:r>
      <w:r w:rsidRPr="00FA65B3">
        <w:rPr>
          <w:rStyle w:val="Strong"/>
        </w:rPr>
        <w:t>DDO1-A1</w:t>
      </w:r>
      <w:r w:rsidRPr="00FA65B3">
        <w:t xml:space="preserve">, </w:t>
      </w:r>
      <w:r w:rsidRPr="00FA65B3">
        <w:rPr>
          <w:rStyle w:val="Strong"/>
        </w:rPr>
        <w:t>DDO1-A2</w:t>
      </w:r>
      <w:r w:rsidRPr="00FA65B3">
        <w:t xml:space="preserve">, </w:t>
      </w:r>
      <w:r w:rsidRPr="00FA65B3">
        <w:rPr>
          <w:rStyle w:val="Strong"/>
        </w:rPr>
        <w:t xml:space="preserve">DDO1-A3 </w:t>
      </w:r>
      <w:r w:rsidRPr="00FA65B3">
        <w:t>and</w:t>
      </w:r>
      <w:r w:rsidR="00DA5AF6" w:rsidRPr="00FA65B3">
        <w:rPr>
          <w:rStyle w:val="Strong"/>
        </w:rPr>
        <w:t xml:space="preserve"> </w:t>
      </w:r>
      <w:r w:rsidRPr="00FA65B3">
        <w:rPr>
          <w:rStyle w:val="Strong"/>
        </w:rPr>
        <w:t>DDO1-A4</w:t>
      </w:r>
      <w:r>
        <w:t>.</w:t>
      </w:r>
    </w:p>
    <w:p w14:paraId="489C773D" w14:textId="77777777" w:rsidR="00DA5AF6" w:rsidRDefault="00AB2C0B" w:rsidP="00723A0D">
      <w:pPr>
        <w:pStyle w:val="DELWPbullet1"/>
      </w:pPr>
      <w:r>
        <w:t>If none of these methods can be used, a map to a schedule can be an incorporated document. If a map is an incorporated document, the schedule must refer to it as such.</w:t>
      </w:r>
    </w:p>
    <w:p w14:paraId="489C773E" w14:textId="1D3F2D3A" w:rsidR="00754143" w:rsidRDefault="00AB2C0B" w:rsidP="002E55BC">
      <w:pPr>
        <w:pStyle w:val="DELWPbodyafterbullets"/>
      </w:pPr>
      <w:r>
        <w:t xml:space="preserve">See </w:t>
      </w:r>
      <w:r w:rsidR="0074503B" w:rsidRPr="00FA65B3">
        <w:rPr>
          <w:rStyle w:val="Strong"/>
        </w:rPr>
        <w:t>Chapter</w:t>
      </w:r>
      <w:r w:rsidRPr="00FA65B3">
        <w:rPr>
          <w:rStyle w:val="Strong"/>
        </w:rPr>
        <w:t xml:space="preserve"> </w:t>
      </w:r>
      <w:r w:rsidR="00F31A55" w:rsidRPr="00FA65B3">
        <w:rPr>
          <w:rStyle w:val="Strong"/>
        </w:rPr>
        <w:t>6.2</w:t>
      </w:r>
      <w:r>
        <w:t xml:space="preserve"> for advice about using a map.</w:t>
      </w:r>
    </w:p>
    <w:p w14:paraId="489C773F" w14:textId="50FC06ED" w:rsidR="00754143" w:rsidRPr="00361E71" w:rsidRDefault="004F1D61" w:rsidP="004F6A20">
      <w:pPr>
        <w:pStyle w:val="Heading3"/>
      </w:pPr>
      <w:r>
        <w:t>6.5.15</w:t>
      </w:r>
      <w:r>
        <w:tab/>
      </w:r>
      <w:r w:rsidR="0067162F">
        <w:tab/>
      </w:r>
      <w:r w:rsidR="00A705A5">
        <w:tab/>
      </w:r>
      <w:r w:rsidR="00AB2C0B" w:rsidRPr="00361E71">
        <w:t>Requiring a plan</w:t>
      </w:r>
    </w:p>
    <w:p w14:paraId="489C7740" w14:textId="77777777" w:rsidR="00754143" w:rsidRDefault="00AB2C0B" w:rsidP="002E55BC">
      <w:pPr>
        <w:pStyle w:val="BodyText1"/>
      </w:pPr>
      <w:r>
        <w:t xml:space="preserve">Some schedules to special use zones and built form overlays allow the incorporation of, or reference to, a plan and may specify </w:t>
      </w:r>
      <w:proofErr w:type="gramStart"/>
      <w:r>
        <w:t>particular issues</w:t>
      </w:r>
      <w:proofErr w:type="gramEnd"/>
      <w:r>
        <w:t xml:space="preserve"> that the plan must address. Some determine whether a permit can be granted for development that is not in accordance with the plan. Some provide for proposals that comply with the plan to be exempt from normal notice and appeal rights.</w:t>
      </w:r>
    </w:p>
    <w:p w14:paraId="489C7741" w14:textId="77777777" w:rsidR="00754143" w:rsidRDefault="00AB2C0B" w:rsidP="002E55BC">
      <w:pPr>
        <w:pStyle w:val="BodyText1"/>
      </w:pPr>
      <w:r>
        <w:t>Zones or overlays that do not specifically provide for the incorporation of or reference to a plan should not be used for this purpose where a more appropriate zone or overlay exists.</w:t>
      </w:r>
    </w:p>
    <w:p w14:paraId="489C7748" w14:textId="25F392BC" w:rsidR="00754143" w:rsidRPr="00361E71" w:rsidRDefault="004F1D61" w:rsidP="004F6A20">
      <w:pPr>
        <w:pStyle w:val="Heading3"/>
      </w:pPr>
      <w:r>
        <w:t>6.5.</w:t>
      </w:r>
      <w:r w:rsidR="00E00821">
        <w:t>16</w:t>
      </w:r>
      <w:r w:rsidR="00E00821">
        <w:tab/>
      </w:r>
      <w:r w:rsidR="0067162F">
        <w:tab/>
      </w:r>
      <w:r w:rsidR="00A705A5">
        <w:tab/>
      </w:r>
      <w:r w:rsidR="00AB2C0B" w:rsidRPr="00361E71">
        <w:t>Conditions and requirements for permits</w:t>
      </w:r>
    </w:p>
    <w:p w14:paraId="489C7749" w14:textId="1ACF2CB1" w:rsidR="009A2B7C" w:rsidRDefault="00AB2C0B" w:rsidP="002E55BC">
      <w:pPr>
        <w:pStyle w:val="BodyText1"/>
      </w:pPr>
      <w:r>
        <w:t xml:space="preserve">Some schedules can include conditions or requirements that a planning permit or class of planning permits must contain. This can be useful where the schedule has been applied to </w:t>
      </w:r>
      <w:r>
        <w:lastRenderedPageBreak/>
        <w:t xml:space="preserve">deal with a site or development that involves a wide range of uses. Conditions applying to </w:t>
      </w:r>
      <w:proofErr w:type="gramStart"/>
      <w:r>
        <w:t>particular uses</w:t>
      </w:r>
      <w:proofErr w:type="gramEnd"/>
      <w:r>
        <w:t xml:space="preserve"> in particular locations can assist in reducing or eliminating concerns at the boundary with another sensitive use. For example, conditions could relate to noise emissions or hours of operation, where commercial premises are proposed to be located next to a future residential area.</w:t>
      </w:r>
    </w:p>
    <w:p w14:paraId="489C774A" w14:textId="400E538A" w:rsidR="00DC2411" w:rsidRPr="00986209" w:rsidRDefault="00FD78E0" w:rsidP="00BA6981">
      <w:pPr>
        <w:pStyle w:val="Heading2"/>
      </w:pPr>
      <w:bookmarkStart w:id="316" w:name="_6.6_How_to"/>
      <w:bookmarkStart w:id="317" w:name="_Ref528601004"/>
      <w:bookmarkStart w:id="318" w:name="_Toc158706995"/>
      <w:bookmarkEnd w:id="316"/>
      <w:r>
        <w:t>6.6</w:t>
      </w:r>
      <w:r>
        <w:tab/>
      </w:r>
      <w:r w:rsidR="0091414F">
        <w:t>How to a</w:t>
      </w:r>
      <w:r w:rsidR="003C407D">
        <w:t xml:space="preserve">pply external </w:t>
      </w:r>
      <w:r w:rsidR="00AB2C0B" w:rsidRPr="00986209">
        <w:t>document</w:t>
      </w:r>
      <w:bookmarkEnd w:id="317"/>
      <w:r w:rsidR="00BB6C43">
        <w:t>s</w:t>
      </w:r>
      <w:bookmarkEnd w:id="318"/>
    </w:p>
    <w:p w14:paraId="66AAED0E" w14:textId="73747599" w:rsidR="0002398B" w:rsidRDefault="004F2CBF" w:rsidP="002E55BC">
      <w:pPr>
        <w:pStyle w:val="BodyText1"/>
      </w:pPr>
      <w:r>
        <w:t>P</w:t>
      </w:r>
      <w:r w:rsidRPr="007238C5">
        <w:t>lanning scheme</w:t>
      </w:r>
      <w:r>
        <w:t xml:space="preserve">s may reference </w:t>
      </w:r>
      <w:proofErr w:type="gramStart"/>
      <w:r w:rsidR="005444C5">
        <w:t>particular s</w:t>
      </w:r>
      <w:r w:rsidR="007238C5" w:rsidRPr="007238C5">
        <w:t>tudies</w:t>
      </w:r>
      <w:proofErr w:type="gramEnd"/>
      <w:r w:rsidR="007238C5" w:rsidRPr="007238C5">
        <w:t>, strategies</w:t>
      </w:r>
      <w:r w:rsidR="005444C5">
        <w:t xml:space="preserve"> and </w:t>
      </w:r>
      <w:r w:rsidR="007238C5" w:rsidRPr="007238C5">
        <w:t>guideline</w:t>
      </w:r>
      <w:r w:rsidR="005444C5">
        <w:t xml:space="preserve"> do</w:t>
      </w:r>
      <w:r w:rsidR="009863EA">
        <w:t>cu</w:t>
      </w:r>
      <w:r w:rsidR="005444C5">
        <w:t xml:space="preserve">ments </w:t>
      </w:r>
      <w:r w:rsidR="009863EA">
        <w:t>to</w:t>
      </w:r>
      <w:r w:rsidR="008A1F1C">
        <w:t xml:space="preserve"> </w:t>
      </w:r>
      <w:r w:rsidR="00EC34D4">
        <w:t xml:space="preserve">direct </w:t>
      </w:r>
      <w:r w:rsidR="007238C5" w:rsidRPr="007238C5">
        <w:t>decision making</w:t>
      </w:r>
      <w:r w:rsidR="008A1F1C">
        <w:t>,</w:t>
      </w:r>
      <w:r w:rsidR="007238C5" w:rsidRPr="007238C5">
        <w:t xml:space="preserve"> affect the </w:t>
      </w:r>
      <w:r w:rsidR="00AE164D">
        <w:t xml:space="preserve">scheme’s </w:t>
      </w:r>
      <w:r w:rsidR="007238C5" w:rsidRPr="007238C5">
        <w:t>operation</w:t>
      </w:r>
      <w:r w:rsidR="008A1F1C">
        <w:t xml:space="preserve"> or provide background to provisions</w:t>
      </w:r>
      <w:r w:rsidR="009863EA">
        <w:t>.</w:t>
      </w:r>
      <w:r w:rsidR="00D92C0F">
        <w:t xml:space="preserve"> </w:t>
      </w:r>
      <w:r w:rsidR="007238C5" w:rsidRPr="007238C5">
        <w:t>This can be achieved by incorporating documents into the planning scheme or using background documents.</w:t>
      </w:r>
    </w:p>
    <w:p w14:paraId="31B14F91" w14:textId="0E983896" w:rsidR="00386626" w:rsidRDefault="00386626" w:rsidP="00386626">
      <w:pPr>
        <w:pStyle w:val="BodyText1"/>
      </w:pPr>
      <w:r>
        <w:t>It is important to avoid inclusion of external documents wherever possible to keep scheme</w:t>
      </w:r>
      <w:r w:rsidR="00A068D8">
        <w:t>s</w:t>
      </w:r>
      <w:r>
        <w:t xml:space="preserve"> user-friendly and self-contained. Provisions should ideally be drafted to be stand-alone and not rely on external documents</w:t>
      </w:r>
      <w:r w:rsidR="00226B9C">
        <w:t>.</w:t>
      </w:r>
      <w:r w:rsidR="00954080">
        <w:t xml:space="preserve"> In most instances, it is preferable to extract r</w:t>
      </w:r>
      <w:r w:rsidR="007404DF">
        <w:t xml:space="preserve">elevant </w:t>
      </w:r>
      <w:proofErr w:type="gramStart"/>
      <w:r w:rsidR="007404DF">
        <w:t>decision making</w:t>
      </w:r>
      <w:proofErr w:type="gramEnd"/>
      <w:r w:rsidR="007404DF">
        <w:t xml:space="preserve"> content</w:t>
      </w:r>
      <w:r w:rsidR="00226B9C">
        <w:t xml:space="preserve"> </w:t>
      </w:r>
      <w:r w:rsidR="00136F1E">
        <w:t>from a document</w:t>
      </w:r>
      <w:r w:rsidR="007404DF">
        <w:t xml:space="preserve"> and </w:t>
      </w:r>
      <w:r w:rsidR="00136F1E">
        <w:t>insert</w:t>
      </w:r>
      <w:r w:rsidR="00A068D8">
        <w:t xml:space="preserve"> that information</w:t>
      </w:r>
      <w:r w:rsidR="007404DF">
        <w:t xml:space="preserve"> directly into the scheme</w:t>
      </w:r>
      <w:r>
        <w:t>.</w:t>
      </w:r>
    </w:p>
    <w:p w14:paraId="7FDA9192" w14:textId="788083C3" w:rsidR="0023776C" w:rsidRDefault="003E050B" w:rsidP="002E55BC">
      <w:pPr>
        <w:pStyle w:val="BodyText1"/>
      </w:pPr>
      <w:r>
        <w:t>Incorporated documents and background documents each play a different role in planning</w:t>
      </w:r>
      <w:r w:rsidR="00EF3F83">
        <w:t>.</w:t>
      </w:r>
      <w:r w:rsidR="00D92C0F">
        <w:t xml:space="preserve"> </w:t>
      </w:r>
      <w:r w:rsidR="0023776C">
        <w:t xml:space="preserve">Careful consideration should be given to </w:t>
      </w:r>
      <w:r w:rsidR="00EC4554">
        <w:t xml:space="preserve">the status given to </w:t>
      </w:r>
      <w:r w:rsidR="0023776C">
        <w:t xml:space="preserve">a document in a </w:t>
      </w:r>
      <w:r w:rsidR="00770999">
        <w:t xml:space="preserve">planning </w:t>
      </w:r>
      <w:r w:rsidR="0023776C">
        <w:t>scheme.</w:t>
      </w:r>
      <w:r w:rsidR="00D92C0F">
        <w:t xml:space="preserve"> </w:t>
      </w:r>
      <w:r w:rsidR="00225A6A">
        <w:t>How</w:t>
      </w:r>
      <w:r w:rsidR="002A525B">
        <w:t xml:space="preserve"> to use incorporated and background documents is </w:t>
      </w:r>
      <w:r w:rsidR="00B44E73">
        <w:t>discussed below</w:t>
      </w:r>
      <w:r w:rsidR="00F65B21">
        <w:t xml:space="preserve"> in </w:t>
      </w:r>
      <w:r w:rsidR="0074503B" w:rsidRPr="00B00B76">
        <w:t>Chapter</w:t>
      </w:r>
      <w:r w:rsidR="00781C36" w:rsidRPr="00B00B76">
        <w:t>s</w:t>
      </w:r>
      <w:r w:rsidR="00F65B21" w:rsidRPr="00B00B76">
        <w:t xml:space="preserve"> 6.</w:t>
      </w:r>
      <w:r w:rsidR="003C61E2" w:rsidRPr="00B00B76">
        <w:t>6</w:t>
      </w:r>
      <w:r w:rsidR="007671AD" w:rsidRPr="00B00B76">
        <w:t>.1</w:t>
      </w:r>
      <w:r w:rsidR="007E5874" w:rsidRPr="00B00B76">
        <w:t xml:space="preserve"> and 6.</w:t>
      </w:r>
      <w:r w:rsidR="00775D8A">
        <w:t>6.2</w:t>
      </w:r>
      <w:r w:rsidR="00CB0BB6">
        <w:t>.</w:t>
      </w:r>
    </w:p>
    <w:p w14:paraId="19BDFDF2" w14:textId="4467124E" w:rsidR="0060049F" w:rsidRDefault="00794103" w:rsidP="002E55BC">
      <w:pPr>
        <w:pStyle w:val="BodyText1"/>
      </w:pPr>
      <w:r>
        <w:t xml:space="preserve">Incorporated </w:t>
      </w:r>
      <w:r w:rsidR="00097970">
        <w:t>documents</w:t>
      </w:r>
      <w:r>
        <w:t xml:space="preserve"> are </w:t>
      </w:r>
      <w:r w:rsidR="000A7DB1">
        <w:t>introduced into</w:t>
      </w:r>
      <w:r w:rsidR="00744C40">
        <w:t xml:space="preserve"> the planning scheme by way of a planning scheme amendment. This usually occurs as part of an amendment that </w:t>
      </w:r>
      <w:r w:rsidR="00BD2804">
        <w:t xml:space="preserve">introduces the </w:t>
      </w:r>
      <w:r w:rsidR="000A7DB1">
        <w:t>corresponding</w:t>
      </w:r>
      <w:r w:rsidR="00BD2804">
        <w:t xml:space="preserve"> policy or provisions.</w:t>
      </w:r>
      <w:r w:rsidR="00AB4FB8">
        <w:t xml:space="preserve"> Background documents are </w:t>
      </w:r>
      <w:r w:rsidR="005F295C">
        <w:t>also</w:t>
      </w:r>
      <w:r w:rsidR="00AB4FB8">
        <w:t xml:space="preserve"> introduced by way of an </w:t>
      </w:r>
      <w:proofErr w:type="gramStart"/>
      <w:r w:rsidR="00AB4FB8">
        <w:t>amendment</w:t>
      </w:r>
      <w:proofErr w:type="gramEnd"/>
      <w:r w:rsidR="00D21B5C">
        <w:t xml:space="preserve"> but they are not incorporated, rather they are just referenced.</w:t>
      </w:r>
      <w:r w:rsidR="00BD2804">
        <w:t xml:space="preserve"> </w:t>
      </w:r>
    </w:p>
    <w:p w14:paraId="492CF2F6" w14:textId="027691A4" w:rsidR="0020153C" w:rsidRDefault="0020153C" w:rsidP="002E55BC">
      <w:pPr>
        <w:pStyle w:val="BodyText1"/>
      </w:pPr>
      <w:r>
        <w:t xml:space="preserve">If </w:t>
      </w:r>
      <w:r w:rsidR="00B202A9">
        <w:t>a</w:t>
      </w:r>
      <w:r w:rsidR="00BB279F">
        <w:t xml:space="preserve"> document is update</w:t>
      </w:r>
      <w:r w:rsidR="00227AA5">
        <w:t>d</w:t>
      </w:r>
      <w:r w:rsidR="00495ED8">
        <w:t xml:space="preserve"> or </w:t>
      </w:r>
      <w:r w:rsidR="00942ED7">
        <w:t>is no longer relevant</w:t>
      </w:r>
      <w:r w:rsidR="00F72653">
        <w:t xml:space="preserve">, the planning scheme must </w:t>
      </w:r>
      <w:r w:rsidR="00B202A9">
        <w:t xml:space="preserve">also </w:t>
      </w:r>
      <w:r w:rsidR="00F72653">
        <w:t>be updated</w:t>
      </w:r>
      <w:r w:rsidR="00942ED7">
        <w:t xml:space="preserve"> to</w:t>
      </w:r>
      <w:r w:rsidR="00EA181A" w:rsidRPr="00EA181A">
        <w:t xml:space="preserve"> </w:t>
      </w:r>
      <w:r w:rsidR="00EA181A">
        <w:t>be consistent</w:t>
      </w:r>
      <w:r w:rsidR="00F72653">
        <w:t>.</w:t>
      </w:r>
      <w:r w:rsidR="009831C5">
        <w:t xml:space="preserve"> </w:t>
      </w:r>
      <w:r>
        <w:t>The explanatory report</w:t>
      </w:r>
      <w:r w:rsidR="00F72653">
        <w:t xml:space="preserve"> for the amendment </w:t>
      </w:r>
      <w:r>
        <w:t>should make clear</w:t>
      </w:r>
      <w:r w:rsidRPr="000246DB">
        <w:rPr>
          <w:rFonts w:ascii="VIC-Light" w:eastAsiaTheme="minorHAnsi" w:hAnsi="VIC-Light" w:cs="VIC-Light"/>
          <w:color w:val="000000"/>
        </w:rPr>
        <w:t xml:space="preserve"> </w:t>
      </w:r>
      <w:r w:rsidRPr="000246DB">
        <w:t>what has changed from the earlier version of the document and should confirm</w:t>
      </w:r>
      <w:r>
        <w:t xml:space="preserve"> the </w:t>
      </w:r>
      <w:r w:rsidR="00BE72BF">
        <w:t xml:space="preserve">proposed status of the </w:t>
      </w:r>
      <w:r>
        <w:t>document.</w:t>
      </w:r>
    </w:p>
    <w:p w14:paraId="34808037" w14:textId="703AED33" w:rsidR="003E050B" w:rsidRDefault="004C5F80" w:rsidP="002E55BC">
      <w:pPr>
        <w:pStyle w:val="BodyText1"/>
      </w:pPr>
      <w:r>
        <w:t>W</w:t>
      </w:r>
      <w:r w:rsidR="0041689A">
        <w:t>ebtools are not ‘documents’ and are</w:t>
      </w:r>
      <w:r w:rsidR="00342C88">
        <w:t xml:space="preserve"> not assigned an incorporated or </w:t>
      </w:r>
      <w:r>
        <w:t>background</w:t>
      </w:r>
      <w:r w:rsidR="00022D7D">
        <w:t xml:space="preserve"> document</w:t>
      </w:r>
      <w:r>
        <w:t xml:space="preserve"> status. </w:t>
      </w:r>
      <w:r w:rsidR="00E4395C">
        <w:t>Webtools</w:t>
      </w:r>
      <w:r w:rsidR="00B14BA6">
        <w:t xml:space="preserve"> differ </w:t>
      </w:r>
      <w:r w:rsidR="00E66AB0">
        <w:t>from</w:t>
      </w:r>
      <w:r w:rsidR="0070140A">
        <w:t xml:space="preserve"> documents in the planning system in that</w:t>
      </w:r>
      <w:r w:rsidR="0035461A">
        <w:t xml:space="preserve"> t</w:t>
      </w:r>
      <w:r w:rsidR="005D46A5">
        <w:t xml:space="preserve">hey </w:t>
      </w:r>
      <w:r w:rsidR="00565A78">
        <w:t xml:space="preserve">may include </w:t>
      </w:r>
      <w:r w:rsidR="000E09AD">
        <w:t xml:space="preserve">changeable </w:t>
      </w:r>
      <w:r w:rsidR="00565A78">
        <w:t xml:space="preserve">content </w:t>
      </w:r>
      <w:r w:rsidR="007575FC">
        <w:t xml:space="preserve">and </w:t>
      </w:r>
      <w:r w:rsidR="005D46A5">
        <w:t>a</w:t>
      </w:r>
      <w:r w:rsidR="009C50DC">
        <w:t>re dependent on electronic software for computations</w:t>
      </w:r>
      <w:r w:rsidR="005A78BF">
        <w:t>.</w:t>
      </w:r>
      <w:r w:rsidR="00D92C0F">
        <w:t xml:space="preserve"> </w:t>
      </w:r>
      <w:r w:rsidR="004F5294">
        <w:t>Webtools in planning schemes</w:t>
      </w:r>
      <w:r w:rsidR="005A78BF">
        <w:t xml:space="preserve"> </w:t>
      </w:r>
      <w:r w:rsidR="008A40CE">
        <w:t>cannot provide</w:t>
      </w:r>
      <w:r w:rsidR="00184421">
        <w:t xml:space="preserve"> mandatory controls</w:t>
      </w:r>
      <w:r w:rsidR="002B6499">
        <w:t xml:space="preserve"> (as is p</w:t>
      </w:r>
      <w:r w:rsidR="00232864">
        <w:t>ossible with an incor</w:t>
      </w:r>
      <w:r w:rsidR="005A78BF">
        <w:t>p</w:t>
      </w:r>
      <w:r w:rsidR="005B6415">
        <w:t>ora</w:t>
      </w:r>
      <w:r w:rsidR="005A78BF">
        <w:t>ted document)</w:t>
      </w:r>
      <w:r w:rsidR="00A45896">
        <w:t>.</w:t>
      </w:r>
      <w:r w:rsidR="00D92C0F">
        <w:t xml:space="preserve"> </w:t>
      </w:r>
      <w:r w:rsidR="0054707C">
        <w:t>A w</w:t>
      </w:r>
      <w:r w:rsidR="0035461A">
        <w:t>ebtool</w:t>
      </w:r>
      <w:r w:rsidR="002D2572">
        <w:t xml:space="preserve"> </w:t>
      </w:r>
      <w:r w:rsidR="0035461A">
        <w:t>may be</w:t>
      </w:r>
      <w:r w:rsidR="005F7E4D">
        <w:t xml:space="preserve"> referenced in a planning</w:t>
      </w:r>
      <w:r w:rsidR="00C366AE">
        <w:t xml:space="preserve"> scheme</w:t>
      </w:r>
      <w:r w:rsidR="00EA1185">
        <w:t xml:space="preserve"> as </w:t>
      </w:r>
      <w:r w:rsidR="00EB30B6">
        <w:t xml:space="preserve">a </w:t>
      </w:r>
      <w:r w:rsidR="00EA1185">
        <w:t>non-statutory tool</w:t>
      </w:r>
      <w:r w:rsidR="00E74A6D">
        <w:t xml:space="preserve">, </w:t>
      </w:r>
      <w:r w:rsidR="002F7657">
        <w:t>such as part of a policy guideline</w:t>
      </w:r>
      <w:r w:rsidR="00BF46A5">
        <w:t xml:space="preserve"> or decision guid</w:t>
      </w:r>
      <w:r w:rsidR="00E74A6D">
        <w:t>e</w:t>
      </w:r>
      <w:r w:rsidR="00BF46A5">
        <w:t>line</w:t>
      </w:r>
      <w:r w:rsidR="0054707C">
        <w:t xml:space="preserve"> </w:t>
      </w:r>
      <w:r w:rsidR="0035461A">
        <w:t xml:space="preserve">instead of </w:t>
      </w:r>
      <w:r w:rsidR="0040647A">
        <w:t xml:space="preserve">using </w:t>
      </w:r>
      <w:r w:rsidR="0054707C">
        <w:t xml:space="preserve">a </w:t>
      </w:r>
      <w:r w:rsidR="005F7E4D">
        <w:t>document</w:t>
      </w:r>
      <w:r w:rsidR="0054707C">
        <w:t xml:space="preserve"> when:</w:t>
      </w:r>
    </w:p>
    <w:p w14:paraId="0C48AF7E" w14:textId="05C95AED" w:rsidR="00FA0F5A" w:rsidRDefault="003365A8" w:rsidP="00723A0D">
      <w:pPr>
        <w:pStyle w:val="DELWPbullet1"/>
      </w:pPr>
      <w:r>
        <w:t>The content is</w:t>
      </w:r>
      <w:r w:rsidR="003E636E">
        <w:t xml:space="preserve"> more e</w:t>
      </w:r>
      <w:r w:rsidR="004C6A26">
        <w:t>ffectively</w:t>
      </w:r>
      <w:r w:rsidR="003E636E">
        <w:t xml:space="preserve"> addressed in a webtool over a document.</w:t>
      </w:r>
    </w:p>
    <w:p w14:paraId="00D51A87" w14:textId="50D412A4" w:rsidR="003D6FEB" w:rsidRDefault="00A647A7" w:rsidP="00723A0D">
      <w:pPr>
        <w:pStyle w:val="DELWPbullet1"/>
      </w:pPr>
      <w:r>
        <w:t>I</w:t>
      </w:r>
      <w:r w:rsidR="00BB5AB6" w:rsidRPr="00140782">
        <w:t>t perform</w:t>
      </w:r>
      <w:r w:rsidR="00AC75D7">
        <w:t xml:space="preserve">s </w:t>
      </w:r>
      <w:r w:rsidR="00BB5AB6" w:rsidRPr="00140782">
        <w:t>a function</w:t>
      </w:r>
      <w:r w:rsidR="00BB5AB6" w:rsidRPr="00140782">
        <w:rPr>
          <w:rFonts w:ascii="Cambria" w:hAnsi="Cambria" w:cs="Cambria"/>
        </w:rPr>
        <w:t> </w:t>
      </w:r>
      <w:r w:rsidR="00BB5AB6" w:rsidRPr="00140782">
        <w:t>beyond the scope of a static document</w:t>
      </w:r>
      <w:r w:rsidR="00A0132E">
        <w:t>.</w:t>
      </w:r>
    </w:p>
    <w:p w14:paraId="2D53D193" w14:textId="6462A111" w:rsidR="00BB5AB6" w:rsidRDefault="00A0132E" w:rsidP="00723A0D">
      <w:pPr>
        <w:pStyle w:val="DELWPbullet1"/>
      </w:pPr>
      <w:r>
        <w:t>T</w:t>
      </w:r>
      <w:r w:rsidR="00BB5AB6" w:rsidRPr="00140782">
        <w:t>he content rel</w:t>
      </w:r>
      <w:r w:rsidR="00A647A7">
        <w:t>ies</w:t>
      </w:r>
      <w:r w:rsidR="00BB5AB6" w:rsidRPr="00140782">
        <w:t xml:space="preserve"> on an interactive format </w:t>
      </w:r>
      <w:r>
        <w:t>(</w:t>
      </w:r>
      <w:proofErr w:type="gramStart"/>
      <w:r w:rsidR="00BB5AB6" w:rsidRPr="00140782">
        <w:t>e</w:t>
      </w:r>
      <w:r w:rsidR="00BD1B31">
        <w:t>.</w:t>
      </w:r>
      <w:r w:rsidR="00BB5AB6" w:rsidRPr="00140782">
        <w:t>g.</w:t>
      </w:r>
      <w:proofErr w:type="gramEnd"/>
      <w:r w:rsidR="00BB5AB6" w:rsidRPr="00140782">
        <w:rPr>
          <w:rFonts w:ascii="Cambria" w:hAnsi="Cambria" w:cs="Cambria"/>
        </w:rPr>
        <w:t> </w:t>
      </w:r>
      <w:r w:rsidR="00EA1185">
        <w:t>c</w:t>
      </w:r>
      <w:r w:rsidR="00BB5AB6" w:rsidRPr="00140782">
        <w:t>alculators</w:t>
      </w:r>
      <w:r w:rsidR="00EA1185">
        <w:t xml:space="preserve"> or</w:t>
      </w:r>
      <w:r w:rsidR="00BB5AB6" w:rsidRPr="00140782">
        <w:t xml:space="preserve"> assessment</w:t>
      </w:r>
      <w:r w:rsidR="00BB5AB6" w:rsidRPr="00140782">
        <w:rPr>
          <w:rFonts w:ascii="Cambria" w:hAnsi="Cambria" w:cs="Cambria"/>
        </w:rPr>
        <w:t> </w:t>
      </w:r>
      <w:r w:rsidR="00BB5AB6" w:rsidRPr="00140782">
        <w:t xml:space="preserve">tools </w:t>
      </w:r>
      <w:r w:rsidR="003C3B79">
        <w:t xml:space="preserve">such as </w:t>
      </w:r>
      <w:r w:rsidR="00BB5AB6" w:rsidRPr="00140782">
        <w:t>Melbourne Water’s STORM calculator)</w:t>
      </w:r>
      <w:r w:rsidR="003C3B79">
        <w:t>.</w:t>
      </w:r>
    </w:p>
    <w:p w14:paraId="0AB158CB" w14:textId="5C0194CB" w:rsidR="00BB5AB6" w:rsidRDefault="00BB6449" w:rsidP="00723A0D">
      <w:pPr>
        <w:pStyle w:val="DELWPbullet1"/>
      </w:pPr>
      <w:r>
        <w:t>It is</w:t>
      </w:r>
      <w:r w:rsidR="00BB5AB6" w:rsidRPr="00140782">
        <w:t xml:space="preserve"> made available online.</w:t>
      </w:r>
      <w:r w:rsidR="00BB5AB6" w:rsidRPr="00140782">
        <w:rPr>
          <w:rFonts w:ascii="Cambria" w:hAnsi="Cambria" w:cs="Cambria"/>
        </w:rPr>
        <w:t> </w:t>
      </w:r>
    </w:p>
    <w:p w14:paraId="5BBDE96F" w14:textId="0C50FB16" w:rsidR="003C407D" w:rsidRDefault="00617F89" w:rsidP="004F6A20">
      <w:pPr>
        <w:pStyle w:val="Heading3"/>
      </w:pPr>
      <w:r>
        <w:lastRenderedPageBreak/>
        <w:t>6.</w:t>
      </w:r>
      <w:r w:rsidR="000E159C">
        <w:t>6.1</w:t>
      </w:r>
      <w:r>
        <w:tab/>
      </w:r>
      <w:r w:rsidR="0067162F">
        <w:tab/>
      </w:r>
      <w:r w:rsidR="00C33D4C">
        <w:tab/>
      </w:r>
      <w:r w:rsidR="003C407D">
        <w:t>How to incorporate a document</w:t>
      </w:r>
    </w:p>
    <w:p w14:paraId="5E53639B" w14:textId="77777777" w:rsidR="00BB6C43" w:rsidRDefault="00BB6C43" w:rsidP="00C45A31">
      <w:pPr>
        <w:pStyle w:val="Heading4"/>
      </w:pPr>
      <w:r w:rsidRPr="00361E71">
        <w:t>What is a</w:t>
      </w:r>
      <w:r>
        <w:t>n incorporated</w:t>
      </w:r>
      <w:r w:rsidRPr="00361E71">
        <w:t xml:space="preserve"> document?</w:t>
      </w:r>
    </w:p>
    <w:p w14:paraId="402107DA" w14:textId="77777777" w:rsidR="00BB6C43" w:rsidRDefault="00BB6C43" w:rsidP="002E55BC">
      <w:pPr>
        <w:pStyle w:val="BodyText1"/>
      </w:pPr>
      <w:r>
        <w:t>An incorporated document is a document that needs to be read in conjunction with the planning scheme for the effect of the scheme to be understood.</w:t>
      </w:r>
    </w:p>
    <w:p w14:paraId="489C774F" w14:textId="77777777" w:rsidR="00754143" w:rsidRDefault="00AB2C0B" w:rsidP="002E55BC">
      <w:pPr>
        <w:pStyle w:val="BodyText1"/>
      </w:pPr>
      <w:r>
        <w:t>An incorporated document carries the same weight as the other parts of the planning scheme. As part of the planning scheme, the planning authority can only change an incorporated document by a planning scheme amendment.</w:t>
      </w:r>
    </w:p>
    <w:p w14:paraId="489C7750" w14:textId="77777777" w:rsidR="00754143" w:rsidRPr="00361E71" w:rsidRDefault="00AB2C0B" w:rsidP="00C45A31">
      <w:pPr>
        <w:pStyle w:val="Heading4"/>
      </w:pPr>
      <w:r w:rsidRPr="00361E71">
        <w:t>When should a document be incorporated?</w:t>
      </w:r>
    </w:p>
    <w:p w14:paraId="116518E9" w14:textId="1A4930B8" w:rsidR="00BB6C43" w:rsidRDefault="00BB6C43" w:rsidP="002E55BC">
      <w:pPr>
        <w:pStyle w:val="BodyText1"/>
      </w:pPr>
      <w:r>
        <w:t>Where possible, avoid incorporating documents.</w:t>
      </w:r>
      <w:r w:rsidR="00D92C0F">
        <w:t xml:space="preserve"> </w:t>
      </w:r>
      <w:r>
        <w:t xml:space="preserve">This keeps the scheme self-contained and </w:t>
      </w:r>
      <w:r w:rsidR="008844C8">
        <w:t xml:space="preserve">makes it </w:t>
      </w:r>
      <w:r>
        <w:t>easier to use.</w:t>
      </w:r>
      <w:r w:rsidR="00D92C0F">
        <w:t xml:space="preserve"> </w:t>
      </w:r>
      <w:r>
        <w:t>It is always preferable to extract the specific planning requirements from a document and state them directly in the scheme.</w:t>
      </w:r>
    </w:p>
    <w:p w14:paraId="7FCE91FF" w14:textId="4BA4442C" w:rsidR="00BB6C43" w:rsidRPr="00BB6C43" w:rsidRDefault="00BB6C43" w:rsidP="002E55BC">
      <w:pPr>
        <w:pStyle w:val="BodyText1"/>
      </w:pPr>
      <w:r>
        <w:t xml:space="preserve">The decision to incorporate a document should </w:t>
      </w:r>
      <w:r w:rsidRPr="00BB6C43">
        <w:t xml:space="preserve">only </w:t>
      </w:r>
      <w:r w:rsidR="00921625">
        <w:t xml:space="preserve">be </w:t>
      </w:r>
      <w:r w:rsidRPr="00BB6C43">
        <w:t>considered when</w:t>
      </w:r>
      <w:r>
        <w:t xml:space="preserve"> </w:t>
      </w:r>
      <w:r w:rsidRPr="00BB6C43">
        <w:t>there is no suitable alternative in the scheme to achieve the required outcome</w:t>
      </w:r>
      <w:r>
        <w:t>.</w:t>
      </w:r>
      <w:r w:rsidR="00D92C0F">
        <w:t xml:space="preserve"> </w:t>
      </w:r>
      <w:r>
        <w:t>For example, a document should not be incorporated to specify requirements where an existing provision of the scheme enables requirements to be specified.</w:t>
      </w:r>
    </w:p>
    <w:p w14:paraId="489C7751" w14:textId="0AF892E3" w:rsidR="00754143" w:rsidRDefault="00AB2C0B" w:rsidP="002E55BC">
      <w:pPr>
        <w:pStyle w:val="BodyText1"/>
      </w:pPr>
      <w:r>
        <w:t xml:space="preserve">A document </w:t>
      </w:r>
      <w:r w:rsidR="00BB6C43">
        <w:t xml:space="preserve">should </w:t>
      </w:r>
      <w:r>
        <w:t>be incorporated if the document is:</w:t>
      </w:r>
    </w:p>
    <w:p w14:paraId="489C7752" w14:textId="77777777" w:rsidR="00DC2411" w:rsidRDefault="00AB2C0B" w:rsidP="00723A0D">
      <w:pPr>
        <w:pStyle w:val="DELWPbullet1"/>
      </w:pPr>
      <w:r>
        <w:t xml:space="preserve">Essential to the administration or enforcement of the planning scheme, that is, without the document the scheme cannot be properly understood. </w:t>
      </w:r>
      <w:r w:rsidRPr="007E64CD">
        <w:rPr>
          <w:rStyle w:val="Emphasis"/>
        </w:rPr>
        <w:t>The Code of Practice for Timber Production</w:t>
      </w:r>
      <w:r>
        <w:t xml:space="preserve"> is an example.</w:t>
      </w:r>
    </w:p>
    <w:p w14:paraId="489C7753" w14:textId="08B5F5C1" w:rsidR="00DC2411" w:rsidRDefault="00AB2C0B" w:rsidP="00723A0D">
      <w:pPr>
        <w:pStyle w:val="DELWPbullet1"/>
      </w:pPr>
      <w:r>
        <w:t>Necessary to determine the extent of a planning control or whether planning permission is required.</w:t>
      </w:r>
      <w:r w:rsidR="00DA5AF6">
        <w:t xml:space="preserve"> </w:t>
      </w:r>
      <w:r w:rsidRPr="003C0F39">
        <w:rPr>
          <w:rStyle w:val="Emphasis"/>
        </w:rPr>
        <w:t xml:space="preserve">The Code of Practice for Telecommunications </w:t>
      </w:r>
      <w:r w:rsidRPr="005A145D">
        <w:rPr>
          <w:rStyle w:val="Emphasis"/>
        </w:rPr>
        <w:t>Facilities</w:t>
      </w:r>
      <w:r w:rsidRPr="005A145D">
        <w:rPr>
          <w:i/>
          <w:iCs/>
        </w:rPr>
        <w:t xml:space="preserve"> in Victoria</w:t>
      </w:r>
      <w:r>
        <w:t xml:space="preserve"> is an example.</w:t>
      </w:r>
      <w:r w:rsidR="00DA5AF6">
        <w:t xml:space="preserve"> </w:t>
      </w:r>
      <w:r>
        <w:t>Without this document, it is not possible to tell whether a permit is required for a telecommunications facility or not.</w:t>
      </w:r>
    </w:p>
    <w:p w14:paraId="489C7754" w14:textId="344A32EE" w:rsidR="00DC2411" w:rsidRDefault="00AB2C0B" w:rsidP="00723A0D">
      <w:pPr>
        <w:pStyle w:val="DELWPbullet1"/>
      </w:pPr>
      <w:r>
        <w:t xml:space="preserve">Required to be incorporated under an Act, a Ministerial Direction </w:t>
      </w:r>
      <w:r w:rsidR="00EE3FC0">
        <w:t xml:space="preserve">(including the </w:t>
      </w:r>
      <w:r w:rsidR="00EE3FC0" w:rsidRPr="00824368">
        <w:rPr>
          <w:i/>
          <w:iCs/>
        </w:rPr>
        <w:t>Ministerial Direction</w:t>
      </w:r>
      <w:r w:rsidR="00824368">
        <w:t xml:space="preserve"> -</w:t>
      </w:r>
      <w:r w:rsidR="00EE3FC0">
        <w:t xml:space="preserve"> </w:t>
      </w:r>
      <w:r w:rsidR="00EE3FC0" w:rsidRPr="007E64CD">
        <w:rPr>
          <w:rStyle w:val="Emphasis"/>
        </w:rPr>
        <w:t>The Form and Content of Planning Schemes</w:t>
      </w:r>
      <w:r w:rsidR="00EE3FC0" w:rsidRPr="00EE3FC0">
        <w:rPr>
          <w:rStyle w:val="Emphasis"/>
          <w:i w:val="0"/>
        </w:rPr>
        <w:t>)</w:t>
      </w:r>
      <w:r w:rsidR="00EE3FC0">
        <w:rPr>
          <w:rStyle w:val="Emphasis"/>
          <w:i w:val="0"/>
        </w:rPr>
        <w:t xml:space="preserve"> </w:t>
      </w:r>
      <w:r>
        <w:t>or a specific planning provision, such as an incorporated plan under the Incorporated Plan Overlay.</w:t>
      </w:r>
    </w:p>
    <w:p w14:paraId="489C7757" w14:textId="4D3C0DE7" w:rsidR="00CB429B" w:rsidRDefault="00AB2C0B" w:rsidP="00723A0D">
      <w:pPr>
        <w:pStyle w:val="DELWPbullet1"/>
      </w:pPr>
      <w:r>
        <w:t>A statement of significance under the Heritage Overlay (see</w:t>
      </w:r>
      <w:r w:rsidRPr="007E64CD">
        <w:rPr>
          <w:rStyle w:val="Strong"/>
        </w:rPr>
        <w:t xml:space="preserve"> </w:t>
      </w:r>
      <w:r w:rsidR="0074503B" w:rsidRPr="00FA65B3">
        <w:rPr>
          <w:rStyle w:val="Strong"/>
        </w:rPr>
        <w:t>Chapter</w:t>
      </w:r>
      <w:r w:rsidR="00F31A55" w:rsidRPr="00FA65B3">
        <w:rPr>
          <w:rStyle w:val="Strong"/>
        </w:rPr>
        <w:t xml:space="preserve"> 6.5.8</w:t>
      </w:r>
      <w:r>
        <w:t>).</w:t>
      </w:r>
    </w:p>
    <w:p w14:paraId="489C7758" w14:textId="22624C96" w:rsidR="00754143" w:rsidRPr="00361E71" w:rsidRDefault="00AB2C0B" w:rsidP="00C45A31">
      <w:pPr>
        <w:pStyle w:val="Heading4"/>
      </w:pPr>
      <w:r w:rsidRPr="00361E71">
        <w:t>How is a document incorporated in the scheme?</w:t>
      </w:r>
    </w:p>
    <w:p w14:paraId="489C7759" w14:textId="655A04C3" w:rsidR="00754143" w:rsidRDefault="00AB2C0B" w:rsidP="002E55BC">
      <w:pPr>
        <w:pStyle w:val="BodyText1"/>
      </w:pPr>
      <w:r>
        <w:t xml:space="preserve">A document is only incorporated in the scheme if it is specifically listed in </w:t>
      </w:r>
      <w:r w:rsidR="001F616D" w:rsidRPr="00FA65B3">
        <w:rPr>
          <w:rStyle w:val="Strong"/>
        </w:rPr>
        <w:t>c</w:t>
      </w:r>
      <w:r w:rsidRPr="00FA65B3">
        <w:rPr>
          <w:rStyle w:val="Strong"/>
        </w:rPr>
        <w:t>lause 72.04</w:t>
      </w:r>
      <w:r>
        <w:t xml:space="preserve"> or the schedule to </w:t>
      </w:r>
      <w:r w:rsidR="001F616D" w:rsidRPr="00FA65B3">
        <w:rPr>
          <w:rStyle w:val="Strong"/>
        </w:rPr>
        <w:t>c</w:t>
      </w:r>
      <w:r w:rsidRPr="00FA65B3">
        <w:rPr>
          <w:rStyle w:val="Strong"/>
        </w:rPr>
        <w:t>lause 72.04</w:t>
      </w:r>
      <w:r>
        <w:t xml:space="preserve">. If a document is not listed in </w:t>
      </w:r>
      <w:r w:rsidR="001F616D" w:rsidRPr="00FA65B3">
        <w:rPr>
          <w:rStyle w:val="Strong"/>
        </w:rPr>
        <w:t>c</w:t>
      </w:r>
      <w:r w:rsidRPr="00FA65B3">
        <w:rPr>
          <w:rStyle w:val="Strong"/>
        </w:rPr>
        <w:t>lause 72.04</w:t>
      </w:r>
      <w:r>
        <w:t xml:space="preserve"> it is not an incorporated document, even if it is mentioned elsewhere in the scheme.</w:t>
      </w:r>
    </w:p>
    <w:p w14:paraId="4654077F" w14:textId="77777777" w:rsidR="008274FD" w:rsidRDefault="008274FD" w:rsidP="004426F5">
      <w:pPr>
        <w:pStyle w:val="Bodybold"/>
      </w:pPr>
      <w:r>
        <w:t>Naming an incorporated document</w:t>
      </w:r>
    </w:p>
    <w:p w14:paraId="1B6AC373" w14:textId="591339FA" w:rsidR="008274FD" w:rsidRDefault="004B2C39" w:rsidP="00B41D3A">
      <w:pPr>
        <w:pStyle w:val="BodyText1"/>
        <w:widowControl w:val="0"/>
      </w:pPr>
      <w:r>
        <w:t>When preparing an incorporated document, always include</w:t>
      </w:r>
      <w:r w:rsidR="00751230">
        <w:t xml:space="preserve"> the details of the author and</w:t>
      </w:r>
      <w:r>
        <w:t xml:space="preserve"> a publication date</w:t>
      </w:r>
      <w:r w:rsidR="00751230">
        <w:t xml:space="preserve"> (including month and year)</w:t>
      </w:r>
      <w:r>
        <w:t xml:space="preserve"> as part of the colophon or copyright-page.</w:t>
      </w:r>
      <w:r w:rsidR="00B41D3A">
        <w:t xml:space="preserve"> Avoid maintaining a different date for a document in the title of </w:t>
      </w:r>
      <w:r w:rsidR="00927A9A">
        <w:t xml:space="preserve">an amended </w:t>
      </w:r>
      <w:r w:rsidR="00B41D3A">
        <w:t>document.</w:t>
      </w:r>
      <w:r w:rsidR="00751230">
        <w:t xml:space="preserve"> If a version history is required, this can be listed as part of the colophon or copyright-page.</w:t>
      </w:r>
    </w:p>
    <w:p w14:paraId="5521D57E" w14:textId="77777777" w:rsidR="00C143C3" w:rsidRDefault="00C143C3">
      <w:pPr>
        <w:suppressAutoHyphens w:val="0"/>
        <w:spacing w:after="0" w:line="240" w:lineRule="auto"/>
        <w:rPr>
          <w:rFonts w:ascii="VIC" w:eastAsia="Times" w:hAnsi="VIC"/>
          <w:b/>
          <w:lang w:eastAsia="en-US"/>
        </w:rPr>
      </w:pPr>
      <w:r>
        <w:br w:type="page"/>
      </w:r>
    </w:p>
    <w:p w14:paraId="6876DF95" w14:textId="0479F111" w:rsidR="00AE4614" w:rsidRDefault="00AE4614" w:rsidP="00AE4614">
      <w:pPr>
        <w:pStyle w:val="Bodybold"/>
      </w:pPr>
      <w:r>
        <w:lastRenderedPageBreak/>
        <w:t>Referring to an incorporated document</w:t>
      </w:r>
    </w:p>
    <w:p w14:paraId="34B4ABAB" w14:textId="582B6DB1" w:rsidR="00E41AB2" w:rsidRPr="00304DAB" w:rsidRDefault="00E41AB2" w:rsidP="002E55BC">
      <w:pPr>
        <w:pStyle w:val="BodyText1"/>
      </w:pPr>
      <w:r w:rsidRPr="00304DAB">
        <w:t>To refer to an incorporated document, use the following format</w:t>
      </w:r>
      <w:r w:rsidR="00D0113A" w:rsidRPr="00304DAB">
        <w:t xml:space="preserve"> and </w:t>
      </w:r>
      <w:r w:rsidRPr="00304DAB">
        <w:t>include</w:t>
      </w:r>
      <w:r w:rsidR="00D0113A" w:rsidRPr="00304DAB">
        <w:t xml:space="preserve"> the</w:t>
      </w:r>
      <w:r w:rsidRPr="00304DAB">
        <w:t xml:space="preserve"> document title, author and date of publication/creation</w:t>
      </w:r>
      <w:r w:rsidR="00751230">
        <w:t xml:space="preserve"> (including month and year)</w:t>
      </w:r>
      <w:r w:rsidRPr="00304DAB">
        <w:t>:</w:t>
      </w:r>
    </w:p>
    <w:tbl>
      <w:tblPr>
        <w:tblStyle w:val="DELWPhighlighttable"/>
        <w:tblW w:w="9242" w:type="dxa"/>
        <w:tblInd w:w="0" w:type="dxa"/>
        <w:tblLook w:val="0400" w:firstRow="0" w:lastRow="0" w:firstColumn="0" w:lastColumn="0" w:noHBand="0" w:noVBand="1"/>
      </w:tblPr>
      <w:tblGrid>
        <w:gridCol w:w="9242"/>
      </w:tblGrid>
      <w:tr w:rsidR="00E41AB2" w:rsidRPr="00B447C7" w14:paraId="0338B536" w14:textId="77777777" w:rsidTr="003E1404">
        <w:trPr>
          <w:cantSplit/>
        </w:trPr>
        <w:tc>
          <w:tcPr>
            <w:tcW w:w="9242" w:type="dxa"/>
          </w:tcPr>
          <w:p w14:paraId="122A7E37" w14:textId="40120CB9" w:rsidR="00E41AB2" w:rsidRPr="00B447C7" w:rsidRDefault="00E41AB2" w:rsidP="00C45A31">
            <w:pPr>
              <w:pStyle w:val="Exampletext"/>
              <w:spacing w:after="120" w:line="240" w:lineRule="auto"/>
              <w:rPr>
                <w:i w:val="0"/>
                <w:iCs w:val="0"/>
              </w:rPr>
            </w:pPr>
            <w:r w:rsidRPr="00B447C7">
              <w:rPr>
                <w:i w:val="0"/>
                <w:iCs w:val="0"/>
              </w:rPr>
              <w:t xml:space="preserve">Shadow Bay </w:t>
            </w:r>
            <w:r w:rsidR="005C7DE2" w:rsidRPr="00B447C7">
              <w:rPr>
                <w:i w:val="0"/>
                <w:iCs w:val="0"/>
              </w:rPr>
              <w:t>S</w:t>
            </w:r>
            <w:r w:rsidRPr="00B447C7">
              <w:rPr>
                <w:i w:val="0"/>
                <w:iCs w:val="0"/>
              </w:rPr>
              <w:t xml:space="preserve">tatement of </w:t>
            </w:r>
            <w:r w:rsidR="005C7DE2" w:rsidRPr="00B447C7">
              <w:rPr>
                <w:i w:val="0"/>
                <w:iCs w:val="0"/>
              </w:rPr>
              <w:t>S</w:t>
            </w:r>
            <w:r w:rsidRPr="00B447C7">
              <w:rPr>
                <w:i w:val="0"/>
                <w:iCs w:val="0"/>
              </w:rPr>
              <w:t xml:space="preserve">ignificance (Gumnut City Council, </w:t>
            </w:r>
            <w:r w:rsidR="004D74AB" w:rsidRPr="00B447C7">
              <w:rPr>
                <w:i w:val="0"/>
                <w:iCs w:val="0"/>
              </w:rPr>
              <w:t xml:space="preserve">February </w:t>
            </w:r>
            <w:r w:rsidRPr="00B447C7">
              <w:rPr>
                <w:i w:val="0"/>
                <w:iCs w:val="0"/>
              </w:rPr>
              <w:t>2018)</w:t>
            </w:r>
          </w:p>
        </w:tc>
      </w:tr>
    </w:tbl>
    <w:p w14:paraId="4D9708A6" w14:textId="736892C3" w:rsidR="00AF0A6A" w:rsidRPr="00304DAB" w:rsidRDefault="005C7DE2" w:rsidP="00AF0A6A">
      <w:pPr>
        <w:pStyle w:val="BodyText1"/>
      </w:pPr>
      <w:r>
        <w:t xml:space="preserve">Where the publication date is not known, the council’s adoption date should be cited, </w:t>
      </w:r>
      <w:proofErr w:type="spellStart"/>
      <w:r>
        <w:t>eg</w:t>
      </w:r>
      <w:r w:rsidRPr="003637F0">
        <w:t>.</w:t>
      </w:r>
      <w:proofErr w:type="spellEnd"/>
      <w:r w:rsidR="00AF0A6A">
        <w:t>:</w:t>
      </w:r>
    </w:p>
    <w:tbl>
      <w:tblPr>
        <w:tblStyle w:val="DELWPhighlighttable"/>
        <w:tblW w:w="9242" w:type="dxa"/>
        <w:tblInd w:w="0" w:type="dxa"/>
        <w:tblLook w:val="0400" w:firstRow="0" w:lastRow="0" w:firstColumn="0" w:lastColumn="0" w:noHBand="0" w:noVBand="1"/>
      </w:tblPr>
      <w:tblGrid>
        <w:gridCol w:w="9242"/>
      </w:tblGrid>
      <w:tr w:rsidR="00AF0A6A" w:rsidRPr="00B447C7" w14:paraId="772228A0" w14:textId="77777777">
        <w:trPr>
          <w:cantSplit/>
        </w:trPr>
        <w:tc>
          <w:tcPr>
            <w:tcW w:w="9242" w:type="dxa"/>
          </w:tcPr>
          <w:p w14:paraId="3633AA89" w14:textId="18861E48" w:rsidR="00AF0A6A" w:rsidRPr="00B447C7" w:rsidRDefault="00AF0A6A">
            <w:pPr>
              <w:pStyle w:val="Exampletext"/>
              <w:spacing w:after="120" w:line="240" w:lineRule="auto"/>
              <w:rPr>
                <w:i w:val="0"/>
                <w:iCs w:val="0"/>
              </w:rPr>
            </w:pPr>
            <w:r w:rsidRPr="00B447C7">
              <w:rPr>
                <w:i w:val="0"/>
                <w:iCs w:val="0"/>
                <w:color w:val="000000"/>
              </w:rPr>
              <w:t xml:space="preserve">Shadow Bay Statement of Significance (Gumnut City Council, Adopted </w:t>
            </w:r>
            <w:r w:rsidR="004D74AB" w:rsidRPr="00B447C7">
              <w:rPr>
                <w:i w:val="0"/>
                <w:iCs w:val="0"/>
                <w:color w:val="000000"/>
              </w:rPr>
              <w:t xml:space="preserve">February </w:t>
            </w:r>
            <w:r w:rsidRPr="00B447C7">
              <w:rPr>
                <w:i w:val="0"/>
                <w:iCs w:val="0"/>
                <w:color w:val="000000"/>
              </w:rPr>
              <w:t>2018)</w:t>
            </w:r>
          </w:p>
        </w:tc>
      </w:tr>
    </w:tbl>
    <w:p w14:paraId="08CFC8F2" w14:textId="77777777" w:rsidR="008B6E1F" w:rsidRDefault="00E41AB2" w:rsidP="002E55BC">
      <w:pPr>
        <w:pStyle w:val="BodyText1"/>
      </w:pPr>
      <w:r w:rsidRPr="00304DAB">
        <w:t>Do not include terms that seek to provide for alternative versions</w:t>
      </w:r>
      <w:r w:rsidR="008258CA" w:rsidRPr="00304DAB">
        <w:t xml:space="preserve"> </w:t>
      </w:r>
      <w:r w:rsidR="006444F0" w:rsidRPr="00304DAB">
        <w:t>–</w:t>
      </w:r>
      <w:r w:rsidRPr="00304DAB">
        <w:t xml:space="preserve"> </w:t>
      </w:r>
      <w:proofErr w:type="gramStart"/>
      <w:r w:rsidRPr="00304DAB">
        <w:t>e.g.</w:t>
      </w:r>
      <w:proofErr w:type="gramEnd"/>
      <w:r w:rsidRPr="00304DAB">
        <w:t xml:space="preserve"> ‘as amended from time to time’</w:t>
      </w:r>
      <w:r w:rsidR="005C7DE2">
        <w:t>, ‘as revised’</w:t>
      </w:r>
      <w:r w:rsidRPr="00304DAB">
        <w:t xml:space="preserve"> or ‘as updated’.</w:t>
      </w:r>
      <w:r w:rsidR="00D92C0F">
        <w:t xml:space="preserve"> </w:t>
      </w:r>
    </w:p>
    <w:p w14:paraId="04B24AE6" w14:textId="4985CC4D" w:rsidR="00320CA7" w:rsidRDefault="00F746AE" w:rsidP="002E55BC">
      <w:pPr>
        <w:pStyle w:val="BodyText1"/>
      </w:pPr>
      <w:r>
        <w:t>When referring to a</w:t>
      </w:r>
      <w:r w:rsidR="00A2253D">
        <w:t xml:space="preserve"> document </w:t>
      </w:r>
      <w:r>
        <w:t xml:space="preserve">that </w:t>
      </w:r>
      <w:r w:rsidR="00A2253D">
        <w:t xml:space="preserve">has been amended, </w:t>
      </w:r>
      <w:r w:rsidR="00003247">
        <w:t>cite the</w:t>
      </w:r>
      <w:r>
        <w:t xml:space="preserve"> date of the</w:t>
      </w:r>
      <w:r w:rsidR="00003247">
        <w:t xml:space="preserve"> latest version of the document</w:t>
      </w:r>
      <w:r w:rsidR="00F64219">
        <w:t>,</w:t>
      </w:r>
      <w:r w:rsidR="00E235DF">
        <w:t xml:space="preserve"> and not the original date</w:t>
      </w:r>
      <w:r w:rsidR="00C970A2">
        <w:t>.</w:t>
      </w:r>
      <w:r w:rsidR="008B6E1F">
        <w:t xml:space="preserve"> </w:t>
      </w:r>
      <w:r w:rsidR="00766D2A">
        <w:t>The date is mentioned once</w:t>
      </w:r>
      <w:r w:rsidR="00DF02A6">
        <w:t>,</w:t>
      </w:r>
      <w:r w:rsidR="00766D2A">
        <w:t xml:space="preserve"> as shown </w:t>
      </w:r>
      <w:r w:rsidR="00751230">
        <w:t>below</w:t>
      </w:r>
      <w:r w:rsidR="0064047C">
        <w:t xml:space="preserve">, </w:t>
      </w:r>
      <w:r w:rsidR="00DF02A6">
        <w:t xml:space="preserve">irrespective </w:t>
      </w:r>
      <w:r w:rsidR="0064047C">
        <w:t>of the date being part of the document title</w:t>
      </w:r>
      <w:r w:rsidR="00766D2A">
        <w:t>.</w:t>
      </w:r>
    </w:p>
    <w:tbl>
      <w:tblPr>
        <w:tblStyle w:val="TableGrid"/>
        <w:tblW w:w="925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
        <w:gridCol w:w="8561"/>
      </w:tblGrid>
      <w:tr w:rsidR="00751230" w:rsidRPr="00B447C7" w14:paraId="320FF6A6" w14:textId="77777777" w:rsidTr="00751230">
        <w:trPr>
          <w:cnfStyle w:val="100000000000" w:firstRow="1" w:lastRow="0" w:firstColumn="0" w:lastColumn="0" w:oddVBand="0" w:evenVBand="0" w:oddHBand="0" w:evenHBand="0" w:firstRowFirstColumn="0" w:firstRowLastColumn="0" w:lastRowFirstColumn="0" w:lastRowLastColumn="0"/>
        </w:trPr>
        <w:tc>
          <w:tcPr>
            <w:tcW w:w="690" w:type="dxa"/>
            <w:tcBorders>
              <w:right w:val="none" w:sz="0" w:space="0" w:color="auto"/>
            </w:tcBorders>
            <w:shd w:val="clear" w:color="auto" w:fill="D9ECEA" w:themeFill="accent2"/>
            <w:vAlign w:val="top"/>
          </w:tcPr>
          <w:p w14:paraId="6308256E" w14:textId="7F5CAAE0" w:rsidR="00751230" w:rsidRPr="00B447C7" w:rsidRDefault="00751230" w:rsidP="009D04DE">
            <w:pPr>
              <w:pStyle w:val="Symbol"/>
              <w:rPr>
                <w:i w:val="0"/>
                <w:iCs w:val="0"/>
              </w:rPr>
            </w:pPr>
            <w:r w:rsidRPr="00B447C7">
              <w:rPr>
                <w:i w:val="0"/>
                <w:iCs w:val="0"/>
              </w:rPr>
              <w:sym w:font="Wingdings" w:char="F0FB"/>
            </w:r>
          </w:p>
        </w:tc>
        <w:tc>
          <w:tcPr>
            <w:tcW w:w="8561" w:type="dxa"/>
            <w:tcBorders>
              <w:left w:val="none" w:sz="0" w:space="0" w:color="auto"/>
            </w:tcBorders>
            <w:shd w:val="clear" w:color="auto" w:fill="D9ECEA" w:themeFill="accent2"/>
          </w:tcPr>
          <w:p w14:paraId="4A90DA35" w14:textId="338FAE55" w:rsidR="00751230" w:rsidRPr="00B447C7" w:rsidRDefault="00751230" w:rsidP="009D04DE">
            <w:pPr>
              <w:pStyle w:val="DELWPexamplebody"/>
              <w:rPr>
                <w:color w:val="00828D" w:themeColor="text2"/>
              </w:rPr>
            </w:pPr>
            <w:bookmarkStart w:id="319" w:name="_Hlk161240910"/>
            <w:r w:rsidRPr="00751230">
              <w:rPr>
                <w:i/>
                <w:iCs/>
              </w:rPr>
              <w:t xml:space="preserve">Red Gum River Valley Design Guidelines </w:t>
            </w:r>
            <w:r w:rsidRPr="000D53F8">
              <w:rPr>
                <w:i/>
                <w:iCs/>
                <w:strike/>
              </w:rPr>
              <w:t>2019</w:t>
            </w:r>
            <w:r w:rsidRPr="00751230">
              <w:rPr>
                <w:i/>
                <w:iCs/>
              </w:rPr>
              <w:t xml:space="preserve"> </w:t>
            </w:r>
            <w:r w:rsidRPr="00751230">
              <w:t xml:space="preserve">(Wattle Bay City Council, </w:t>
            </w:r>
            <w:r w:rsidRPr="000D53F8">
              <w:rPr>
                <w:strike/>
              </w:rPr>
              <w:t>Revised</w:t>
            </w:r>
            <w:r w:rsidRPr="00751230">
              <w:t xml:space="preserve"> March 2023)</w:t>
            </w:r>
            <w:bookmarkEnd w:id="319"/>
          </w:p>
        </w:tc>
      </w:tr>
      <w:tr w:rsidR="00751230" w:rsidRPr="00B447C7" w14:paraId="6D5CFBA1" w14:textId="77777777" w:rsidTr="00751230">
        <w:trPr>
          <w:trHeight w:val="567"/>
        </w:trPr>
        <w:tc>
          <w:tcPr>
            <w:tcW w:w="690" w:type="dxa"/>
            <w:shd w:val="clear" w:color="auto" w:fill="D9ECEA" w:themeFill="accent2"/>
          </w:tcPr>
          <w:p w14:paraId="29761E84" w14:textId="55245D19" w:rsidR="00751230" w:rsidRPr="00B447C7" w:rsidRDefault="00751230" w:rsidP="009D04DE">
            <w:pPr>
              <w:pStyle w:val="Symbol"/>
              <w:rPr>
                <w:i w:val="0"/>
                <w:iCs w:val="0"/>
              </w:rPr>
            </w:pPr>
            <w:r w:rsidRPr="00B447C7">
              <w:rPr>
                <w:i w:val="0"/>
                <w:iCs w:val="0"/>
              </w:rPr>
              <w:sym w:font="Wingdings" w:char="F0FC"/>
            </w:r>
          </w:p>
        </w:tc>
        <w:tc>
          <w:tcPr>
            <w:tcW w:w="8561" w:type="dxa"/>
            <w:shd w:val="clear" w:color="auto" w:fill="D9ECEA" w:themeFill="accent2"/>
          </w:tcPr>
          <w:p w14:paraId="337D6A1F" w14:textId="09BCA957" w:rsidR="00751230" w:rsidRPr="00B447C7" w:rsidRDefault="00751230" w:rsidP="009D04DE">
            <w:pPr>
              <w:pStyle w:val="DELWPexamplebody"/>
            </w:pPr>
            <w:r w:rsidRPr="00751230">
              <w:rPr>
                <w:i/>
                <w:iCs/>
              </w:rPr>
              <w:t>Red Gum River Valley Design Guidelines</w:t>
            </w:r>
            <w:r w:rsidRPr="00751230">
              <w:t xml:space="preserve"> (Wattle Bay City Council, March 2023)</w:t>
            </w:r>
          </w:p>
        </w:tc>
      </w:tr>
    </w:tbl>
    <w:p w14:paraId="04726C62" w14:textId="0A79FB81" w:rsidR="00E41AB2" w:rsidRDefault="00E41AB2" w:rsidP="002E55BC">
      <w:pPr>
        <w:pStyle w:val="BodyText1"/>
      </w:pPr>
      <w:r w:rsidRPr="00304DAB">
        <w:t>If a document has already been referenced by the VPP it does not have to be referenced again at the local level.</w:t>
      </w:r>
    </w:p>
    <w:p w14:paraId="489C775A" w14:textId="42319408" w:rsidR="00754143" w:rsidRDefault="00AB2C0B" w:rsidP="002E55BC">
      <w:pPr>
        <w:pStyle w:val="BodyText1"/>
      </w:pPr>
      <w:r>
        <w:t xml:space="preserve">A planning scheme amendment is required to include a document in </w:t>
      </w:r>
      <w:r w:rsidR="001F616D" w:rsidRPr="00FA65B3">
        <w:rPr>
          <w:rStyle w:val="Strong"/>
        </w:rPr>
        <w:t>c</w:t>
      </w:r>
      <w:r w:rsidRPr="00FA65B3">
        <w:rPr>
          <w:rStyle w:val="Strong"/>
        </w:rPr>
        <w:t>lause 72.04</w:t>
      </w:r>
      <w:r>
        <w:t xml:space="preserve"> or to change an included incorporated document.</w:t>
      </w:r>
    </w:p>
    <w:p w14:paraId="60650E47" w14:textId="0308C85B" w:rsidR="00790A22" w:rsidRDefault="00790A22" w:rsidP="002E55BC">
      <w:pPr>
        <w:pStyle w:val="BodyText1"/>
      </w:pPr>
      <w:r>
        <w:t xml:space="preserve">To make the incorporated document list easier to use, the schedule to </w:t>
      </w:r>
      <w:r w:rsidR="001F616D" w:rsidRPr="00B00B76">
        <w:t>c</w:t>
      </w:r>
      <w:r w:rsidRPr="00B00B76">
        <w:t>lause 72.04</w:t>
      </w:r>
      <w:r>
        <w:t xml:space="preserve"> should be compiled alphabetically.</w:t>
      </w:r>
    </w:p>
    <w:p w14:paraId="489C775B" w14:textId="77777777" w:rsidR="00754143" w:rsidRPr="00361E71" w:rsidRDefault="00AB2C0B" w:rsidP="006F24DA">
      <w:pPr>
        <w:pStyle w:val="Heading4"/>
      </w:pPr>
      <w:r w:rsidRPr="00361E71">
        <w:t>What sort of documents can be incorporated?</w:t>
      </w:r>
    </w:p>
    <w:p w14:paraId="489C775C" w14:textId="77777777" w:rsidR="00754143" w:rsidRDefault="00AB2C0B" w:rsidP="002E55BC">
      <w:pPr>
        <w:pStyle w:val="BodyText1"/>
      </w:pPr>
      <w:r>
        <w:t>Where possible, it is better to extract the specific planning policy or decision requirements from a document and include them directly in the scheme as local planning policy, local schedule provisions or decision guidelines rather than incorporating a document. This is particularly so if only part of the document is relevant or where the document is not written in a way that suitably expresses specific requirements for planning decisions.</w:t>
      </w:r>
    </w:p>
    <w:p w14:paraId="489C775D" w14:textId="74902215" w:rsidR="00754143" w:rsidRDefault="00AB2C0B" w:rsidP="002E55BC">
      <w:pPr>
        <w:pStyle w:val="BodyText1"/>
      </w:pPr>
      <w:r>
        <w:t>However, if the document includes</w:t>
      </w:r>
      <w:r w:rsidR="007E467A">
        <w:t xml:space="preserve"> relevant</w:t>
      </w:r>
      <w:r>
        <w:t xml:space="preserve"> content that is lengthy</w:t>
      </w:r>
      <w:r w:rsidR="00377DA5">
        <w:t xml:space="preserve"> and</w:t>
      </w:r>
      <w:r>
        <w:t xml:space="preserve"> complex it may be better as an incorporated document.</w:t>
      </w:r>
    </w:p>
    <w:p w14:paraId="489C775F" w14:textId="200A81FA" w:rsidR="00754143" w:rsidRDefault="00AB2C0B" w:rsidP="002E55BC">
      <w:pPr>
        <w:pStyle w:val="BodyText1"/>
      </w:pPr>
      <w:r>
        <w:t xml:space="preserve">Incorporated documents need to be </w:t>
      </w:r>
      <w:r w:rsidR="00FC7904">
        <w:t xml:space="preserve">in a </w:t>
      </w:r>
      <w:r>
        <w:t>suitable</w:t>
      </w:r>
      <w:r w:rsidR="00FC7904">
        <w:t xml:space="preserve"> form</w:t>
      </w:r>
      <w:r>
        <w:t xml:space="preserve"> to be made available online</w:t>
      </w:r>
      <w:r w:rsidR="00DD71BC">
        <w:t xml:space="preserve"> including that</w:t>
      </w:r>
      <w:r>
        <w:t>:</w:t>
      </w:r>
    </w:p>
    <w:p w14:paraId="489C7760" w14:textId="4E291070" w:rsidR="00DC2411" w:rsidRDefault="00AB2C0B" w:rsidP="00723A0D">
      <w:pPr>
        <w:pStyle w:val="DELWPbullet1"/>
      </w:pPr>
      <w:r>
        <w:t xml:space="preserve">there is no copyright infringement that would prevent publication online </w:t>
      </w:r>
      <w:r w:rsidR="00762C77">
        <w:t>(</w:t>
      </w:r>
      <w:r>
        <w:t>such as artwork that might be copyright even though the document is not</w:t>
      </w:r>
      <w:r w:rsidR="00762C77">
        <w:t>)</w:t>
      </w:r>
    </w:p>
    <w:p w14:paraId="489C7761" w14:textId="77777777" w:rsidR="00DC2411" w:rsidRDefault="00AB2C0B" w:rsidP="00723A0D">
      <w:pPr>
        <w:pStyle w:val="DELWPbullet1"/>
      </w:pPr>
      <w:r>
        <w:t>there is no privacy issue</w:t>
      </w:r>
    </w:p>
    <w:p w14:paraId="489C7762" w14:textId="18CE5F85" w:rsidR="00DC2411" w:rsidRDefault="00AB2C0B" w:rsidP="00723A0D">
      <w:pPr>
        <w:pStyle w:val="DELWPbullet1"/>
      </w:pPr>
      <w:r>
        <w:lastRenderedPageBreak/>
        <w:t>the document is prepared from an original and not scanned (to improve quality and reduce file size)</w:t>
      </w:r>
    </w:p>
    <w:p w14:paraId="489C7763" w14:textId="18687082" w:rsidR="00DC2411" w:rsidRDefault="00AB2C0B" w:rsidP="00723A0D">
      <w:pPr>
        <w:pStyle w:val="DELWPbullet1"/>
      </w:pPr>
      <w:r>
        <w:t xml:space="preserve">the document </w:t>
      </w:r>
      <w:r w:rsidR="008C452A">
        <w:t>supports</w:t>
      </w:r>
      <w:r>
        <w:t xml:space="preserve"> text recognition and is searchable</w:t>
      </w:r>
    </w:p>
    <w:p w14:paraId="489C7764" w14:textId="18F6C9F4" w:rsidR="00DC2411" w:rsidRDefault="00AB2C0B" w:rsidP="00723A0D">
      <w:pPr>
        <w:pStyle w:val="DELWPbullet1"/>
      </w:pPr>
      <w:r>
        <w:t xml:space="preserve">the document is accessible for a screen reader (or an accessible Word version is </w:t>
      </w:r>
      <w:r w:rsidR="00D54548">
        <w:t xml:space="preserve">also </w:t>
      </w:r>
      <w:r>
        <w:t>provided)</w:t>
      </w:r>
    </w:p>
    <w:p w14:paraId="489C7765" w14:textId="77777777" w:rsidR="00DC2411" w:rsidRDefault="00AB2C0B" w:rsidP="00723A0D">
      <w:pPr>
        <w:pStyle w:val="DELWPbullet1"/>
      </w:pPr>
      <w:r>
        <w:t>the file size is kept as small as possible.</w:t>
      </w:r>
    </w:p>
    <w:p w14:paraId="489C7766" w14:textId="5878879E" w:rsidR="00754143" w:rsidRDefault="00AB2C0B" w:rsidP="002E55BC">
      <w:pPr>
        <w:pStyle w:val="DELWPbodyafterbullets"/>
      </w:pPr>
      <w:r>
        <w:t>A document that is not publicly available should not be incorporated.</w:t>
      </w:r>
      <w:r w:rsidR="00DA5AF6">
        <w:t xml:space="preserve"> </w:t>
      </w:r>
      <w:r>
        <w:t>Also avoid seeking to incorporate documents such as Australian Standards that are difficult or expensive for a casual user to access.</w:t>
      </w:r>
      <w:r w:rsidR="00DA5AF6">
        <w:t xml:space="preserve"> </w:t>
      </w:r>
      <w:r>
        <w:t xml:space="preserve">In such cases, it may be possible to extract and reproduce the relevant information (as with AS3959 in the bushfire provisions at </w:t>
      </w:r>
      <w:r w:rsidR="001F616D" w:rsidRPr="00FA65B3">
        <w:rPr>
          <w:rStyle w:val="Strong"/>
        </w:rPr>
        <w:t>c</w:t>
      </w:r>
      <w:r w:rsidRPr="00FA65B3">
        <w:rPr>
          <w:rStyle w:val="Strong"/>
        </w:rPr>
        <w:t>lause 53.02</w:t>
      </w:r>
      <w:r>
        <w:t xml:space="preserve">) or it may be sufficient for a document to </w:t>
      </w:r>
      <w:r w:rsidR="00996880">
        <w:t xml:space="preserve">take the form of </w:t>
      </w:r>
      <w:r>
        <w:t>a background document.</w:t>
      </w:r>
    </w:p>
    <w:p w14:paraId="489C7767" w14:textId="77777777" w:rsidR="00754143" w:rsidRPr="00361E71" w:rsidRDefault="00AB2C0B" w:rsidP="006F24DA">
      <w:pPr>
        <w:pStyle w:val="Heading4"/>
      </w:pPr>
      <w:r w:rsidRPr="00361E71">
        <w:t>What are the planning authority’s obligations with an incorporated document?</w:t>
      </w:r>
    </w:p>
    <w:p w14:paraId="489C7768" w14:textId="1D1D28B2" w:rsidR="00754143" w:rsidRDefault="00AB2C0B" w:rsidP="002E55BC">
      <w:pPr>
        <w:pStyle w:val="BodyText1"/>
      </w:pPr>
      <w:r>
        <w:t xml:space="preserve">An incorporated document </w:t>
      </w:r>
      <w:r w:rsidR="00074EEF">
        <w:t>must have its strategic basis substantiated as part of a planning scheme amendment process</w:t>
      </w:r>
      <w:r w:rsidR="00B4459E">
        <w:t xml:space="preserve"> and have </w:t>
      </w:r>
      <w:r>
        <w:t xml:space="preserve">been through a public consultation </w:t>
      </w:r>
      <w:proofErr w:type="gramStart"/>
      <w:r>
        <w:t>process</w:t>
      </w:r>
      <w:r w:rsidR="00B4459E">
        <w:t>,</w:t>
      </w:r>
      <w:r>
        <w:t xml:space="preserve"> before</w:t>
      </w:r>
      <w:proofErr w:type="gramEnd"/>
      <w:r>
        <w:t xml:space="preserve"> it is incorporated in the planning scheme</w:t>
      </w:r>
      <w:r w:rsidR="0071255B">
        <w:t xml:space="preserve"> by way of an am</w:t>
      </w:r>
      <w:r w:rsidR="00DD56AC">
        <w:t>endment</w:t>
      </w:r>
      <w:r>
        <w:t>.</w:t>
      </w:r>
    </w:p>
    <w:p w14:paraId="489C776A" w14:textId="114C1398" w:rsidR="00DC2411" w:rsidRDefault="00F53610" w:rsidP="002E55BC">
      <w:pPr>
        <w:pStyle w:val="BodyText1"/>
      </w:pPr>
      <w:r>
        <w:t>Once incorporated, the</w:t>
      </w:r>
      <w:r w:rsidR="00AB2C0B">
        <w:t xml:space="preserve"> document must be publicly available for inspection with the planning scheme</w:t>
      </w:r>
      <w:r w:rsidR="003E53D0">
        <w:t xml:space="preserve"> and</w:t>
      </w:r>
      <w:r w:rsidR="0050640C">
        <w:t xml:space="preserve"> made</w:t>
      </w:r>
      <w:r w:rsidR="00AB2C0B">
        <w:t xml:space="preserve"> available on the</w:t>
      </w:r>
      <w:r w:rsidR="002C58A4">
        <w:t xml:space="preserve"> planning authority’s</w:t>
      </w:r>
      <w:r w:rsidR="00AB2C0B">
        <w:t xml:space="preserve"> web page.</w:t>
      </w:r>
    </w:p>
    <w:p w14:paraId="489C776B" w14:textId="2E987464" w:rsidR="00754143" w:rsidRDefault="002C58A4" w:rsidP="002E55BC">
      <w:pPr>
        <w:pStyle w:val="BodyText1"/>
      </w:pPr>
      <w:r>
        <w:t>S</w:t>
      </w:r>
      <w:r w:rsidR="00AB2C0B">
        <w:t>tatewide incorporated documents are available on the department’s website.</w:t>
      </w:r>
    </w:p>
    <w:p w14:paraId="489C776C" w14:textId="2D947910" w:rsidR="00DC2411" w:rsidRPr="00986209" w:rsidRDefault="002B2901" w:rsidP="004F6A20">
      <w:pPr>
        <w:pStyle w:val="Heading3"/>
      </w:pPr>
      <w:bookmarkStart w:id="320" w:name="_6.7_How_to"/>
      <w:bookmarkStart w:id="321" w:name="_Ref528600905"/>
      <w:bookmarkStart w:id="322" w:name="_Ref528601015"/>
      <w:bookmarkStart w:id="323" w:name="_Ref528601300"/>
      <w:bookmarkStart w:id="324" w:name="_Toc158706996"/>
      <w:bookmarkEnd w:id="320"/>
      <w:r>
        <w:t>6</w:t>
      </w:r>
      <w:r w:rsidR="0028407E">
        <w:t>.6.2</w:t>
      </w:r>
      <w:r w:rsidR="0028407E">
        <w:tab/>
      </w:r>
      <w:r w:rsidR="0028407E">
        <w:tab/>
      </w:r>
      <w:r w:rsidR="00AB2C0B" w:rsidRPr="00986209">
        <w:t>How to refer to a background document</w:t>
      </w:r>
      <w:bookmarkEnd w:id="321"/>
      <w:bookmarkEnd w:id="322"/>
      <w:bookmarkEnd w:id="323"/>
      <w:bookmarkEnd w:id="324"/>
    </w:p>
    <w:p w14:paraId="489C776D" w14:textId="77777777" w:rsidR="00754143" w:rsidRPr="00361E71" w:rsidRDefault="00AB2C0B" w:rsidP="006F24DA">
      <w:pPr>
        <w:pStyle w:val="Heading4"/>
      </w:pPr>
      <w:r w:rsidRPr="00361E71">
        <w:t>What is a background document?</w:t>
      </w:r>
    </w:p>
    <w:p w14:paraId="489C776E" w14:textId="22F7A4AC" w:rsidR="00754143" w:rsidRDefault="00AB2C0B" w:rsidP="002E55BC">
      <w:pPr>
        <w:pStyle w:val="BodyText1"/>
      </w:pPr>
      <w:r>
        <w:t xml:space="preserve">A background document provides information that helps to understand why a particular policy or </w:t>
      </w:r>
      <w:r w:rsidR="00D7061A">
        <w:t>control</w:t>
      </w:r>
      <w:r>
        <w:t xml:space="preserve"> has been included in the planning scheme. Background documents were previously referred to as ‘reference </w:t>
      </w:r>
      <w:proofErr w:type="gramStart"/>
      <w:r>
        <w:t>documents’</w:t>
      </w:r>
      <w:proofErr w:type="gramEnd"/>
      <w:r>
        <w:t>.</w:t>
      </w:r>
    </w:p>
    <w:p w14:paraId="489C776F" w14:textId="3BE4CDAB" w:rsidR="00754143" w:rsidRDefault="00AB2C0B" w:rsidP="002E55BC">
      <w:pPr>
        <w:pStyle w:val="BodyText1"/>
      </w:pPr>
      <w:r>
        <w:t>A background document is not part of the planning scheme</w:t>
      </w:r>
      <w:r w:rsidR="00EE3FC0">
        <w:t xml:space="preserve"> and must not be directly relied on for decision making.</w:t>
      </w:r>
      <w:r w:rsidR="00D92C0F">
        <w:t xml:space="preserve"> </w:t>
      </w:r>
      <w:r w:rsidR="00EE3FC0">
        <w:t>If a background document contains content that is necessary for decision making (such as strategies or decision guidelines) then these must be extracted and placed in the relevant policy or control</w:t>
      </w:r>
      <w:r>
        <w:t>.</w:t>
      </w:r>
    </w:p>
    <w:p w14:paraId="489C7770" w14:textId="77777777" w:rsidR="00754143" w:rsidRPr="00361E71" w:rsidRDefault="00AB2C0B" w:rsidP="006F24DA">
      <w:pPr>
        <w:pStyle w:val="Heading4"/>
      </w:pPr>
      <w:r w:rsidRPr="00361E71">
        <w:t>When should a document be mentioned as a background document?</w:t>
      </w:r>
    </w:p>
    <w:p w14:paraId="1F5F8DBF" w14:textId="6A69A2E4" w:rsidR="00F365C0" w:rsidRDefault="00AB2C0B" w:rsidP="002E55BC">
      <w:pPr>
        <w:pStyle w:val="BodyText1"/>
      </w:pPr>
      <w:r>
        <w:t>If a document gives useful information that will help a user understand the planning scheme, it may be suitable for mention as a background document.</w:t>
      </w:r>
      <w:r w:rsidR="00626208">
        <w:t xml:space="preserve"> </w:t>
      </w:r>
      <w:r w:rsidR="00C631E6">
        <w:t>These</w:t>
      </w:r>
      <w:r w:rsidR="00996684">
        <w:t xml:space="preserve"> document</w:t>
      </w:r>
      <w:r w:rsidR="00B8730C">
        <w:t>s</w:t>
      </w:r>
      <w:r w:rsidR="00996684">
        <w:t xml:space="preserve"> are </w:t>
      </w:r>
      <w:r w:rsidR="00B8730C">
        <w:t xml:space="preserve">however </w:t>
      </w:r>
      <w:r w:rsidR="00996684">
        <w:t>most</w:t>
      </w:r>
      <w:r w:rsidR="00B8730C">
        <w:t xml:space="preserve"> </w:t>
      </w:r>
      <w:r w:rsidR="00F41910">
        <w:t>r</w:t>
      </w:r>
      <w:r w:rsidR="00B73A97">
        <w:t>elevant</w:t>
      </w:r>
      <w:r w:rsidR="00996684">
        <w:t xml:space="preserve"> at the planning scheme amendment stage</w:t>
      </w:r>
      <w:r w:rsidR="00017BA0">
        <w:t xml:space="preserve"> and are generally not needed at the </w:t>
      </w:r>
      <w:proofErr w:type="gramStart"/>
      <w:r w:rsidR="00017BA0">
        <w:t>decision making</w:t>
      </w:r>
      <w:proofErr w:type="gramEnd"/>
      <w:r w:rsidR="00017BA0">
        <w:t xml:space="preserve"> stage.</w:t>
      </w:r>
      <w:r w:rsidR="00B16D34">
        <w:t xml:space="preserve"> A</w:t>
      </w:r>
      <w:r w:rsidR="00F365C0">
        <w:t>s with incorporated documents, avoid referencing background documents wherever possible</w:t>
      </w:r>
      <w:r w:rsidR="00C115F9">
        <w:t xml:space="preserve"> </w:t>
      </w:r>
      <w:r w:rsidR="0044764C">
        <w:t>to keep</w:t>
      </w:r>
      <w:r w:rsidR="00C115F9">
        <w:t xml:space="preserve"> the </w:t>
      </w:r>
      <w:r w:rsidR="00F365C0">
        <w:t>scheme</w:t>
      </w:r>
      <w:r w:rsidR="00C115F9">
        <w:t xml:space="preserve"> user-friendly and</w:t>
      </w:r>
      <w:r w:rsidR="00F365C0">
        <w:t xml:space="preserve"> self-contained</w:t>
      </w:r>
      <w:r w:rsidR="008A678D">
        <w:t>.</w:t>
      </w:r>
    </w:p>
    <w:p w14:paraId="489C7772" w14:textId="29B5EB12" w:rsidR="00DC2411" w:rsidRDefault="00AB2C0B" w:rsidP="002E55BC">
      <w:pPr>
        <w:pStyle w:val="BodyText1"/>
      </w:pPr>
      <w:r>
        <w:t>A background document can explain why a particular policy or provision is in the planning scheme. For example, a flora and fauna study that documents the reasons for applying an Environmental Significance Overlay may be usefully referenced as the basis for the statement of environmental significance in the overlay.</w:t>
      </w:r>
    </w:p>
    <w:p w14:paraId="489C7773" w14:textId="77777777" w:rsidR="00754143" w:rsidRDefault="00AB2C0B" w:rsidP="002E55BC">
      <w:pPr>
        <w:pStyle w:val="BodyText1"/>
      </w:pPr>
      <w:r>
        <w:lastRenderedPageBreak/>
        <w:t>A background document must relate directly to a specific policy or provision.</w:t>
      </w:r>
      <w:r w:rsidR="00DA5AF6">
        <w:t xml:space="preserve"> </w:t>
      </w:r>
      <w:r>
        <w:t>A document that includes a lot of information that is not directly relevant to the specific provision of the scheme will not generally be suitable for mention as a background document.</w:t>
      </w:r>
    </w:p>
    <w:p w14:paraId="489C7774" w14:textId="3469E20B" w:rsidR="00754143" w:rsidRDefault="00AB2C0B" w:rsidP="002E55BC">
      <w:pPr>
        <w:pStyle w:val="BodyText1"/>
      </w:pPr>
      <w:r>
        <w:t>Do not make a document a background document if the substantive elements of the document have been included in the scheme and require no further explanation.</w:t>
      </w:r>
    </w:p>
    <w:p w14:paraId="5D119DCE" w14:textId="7F02B654" w:rsidR="0059685B" w:rsidRDefault="0059685B" w:rsidP="002E55BC">
      <w:pPr>
        <w:pStyle w:val="BodyText1"/>
      </w:pPr>
      <w:r w:rsidRPr="000246DB">
        <w:t>Avoid general references to a type or source of document</w:t>
      </w:r>
      <w:r>
        <w:t>, including under policy documents</w:t>
      </w:r>
      <w:r w:rsidRPr="000246DB">
        <w:t xml:space="preserve"> </w:t>
      </w:r>
      <w:r>
        <w:t xml:space="preserve">in </w:t>
      </w:r>
      <w:r w:rsidRPr="000246DB">
        <w:t>the PPF</w:t>
      </w:r>
      <w:r>
        <w:t xml:space="preserve">. </w:t>
      </w:r>
      <w:r w:rsidRPr="000246DB">
        <w:t>Instead, if needed, name the actual documents that informed the policy.</w:t>
      </w:r>
    </w:p>
    <w:p w14:paraId="489C7775" w14:textId="77777777" w:rsidR="00754143" w:rsidRPr="00361E71" w:rsidRDefault="00AB2C0B" w:rsidP="006F24DA">
      <w:pPr>
        <w:pStyle w:val="Heading4"/>
      </w:pPr>
      <w:r w:rsidRPr="00361E71">
        <w:t>How is a document made a background document?</w:t>
      </w:r>
    </w:p>
    <w:p w14:paraId="489C7776" w14:textId="28EBCB5F" w:rsidR="00754143" w:rsidRDefault="00AB2C0B" w:rsidP="002E55BC">
      <w:pPr>
        <w:pStyle w:val="BodyText1"/>
      </w:pPr>
      <w:r>
        <w:t xml:space="preserve">A background document is one that is referred to in the planning scheme but is not incorporated </w:t>
      </w:r>
      <w:r w:rsidR="00167383" w:rsidRPr="00FA65B3">
        <w:t>under</w:t>
      </w:r>
      <w:r w:rsidRPr="00FA65B3">
        <w:t xml:space="preserve"> </w:t>
      </w:r>
      <w:r w:rsidR="001F616D" w:rsidRPr="00FA65B3">
        <w:rPr>
          <w:rStyle w:val="Strong"/>
        </w:rPr>
        <w:t>c</w:t>
      </w:r>
      <w:r w:rsidRPr="00FA65B3">
        <w:rPr>
          <w:rStyle w:val="Strong"/>
        </w:rPr>
        <w:t>lause 72.04</w:t>
      </w:r>
      <w:r>
        <w:t>.</w:t>
      </w:r>
    </w:p>
    <w:p w14:paraId="44A5FE8E" w14:textId="77777777" w:rsidR="00A54B18" w:rsidRDefault="00E41AB2" w:rsidP="0032212B">
      <w:pPr>
        <w:pStyle w:val="BodyText1"/>
      </w:pPr>
      <w:r w:rsidRPr="00304DAB">
        <w:t>To refer to a background document, use the</w:t>
      </w:r>
      <w:r w:rsidR="00532FAF">
        <w:t xml:space="preserve"> </w:t>
      </w:r>
      <w:r w:rsidR="003D634C">
        <w:t xml:space="preserve">same </w:t>
      </w:r>
      <w:r w:rsidR="00532FAF">
        <w:t xml:space="preserve">format prescribed for an incorporated </w:t>
      </w:r>
      <w:r w:rsidR="003D2C55">
        <w:t xml:space="preserve">document in </w:t>
      </w:r>
      <w:r w:rsidR="00A94D95" w:rsidRPr="00B00B76">
        <w:t xml:space="preserve">Chapter </w:t>
      </w:r>
      <w:r w:rsidR="003D2C55" w:rsidRPr="00B00B76">
        <w:t>6.6.1</w:t>
      </w:r>
      <w:r w:rsidR="00986610">
        <w:t xml:space="preserve"> above.</w:t>
      </w:r>
      <w:r w:rsidR="00A94D95">
        <w:t xml:space="preserve"> </w:t>
      </w:r>
    </w:p>
    <w:p w14:paraId="2F133C69" w14:textId="7DBC8778" w:rsidR="00E41AB2" w:rsidRPr="00304DAB" w:rsidRDefault="00E41AB2" w:rsidP="0032212B">
      <w:pPr>
        <w:pStyle w:val="BodyText1"/>
      </w:pPr>
      <w:r w:rsidRPr="00304DAB">
        <w:t xml:space="preserve">A planning </w:t>
      </w:r>
      <w:r w:rsidRPr="00171117">
        <w:t>scheme amendment is required</w:t>
      </w:r>
      <w:r w:rsidRPr="00304DAB">
        <w:t xml:space="preserve"> to amend a background </w:t>
      </w:r>
      <w:r w:rsidRPr="00F7100A">
        <w:t>document</w:t>
      </w:r>
      <w:r w:rsidR="00557F21" w:rsidRPr="00F7100A">
        <w:t xml:space="preserve"> reference</w:t>
      </w:r>
      <w:r w:rsidRPr="00F7100A">
        <w:t>.</w:t>
      </w:r>
    </w:p>
    <w:p w14:paraId="489C777A" w14:textId="0CC11BE4" w:rsidR="00DA5AF6" w:rsidRDefault="00E41AB2" w:rsidP="002E55BC">
      <w:pPr>
        <w:pStyle w:val="DELWPbodyaftertablediagram"/>
      </w:pPr>
      <w:r w:rsidRPr="00304DAB">
        <w:t xml:space="preserve">Where a background document has directly informed the creation of a provision, then it may be referenced directly by that provision as well </w:t>
      </w:r>
      <w:r w:rsidRPr="008E479C">
        <w:t>as</w:t>
      </w:r>
      <w:r w:rsidR="0088297A" w:rsidRPr="008E479C">
        <w:t xml:space="preserve"> being</w:t>
      </w:r>
      <w:r w:rsidRPr="008E479C">
        <w:t xml:space="preserve"> listed</w:t>
      </w:r>
      <w:r w:rsidRPr="00304DAB">
        <w:t xml:space="preserve"> in</w:t>
      </w:r>
      <w:r w:rsidR="00B37FC8">
        <w:t xml:space="preserve"> </w:t>
      </w:r>
      <w:r w:rsidR="00B37FC8" w:rsidRPr="000868EB">
        <w:t>the</w:t>
      </w:r>
      <w:r w:rsidRPr="000868EB">
        <w:t xml:space="preserve"> </w:t>
      </w:r>
      <w:r w:rsidR="001F616D" w:rsidRPr="00B00B76">
        <w:rPr>
          <w:bCs/>
        </w:rPr>
        <w:t>c</w:t>
      </w:r>
      <w:r w:rsidRPr="00B00B76">
        <w:rPr>
          <w:bCs/>
        </w:rPr>
        <w:t>lause 72.08</w:t>
      </w:r>
      <w:r w:rsidRPr="000868EB">
        <w:t xml:space="preserve"> schedule.</w:t>
      </w:r>
      <w:r w:rsidRPr="00304DAB">
        <w:t xml:space="preserve"> Where a background document has informed numerous provisions, such as a regional growth plan or a housing strategy, then the document only needs to be listed in</w:t>
      </w:r>
      <w:r w:rsidR="00B367D4">
        <w:t xml:space="preserve"> </w:t>
      </w:r>
      <w:r w:rsidR="00B367D4" w:rsidRPr="001F137E">
        <w:t>the</w:t>
      </w:r>
      <w:r w:rsidRPr="001F137E">
        <w:t xml:space="preserve"> </w:t>
      </w:r>
      <w:r w:rsidR="001F616D" w:rsidRPr="00FA65B3">
        <w:rPr>
          <w:rStyle w:val="Strong"/>
        </w:rPr>
        <w:t>c</w:t>
      </w:r>
      <w:r w:rsidRPr="00FA65B3">
        <w:rPr>
          <w:rStyle w:val="Strong"/>
        </w:rPr>
        <w:t>lause 72.08</w:t>
      </w:r>
      <w:r w:rsidRPr="001F137E">
        <w:t xml:space="preserve"> or its schedule rather</w:t>
      </w:r>
      <w:r w:rsidRPr="00304DAB">
        <w:t xml:space="preserve"> than being repetitively referenced throughout a series of provisions.</w:t>
      </w:r>
      <w:r w:rsidR="00D92C0F">
        <w:t xml:space="preserve"> </w:t>
      </w:r>
      <w:r w:rsidRPr="00304DAB">
        <w:t>If a document has already been referenced by the VPP</w:t>
      </w:r>
      <w:r w:rsidR="00D87F78" w:rsidRPr="00304DAB">
        <w:t>,</w:t>
      </w:r>
      <w:r w:rsidRPr="00304DAB">
        <w:t xml:space="preserve"> it does not have to be referenced again at the local level in a policy or a schedule.</w:t>
      </w:r>
    </w:p>
    <w:p w14:paraId="60A7747D" w14:textId="6757BB3D" w:rsidR="00CA487E" w:rsidRPr="00CA487E" w:rsidRDefault="00CA487E" w:rsidP="002E55BC">
      <w:pPr>
        <w:pStyle w:val="BodyText1"/>
      </w:pPr>
      <w:r w:rsidRPr="00CA487E">
        <w:t xml:space="preserve">To </w:t>
      </w:r>
      <w:r>
        <w:t>make the background document list easier to use</w:t>
      </w:r>
      <w:r w:rsidRPr="00CA487E">
        <w:t xml:space="preserve">, the schedule to </w:t>
      </w:r>
      <w:r w:rsidR="001F616D" w:rsidRPr="00B00B76">
        <w:t>c</w:t>
      </w:r>
      <w:r w:rsidRPr="00B00B76">
        <w:t>lause 72.08</w:t>
      </w:r>
      <w:r w:rsidRPr="00CA487E">
        <w:t xml:space="preserve"> should be compiled alphabetically.</w:t>
      </w:r>
    </w:p>
    <w:p w14:paraId="489C77C7" w14:textId="699F841C" w:rsidR="002A6D9C" w:rsidRDefault="002A6D9C">
      <w:pPr>
        <w:suppressAutoHyphens w:val="0"/>
        <w:spacing w:after="0" w:line="240" w:lineRule="auto"/>
        <w:rPr>
          <w:rFonts w:ascii="VIC" w:eastAsia="Times" w:hAnsi="VIC"/>
          <w:lang w:eastAsia="en-US"/>
        </w:rPr>
      </w:pPr>
      <w:r>
        <w:br w:type="page"/>
      </w:r>
    </w:p>
    <w:p w14:paraId="1BC581EE" w14:textId="71003C50" w:rsidR="002A6D9C" w:rsidRPr="00361E71" w:rsidRDefault="00257C6D" w:rsidP="00D2198E">
      <w:pPr>
        <w:pStyle w:val="Heading1"/>
      </w:pPr>
      <w:bookmarkStart w:id="325" w:name="_Appendix_1_–"/>
      <w:bookmarkStart w:id="326" w:name="_Toc158706997"/>
      <w:bookmarkEnd w:id="325"/>
      <w:r>
        <w:lastRenderedPageBreak/>
        <w:t xml:space="preserve">Appendix 1 </w:t>
      </w:r>
      <w:r w:rsidR="00A16B15">
        <w:t>–</w:t>
      </w:r>
      <w:r w:rsidR="002A6D9C">
        <w:t xml:space="preserve"> P</w:t>
      </w:r>
      <w:r w:rsidR="002A6D9C" w:rsidRPr="00361E71">
        <w:t>lanning scheme</w:t>
      </w:r>
      <w:r w:rsidR="002A6D9C">
        <w:t xml:space="preserve"> style guide (A to Z)</w:t>
      </w:r>
      <w:bookmarkEnd w:id="326"/>
    </w:p>
    <w:p w14:paraId="32BB2D63" w14:textId="607F35DB" w:rsidR="00C60050" w:rsidRPr="00C60050" w:rsidRDefault="00C60050" w:rsidP="00C60050">
      <w:pPr>
        <w:pStyle w:val="BodyText10"/>
        <w:suppressAutoHyphens/>
        <w:spacing w:before="120" w:after="0" w:line="288" w:lineRule="auto"/>
        <w:ind w:left="0"/>
        <w:rPr>
          <w:rFonts w:ascii="VIC" w:eastAsia="Times" w:hAnsi="VIC"/>
          <w:lang w:eastAsia="en-US"/>
        </w:rPr>
      </w:pPr>
      <w:r>
        <w:rPr>
          <w:rFonts w:ascii="VIC" w:eastAsia="Times" w:hAnsi="VIC"/>
          <w:lang w:eastAsia="en-US"/>
        </w:rPr>
        <w:t xml:space="preserve">This style guide applies to the VPP and planning schemes and is to be used in conjunction with the </w:t>
      </w:r>
      <w:r w:rsidRPr="00915899">
        <w:rPr>
          <w:rFonts w:ascii="VIC" w:eastAsia="Times" w:hAnsi="VIC"/>
          <w:i/>
          <w:iCs/>
          <w:lang w:eastAsia="en-US"/>
        </w:rPr>
        <w:t>Ministerial</w:t>
      </w:r>
      <w:r>
        <w:rPr>
          <w:rFonts w:ascii="VIC" w:eastAsia="Times" w:hAnsi="VIC"/>
          <w:lang w:eastAsia="en-US"/>
        </w:rPr>
        <w:t xml:space="preserve"> </w:t>
      </w:r>
      <w:r w:rsidRPr="00AC3462">
        <w:rPr>
          <w:rFonts w:ascii="VIC" w:eastAsia="Times" w:hAnsi="VIC"/>
          <w:i/>
          <w:iCs/>
          <w:lang w:eastAsia="en-US"/>
        </w:rPr>
        <w:t>Direction</w:t>
      </w:r>
      <w:r w:rsidR="00AC3462">
        <w:rPr>
          <w:rFonts w:ascii="VIC" w:eastAsia="Times" w:hAnsi="VIC"/>
          <w:i/>
          <w:iCs/>
          <w:lang w:eastAsia="en-US"/>
        </w:rPr>
        <w:t xml:space="preserve"> -</w:t>
      </w:r>
      <w:r w:rsidR="00650076" w:rsidRPr="00650076">
        <w:rPr>
          <w:rStyle w:val="Emphasis"/>
        </w:rPr>
        <w:t xml:space="preserve"> </w:t>
      </w:r>
      <w:r w:rsidR="00650076" w:rsidRPr="007E64CD">
        <w:rPr>
          <w:rStyle w:val="Emphasis"/>
        </w:rPr>
        <w:t>The Form and Content of Planning Schemes</w:t>
      </w:r>
      <w:r w:rsidR="00E41CE2">
        <w:rPr>
          <w:rFonts w:ascii="VIC" w:eastAsia="Times" w:hAnsi="VIC"/>
          <w:lang w:eastAsia="en-US"/>
        </w:rPr>
        <w:t xml:space="preserve">. The </w:t>
      </w:r>
      <w:r w:rsidRPr="00C60050">
        <w:rPr>
          <w:rFonts w:ascii="VIC" w:eastAsia="Times" w:hAnsi="VIC"/>
          <w:lang w:eastAsia="en-US"/>
        </w:rPr>
        <w:t>style guide</w:t>
      </w:r>
      <w:r w:rsidRPr="00C60050">
        <w:rPr>
          <w:rFonts w:ascii="Cambria" w:eastAsia="Times" w:hAnsi="Cambria" w:cs="Cambria"/>
          <w:lang w:eastAsia="en-US"/>
        </w:rPr>
        <w:t> </w:t>
      </w:r>
      <w:r w:rsidRPr="00C60050">
        <w:rPr>
          <w:rFonts w:ascii="VIC" w:eastAsia="Times" w:hAnsi="VIC"/>
          <w:lang w:eastAsia="en-US"/>
        </w:rPr>
        <w:t>establishes standard style requirement</w:t>
      </w:r>
      <w:r w:rsidR="00650076">
        <w:rPr>
          <w:rFonts w:ascii="VIC" w:eastAsia="Times" w:hAnsi="VIC"/>
          <w:lang w:eastAsia="en-US"/>
        </w:rPr>
        <w:t>s</w:t>
      </w:r>
      <w:r w:rsidR="00E41CE2">
        <w:rPr>
          <w:rFonts w:ascii="VIC" w:eastAsia="Times" w:hAnsi="VIC"/>
          <w:lang w:eastAsia="en-US"/>
        </w:rPr>
        <w:t xml:space="preserve"> </w:t>
      </w:r>
      <w:r w:rsidR="00650076">
        <w:rPr>
          <w:rFonts w:ascii="VIC" w:eastAsia="Times" w:hAnsi="VIC"/>
          <w:lang w:eastAsia="en-US"/>
        </w:rPr>
        <w:t>to guide a consistent</w:t>
      </w:r>
      <w:r w:rsidR="00FD5C47">
        <w:rPr>
          <w:rFonts w:ascii="VIC" w:eastAsia="Times" w:hAnsi="VIC"/>
          <w:lang w:eastAsia="en-US"/>
        </w:rPr>
        <w:t xml:space="preserve"> format</w:t>
      </w:r>
      <w:r w:rsidR="00650076">
        <w:rPr>
          <w:rFonts w:ascii="VIC" w:eastAsia="Times" w:hAnsi="VIC"/>
          <w:lang w:eastAsia="en-US"/>
        </w:rPr>
        <w:t xml:space="preserve"> for planning schemes.</w:t>
      </w:r>
    </w:p>
    <w:p w14:paraId="031642BC" w14:textId="7B742BA4" w:rsidR="002A6D9C" w:rsidRDefault="002A6D9C" w:rsidP="002A6D9C">
      <w:pPr>
        <w:pStyle w:val="Head5"/>
      </w:pPr>
      <w:r>
        <w:t>Acronyms</w:t>
      </w:r>
    </w:p>
    <w:p w14:paraId="080ACD6A" w14:textId="77777777" w:rsidR="002A6D9C" w:rsidRDefault="002A6D9C" w:rsidP="002A6D9C">
      <w:pPr>
        <w:pStyle w:val="BodyText1"/>
      </w:pPr>
      <w:r>
        <w:t xml:space="preserve">Acronyms are useful to avoid repeating lengthy expressions. Do not use acronyms in a control. They may sometimes be suitable in a policy where a term is mentioned many times within </w:t>
      </w:r>
      <w:r w:rsidRPr="009F3A71">
        <w:t>a policy. If you</w:t>
      </w:r>
      <w:r>
        <w:t xml:space="preserve"> use an acronym, always spell out the title in full at the first mention, followed by the acronym in brackets.</w:t>
      </w:r>
    </w:p>
    <w:tbl>
      <w:tblPr>
        <w:tblStyle w:val="TableGrid"/>
        <w:tblW w:w="0" w:type="auto"/>
        <w:tblInd w:w="-5" w:type="dxa"/>
        <w:tblLook w:val="04A0" w:firstRow="1" w:lastRow="0" w:firstColumn="1" w:lastColumn="0" w:noHBand="0" w:noVBand="1"/>
      </w:tblPr>
      <w:tblGrid>
        <w:gridCol w:w="9065"/>
      </w:tblGrid>
      <w:tr w:rsidR="00BC0994" w14:paraId="21FA9756" w14:textId="77777777">
        <w:trPr>
          <w:cnfStyle w:val="100000000000" w:firstRow="1" w:lastRow="0" w:firstColumn="0" w:lastColumn="0" w:oddVBand="0" w:evenVBand="0" w:oddHBand="0" w:evenHBand="0" w:firstRowFirstColumn="0" w:firstRowLastColumn="0" w:lastRowFirstColumn="0" w:lastRowLastColumn="0"/>
        </w:trPr>
        <w:tc>
          <w:tcPr>
            <w:tcW w:w="9065" w:type="dxa"/>
            <w:tcBorders>
              <w:top w:val="single" w:sz="4" w:space="0" w:color="D9ECEA" w:themeColor="accent2"/>
              <w:left w:val="single" w:sz="4" w:space="0" w:color="D9ECEA" w:themeColor="accent2"/>
              <w:bottom w:val="single" w:sz="4" w:space="0" w:color="D9ECEA" w:themeColor="accent2"/>
              <w:right w:val="single" w:sz="4" w:space="0" w:color="D9ECEA" w:themeColor="accent2"/>
            </w:tcBorders>
            <w:shd w:val="clear" w:color="auto" w:fill="D9ECEA" w:themeFill="accent2"/>
          </w:tcPr>
          <w:p w14:paraId="217707F2" w14:textId="77777777" w:rsidR="002A6D9C" w:rsidRPr="00E06299" w:rsidRDefault="002A6D9C">
            <w:pPr>
              <w:pStyle w:val="DELWPexamplebody"/>
            </w:pPr>
            <w:r w:rsidRPr="00BC4B8C">
              <w:rPr>
                <w:b/>
                <w:bCs/>
                <w:color w:val="006666"/>
              </w:rPr>
              <w:t>First mention:</w:t>
            </w:r>
            <w:r w:rsidRPr="00BC4B8C">
              <w:rPr>
                <w:color w:val="006666"/>
              </w:rPr>
              <w:t xml:space="preserve"> </w:t>
            </w:r>
            <w:r w:rsidRPr="00E06299">
              <w:t>Gumnut Central Activity Centre (GCAC)</w:t>
            </w:r>
          </w:p>
          <w:p w14:paraId="6E788E5E" w14:textId="77777777" w:rsidR="002A6D9C" w:rsidRDefault="002A6D9C">
            <w:pPr>
              <w:pStyle w:val="DELWPexamplebody"/>
              <w:rPr>
                <w:i/>
                <w:iCs/>
              </w:rPr>
            </w:pPr>
            <w:r w:rsidRPr="007A53E9">
              <w:rPr>
                <w:b/>
                <w:bCs/>
                <w:color w:val="006666"/>
              </w:rPr>
              <w:t>Subsequent mentions:</w:t>
            </w:r>
            <w:r w:rsidRPr="00E06299">
              <w:rPr>
                <w:i/>
                <w:iCs/>
              </w:rPr>
              <w:t xml:space="preserve"> </w:t>
            </w:r>
            <w:r w:rsidRPr="00476893">
              <w:t>GCAC</w:t>
            </w:r>
          </w:p>
        </w:tc>
      </w:tr>
    </w:tbl>
    <w:p w14:paraId="258C7EC2" w14:textId="77777777" w:rsidR="002A6D9C" w:rsidRPr="00873B06" w:rsidRDefault="002A6D9C" w:rsidP="002A6D9C">
      <w:pPr>
        <w:pStyle w:val="BodyText1"/>
      </w:pPr>
      <w:r w:rsidRPr="00873B06">
        <w:t>A full stop is not required between the letters of an acronym. Plurals of acronyms do not carry apostrophes:</w:t>
      </w:r>
    </w:p>
    <w:tbl>
      <w:tblPr>
        <w:tblStyle w:val="DELWPhighlighttable"/>
        <w:tblW w:w="9242" w:type="dxa"/>
        <w:tblInd w:w="0" w:type="dxa"/>
        <w:tblLook w:val="0400" w:firstRow="0" w:lastRow="0" w:firstColumn="0" w:lastColumn="0" w:noHBand="0" w:noVBand="1"/>
      </w:tblPr>
      <w:tblGrid>
        <w:gridCol w:w="9242"/>
      </w:tblGrid>
      <w:tr w:rsidR="002A6D9C" w:rsidRPr="004012B2" w14:paraId="6349B779" w14:textId="77777777">
        <w:trPr>
          <w:cantSplit/>
        </w:trPr>
        <w:tc>
          <w:tcPr>
            <w:tcW w:w="9242" w:type="dxa"/>
          </w:tcPr>
          <w:p w14:paraId="19E79B04" w14:textId="77777777" w:rsidR="002A6D9C" w:rsidRPr="00873B06" w:rsidRDefault="002A6D9C">
            <w:pPr>
              <w:pStyle w:val="DELWPexamplebody"/>
              <w:spacing w:before="0"/>
            </w:pPr>
            <w:r w:rsidRPr="00873B06">
              <w:rPr>
                <w:rFonts w:ascii="Wingdings" w:eastAsia="Wingdings" w:hAnsi="Wingdings" w:cs="Wingdings"/>
                <w:color w:val="00828D" w:themeColor="text2"/>
                <w:sz w:val="28"/>
                <w:szCs w:val="28"/>
              </w:rPr>
              <w:t>ü</w:t>
            </w:r>
            <w:r w:rsidRPr="00873B06">
              <w:t xml:space="preserve"> NACs</w:t>
            </w:r>
          </w:p>
          <w:p w14:paraId="6532A751" w14:textId="77777777" w:rsidR="002A6D9C" w:rsidRPr="00FF308B" w:rsidRDefault="002A6D9C">
            <w:pPr>
              <w:pStyle w:val="DELWPexamplebody"/>
            </w:pPr>
            <w:r w:rsidRPr="00873B06">
              <w:rPr>
                <w:rFonts w:ascii="Wingdings" w:eastAsia="Wingdings" w:hAnsi="Wingdings" w:cs="Wingdings"/>
                <w:color w:val="00828D" w:themeColor="text2"/>
                <w:sz w:val="28"/>
                <w:szCs w:val="28"/>
              </w:rPr>
              <w:t>û</w:t>
            </w:r>
            <w:r w:rsidRPr="00873B06">
              <w:t xml:space="preserve"> NAC’s</w:t>
            </w:r>
          </w:p>
        </w:tc>
      </w:tr>
    </w:tbl>
    <w:p w14:paraId="1E109020" w14:textId="77777777" w:rsidR="002A6D9C" w:rsidRDefault="002A6D9C" w:rsidP="002A6D9C">
      <w:pPr>
        <w:pStyle w:val="Head5"/>
      </w:pPr>
      <w:r>
        <w:t>Active or passive voice</w:t>
      </w:r>
    </w:p>
    <w:p w14:paraId="7C75D611" w14:textId="77777777" w:rsidR="002A6D9C" w:rsidRPr="007E64CD" w:rsidRDefault="002A6D9C" w:rsidP="002A6D9C">
      <w:pPr>
        <w:pStyle w:val="BodyText1"/>
        <w:rPr>
          <w:rStyle w:val="Emphasis"/>
        </w:rPr>
      </w:pPr>
      <w:r>
        <w:rPr>
          <w:rStyle w:val="Emphasis"/>
        </w:rPr>
        <w:t>(</w:t>
      </w:r>
      <w:r w:rsidRPr="007E64CD">
        <w:rPr>
          <w:rStyle w:val="Emphasis"/>
        </w:rPr>
        <w:t>Also refer to Sentence construction</w:t>
      </w:r>
      <w:r>
        <w:rPr>
          <w:rStyle w:val="Emphasis"/>
        </w:rPr>
        <w:t>, below)</w:t>
      </w:r>
    </w:p>
    <w:p w14:paraId="4FA23E17" w14:textId="77777777" w:rsidR="002A6D9C" w:rsidRDefault="002A6D9C" w:rsidP="002A6D9C">
      <w:pPr>
        <w:pStyle w:val="BodyText1"/>
      </w:pPr>
      <w:r>
        <w:t>Active voice in statutory writing is better than passive voice because it is more direct and less ambiguous. Active voice places the object after the verb.</w:t>
      </w:r>
    </w:p>
    <w:tbl>
      <w:tblPr>
        <w:tblStyle w:val="TableGrid"/>
        <w:tblW w:w="9241" w:type="dxa"/>
        <w:tblInd w:w="-5" w:type="dxa"/>
        <w:tblBorders>
          <w:top w:val="single" w:sz="4" w:space="0" w:color="D9ECEA" w:themeColor="accent2"/>
          <w:left w:val="single" w:sz="4" w:space="0" w:color="D9ECEA" w:themeColor="accent2"/>
          <w:bottom w:val="single" w:sz="4" w:space="0" w:color="D9ECEA" w:themeColor="accent2"/>
          <w:right w:val="single" w:sz="4" w:space="0" w:color="D9ECEA" w:themeColor="accent2"/>
          <w:insideH w:val="single" w:sz="4" w:space="0" w:color="D9ECEA" w:themeColor="accent2"/>
          <w:insideV w:val="single" w:sz="4" w:space="0" w:color="D9ECEA" w:themeColor="accent2"/>
        </w:tblBorders>
        <w:tblLook w:val="04A0" w:firstRow="1" w:lastRow="0" w:firstColumn="1" w:lastColumn="0" w:noHBand="0" w:noVBand="1"/>
      </w:tblPr>
      <w:tblGrid>
        <w:gridCol w:w="680"/>
        <w:gridCol w:w="8561"/>
      </w:tblGrid>
      <w:tr w:rsidR="00BC0994" w:rsidRPr="00B447C7" w14:paraId="59CA8021" w14:textId="77777777" w:rsidTr="00915899">
        <w:trPr>
          <w:cnfStyle w:val="100000000000" w:firstRow="1" w:lastRow="0" w:firstColumn="0" w:lastColumn="0" w:oddVBand="0" w:evenVBand="0" w:oddHBand="0" w:evenHBand="0" w:firstRowFirstColumn="0" w:firstRowLastColumn="0" w:lastRowFirstColumn="0" w:lastRowLastColumn="0"/>
        </w:trPr>
        <w:tc>
          <w:tcPr>
            <w:tcW w:w="680" w:type="dxa"/>
            <w:shd w:val="clear" w:color="auto" w:fill="D9ECEA" w:themeFill="accent2"/>
            <w:vAlign w:val="top"/>
          </w:tcPr>
          <w:p w14:paraId="1E34D232" w14:textId="77777777" w:rsidR="002A6D9C" w:rsidRPr="00B447C7" w:rsidRDefault="002A6D9C">
            <w:pPr>
              <w:pStyle w:val="Symbol"/>
              <w:rPr>
                <w:i w:val="0"/>
                <w:iCs w:val="0"/>
              </w:rPr>
            </w:pPr>
            <w:r w:rsidRPr="00B447C7">
              <w:rPr>
                <w:i w:val="0"/>
                <w:iCs w:val="0"/>
              </w:rPr>
              <w:sym w:font="Wingdings" w:char="F0FC"/>
            </w:r>
          </w:p>
        </w:tc>
        <w:tc>
          <w:tcPr>
            <w:tcW w:w="8561" w:type="dxa"/>
            <w:shd w:val="clear" w:color="auto" w:fill="D9ECEA" w:themeFill="accent2"/>
          </w:tcPr>
          <w:p w14:paraId="6B7099D5" w14:textId="77777777" w:rsidR="002A6D9C" w:rsidRPr="00B447C7" w:rsidRDefault="002A6D9C">
            <w:pPr>
              <w:pStyle w:val="DELWPexamplecaption"/>
              <w:spacing w:before="120"/>
              <w:rPr>
                <w:b w:val="0"/>
                <w:bCs/>
              </w:rPr>
            </w:pPr>
            <w:r w:rsidRPr="00B447C7">
              <w:rPr>
                <w:color w:val="006666"/>
              </w:rPr>
              <w:t>Active:</w:t>
            </w:r>
            <w:r w:rsidRPr="00B447C7">
              <w:rPr>
                <w:b w:val="0"/>
                <w:bCs/>
                <w:color w:val="006666"/>
              </w:rPr>
              <w:t xml:space="preserve"> </w:t>
            </w:r>
            <w:r w:rsidRPr="00B447C7">
              <w:rPr>
                <w:b w:val="0"/>
                <w:bCs/>
              </w:rPr>
              <w:t>Discourage the rezoning of isolated areas of rural land for residential purposes.</w:t>
            </w:r>
          </w:p>
        </w:tc>
      </w:tr>
      <w:tr w:rsidR="00BC0994" w:rsidRPr="00B447C7" w14:paraId="1CE1AF30" w14:textId="77777777">
        <w:tc>
          <w:tcPr>
            <w:tcW w:w="680" w:type="dxa"/>
            <w:shd w:val="clear" w:color="auto" w:fill="D9ECEA" w:themeFill="accent2"/>
          </w:tcPr>
          <w:p w14:paraId="48A266A7" w14:textId="77777777" w:rsidR="002A6D9C" w:rsidRPr="00B447C7" w:rsidRDefault="002A6D9C">
            <w:pPr>
              <w:pStyle w:val="Symbol"/>
              <w:rPr>
                <w:i w:val="0"/>
                <w:iCs w:val="0"/>
              </w:rPr>
            </w:pPr>
            <w:r w:rsidRPr="00B447C7">
              <w:rPr>
                <w:i w:val="0"/>
                <w:iCs w:val="0"/>
              </w:rPr>
              <w:sym w:font="Wingdings" w:char="F0FB"/>
            </w:r>
          </w:p>
        </w:tc>
        <w:tc>
          <w:tcPr>
            <w:tcW w:w="8561" w:type="dxa"/>
            <w:shd w:val="clear" w:color="auto" w:fill="D9ECEA" w:themeFill="accent2"/>
          </w:tcPr>
          <w:p w14:paraId="1948E764" w14:textId="77777777" w:rsidR="002A6D9C" w:rsidRPr="00B447C7" w:rsidRDefault="002A6D9C">
            <w:pPr>
              <w:pStyle w:val="DELWPexamplecaption"/>
              <w:spacing w:before="120"/>
              <w:rPr>
                <w:b w:val="0"/>
                <w:bCs/>
                <w:strike/>
              </w:rPr>
            </w:pPr>
            <w:r w:rsidRPr="00B447C7">
              <w:rPr>
                <w:color w:val="006666"/>
              </w:rPr>
              <w:t>Passive:</w:t>
            </w:r>
            <w:r w:rsidRPr="00B447C7">
              <w:rPr>
                <w:b w:val="0"/>
                <w:bCs/>
                <w:color w:val="006666"/>
              </w:rPr>
              <w:t xml:space="preserve"> </w:t>
            </w:r>
            <w:r w:rsidRPr="00B447C7">
              <w:rPr>
                <w:b w:val="0"/>
                <w:bCs/>
              </w:rPr>
              <w:t>The rezoning of isolated areas of rural land for residential purposes will generally not be supported.</w:t>
            </w:r>
          </w:p>
        </w:tc>
      </w:tr>
    </w:tbl>
    <w:p w14:paraId="190A7F55" w14:textId="77777777" w:rsidR="002A6D9C" w:rsidRDefault="002A6D9C" w:rsidP="00B66B11">
      <w:pPr>
        <w:pStyle w:val="DELWPbodyaftertablediagram"/>
        <w:spacing w:before="0"/>
      </w:pPr>
    </w:p>
    <w:tbl>
      <w:tblPr>
        <w:tblStyle w:val="TableGrid"/>
        <w:tblW w:w="9251" w:type="dxa"/>
        <w:tblInd w:w="-15" w:type="dxa"/>
        <w:tblBorders>
          <w:top w:val="single" w:sz="12" w:space="0" w:color="D9ECEA" w:themeColor="accent2"/>
          <w:left w:val="single" w:sz="12" w:space="0" w:color="D9ECEA" w:themeColor="accent2"/>
          <w:bottom w:val="single" w:sz="12" w:space="0" w:color="D9ECEA" w:themeColor="accent2"/>
          <w:right w:val="single" w:sz="12" w:space="0" w:color="D9ECEA" w:themeColor="accent2"/>
          <w:insideH w:val="single" w:sz="12" w:space="0" w:color="D9ECEA" w:themeColor="accent2"/>
          <w:insideV w:val="single" w:sz="12" w:space="0" w:color="D9ECEA" w:themeColor="accent2"/>
        </w:tblBorders>
        <w:tblLook w:val="04A0" w:firstRow="1" w:lastRow="0" w:firstColumn="1" w:lastColumn="0" w:noHBand="0" w:noVBand="1"/>
      </w:tblPr>
      <w:tblGrid>
        <w:gridCol w:w="690"/>
        <w:gridCol w:w="8561"/>
      </w:tblGrid>
      <w:tr w:rsidR="00BC0994" w:rsidRPr="00B447C7" w14:paraId="1571673F" w14:textId="77777777" w:rsidTr="00915899">
        <w:trPr>
          <w:cnfStyle w:val="100000000000" w:firstRow="1" w:lastRow="0" w:firstColumn="0" w:lastColumn="0" w:oddVBand="0" w:evenVBand="0" w:oddHBand="0" w:evenHBand="0" w:firstRowFirstColumn="0" w:firstRowLastColumn="0" w:lastRowFirstColumn="0" w:lastRowLastColumn="0"/>
        </w:trPr>
        <w:tc>
          <w:tcPr>
            <w:tcW w:w="690" w:type="dxa"/>
            <w:shd w:val="clear" w:color="auto" w:fill="D9ECEA" w:themeFill="accent2"/>
            <w:vAlign w:val="top"/>
          </w:tcPr>
          <w:p w14:paraId="42C3B0E0" w14:textId="77777777" w:rsidR="002A6D9C" w:rsidRPr="00B447C7" w:rsidRDefault="002A6D9C">
            <w:pPr>
              <w:pStyle w:val="Symbol"/>
              <w:rPr>
                <w:i w:val="0"/>
                <w:iCs w:val="0"/>
              </w:rPr>
            </w:pPr>
            <w:r w:rsidRPr="00B447C7">
              <w:rPr>
                <w:i w:val="0"/>
                <w:iCs w:val="0"/>
              </w:rPr>
              <w:sym w:font="Wingdings" w:char="F0FC"/>
            </w:r>
          </w:p>
        </w:tc>
        <w:tc>
          <w:tcPr>
            <w:tcW w:w="8561" w:type="dxa"/>
            <w:shd w:val="clear" w:color="auto" w:fill="D9ECEA" w:themeFill="accent2"/>
          </w:tcPr>
          <w:p w14:paraId="686568C6" w14:textId="77777777" w:rsidR="002A6D9C" w:rsidRPr="00B447C7" w:rsidRDefault="002A6D9C">
            <w:pPr>
              <w:pStyle w:val="DELWPexamplebody"/>
              <w:rPr>
                <w:color w:val="00828D" w:themeColor="text2"/>
              </w:rPr>
            </w:pPr>
            <w:r w:rsidRPr="00B447C7">
              <w:rPr>
                <w:rFonts w:eastAsia="Times New Roman"/>
                <w:b/>
                <w:color w:val="006666"/>
              </w:rPr>
              <w:t>Active:</w:t>
            </w:r>
            <w:r w:rsidRPr="00B447C7">
              <w:rPr>
                <w:color w:val="006666"/>
              </w:rPr>
              <w:t xml:space="preserve"> </w:t>
            </w:r>
            <w:r w:rsidRPr="00B447C7">
              <w:t>Limit the use of court or dead-end street layouts to circumstances where no other option is achievable.</w:t>
            </w:r>
          </w:p>
        </w:tc>
      </w:tr>
      <w:tr w:rsidR="00BC0994" w:rsidRPr="00B447C7" w14:paraId="7CDF2D63" w14:textId="77777777" w:rsidTr="005F3B1C">
        <w:tc>
          <w:tcPr>
            <w:tcW w:w="690" w:type="dxa"/>
            <w:shd w:val="clear" w:color="auto" w:fill="D9ECEA" w:themeFill="accent2"/>
          </w:tcPr>
          <w:p w14:paraId="3A92A445" w14:textId="77777777" w:rsidR="002A6D9C" w:rsidRPr="00B447C7" w:rsidRDefault="002A6D9C">
            <w:pPr>
              <w:pStyle w:val="Symbol"/>
              <w:rPr>
                <w:i w:val="0"/>
                <w:iCs w:val="0"/>
              </w:rPr>
            </w:pPr>
            <w:r w:rsidRPr="00B447C7">
              <w:rPr>
                <w:i w:val="0"/>
                <w:iCs w:val="0"/>
              </w:rPr>
              <w:sym w:font="Wingdings" w:char="F0FB"/>
            </w:r>
          </w:p>
        </w:tc>
        <w:tc>
          <w:tcPr>
            <w:tcW w:w="8561" w:type="dxa"/>
            <w:shd w:val="clear" w:color="auto" w:fill="D9ECEA" w:themeFill="accent2"/>
          </w:tcPr>
          <w:p w14:paraId="26B4B060" w14:textId="77777777" w:rsidR="002A6D9C" w:rsidRPr="00B447C7" w:rsidRDefault="002A6D9C">
            <w:pPr>
              <w:pStyle w:val="DELWPexamplebody"/>
            </w:pPr>
            <w:r w:rsidRPr="00B447C7">
              <w:rPr>
                <w:rFonts w:eastAsia="Times New Roman"/>
                <w:b/>
                <w:color w:val="006666"/>
              </w:rPr>
              <w:t>Passive:</w:t>
            </w:r>
            <w:r w:rsidRPr="00B447C7">
              <w:rPr>
                <w:color w:val="006666"/>
              </w:rPr>
              <w:t xml:space="preserve"> </w:t>
            </w:r>
            <w:r w:rsidRPr="00B447C7">
              <w:t>The use of court or dead-end street layouts shall be limited to circumstances where no other option is achievable.</w:t>
            </w:r>
          </w:p>
        </w:tc>
      </w:tr>
    </w:tbl>
    <w:p w14:paraId="18DD18FE" w14:textId="77777777" w:rsidR="002A6D9C" w:rsidRDefault="002A6D9C" w:rsidP="002A6D9C">
      <w:pPr>
        <w:pStyle w:val="DELWPbodyaftertablediagram"/>
      </w:pPr>
      <w:r>
        <w:t>Active voice generally encourages the use of stronger verbs that bring the activity to life. The passive voice can be ambiguous because it submerges responsibility for an action when a more open approach would be clearer and fairer to readers.</w:t>
      </w:r>
    </w:p>
    <w:p w14:paraId="75147CA5" w14:textId="77777777" w:rsidR="002A6D9C" w:rsidRPr="007F7FF9" w:rsidRDefault="002A6D9C" w:rsidP="002A6D9C">
      <w:pPr>
        <w:pStyle w:val="Head5"/>
      </w:pPr>
      <w:r>
        <w:lastRenderedPageBreak/>
        <w:t xml:space="preserve">And or &amp; </w:t>
      </w:r>
    </w:p>
    <w:p w14:paraId="2DFEC4DF" w14:textId="77777777" w:rsidR="002A6D9C" w:rsidRDefault="002A6D9C" w:rsidP="002A6D9C">
      <w:pPr>
        <w:pStyle w:val="BodyText1"/>
      </w:pPr>
      <w:r>
        <w:t>Only use the ampersand symbol (&amp;) in references and tables.</w:t>
      </w:r>
    </w:p>
    <w:p w14:paraId="21D36D77" w14:textId="77777777" w:rsidR="002A6D9C" w:rsidRPr="007F7FF9" w:rsidRDefault="002A6D9C" w:rsidP="002A6D9C">
      <w:pPr>
        <w:pStyle w:val="Head5"/>
      </w:pPr>
      <w:r>
        <w:t>And/or</w:t>
      </w:r>
    </w:p>
    <w:p w14:paraId="471B2886" w14:textId="49433656" w:rsidR="002A6D9C" w:rsidRDefault="002A6D9C" w:rsidP="002A6D9C">
      <w:pPr>
        <w:pStyle w:val="BodyText1"/>
      </w:pPr>
      <w:r>
        <w:t>Do not use ‘and/or’ in statutory writing, it is often ambiguous. In most cases using one or the other conveys the meaning. Otherwise rewrite</w:t>
      </w:r>
      <w:r w:rsidR="00C66DC2">
        <w:t xml:space="preserve"> the text</w:t>
      </w:r>
      <w:r>
        <w:t xml:space="preserve"> so that the meaning is clear.</w:t>
      </w:r>
    </w:p>
    <w:p w14:paraId="77EE82A7" w14:textId="77777777" w:rsidR="002A6D9C" w:rsidRDefault="002A6D9C" w:rsidP="002A6D9C">
      <w:pPr>
        <w:pStyle w:val="Head5"/>
      </w:pPr>
      <w:r w:rsidRPr="006E4D4E">
        <w:t>Apostrophes (’)</w:t>
      </w:r>
    </w:p>
    <w:p w14:paraId="1417490A" w14:textId="77777777" w:rsidR="002A6D9C" w:rsidRDefault="002A6D9C" w:rsidP="002A6D9C">
      <w:pPr>
        <w:pStyle w:val="BodyText1"/>
      </w:pPr>
      <w:bookmarkStart w:id="327" w:name="_Hlk100571831"/>
      <w:r>
        <w:t>Apostrophes</w:t>
      </w:r>
      <w:bookmarkEnd w:id="327"/>
      <w:r>
        <w:t xml:space="preserve"> are used to:</w:t>
      </w:r>
    </w:p>
    <w:p w14:paraId="5C59CE96" w14:textId="77777777" w:rsidR="002A6D9C" w:rsidRDefault="002A6D9C" w:rsidP="002A6D9C">
      <w:pPr>
        <w:pStyle w:val="DELWPbullet1"/>
      </w:pPr>
      <w:r>
        <w:t>indicate missing letters</w:t>
      </w:r>
    </w:p>
    <w:p w14:paraId="7C57350B" w14:textId="77777777" w:rsidR="002A6D9C" w:rsidRDefault="002A6D9C" w:rsidP="002A6D9C">
      <w:pPr>
        <w:pStyle w:val="DELWPbullet1"/>
      </w:pPr>
      <w:r>
        <w:t>show possession</w:t>
      </w:r>
    </w:p>
    <w:p w14:paraId="389ADE0F" w14:textId="77777777" w:rsidR="002A6D9C" w:rsidRDefault="002A6D9C" w:rsidP="002A6D9C">
      <w:pPr>
        <w:pStyle w:val="DELWPbodyafterbullets"/>
      </w:pPr>
      <w:r>
        <w:t>When the apostrophe comes before the ‘s’ it indicates singular possession:</w:t>
      </w:r>
    </w:p>
    <w:tbl>
      <w:tblPr>
        <w:tblStyle w:val="DELWPhighlighttable"/>
        <w:tblW w:w="9242" w:type="dxa"/>
        <w:tblInd w:w="0" w:type="dxa"/>
        <w:tblLook w:val="0400" w:firstRow="0" w:lastRow="0" w:firstColumn="0" w:lastColumn="0" w:noHBand="0" w:noVBand="1"/>
      </w:tblPr>
      <w:tblGrid>
        <w:gridCol w:w="9242"/>
      </w:tblGrid>
      <w:tr w:rsidR="002A6D9C" w:rsidRPr="00B447C7" w14:paraId="14A62421" w14:textId="77777777" w:rsidTr="002A6BA1">
        <w:trPr>
          <w:cantSplit/>
        </w:trPr>
        <w:tc>
          <w:tcPr>
            <w:tcW w:w="9242" w:type="dxa"/>
            <w:vAlign w:val="center"/>
          </w:tcPr>
          <w:p w14:paraId="2845B10E" w14:textId="77777777" w:rsidR="002A6D9C" w:rsidRPr="00B447C7" w:rsidRDefault="002A6D9C">
            <w:pPr>
              <w:pStyle w:val="DELWPexamplebody"/>
            </w:pPr>
            <w:r w:rsidRPr="00B447C7">
              <w:t>The program’s objectives (the objectives of the program)</w:t>
            </w:r>
          </w:p>
        </w:tc>
      </w:tr>
    </w:tbl>
    <w:p w14:paraId="44C4C8C0" w14:textId="77777777" w:rsidR="002A6D9C" w:rsidRDefault="002A6D9C" w:rsidP="002A6D9C">
      <w:pPr>
        <w:pStyle w:val="DELWPbodyaftertablediagram"/>
      </w:pPr>
      <w:bookmarkStart w:id="328" w:name="_Hlk100571767"/>
      <w:r>
        <w:t>When the apostrophe comes after the ‘s’ it indicates plural possession.</w:t>
      </w:r>
    </w:p>
    <w:tbl>
      <w:tblPr>
        <w:tblStyle w:val="DELWPhighlighttable"/>
        <w:tblW w:w="9242" w:type="dxa"/>
        <w:tblInd w:w="0" w:type="dxa"/>
        <w:tblLook w:val="0400" w:firstRow="0" w:lastRow="0" w:firstColumn="0" w:lastColumn="0" w:noHBand="0" w:noVBand="1"/>
      </w:tblPr>
      <w:tblGrid>
        <w:gridCol w:w="9242"/>
      </w:tblGrid>
      <w:tr w:rsidR="002A6D9C" w:rsidRPr="00B447C7" w14:paraId="241C6801" w14:textId="77777777">
        <w:trPr>
          <w:cantSplit/>
        </w:trPr>
        <w:tc>
          <w:tcPr>
            <w:tcW w:w="9242" w:type="dxa"/>
          </w:tcPr>
          <w:p w14:paraId="4C564185" w14:textId="77777777" w:rsidR="002A6D9C" w:rsidRPr="00B447C7" w:rsidRDefault="002A6D9C">
            <w:pPr>
              <w:pStyle w:val="DELWPexamplebody"/>
              <w:rPr>
                <w:u w:val="double"/>
              </w:rPr>
            </w:pPr>
            <w:r w:rsidRPr="00B447C7">
              <w:t>Many rural estates’ common features</w:t>
            </w:r>
          </w:p>
        </w:tc>
      </w:tr>
    </w:tbl>
    <w:bookmarkEnd w:id="328"/>
    <w:p w14:paraId="70CEBC49" w14:textId="77777777" w:rsidR="002A6D9C" w:rsidRPr="007F7FF9" w:rsidRDefault="002A6D9C" w:rsidP="002A6D9C">
      <w:pPr>
        <w:pStyle w:val="Head5"/>
      </w:pPr>
      <w:r>
        <w:t>Brackets (parentheses)</w:t>
      </w:r>
    </w:p>
    <w:p w14:paraId="461A3920" w14:textId="77777777" w:rsidR="002A6D9C" w:rsidRDefault="002A6D9C" w:rsidP="002A6D9C">
      <w:pPr>
        <w:pStyle w:val="BodyText1"/>
      </w:pPr>
      <w:r>
        <w:t>Use parentheses not other forms of bracket. Brackets are used to introduce asides, explanations or additional information and to create emphasis. They are also used to enclose an acronym after a full name:</w:t>
      </w:r>
    </w:p>
    <w:tbl>
      <w:tblPr>
        <w:tblStyle w:val="DELWPhighlighttable"/>
        <w:tblW w:w="9242" w:type="dxa"/>
        <w:tblInd w:w="0" w:type="dxa"/>
        <w:tblLook w:val="0400" w:firstRow="0" w:lastRow="0" w:firstColumn="0" w:lastColumn="0" w:noHBand="0" w:noVBand="1"/>
      </w:tblPr>
      <w:tblGrid>
        <w:gridCol w:w="9242"/>
      </w:tblGrid>
      <w:tr w:rsidR="002A6D9C" w:rsidRPr="009D3684" w14:paraId="7AF7FF09" w14:textId="77777777">
        <w:trPr>
          <w:cantSplit/>
        </w:trPr>
        <w:tc>
          <w:tcPr>
            <w:tcW w:w="9242" w:type="dxa"/>
          </w:tcPr>
          <w:p w14:paraId="770E5D29" w14:textId="77777777" w:rsidR="002A6D9C" w:rsidRPr="00DA5C0F" w:rsidRDefault="002A6D9C">
            <w:pPr>
              <w:pStyle w:val="DELWPexamplebody"/>
            </w:pPr>
            <w:r w:rsidRPr="00DA5C0F">
              <w:t>The government funded nearly 70 per cent ($7 billion) of welfare expenditure.</w:t>
            </w:r>
          </w:p>
          <w:p w14:paraId="7D18D43E" w14:textId="77777777" w:rsidR="002A6D9C" w:rsidRPr="00DA5C0F" w:rsidRDefault="002A6D9C">
            <w:pPr>
              <w:pStyle w:val="DELWPexamplebody"/>
            </w:pPr>
            <w:r w:rsidRPr="00DA5C0F">
              <w:t xml:space="preserve">Most of the company’s employees work part-time (see </w:t>
            </w:r>
            <w:r w:rsidRPr="0026099A">
              <w:t>Table 7)</w:t>
            </w:r>
            <w:r w:rsidRPr="00DA5C0F">
              <w:t>.</w:t>
            </w:r>
          </w:p>
          <w:p w14:paraId="3C935386" w14:textId="77777777" w:rsidR="002A6D9C" w:rsidRPr="009D3684" w:rsidRDefault="002A6D9C">
            <w:pPr>
              <w:pStyle w:val="DELWPexamplebody"/>
            </w:pPr>
            <w:r w:rsidRPr="00DA5C0F">
              <w:t>The Department of Environment, Land, Water and Planning (DELWP).</w:t>
            </w:r>
          </w:p>
        </w:tc>
      </w:tr>
    </w:tbl>
    <w:p w14:paraId="170007CA" w14:textId="77777777" w:rsidR="002A6D9C" w:rsidRPr="007F7FF9" w:rsidRDefault="002A6D9C" w:rsidP="002A6D9C">
      <w:pPr>
        <w:pStyle w:val="Head5"/>
      </w:pPr>
      <w:r>
        <w:t>Capitalisation</w:t>
      </w:r>
    </w:p>
    <w:p w14:paraId="77378C3F" w14:textId="77777777" w:rsidR="002A6D9C" w:rsidRDefault="002A6D9C" w:rsidP="002A6D9C">
      <w:pPr>
        <w:pStyle w:val="BodyText1"/>
      </w:pPr>
      <w:r>
        <w:t>Generally, terms associated with government should be capitalised when referring to full, official names and lower case when the name is reduced to the generic element or adjective.</w:t>
      </w:r>
    </w:p>
    <w:tbl>
      <w:tblPr>
        <w:tblStyle w:val="DELWPhighlighttable"/>
        <w:tblW w:w="9240" w:type="dxa"/>
        <w:tblInd w:w="0" w:type="dxa"/>
        <w:tblLook w:val="0400" w:firstRow="0" w:lastRow="0" w:firstColumn="0" w:lastColumn="0" w:noHBand="0" w:noVBand="1"/>
      </w:tblPr>
      <w:tblGrid>
        <w:gridCol w:w="3968"/>
        <w:gridCol w:w="5272"/>
      </w:tblGrid>
      <w:tr w:rsidR="002A6D9C" w:rsidRPr="001744FC" w14:paraId="79038558" w14:textId="77777777">
        <w:trPr>
          <w:cantSplit/>
        </w:trPr>
        <w:tc>
          <w:tcPr>
            <w:tcW w:w="3968" w:type="dxa"/>
          </w:tcPr>
          <w:p w14:paraId="290C521C" w14:textId="77777777" w:rsidR="002A6D9C" w:rsidRPr="00592B1C" w:rsidRDefault="002A6D9C">
            <w:pPr>
              <w:pStyle w:val="DELWPexamplebodynospace"/>
            </w:pPr>
            <w:r w:rsidRPr="00592B1C">
              <w:t>Victorian Government</w:t>
            </w:r>
          </w:p>
        </w:tc>
        <w:tc>
          <w:tcPr>
            <w:tcW w:w="5272" w:type="dxa"/>
          </w:tcPr>
          <w:p w14:paraId="58B6D483" w14:textId="77777777" w:rsidR="002A6D9C" w:rsidRPr="00592B1C" w:rsidRDefault="002A6D9C">
            <w:pPr>
              <w:pStyle w:val="DELWPexamplebodynospace"/>
            </w:pPr>
            <w:r w:rsidRPr="00592B1C">
              <w:t>the government</w:t>
            </w:r>
          </w:p>
        </w:tc>
      </w:tr>
      <w:tr w:rsidR="002A6D9C" w:rsidRPr="001744FC" w14:paraId="230648A4" w14:textId="77777777">
        <w:trPr>
          <w:cantSplit/>
        </w:trPr>
        <w:tc>
          <w:tcPr>
            <w:tcW w:w="3968" w:type="dxa"/>
          </w:tcPr>
          <w:p w14:paraId="171F866B" w14:textId="77777777" w:rsidR="002A6D9C" w:rsidRPr="00592B1C" w:rsidRDefault="002A6D9C">
            <w:pPr>
              <w:pStyle w:val="DELWPexamplebodynospace"/>
            </w:pPr>
            <w:r w:rsidRPr="00592B1C">
              <w:t>Department of Planning</w:t>
            </w:r>
          </w:p>
        </w:tc>
        <w:tc>
          <w:tcPr>
            <w:tcW w:w="5272" w:type="dxa"/>
          </w:tcPr>
          <w:p w14:paraId="2F747DAE" w14:textId="77777777" w:rsidR="002A6D9C" w:rsidRPr="00592B1C" w:rsidRDefault="002A6D9C">
            <w:pPr>
              <w:pStyle w:val="DELWPexamplebodynospace"/>
            </w:pPr>
            <w:r w:rsidRPr="00592B1C">
              <w:t>the department</w:t>
            </w:r>
          </w:p>
        </w:tc>
      </w:tr>
      <w:tr w:rsidR="002A6D9C" w:rsidRPr="001744FC" w14:paraId="32E1FD8F" w14:textId="77777777">
        <w:trPr>
          <w:cantSplit/>
        </w:trPr>
        <w:tc>
          <w:tcPr>
            <w:tcW w:w="3968" w:type="dxa"/>
          </w:tcPr>
          <w:p w14:paraId="431D798B" w14:textId="77777777" w:rsidR="002A6D9C" w:rsidRPr="00592B1C" w:rsidRDefault="002A6D9C">
            <w:pPr>
              <w:pStyle w:val="DELWPexamplebody"/>
            </w:pPr>
            <w:r w:rsidRPr="00592B1C">
              <w:t>Gumnut Ranges Steering Committee</w:t>
            </w:r>
          </w:p>
        </w:tc>
        <w:tc>
          <w:tcPr>
            <w:tcW w:w="5272" w:type="dxa"/>
          </w:tcPr>
          <w:p w14:paraId="5CCCABA7" w14:textId="77777777" w:rsidR="002A6D9C" w:rsidRPr="00592B1C" w:rsidRDefault="002A6D9C">
            <w:pPr>
              <w:pStyle w:val="DELWPexamplebody"/>
            </w:pPr>
            <w:r w:rsidRPr="00592B1C">
              <w:t>the committee</w:t>
            </w:r>
          </w:p>
        </w:tc>
      </w:tr>
      <w:tr w:rsidR="002A6D9C" w:rsidRPr="001744FC" w14:paraId="3E9AA3DE" w14:textId="77777777">
        <w:trPr>
          <w:cantSplit/>
        </w:trPr>
        <w:tc>
          <w:tcPr>
            <w:tcW w:w="3968" w:type="dxa"/>
          </w:tcPr>
          <w:p w14:paraId="22C93343" w14:textId="77777777" w:rsidR="002A6D9C" w:rsidRPr="00592B1C" w:rsidRDefault="002A6D9C">
            <w:pPr>
              <w:pStyle w:val="DELWPexamplebody"/>
            </w:pPr>
            <w:r w:rsidRPr="00592B1C">
              <w:t>Minister for Planning</w:t>
            </w:r>
          </w:p>
        </w:tc>
        <w:tc>
          <w:tcPr>
            <w:tcW w:w="5272" w:type="dxa"/>
          </w:tcPr>
          <w:p w14:paraId="1BC062CA" w14:textId="77777777" w:rsidR="002A6D9C" w:rsidRPr="00426BED" w:rsidRDefault="002A6D9C">
            <w:pPr>
              <w:pStyle w:val="DELWPexamplebody"/>
            </w:pPr>
            <w:r w:rsidRPr="00426BED">
              <w:t>the Minister (the Minister is an exception to this rule)</w:t>
            </w:r>
          </w:p>
        </w:tc>
      </w:tr>
    </w:tbl>
    <w:p w14:paraId="4D8D563C" w14:textId="77777777" w:rsidR="002A6D9C" w:rsidRDefault="002A6D9C" w:rsidP="002A6D9C">
      <w:pPr>
        <w:pStyle w:val="DELWPbodyaftertablediagram"/>
      </w:pPr>
      <w:r>
        <w:t>The terms ‘responsible authority’ and ‘planning authority’ are not capitalised.</w:t>
      </w:r>
    </w:p>
    <w:p w14:paraId="42322CCA" w14:textId="77777777" w:rsidR="002A6D9C" w:rsidRDefault="002A6D9C" w:rsidP="002A6D9C">
      <w:pPr>
        <w:pStyle w:val="DELWPbullet1"/>
      </w:pPr>
      <w:r>
        <w:t xml:space="preserve">The term ‘amendment’ is not capitalised (for an unnumbered mention) but is capitalised when named in full as a proper noun. For </w:t>
      </w:r>
      <w:proofErr w:type="gramStart"/>
      <w:r>
        <w:t>example</w:t>
      </w:r>
      <w:proofErr w:type="gramEnd"/>
      <w:r>
        <w:t xml:space="preserve"> ‘Amendment C31’.</w:t>
      </w:r>
    </w:p>
    <w:p w14:paraId="19ED17ED" w14:textId="77777777" w:rsidR="002A6D9C" w:rsidRDefault="002A6D9C" w:rsidP="002A6D9C">
      <w:pPr>
        <w:pStyle w:val="DELWPbullet1"/>
      </w:pPr>
      <w:r>
        <w:lastRenderedPageBreak/>
        <w:t>The term ‘c</w:t>
      </w:r>
      <w:r w:rsidRPr="0096056F">
        <w:t>ouncil</w:t>
      </w:r>
      <w:r>
        <w:t>’ is written in</w:t>
      </w:r>
      <w:r w:rsidRPr="0096056F">
        <w:t xml:space="preserve"> lower case</w:t>
      </w:r>
      <w:r>
        <w:t>,</w:t>
      </w:r>
      <w:r w:rsidRPr="0096056F">
        <w:t xml:space="preserve"> unless referring to</w:t>
      </w:r>
      <w:r>
        <w:t xml:space="preserve"> the specific name. For </w:t>
      </w:r>
      <w:proofErr w:type="gramStart"/>
      <w:r>
        <w:t>example</w:t>
      </w:r>
      <w:proofErr w:type="gramEnd"/>
      <w:r w:rsidRPr="0096056F">
        <w:t xml:space="preserve"> </w:t>
      </w:r>
      <w:r>
        <w:t>‘Gumnut City</w:t>
      </w:r>
      <w:r w:rsidRPr="0096056F">
        <w:t xml:space="preserve"> Council</w:t>
      </w:r>
      <w:r>
        <w:t>’.</w:t>
      </w:r>
    </w:p>
    <w:p w14:paraId="37BBB112" w14:textId="77777777" w:rsidR="002A6D9C" w:rsidRDefault="002A6D9C" w:rsidP="002A6D9C">
      <w:pPr>
        <w:pStyle w:val="BodyText1"/>
      </w:pPr>
      <w:r>
        <w:t>Capital ‘S’ is used for ‘state’ when referring to the ‘State of Victoria’ or ‘the State Government’, but lower case in all other instances, including when it is abbreviated to its generic term or used as an adjective.</w:t>
      </w:r>
    </w:p>
    <w:tbl>
      <w:tblPr>
        <w:tblStyle w:val="TableGrid"/>
        <w:tblW w:w="9241" w:type="dxa"/>
        <w:tblInd w:w="-5" w:type="dxa"/>
        <w:tblBorders>
          <w:top w:val="single" w:sz="4" w:space="0" w:color="D9ECEA" w:themeColor="accent2"/>
          <w:left w:val="single" w:sz="4" w:space="0" w:color="D9ECEA" w:themeColor="accent2"/>
          <w:bottom w:val="single" w:sz="4" w:space="0" w:color="D9ECEA" w:themeColor="accent2"/>
          <w:right w:val="single" w:sz="4" w:space="0" w:color="D9ECEA" w:themeColor="accent2"/>
          <w:insideH w:val="single" w:sz="4" w:space="0" w:color="D9ECEA" w:themeColor="accent2"/>
          <w:insideV w:val="single" w:sz="4" w:space="0" w:color="D9ECEA" w:themeColor="accent2"/>
        </w:tblBorders>
        <w:tblLook w:val="04A0" w:firstRow="1" w:lastRow="0" w:firstColumn="1" w:lastColumn="0" w:noHBand="0" w:noVBand="1"/>
      </w:tblPr>
      <w:tblGrid>
        <w:gridCol w:w="680"/>
        <w:gridCol w:w="8561"/>
      </w:tblGrid>
      <w:tr w:rsidR="00BC0994" w:rsidRPr="00B447C7" w14:paraId="68D672FF" w14:textId="77777777">
        <w:trPr>
          <w:cnfStyle w:val="100000000000" w:firstRow="1" w:lastRow="0" w:firstColumn="0" w:lastColumn="0" w:oddVBand="0" w:evenVBand="0" w:oddHBand="0" w:evenHBand="0" w:firstRowFirstColumn="0" w:firstRowLastColumn="0" w:lastRowFirstColumn="0" w:lastRowLastColumn="0"/>
        </w:trPr>
        <w:tc>
          <w:tcPr>
            <w:tcW w:w="680" w:type="dxa"/>
            <w:shd w:val="clear" w:color="auto" w:fill="D9ECEA" w:themeFill="accent2"/>
          </w:tcPr>
          <w:p w14:paraId="3684CE71" w14:textId="77777777" w:rsidR="002A6D9C" w:rsidRPr="00B447C7" w:rsidRDefault="002A6D9C">
            <w:pPr>
              <w:pStyle w:val="Symbol"/>
              <w:rPr>
                <w:i w:val="0"/>
                <w:iCs w:val="0"/>
              </w:rPr>
            </w:pPr>
            <w:r w:rsidRPr="00B447C7">
              <w:rPr>
                <w:i w:val="0"/>
                <w:iCs w:val="0"/>
              </w:rPr>
              <w:sym w:font="Wingdings" w:char="F0FC"/>
            </w:r>
          </w:p>
        </w:tc>
        <w:tc>
          <w:tcPr>
            <w:tcW w:w="8561" w:type="dxa"/>
            <w:shd w:val="clear" w:color="auto" w:fill="D9ECEA" w:themeFill="accent2"/>
          </w:tcPr>
          <w:p w14:paraId="1FF082CB" w14:textId="77777777" w:rsidR="002A6D9C" w:rsidRPr="00B447C7" w:rsidRDefault="002A6D9C">
            <w:pPr>
              <w:pStyle w:val="DELWPexamplecaption"/>
              <w:spacing w:before="120"/>
              <w:rPr>
                <w:b w:val="0"/>
                <w:bCs/>
              </w:rPr>
            </w:pPr>
            <w:r w:rsidRPr="00B447C7">
              <w:rPr>
                <w:b w:val="0"/>
                <w:bCs/>
              </w:rPr>
              <w:t xml:space="preserve">The </w:t>
            </w:r>
            <w:r w:rsidRPr="00B447C7">
              <w:rPr>
                <w:b w:val="0"/>
                <w:bCs/>
                <w:u w:val="single"/>
              </w:rPr>
              <w:t>State Government</w:t>
            </w:r>
            <w:r w:rsidRPr="00B447C7">
              <w:rPr>
                <w:b w:val="0"/>
                <w:bCs/>
              </w:rPr>
              <w:t xml:space="preserve"> will implement the initiative...</w:t>
            </w:r>
          </w:p>
        </w:tc>
      </w:tr>
      <w:tr w:rsidR="00BC0994" w:rsidRPr="00B447C7" w14:paraId="7C984776" w14:textId="77777777">
        <w:tc>
          <w:tcPr>
            <w:tcW w:w="680" w:type="dxa"/>
            <w:shd w:val="clear" w:color="auto" w:fill="D9ECEA" w:themeFill="accent2"/>
          </w:tcPr>
          <w:p w14:paraId="060684E5" w14:textId="77777777" w:rsidR="002A6D9C" w:rsidRPr="00B447C7" w:rsidRDefault="002A6D9C">
            <w:pPr>
              <w:pStyle w:val="Symbol"/>
              <w:rPr>
                <w:i w:val="0"/>
                <w:iCs w:val="0"/>
              </w:rPr>
            </w:pPr>
            <w:r w:rsidRPr="00B447C7">
              <w:rPr>
                <w:i w:val="0"/>
                <w:iCs w:val="0"/>
              </w:rPr>
              <w:sym w:font="Wingdings" w:char="F0FC"/>
            </w:r>
          </w:p>
        </w:tc>
        <w:tc>
          <w:tcPr>
            <w:tcW w:w="8561" w:type="dxa"/>
            <w:shd w:val="clear" w:color="auto" w:fill="D9ECEA" w:themeFill="accent2"/>
          </w:tcPr>
          <w:p w14:paraId="4324FA04" w14:textId="77777777" w:rsidR="002A6D9C" w:rsidRPr="00B447C7" w:rsidRDefault="002A6D9C">
            <w:pPr>
              <w:pStyle w:val="DELWPexamplebody"/>
              <w:rPr>
                <w:strike/>
              </w:rPr>
            </w:pPr>
            <w:r w:rsidRPr="00B447C7">
              <w:t xml:space="preserve">...if permit conditions can be applied across all planning </w:t>
            </w:r>
            <w:proofErr w:type="gramStart"/>
            <w:r w:rsidRPr="00B447C7">
              <w:t>schemes</w:t>
            </w:r>
            <w:proofErr w:type="gramEnd"/>
            <w:r w:rsidRPr="00B447C7">
              <w:t xml:space="preserve"> then they should be included in a </w:t>
            </w:r>
            <w:r w:rsidRPr="00B447C7">
              <w:rPr>
                <w:u w:val="single"/>
              </w:rPr>
              <w:t>state</w:t>
            </w:r>
            <w:r w:rsidRPr="00B447C7">
              <w:t xml:space="preserve"> standard provision.</w:t>
            </w:r>
          </w:p>
        </w:tc>
      </w:tr>
    </w:tbl>
    <w:p w14:paraId="78FA7C2A" w14:textId="77777777" w:rsidR="002A6D9C" w:rsidRDefault="002A6D9C" w:rsidP="002A6D9C">
      <w:pPr>
        <w:pStyle w:val="Head5"/>
      </w:pPr>
      <w:r>
        <w:t>Contractions</w:t>
      </w:r>
    </w:p>
    <w:p w14:paraId="3C7A52AA" w14:textId="77777777" w:rsidR="002A6D9C" w:rsidRDefault="002A6D9C" w:rsidP="002A6D9C">
      <w:pPr>
        <w:pStyle w:val="BodyText1"/>
      </w:pPr>
      <w:r>
        <w:t>Contractions include shortened forms of words, or two words commonly pronounced as one.</w:t>
      </w:r>
    </w:p>
    <w:p w14:paraId="3BC223E4" w14:textId="77777777" w:rsidR="002A6D9C" w:rsidRPr="00C66DC2" w:rsidRDefault="002A6D9C" w:rsidP="00C66DC2">
      <w:pPr>
        <w:pStyle w:val="BodyText10"/>
        <w:suppressAutoHyphens/>
        <w:spacing w:before="120" w:after="0" w:line="288" w:lineRule="auto"/>
        <w:ind w:left="0"/>
        <w:rPr>
          <w:rFonts w:ascii="VIC" w:eastAsia="Times" w:hAnsi="VIC"/>
          <w:lang w:eastAsia="en-US"/>
        </w:rPr>
      </w:pPr>
      <w:r w:rsidRPr="00C66DC2">
        <w:rPr>
          <w:rFonts w:ascii="VIC" w:eastAsia="Times" w:hAnsi="VIC"/>
          <w:lang w:eastAsia="en-US"/>
        </w:rPr>
        <w:t>Contractions of two words such as don’t (do not), shouldn’t (should not) and it’s (it is) should be avoided in statutory provisions as they produce a casual tone to the writing.</w:t>
      </w:r>
    </w:p>
    <w:p w14:paraId="21E7BD65" w14:textId="77777777" w:rsidR="002A6D9C" w:rsidRPr="00C66DC2" w:rsidRDefault="002A6D9C" w:rsidP="00C66DC2">
      <w:pPr>
        <w:pStyle w:val="BodyText10"/>
        <w:suppressAutoHyphens/>
        <w:spacing w:before="120" w:after="0" w:line="288" w:lineRule="auto"/>
        <w:ind w:left="0"/>
        <w:rPr>
          <w:rFonts w:ascii="VIC" w:eastAsia="Times" w:hAnsi="VIC"/>
          <w:lang w:eastAsia="en-US"/>
        </w:rPr>
      </w:pPr>
      <w:r w:rsidRPr="00C66DC2">
        <w:rPr>
          <w:rFonts w:ascii="VIC" w:eastAsia="Times" w:hAnsi="VIC"/>
          <w:lang w:eastAsia="en-US"/>
        </w:rPr>
        <w:t>Commonly understood contractions that are a shortened form of words such as Rd, St or Pty Ltd may be used in planning scheme writing.</w:t>
      </w:r>
    </w:p>
    <w:p w14:paraId="52597DD1" w14:textId="77777777" w:rsidR="002A6D9C" w:rsidRDefault="002A6D9C" w:rsidP="002A6D9C">
      <w:pPr>
        <w:pStyle w:val="Head5"/>
      </w:pPr>
      <w:r w:rsidRPr="00D02B77">
        <w:t>Dates</w:t>
      </w:r>
    </w:p>
    <w:p w14:paraId="4E3CA89F" w14:textId="77777777" w:rsidR="002A6D9C" w:rsidRDefault="002A6D9C" w:rsidP="002A6D9C">
      <w:pPr>
        <w:pStyle w:val="BodyText1"/>
      </w:pPr>
      <w:r>
        <w:t>Present dates from the smallest unit to the largest in the order of day, month and year.</w:t>
      </w:r>
    </w:p>
    <w:tbl>
      <w:tblPr>
        <w:tblStyle w:val="TableGrid"/>
        <w:tblW w:w="923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61"/>
      </w:tblGrid>
      <w:tr w:rsidR="002A6D9C" w:rsidRPr="00B447C7" w14:paraId="69204929" w14:textId="77777777">
        <w:trPr>
          <w:cnfStyle w:val="100000000000" w:firstRow="1" w:lastRow="0" w:firstColumn="0" w:lastColumn="0" w:oddVBand="0" w:evenVBand="0" w:oddHBand="0" w:evenHBand="0" w:firstRowFirstColumn="0" w:firstRowLastColumn="0" w:lastRowFirstColumn="0" w:lastRowLastColumn="0"/>
        </w:trPr>
        <w:tc>
          <w:tcPr>
            <w:tcW w:w="675" w:type="dxa"/>
            <w:shd w:val="clear" w:color="auto" w:fill="D9ECEA" w:themeFill="accent2"/>
          </w:tcPr>
          <w:p w14:paraId="081DB29B" w14:textId="77777777" w:rsidR="002A6D9C" w:rsidRPr="00B447C7" w:rsidRDefault="002A6D9C">
            <w:pPr>
              <w:pStyle w:val="Symbol"/>
              <w:rPr>
                <w:i w:val="0"/>
                <w:iCs w:val="0"/>
              </w:rPr>
            </w:pPr>
            <w:r w:rsidRPr="00B447C7">
              <w:rPr>
                <w:i w:val="0"/>
                <w:iCs w:val="0"/>
              </w:rPr>
              <w:sym w:font="Wingdings" w:char="F0FC"/>
            </w:r>
          </w:p>
        </w:tc>
        <w:tc>
          <w:tcPr>
            <w:tcW w:w="8561" w:type="dxa"/>
            <w:shd w:val="clear" w:color="auto" w:fill="D9ECEA" w:themeFill="accent2"/>
          </w:tcPr>
          <w:p w14:paraId="7659ABCA" w14:textId="77777777" w:rsidR="002A6D9C" w:rsidRPr="00B447C7" w:rsidRDefault="002A6D9C">
            <w:pPr>
              <w:pStyle w:val="DELWPexamplecaption"/>
              <w:spacing w:before="120"/>
              <w:rPr>
                <w:b w:val="0"/>
                <w:bCs/>
              </w:rPr>
            </w:pPr>
            <w:r w:rsidRPr="00B447C7">
              <w:rPr>
                <w:b w:val="0"/>
                <w:bCs/>
              </w:rPr>
              <w:t>12 April 2018</w:t>
            </w:r>
          </w:p>
        </w:tc>
      </w:tr>
      <w:tr w:rsidR="002A6D9C" w:rsidRPr="00B447C7" w14:paraId="59322235" w14:textId="77777777">
        <w:tc>
          <w:tcPr>
            <w:tcW w:w="675" w:type="dxa"/>
            <w:shd w:val="clear" w:color="auto" w:fill="D9ECEA" w:themeFill="accent2"/>
          </w:tcPr>
          <w:p w14:paraId="16A38F93" w14:textId="77777777" w:rsidR="002A6D9C" w:rsidRPr="00B447C7" w:rsidRDefault="002A6D9C">
            <w:pPr>
              <w:pStyle w:val="Symbol"/>
              <w:rPr>
                <w:i w:val="0"/>
                <w:iCs w:val="0"/>
              </w:rPr>
            </w:pPr>
            <w:r w:rsidRPr="00B447C7">
              <w:rPr>
                <w:i w:val="0"/>
                <w:iCs w:val="0"/>
              </w:rPr>
              <w:sym w:font="Wingdings" w:char="F0FB"/>
            </w:r>
          </w:p>
        </w:tc>
        <w:tc>
          <w:tcPr>
            <w:tcW w:w="8561" w:type="dxa"/>
            <w:shd w:val="clear" w:color="auto" w:fill="D9ECEA" w:themeFill="accent2"/>
          </w:tcPr>
          <w:p w14:paraId="1BC7C08A" w14:textId="77777777" w:rsidR="002A6D9C" w:rsidRPr="00B447C7" w:rsidRDefault="002A6D9C">
            <w:pPr>
              <w:pStyle w:val="DELWPexamplecaption"/>
              <w:spacing w:before="120"/>
              <w:rPr>
                <w:b w:val="0"/>
                <w:bCs/>
              </w:rPr>
            </w:pPr>
            <w:r w:rsidRPr="00B447C7">
              <w:rPr>
                <w:b w:val="0"/>
                <w:bCs/>
              </w:rPr>
              <w:t>April 12 2018</w:t>
            </w:r>
          </w:p>
        </w:tc>
      </w:tr>
      <w:tr w:rsidR="002A6D9C" w:rsidRPr="00B447C7" w14:paraId="5C604558" w14:textId="77777777">
        <w:tc>
          <w:tcPr>
            <w:tcW w:w="675" w:type="dxa"/>
            <w:shd w:val="clear" w:color="auto" w:fill="D9ECEA" w:themeFill="accent2"/>
          </w:tcPr>
          <w:p w14:paraId="73572E4E" w14:textId="77777777" w:rsidR="002A6D9C" w:rsidRPr="00B447C7" w:rsidRDefault="002A6D9C">
            <w:pPr>
              <w:pStyle w:val="Symbol"/>
              <w:rPr>
                <w:i w:val="0"/>
                <w:iCs w:val="0"/>
              </w:rPr>
            </w:pPr>
            <w:r w:rsidRPr="00B447C7">
              <w:rPr>
                <w:i w:val="0"/>
                <w:iCs w:val="0"/>
              </w:rPr>
              <w:sym w:font="Wingdings" w:char="F0FB"/>
            </w:r>
          </w:p>
        </w:tc>
        <w:tc>
          <w:tcPr>
            <w:tcW w:w="8561" w:type="dxa"/>
            <w:shd w:val="clear" w:color="auto" w:fill="D9ECEA" w:themeFill="accent2"/>
          </w:tcPr>
          <w:p w14:paraId="72986B7B" w14:textId="77777777" w:rsidR="002A6D9C" w:rsidRPr="00B447C7" w:rsidRDefault="002A6D9C">
            <w:pPr>
              <w:pStyle w:val="DELWPexamplecaption"/>
              <w:spacing w:before="120"/>
              <w:rPr>
                <w:b w:val="0"/>
                <w:bCs/>
              </w:rPr>
            </w:pPr>
            <w:r w:rsidRPr="00B447C7">
              <w:rPr>
                <w:b w:val="0"/>
                <w:bCs/>
              </w:rPr>
              <w:t>12</w:t>
            </w:r>
            <w:r w:rsidRPr="00B447C7">
              <w:rPr>
                <w:b w:val="0"/>
                <w:bCs/>
                <w:vertAlign w:val="superscript"/>
              </w:rPr>
              <w:t>th</w:t>
            </w:r>
            <w:r w:rsidRPr="00B447C7">
              <w:rPr>
                <w:b w:val="0"/>
                <w:bCs/>
              </w:rPr>
              <w:t xml:space="preserve"> April 2018</w:t>
            </w:r>
          </w:p>
        </w:tc>
      </w:tr>
    </w:tbl>
    <w:p w14:paraId="74511DF4" w14:textId="77777777" w:rsidR="002A6D9C" w:rsidRDefault="002A6D9C" w:rsidP="002A6D9C">
      <w:pPr>
        <w:pStyle w:val="Head5"/>
      </w:pPr>
      <w:r>
        <w:t>Dictionaries</w:t>
      </w:r>
    </w:p>
    <w:p w14:paraId="66F70370" w14:textId="11D75BF2" w:rsidR="002A6D9C" w:rsidRDefault="002A6D9C" w:rsidP="002A6D9C">
      <w:pPr>
        <w:pStyle w:val="BodyText1"/>
      </w:pPr>
      <w:r w:rsidRPr="00D76D6E">
        <w:t>The</w:t>
      </w:r>
      <w:r w:rsidR="00A64A8A">
        <w:t xml:space="preserve"> preferred</w:t>
      </w:r>
      <w:r w:rsidRPr="00D76D6E">
        <w:t xml:space="preserve"> dictionary for planning scheme use is The Macquarie Dictionary</w:t>
      </w:r>
      <w:r w:rsidR="00230ACA">
        <w:t xml:space="preserve"> </w:t>
      </w:r>
      <w:r w:rsidR="00230ACA" w:rsidRPr="00230ACA">
        <w:t>as the standard reference on Australian English</w:t>
      </w:r>
      <w:r w:rsidRPr="00D76D6E">
        <w:t>.</w:t>
      </w:r>
    </w:p>
    <w:p w14:paraId="2D4BCBCF" w14:textId="77777777" w:rsidR="002A6D9C" w:rsidRPr="007F7FF9" w:rsidRDefault="002A6D9C" w:rsidP="002A6D9C">
      <w:pPr>
        <w:pStyle w:val="Heading4"/>
      </w:pPr>
      <w:proofErr w:type="gramStart"/>
      <w:r w:rsidRPr="007F7FF9">
        <w:t>e.g.</w:t>
      </w:r>
      <w:proofErr w:type="gramEnd"/>
      <w:r w:rsidRPr="007F7FF9">
        <w:t xml:space="preserve"> and i.e.</w:t>
      </w:r>
    </w:p>
    <w:p w14:paraId="4FD6A229" w14:textId="77777777" w:rsidR="002A6D9C" w:rsidRDefault="002A6D9C" w:rsidP="002A6D9C">
      <w:pPr>
        <w:pStyle w:val="BodyText1"/>
      </w:pPr>
      <w:r w:rsidRPr="001623DD">
        <w:t>Avo</w:t>
      </w:r>
      <w:r>
        <w:t xml:space="preserve">id using abbreviated Latin terms in a planning scheme. If necessary, use </w:t>
      </w:r>
      <w:r w:rsidRPr="00A555B4">
        <w:rPr>
          <w:i/>
          <w:iCs/>
        </w:rPr>
        <w:t>‘for example’</w:t>
      </w:r>
      <w:r>
        <w:t xml:space="preserve"> or </w:t>
      </w:r>
      <w:r w:rsidRPr="00A555B4">
        <w:rPr>
          <w:i/>
          <w:iCs/>
        </w:rPr>
        <w:t>‘such as’</w:t>
      </w:r>
      <w:r>
        <w:t xml:space="preserve"> instead of ‘</w:t>
      </w:r>
      <w:proofErr w:type="gramStart"/>
      <w:r>
        <w:t>e.g.</w:t>
      </w:r>
      <w:proofErr w:type="gramEnd"/>
      <w:r>
        <w:t>’.</w:t>
      </w:r>
    </w:p>
    <w:p w14:paraId="7817D030" w14:textId="77777777" w:rsidR="002A6D9C" w:rsidRDefault="002A6D9C" w:rsidP="002A6D9C">
      <w:pPr>
        <w:pStyle w:val="BodyText1"/>
      </w:pPr>
      <w:r>
        <w:t>Do not use ‘</w:t>
      </w:r>
      <w:proofErr w:type="gramStart"/>
      <w:r>
        <w:t>i.e.</w:t>
      </w:r>
      <w:proofErr w:type="gramEnd"/>
      <w:r>
        <w:t xml:space="preserve">’ or alternative terms (including </w:t>
      </w:r>
      <w:r w:rsidRPr="00A555B4">
        <w:rPr>
          <w:i/>
          <w:iCs/>
        </w:rPr>
        <w:t>‘that is’</w:t>
      </w:r>
      <w:r>
        <w:rPr>
          <w:i/>
          <w:iCs/>
        </w:rPr>
        <w:t xml:space="preserve"> </w:t>
      </w:r>
      <w:r>
        <w:t>and</w:t>
      </w:r>
      <w:r w:rsidRPr="00A555B4">
        <w:rPr>
          <w:i/>
          <w:iCs/>
        </w:rPr>
        <w:t xml:space="preserve"> ‘in other words’</w:t>
      </w:r>
      <w:r>
        <w:t>) as these terms are too casual for a statutory instrument and a provision should be clear enough that it does not need further elaboration.</w:t>
      </w:r>
    </w:p>
    <w:p w14:paraId="449AC4B6" w14:textId="77777777" w:rsidR="002A6D9C" w:rsidRPr="007F7FF9" w:rsidRDefault="002A6D9C" w:rsidP="002A6D9C">
      <w:pPr>
        <w:pStyle w:val="Head5"/>
      </w:pPr>
      <w:r>
        <w:t>Fractions</w:t>
      </w:r>
    </w:p>
    <w:p w14:paraId="00795CF4" w14:textId="77777777" w:rsidR="002A6D9C" w:rsidRDefault="002A6D9C" w:rsidP="002A6D9C">
      <w:pPr>
        <w:pStyle w:val="BodyText1"/>
      </w:pPr>
      <w:r>
        <w:t xml:space="preserve">Spell out </w:t>
      </w:r>
      <w:r w:rsidRPr="009E2A11">
        <w:t>fractions except when</w:t>
      </w:r>
      <w:r w:rsidRPr="00FA2E55">
        <w:t xml:space="preserve"> used in a table or where space is an issue</w:t>
      </w:r>
      <w:r>
        <w:t>:</w:t>
      </w:r>
    </w:p>
    <w:tbl>
      <w:tblPr>
        <w:tblStyle w:val="TableGrid"/>
        <w:tblW w:w="9241" w:type="dxa"/>
        <w:tblInd w:w="-5" w:type="dxa"/>
        <w:tblBorders>
          <w:top w:val="single" w:sz="4" w:space="0" w:color="D9ECEA" w:themeColor="accent2"/>
          <w:left w:val="single" w:sz="4" w:space="0" w:color="D9ECEA" w:themeColor="accent2"/>
          <w:bottom w:val="single" w:sz="4" w:space="0" w:color="D9ECEA" w:themeColor="accent2"/>
          <w:right w:val="single" w:sz="4" w:space="0" w:color="D9ECEA" w:themeColor="accent2"/>
          <w:insideH w:val="single" w:sz="4" w:space="0" w:color="D9ECEA" w:themeColor="accent2"/>
          <w:insideV w:val="single" w:sz="4" w:space="0" w:color="D9ECEA" w:themeColor="accent2"/>
        </w:tblBorders>
        <w:tblLook w:val="04A0" w:firstRow="1" w:lastRow="0" w:firstColumn="1" w:lastColumn="0" w:noHBand="0" w:noVBand="1"/>
      </w:tblPr>
      <w:tblGrid>
        <w:gridCol w:w="680"/>
        <w:gridCol w:w="4025"/>
        <w:gridCol w:w="567"/>
        <w:gridCol w:w="3969"/>
      </w:tblGrid>
      <w:tr w:rsidR="007C70C9" w14:paraId="04E140DF" w14:textId="77777777">
        <w:trPr>
          <w:cnfStyle w:val="100000000000" w:firstRow="1" w:lastRow="0" w:firstColumn="0" w:lastColumn="0" w:oddVBand="0" w:evenVBand="0" w:oddHBand="0" w:evenHBand="0" w:firstRowFirstColumn="0" w:firstRowLastColumn="0" w:lastRowFirstColumn="0" w:lastRowLastColumn="0"/>
        </w:trPr>
        <w:tc>
          <w:tcPr>
            <w:tcW w:w="680" w:type="dxa"/>
            <w:shd w:val="clear" w:color="auto" w:fill="D9ECEA" w:themeFill="accent2"/>
          </w:tcPr>
          <w:p w14:paraId="4AEFA028" w14:textId="77777777" w:rsidR="002A6D9C" w:rsidRPr="005C2358" w:rsidRDefault="002A6D9C">
            <w:pPr>
              <w:pStyle w:val="Symbol"/>
              <w:rPr>
                <w:highlight w:val="yellow"/>
              </w:rPr>
            </w:pPr>
            <w:r>
              <w:sym w:font="Wingdings" w:char="F0FC"/>
            </w:r>
          </w:p>
        </w:tc>
        <w:tc>
          <w:tcPr>
            <w:tcW w:w="4025" w:type="dxa"/>
            <w:shd w:val="clear" w:color="auto" w:fill="D9ECEA" w:themeFill="accent2"/>
          </w:tcPr>
          <w:p w14:paraId="65DFFC1E" w14:textId="77777777" w:rsidR="002A6D9C" w:rsidRPr="009E2A11" w:rsidRDefault="002A6D9C">
            <w:pPr>
              <w:pStyle w:val="BodyText1"/>
            </w:pPr>
            <w:r w:rsidRPr="009E2A11">
              <w:t>three-quarters</w:t>
            </w:r>
          </w:p>
        </w:tc>
        <w:tc>
          <w:tcPr>
            <w:tcW w:w="567" w:type="dxa"/>
            <w:shd w:val="clear" w:color="auto" w:fill="D9ECEA" w:themeFill="accent2"/>
          </w:tcPr>
          <w:p w14:paraId="5CD7EB2E" w14:textId="77777777" w:rsidR="002A6D9C" w:rsidRPr="009E2A11" w:rsidRDefault="002A6D9C">
            <w:pPr>
              <w:pStyle w:val="Symbol"/>
            </w:pPr>
            <w:r>
              <w:sym w:font="Wingdings" w:char="F0FB"/>
            </w:r>
          </w:p>
        </w:tc>
        <w:tc>
          <w:tcPr>
            <w:tcW w:w="3969" w:type="dxa"/>
            <w:shd w:val="clear" w:color="auto" w:fill="D9ECEA" w:themeFill="accent2"/>
          </w:tcPr>
          <w:p w14:paraId="62662D35" w14:textId="77777777" w:rsidR="002A6D9C" w:rsidRPr="000F414D" w:rsidRDefault="002A6D9C">
            <w:pPr>
              <w:pStyle w:val="BodyText1"/>
              <w:rPr>
                <w:sz w:val="24"/>
                <w:szCs w:val="24"/>
              </w:rPr>
            </w:pPr>
            <w:r w:rsidRPr="000F414D">
              <w:rPr>
                <w:sz w:val="24"/>
                <w:szCs w:val="24"/>
              </w:rPr>
              <w:t xml:space="preserve">¾ </w:t>
            </w:r>
          </w:p>
        </w:tc>
      </w:tr>
    </w:tbl>
    <w:p w14:paraId="50824CBB" w14:textId="77777777" w:rsidR="002A6D9C" w:rsidRDefault="002A6D9C" w:rsidP="002A6D9C">
      <w:pPr>
        <w:pStyle w:val="DELWPbodyaftertablediagram"/>
      </w:pPr>
      <w:r w:rsidRPr="009E2A11">
        <w:t>It will usually be better to use a decimal number.</w:t>
      </w:r>
    </w:p>
    <w:p w14:paraId="31C671BC" w14:textId="77777777" w:rsidR="002A6D9C" w:rsidRDefault="002A6D9C" w:rsidP="002A6D9C">
      <w:pPr>
        <w:pStyle w:val="Head5"/>
      </w:pPr>
      <w:r w:rsidRPr="00E836C0">
        <w:t>Grammar</w:t>
      </w:r>
    </w:p>
    <w:p w14:paraId="2505FDEF" w14:textId="77777777" w:rsidR="002A6D9C" w:rsidRDefault="002A6D9C" w:rsidP="002A6D9C">
      <w:pPr>
        <w:pStyle w:val="BodyText1"/>
      </w:pPr>
      <w:r w:rsidRPr="00E836C0">
        <w:rPr>
          <w:rStyle w:val="Strong"/>
        </w:rPr>
        <w:t>Verbs:</w:t>
      </w:r>
      <w:r>
        <w:t xml:space="preserve"> describe an action or a state of being:</w:t>
      </w:r>
    </w:p>
    <w:tbl>
      <w:tblPr>
        <w:tblStyle w:val="TableGrid"/>
        <w:tblW w:w="8931" w:type="dxa"/>
        <w:tblInd w:w="-5" w:type="dxa"/>
        <w:tblBorders>
          <w:top w:val="single" w:sz="4" w:space="0" w:color="D9ECEA" w:themeColor="accent2"/>
          <w:left w:val="single" w:sz="4" w:space="0" w:color="D9ECEA" w:themeColor="accent2"/>
          <w:bottom w:val="single" w:sz="4" w:space="0" w:color="D9ECEA" w:themeColor="accent2"/>
          <w:right w:val="single" w:sz="4" w:space="0" w:color="D9ECEA" w:themeColor="accent2"/>
          <w:insideH w:val="single" w:sz="4" w:space="0" w:color="D9ECEA" w:themeColor="accent2"/>
          <w:insideV w:val="single" w:sz="4" w:space="0" w:color="D9ECEA" w:themeColor="accent2"/>
        </w:tblBorders>
        <w:tblLook w:val="04A0" w:firstRow="1" w:lastRow="0" w:firstColumn="1" w:lastColumn="0" w:noHBand="0" w:noVBand="1"/>
      </w:tblPr>
      <w:tblGrid>
        <w:gridCol w:w="5103"/>
        <w:gridCol w:w="3828"/>
      </w:tblGrid>
      <w:tr w:rsidR="007021B2" w:rsidRPr="00C62F50" w14:paraId="147B779B" w14:textId="77777777" w:rsidTr="00153B1A">
        <w:trPr>
          <w:cnfStyle w:val="100000000000" w:firstRow="1" w:lastRow="0" w:firstColumn="0" w:lastColumn="0" w:oddVBand="0" w:evenVBand="0" w:oddHBand="0" w:evenHBand="0" w:firstRowFirstColumn="0" w:firstRowLastColumn="0" w:lastRowFirstColumn="0" w:lastRowLastColumn="0"/>
        </w:trPr>
        <w:tc>
          <w:tcPr>
            <w:tcW w:w="5103" w:type="dxa"/>
            <w:shd w:val="clear" w:color="auto" w:fill="D9ECEA" w:themeFill="accent2"/>
          </w:tcPr>
          <w:p w14:paraId="058ED7F6" w14:textId="7015AD88" w:rsidR="007021B2" w:rsidRPr="00C62F50" w:rsidRDefault="0043772D" w:rsidP="00EF5581">
            <w:pPr>
              <w:pStyle w:val="BodyText1"/>
              <w:rPr>
                <w:b/>
                <w:bCs/>
              </w:rPr>
            </w:pPr>
            <w:bookmarkStart w:id="329" w:name="_Hlk29982471"/>
            <w:r>
              <w:rPr>
                <w:b/>
                <w:bCs/>
              </w:rPr>
              <w:lastRenderedPageBreak/>
              <w:t>Action</w:t>
            </w:r>
          </w:p>
        </w:tc>
        <w:tc>
          <w:tcPr>
            <w:tcW w:w="3828" w:type="dxa"/>
            <w:shd w:val="clear" w:color="auto" w:fill="D9ECEA" w:themeFill="accent2"/>
          </w:tcPr>
          <w:p w14:paraId="53FFB97B" w14:textId="7D04F998" w:rsidR="007021B2" w:rsidRPr="00C62F50" w:rsidRDefault="0043772D" w:rsidP="00EF5581">
            <w:pPr>
              <w:pStyle w:val="BodyText1"/>
              <w:rPr>
                <w:b/>
                <w:bCs/>
              </w:rPr>
            </w:pPr>
            <w:r>
              <w:rPr>
                <w:b/>
                <w:bCs/>
              </w:rPr>
              <w:t>State of being</w:t>
            </w:r>
          </w:p>
        </w:tc>
      </w:tr>
      <w:tr w:rsidR="007021B2" w:rsidRPr="00AB3295" w14:paraId="67B42D26" w14:textId="77777777" w:rsidTr="00153B1A">
        <w:tc>
          <w:tcPr>
            <w:tcW w:w="5103" w:type="dxa"/>
            <w:shd w:val="clear" w:color="auto" w:fill="D9ECEA" w:themeFill="accent2"/>
          </w:tcPr>
          <w:p w14:paraId="00C43CF3" w14:textId="0D0B4AEE" w:rsidR="007021B2" w:rsidRPr="00AB3295" w:rsidRDefault="007021B2" w:rsidP="007021B2">
            <w:pPr>
              <w:pStyle w:val="DELWPexamplebody"/>
              <w:spacing w:before="0" w:after="120" w:line="240" w:lineRule="auto"/>
            </w:pPr>
            <w:r w:rsidRPr="00AB3295">
              <w:t>prevent, enable, assist, reduce, limit</w:t>
            </w:r>
            <w:r>
              <w:t>, facilitate</w:t>
            </w:r>
          </w:p>
        </w:tc>
        <w:tc>
          <w:tcPr>
            <w:tcW w:w="3828" w:type="dxa"/>
            <w:shd w:val="clear" w:color="auto" w:fill="D9ECEA" w:themeFill="accent2"/>
          </w:tcPr>
          <w:p w14:paraId="5C41E9D3" w14:textId="0B4B73FB" w:rsidR="007021B2" w:rsidRPr="00AB3295" w:rsidRDefault="007021B2" w:rsidP="007021B2">
            <w:pPr>
              <w:pStyle w:val="DELWPexamplebody"/>
              <w:spacing w:before="0" w:after="120" w:line="240" w:lineRule="auto"/>
            </w:pPr>
            <w:r>
              <w:t>b</w:t>
            </w:r>
            <w:r w:rsidRPr="00E93D31">
              <w:t>e,</w:t>
            </w:r>
            <w:r w:rsidRPr="00AB3295">
              <w:t xml:space="preserve"> become, exist</w:t>
            </w:r>
          </w:p>
        </w:tc>
      </w:tr>
    </w:tbl>
    <w:p w14:paraId="12BB4A0E" w14:textId="6139C113" w:rsidR="002A6D9C" w:rsidRDefault="002A6D9C" w:rsidP="002A6D9C">
      <w:pPr>
        <w:pStyle w:val="DELWPbodyaftertablediagram"/>
      </w:pPr>
      <w:r w:rsidRPr="008D404C">
        <w:t xml:space="preserve">See </w:t>
      </w:r>
      <w:r w:rsidRPr="00B00B76">
        <w:t>Appendix 2</w:t>
      </w:r>
      <w:r w:rsidRPr="008652A3">
        <w:rPr>
          <w:b/>
          <w:bCs/>
        </w:rPr>
        <w:t xml:space="preserve"> </w:t>
      </w:r>
      <w:r w:rsidRPr="008D404C">
        <w:t xml:space="preserve">for a list of verbs that may be used when writing for the PPF. </w:t>
      </w:r>
      <w:r w:rsidRPr="008D404C">
        <w:rPr>
          <w:bCs/>
        </w:rPr>
        <w:t>Choosing</w:t>
      </w:r>
      <w:r w:rsidRPr="008D404C">
        <w:t xml:space="preserve"> verbs deliberately to relay a precise meaning is key to making strong and clear policy.</w:t>
      </w:r>
    </w:p>
    <w:p w14:paraId="3614ADAA" w14:textId="77777777" w:rsidR="002A6D9C" w:rsidRPr="00D0245D" w:rsidRDefault="002A6D9C" w:rsidP="002A6D9C">
      <w:pPr>
        <w:pStyle w:val="DELWPbodyaftertablediagram"/>
      </w:pPr>
      <w:r>
        <w:t>Take care that your verb choice provides for an achievable outcome through planning. For example, o</w:t>
      </w:r>
      <w:r w:rsidRPr="008D404C">
        <w:t>nly use</w:t>
      </w:r>
      <w:r>
        <w:t xml:space="preserve"> a term like</w:t>
      </w:r>
      <w:r w:rsidRPr="008D404C">
        <w:t xml:space="preserve"> ‘ensure’ when the outcome can</w:t>
      </w:r>
      <w:r>
        <w:t xml:space="preserve"> </w:t>
      </w:r>
      <w:proofErr w:type="gramStart"/>
      <w:r>
        <w:t>actually be</w:t>
      </w:r>
      <w:proofErr w:type="gramEnd"/>
      <w:r>
        <w:t xml:space="preserve"> </w:t>
      </w:r>
      <w:r w:rsidRPr="008D404C">
        <w:t>ensured</w:t>
      </w:r>
      <w:r>
        <w:t xml:space="preserve"> using the planning system.</w:t>
      </w:r>
    </w:p>
    <w:p w14:paraId="52571D89" w14:textId="77777777" w:rsidR="002A6D9C" w:rsidRPr="008D404C" w:rsidRDefault="002A6D9C" w:rsidP="002A6D9C">
      <w:pPr>
        <w:pStyle w:val="BodyText1"/>
      </w:pPr>
      <w:r>
        <w:t>The starting verb to a PPF strategy also needs to be followed with meaningful content to make a policy clear. Open-ended verbs like</w:t>
      </w:r>
      <w:r w:rsidRPr="008D404C">
        <w:t xml:space="preserve"> ‘improve’ </w:t>
      </w:r>
      <w:r>
        <w:t>often need more explaining (for example, to set out what is considered an improvement)</w:t>
      </w:r>
      <w:r w:rsidRPr="008D404C">
        <w:t>.</w:t>
      </w:r>
      <w:r>
        <w:t xml:space="preserve">  </w:t>
      </w:r>
    </w:p>
    <w:bookmarkEnd w:id="329"/>
    <w:p w14:paraId="7314F53F" w14:textId="77777777" w:rsidR="002A6D9C" w:rsidRDefault="002A6D9C" w:rsidP="002A6D9C">
      <w:pPr>
        <w:pStyle w:val="DELWPbodyaftertablediagram"/>
      </w:pPr>
      <w:r w:rsidRPr="00861AC3">
        <w:rPr>
          <w:rStyle w:val="Strong"/>
          <w:b/>
          <w:bCs/>
        </w:rPr>
        <w:t>Nouns</w:t>
      </w:r>
      <w:r w:rsidRPr="00E836C0">
        <w:rPr>
          <w:rStyle w:val="Strong"/>
        </w:rPr>
        <w:t>:</w:t>
      </w:r>
      <w:r w:rsidRPr="00E836C0">
        <w:t xml:space="preserve"> provide</w:t>
      </w:r>
      <w:r>
        <w:t xml:space="preserve"> names for people, places or things as well as abstract notions.</w:t>
      </w:r>
    </w:p>
    <w:p w14:paraId="061161FC" w14:textId="77777777" w:rsidR="002A6D9C" w:rsidRDefault="002A6D9C" w:rsidP="00A705A5">
      <w:pPr>
        <w:pStyle w:val="BodyText1"/>
        <w:numPr>
          <w:ilvl w:val="0"/>
          <w:numId w:val="26"/>
        </w:numPr>
        <w:rPr>
          <w:shd w:val="clear" w:color="auto" w:fill="FFFFFF"/>
        </w:rPr>
      </w:pPr>
      <w:r w:rsidRPr="002758F9">
        <w:rPr>
          <w:b/>
          <w:bCs/>
          <w:shd w:val="clear" w:color="auto" w:fill="FFFFFF"/>
        </w:rPr>
        <w:t>Common nouns</w:t>
      </w:r>
      <w:r>
        <w:rPr>
          <w:shd w:val="clear" w:color="auto" w:fill="FFFFFF"/>
        </w:rPr>
        <w:t xml:space="preserve"> name any generic person, place, thing or idea. They are not capitalised unless they come at the beginning of a sentence. </w:t>
      </w:r>
    </w:p>
    <w:p w14:paraId="63E8A9D5" w14:textId="77777777" w:rsidR="002A6D9C" w:rsidRPr="007C6D58" w:rsidRDefault="002A6D9C" w:rsidP="00A705A5">
      <w:pPr>
        <w:pStyle w:val="BodyText1"/>
        <w:numPr>
          <w:ilvl w:val="0"/>
          <w:numId w:val="26"/>
        </w:numPr>
      </w:pPr>
      <w:r w:rsidRPr="002758F9">
        <w:rPr>
          <w:b/>
          <w:bCs/>
          <w:shd w:val="clear" w:color="auto" w:fill="FFFFFF"/>
        </w:rPr>
        <w:t>Proper nouns</w:t>
      </w:r>
      <w:r>
        <w:rPr>
          <w:shd w:val="clear" w:color="auto" w:fill="FFFFFF"/>
        </w:rPr>
        <w:t xml:space="preserve"> are the names of specific people, places, things or ideas. Proper nouns should always be capitalised.</w:t>
      </w:r>
    </w:p>
    <w:tbl>
      <w:tblPr>
        <w:tblStyle w:val="TableGrid"/>
        <w:tblW w:w="0" w:type="auto"/>
        <w:tblInd w:w="-5" w:type="dxa"/>
        <w:tblBorders>
          <w:top w:val="single" w:sz="4" w:space="0" w:color="D9ECEA" w:themeColor="accent2"/>
          <w:left w:val="single" w:sz="4" w:space="0" w:color="D9ECEA" w:themeColor="accent2"/>
          <w:bottom w:val="single" w:sz="4" w:space="0" w:color="D9ECEA" w:themeColor="accent2"/>
          <w:right w:val="single" w:sz="4" w:space="0" w:color="D9ECEA" w:themeColor="accent2"/>
          <w:insideH w:val="single" w:sz="4" w:space="0" w:color="D9ECEA" w:themeColor="accent2"/>
          <w:insideV w:val="single" w:sz="4" w:space="0" w:color="D9ECEA" w:themeColor="accent2"/>
        </w:tblBorders>
        <w:tblLook w:val="04A0" w:firstRow="1" w:lastRow="0" w:firstColumn="1" w:lastColumn="0" w:noHBand="0" w:noVBand="1"/>
      </w:tblPr>
      <w:tblGrid>
        <w:gridCol w:w="4590"/>
        <w:gridCol w:w="4475"/>
      </w:tblGrid>
      <w:tr w:rsidR="007C70C9" w:rsidRPr="007C6D58" w14:paraId="7EC4D436" w14:textId="77777777">
        <w:trPr>
          <w:cnfStyle w:val="100000000000" w:firstRow="1" w:lastRow="0" w:firstColumn="0" w:lastColumn="0" w:oddVBand="0" w:evenVBand="0" w:oddHBand="0" w:evenHBand="0" w:firstRowFirstColumn="0" w:firstRowLastColumn="0" w:lastRowFirstColumn="0" w:lastRowLastColumn="0"/>
        </w:trPr>
        <w:tc>
          <w:tcPr>
            <w:tcW w:w="4590" w:type="dxa"/>
            <w:shd w:val="clear" w:color="auto" w:fill="D9ECEA" w:themeFill="accent2"/>
          </w:tcPr>
          <w:p w14:paraId="6FC82D70" w14:textId="77777777" w:rsidR="002A6D9C" w:rsidRPr="00C62F50" w:rsidRDefault="002A6D9C">
            <w:pPr>
              <w:pStyle w:val="BodyText1"/>
              <w:rPr>
                <w:b/>
                <w:bCs/>
              </w:rPr>
            </w:pPr>
            <w:r w:rsidRPr="00C62F50">
              <w:rPr>
                <w:b/>
                <w:bCs/>
              </w:rPr>
              <w:t>Common Noun</w:t>
            </w:r>
          </w:p>
        </w:tc>
        <w:tc>
          <w:tcPr>
            <w:tcW w:w="4475" w:type="dxa"/>
            <w:shd w:val="clear" w:color="auto" w:fill="D9ECEA" w:themeFill="accent2"/>
          </w:tcPr>
          <w:p w14:paraId="6D841274" w14:textId="77777777" w:rsidR="002A6D9C" w:rsidRPr="00C62F50" w:rsidRDefault="002A6D9C">
            <w:pPr>
              <w:pStyle w:val="BodyText1"/>
              <w:rPr>
                <w:b/>
                <w:bCs/>
              </w:rPr>
            </w:pPr>
            <w:r w:rsidRPr="00C62F50">
              <w:rPr>
                <w:b/>
                <w:bCs/>
              </w:rPr>
              <w:t>Proper Noun</w:t>
            </w:r>
          </w:p>
        </w:tc>
      </w:tr>
      <w:tr w:rsidR="007C70C9" w14:paraId="51F5BD6E" w14:textId="77777777">
        <w:tc>
          <w:tcPr>
            <w:tcW w:w="4590" w:type="dxa"/>
            <w:shd w:val="clear" w:color="auto" w:fill="D9ECEA" w:themeFill="accent2"/>
          </w:tcPr>
          <w:p w14:paraId="600E275B" w14:textId="77777777" w:rsidR="002A6D9C" w:rsidRPr="00AB3295" w:rsidRDefault="002A6D9C" w:rsidP="00C33D4C">
            <w:pPr>
              <w:pStyle w:val="BodyText1"/>
              <w:numPr>
                <w:ilvl w:val="0"/>
                <w:numId w:val="54"/>
              </w:numPr>
            </w:pPr>
            <w:r w:rsidRPr="00AB3295">
              <w:t>council / councils</w:t>
            </w:r>
          </w:p>
          <w:p w14:paraId="1A08C51F" w14:textId="77777777" w:rsidR="002A6D9C" w:rsidRPr="00AB3295" w:rsidRDefault="002A6D9C" w:rsidP="00C33D4C">
            <w:pPr>
              <w:pStyle w:val="BodyText1"/>
              <w:numPr>
                <w:ilvl w:val="0"/>
                <w:numId w:val="54"/>
              </w:numPr>
            </w:pPr>
            <w:r w:rsidRPr="00AB3295">
              <w:t>major activity centre</w:t>
            </w:r>
          </w:p>
          <w:p w14:paraId="5D7F01CA" w14:textId="77777777" w:rsidR="002A6D9C" w:rsidRPr="00AB3295" w:rsidRDefault="002A6D9C" w:rsidP="00C33D4C">
            <w:pPr>
              <w:pStyle w:val="BodyText1"/>
              <w:numPr>
                <w:ilvl w:val="0"/>
                <w:numId w:val="54"/>
              </w:numPr>
            </w:pPr>
            <w:r w:rsidRPr="00AB3295">
              <w:t>metropolitan strategy</w:t>
            </w:r>
          </w:p>
          <w:p w14:paraId="6C747FD1" w14:textId="77777777" w:rsidR="002A6D9C" w:rsidRPr="00AB3295" w:rsidRDefault="002A6D9C" w:rsidP="00C33D4C">
            <w:pPr>
              <w:pStyle w:val="BodyText1"/>
              <w:numPr>
                <w:ilvl w:val="0"/>
                <w:numId w:val="54"/>
              </w:numPr>
            </w:pPr>
            <w:r w:rsidRPr="00AB3295">
              <w:t>clause</w:t>
            </w:r>
          </w:p>
        </w:tc>
        <w:tc>
          <w:tcPr>
            <w:tcW w:w="4475" w:type="dxa"/>
            <w:shd w:val="clear" w:color="auto" w:fill="D9ECEA" w:themeFill="accent2"/>
          </w:tcPr>
          <w:p w14:paraId="4C58622C" w14:textId="77777777" w:rsidR="002A6D9C" w:rsidRPr="00AB3295" w:rsidRDefault="002A6D9C" w:rsidP="00A705A5">
            <w:pPr>
              <w:pStyle w:val="BodyText1"/>
              <w:numPr>
                <w:ilvl w:val="0"/>
                <w:numId w:val="27"/>
              </w:numPr>
            </w:pPr>
            <w:r w:rsidRPr="00AB3295">
              <w:t>Gumnut City Council</w:t>
            </w:r>
          </w:p>
          <w:p w14:paraId="75BB0587" w14:textId="77777777" w:rsidR="002A6D9C" w:rsidRPr="00AB3295" w:rsidRDefault="002A6D9C" w:rsidP="00A705A5">
            <w:pPr>
              <w:pStyle w:val="BodyText1"/>
              <w:numPr>
                <w:ilvl w:val="0"/>
                <w:numId w:val="27"/>
              </w:numPr>
            </w:pPr>
            <w:r w:rsidRPr="00AB3295">
              <w:t>Waratah Activity Centre</w:t>
            </w:r>
          </w:p>
          <w:p w14:paraId="22CFFA31" w14:textId="77777777" w:rsidR="002A6D9C" w:rsidRPr="00AB3295" w:rsidRDefault="002A6D9C" w:rsidP="00A705A5">
            <w:pPr>
              <w:pStyle w:val="BodyText1"/>
              <w:numPr>
                <w:ilvl w:val="0"/>
                <w:numId w:val="27"/>
              </w:numPr>
            </w:pPr>
            <w:r w:rsidRPr="00AB3295">
              <w:t>Plan Melbourne</w:t>
            </w:r>
          </w:p>
          <w:p w14:paraId="1FBDDDE1" w14:textId="77777777" w:rsidR="002A6D9C" w:rsidRPr="00AB3295" w:rsidRDefault="002A6D9C" w:rsidP="00A705A5">
            <w:pPr>
              <w:pStyle w:val="BodyText1"/>
              <w:numPr>
                <w:ilvl w:val="0"/>
                <w:numId w:val="27"/>
              </w:numPr>
            </w:pPr>
            <w:r w:rsidRPr="00AB3295">
              <w:t>Clause 11.01</w:t>
            </w:r>
          </w:p>
        </w:tc>
      </w:tr>
    </w:tbl>
    <w:p w14:paraId="5B7103BE" w14:textId="77777777" w:rsidR="002A6D9C" w:rsidRDefault="002A6D9C" w:rsidP="002A6D9C">
      <w:pPr>
        <w:pStyle w:val="DELWPbodyaftertablediagram"/>
      </w:pPr>
      <w:r w:rsidRPr="00861AC3">
        <w:rPr>
          <w:rStyle w:val="Strong"/>
          <w:b/>
          <w:bCs/>
        </w:rPr>
        <w:t>Pronouns</w:t>
      </w:r>
      <w:r w:rsidRPr="00647A7F">
        <w:rPr>
          <w:rStyle w:val="Strong"/>
        </w:rPr>
        <w:t>:</w:t>
      </w:r>
      <w:r w:rsidRPr="00647A7F">
        <w:t xml:space="preserve"> stand</w:t>
      </w:r>
      <w:r>
        <w:t xml:space="preserve"> in for a noun or noun phrase already mentioned in a text.</w:t>
      </w:r>
    </w:p>
    <w:tbl>
      <w:tblPr>
        <w:tblStyle w:val="DELWPhighlighttable"/>
        <w:tblW w:w="9242" w:type="dxa"/>
        <w:tblInd w:w="0" w:type="dxa"/>
        <w:tblLook w:val="0400" w:firstRow="0" w:lastRow="0" w:firstColumn="0" w:lastColumn="0" w:noHBand="0" w:noVBand="1"/>
      </w:tblPr>
      <w:tblGrid>
        <w:gridCol w:w="9242"/>
      </w:tblGrid>
      <w:tr w:rsidR="002A6D9C" w:rsidRPr="001744FC" w14:paraId="17C4419E" w14:textId="77777777">
        <w:trPr>
          <w:cantSplit/>
        </w:trPr>
        <w:tc>
          <w:tcPr>
            <w:tcW w:w="9242" w:type="dxa"/>
          </w:tcPr>
          <w:p w14:paraId="19A9879D" w14:textId="2DD5FA88" w:rsidR="002A6D9C" w:rsidRPr="00283717" w:rsidRDefault="008D3601">
            <w:pPr>
              <w:pStyle w:val="DELWPexamplebody"/>
            </w:pPr>
            <w:r>
              <w:t>h</w:t>
            </w:r>
            <w:r w:rsidR="002A6D9C" w:rsidRPr="00AB3295">
              <w:t>e, she, it, they</w:t>
            </w:r>
          </w:p>
        </w:tc>
      </w:tr>
    </w:tbl>
    <w:p w14:paraId="5F160AFC" w14:textId="77777777" w:rsidR="002A6D9C" w:rsidRDefault="002A6D9C" w:rsidP="002A6D9C">
      <w:pPr>
        <w:pStyle w:val="DELWPbodyaftertablediagram"/>
      </w:pPr>
      <w:r w:rsidRPr="00861AC3">
        <w:rPr>
          <w:rStyle w:val="Strong"/>
          <w:b/>
          <w:bCs/>
        </w:rPr>
        <w:t>Adjectives</w:t>
      </w:r>
      <w:r w:rsidRPr="00647A7F">
        <w:rPr>
          <w:rStyle w:val="Strong"/>
        </w:rPr>
        <w:t>:</w:t>
      </w:r>
      <w:r>
        <w:t xml:space="preserve"> modify (describe, define or evaluate) a noun or pronoun. Avoid using emotive adjectives and ensure any unclear adjectives are substantiated. For example, by explaining what comprises an ‘attractive’ space where this is sought in policy.</w:t>
      </w:r>
    </w:p>
    <w:tbl>
      <w:tblPr>
        <w:tblStyle w:val="DELWPhighlighttable"/>
        <w:tblW w:w="9242" w:type="dxa"/>
        <w:tblInd w:w="0" w:type="dxa"/>
        <w:tblLook w:val="0400" w:firstRow="0" w:lastRow="0" w:firstColumn="0" w:lastColumn="0" w:noHBand="0" w:noVBand="1"/>
      </w:tblPr>
      <w:tblGrid>
        <w:gridCol w:w="9242"/>
      </w:tblGrid>
      <w:tr w:rsidR="002A6D9C" w:rsidRPr="001744FC" w14:paraId="66C9A49D" w14:textId="77777777">
        <w:trPr>
          <w:cantSplit/>
        </w:trPr>
        <w:tc>
          <w:tcPr>
            <w:tcW w:w="9242" w:type="dxa"/>
          </w:tcPr>
          <w:p w14:paraId="6BB0556A" w14:textId="5D538B89" w:rsidR="002A6D9C" w:rsidRPr="00283717" w:rsidRDefault="008D3601">
            <w:pPr>
              <w:pStyle w:val="DELWPexamplebody"/>
            </w:pPr>
            <w:r>
              <w:t>a</w:t>
            </w:r>
            <w:r w:rsidR="002A6D9C" w:rsidRPr="00AB3295">
              <w:t>ttractive, tall, functional, safe, compact, convenient</w:t>
            </w:r>
          </w:p>
        </w:tc>
      </w:tr>
    </w:tbl>
    <w:p w14:paraId="60BD0475" w14:textId="77777777" w:rsidR="002A6D9C" w:rsidRDefault="002A6D9C" w:rsidP="002A6D9C">
      <w:pPr>
        <w:pStyle w:val="Head5"/>
      </w:pPr>
      <w:r>
        <w:t>Headings</w:t>
      </w:r>
    </w:p>
    <w:p w14:paraId="4E60EC26" w14:textId="4FE38F85" w:rsidR="002A6D9C" w:rsidRDefault="002A6D9C" w:rsidP="002A6D9C">
      <w:pPr>
        <w:pStyle w:val="BodyText1"/>
      </w:pPr>
      <w:r>
        <w:t xml:space="preserve">Refer to the style sheet in the </w:t>
      </w:r>
      <w:r w:rsidRPr="00824368">
        <w:rPr>
          <w:i/>
          <w:iCs/>
        </w:rPr>
        <w:t>Ministerial Direction</w:t>
      </w:r>
      <w:r>
        <w:t xml:space="preserve"> </w:t>
      </w:r>
      <w:r w:rsidR="00824368">
        <w:t xml:space="preserve">- </w:t>
      </w:r>
      <w:r w:rsidRPr="007E64CD">
        <w:rPr>
          <w:rStyle w:val="Emphasis"/>
        </w:rPr>
        <w:t>The Form and Content of Planning Schemes</w:t>
      </w:r>
      <w:r>
        <w:t xml:space="preserve"> for the correct styles to use.</w:t>
      </w:r>
    </w:p>
    <w:p w14:paraId="77503A01" w14:textId="77777777" w:rsidR="002A6D9C" w:rsidRDefault="002A6D9C" w:rsidP="002A6D9C">
      <w:pPr>
        <w:pStyle w:val="Head5"/>
      </w:pPr>
      <w:r>
        <w:t>Inverse statements</w:t>
      </w:r>
    </w:p>
    <w:p w14:paraId="5BCE2E26" w14:textId="77777777" w:rsidR="002A6D9C" w:rsidRPr="009E170D" w:rsidRDefault="002A6D9C" w:rsidP="002A6D9C">
      <w:pPr>
        <w:pStyle w:val="BodyText1"/>
      </w:pPr>
      <w:r>
        <w:t>Consistent with avoiding repeated content in provisions, avoid restating a provision using inversed wording. The repetition does not make the provision stronger.</w:t>
      </w:r>
    </w:p>
    <w:tbl>
      <w:tblPr>
        <w:tblStyle w:val="DELWPhighlighttable"/>
        <w:tblW w:w="9410" w:type="dxa"/>
        <w:tblInd w:w="0" w:type="dxa"/>
        <w:tblLook w:val="0400" w:firstRow="0" w:lastRow="0" w:firstColumn="0" w:lastColumn="0" w:noHBand="0" w:noVBand="1"/>
      </w:tblPr>
      <w:tblGrid>
        <w:gridCol w:w="635"/>
        <w:gridCol w:w="8775"/>
      </w:tblGrid>
      <w:tr w:rsidR="0019685E" w:rsidRPr="001744FC" w14:paraId="5E79123F" w14:textId="77777777" w:rsidTr="00FA65B3">
        <w:trPr>
          <w:cantSplit/>
        </w:trPr>
        <w:tc>
          <w:tcPr>
            <w:tcW w:w="635" w:type="dxa"/>
            <w:vMerge w:val="restart"/>
          </w:tcPr>
          <w:p w14:paraId="0FCD5654" w14:textId="4F0C7CE2" w:rsidR="0019685E" w:rsidRPr="009E170D" w:rsidRDefault="0019685E" w:rsidP="0019685E">
            <w:pPr>
              <w:pStyle w:val="Symbol"/>
              <w:jc w:val="center"/>
            </w:pPr>
            <w:r>
              <w:lastRenderedPageBreak/>
              <w:sym w:font="Wingdings" w:char="F0FB"/>
            </w:r>
          </w:p>
        </w:tc>
        <w:tc>
          <w:tcPr>
            <w:tcW w:w="0" w:type="auto"/>
          </w:tcPr>
          <w:p w14:paraId="537584EB" w14:textId="77777777" w:rsidR="0019685E" w:rsidRPr="001744FC" w:rsidRDefault="0019685E" w:rsidP="0019685E">
            <w:pPr>
              <w:pStyle w:val="DELWPexamplebody"/>
              <w:spacing w:before="60" w:after="60" w:line="240" w:lineRule="auto"/>
            </w:pPr>
            <w:r w:rsidRPr="00E5219B">
              <w:t xml:space="preserve">Gaming machines should only </w:t>
            </w:r>
            <w:proofErr w:type="gramStart"/>
            <w:r w:rsidRPr="00E5219B">
              <w:t>be located in</w:t>
            </w:r>
            <w:proofErr w:type="gramEnd"/>
            <w:r w:rsidRPr="00E5219B">
              <w:t xml:space="preserve"> neighbourhoods with a low concentration of gaming machines.</w:t>
            </w:r>
          </w:p>
        </w:tc>
      </w:tr>
      <w:tr w:rsidR="0019685E" w:rsidRPr="001744FC" w14:paraId="4BFD08F0" w14:textId="77777777">
        <w:trPr>
          <w:cantSplit/>
        </w:trPr>
        <w:tc>
          <w:tcPr>
            <w:tcW w:w="635" w:type="dxa"/>
            <w:vMerge/>
          </w:tcPr>
          <w:p w14:paraId="65BDE3C9" w14:textId="489A51E7" w:rsidR="0019685E" w:rsidRPr="00DF5417" w:rsidRDefault="0019685E">
            <w:pPr>
              <w:pStyle w:val="Symbol"/>
            </w:pPr>
          </w:p>
        </w:tc>
        <w:tc>
          <w:tcPr>
            <w:tcW w:w="0" w:type="auto"/>
          </w:tcPr>
          <w:p w14:paraId="40D87B3F" w14:textId="77777777" w:rsidR="0019685E" w:rsidRPr="00E5219B" w:rsidRDefault="0019685E" w:rsidP="0019685E">
            <w:pPr>
              <w:pStyle w:val="DELWPexamplebody"/>
              <w:spacing w:before="60" w:after="60" w:line="240" w:lineRule="auto"/>
            </w:pPr>
            <w:r w:rsidRPr="00E5219B">
              <w:t xml:space="preserve">Gaming machines should not </w:t>
            </w:r>
            <w:proofErr w:type="gramStart"/>
            <w:r w:rsidRPr="00E5219B">
              <w:t>be located in</w:t>
            </w:r>
            <w:proofErr w:type="gramEnd"/>
            <w:r w:rsidRPr="00E5219B">
              <w:t xml:space="preserve"> neighbourhoods with a high concentration of gaming machines.</w:t>
            </w:r>
          </w:p>
        </w:tc>
      </w:tr>
    </w:tbl>
    <w:p w14:paraId="454CABFD" w14:textId="77777777" w:rsidR="002A6D9C" w:rsidRPr="009E170D" w:rsidRDefault="002A6D9C" w:rsidP="002A6D9C">
      <w:pPr>
        <w:pStyle w:val="BodyText1"/>
      </w:pPr>
    </w:p>
    <w:tbl>
      <w:tblPr>
        <w:tblStyle w:val="DELWPhighlighttable"/>
        <w:tblW w:w="9410" w:type="dxa"/>
        <w:tblInd w:w="0" w:type="dxa"/>
        <w:tblLook w:val="0400" w:firstRow="0" w:lastRow="0" w:firstColumn="0" w:lastColumn="0" w:noHBand="0" w:noVBand="1"/>
      </w:tblPr>
      <w:tblGrid>
        <w:gridCol w:w="637"/>
        <w:gridCol w:w="8773"/>
      </w:tblGrid>
      <w:tr w:rsidR="0019685E" w:rsidRPr="001744FC" w14:paraId="3820CD75" w14:textId="77777777" w:rsidTr="00FA65B3">
        <w:trPr>
          <w:cantSplit/>
        </w:trPr>
        <w:tc>
          <w:tcPr>
            <w:tcW w:w="637" w:type="dxa"/>
            <w:vMerge w:val="restart"/>
          </w:tcPr>
          <w:p w14:paraId="296EE9B8" w14:textId="7CB49326" w:rsidR="0019685E" w:rsidRPr="00E5219B" w:rsidRDefault="0019685E" w:rsidP="0019685E">
            <w:pPr>
              <w:pStyle w:val="Symbol"/>
              <w:jc w:val="center"/>
            </w:pPr>
            <w:r>
              <w:sym w:font="Wingdings" w:char="F0FB"/>
            </w:r>
          </w:p>
        </w:tc>
        <w:tc>
          <w:tcPr>
            <w:tcW w:w="0" w:type="auto"/>
          </w:tcPr>
          <w:p w14:paraId="1F090566" w14:textId="77777777" w:rsidR="0019685E" w:rsidRPr="00E5219B" w:rsidRDefault="0019685E" w:rsidP="0019685E">
            <w:pPr>
              <w:pStyle w:val="DELWPexamplebody"/>
              <w:spacing w:before="60" w:after="60" w:line="240" w:lineRule="auto"/>
            </w:pPr>
            <w:r w:rsidRPr="00E5219B">
              <w:t>Discourage dwellings that are not associated with the agricultural use of the land.</w:t>
            </w:r>
          </w:p>
        </w:tc>
      </w:tr>
      <w:tr w:rsidR="0019685E" w:rsidRPr="001744FC" w14:paraId="532F2F0E" w14:textId="77777777">
        <w:trPr>
          <w:cantSplit/>
        </w:trPr>
        <w:tc>
          <w:tcPr>
            <w:tcW w:w="637" w:type="dxa"/>
            <w:vMerge/>
          </w:tcPr>
          <w:p w14:paraId="5D76CC35" w14:textId="758903D1" w:rsidR="0019685E" w:rsidRPr="00E5219B" w:rsidRDefault="0019685E">
            <w:pPr>
              <w:pStyle w:val="Symbol"/>
            </w:pPr>
          </w:p>
        </w:tc>
        <w:tc>
          <w:tcPr>
            <w:tcW w:w="0" w:type="auto"/>
          </w:tcPr>
          <w:p w14:paraId="3184EAC4" w14:textId="77777777" w:rsidR="0019685E" w:rsidRPr="00E5219B" w:rsidRDefault="0019685E" w:rsidP="0019685E">
            <w:pPr>
              <w:pStyle w:val="DELWPexamplebody"/>
              <w:spacing w:before="60" w:after="60" w:line="240" w:lineRule="auto"/>
            </w:pPr>
            <w:r w:rsidRPr="00E5219B">
              <w:t>Support dwellings only where they are associated with the agricultural use of the land.</w:t>
            </w:r>
          </w:p>
        </w:tc>
      </w:tr>
    </w:tbl>
    <w:p w14:paraId="542CFB5C" w14:textId="77777777" w:rsidR="002A6D9C" w:rsidRDefault="002A6D9C" w:rsidP="002A6D9C">
      <w:pPr>
        <w:pStyle w:val="Head5"/>
      </w:pPr>
      <w:r w:rsidRPr="00116420">
        <w:t>Jargon</w:t>
      </w:r>
    </w:p>
    <w:p w14:paraId="5CB3D901" w14:textId="77777777" w:rsidR="002A6D9C" w:rsidRDefault="002A6D9C" w:rsidP="002A6D9C">
      <w:pPr>
        <w:pStyle w:val="BodyText1"/>
      </w:pPr>
      <w:r w:rsidRPr="00503FDB">
        <w:t xml:space="preserve">Use professional language. </w:t>
      </w:r>
      <w:r w:rsidRPr="009D67AE">
        <w:t>Do not use</w:t>
      </w:r>
      <w:r w:rsidRPr="009D67AE">
        <w:rPr>
          <w:rFonts w:ascii="Arial Narrow" w:eastAsiaTheme="minorHAnsi" w:hAnsi="Arial Narrow" w:cstheme="minorBidi"/>
          <w:b/>
        </w:rPr>
        <w:t xml:space="preserve"> </w:t>
      </w:r>
      <w:r w:rsidRPr="002442B4">
        <w:t>emotive terms</w:t>
      </w:r>
      <w:r>
        <w:t>,</w:t>
      </w:r>
      <w:r w:rsidRPr="002442B4">
        <w:t xml:space="preserve"> </w:t>
      </w:r>
      <w:r w:rsidRPr="009D67AE">
        <w:t>colloquialisms or popular speech in statutory writing.</w:t>
      </w:r>
    </w:p>
    <w:p w14:paraId="7A98DA5E" w14:textId="5A99B91B" w:rsidR="002A6D9C" w:rsidRDefault="002A6D9C" w:rsidP="002A6D9C">
      <w:pPr>
        <w:pStyle w:val="BodyText1"/>
      </w:pPr>
      <w:r w:rsidRPr="009D67AE">
        <w:rPr>
          <w:lang w:val="en-US"/>
        </w:rPr>
        <w:t>Keep language simple and professional and avoid</w:t>
      </w:r>
      <w:r w:rsidR="00FB32E0">
        <w:rPr>
          <w:lang w:val="en-US"/>
        </w:rPr>
        <w:t xml:space="preserve"> emotive,</w:t>
      </w:r>
      <w:r w:rsidRPr="009D67AE">
        <w:rPr>
          <w:lang w:val="en-US"/>
        </w:rPr>
        <w:t xml:space="preserve"> </w:t>
      </w:r>
      <w:proofErr w:type="gramStart"/>
      <w:r w:rsidRPr="009D67AE">
        <w:rPr>
          <w:lang w:val="en-US"/>
        </w:rPr>
        <w:t>casual</w:t>
      </w:r>
      <w:proofErr w:type="gramEnd"/>
      <w:r w:rsidRPr="009D67AE">
        <w:rPr>
          <w:lang w:val="en-US"/>
        </w:rPr>
        <w:t xml:space="preserve"> or popular conversational language or terms that are uncertain.</w:t>
      </w:r>
      <w:r>
        <w:rPr>
          <w:lang w:val="en-US"/>
        </w:rPr>
        <w:t xml:space="preserve"> </w:t>
      </w:r>
      <w:r w:rsidRPr="009D67AE">
        <w:rPr>
          <w:lang w:val="en-US"/>
        </w:rPr>
        <w:t>For example, where a policy seeks to make a place ‘</w:t>
      </w:r>
      <w:proofErr w:type="spellStart"/>
      <w:r w:rsidRPr="009D67AE">
        <w:rPr>
          <w:lang w:val="en-US"/>
        </w:rPr>
        <w:t>colourful</w:t>
      </w:r>
      <w:proofErr w:type="spellEnd"/>
      <w:r w:rsidRPr="009D67AE">
        <w:rPr>
          <w:lang w:val="en-US"/>
        </w:rPr>
        <w:t>’, ‘exciting’, ‘</w:t>
      </w:r>
      <w:r w:rsidRPr="009D67AE">
        <w:t>vibrant’, ‘cosmopolitan’ or ‘green’</w:t>
      </w:r>
      <w:r>
        <w:t>,</w:t>
      </w:r>
      <w:r w:rsidRPr="009D67AE">
        <w:t xml:space="preserve"> or where you may seek ‘statement’ design.</w:t>
      </w:r>
      <w:r>
        <w:t xml:space="preserve"> </w:t>
      </w:r>
      <w:r w:rsidRPr="009D67AE">
        <w:t xml:space="preserve">Using abstract terms makes your message </w:t>
      </w:r>
      <w:r>
        <w:t>ambiguous</w:t>
      </w:r>
      <w:r w:rsidRPr="009D67AE">
        <w:t>.</w:t>
      </w:r>
    </w:p>
    <w:p w14:paraId="54FE54A3" w14:textId="77777777" w:rsidR="002A6D9C" w:rsidRDefault="002A6D9C" w:rsidP="002A6D9C">
      <w:pPr>
        <w:pStyle w:val="BodyText1"/>
      </w:pPr>
      <w:r>
        <w:t>Avoid using</w:t>
      </w:r>
      <w:r w:rsidRPr="002442B4">
        <w:t xml:space="preserve"> colloquial terms, including planning </w:t>
      </w:r>
      <w:r>
        <w:t xml:space="preserve">dialect such as </w:t>
      </w:r>
      <w:r w:rsidRPr="002442B4">
        <w:t>‘permit trigger’</w:t>
      </w:r>
      <w:r>
        <w:t xml:space="preserve"> and ‘as-of-right’, so that new or infrequent system users, or less-experienced professionals are not alienated or confused by unknown terms.</w:t>
      </w:r>
    </w:p>
    <w:tbl>
      <w:tblPr>
        <w:tblStyle w:val="DELWPhighlighttable"/>
        <w:tblW w:w="9214" w:type="dxa"/>
        <w:tblInd w:w="0" w:type="dxa"/>
        <w:tblLook w:val="0400" w:firstRow="0" w:lastRow="0" w:firstColumn="0" w:lastColumn="0" w:noHBand="0" w:noVBand="1"/>
      </w:tblPr>
      <w:tblGrid>
        <w:gridCol w:w="4565"/>
        <w:gridCol w:w="4649"/>
      </w:tblGrid>
      <w:tr w:rsidR="002A6D9C" w:rsidRPr="001744FC" w14:paraId="0D02C081" w14:textId="77777777">
        <w:trPr>
          <w:cantSplit/>
        </w:trPr>
        <w:tc>
          <w:tcPr>
            <w:tcW w:w="4565" w:type="dxa"/>
          </w:tcPr>
          <w:p w14:paraId="3C01E13C" w14:textId="77777777" w:rsidR="002A6D9C" w:rsidRPr="00FE43C9" w:rsidRDefault="002A6D9C">
            <w:pPr>
              <w:pStyle w:val="DELWPexamplebody"/>
              <w:spacing w:before="0"/>
            </w:pPr>
            <w:proofErr w:type="gramStart"/>
            <w:r w:rsidRPr="00FE43C9">
              <w:rPr>
                <w:rFonts w:ascii="Wingdings" w:eastAsia="Wingdings" w:hAnsi="Wingdings" w:cs="Wingdings"/>
                <w:color w:val="006666"/>
                <w:sz w:val="28"/>
                <w:szCs w:val="28"/>
              </w:rPr>
              <w:t>û</w:t>
            </w:r>
            <w:r w:rsidRPr="00FE43C9">
              <w:rPr>
                <w:color w:val="00B1A8"/>
                <w:sz w:val="28"/>
                <w:szCs w:val="28"/>
              </w:rPr>
              <w:t xml:space="preserve">  </w:t>
            </w:r>
            <w:r w:rsidRPr="00FE43C9">
              <w:t>‘</w:t>
            </w:r>
            <w:proofErr w:type="gramEnd"/>
            <w:r w:rsidRPr="00FE43C9">
              <w:t>as-of-right’</w:t>
            </w:r>
          </w:p>
        </w:tc>
        <w:tc>
          <w:tcPr>
            <w:tcW w:w="4649" w:type="dxa"/>
          </w:tcPr>
          <w:p w14:paraId="2F2A837B" w14:textId="77777777" w:rsidR="002A6D9C" w:rsidRPr="00FE43C9" w:rsidRDefault="002A6D9C">
            <w:pPr>
              <w:pStyle w:val="DELWPexamplebody"/>
              <w:spacing w:before="0"/>
            </w:pPr>
            <w:r w:rsidRPr="00FE43C9">
              <w:rPr>
                <w:rFonts w:ascii="Wingdings" w:eastAsia="Wingdings" w:hAnsi="Wingdings" w:cs="Wingdings"/>
                <w:color w:val="006666"/>
                <w:sz w:val="28"/>
                <w:szCs w:val="28"/>
              </w:rPr>
              <w:t>ü</w:t>
            </w:r>
            <w:proofErr w:type="gramStart"/>
            <w:r w:rsidRPr="00FE43C9" w:rsidDel="00843F6C">
              <w:t xml:space="preserve"> </w:t>
            </w:r>
            <w:r w:rsidRPr="00FE43C9">
              <w:t xml:space="preserve">  ‘</w:t>
            </w:r>
            <w:proofErr w:type="gramEnd"/>
            <w:r w:rsidRPr="00FE43C9">
              <w:t xml:space="preserve">No permit required’ </w:t>
            </w:r>
          </w:p>
        </w:tc>
      </w:tr>
    </w:tbl>
    <w:p w14:paraId="3D9FDEE5" w14:textId="77777777" w:rsidR="002A6D9C" w:rsidRDefault="002A6D9C" w:rsidP="002A6D9C">
      <w:pPr>
        <w:pStyle w:val="Head5"/>
      </w:pPr>
      <w:r>
        <w:t>Latin and words from other languages</w:t>
      </w:r>
    </w:p>
    <w:p w14:paraId="3936BC5A" w14:textId="77777777" w:rsidR="002A6D9C" w:rsidRDefault="002A6D9C" w:rsidP="002A6D9C">
      <w:pPr>
        <w:pStyle w:val="BodyText1"/>
      </w:pPr>
      <w:r>
        <w:t>Do not use words from languages other than English:</w:t>
      </w:r>
    </w:p>
    <w:tbl>
      <w:tblPr>
        <w:tblStyle w:val="DELWPhighlighttable"/>
        <w:tblW w:w="9242" w:type="dxa"/>
        <w:tblInd w:w="0" w:type="dxa"/>
        <w:tblLook w:val="0400" w:firstRow="0" w:lastRow="0" w:firstColumn="0" w:lastColumn="0" w:noHBand="0" w:noVBand="1"/>
      </w:tblPr>
      <w:tblGrid>
        <w:gridCol w:w="9242"/>
      </w:tblGrid>
      <w:tr w:rsidR="002A6D9C" w:rsidRPr="001744FC" w14:paraId="733F6A54" w14:textId="77777777">
        <w:trPr>
          <w:cantSplit/>
        </w:trPr>
        <w:tc>
          <w:tcPr>
            <w:tcW w:w="9242" w:type="dxa"/>
          </w:tcPr>
          <w:p w14:paraId="03E49547" w14:textId="77777777" w:rsidR="002A6D9C" w:rsidRPr="00554C07" w:rsidRDefault="002A6D9C">
            <w:pPr>
              <w:pStyle w:val="DELWPexamplebody"/>
              <w:spacing w:before="0"/>
            </w:pPr>
            <w:r w:rsidRPr="00FE43C9">
              <w:t>Ultra vires, pro forma</w:t>
            </w:r>
          </w:p>
        </w:tc>
      </w:tr>
    </w:tbl>
    <w:p w14:paraId="62DF18CB" w14:textId="77777777" w:rsidR="002A6D9C" w:rsidRDefault="002A6D9C" w:rsidP="002A6D9C">
      <w:pPr>
        <w:pStyle w:val="BodyText1"/>
      </w:pPr>
      <w:r>
        <w:t>Use a plain English term instead. If such a word must be used, use italics and ensure the meaning is clear.</w:t>
      </w:r>
    </w:p>
    <w:p w14:paraId="23C6FC63" w14:textId="77777777" w:rsidR="002A6D9C" w:rsidRDefault="002A6D9C" w:rsidP="002A6D9C">
      <w:pPr>
        <w:pStyle w:val="Head5"/>
      </w:pPr>
      <w:r>
        <w:t>Measurements</w:t>
      </w:r>
    </w:p>
    <w:p w14:paraId="23CD373C" w14:textId="77777777" w:rsidR="002A6D9C" w:rsidRDefault="002A6D9C" w:rsidP="002A6D9C">
      <w:pPr>
        <w:pStyle w:val="BodyText1"/>
      </w:pPr>
      <w:r>
        <w:t>Always spell measurements in full in the body of your text. Only use abbreviations in tables and graphs:</w:t>
      </w:r>
    </w:p>
    <w:tbl>
      <w:tblPr>
        <w:tblStyle w:val="DELWPhighlighttable"/>
        <w:tblW w:w="9242" w:type="dxa"/>
        <w:tblInd w:w="0" w:type="dxa"/>
        <w:tblLook w:val="0400" w:firstRow="0" w:lastRow="0" w:firstColumn="0" w:lastColumn="0" w:noHBand="0" w:noVBand="1"/>
      </w:tblPr>
      <w:tblGrid>
        <w:gridCol w:w="1871"/>
        <w:gridCol w:w="7371"/>
      </w:tblGrid>
      <w:tr w:rsidR="002A6D9C" w:rsidRPr="001744FC" w14:paraId="09833A42" w14:textId="77777777">
        <w:trPr>
          <w:cantSplit/>
        </w:trPr>
        <w:tc>
          <w:tcPr>
            <w:tcW w:w="1871" w:type="dxa"/>
          </w:tcPr>
          <w:p w14:paraId="12CCC766" w14:textId="77777777" w:rsidR="002A6D9C" w:rsidRPr="00FE43C9" w:rsidRDefault="002A6D9C">
            <w:pPr>
              <w:pStyle w:val="DELWPexamplebody"/>
              <w:spacing w:before="0"/>
            </w:pPr>
            <w:r w:rsidRPr="00FE43C9">
              <w:t xml:space="preserve">hectare </w:t>
            </w:r>
          </w:p>
        </w:tc>
        <w:tc>
          <w:tcPr>
            <w:tcW w:w="7371" w:type="dxa"/>
          </w:tcPr>
          <w:p w14:paraId="550A5C49" w14:textId="5232D507" w:rsidR="002A6D9C" w:rsidRPr="00FE43C9" w:rsidRDefault="00E51BD0">
            <w:pPr>
              <w:pStyle w:val="DELWPexamplebody"/>
              <w:spacing w:before="0"/>
            </w:pPr>
            <w:r w:rsidRPr="00FE43C9">
              <w:t>ha</w:t>
            </w:r>
          </w:p>
        </w:tc>
      </w:tr>
      <w:tr w:rsidR="002A6D9C" w:rsidRPr="001744FC" w14:paraId="518975F1" w14:textId="77777777">
        <w:tc>
          <w:tcPr>
            <w:tcW w:w="1871" w:type="dxa"/>
          </w:tcPr>
          <w:p w14:paraId="0A5EB25F" w14:textId="77777777" w:rsidR="002A6D9C" w:rsidRPr="00FE43C9" w:rsidRDefault="002A6D9C">
            <w:pPr>
              <w:pStyle w:val="DELWPexamplebody"/>
              <w:spacing w:before="0"/>
            </w:pPr>
            <w:r w:rsidRPr="00FE43C9">
              <w:t>metre</w:t>
            </w:r>
          </w:p>
        </w:tc>
        <w:tc>
          <w:tcPr>
            <w:tcW w:w="7371" w:type="dxa"/>
          </w:tcPr>
          <w:p w14:paraId="6DEDA96C" w14:textId="7AC1346B" w:rsidR="002A6D9C" w:rsidRPr="00FE43C9" w:rsidRDefault="00E51BD0">
            <w:pPr>
              <w:pStyle w:val="DELWPexamplebody"/>
              <w:spacing w:before="0"/>
            </w:pPr>
            <w:r w:rsidRPr="00FE43C9">
              <w:t>m</w:t>
            </w:r>
          </w:p>
        </w:tc>
      </w:tr>
      <w:tr w:rsidR="002A6D9C" w:rsidRPr="001744FC" w14:paraId="43D11F43" w14:textId="77777777">
        <w:tc>
          <w:tcPr>
            <w:tcW w:w="1871" w:type="dxa"/>
          </w:tcPr>
          <w:p w14:paraId="217E72FF" w14:textId="77777777" w:rsidR="002A6D9C" w:rsidRPr="00FE43C9" w:rsidRDefault="002A6D9C">
            <w:pPr>
              <w:pStyle w:val="DELWPexamplebody"/>
              <w:spacing w:before="0"/>
            </w:pPr>
            <w:r w:rsidRPr="00FE43C9">
              <w:t>kilogram</w:t>
            </w:r>
          </w:p>
        </w:tc>
        <w:tc>
          <w:tcPr>
            <w:tcW w:w="7371" w:type="dxa"/>
          </w:tcPr>
          <w:p w14:paraId="0B0E6F51" w14:textId="13A08AD2" w:rsidR="002A6D9C" w:rsidRPr="00FE43C9" w:rsidRDefault="00E51BD0">
            <w:pPr>
              <w:pStyle w:val="DELWPexamplebody"/>
              <w:spacing w:before="0"/>
            </w:pPr>
            <w:r w:rsidRPr="00FE43C9">
              <w:t>kg</w:t>
            </w:r>
          </w:p>
        </w:tc>
      </w:tr>
      <w:tr w:rsidR="002A6D9C" w:rsidRPr="001744FC" w14:paraId="1B100852" w14:textId="77777777">
        <w:tc>
          <w:tcPr>
            <w:tcW w:w="1871" w:type="dxa"/>
          </w:tcPr>
          <w:p w14:paraId="48A926F4" w14:textId="77777777" w:rsidR="002A6D9C" w:rsidRPr="00FE43C9" w:rsidRDefault="002A6D9C">
            <w:pPr>
              <w:pStyle w:val="DELWPexamplebody"/>
              <w:spacing w:before="0"/>
            </w:pPr>
            <w:r w:rsidRPr="00FE43C9">
              <w:t>millimetre</w:t>
            </w:r>
          </w:p>
        </w:tc>
        <w:tc>
          <w:tcPr>
            <w:tcW w:w="7371" w:type="dxa"/>
          </w:tcPr>
          <w:p w14:paraId="1C4841C6" w14:textId="6F99F1F2" w:rsidR="002A6D9C" w:rsidRPr="00FE43C9" w:rsidRDefault="00E51BD0">
            <w:pPr>
              <w:pStyle w:val="DELWPexamplebody"/>
              <w:spacing w:before="0"/>
            </w:pPr>
            <w:r w:rsidRPr="00FE43C9">
              <w:t>mm</w:t>
            </w:r>
          </w:p>
        </w:tc>
      </w:tr>
    </w:tbl>
    <w:p w14:paraId="511BFEE4" w14:textId="77777777" w:rsidR="002A6D9C" w:rsidRDefault="002A6D9C" w:rsidP="002A6D9C">
      <w:pPr>
        <w:pStyle w:val="DELWPbodyaftertablediagram"/>
      </w:pPr>
      <w:r>
        <w:t>Symbols for units of measurement do not use full stops and are never plural:</w:t>
      </w:r>
    </w:p>
    <w:tbl>
      <w:tblPr>
        <w:tblStyle w:val="DELWPhighlighttable"/>
        <w:tblW w:w="9242" w:type="dxa"/>
        <w:tblInd w:w="0" w:type="dxa"/>
        <w:tblLook w:val="0400" w:firstRow="0" w:lastRow="0" w:firstColumn="0" w:lastColumn="0" w:noHBand="0" w:noVBand="1"/>
      </w:tblPr>
      <w:tblGrid>
        <w:gridCol w:w="9242"/>
      </w:tblGrid>
      <w:tr w:rsidR="002A6D9C" w:rsidRPr="001744FC" w14:paraId="50CC39DF" w14:textId="77777777">
        <w:trPr>
          <w:cantSplit/>
        </w:trPr>
        <w:tc>
          <w:tcPr>
            <w:tcW w:w="9242" w:type="dxa"/>
          </w:tcPr>
          <w:p w14:paraId="3A0E4725" w14:textId="77777777" w:rsidR="002A6D9C" w:rsidRPr="00B56A1F" w:rsidRDefault="002A6D9C">
            <w:pPr>
              <w:pStyle w:val="DELWPexamplebody"/>
              <w:spacing w:before="0"/>
            </w:pPr>
            <w:r w:rsidRPr="00FE43C9">
              <w:t>43.5 ha and 20 kg</w:t>
            </w:r>
          </w:p>
        </w:tc>
      </w:tr>
    </w:tbl>
    <w:p w14:paraId="45D4FB46" w14:textId="77777777" w:rsidR="002A6D9C" w:rsidRDefault="002A6D9C" w:rsidP="002A6D9C">
      <w:pPr>
        <w:pStyle w:val="DELWPbodyaftertablediagram"/>
      </w:pPr>
      <w:r>
        <w:t>Include a space between the number and the unit of measurement.</w:t>
      </w:r>
    </w:p>
    <w:p w14:paraId="16B88F6A" w14:textId="77777777" w:rsidR="002A6D9C" w:rsidRDefault="002A6D9C" w:rsidP="002A6D9C">
      <w:pPr>
        <w:pStyle w:val="BodyText1"/>
      </w:pPr>
      <w:r>
        <w:lastRenderedPageBreak/>
        <w:t xml:space="preserve">Use numerals for measurement when they are accompanied by a symbol. Also use numerals in mathematical contexts (such as equations and ratios) and in </w:t>
      </w:r>
      <w:r w:rsidRPr="008B54A2">
        <w:t>tables:</w:t>
      </w:r>
    </w:p>
    <w:tbl>
      <w:tblPr>
        <w:tblStyle w:val="DELWPhighlighttable"/>
        <w:tblW w:w="9242" w:type="dxa"/>
        <w:tblInd w:w="0" w:type="dxa"/>
        <w:tblLook w:val="0400" w:firstRow="0" w:lastRow="0" w:firstColumn="0" w:lastColumn="0" w:noHBand="0" w:noVBand="1"/>
      </w:tblPr>
      <w:tblGrid>
        <w:gridCol w:w="9242"/>
      </w:tblGrid>
      <w:tr w:rsidR="002A6D9C" w:rsidRPr="001744FC" w14:paraId="7BE060B5" w14:textId="77777777">
        <w:trPr>
          <w:cantSplit/>
        </w:trPr>
        <w:tc>
          <w:tcPr>
            <w:tcW w:w="9242" w:type="dxa"/>
          </w:tcPr>
          <w:p w14:paraId="416286F6" w14:textId="58476A65" w:rsidR="002A6D9C" w:rsidRPr="00B56A1F" w:rsidRDefault="002A6D9C">
            <w:pPr>
              <w:pStyle w:val="DELWPexamplebody"/>
              <w:spacing w:before="0"/>
            </w:pPr>
            <w:r w:rsidRPr="008506C7">
              <w:t xml:space="preserve">3 </w:t>
            </w:r>
            <w:proofErr w:type="gramStart"/>
            <w:r w:rsidRPr="008506C7">
              <w:t>km,</w:t>
            </w:r>
            <w:r w:rsidR="00767128">
              <w:t xml:space="preserve"> </w:t>
            </w:r>
            <w:r w:rsidRPr="008506C7">
              <w:t xml:space="preserve"> 9</w:t>
            </w:r>
            <w:proofErr w:type="gramEnd"/>
            <w:r w:rsidRPr="008506C7">
              <w:t xml:space="preserve">°C, </w:t>
            </w:r>
            <w:r w:rsidR="00767128">
              <w:t xml:space="preserve"> </w:t>
            </w:r>
            <w:r w:rsidRPr="008506C7">
              <w:t>$3.50,</w:t>
            </w:r>
            <w:r w:rsidR="00767128">
              <w:t xml:space="preserve"> </w:t>
            </w:r>
            <w:r w:rsidRPr="008506C7">
              <w:t xml:space="preserve"> 2+2=4</w:t>
            </w:r>
          </w:p>
        </w:tc>
      </w:tr>
    </w:tbl>
    <w:p w14:paraId="69EAFBAF" w14:textId="77777777" w:rsidR="002A6D9C" w:rsidRDefault="002A6D9C" w:rsidP="002A6D9C">
      <w:pPr>
        <w:pStyle w:val="Head5"/>
      </w:pPr>
      <w:r>
        <w:t>Numbers</w:t>
      </w:r>
    </w:p>
    <w:p w14:paraId="76C65332" w14:textId="77777777" w:rsidR="002A6D9C" w:rsidRDefault="002A6D9C" w:rsidP="002A6D9C">
      <w:pPr>
        <w:pStyle w:val="BodyText1"/>
      </w:pPr>
      <w:r>
        <w:t>Write numbers less than 10 in full, except for:</w:t>
      </w:r>
    </w:p>
    <w:p w14:paraId="31729136" w14:textId="77777777" w:rsidR="002A6D9C" w:rsidRDefault="002A6D9C" w:rsidP="002A6D9C">
      <w:pPr>
        <w:pStyle w:val="DELWPbullet1"/>
      </w:pPr>
      <w:r>
        <w:t>exact measurement:</w:t>
      </w:r>
    </w:p>
    <w:tbl>
      <w:tblPr>
        <w:tblStyle w:val="DELWPhighlighttable"/>
        <w:tblW w:w="8958" w:type="dxa"/>
        <w:tblInd w:w="284" w:type="dxa"/>
        <w:tblLook w:val="0400" w:firstRow="0" w:lastRow="0" w:firstColumn="0" w:lastColumn="0" w:noHBand="0" w:noVBand="1"/>
      </w:tblPr>
      <w:tblGrid>
        <w:gridCol w:w="8958"/>
      </w:tblGrid>
      <w:tr w:rsidR="002A6D9C" w:rsidRPr="00AF0510" w14:paraId="241944D5" w14:textId="77777777">
        <w:trPr>
          <w:cantSplit/>
        </w:trPr>
        <w:tc>
          <w:tcPr>
            <w:tcW w:w="8958" w:type="dxa"/>
          </w:tcPr>
          <w:p w14:paraId="13399BC3" w14:textId="77777777" w:rsidR="002A6D9C" w:rsidRPr="00AF0510" w:rsidRDefault="002A6D9C">
            <w:pPr>
              <w:pStyle w:val="DELWPexamplebody"/>
              <w:spacing w:before="0"/>
            </w:pPr>
            <w:r w:rsidRPr="00AF0510">
              <w:t>5 inches, 3 per cent</w:t>
            </w:r>
          </w:p>
        </w:tc>
      </w:tr>
    </w:tbl>
    <w:p w14:paraId="787273AC" w14:textId="77777777" w:rsidR="002A6D9C" w:rsidRPr="00AF0510" w:rsidRDefault="002A6D9C" w:rsidP="002A6D9C">
      <w:pPr>
        <w:pStyle w:val="DELWPbullet1"/>
      </w:pPr>
      <w:r w:rsidRPr="00AF0510">
        <w:t>a series of quantities:</w:t>
      </w:r>
    </w:p>
    <w:tbl>
      <w:tblPr>
        <w:tblStyle w:val="DELWPhighlighttable"/>
        <w:tblW w:w="8958" w:type="dxa"/>
        <w:tblInd w:w="284" w:type="dxa"/>
        <w:tblLook w:val="0400" w:firstRow="0" w:lastRow="0" w:firstColumn="0" w:lastColumn="0" w:noHBand="0" w:noVBand="1"/>
      </w:tblPr>
      <w:tblGrid>
        <w:gridCol w:w="8958"/>
      </w:tblGrid>
      <w:tr w:rsidR="002A6D9C" w:rsidRPr="00AF0510" w14:paraId="13A175F0" w14:textId="77777777">
        <w:trPr>
          <w:cantSplit/>
        </w:trPr>
        <w:tc>
          <w:tcPr>
            <w:tcW w:w="8958" w:type="dxa"/>
          </w:tcPr>
          <w:p w14:paraId="59CC7496" w14:textId="77777777" w:rsidR="002A6D9C" w:rsidRPr="00AF0510" w:rsidRDefault="002A6D9C">
            <w:pPr>
              <w:pStyle w:val="DELWPexamplebody"/>
              <w:spacing w:before="0"/>
            </w:pPr>
            <w:r w:rsidRPr="00AF0510">
              <w:t>2, 4, 6 then 8 groups followed</w:t>
            </w:r>
          </w:p>
        </w:tc>
      </w:tr>
    </w:tbl>
    <w:p w14:paraId="34362AB1" w14:textId="77777777" w:rsidR="002A6D9C" w:rsidRPr="00AF0510" w:rsidRDefault="002A6D9C" w:rsidP="002A6D9C">
      <w:pPr>
        <w:pStyle w:val="DELWPbullet1"/>
      </w:pPr>
      <w:r w:rsidRPr="00AF0510">
        <w:t>numbers of millions or billions:</w:t>
      </w:r>
    </w:p>
    <w:tbl>
      <w:tblPr>
        <w:tblStyle w:val="DELWPhighlighttable"/>
        <w:tblW w:w="8958" w:type="dxa"/>
        <w:tblInd w:w="284" w:type="dxa"/>
        <w:tblLook w:val="0400" w:firstRow="0" w:lastRow="0" w:firstColumn="0" w:lastColumn="0" w:noHBand="0" w:noVBand="1"/>
      </w:tblPr>
      <w:tblGrid>
        <w:gridCol w:w="8958"/>
      </w:tblGrid>
      <w:tr w:rsidR="002A6D9C" w:rsidRPr="009F418B" w14:paraId="1EDBF6C6" w14:textId="77777777">
        <w:trPr>
          <w:cantSplit/>
        </w:trPr>
        <w:tc>
          <w:tcPr>
            <w:tcW w:w="8958" w:type="dxa"/>
          </w:tcPr>
          <w:p w14:paraId="1D108C1D" w14:textId="77777777" w:rsidR="002A6D9C" w:rsidRPr="00B56A1F" w:rsidRDefault="002A6D9C">
            <w:pPr>
              <w:pStyle w:val="DELWPexamplebody"/>
              <w:spacing w:before="0"/>
            </w:pPr>
            <w:r w:rsidRPr="00AF0510">
              <w:t>$12 million</w:t>
            </w:r>
          </w:p>
        </w:tc>
      </w:tr>
    </w:tbl>
    <w:p w14:paraId="7796D348" w14:textId="77777777" w:rsidR="002A6D9C" w:rsidRDefault="002A6D9C" w:rsidP="002A6D9C">
      <w:pPr>
        <w:pStyle w:val="DELWPbodyaftertablediagram"/>
      </w:pPr>
      <w:r>
        <w:t>Numbers from 10 and above should be expressed numerically.</w:t>
      </w:r>
    </w:p>
    <w:p w14:paraId="70346AB0" w14:textId="77777777" w:rsidR="002A6D9C" w:rsidRDefault="002A6D9C" w:rsidP="002A6D9C">
      <w:pPr>
        <w:pStyle w:val="BodyText1"/>
      </w:pPr>
      <w:r>
        <w:t>Never start the beginning of a sentence with a number. If this is unavoidable, spell out the number, even if it is 10 or greater.</w:t>
      </w:r>
    </w:p>
    <w:p w14:paraId="25EDD3C1" w14:textId="77777777" w:rsidR="002A6D9C" w:rsidRDefault="002A6D9C" w:rsidP="002A6D9C">
      <w:pPr>
        <w:pStyle w:val="BodyText1"/>
      </w:pPr>
      <w:r>
        <w:t>Use commas in numbers of four digits and above.</w:t>
      </w:r>
    </w:p>
    <w:tbl>
      <w:tblPr>
        <w:tblStyle w:val="DELWPhighlighttable"/>
        <w:tblW w:w="9242" w:type="dxa"/>
        <w:tblInd w:w="0" w:type="dxa"/>
        <w:tblLook w:val="0400" w:firstRow="0" w:lastRow="0" w:firstColumn="0" w:lastColumn="0" w:noHBand="0" w:noVBand="1"/>
      </w:tblPr>
      <w:tblGrid>
        <w:gridCol w:w="9242"/>
      </w:tblGrid>
      <w:tr w:rsidR="002A6D9C" w:rsidRPr="001744FC" w14:paraId="759F2400" w14:textId="77777777">
        <w:trPr>
          <w:cantSplit/>
        </w:trPr>
        <w:tc>
          <w:tcPr>
            <w:tcW w:w="9242" w:type="dxa"/>
          </w:tcPr>
          <w:p w14:paraId="2FE169A8" w14:textId="6E91ABDF" w:rsidR="002A6D9C" w:rsidRPr="00B56A1F" w:rsidRDefault="002A6D9C">
            <w:pPr>
              <w:pStyle w:val="DELWPexamplebody"/>
              <w:spacing w:before="0"/>
            </w:pPr>
            <w:r w:rsidRPr="00AF0510">
              <w:t>4,000</w:t>
            </w:r>
            <w:r w:rsidR="0046515D">
              <w:t>,</w:t>
            </w:r>
            <w:r w:rsidRPr="00AF0510">
              <w:t xml:space="preserve"> not 4000</w:t>
            </w:r>
          </w:p>
        </w:tc>
      </w:tr>
    </w:tbl>
    <w:p w14:paraId="75350943" w14:textId="77777777" w:rsidR="002A6D9C" w:rsidRDefault="002A6D9C" w:rsidP="002A6D9C">
      <w:pPr>
        <w:pStyle w:val="DELWPbodyaftertablediagram"/>
      </w:pPr>
      <w:r>
        <w:t>In spans of numbers use a dash with no space before or after. Drop the unnecessary digits in the last part unless it makes the meaning unclear:</w:t>
      </w:r>
    </w:p>
    <w:tbl>
      <w:tblPr>
        <w:tblStyle w:val="DELWPhighlighttable"/>
        <w:tblW w:w="9242" w:type="dxa"/>
        <w:tblInd w:w="0" w:type="dxa"/>
        <w:tblLook w:val="0400" w:firstRow="0" w:lastRow="0" w:firstColumn="0" w:lastColumn="0" w:noHBand="0" w:noVBand="1"/>
      </w:tblPr>
      <w:tblGrid>
        <w:gridCol w:w="9242"/>
      </w:tblGrid>
      <w:tr w:rsidR="002A6D9C" w:rsidRPr="001744FC" w14:paraId="3F12499C" w14:textId="77777777">
        <w:trPr>
          <w:cantSplit/>
        </w:trPr>
        <w:tc>
          <w:tcPr>
            <w:tcW w:w="9242" w:type="dxa"/>
          </w:tcPr>
          <w:p w14:paraId="0EB13386" w14:textId="7E8CDA6E" w:rsidR="002A6D9C" w:rsidRPr="00B56A1F" w:rsidRDefault="002A6D9C">
            <w:pPr>
              <w:pStyle w:val="DELWPexamplebody"/>
              <w:spacing w:before="0"/>
            </w:pPr>
            <w:r w:rsidRPr="00AF0510">
              <w:t>2012–</w:t>
            </w:r>
            <w:proofErr w:type="gramStart"/>
            <w:r w:rsidRPr="00AF0510">
              <w:t xml:space="preserve">16, </w:t>
            </w:r>
            <w:r w:rsidR="00BE2F1C">
              <w:t xml:space="preserve"> </w:t>
            </w:r>
            <w:r w:rsidRPr="00AF0510">
              <w:t>23</w:t>
            </w:r>
            <w:proofErr w:type="gramEnd"/>
            <w:r w:rsidRPr="00AF0510">
              <w:t>–9</w:t>
            </w:r>
          </w:p>
        </w:tc>
      </w:tr>
    </w:tbl>
    <w:p w14:paraId="3B9ECCC6" w14:textId="77777777" w:rsidR="002A6D9C" w:rsidRDefault="002A6D9C" w:rsidP="002A6D9C">
      <w:pPr>
        <w:pStyle w:val="Head5"/>
      </w:pPr>
      <w:r>
        <w:t>Per cent</w:t>
      </w:r>
    </w:p>
    <w:p w14:paraId="56229F5F" w14:textId="77777777" w:rsidR="002A6D9C" w:rsidRDefault="002A6D9C" w:rsidP="002A6D9C">
      <w:pPr>
        <w:pStyle w:val="BodyText1"/>
      </w:pPr>
      <w:r w:rsidRPr="00C05D70">
        <w:t>The per</w:t>
      </w:r>
      <w:r>
        <w:t xml:space="preserve"> cent symbol ‘%’ may be used instead of the term ‘per cent’, particularly in tables or graphs where space is limited. Use ‘per cent’ if it follows a number written as text.</w:t>
      </w:r>
    </w:p>
    <w:p w14:paraId="0948D861" w14:textId="1FC0F95F" w:rsidR="002A6D9C" w:rsidRDefault="002A6D9C" w:rsidP="002A6D9C">
      <w:pPr>
        <w:pStyle w:val="BodyText1"/>
      </w:pPr>
      <w:r>
        <w:t xml:space="preserve">It is </w:t>
      </w:r>
      <w:r w:rsidR="00BE2F1C">
        <w:t>‘</w:t>
      </w:r>
      <w:r>
        <w:t>per cent</w:t>
      </w:r>
      <w:r w:rsidR="00BE2F1C">
        <w:t>’</w:t>
      </w:r>
      <w:r>
        <w:t xml:space="preserve"> (two words).</w:t>
      </w:r>
    </w:p>
    <w:p w14:paraId="4AA1C50C" w14:textId="77777777" w:rsidR="002A6D9C" w:rsidRDefault="002A6D9C" w:rsidP="002A6D9C">
      <w:pPr>
        <w:pStyle w:val="Head5"/>
      </w:pPr>
      <w:r w:rsidRPr="00C05D70">
        <w:t>Place names</w:t>
      </w:r>
    </w:p>
    <w:p w14:paraId="3B1145F6" w14:textId="77777777" w:rsidR="002A6D9C" w:rsidRPr="00657A77" w:rsidRDefault="002A6D9C" w:rsidP="002A6D9C">
      <w:pPr>
        <w:pStyle w:val="BodyText1"/>
      </w:pPr>
      <w:r>
        <w:t>For the spelling of Australian place names refer to the</w:t>
      </w:r>
      <w:r w:rsidRPr="00975AC3">
        <w:t xml:space="preserve"> Gazetteer of Australia Place Name Search – Geoscience Australia website</w:t>
      </w:r>
      <w:r>
        <w:t xml:space="preserve"> </w:t>
      </w:r>
      <w:r w:rsidRPr="00657A77">
        <w:t>&lt;http://www.ga.gov.au/place-names&gt;</w:t>
      </w:r>
      <w:r>
        <w:t>.</w:t>
      </w:r>
    </w:p>
    <w:p w14:paraId="20B5B7B9" w14:textId="77777777" w:rsidR="002A6D9C" w:rsidRDefault="002A6D9C" w:rsidP="002A6D9C">
      <w:pPr>
        <w:pStyle w:val="BodyText1"/>
      </w:pPr>
      <w:r>
        <w:t>Place names should be capitalised:</w:t>
      </w:r>
    </w:p>
    <w:tbl>
      <w:tblPr>
        <w:tblStyle w:val="DELWPhighlighttable"/>
        <w:tblW w:w="9242" w:type="dxa"/>
        <w:tblInd w:w="0" w:type="dxa"/>
        <w:tblLook w:val="0400" w:firstRow="0" w:lastRow="0" w:firstColumn="0" w:lastColumn="0" w:noHBand="0" w:noVBand="1"/>
      </w:tblPr>
      <w:tblGrid>
        <w:gridCol w:w="9242"/>
      </w:tblGrid>
      <w:tr w:rsidR="002A6D9C" w:rsidRPr="001744FC" w14:paraId="5D65DF8A" w14:textId="77777777">
        <w:trPr>
          <w:cantSplit/>
        </w:trPr>
        <w:tc>
          <w:tcPr>
            <w:tcW w:w="9242" w:type="dxa"/>
          </w:tcPr>
          <w:p w14:paraId="76560760" w14:textId="77777777" w:rsidR="002A6D9C" w:rsidRPr="003E2FD0" w:rsidRDefault="002A6D9C">
            <w:pPr>
              <w:pStyle w:val="DELWPexamplebody"/>
              <w:spacing w:before="0"/>
            </w:pPr>
            <w:r w:rsidRPr="00AF0510">
              <w:t>the Yarra Valley, the Grampians</w:t>
            </w:r>
          </w:p>
        </w:tc>
      </w:tr>
    </w:tbl>
    <w:p w14:paraId="283DA01A" w14:textId="77777777" w:rsidR="002A6D9C" w:rsidRDefault="002A6D9C" w:rsidP="002A6D9C">
      <w:pPr>
        <w:pStyle w:val="DELWPbodyaftertablediagram"/>
      </w:pPr>
      <w:r>
        <w:t>Regions should be capitalised and may contain a hyphen:</w:t>
      </w:r>
    </w:p>
    <w:tbl>
      <w:tblPr>
        <w:tblStyle w:val="DELWPhighlighttable"/>
        <w:tblW w:w="9242" w:type="dxa"/>
        <w:tblInd w:w="0" w:type="dxa"/>
        <w:tblLook w:val="0400" w:firstRow="0" w:lastRow="0" w:firstColumn="0" w:lastColumn="0" w:noHBand="0" w:noVBand="1"/>
      </w:tblPr>
      <w:tblGrid>
        <w:gridCol w:w="9242"/>
      </w:tblGrid>
      <w:tr w:rsidR="002A6D9C" w:rsidRPr="001744FC" w14:paraId="6418248B" w14:textId="77777777">
        <w:trPr>
          <w:cantSplit/>
        </w:trPr>
        <w:tc>
          <w:tcPr>
            <w:tcW w:w="9242" w:type="dxa"/>
          </w:tcPr>
          <w:p w14:paraId="5F33DFA8" w14:textId="77777777" w:rsidR="002A6D9C" w:rsidRPr="003E2FD0" w:rsidRDefault="002A6D9C">
            <w:pPr>
              <w:pStyle w:val="DELWPexamplebody"/>
              <w:spacing w:before="0"/>
            </w:pPr>
            <w:r w:rsidRPr="00E95C9C">
              <w:t>South-West Victoria, Central Victoria</w:t>
            </w:r>
          </w:p>
        </w:tc>
      </w:tr>
    </w:tbl>
    <w:p w14:paraId="0D3ED3A6" w14:textId="77777777" w:rsidR="002A6D9C" w:rsidRDefault="002A6D9C" w:rsidP="002A6D9C">
      <w:pPr>
        <w:pStyle w:val="DELWPbodyaftertablediagram"/>
      </w:pPr>
      <w:r>
        <w:t xml:space="preserve">Use capitals for official or abbreviated titles that remain specific but not for generic </w:t>
      </w:r>
      <w:r w:rsidRPr="00C16211">
        <w:t>references:</w:t>
      </w:r>
    </w:p>
    <w:tbl>
      <w:tblPr>
        <w:tblStyle w:val="DELWPhighlighttable"/>
        <w:tblW w:w="9242" w:type="dxa"/>
        <w:tblInd w:w="0" w:type="dxa"/>
        <w:tblLook w:val="0400" w:firstRow="0" w:lastRow="0" w:firstColumn="0" w:lastColumn="0" w:noHBand="0" w:noVBand="1"/>
      </w:tblPr>
      <w:tblGrid>
        <w:gridCol w:w="9242"/>
      </w:tblGrid>
      <w:tr w:rsidR="002A6D9C" w:rsidRPr="00E95C9C" w14:paraId="3F482D24" w14:textId="77777777">
        <w:trPr>
          <w:cantSplit/>
        </w:trPr>
        <w:tc>
          <w:tcPr>
            <w:tcW w:w="9242" w:type="dxa"/>
          </w:tcPr>
          <w:p w14:paraId="3E4A310A" w14:textId="77777777" w:rsidR="002A6D9C" w:rsidRPr="00E95C9C" w:rsidRDefault="002A6D9C">
            <w:pPr>
              <w:pStyle w:val="DELWPexamplebody"/>
              <w:spacing w:before="0"/>
            </w:pPr>
            <w:r w:rsidRPr="00E95C9C">
              <w:lastRenderedPageBreak/>
              <w:t>The Australian Capital Territory includes Jervis Bay. The territory’s total area is more than 2,000 square kilometres.</w:t>
            </w:r>
          </w:p>
        </w:tc>
      </w:tr>
    </w:tbl>
    <w:p w14:paraId="4EF8961E" w14:textId="77777777" w:rsidR="002A6D9C" w:rsidRPr="00E95C9C" w:rsidRDefault="002A6D9C" w:rsidP="002A6D9C">
      <w:pPr>
        <w:pStyle w:val="DELWPbodyaftertablediagram"/>
      </w:pPr>
      <w:r w:rsidRPr="00E95C9C">
        <w:t>Apostrophes are not used in Australian place names:</w:t>
      </w:r>
    </w:p>
    <w:tbl>
      <w:tblPr>
        <w:tblStyle w:val="DELWPhighlighttable"/>
        <w:tblW w:w="0" w:type="auto"/>
        <w:tblInd w:w="0" w:type="dxa"/>
        <w:tblLook w:val="0400" w:firstRow="0" w:lastRow="0" w:firstColumn="0" w:lastColumn="0" w:noHBand="0" w:noVBand="1"/>
      </w:tblPr>
      <w:tblGrid>
        <w:gridCol w:w="9070"/>
      </w:tblGrid>
      <w:tr w:rsidR="002A6D9C" w:rsidRPr="001744FC" w14:paraId="77E76602" w14:textId="77777777">
        <w:tc>
          <w:tcPr>
            <w:tcW w:w="9070" w:type="dxa"/>
          </w:tcPr>
          <w:p w14:paraId="31A3E726" w14:textId="77777777" w:rsidR="002A6D9C" w:rsidRPr="003E2FD0" w:rsidRDefault="002A6D9C">
            <w:pPr>
              <w:pStyle w:val="DELWPexamplebody"/>
              <w:spacing w:before="0"/>
            </w:pPr>
            <w:proofErr w:type="spellStart"/>
            <w:r w:rsidRPr="00E95C9C">
              <w:t>Fishermans</w:t>
            </w:r>
            <w:proofErr w:type="spellEnd"/>
            <w:r w:rsidRPr="00E95C9C">
              <w:t xml:space="preserve"> Bend, Wilsons Promontory, Halls Gap</w:t>
            </w:r>
          </w:p>
        </w:tc>
      </w:tr>
    </w:tbl>
    <w:p w14:paraId="03414654" w14:textId="77777777" w:rsidR="002A6D9C" w:rsidRDefault="002A6D9C" w:rsidP="002A6D9C">
      <w:pPr>
        <w:pStyle w:val="Head5"/>
      </w:pPr>
      <w:r>
        <w:t>Positive language</w:t>
      </w:r>
    </w:p>
    <w:p w14:paraId="7A33B1B2" w14:textId="77777777" w:rsidR="002A6D9C" w:rsidRDefault="002A6D9C" w:rsidP="002A6D9C">
      <w:pPr>
        <w:pStyle w:val="BodyText1"/>
      </w:pPr>
      <w:r>
        <w:t>A reader is more likely to accept and remember a point if it is made in the positive.</w:t>
      </w:r>
    </w:p>
    <w:p w14:paraId="2C34E7D0" w14:textId="77777777" w:rsidR="002A6D9C" w:rsidRDefault="002A6D9C" w:rsidP="002A6D9C">
      <w:pPr>
        <w:pStyle w:val="BodyText1"/>
      </w:pPr>
      <w:r>
        <w:t>When the action suggested is clear and the language is uncluttered it is easier to find the meaning:</w:t>
      </w:r>
    </w:p>
    <w:tbl>
      <w:tblPr>
        <w:tblStyle w:val="TableGrid"/>
        <w:tblW w:w="9241" w:type="dxa"/>
        <w:tblInd w:w="-5" w:type="dxa"/>
        <w:tblBorders>
          <w:top w:val="single" w:sz="4" w:space="0" w:color="D9ECEA" w:themeColor="accent2"/>
          <w:left w:val="single" w:sz="4" w:space="0" w:color="D9ECEA" w:themeColor="accent2"/>
          <w:bottom w:val="single" w:sz="4" w:space="0" w:color="D9ECEA" w:themeColor="accent2"/>
          <w:right w:val="single" w:sz="4" w:space="0" w:color="D9ECEA" w:themeColor="accent2"/>
          <w:insideH w:val="single" w:sz="4" w:space="0" w:color="D9ECEA" w:themeColor="accent2"/>
          <w:insideV w:val="single" w:sz="4" w:space="0" w:color="D9ECEA" w:themeColor="accent2"/>
        </w:tblBorders>
        <w:tblLook w:val="04A0" w:firstRow="1" w:lastRow="0" w:firstColumn="1" w:lastColumn="0" w:noHBand="0" w:noVBand="1"/>
      </w:tblPr>
      <w:tblGrid>
        <w:gridCol w:w="567"/>
        <w:gridCol w:w="8674"/>
      </w:tblGrid>
      <w:tr w:rsidR="00BC0994" w:rsidRPr="00B447C7" w14:paraId="02457266" w14:textId="77777777" w:rsidTr="00915899">
        <w:trPr>
          <w:cnfStyle w:val="100000000000" w:firstRow="1" w:lastRow="0" w:firstColumn="0" w:lastColumn="0" w:oddVBand="0" w:evenVBand="0" w:oddHBand="0" w:evenHBand="0" w:firstRowFirstColumn="0" w:firstRowLastColumn="0" w:lastRowFirstColumn="0" w:lastRowLastColumn="0"/>
        </w:trPr>
        <w:tc>
          <w:tcPr>
            <w:tcW w:w="567" w:type="dxa"/>
            <w:shd w:val="clear" w:color="auto" w:fill="D9ECEA" w:themeFill="accent2"/>
            <w:vAlign w:val="top"/>
          </w:tcPr>
          <w:p w14:paraId="04ADE192" w14:textId="77777777" w:rsidR="002A6D9C" w:rsidRPr="00B447C7" w:rsidRDefault="002A6D9C">
            <w:pPr>
              <w:pStyle w:val="Symbol"/>
              <w:rPr>
                <w:i w:val="0"/>
                <w:iCs w:val="0"/>
              </w:rPr>
            </w:pPr>
            <w:r w:rsidRPr="00B447C7">
              <w:rPr>
                <w:i w:val="0"/>
                <w:iCs w:val="0"/>
              </w:rPr>
              <w:sym w:font="Wingdings" w:char="F0FC"/>
            </w:r>
          </w:p>
        </w:tc>
        <w:tc>
          <w:tcPr>
            <w:tcW w:w="8674" w:type="dxa"/>
            <w:shd w:val="clear" w:color="auto" w:fill="D9ECEA" w:themeFill="accent2"/>
          </w:tcPr>
          <w:p w14:paraId="1DB34AB3" w14:textId="77777777" w:rsidR="002A6D9C" w:rsidRPr="00B447C7" w:rsidRDefault="002A6D9C">
            <w:pPr>
              <w:pStyle w:val="DELWPexamplecaption"/>
              <w:spacing w:before="120"/>
              <w:rPr>
                <w:b w:val="0"/>
                <w:bCs/>
              </w:rPr>
            </w:pPr>
            <w:r w:rsidRPr="00B447C7">
              <w:rPr>
                <w:rStyle w:val="Strong"/>
                <w:color w:val="00828D" w:themeColor="text2"/>
              </w:rPr>
              <w:t>Positive:</w:t>
            </w:r>
            <w:r w:rsidRPr="00B447C7">
              <w:rPr>
                <w:b w:val="0"/>
                <w:bCs/>
              </w:rPr>
              <w:t xml:space="preserve"> Support use and development for a dwelling if a reticulated water supply is available.</w:t>
            </w:r>
          </w:p>
        </w:tc>
      </w:tr>
      <w:tr w:rsidR="00BC0994" w:rsidRPr="00B447C7" w14:paraId="7CD97FE2" w14:textId="77777777">
        <w:tc>
          <w:tcPr>
            <w:tcW w:w="567" w:type="dxa"/>
            <w:shd w:val="clear" w:color="auto" w:fill="D9ECEA" w:themeFill="accent2"/>
          </w:tcPr>
          <w:p w14:paraId="3D425D77" w14:textId="77777777" w:rsidR="002A6D9C" w:rsidRPr="00B447C7" w:rsidRDefault="002A6D9C">
            <w:pPr>
              <w:pStyle w:val="Symbol"/>
              <w:rPr>
                <w:i w:val="0"/>
                <w:iCs w:val="0"/>
              </w:rPr>
            </w:pPr>
            <w:r w:rsidRPr="00B447C7">
              <w:rPr>
                <w:i w:val="0"/>
                <w:iCs w:val="0"/>
              </w:rPr>
              <w:sym w:font="Wingdings" w:char="F0FB"/>
            </w:r>
          </w:p>
        </w:tc>
        <w:tc>
          <w:tcPr>
            <w:tcW w:w="8674" w:type="dxa"/>
            <w:shd w:val="clear" w:color="auto" w:fill="D9ECEA" w:themeFill="accent2"/>
          </w:tcPr>
          <w:p w14:paraId="360870BB" w14:textId="38FC933B" w:rsidR="002A6D9C" w:rsidRPr="00B447C7" w:rsidRDefault="002A6D9C">
            <w:pPr>
              <w:pStyle w:val="DELWPexamplecaption"/>
              <w:spacing w:before="120"/>
              <w:rPr>
                <w:b w:val="0"/>
                <w:bCs/>
              </w:rPr>
            </w:pPr>
            <w:r w:rsidRPr="00B447C7">
              <w:rPr>
                <w:rStyle w:val="Strong"/>
                <w:color w:val="00828D" w:themeColor="text2"/>
              </w:rPr>
              <w:t>Negative:</w:t>
            </w:r>
            <w:r w:rsidR="002104A4" w:rsidRPr="00B447C7">
              <w:rPr>
                <w:rStyle w:val="Strong"/>
                <w:color w:val="00828D" w:themeColor="text2"/>
              </w:rPr>
              <w:t xml:space="preserve"> </w:t>
            </w:r>
            <w:r w:rsidRPr="00B447C7">
              <w:rPr>
                <w:b w:val="0"/>
                <w:bCs/>
              </w:rPr>
              <w:t>Use and development for a dwelling will not be permitted where a reticulated water supply is not available.</w:t>
            </w:r>
          </w:p>
        </w:tc>
      </w:tr>
    </w:tbl>
    <w:p w14:paraId="3F0C0C05" w14:textId="77777777" w:rsidR="002A6D9C" w:rsidRDefault="002A6D9C" w:rsidP="002A6D9C">
      <w:pPr>
        <w:pStyle w:val="Head5"/>
      </w:pPr>
      <w:r>
        <w:t>Slashes (/)</w:t>
      </w:r>
    </w:p>
    <w:p w14:paraId="4C35ECAA" w14:textId="1DF4AB84" w:rsidR="002A6D9C" w:rsidRPr="006B5168" w:rsidRDefault="002A6D9C" w:rsidP="002A6D9C">
      <w:pPr>
        <w:pStyle w:val="Heading4"/>
      </w:pPr>
      <w:r w:rsidRPr="007F7FF9">
        <w:t>Do not use slashes in statutory writing. Write</w:t>
      </w:r>
      <w:r w:rsidRPr="007F7FF9">
        <w:rPr>
          <w:rFonts w:ascii="Cambria" w:hAnsi="Cambria" w:cs="Cambria"/>
        </w:rPr>
        <w:t> </w:t>
      </w:r>
      <w:r w:rsidR="00A16B15">
        <w:t>‘</w:t>
      </w:r>
      <w:r w:rsidRPr="007F7FF9">
        <w:t>or</w:t>
      </w:r>
      <w:r w:rsidR="00A16B15">
        <w:t>’</w:t>
      </w:r>
      <w:r w:rsidRPr="007F7FF9">
        <w:t xml:space="preserve"> instead of a</w:t>
      </w:r>
      <w:r w:rsidRPr="007F7FF9">
        <w:rPr>
          <w:rFonts w:ascii="Cambria" w:hAnsi="Cambria" w:cs="Cambria"/>
        </w:rPr>
        <w:t> </w:t>
      </w:r>
      <w:r w:rsidRPr="007F7FF9">
        <w:t xml:space="preserve">slash. </w:t>
      </w:r>
    </w:p>
    <w:p w14:paraId="4BC50F39" w14:textId="77777777" w:rsidR="002A6D9C" w:rsidRDefault="002A6D9C" w:rsidP="002A6D9C">
      <w:pPr>
        <w:pStyle w:val="Head5"/>
      </w:pPr>
      <w:r>
        <w:t>Spelling</w:t>
      </w:r>
    </w:p>
    <w:p w14:paraId="61E5D2E6" w14:textId="77777777" w:rsidR="002A6D9C" w:rsidRDefault="002A6D9C" w:rsidP="002A6D9C">
      <w:pPr>
        <w:pStyle w:val="BodyText1"/>
      </w:pPr>
      <w:r>
        <w:t xml:space="preserve">Use Australian English or </w:t>
      </w:r>
      <w:r w:rsidRPr="0014171E">
        <w:t>British English</w:t>
      </w:r>
      <w:r>
        <w:t xml:space="preserve"> spelling</w:t>
      </w:r>
      <w:r w:rsidRPr="0014171E">
        <w:t>, rather than American</w:t>
      </w:r>
      <w:r>
        <w:t xml:space="preserve"> </w:t>
      </w:r>
      <w:r w:rsidRPr="009C18AC">
        <w:t>English.</w:t>
      </w:r>
    </w:p>
    <w:tbl>
      <w:tblPr>
        <w:tblStyle w:val="TableGrid"/>
        <w:tblW w:w="6046" w:type="dxa"/>
        <w:tblInd w:w="-5" w:type="dxa"/>
        <w:tblBorders>
          <w:top w:val="single" w:sz="4" w:space="0" w:color="D9ECEA" w:themeColor="accent2"/>
          <w:left w:val="single" w:sz="4" w:space="0" w:color="D9ECEA" w:themeColor="accent2"/>
          <w:bottom w:val="single" w:sz="4" w:space="0" w:color="D9ECEA" w:themeColor="accent2"/>
          <w:right w:val="single" w:sz="4" w:space="0" w:color="D9ECEA" w:themeColor="accent2"/>
          <w:insideH w:val="single" w:sz="4" w:space="0" w:color="D9ECEA" w:themeColor="accent2"/>
          <w:insideV w:val="single" w:sz="4" w:space="0" w:color="D9ECEA" w:themeColor="accent2"/>
        </w:tblBorders>
        <w:shd w:val="clear" w:color="auto" w:fill="D9ECEA" w:themeFill="accent2"/>
        <w:tblLayout w:type="fixed"/>
        <w:tblLook w:val="04A0" w:firstRow="1" w:lastRow="0" w:firstColumn="1" w:lastColumn="0" w:noHBand="0" w:noVBand="1"/>
      </w:tblPr>
      <w:tblGrid>
        <w:gridCol w:w="709"/>
        <w:gridCol w:w="2597"/>
        <w:gridCol w:w="805"/>
        <w:gridCol w:w="1935"/>
      </w:tblGrid>
      <w:tr w:rsidR="00CC7FEE" w:rsidRPr="00B447C7" w14:paraId="00E86CEB" w14:textId="77777777" w:rsidTr="00910529">
        <w:trPr>
          <w:cnfStyle w:val="100000000000" w:firstRow="1" w:lastRow="0" w:firstColumn="0" w:lastColumn="0" w:oddVBand="0" w:evenVBand="0" w:oddHBand="0" w:evenHBand="0" w:firstRowFirstColumn="0" w:firstRowLastColumn="0" w:lastRowFirstColumn="0" w:lastRowLastColumn="0"/>
        </w:trPr>
        <w:tc>
          <w:tcPr>
            <w:tcW w:w="709" w:type="dxa"/>
            <w:shd w:val="clear" w:color="auto" w:fill="D9ECEA" w:themeFill="accent2"/>
            <w:vAlign w:val="center"/>
          </w:tcPr>
          <w:p w14:paraId="48D8AF8D" w14:textId="77777777" w:rsidR="002A6D9C" w:rsidRPr="00B447C7" w:rsidRDefault="002A6D9C">
            <w:pPr>
              <w:pStyle w:val="Symbol"/>
              <w:rPr>
                <w:rFonts w:ascii="Wingdings" w:eastAsia="Wingdings" w:hAnsi="Wingdings" w:cs="Wingdings"/>
                <w:i w:val="0"/>
                <w:iCs w:val="0"/>
                <w:color w:val="006666"/>
                <w:sz w:val="28"/>
                <w:szCs w:val="28"/>
              </w:rPr>
            </w:pPr>
            <w:r w:rsidRPr="00B447C7">
              <w:rPr>
                <w:i w:val="0"/>
                <w:iCs w:val="0"/>
              </w:rPr>
              <w:sym w:font="Wingdings" w:char="F0FC"/>
            </w:r>
          </w:p>
        </w:tc>
        <w:tc>
          <w:tcPr>
            <w:tcW w:w="2597" w:type="dxa"/>
            <w:shd w:val="clear" w:color="auto" w:fill="D9ECEA" w:themeFill="accent2"/>
          </w:tcPr>
          <w:p w14:paraId="3BD38093" w14:textId="77777777" w:rsidR="002A6D9C" w:rsidRPr="00B447C7" w:rsidRDefault="002A6D9C">
            <w:pPr>
              <w:pStyle w:val="Exampletext"/>
              <w:rPr>
                <w:i w:val="0"/>
                <w:iCs w:val="0"/>
              </w:rPr>
            </w:pPr>
            <w:r w:rsidRPr="00B447C7">
              <w:rPr>
                <w:i w:val="0"/>
                <w:iCs w:val="0"/>
              </w:rPr>
              <w:t>characterised</w:t>
            </w:r>
          </w:p>
          <w:p w14:paraId="3BF864C3" w14:textId="77777777" w:rsidR="002A6D9C" w:rsidRPr="00B447C7" w:rsidRDefault="002A6D9C">
            <w:pPr>
              <w:pStyle w:val="Exampletext"/>
              <w:rPr>
                <w:i w:val="0"/>
                <w:iCs w:val="0"/>
              </w:rPr>
            </w:pPr>
            <w:r w:rsidRPr="00B447C7">
              <w:rPr>
                <w:i w:val="0"/>
                <w:iCs w:val="0"/>
              </w:rPr>
              <w:t>metre</w:t>
            </w:r>
          </w:p>
          <w:p w14:paraId="433E731E" w14:textId="77777777" w:rsidR="002A6D9C" w:rsidRPr="00B447C7" w:rsidRDefault="002A6D9C">
            <w:pPr>
              <w:pStyle w:val="Exampletext"/>
              <w:rPr>
                <w:i w:val="0"/>
                <w:iCs w:val="0"/>
              </w:rPr>
            </w:pPr>
            <w:r w:rsidRPr="00B447C7">
              <w:rPr>
                <w:i w:val="0"/>
                <w:iCs w:val="0"/>
              </w:rPr>
              <w:t>colour</w:t>
            </w:r>
          </w:p>
          <w:p w14:paraId="4DD31D6A" w14:textId="77777777" w:rsidR="002A6D9C" w:rsidRPr="00B447C7" w:rsidRDefault="002A6D9C">
            <w:pPr>
              <w:pStyle w:val="Exampletext"/>
              <w:rPr>
                <w:i w:val="0"/>
                <w:iCs w:val="0"/>
                <w:strike/>
              </w:rPr>
            </w:pPr>
            <w:r w:rsidRPr="00B447C7">
              <w:rPr>
                <w:i w:val="0"/>
                <w:iCs w:val="0"/>
              </w:rPr>
              <w:t>centre</w:t>
            </w:r>
          </w:p>
        </w:tc>
        <w:tc>
          <w:tcPr>
            <w:tcW w:w="805" w:type="dxa"/>
            <w:shd w:val="clear" w:color="auto" w:fill="D9ECEA" w:themeFill="accent2"/>
            <w:vAlign w:val="center"/>
          </w:tcPr>
          <w:p w14:paraId="371C4B58" w14:textId="77777777" w:rsidR="002A6D9C" w:rsidRPr="00B447C7" w:rsidRDefault="002A6D9C">
            <w:pPr>
              <w:pStyle w:val="DELWPexamplecaption"/>
              <w:spacing w:before="120"/>
              <w:rPr>
                <w:rFonts w:ascii="Wingdings" w:eastAsia="Wingdings" w:hAnsi="Wingdings" w:cs="Wingdings"/>
                <w:color w:val="006666"/>
                <w:sz w:val="28"/>
                <w:szCs w:val="28"/>
              </w:rPr>
            </w:pPr>
            <w:r w:rsidRPr="00B447C7">
              <w:rPr>
                <w:rFonts w:ascii="Wingdings" w:eastAsia="Wingdings" w:hAnsi="Wingdings" w:cs="Wingdings"/>
                <w:color w:val="006666"/>
                <w:sz w:val="28"/>
                <w:szCs w:val="28"/>
              </w:rPr>
              <w:t>û</w:t>
            </w:r>
          </w:p>
        </w:tc>
        <w:tc>
          <w:tcPr>
            <w:tcW w:w="1935" w:type="dxa"/>
            <w:shd w:val="clear" w:color="auto" w:fill="D9ECEA" w:themeFill="accent2"/>
          </w:tcPr>
          <w:p w14:paraId="53832EA8" w14:textId="77777777" w:rsidR="002A6D9C" w:rsidRPr="00B447C7" w:rsidRDefault="002A6D9C">
            <w:pPr>
              <w:pStyle w:val="Exampletext"/>
              <w:rPr>
                <w:i w:val="0"/>
                <w:iCs w:val="0"/>
                <w:strike/>
              </w:rPr>
            </w:pPr>
            <w:r w:rsidRPr="00B447C7">
              <w:rPr>
                <w:i w:val="0"/>
                <w:iCs w:val="0"/>
                <w:strike/>
              </w:rPr>
              <w:t>characterized</w:t>
            </w:r>
          </w:p>
          <w:p w14:paraId="6AA1CC01" w14:textId="77777777" w:rsidR="002A6D9C" w:rsidRPr="00B447C7" w:rsidRDefault="002A6D9C">
            <w:pPr>
              <w:pStyle w:val="Exampletext"/>
              <w:rPr>
                <w:i w:val="0"/>
                <w:iCs w:val="0"/>
                <w:strike/>
              </w:rPr>
            </w:pPr>
            <w:r w:rsidRPr="00B447C7">
              <w:rPr>
                <w:i w:val="0"/>
                <w:iCs w:val="0"/>
                <w:strike/>
              </w:rPr>
              <w:t>meter</w:t>
            </w:r>
          </w:p>
          <w:p w14:paraId="5C1C2E8F" w14:textId="77777777" w:rsidR="002A6D9C" w:rsidRPr="00B447C7" w:rsidRDefault="002A6D9C">
            <w:pPr>
              <w:pStyle w:val="Exampletext"/>
              <w:rPr>
                <w:i w:val="0"/>
                <w:iCs w:val="0"/>
                <w:strike/>
              </w:rPr>
            </w:pPr>
            <w:proofErr w:type="spellStart"/>
            <w:r w:rsidRPr="00B447C7">
              <w:rPr>
                <w:i w:val="0"/>
                <w:iCs w:val="0"/>
                <w:strike/>
              </w:rPr>
              <w:t>color</w:t>
            </w:r>
            <w:proofErr w:type="spellEnd"/>
          </w:p>
          <w:p w14:paraId="403308E1" w14:textId="77777777" w:rsidR="002A6D9C" w:rsidRPr="00B447C7" w:rsidRDefault="002A6D9C">
            <w:pPr>
              <w:pStyle w:val="Exampletext"/>
              <w:rPr>
                <w:i w:val="0"/>
                <w:iCs w:val="0"/>
                <w:strike/>
              </w:rPr>
            </w:pPr>
            <w:proofErr w:type="spellStart"/>
            <w:r w:rsidRPr="00B447C7">
              <w:rPr>
                <w:i w:val="0"/>
                <w:iCs w:val="0"/>
                <w:strike/>
              </w:rPr>
              <w:t>center</w:t>
            </w:r>
            <w:proofErr w:type="spellEnd"/>
          </w:p>
        </w:tc>
      </w:tr>
    </w:tbl>
    <w:p w14:paraId="6FA72A4A" w14:textId="1FFC6EB9" w:rsidR="002A6D9C" w:rsidRDefault="002A6D9C" w:rsidP="002A6D9C">
      <w:pPr>
        <w:pStyle w:val="BodyText1"/>
      </w:pPr>
      <w:r>
        <w:t>Make sure that the spell-check on your computer is set to Australian English. To adjust the settings in MS Word, select</w:t>
      </w:r>
      <w:r w:rsidR="00E732BB">
        <w:t xml:space="preserve"> the</w:t>
      </w:r>
      <w:r>
        <w:t xml:space="preserve"> </w:t>
      </w:r>
      <w:r w:rsidRPr="00B45A7C">
        <w:rPr>
          <w:i/>
          <w:iCs/>
        </w:rPr>
        <w:t xml:space="preserve">Review </w:t>
      </w:r>
      <w:r w:rsidR="00E732BB">
        <w:t xml:space="preserve">tab </w:t>
      </w:r>
      <w:r w:rsidRPr="00B45A7C">
        <w:rPr>
          <w:i/>
          <w:iCs/>
        </w:rPr>
        <w:t>&gt; Language</w:t>
      </w:r>
      <w:r>
        <w:t xml:space="preserve">, then choose </w:t>
      </w:r>
      <w:r w:rsidRPr="00B45A7C">
        <w:rPr>
          <w:i/>
          <w:iCs/>
        </w:rPr>
        <w:t>English (Australian)</w:t>
      </w:r>
      <w:r>
        <w:t>.</w:t>
      </w:r>
    </w:p>
    <w:p w14:paraId="7B0E5E8E" w14:textId="2AA6BA3B" w:rsidR="002A6D9C" w:rsidRDefault="002A6D9C" w:rsidP="002A6D9C">
      <w:pPr>
        <w:pStyle w:val="BodyText1"/>
      </w:pPr>
      <w:r>
        <w:t xml:space="preserve">Your spell check should not be your sole means of proofreading. Always </w:t>
      </w:r>
      <w:r w:rsidR="00724A9B">
        <w:t>proofread</w:t>
      </w:r>
      <w:r>
        <w:t xml:space="preserve"> yourself. While spell checkers will pick up spelling mistakes, they may not pick up words that have been misused or left out of sentences.</w:t>
      </w:r>
    </w:p>
    <w:p w14:paraId="714E54C2" w14:textId="77777777" w:rsidR="002A6D9C" w:rsidRDefault="002A6D9C" w:rsidP="002A6D9C">
      <w:pPr>
        <w:pStyle w:val="BodyText1"/>
      </w:pPr>
      <w:r>
        <w:t>Use the Macquarie Dictionary as your reference.</w:t>
      </w:r>
    </w:p>
    <w:p w14:paraId="65169B53" w14:textId="77777777" w:rsidR="002A6D9C" w:rsidRDefault="002A6D9C" w:rsidP="002A6D9C">
      <w:pPr>
        <w:pStyle w:val="Head5"/>
      </w:pPr>
      <w:r>
        <w:t>Tautology</w:t>
      </w:r>
    </w:p>
    <w:p w14:paraId="2F519AF1" w14:textId="77777777" w:rsidR="002A6D9C" w:rsidRDefault="002A6D9C" w:rsidP="002A6D9C">
      <w:pPr>
        <w:pStyle w:val="BodyText1"/>
      </w:pPr>
      <w:r>
        <w:t>Tautology refers to repetitive, unnecessary words or phrases that say the same (or similar) thing twice</w:t>
      </w:r>
      <w:r w:rsidRPr="00CD57E6">
        <w:t xml:space="preserve"> consecutively</w:t>
      </w:r>
      <w:r>
        <w:t>. Removing tautology delivers more direct and concise writing.</w:t>
      </w:r>
    </w:p>
    <w:p w14:paraId="68B1D695" w14:textId="77777777" w:rsidR="002A6D9C" w:rsidRPr="00F86C9C" w:rsidRDefault="002A6D9C" w:rsidP="002A6D9C">
      <w:pPr>
        <w:pStyle w:val="BodyText1"/>
      </w:pPr>
      <w:r>
        <w:t>E</w:t>
      </w:r>
      <w:r w:rsidRPr="00F86C9C">
        <w:t>xample</w:t>
      </w:r>
      <w:r>
        <w:t>s to avoid:</w:t>
      </w:r>
    </w:p>
    <w:tbl>
      <w:tblPr>
        <w:tblStyle w:val="DELWPhighlighttable"/>
        <w:tblW w:w="9242" w:type="dxa"/>
        <w:tblInd w:w="0" w:type="dxa"/>
        <w:tblLook w:val="0400" w:firstRow="0" w:lastRow="0" w:firstColumn="0" w:lastColumn="0" w:noHBand="0" w:noVBand="1"/>
      </w:tblPr>
      <w:tblGrid>
        <w:gridCol w:w="4305"/>
        <w:gridCol w:w="4937"/>
      </w:tblGrid>
      <w:tr w:rsidR="002A6D9C" w:rsidRPr="001744FC" w14:paraId="74CC2E39" w14:textId="77777777">
        <w:trPr>
          <w:cantSplit/>
        </w:trPr>
        <w:tc>
          <w:tcPr>
            <w:tcW w:w="4305" w:type="dxa"/>
          </w:tcPr>
          <w:p w14:paraId="0981F377" w14:textId="77777777" w:rsidR="002A6D9C" w:rsidRPr="00E22983" w:rsidRDefault="002A6D9C" w:rsidP="00A705A5">
            <w:pPr>
              <w:pStyle w:val="DELWPexamplebody"/>
              <w:numPr>
                <w:ilvl w:val="0"/>
                <w:numId w:val="24"/>
              </w:numPr>
            </w:pPr>
            <w:proofErr w:type="gramStart"/>
            <w:r w:rsidRPr="00E22983">
              <w:lastRenderedPageBreak/>
              <w:t>close proximity</w:t>
            </w:r>
            <w:proofErr w:type="gramEnd"/>
          </w:p>
          <w:p w14:paraId="5965CDD5" w14:textId="77777777" w:rsidR="002A6D9C" w:rsidRPr="00E22983" w:rsidRDefault="002A6D9C" w:rsidP="00A705A5">
            <w:pPr>
              <w:pStyle w:val="DELWPexamplebody"/>
              <w:numPr>
                <w:ilvl w:val="0"/>
                <w:numId w:val="24"/>
              </w:numPr>
            </w:pPr>
            <w:r w:rsidRPr="00E22983">
              <w:t>grow and expand</w:t>
            </w:r>
          </w:p>
          <w:p w14:paraId="319647A9" w14:textId="77777777" w:rsidR="002A6D9C" w:rsidRPr="00E22983" w:rsidRDefault="002A6D9C" w:rsidP="00A705A5">
            <w:pPr>
              <w:pStyle w:val="DELWPexamplebody"/>
              <w:numPr>
                <w:ilvl w:val="0"/>
                <w:numId w:val="24"/>
              </w:numPr>
            </w:pPr>
            <w:r w:rsidRPr="00E22983">
              <w:t>protect and conserve</w:t>
            </w:r>
          </w:p>
          <w:p w14:paraId="6D47EBB8" w14:textId="77777777" w:rsidR="002A6D9C" w:rsidRPr="00E22983" w:rsidRDefault="002A6D9C" w:rsidP="00A705A5">
            <w:pPr>
              <w:pStyle w:val="DELWPexamplebody"/>
              <w:numPr>
                <w:ilvl w:val="0"/>
                <w:numId w:val="24"/>
              </w:numPr>
            </w:pPr>
            <w:r w:rsidRPr="00E22983">
              <w:t>currently undergoing</w:t>
            </w:r>
          </w:p>
          <w:p w14:paraId="7B2ADD10" w14:textId="77777777" w:rsidR="002A6D9C" w:rsidRPr="00E22983" w:rsidRDefault="002A6D9C" w:rsidP="00A705A5">
            <w:pPr>
              <w:pStyle w:val="DELWPexamplebody"/>
              <w:numPr>
                <w:ilvl w:val="0"/>
                <w:numId w:val="24"/>
              </w:numPr>
            </w:pPr>
            <w:r w:rsidRPr="00E22983">
              <w:t>integral part</w:t>
            </w:r>
          </w:p>
        </w:tc>
        <w:tc>
          <w:tcPr>
            <w:tcW w:w="0" w:type="auto"/>
          </w:tcPr>
          <w:p w14:paraId="366FAC51" w14:textId="77777777" w:rsidR="002A6D9C" w:rsidRPr="00E22983" w:rsidRDefault="002A6D9C" w:rsidP="00A705A5">
            <w:pPr>
              <w:pStyle w:val="DELWPexamplebody"/>
              <w:numPr>
                <w:ilvl w:val="0"/>
                <w:numId w:val="24"/>
              </w:numPr>
            </w:pPr>
            <w:r w:rsidRPr="00E22983">
              <w:t>enhance and improve</w:t>
            </w:r>
          </w:p>
          <w:p w14:paraId="753282DA" w14:textId="77777777" w:rsidR="002A6D9C" w:rsidRPr="00E22983" w:rsidRDefault="002A6D9C" w:rsidP="00A705A5">
            <w:pPr>
              <w:pStyle w:val="DELWPexamplebody"/>
              <w:numPr>
                <w:ilvl w:val="0"/>
                <w:numId w:val="24"/>
              </w:numPr>
            </w:pPr>
            <w:r w:rsidRPr="00E22983">
              <w:t>support and promote</w:t>
            </w:r>
          </w:p>
          <w:p w14:paraId="2DD2E6D3" w14:textId="77777777" w:rsidR="002A6D9C" w:rsidRPr="00E22983" w:rsidRDefault="002A6D9C" w:rsidP="00A705A5">
            <w:pPr>
              <w:pStyle w:val="DELWPexamplebody"/>
              <w:numPr>
                <w:ilvl w:val="0"/>
                <w:numId w:val="24"/>
              </w:numPr>
            </w:pPr>
            <w:r w:rsidRPr="00E22983">
              <w:t>image and character</w:t>
            </w:r>
          </w:p>
          <w:p w14:paraId="0EEDE96C" w14:textId="77777777" w:rsidR="002A6D9C" w:rsidRPr="00E22983" w:rsidRDefault="002A6D9C" w:rsidP="00A705A5">
            <w:pPr>
              <w:pStyle w:val="DELWPexamplebody"/>
              <w:numPr>
                <w:ilvl w:val="0"/>
                <w:numId w:val="24"/>
              </w:numPr>
            </w:pPr>
            <w:r w:rsidRPr="00E22983">
              <w:t>facilities and services</w:t>
            </w:r>
          </w:p>
          <w:p w14:paraId="5820939F" w14:textId="77777777" w:rsidR="002A6D9C" w:rsidRPr="00E22983" w:rsidRDefault="002A6D9C" w:rsidP="00A705A5">
            <w:pPr>
              <w:pStyle w:val="DELWPexamplebody"/>
              <w:numPr>
                <w:ilvl w:val="0"/>
                <w:numId w:val="24"/>
              </w:numPr>
            </w:pPr>
            <w:r w:rsidRPr="00E22983">
              <w:t>including but not limited to</w:t>
            </w:r>
          </w:p>
        </w:tc>
      </w:tr>
    </w:tbl>
    <w:p w14:paraId="58163D63" w14:textId="77777777" w:rsidR="002A6D9C" w:rsidRDefault="002A6D9C" w:rsidP="002A6D9C">
      <w:pPr>
        <w:pStyle w:val="BodyText1"/>
      </w:pPr>
      <w:r w:rsidRPr="00172922">
        <w:t xml:space="preserve">There </w:t>
      </w:r>
      <w:r>
        <w:t>are, however, instances where</w:t>
      </w:r>
      <w:r w:rsidRPr="00172922">
        <w:t xml:space="preserve"> </w:t>
      </w:r>
      <w:r>
        <w:t>‘double</w:t>
      </w:r>
      <w:r w:rsidRPr="00172922">
        <w:t>-</w:t>
      </w:r>
      <w:r>
        <w:t>barrelled’</w:t>
      </w:r>
      <w:r w:rsidRPr="00172922">
        <w:t xml:space="preserve"> reference</w:t>
      </w:r>
      <w:r>
        <w:t>s may be needed. For example,</w:t>
      </w:r>
      <w:r w:rsidRPr="00172922">
        <w:t xml:space="preserve"> </w:t>
      </w:r>
      <w:r>
        <w:t>‘</w:t>
      </w:r>
      <w:r w:rsidRPr="006E5AD3">
        <w:t>p</w:t>
      </w:r>
      <w:r w:rsidRPr="00172922">
        <w:t xml:space="preserve">rotect and </w:t>
      </w:r>
      <w:r w:rsidRPr="006E5AD3">
        <w:t>e</w:t>
      </w:r>
      <w:r w:rsidRPr="00172922">
        <w:t>nhance</w:t>
      </w:r>
      <w:r w:rsidRPr="006E5AD3">
        <w:t>’</w:t>
      </w:r>
      <w:r>
        <w:t xml:space="preserve"> are terms often used together when addressing</w:t>
      </w:r>
      <w:r w:rsidRPr="00172922">
        <w:t xml:space="preserve"> </w:t>
      </w:r>
      <w:r>
        <w:t>h</w:t>
      </w:r>
      <w:r w:rsidRPr="00172922">
        <w:t>eritage.</w:t>
      </w:r>
      <w:r>
        <w:t xml:space="preserve"> </w:t>
      </w:r>
      <w:r w:rsidRPr="00172922">
        <w:t xml:space="preserve">These terms </w:t>
      </w:r>
      <w:r>
        <w:t xml:space="preserve">each </w:t>
      </w:r>
      <w:r w:rsidRPr="00172922">
        <w:t>have a different effect and if both are intended</w:t>
      </w:r>
      <w:r>
        <w:t>,</w:t>
      </w:r>
      <w:r w:rsidRPr="00172922">
        <w:t xml:space="preserve"> they may be mentioned together.</w:t>
      </w:r>
    </w:p>
    <w:p w14:paraId="683DE264" w14:textId="77777777" w:rsidR="002A6D9C" w:rsidRPr="000D5ADF" w:rsidRDefault="002A6D9C" w:rsidP="002A6D9C">
      <w:pPr>
        <w:pStyle w:val="Head5"/>
      </w:pPr>
      <w:r w:rsidRPr="000D5ADF">
        <w:t>That and which</w:t>
      </w:r>
    </w:p>
    <w:p w14:paraId="292317F5" w14:textId="77777777" w:rsidR="002A6D9C" w:rsidRDefault="002A6D9C" w:rsidP="002A6D9C">
      <w:pPr>
        <w:pStyle w:val="BodyText1"/>
      </w:pPr>
      <w:r>
        <w:t xml:space="preserve">Use ‘that’ to introduce </w:t>
      </w:r>
      <w:r w:rsidRPr="007A6BA7">
        <w:rPr>
          <w:b/>
          <w:i/>
        </w:rPr>
        <w:t>restrictive</w:t>
      </w:r>
      <w:r>
        <w:t xml:space="preserve"> information. ‘That’ tells you a necessary piece of information about its antecedent.</w:t>
      </w:r>
    </w:p>
    <w:p w14:paraId="425ACE9F" w14:textId="2E82D22C" w:rsidR="002A6D9C" w:rsidRDefault="002A6D9C" w:rsidP="002A6D9C">
      <w:pPr>
        <w:pStyle w:val="DELWPbodyaftertablediagram"/>
      </w:pPr>
      <w:r>
        <w:t>‘Which</w:t>
      </w:r>
      <w:r w:rsidR="002F7C61">
        <w:t>’</w:t>
      </w:r>
      <w:r>
        <w:t xml:space="preserve"> is </w:t>
      </w:r>
      <w:r w:rsidRPr="007A6BA7">
        <w:rPr>
          <w:b/>
          <w:i/>
        </w:rPr>
        <w:t>non-restrictive</w:t>
      </w:r>
      <w:r>
        <w:t xml:space="preserve">: it does not limit </w:t>
      </w:r>
      <w:r w:rsidRPr="009B0487">
        <w:t>the phrase it refers</w:t>
      </w:r>
      <w:r>
        <w:t xml:space="preserve"> to, but simply provides an extra piece of information about something being discussed.</w:t>
      </w:r>
    </w:p>
    <w:p w14:paraId="30B58194" w14:textId="77777777" w:rsidR="002A6D9C" w:rsidRPr="00641462" w:rsidRDefault="002A6D9C" w:rsidP="002A6D9C">
      <w:pPr>
        <w:pStyle w:val="DELWPbodyaftertablediagram"/>
        <w:rPr>
          <w:lang w:val="en-US"/>
        </w:rPr>
      </w:pPr>
      <w:r>
        <w:t xml:space="preserve">As a rule of thumb, if a phrase following ‘which’ or ‘that’ can be removed without changing the meaning of a sentence, ‘which’ can be used. If not, the term ‘that’ should be used. </w:t>
      </w:r>
      <w:r>
        <w:rPr>
          <w:lang w:val="en-US"/>
        </w:rPr>
        <w:t>The examples below demonstrate how the use of ‘which’ or ‘that’ may change the effect of a policy.</w:t>
      </w:r>
    </w:p>
    <w:tbl>
      <w:tblPr>
        <w:tblStyle w:val="TableGrid"/>
        <w:tblW w:w="9219" w:type="dxa"/>
        <w:tblInd w:w="-5" w:type="dxa"/>
        <w:tblBorders>
          <w:top w:val="single" w:sz="4" w:space="0" w:color="D9ECEA" w:themeColor="accent2"/>
          <w:left w:val="single" w:sz="4" w:space="0" w:color="D9ECEA" w:themeColor="accent2"/>
          <w:bottom w:val="single" w:sz="4" w:space="0" w:color="D9ECEA" w:themeColor="accent2"/>
          <w:right w:val="single" w:sz="4" w:space="0" w:color="D9ECEA" w:themeColor="accent2"/>
          <w:insideH w:val="single" w:sz="4" w:space="0" w:color="D9ECEA" w:themeColor="accent2"/>
          <w:insideV w:val="single" w:sz="4" w:space="0" w:color="D9ECEA" w:themeColor="accent2"/>
        </w:tblBorders>
        <w:shd w:val="clear" w:color="auto" w:fill="CCCCCC" w:themeFill="accent5" w:themeFillTint="33"/>
        <w:tblLook w:val="04A0" w:firstRow="1" w:lastRow="0" w:firstColumn="1" w:lastColumn="0" w:noHBand="0" w:noVBand="1"/>
      </w:tblPr>
      <w:tblGrid>
        <w:gridCol w:w="867"/>
        <w:gridCol w:w="8352"/>
      </w:tblGrid>
      <w:tr w:rsidR="00776EEF" w:rsidRPr="00B447C7" w14:paraId="6F6AA821" w14:textId="77777777">
        <w:trPr>
          <w:cnfStyle w:val="100000000000" w:firstRow="1" w:lastRow="0" w:firstColumn="0" w:lastColumn="0" w:oddVBand="0" w:evenVBand="0" w:oddHBand="0" w:evenHBand="0" w:firstRowFirstColumn="0" w:firstRowLastColumn="0" w:lastRowFirstColumn="0" w:lastRowLastColumn="0"/>
        </w:trPr>
        <w:tc>
          <w:tcPr>
            <w:tcW w:w="867" w:type="dxa"/>
            <w:shd w:val="clear" w:color="auto" w:fill="D9ECEA" w:themeFill="accent2"/>
          </w:tcPr>
          <w:p w14:paraId="3E38E01C" w14:textId="77777777" w:rsidR="002A6D9C" w:rsidRPr="00B447C7" w:rsidRDefault="002A6D9C">
            <w:pPr>
              <w:pStyle w:val="Symbol"/>
              <w:rPr>
                <w:i w:val="0"/>
                <w:iCs w:val="0"/>
              </w:rPr>
            </w:pPr>
            <w:r w:rsidRPr="00B447C7">
              <w:rPr>
                <w:i w:val="0"/>
                <w:iCs w:val="0"/>
              </w:rPr>
              <w:sym w:font="Wingdings" w:char="F0FB"/>
            </w:r>
          </w:p>
        </w:tc>
        <w:tc>
          <w:tcPr>
            <w:tcW w:w="8352" w:type="dxa"/>
            <w:shd w:val="clear" w:color="auto" w:fill="D9ECEA" w:themeFill="accent2"/>
          </w:tcPr>
          <w:p w14:paraId="26FA67BE" w14:textId="77777777" w:rsidR="002A6D9C" w:rsidRPr="00B447C7" w:rsidRDefault="002A6D9C">
            <w:pPr>
              <w:pStyle w:val="Exampletext"/>
              <w:rPr>
                <w:i w:val="0"/>
                <w:iCs w:val="0"/>
              </w:rPr>
            </w:pPr>
            <w:r w:rsidRPr="00B447C7">
              <w:rPr>
                <w:i w:val="0"/>
                <w:iCs w:val="0"/>
              </w:rPr>
              <w:t xml:space="preserve">Discourage signs </w:t>
            </w:r>
            <w:r w:rsidRPr="00B447C7">
              <w:rPr>
                <w:b/>
                <w:bCs/>
                <w:i w:val="0"/>
                <w:iCs w:val="0"/>
              </w:rPr>
              <w:t>which</w:t>
            </w:r>
            <w:r w:rsidRPr="00B447C7">
              <w:rPr>
                <w:i w:val="0"/>
                <w:iCs w:val="0"/>
              </w:rPr>
              <w:t xml:space="preserve"> obscure major view lines.</w:t>
            </w:r>
          </w:p>
        </w:tc>
      </w:tr>
      <w:tr w:rsidR="00776EEF" w:rsidRPr="00B447C7" w14:paraId="044BBE1E" w14:textId="77777777">
        <w:tc>
          <w:tcPr>
            <w:tcW w:w="867" w:type="dxa"/>
            <w:shd w:val="clear" w:color="auto" w:fill="D9ECEA" w:themeFill="accent2"/>
          </w:tcPr>
          <w:p w14:paraId="69C0FE76" w14:textId="77777777" w:rsidR="002A6D9C" w:rsidRPr="00B447C7" w:rsidRDefault="002A6D9C">
            <w:pPr>
              <w:pStyle w:val="Symbol"/>
              <w:rPr>
                <w:i w:val="0"/>
                <w:iCs w:val="0"/>
              </w:rPr>
            </w:pPr>
            <w:r w:rsidRPr="00B447C7">
              <w:rPr>
                <w:i w:val="0"/>
                <w:iCs w:val="0"/>
              </w:rPr>
              <w:sym w:font="Wingdings" w:char="F0FC"/>
            </w:r>
          </w:p>
        </w:tc>
        <w:tc>
          <w:tcPr>
            <w:tcW w:w="8352" w:type="dxa"/>
            <w:shd w:val="clear" w:color="auto" w:fill="D9ECEA" w:themeFill="accent2"/>
          </w:tcPr>
          <w:p w14:paraId="2BEED41A" w14:textId="77777777" w:rsidR="002A6D9C" w:rsidRPr="00B447C7" w:rsidRDefault="002A6D9C">
            <w:pPr>
              <w:pStyle w:val="Exampletext"/>
              <w:rPr>
                <w:i w:val="0"/>
                <w:iCs w:val="0"/>
              </w:rPr>
            </w:pPr>
            <w:r w:rsidRPr="00B447C7">
              <w:rPr>
                <w:i w:val="0"/>
                <w:iCs w:val="0"/>
              </w:rPr>
              <w:t xml:space="preserve">Discourage signs </w:t>
            </w:r>
            <w:r w:rsidRPr="00B447C7">
              <w:rPr>
                <w:b/>
                <w:bCs/>
                <w:i w:val="0"/>
                <w:iCs w:val="0"/>
              </w:rPr>
              <w:t>that</w:t>
            </w:r>
            <w:r w:rsidRPr="00B447C7">
              <w:rPr>
                <w:i w:val="0"/>
                <w:iCs w:val="0"/>
              </w:rPr>
              <w:t xml:space="preserve"> obscure major view lines.</w:t>
            </w:r>
          </w:p>
        </w:tc>
      </w:tr>
    </w:tbl>
    <w:p w14:paraId="68C9421D" w14:textId="77777777" w:rsidR="002A6D9C" w:rsidRDefault="002A6D9C" w:rsidP="002A6D9C">
      <w:pPr>
        <w:pStyle w:val="DELWPbodyaftertablediagram"/>
      </w:pPr>
      <w:r w:rsidRPr="00641462">
        <w:t xml:space="preserve">In </w:t>
      </w:r>
      <w:r>
        <w:t>the example above</w:t>
      </w:r>
      <w:r w:rsidRPr="00641462">
        <w:t>, the intent is to discourage only those signs having the effect of obscuring major view lines, not all signs.</w:t>
      </w:r>
    </w:p>
    <w:tbl>
      <w:tblPr>
        <w:tblStyle w:val="TableGrid"/>
        <w:tblW w:w="9219" w:type="dxa"/>
        <w:tblInd w:w="-5" w:type="dxa"/>
        <w:tblBorders>
          <w:top w:val="single" w:sz="4" w:space="0" w:color="D9ECEA" w:themeColor="accent2"/>
          <w:left w:val="single" w:sz="4" w:space="0" w:color="D9ECEA" w:themeColor="accent2"/>
          <w:bottom w:val="single" w:sz="4" w:space="0" w:color="D9ECEA" w:themeColor="accent2"/>
          <w:right w:val="single" w:sz="4" w:space="0" w:color="D9ECEA" w:themeColor="accent2"/>
          <w:insideH w:val="single" w:sz="4" w:space="0" w:color="D9ECEA" w:themeColor="accent2"/>
          <w:insideV w:val="single" w:sz="4" w:space="0" w:color="D9ECEA" w:themeColor="accent2"/>
        </w:tblBorders>
        <w:shd w:val="clear" w:color="auto" w:fill="CCCCCC" w:themeFill="accent5" w:themeFillTint="33"/>
        <w:tblLook w:val="04A0" w:firstRow="1" w:lastRow="0" w:firstColumn="1" w:lastColumn="0" w:noHBand="0" w:noVBand="1"/>
      </w:tblPr>
      <w:tblGrid>
        <w:gridCol w:w="867"/>
        <w:gridCol w:w="8352"/>
      </w:tblGrid>
      <w:tr w:rsidR="00776EEF" w:rsidRPr="00B447C7" w14:paraId="3A070FD6" w14:textId="77777777" w:rsidTr="00915899">
        <w:trPr>
          <w:cnfStyle w:val="100000000000" w:firstRow="1" w:lastRow="0" w:firstColumn="0" w:lastColumn="0" w:oddVBand="0" w:evenVBand="0" w:oddHBand="0" w:evenHBand="0" w:firstRowFirstColumn="0" w:firstRowLastColumn="0" w:lastRowFirstColumn="0" w:lastRowLastColumn="0"/>
        </w:trPr>
        <w:tc>
          <w:tcPr>
            <w:tcW w:w="867" w:type="dxa"/>
            <w:shd w:val="clear" w:color="auto" w:fill="D9ECEA" w:themeFill="accent2"/>
            <w:vAlign w:val="top"/>
          </w:tcPr>
          <w:p w14:paraId="0BFA3BBD" w14:textId="77777777" w:rsidR="002A6D9C" w:rsidRPr="00B447C7" w:rsidRDefault="002A6D9C">
            <w:pPr>
              <w:pStyle w:val="Symbol"/>
              <w:rPr>
                <w:i w:val="0"/>
                <w:iCs w:val="0"/>
              </w:rPr>
            </w:pPr>
            <w:r w:rsidRPr="00B447C7">
              <w:rPr>
                <w:i w:val="0"/>
                <w:iCs w:val="0"/>
              </w:rPr>
              <w:sym w:font="Wingdings" w:char="F0FB"/>
            </w:r>
          </w:p>
        </w:tc>
        <w:tc>
          <w:tcPr>
            <w:tcW w:w="8352" w:type="dxa"/>
            <w:shd w:val="clear" w:color="auto" w:fill="D9ECEA" w:themeFill="accent2"/>
          </w:tcPr>
          <w:p w14:paraId="19D2760A" w14:textId="77777777" w:rsidR="002A6D9C" w:rsidRPr="00B447C7" w:rsidRDefault="002A6D9C">
            <w:pPr>
              <w:pStyle w:val="Exampletext"/>
              <w:rPr>
                <w:i w:val="0"/>
                <w:iCs w:val="0"/>
              </w:rPr>
            </w:pPr>
            <w:r w:rsidRPr="00B447C7">
              <w:rPr>
                <w:rStyle w:val="Addition"/>
                <w:i w:val="0"/>
                <w:iCs w:val="0"/>
              </w:rPr>
              <w:t xml:space="preserve">Support infill residential development in the General Residential Zone </w:t>
            </w:r>
            <w:r w:rsidRPr="00B447C7">
              <w:rPr>
                <w:rStyle w:val="Addition"/>
                <w:b/>
                <w:i w:val="0"/>
                <w:iCs w:val="0"/>
              </w:rPr>
              <w:t xml:space="preserve">which </w:t>
            </w:r>
            <w:r w:rsidRPr="00B447C7">
              <w:rPr>
                <w:rStyle w:val="Addition"/>
                <w:i w:val="0"/>
                <w:iCs w:val="0"/>
              </w:rPr>
              <w:t>respects the neighbourhood character of the area.</w:t>
            </w:r>
          </w:p>
        </w:tc>
      </w:tr>
      <w:tr w:rsidR="00776EEF" w:rsidRPr="00B447C7" w14:paraId="2FB11DB4" w14:textId="77777777">
        <w:tc>
          <w:tcPr>
            <w:tcW w:w="867" w:type="dxa"/>
            <w:shd w:val="clear" w:color="auto" w:fill="D9ECEA" w:themeFill="accent2"/>
          </w:tcPr>
          <w:p w14:paraId="3BF7530B" w14:textId="77777777" w:rsidR="002A6D9C" w:rsidRPr="00B447C7" w:rsidRDefault="002A6D9C">
            <w:pPr>
              <w:pStyle w:val="Symbol"/>
              <w:rPr>
                <w:i w:val="0"/>
                <w:iCs w:val="0"/>
              </w:rPr>
            </w:pPr>
            <w:r w:rsidRPr="00B447C7">
              <w:rPr>
                <w:i w:val="0"/>
                <w:iCs w:val="0"/>
              </w:rPr>
              <w:sym w:font="Wingdings" w:char="F0FC"/>
            </w:r>
          </w:p>
        </w:tc>
        <w:tc>
          <w:tcPr>
            <w:tcW w:w="8352" w:type="dxa"/>
            <w:shd w:val="clear" w:color="auto" w:fill="D9ECEA" w:themeFill="accent2"/>
          </w:tcPr>
          <w:p w14:paraId="1A399FB8" w14:textId="77777777" w:rsidR="002A6D9C" w:rsidRPr="00B447C7" w:rsidRDefault="002A6D9C">
            <w:pPr>
              <w:pStyle w:val="Exampletext"/>
              <w:rPr>
                <w:i w:val="0"/>
                <w:iCs w:val="0"/>
                <w:highlight w:val="green"/>
              </w:rPr>
            </w:pPr>
            <w:r w:rsidRPr="00B447C7">
              <w:rPr>
                <w:rStyle w:val="Addition"/>
                <w:i w:val="0"/>
                <w:iCs w:val="0"/>
              </w:rPr>
              <w:t xml:space="preserve">Support infill residential development in the General Residential Zone </w:t>
            </w:r>
            <w:r w:rsidRPr="00B447C7">
              <w:rPr>
                <w:rStyle w:val="Addition"/>
                <w:b/>
                <w:i w:val="0"/>
                <w:iCs w:val="0"/>
              </w:rPr>
              <w:t xml:space="preserve">that </w:t>
            </w:r>
            <w:r w:rsidRPr="00B447C7">
              <w:rPr>
                <w:rStyle w:val="Addition"/>
                <w:i w:val="0"/>
                <w:iCs w:val="0"/>
              </w:rPr>
              <w:t>respects the neighbourhood character of the area.</w:t>
            </w:r>
          </w:p>
        </w:tc>
      </w:tr>
    </w:tbl>
    <w:p w14:paraId="38CD3D49" w14:textId="77777777" w:rsidR="002A6D9C" w:rsidRDefault="002A6D9C" w:rsidP="002A6D9C">
      <w:pPr>
        <w:pStyle w:val="DELWPbodyaftertablediagram"/>
      </w:pPr>
      <w:r w:rsidRPr="00641462">
        <w:t xml:space="preserve">In </w:t>
      </w:r>
      <w:r>
        <w:t>the example above</w:t>
      </w:r>
      <w:r w:rsidRPr="00641462">
        <w:t xml:space="preserve">, the intent is to </w:t>
      </w:r>
      <w:r>
        <w:t xml:space="preserve">support only infill development that </w:t>
      </w:r>
      <w:r w:rsidRPr="00E24629">
        <w:rPr>
          <w:rStyle w:val="Addition"/>
        </w:rPr>
        <w:t>respects the neighbourhood character of the area</w:t>
      </w:r>
      <w:r>
        <w:rPr>
          <w:rStyle w:val="Addition"/>
        </w:rPr>
        <w:t xml:space="preserve">, not all </w:t>
      </w:r>
      <w:r w:rsidRPr="00E24629">
        <w:rPr>
          <w:rStyle w:val="Addition"/>
        </w:rPr>
        <w:t>infill residential development</w:t>
      </w:r>
      <w:r w:rsidRPr="00641462">
        <w:t>.</w:t>
      </w:r>
      <w:r>
        <w:t xml:space="preserve"> The latter part of the sentence is intended to define the type of infill development that is acceptable; it is not intended as added context or to be read as a digression.</w:t>
      </w:r>
    </w:p>
    <w:p w14:paraId="34B4EA85" w14:textId="77777777" w:rsidR="002A6D9C" w:rsidRDefault="002A6D9C" w:rsidP="002A6D9C">
      <w:pPr>
        <w:pStyle w:val="Head5"/>
      </w:pPr>
      <w:r>
        <w:t>Time</w:t>
      </w:r>
    </w:p>
    <w:p w14:paraId="1B95B15B" w14:textId="77777777" w:rsidR="002A6D9C" w:rsidRDefault="002A6D9C" w:rsidP="002A6D9C">
      <w:pPr>
        <w:pStyle w:val="BodyText1"/>
      </w:pPr>
      <w:r>
        <w:t>The abbreviations ‘am’ and ‘pm’ do not have full stops. A full stop should be used to separate the hours from the minutes:</w:t>
      </w:r>
    </w:p>
    <w:tbl>
      <w:tblPr>
        <w:tblStyle w:val="DELWPhighlighttable"/>
        <w:tblW w:w="9242" w:type="dxa"/>
        <w:tblInd w:w="0" w:type="dxa"/>
        <w:tblLook w:val="0400" w:firstRow="0" w:lastRow="0" w:firstColumn="0" w:lastColumn="0" w:noHBand="0" w:noVBand="1"/>
      </w:tblPr>
      <w:tblGrid>
        <w:gridCol w:w="9242"/>
      </w:tblGrid>
      <w:tr w:rsidR="002A6D9C" w:rsidRPr="000D5ADF" w14:paraId="1B7CE479" w14:textId="77777777">
        <w:trPr>
          <w:cantSplit/>
        </w:trPr>
        <w:tc>
          <w:tcPr>
            <w:tcW w:w="9242" w:type="dxa"/>
          </w:tcPr>
          <w:p w14:paraId="58C1BD02" w14:textId="77777777" w:rsidR="002A6D9C" w:rsidRPr="00F61256" w:rsidRDefault="002A6D9C">
            <w:pPr>
              <w:pStyle w:val="DELWPexamplebody"/>
              <w:spacing w:before="0"/>
            </w:pPr>
            <w:r w:rsidRPr="00035DA8">
              <w:t>9.15 am</w:t>
            </w:r>
          </w:p>
        </w:tc>
      </w:tr>
    </w:tbl>
    <w:p w14:paraId="2155BB45" w14:textId="77777777" w:rsidR="002A6D9C" w:rsidRDefault="002A6D9C" w:rsidP="0055634F">
      <w:pPr>
        <w:pStyle w:val="DELWPbodyaftertablediagram"/>
        <w:spacing w:before="120"/>
      </w:pPr>
      <w:r>
        <w:lastRenderedPageBreak/>
        <w:t>Drop the extra zeros for hours.</w:t>
      </w:r>
    </w:p>
    <w:tbl>
      <w:tblPr>
        <w:tblStyle w:val="TableGrid"/>
        <w:tblW w:w="9214" w:type="dxa"/>
        <w:tblInd w:w="0" w:type="dxa"/>
        <w:tblBorders>
          <w:top w:val="none" w:sz="0" w:space="0" w:color="auto"/>
          <w:left w:val="none" w:sz="0" w:space="0" w:color="auto"/>
          <w:bottom w:val="none" w:sz="0" w:space="0" w:color="auto"/>
          <w:right w:val="none" w:sz="0" w:space="0" w:color="auto"/>
        </w:tblBorders>
        <w:shd w:val="clear" w:color="auto" w:fill="D9ECEA" w:themeFill="accent2"/>
        <w:tblLook w:val="04A0" w:firstRow="1" w:lastRow="0" w:firstColumn="1" w:lastColumn="0" w:noHBand="0" w:noVBand="1"/>
      </w:tblPr>
      <w:tblGrid>
        <w:gridCol w:w="9214"/>
      </w:tblGrid>
      <w:tr w:rsidR="002A6D9C" w14:paraId="5A74FA01" w14:textId="77777777" w:rsidTr="0055634F">
        <w:trPr>
          <w:cnfStyle w:val="100000000000" w:firstRow="1" w:lastRow="0" w:firstColumn="0" w:lastColumn="0" w:oddVBand="0" w:evenVBand="0" w:oddHBand="0" w:evenHBand="0" w:firstRowFirstColumn="0" w:firstRowLastColumn="0" w:lastRowFirstColumn="0" w:lastRowLastColumn="0"/>
          <w:trHeight w:val="436"/>
        </w:trPr>
        <w:tc>
          <w:tcPr>
            <w:tcW w:w="9214" w:type="dxa"/>
            <w:shd w:val="clear" w:color="auto" w:fill="D9ECEA" w:themeFill="accent2"/>
          </w:tcPr>
          <w:p w14:paraId="70FDFA37" w14:textId="77777777" w:rsidR="002A6D9C" w:rsidRDefault="002A6D9C" w:rsidP="0055634F">
            <w:pPr>
              <w:pStyle w:val="DELWPexamplebody"/>
              <w:spacing w:before="0"/>
            </w:pPr>
            <w:r w:rsidRPr="00035DA8">
              <w:t>10 am not 10.00 am</w:t>
            </w:r>
          </w:p>
        </w:tc>
      </w:tr>
    </w:tbl>
    <w:p w14:paraId="54A7D31A" w14:textId="77777777" w:rsidR="002A6D9C" w:rsidRPr="00CD57E6" w:rsidRDefault="002A6D9C" w:rsidP="002A6D9C">
      <w:pPr>
        <w:pStyle w:val="Head5"/>
      </w:pPr>
      <w:r w:rsidRPr="00CD57E6">
        <w:t>Web addresses</w:t>
      </w:r>
    </w:p>
    <w:p w14:paraId="37E1F264" w14:textId="3B84A5A2" w:rsidR="002A6D9C" w:rsidRPr="0092046C" w:rsidRDefault="002A6D9C" w:rsidP="00A12829">
      <w:pPr>
        <w:pStyle w:val="BodyText1"/>
      </w:pPr>
      <w:r w:rsidRPr="00CD57E6">
        <w:t>Italicise names of websites if they are not written in full. Bold URLs that are written in full. Underline them only if they are live links.</w:t>
      </w:r>
      <w:r w:rsidR="00A12829">
        <w:t xml:space="preserve"> </w:t>
      </w:r>
      <w:r w:rsidR="0092046C" w:rsidRPr="0092046C">
        <w:t xml:space="preserve">For example: </w:t>
      </w:r>
      <w:hyperlink r:id="rId41" w:history="1">
        <w:r w:rsidR="0092046C" w:rsidRPr="00790457">
          <w:rPr>
            <w:rStyle w:val="Hyperlink"/>
            <w:b/>
            <w:bCs/>
            <w:color w:val="auto"/>
          </w:rPr>
          <w:t>planning.vic.gov.au</w:t>
        </w:r>
      </w:hyperlink>
    </w:p>
    <w:p w14:paraId="279C1CEF" w14:textId="4AED5ABC" w:rsidR="00DC2411" w:rsidRDefault="002A6D9C" w:rsidP="002E55BC">
      <w:pPr>
        <w:pStyle w:val="BodyText1"/>
      </w:pPr>
      <w:r w:rsidRPr="001C2C0F">
        <w:t>Web addresses do not require ‘</w:t>
      </w:r>
      <w:r w:rsidRPr="001C2C0F">
        <w:rPr>
          <w:i/>
          <w:iCs/>
        </w:rPr>
        <w:t>http:/</w:t>
      </w:r>
      <w:r w:rsidR="00DF6F22">
        <w:rPr>
          <w:i/>
          <w:iCs/>
        </w:rPr>
        <w:t>www.</w:t>
      </w:r>
      <w:r w:rsidRPr="001C2C0F">
        <w:rPr>
          <w:i/>
          <w:iCs/>
        </w:rPr>
        <w:t>/</w:t>
      </w:r>
      <w:r w:rsidRPr="001C2C0F">
        <w:t>’ to be included at the start.</w:t>
      </w:r>
    </w:p>
    <w:p w14:paraId="37A3612D" w14:textId="03DBA744" w:rsidR="00112935" w:rsidRPr="00B3434E" w:rsidRDefault="00257C6D" w:rsidP="00D2198E">
      <w:pPr>
        <w:pStyle w:val="Heading1"/>
      </w:pPr>
      <w:bookmarkStart w:id="330" w:name="_Appendix_2_–"/>
      <w:bookmarkStart w:id="331" w:name="_Toc158706998"/>
      <w:bookmarkEnd w:id="330"/>
      <w:r>
        <w:lastRenderedPageBreak/>
        <w:t>Appendix 2</w:t>
      </w:r>
      <w:r w:rsidR="00401DC2" w:rsidRPr="00B3434E">
        <w:t xml:space="preserve"> </w:t>
      </w:r>
      <w:bookmarkStart w:id="332" w:name="_Hlk145587630"/>
      <w:r w:rsidR="00A16B15">
        <w:t>–</w:t>
      </w:r>
      <w:r w:rsidR="00B3434E">
        <w:t xml:space="preserve"> </w:t>
      </w:r>
      <w:r w:rsidR="00112935" w:rsidRPr="00B3434E">
        <w:t>Planning Policy Framework Verbs</w:t>
      </w:r>
      <w:bookmarkEnd w:id="331"/>
    </w:p>
    <w:bookmarkEnd w:id="332"/>
    <w:p w14:paraId="65EE3297" w14:textId="11703E66" w:rsidR="00210DBA" w:rsidRPr="00210DBA" w:rsidRDefault="00210DBA" w:rsidP="002E55BC">
      <w:pPr>
        <w:pStyle w:val="BodyText1"/>
      </w:pPr>
      <w:r>
        <w:t>The list below suggests verbs to use and those to avoid when writing strategies for the PPF.</w:t>
      </w:r>
      <w:r w:rsidR="006C023B">
        <w:t xml:space="preserve"> </w:t>
      </w:r>
      <w:r w:rsidRPr="00210DBA">
        <w:t>A verb is not automatically suitable because it is included in this list.</w:t>
      </w:r>
      <w:r w:rsidR="006C023B">
        <w:t xml:space="preserve"> </w:t>
      </w:r>
      <w:r>
        <w:t xml:space="preserve">Verbs must be chosen carefully </w:t>
      </w:r>
      <w:r w:rsidRPr="00210DBA">
        <w:t xml:space="preserve">to </w:t>
      </w:r>
      <w:r>
        <w:t xml:space="preserve">achieve </w:t>
      </w:r>
      <w:r w:rsidR="007826D2">
        <w:t>the intended outcome</w:t>
      </w:r>
      <w:r w:rsidRPr="00210DBA">
        <w:t>.</w:t>
      </w:r>
    </w:p>
    <w:p w14:paraId="14A74288" w14:textId="38DA6124" w:rsidR="00A96599" w:rsidRPr="00A96599" w:rsidRDefault="00A96599" w:rsidP="003D6FBF">
      <w:pPr>
        <w:pStyle w:val="Heading4"/>
      </w:pPr>
      <w:r w:rsidRPr="00A96599">
        <w:t>Encouraging verbs</w:t>
      </w:r>
    </w:p>
    <w:p w14:paraId="6FB01147" w14:textId="77777777" w:rsidR="00A96599" w:rsidRPr="00E41E11" w:rsidRDefault="00A96599" w:rsidP="00723A0D">
      <w:pPr>
        <w:pStyle w:val="DELWPbullet1"/>
        <w:rPr>
          <w:shd w:val="clear" w:color="auto" w:fill="FFFFFF"/>
        </w:rPr>
      </w:pPr>
      <w:r w:rsidRPr="00E41E11">
        <w:rPr>
          <w:b/>
          <w:shd w:val="clear" w:color="auto" w:fill="FFFFFF"/>
        </w:rPr>
        <w:t>Allow:</w:t>
      </w:r>
      <w:r w:rsidRPr="00E41E11">
        <w:rPr>
          <w:shd w:val="clear" w:color="auto" w:fill="FFFFFF"/>
        </w:rPr>
        <w:t xml:space="preserve">  to grant permission to or for</w:t>
      </w:r>
    </w:p>
    <w:p w14:paraId="5093C1A2" w14:textId="77777777" w:rsidR="00A96599" w:rsidRPr="00E41E11" w:rsidRDefault="00A96599" w:rsidP="00723A0D">
      <w:pPr>
        <w:pStyle w:val="DELWPbullet1"/>
        <w:rPr>
          <w:b/>
        </w:rPr>
      </w:pPr>
      <w:r w:rsidRPr="00E41E11">
        <w:rPr>
          <w:b/>
        </w:rPr>
        <w:t>Assist:</w:t>
      </w:r>
      <w:r w:rsidRPr="00C81A89">
        <w:rPr>
          <w:bCs/>
        </w:rPr>
        <w:t xml:space="preserve">  </w:t>
      </w:r>
      <w:r w:rsidRPr="00E41E11">
        <w:t xml:space="preserve">to give support, help or aid </w:t>
      </w:r>
    </w:p>
    <w:p w14:paraId="4F7852F8" w14:textId="1A1689CD" w:rsidR="00A96599" w:rsidRPr="00E41E11" w:rsidRDefault="00A96599" w:rsidP="00723A0D">
      <w:pPr>
        <w:pStyle w:val="DELWPbullet1"/>
      </w:pPr>
      <w:r w:rsidRPr="00E41E11">
        <w:rPr>
          <w:b/>
          <w:shd w:val="clear" w:color="auto" w:fill="FFFFFF"/>
        </w:rPr>
        <w:t>Enable:</w:t>
      </w:r>
      <w:r w:rsidRPr="00E41E11">
        <w:rPr>
          <w:shd w:val="clear" w:color="auto" w:fill="FFFFFF"/>
        </w:rPr>
        <w:t xml:space="preserve">  to make possible or easy</w:t>
      </w:r>
    </w:p>
    <w:p w14:paraId="5613DC3E" w14:textId="77777777" w:rsidR="00A96599" w:rsidRPr="00E41E11" w:rsidRDefault="00A96599" w:rsidP="00723A0D">
      <w:pPr>
        <w:pStyle w:val="DELWPbullet1"/>
      </w:pPr>
      <w:r w:rsidRPr="00E41E11">
        <w:rPr>
          <w:b/>
        </w:rPr>
        <w:t>Enhance:</w:t>
      </w:r>
      <w:r w:rsidRPr="00C81A89">
        <w:rPr>
          <w:bCs/>
        </w:rPr>
        <w:t xml:space="preserve">  </w:t>
      </w:r>
      <w:r w:rsidRPr="00E41E11">
        <w:t>to raise to a higher degree, intensify or magnify</w:t>
      </w:r>
    </w:p>
    <w:p w14:paraId="52F522CB" w14:textId="77777777" w:rsidR="00A96599" w:rsidRPr="00E41E11" w:rsidRDefault="00A96599" w:rsidP="00723A0D">
      <w:pPr>
        <w:pStyle w:val="DELWPbullet1"/>
        <w:rPr>
          <w:b/>
        </w:rPr>
      </w:pPr>
      <w:r w:rsidRPr="00E41E11">
        <w:rPr>
          <w:b/>
        </w:rPr>
        <w:t>Encourage:</w:t>
      </w:r>
      <w:r w:rsidRPr="00E41E11">
        <w:t xml:space="preserve">  to</w:t>
      </w:r>
      <w:r w:rsidRPr="00E41E11">
        <w:rPr>
          <w:b/>
        </w:rPr>
        <w:t xml:space="preserve"> </w:t>
      </w:r>
      <w:r w:rsidRPr="00E41E11">
        <w:rPr>
          <w:shd w:val="clear" w:color="auto" w:fill="FFFFFF"/>
        </w:rPr>
        <w:t>stimulate by assistance; approval</w:t>
      </w:r>
    </w:p>
    <w:p w14:paraId="2144B1A5" w14:textId="77777777" w:rsidR="00A96599" w:rsidRPr="00E41E11" w:rsidRDefault="00A96599" w:rsidP="00723A0D">
      <w:pPr>
        <w:pStyle w:val="DELWPbullet1"/>
        <w:rPr>
          <w:b/>
        </w:rPr>
      </w:pPr>
      <w:r w:rsidRPr="00E41E11">
        <w:rPr>
          <w:b/>
        </w:rPr>
        <w:t>Facilitate:</w:t>
      </w:r>
      <w:r w:rsidRPr="00E41E11">
        <w:t xml:space="preserve">  to </w:t>
      </w:r>
      <w:r w:rsidRPr="00E41E11">
        <w:rPr>
          <w:shd w:val="clear" w:color="auto" w:fill="FFFFFF"/>
        </w:rPr>
        <w:t>make easier or less difficult</w:t>
      </w:r>
    </w:p>
    <w:p w14:paraId="635FCFFF" w14:textId="77777777" w:rsidR="00A96599" w:rsidRPr="00E76DD3" w:rsidRDefault="00A96599" w:rsidP="00723A0D">
      <w:pPr>
        <w:pStyle w:val="DELWPbullet1"/>
        <w:rPr>
          <w:b/>
        </w:rPr>
      </w:pPr>
      <w:r w:rsidRPr="00E41E11">
        <w:rPr>
          <w:b/>
        </w:rPr>
        <w:t>Improve:</w:t>
      </w:r>
      <w:r w:rsidRPr="00C81A89">
        <w:rPr>
          <w:bCs/>
        </w:rPr>
        <w:t xml:space="preserve">  </w:t>
      </w:r>
      <w:r w:rsidRPr="00E41E11">
        <w:rPr>
          <w:shd w:val="clear" w:color="auto" w:fill="FFFFFF"/>
        </w:rPr>
        <w:t>to bring</w:t>
      </w:r>
      <w:r w:rsidRPr="00B3001C">
        <w:rPr>
          <w:shd w:val="clear" w:color="auto" w:fill="FFFFFF"/>
        </w:rPr>
        <w:t xml:space="preserve"> into a more desirable or excellent condition</w:t>
      </w:r>
    </w:p>
    <w:p w14:paraId="6DBB474B" w14:textId="77777777" w:rsidR="00A96599" w:rsidRPr="00E41E11" w:rsidRDefault="00A96599" w:rsidP="00723A0D">
      <w:pPr>
        <w:pStyle w:val="DELWPbullet1"/>
        <w:rPr>
          <w:shd w:val="clear" w:color="auto" w:fill="FFFFFF"/>
        </w:rPr>
      </w:pPr>
      <w:r w:rsidRPr="00E41E11">
        <w:rPr>
          <w:b/>
        </w:rPr>
        <w:t>Promote:</w:t>
      </w:r>
      <w:r w:rsidRPr="00C81A89">
        <w:rPr>
          <w:bCs/>
        </w:rPr>
        <w:t xml:space="preserve">  </w:t>
      </w:r>
      <w:r w:rsidRPr="00E41E11">
        <w:rPr>
          <w:shd w:val="clear" w:color="auto" w:fill="FFFFFF"/>
        </w:rPr>
        <w:t>to further the growth, development, progress of; encourage</w:t>
      </w:r>
    </w:p>
    <w:p w14:paraId="44AB0A66" w14:textId="77777777" w:rsidR="00A96599" w:rsidRPr="00E41E11" w:rsidRDefault="00A96599" w:rsidP="00723A0D">
      <w:pPr>
        <w:pStyle w:val="DELWPbullet1"/>
        <w:rPr>
          <w:b/>
        </w:rPr>
      </w:pPr>
      <w:r w:rsidRPr="00E41E11">
        <w:rPr>
          <w:b/>
        </w:rPr>
        <w:t>Prioritise:</w:t>
      </w:r>
      <w:r w:rsidRPr="00C81A89">
        <w:rPr>
          <w:bCs/>
        </w:rPr>
        <w:t xml:space="preserve">  </w:t>
      </w:r>
      <w:r w:rsidRPr="00E41E11">
        <w:t>to give priority to</w:t>
      </w:r>
    </w:p>
    <w:p w14:paraId="70BAB229" w14:textId="77777777" w:rsidR="00A96599" w:rsidRPr="00E41E11" w:rsidRDefault="00A96599" w:rsidP="00723A0D">
      <w:pPr>
        <w:pStyle w:val="DELWPbullet1"/>
        <w:rPr>
          <w:b/>
        </w:rPr>
      </w:pPr>
      <w:r w:rsidRPr="00E41E11">
        <w:rPr>
          <w:b/>
        </w:rPr>
        <w:t>Strengthen:</w:t>
      </w:r>
      <w:r w:rsidRPr="00E41E11">
        <w:t xml:space="preserve">  to make stronger</w:t>
      </w:r>
    </w:p>
    <w:p w14:paraId="4551B732" w14:textId="77777777" w:rsidR="00A96599" w:rsidRPr="00E41E11" w:rsidRDefault="00A96599" w:rsidP="00723A0D">
      <w:pPr>
        <w:pStyle w:val="DELWPbullet1"/>
        <w:rPr>
          <w:b/>
        </w:rPr>
      </w:pPr>
      <w:r w:rsidRPr="00E41E11">
        <w:rPr>
          <w:b/>
        </w:rPr>
        <w:t>Support:</w:t>
      </w:r>
      <w:r w:rsidRPr="00C81A89">
        <w:rPr>
          <w:bCs/>
        </w:rPr>
        <w:t xml:space="preserve">  </w:t>
      </w:r>
      <w:r w:rsidRPr="00E41E11">
        <w:rPr>
          <w:shd w:val="clear" w:color="auto" w:fill="FFFFFF"/>
        </w:rPr>
        <w:t>to uphold by aid; advocacy or endorsement</w:t>
      </w:r>
    </w:p>
    <w:p w14:paraId="6AEDCD02" w14:textId="77777777" w:rsidR="00A96599" w:rsidRPr="007F2EC6" w:rsidRDefault="00A96599" w:rsidP="00723A0D">
      <w:pPr>
        <w:pStyle w:val="DELWPbullet1"/>
        <w:rPr>
          <w:b/>
        </w:rPr>
      </w:pPr>
      <w:r w:rsidRPr="00E41E11">
        <w:rPr>
          <w:b/>
        </w:rPr>
        <w:t>Upgrade</w:t>
      </w:r>
      <w:r w:rsidRPr="00E41E11">
        <w:t>:</w:t>
      </w:r>
      <w:r w:rsidRPr="007F2EC6">
        <w:t xml:space="preserve">  to assign to a higher status; to improve</w:t>
      </w:r>
    </w:p>
    <w:p w14:paraId="3FDEA962" w14:textId="77777777" w:rsidR="00A96599" w:rsidRPr="00B3001C" w:rsidRDefault="00A96599" w:rsidP="003D6FBF">
      <w:pPr>
        <w:pStyle w:val="Heading4"/>
      </w:pPr>
      <w:r w:rsidRPr="00B3001C">
        <w:t>Protective verbs</w:t>
      </w:r>
    </w:p>
    <w:p w14:paraId="5C14DE8E" w14:textId="2E94007D" w:rsidR="00A96599" w:rsidRPr="00E41E11" w:rsidRDefault="00A96599" w:rsidP="00723A0D">
      <w:pPr>
        <w:pStyle w:val="DELWPbullet1"/>
        <w:rPr>
          <w:b/>
        </w:rPr>
      </w:pPr>
      <w:r w:rsidRPr="00E41E11">
        <w:rPr>
          <w:b/>
        </w:rPr>
        <w:t>Conserve</w:t>
      </w:r>
      <w:r w:rsidRPr="00A16B15">
        <w:rPr>
          <w:bCs/>
        </w:rPr>
        <w:t>:</w:t>
      </w:r>
      <w:r w:rsidR="007E222A" w:rsidRPr="00C81A89">
        <w:rPr>
          <w:bCs/>
        </w:rPr>
        <w:t xml:space="preserve"> </w:t>
      </w:r>
      <w:r w:rsidRPr="00C81A89">
        <w:rPr>
          <w:bCs/>
        </w:rPr>
        <w:t xml:space="preserve"> </w:t>
      </w:r>
      <w:r w:rsidRPr="00E41E11">
        <w:t>to keep in a safe or sound state; preserve from loss, decay, waste or injury</w:t>
      </w:r>
    </w:p>
    <w:p w14:paraId="27AAD224" w14:textId="77777777" w:rsidR="00A96599" w:rsidRPr="00E41E11" w:rsidRDefault="00A96599" w:rsidP="00723A0D">
      <w:pPr>
        <w:pStyle w:val="DELWPbullet1"/>
        <w:rPr>
          <w:b/>
        </w:rPr>
      </w:pPr>
      <w:r w:rsidRPr="00E41E11">
        <w:rPr>
          <w:b/>
        </w:rPr>
        <w:t>Maintain:</w:t>
      </w:r>
      <w:r w:rsidRPr="00C81A89">
        <w:rPr>
          <w:bCs/>
        </w:rPr>
        <w:t xml:space="preserve">  </w:t>
      </w:r>
      <w:r w:rsidRPr="00E41E11">
        <w:t>to keep in existence or continuance; preserve; retain; to keep in due condition, operation or force.</w:t>
      </w:r>
    </w:p>
    <w:p w14:paraId="5F4C7FC6" w14:textId="77777777" w:rsidR="00A96599" w:rsidRPr="00E41E11" w:rsidRDefault="00A96599" w:rsidP="00723A0D">
      <w:pPr>
        <w:pStyle w:val="DELWPbullet1"/>
        <w:rPr>
          <w:b/>
        </w:rPr>
      </w:pPr>
      <w:r w:rsidRPr="00E41E11">
        <w:rPr>
          <w:b/>
        </w:rPr>
        <w:t>Preserve:</w:t>
      </w:r>
      <w:r w:rsidRPr="00C81A89">
        <w:rPr>
          <w:bCs/>
        </w:rPr>
        <w:t xml:space="preserve">  </w:t>
      </w:r>
      <w:r w:rsidRPr="00E41E11">
        <w:t>to keep alive or in existence; make lasting; to keep safe from harm or injury</w:t>
      </w:r>
    </w:p>
    <w:p w14:paraId="14CEC0D3" w14:textId="77777777" w:rsidR="00A96599" w:rsidRPr="00E41E11" w:rsidRDefault="00A96599" w:rsidP="00723A0D">
      <w:pPr>
        <w:pStyle w:val="DELWPbullet1"/>
        <w:rPr>
          <w:b/>
        </w:rPr>
      </w:pPr>
      <w:r w:rsidRPr="00E41E11">
        <w:rPr>
          <w:b/>
        </w:rPr>
        <w:t>Protect:</w:t>
      </w:r>
      <w:r w:rsidRPr="00C81A89">
        <w:rPr>
          <w:bCs/>
        </w:rPr>
        <w:t xml:space="preserve">  </w:t>
      </w:r>
      <w:r w:rsidRPr="00E41E11">
        <w:rPr>
          <w:shd w:val="clear" w:color="auto" w:fill="FFFFFF"/>
        </w:rPr>
        <w:t>to cover or shield from injury or danger</w:t>
      </w:r>
    </w:p>
    <w:p w14:paraId="5AC815B9" w14:textId="77777777" w:rsidR="00A96599" w:rsidRPr="00E41E11" w:rsidRDefault="00A96599" w:rsidP="00723A0D">
      <w:pPr>
        <w:pStyle w:val="DELWPbullet1"/>
        <w:rPr>
          <w:shd w:val="clear" w:color="auto" w:fill="FFFFFF"/>
        </w:rPr>
      </w:pPr>
      <w:r w:rsidRPr="00E41E11">
        <w:rPr>
          <w:b/>
          <w:shd w:val="clear" w:color="auto" w:fill="FFFFFF"/>
        </w:rPr>
        <w:t>Respect</w:t>
      </w:r>
      <w:r w:rsidRPr="00E41E11">
        <w:rPr>
          <w:shd w:val="clear" w:color="auto" w:fill="FFFFFF"/>
        </w:rPr>
        <w:t>:  to treat with consideration; relate or have reference to</w:t>
      </w:r>
    </w:p>
    <w:p w14:paraId="48F64774" w14:textId="77777777" w:rsidR="00A96599" w:rsidRPr="00B3001C" w:rsidRDefault="00A96599" w:rsidP="00723A0D">
      <w:pPr>
        <w:pStyle w:val="DELWPbullet1"/>
        <w:rPr>
          <w:b/>
        </w:rPr>
      </w:pPr>
      <w:r w:rsidRPr="00E41E11">
        <w:rPr>
          <w:b/>
        </w:rPr>
        <w:t>Retain</w:t>
      </w:r>
      <w:r w:rsidRPr="00A16B15">
        <w:rPr>
          <w:bCs/>
        </w:rPr>
        <w:t>:</w:t>
      </w:r>
      <w:r w:rsidRPr="00C81A89">
        <w:rPr>
          <w:bCs/>
        </w:rPr>
        <w:t xml:space="preserve">  </w:t>
      </w:r>
      <w:r w:rsidRPr="00E41E11">
        <w:rPr>
          <w:shd w:val="clear" w:color="auto" w:fill="FFFFFF"/>
        </w:rPr>
        <w:t>to</w:t>
      </w:r>
      <w:r w:rsidRPr="00B3001C">
        <w:rPr>
          <w:shd w:val="clear" w:color="auto" w:fill="FFFFFF"/>
        </w:rPr>
        <w:t xml:space="preserve"> keep po</w:t>
      </w:r>
      <w:r>
        <w:rPr>
          <w:shd w:val="clear" w:color="auto" w:fill="FFFFFF"/>
        </w:rPr>
        <w:t>s</w:t>
      </w:r>
      <w:r w:rsidRPr="00B3001C">
        <w:rPr>
          <w:shd w:val="clear" w:color="auto" w:fill="FFFFFF"/>
        </w:rPr>
        <w:t>session of; to continue to use, practise; to hold in place or position</w:t>
      </w:r>
    </w:p>
    <w:p w14:paraId="2B20008A" w14:textId="77777777" w:rsidR="00A96599" w:rsidRPr="00B3001C" w:rsidRDefault="00A96599" w:rsidP="003D6FBF">
      <w:pPr>
        <w:pStyle w:val="Heading4"/>
      </w:pPr>
      <w:r w:rsidRPr="00B3001C">
        <w:t>Conclusive verbs</w:t>
      </w:r>
    </w:p>
    <w:p w14:paraId="05C167FB" w14:textId="77777777" w:rsidR="00A96599" w:rsidRPr="00E41E11" w:rsidRDefault="00A96599" w:rsidP="00723A0D">
      <w:pPr>
        <w:pStyle w:val="DELWPbullet1"/>
        <w:rPr>
          <w:shd w:val="clear" w:color="auto" w:fill="FFFFFF"/>
        </w:rPr>
      </w:pPr>
      <w:r w:rsidRPr="00E41E11">
        <w:rPr>
          <w:b/>
        </w:rPr>
        <w:t>Avoid:</w:t>
      </w:r>
      <w:r w:rsidRPr="00C81A89">
        <w:rPr>
          <w:bCs/>
        </w:rPr>
        <w:t xml:space="preserve">  </w:t>
      </w:r>
      <w:r w:rsidRPr="00E41E11">
        <w:rPr>
          <w:shd w:val="clear" w:color="auto" w:fill="FFFFFF"/>
        </w:rPr>
        <w:t>keep away from or keep clear of</w:t>
      </w:r>
    </w:p>
    <w:p w14:paraId="67BEC459" w14:textId="5032CC3C" w:rsidR="00A96599" w:rsidRPr="00E41E11" w:rsidRDefault="00A96599" w:rsidP="00723A0D">
      <w:pPr>
        <w:pStyle w:val="DELWPbullet1"/>
        <w:rPr>
          <w:b/>
        </w:rPr>
      </w:pPr>
      <w:r w:rsidRPr="00E41E11">
        <w:rPr>
          <w:b/>
        </w:rPr>
        <w:t>Ensure:</w:t>
      </w:r>
      <w:r w:rsidRPr="00E41E11">
        <w:t xml:space="preserve">  to</w:t>
      </w:r>
      <w:r w:rsidRPr="00E41E11">
        <w:rPr>
          <w:b/>
        </w:rPr>
        <w:t xml:space="preserve"> </w:t>
      </w:r>
      <w:r w:rsidRPr="00E41E11">
        <w:rPr>
          <w:shd w:val="clear" w:color="auto" w:fill="FFFFFF"/>
        </w:rPr>
        <w:t xml:space="preserve">make sure or certain to occur </w:t>
      </w:r>
      <w:r w:rsidR="003920EF">
        <w:rPr>
          <w:shd w:val="clear" w:color="auto" w:fill="FFFFFF"/>
        </w:rPr>
        <w:t>(only use this term if</w:t>
      </w:r>
      <w:r w:rsidR="004D33D2">
        <w:rPr>
          <w:shd w:val="clear" w:color="auto" w:fill="FFFFFF"/>
        </w:rPr>
        <w:t xml:space="preserve"> the desired outcome can </w:t>
      </w:r>
      <w:proofErr w:type="gramStart"/>
      <w:r w:rsidR="004D33D2">
        <w:rPr>
          <w:shd w:val="clear" w:color="auto" w:fill="FFFFFF"/>
        </w:rPr>
        <w:t>actually be</w:t>
      </w:r>
      <w:proofErr w:type="gramEnd"/>
      <w:r w:rsidR="004D33D2">
        <w:rPr>
          <w:shd w:val="clear" w:color="auto" w:fill="FFFFFF"/>
        </w:rPr>
        <w:t xml:space="preserve"> ensured)</w:t>
      </w:r>
    </w:p>
    <w:p w14:paraId="1C7F8511" w14:textId="18C4274B" w:rsidR="00A96599" w:rsidRPr="00517992" w:rsidRDefault="00A96599" w:rsidP="00723A0D">
      <w:pPr>
        <w:pStyle w:val="DELWPbullet1"/>
        <w:rPr>
          <w:b/>
        </w:rPr>
      </w:pPr>
      <w:r w:rsidRPr="00E41E11">
        <w:rPr>
          <w:b/>
        </w:rPr>
        <w:t>Prevent:</w:t>
      </w:r>
      <w:r w:rsidRPr="00C81A89">
        <w:rPr>
          <w:bCs/>
        </w:rPr>
        <w:t xml:space="preserve"> </w:t>
      </w:r>
      <w:r w:rsidR="00D92C0F" w:rsidRPr="00C81A89">
        <w:rPr>
          <w:bCs/>
        </w:rPr>
        <w:t xml:space="preserve"> </w:t>
      </w:r>
      <w:r w:rsidRPr="00DA2BA1">
        <w:t>to keep from occurring; hinder</w:t>
      </w:r>
    </w:p>
    <w:p w14:paraId="6320A4E1" w14:textId="77777777" w:rsidR="00A96599" w:rsidRPr="00B3001C" w:rsidRDefault="00A96599" w:rsidP="003D6FBF">
      <w:pPr>
        <w:pStyle w:val="Heading4"/>
      </w:pPr>
      <w:r w:rsidRPr="00B3001C">
        <w:t>Discouraging verbs</w:t>
      </w:r>
    </w:p>
    <w:p w14:paraId="7662456B" w14:textId="77777777" w:rsidR="00A96599" w:rsidRPr="00E41E11" w:rsidRDefault="00A96599" w:rsidP="00723A0D">
      <w:pPr>
        <w:pStyle w:val="DELWPbullet1"/>
        <w:rPr>
          <w:b/>
        </w:rPr>
      </w:pPr>
      <w:r w:rsidRPr="00E41E11">
        <w:rPr>
          <w:b/>
        </w:rPr>
        <w:t>Limit:</w:t>
      </w:r>
      <w:r w:rsidRPr="00DC2C3F">
        <w:rPr>
          <w:bCs/>
        </w:rPr>
        <w:t xml:space="preserve"> </w:t>
      </w:r>
      <w:r w:rsidRPr="00E41E11">
        <w:rPr>
          <w:shd w:val="clear" w:color="auto" w:fill="FFFFFF"/>
        </w:rPr>
        <w:t xml:space="preserve"> to confine or keep within limits; to restrict</w:t>
      </w:r>
    </w:p>
    <w:p w14:paraId="330E197A" w14:textId="77777777" w:rsidR="00A96599" w:rsidRPr="00E41E11" w:rsidRDefault="00A96599" w:rsidP="00723A0D">
      <w:pPr>
        <w:pStyle w:val="DELWPbullet1"/>
        <w:rPr>
          <w:b/>
        </w:rPr>
      </w:pPr>
      <w:r w:rsidRPr="00E41E11">
        <w:rPr>
          <w:b/>
        </w:rPr>
        <w:t>Minimise:</w:t>
      </w:r>
      <w:r w:rsidRPr="00E41E11">
        <w:t xml:space="preserve">  to </w:t>
      </w:r>
      <w:r w:rsidRPr="00E41E11">
        <w:rPr>
          <w:shd w:val="clear" w:color="auto" w:fill="FFFFFF"/>
        </w:rPr>
        <w:t>reduce to the smallest possible amount or degree</w:t>
      </w:r>
    </w:p>
    <w:p w14:paraId="3EF41DAF" w14:textId="77777777" w:rsidR="00A96599" w:rsidRPr="00E41E11" w:rsidRDefault="00A96599" w:rsidP="00723A0D">
      <w:pPr>
        <w:pStyle w:val="DELWPbullet1"/>
        <w:rPr>
          <w:b/>
        </w:rPr>
      </w:pPr>
      <w:r w:rsidRPr="00E41E11">
        <w:rPr>
          <w:b/>
        </w:rPr>
        <w:t>Reduce:</w:t>
      </w:r>
      <w:r w:rsidRPr="00DC2C3F">
        <w:rPr>
          <w:bCs/>
        </w:rPr>
        <w:t xml:space="preserve">  </w:t>
      </w:r>
      <w:r w:rsidRPr="00E41E11">
        <w:rPr>
          <w:shd w:val="clear" w:color="auto" w:fill="FFFFFF"/>
        </w:rPr>
        <w:t>to bring down to a smaller extent, size, amount; to lower in degree, intensity</w:t>
      </w:r>
    </w:p>
    <w:p w14:paraId="36239D8A" w14:textId="77777777" w:rsidR="00A96599" w:rsidRPr="00E41E11" w:rsidRDefault="00A96599" w:rsidP="00723A0D">
      <w:pPr>
        <w:pStyle w:val="DELWPbullet1"/>
        <w:rPr>
          <w:b/>
        </w:rPr>
      </w:pPr>
      <w:r w:rsidRPr="00E41E11">
        <w:rPr>
          <w:b/>
        </w:rPr>
        <w:t>Restrict:</w:t>
      </w:r>
      <w:r w:rsidRPr="00E41E11">
        <w:t xml:space="preserve">  to </w:t>
      </w:r>
      <w:r w:rsidRPr="00E41E11">
        <w:rPr>
          <w:shd w:val="clear" w:color="auto" w:fill="FFFFFF"/>
        </w:rPr>
        <w:t>confine or keep within limits as of space, action, choice or quantity</w:t>
      </w:r>
    </w:p>
    <w:p w14:paraId="0F5F7E3E" w14:textId="77777777" w:rsidR="00A96599" w:rsidRPr="00B3001C" w:rsidRDefault="00A96599" w:rsidP="00723A0D">
      <w:pPr>
        <w:pStyle w:val="DELWPbullet1"/>
        <w:rPr>
          <w:b/>
        </w:rPr>
      </w:pPr>
      <w:r w:rsidRPr="00E41E11">
        <w:rPr>
          <w:b/>
        </w:rPr>
        <w:lastRenderedPageBreak/>
        <w:t>Discourage:</w:t>
      </w:r>
      <w:r w:rsidRPr="00C81A89">
        <w:rPr>
          <w:bCs/>
        </w:rPr>
        <w:t xml:space="preserve">  </w:t>
      </w:r>
      <w:r w:rsidRPr="00B3001C">
        <w:rPr>
          <w:shd w:val="clear" w:color="auto" w:fill="FFFFFF"/>
        </w:rPr>
        <w:t>to express disapproval of; to dissuade from; to obstruct by opposition</w:t>
      </w:r>
    </w:p>
    <w:p w14:paraId="5D7AD275" w14:textId="77777777" w:rsidR="00A96599" w:rsidRPr="00B1715B" w:rsidRDefault="00A96599" w:rsidP="003D6FBF">
      <w:pPr>
        <w:pStyle w:val="Heading4"/>
      </w:pPr>
      <w:r w:rsidRPr="00B3001C">
        <w:t xml:space="preserve">Neutral verbs </w:t>
      </w:r>
      <w:r w:rsidRPr="00B1715B">
        <w:t>(could encourage or discourage depending on context)</w:t>
      </w:r>
    </w:p>
    <w:p w14:paraId="4BE8CCB6" w14:textId="77777777" w:rsidR="00A96599" w:rsidRPr="00E41E11" w:rsidRDefault="00A96599" w:rsidP="00723A0D">
      <w:pPr>
        <w:pStyle w:val="DELWPbullet1"/>
        <w:rPr>
          <w:b/>
        </w:rPr>
      </w:pPr>
      <w:r w:rsidRPr="00E41E11">
        <w:rPr>
          <w:b/>
        </w:rPr>
        <w:t>Accommodate:</w:t>
      </w:r>
      <w:r w:rsidRPr="00DC2C3F">
        <w:rPr>
          <w:bCs/>
        </w:rPr>
        <w:t xml:space="preserve">  </w:t>
      </w:r>
      <w:r w:rsidRPr="00E41E11">
        <w:rPr>
          <w:shd w:val="clear" w:color="auto" w:fill="FFFFFF"/>
        </w:rPr>
        <w:t>to find or provide space for (something); to make suitable or consistent</w:t>
      </w:r>
    </w:p>
    <w:p w14:paraId="3D0245C6" w14:textId="77777777" w:rsidR="00A96599" w:rsidRPr="00E41E11" w:rsidRDefault="00A96599" w:rsidP="00723A0D">
      <w:pPr>
        <w:pStyle w:val="DELWPbullet1"/>
        <w:rPr>
          <w:b/>
        </w:rPr>
      </w:pPr>
      <w:r w:rsidRPr="00E41E11">
        <w:rPr>
          <w:b/>
        </w:rPr>
        <w:t>Allocate:</w:t>
      </w:r>
      <w:r w:rsidRPr="00DC2C3F">
        <w:rPr>
          <w:bCs/>
        </w:rPr>
        <w:t xml:space="preserve">  </w:t>
      </w:r>
      <w:r w:rsidRPr="00E41E11">
        <w:rPr>
          <w:shd w:val="clear" w:color="auto" w:fill="FFFFFF"/>
        </w:rPr>
        <w:t>to set apart for a particular purpose; assign or allot</w:t>
      </w:r>
    </w:p>
    <w:p w14:paraId="1B3B86BD" w14:textId="382436D9" w:rsidR="00A96599" w:rsidRPr="00E41E11" w:rsidRDefault="00A96599" w:rsidP="00723A0D">
      <w:pPr>
        <w:pStyle w:val="DELWPbullet1"/>
        <w:rPr>
          <w:b/>
        </w:rPr>
      </w:pPr>
      <w:r w:rsidRPr="00E41E11">
        <w:rPr>
          <w:b/>
        </w:rPr>
        <w:t>Concentrate:</w:t>
      </w:r>
      <w:r w:rsidRPr="00DC2C3F">
        <w:rPr>
          <w:bCs/>
        </w:rPr>
        <w:t xml:space="preserve"> </w:t>
      </w:r>
      <w:r w:rsidR="00D92C0F" w:rsidRPr="00DC2C3F">
        <w:rPr>
          <w:bCs/>
        </w:rPr>
        <w:t xml:space="preserve"> </w:t>
      </w:r>
      <w:r w:rsidRPr="00E41E11">
        <w:rPr>
          <w:shd w:val="clear" w:color="auto" w:fill="FFFFFF"/>
        </w:rPr>
        <w:t>to bring or draw to a common centre or point of union; cause to come close together</w:t>
      </w:r>
    </w:p>
    <w:p w14:paraId="55ACB0EA" w14:textId="77777777" w:rsidR="00A96599" w:rsidRPr="00E41E11" w:rsidRDefault="00A96599" w:rsidP="00723A0D">
      <w:pPr>
        <w:pStyle w:val="DELWPbullet1"/>
        <w:rPr>
          <w:b/>
        </w:rPr>
      </w:pPr>
      <w:r w:rsidRPr="00E41E11">
        <w:rPr>
          <w:b/>
        </w:rPr>
        <w:t>Connect:</w:t>
      </w:r>
      <w:r w:rsidRPr="00DC2C3F">
        <w:rPr>
          <w:bCs/>
        </w:rPr>
        <w:t xml:space="preserve">  </w:t>
      </w:r>
      <w:r w:rsidRPr="00E41E11">
        <w:rPr>
          <w:shd w:val="clear" w:color="auto" w:fill="FFFFFF"/>
        </w:rPr>
        <w:t>to join or unite; link</w:t>
      </w:r>
    </w:p>
    <w:p w14:paraId="5D0BD9F2" w14:textId="77777777" w:rsidR="00A96599" w:rsidRPr="00E41E11" w:rsidRDefault="00A96599" w:rsidP="00723A0D">
      <w:pPr>
        <w:pStyle w:val="DELWPbullet1"/>
        <w:rPr>
          <w:b/>
        </w:rPr>
      </w:pPr>
      <w:r w:rsidRPr="00E41E11">
        <w:rPr>
          <w:b/>
        </w:rPr>
        <w:t>Consolidate:</w:t>
      </w:r>
      <w:r w:rsidRPr="00DC2C3F">
        <w:rPr>
          <w:bCs/>
        </w:rPr>
        <w:t xml:space="preserve">  </w:t>
      </w:r>
      <w:r w:rsidRPr="00E41E11">
        <w:rPr>
          <w:shd w:val="clear" w:color="auto" w:fill="FFFFFF"/>
        </w:rPr>
        <w:t>to unite or combine; to strengthen</w:t>
      </w:r>
    </w:p>
    <w:p w14:paraId="2AB50A0F" w14:textId="171FBFE1" w:rsidR="00A96599" w:rsidRPr="00E41E11" w:rsidRDefault="00A96599" w:rsidP="00723A0D">
      <w:pPr>
        <w:pStyle w:val="DELWPbullet1"/>
        <w:rPr>
          <w:b/>
        </w:rPr>
      </w:pPr>
      <w:r w:rsidRPr="00E41E11">
        <w:rPr>
          <w:b/>
        </w:rPr>
        <w:t>Coordinate:</w:t>
      </w:r>
      <w:r w:rsidRPr="00DC2C3F">
        <w:rPr>
          <w:bCs/>
        </w:rPr>
        <w:t xml:space="preserve"> </w:t>
      </w:r>
      <w:r w:rsidR="006C023B" w:rsidRPr="00DC2C3F">
        <w:rPr>
          <w:bCs/>
        </w:rPr>
        <w:t xml:space="preserve"> </w:t>
      </w:r>
      <w:r w:rsidRPr="00E41E11">
        <w:rPr>
          <w:shd w:val="clear" w:color="auto" w:fill="FFFFFF"/>
        </w:rPr>
        <w:t>to place or arrange in due order or proper relative position; to combine in harmonious relation or action</w:t>
      </w:r>
    </w:p>
    <w:p w14:paraId="7E4F9F90" w14:textId="77777777" w:rsidR="00A96599" w:rsidRPr="00B3001C" w:rsidRDefault="00A96599" w:rsidP="00723A0D">
      <w:pPr>
        <w:pStyle w:val="DELWPbullet1"/>
        <w:rPr>
          <w:b/>
        </w:rPr>
      </w:pPr>
      <w:r w:rsidRPr="00E41E11">
        <w:rPr>
          <w:b/>
        </w:rPr>
        <w:t>Create:</w:t>
      </w:r>
      <w:r w:rsidRPr="00DC2C3F">
        <w:rPr>
          <w:bCs/>
        </w:rPr>
        <w:t xml:space="preserve">  </w:t>
      </w:r>
      <w:r w:rsidRPr="00B3001C">
        <w:t>to</w:t>
      </w:r>
      <w:r w:rsidRPr="00B3001C">
        <w:rPr>
          <w:b/>
        </w:rPr>
        <w:t xml:space="preserve"> </w:t>
      </w:r>
      <w:r w:rsidRPr="00B3001C">
        <w:rPr>
          <w:shd w:val="clear" w:color="auto" w:fill="FFFFFF"/>
        </w:rPr>
        <w:t xml:space="preserve">bring into </w:t>
      </w:r>
      <w:proofErr w:type="gramStart"/>
      <w:r w:rsidRPr="00B3001C">
        <w:rPr>
          <w:shd w:val="clear" w:color="auto" w:fill="FFFFFF"/>
        </w:rPr>
        <w:t>being;</w:t>
      </w:r>
      <w:proofErr w:type="gramEnd"/>
      <w:r w:rsidRPr="00B3001C">
        <w:rPr>
          <w:shd w:val="clear" w:color="auto" w:fill="FFFFFF"/>
        </w:rPr>
        <w:t xml:space="preserve"> cause to exist; produce.</w:t>
      </w:r>
    </w:p>
    <w:p w14:paraId="4FA94768" w14:textId="7D649BBF" w:rsidR="00A96599" w:rsidRPr="00E41E11" w:rsidRDefault="00A96599" w:rsidP="00723A0D">
      <w:pPr>
        <w:pStyle w:val="DELWPbullet1"/>
        <w:rPr>
          <w:b/>
        </w:rPr>
      </w:pPr>
      <w:r w:rsidRPr="00E41E11">
        <w:rPr>
          <w:b/>
        </w:rPr>
        <w:t>Define:</w:t>
      </w:r>
      <w:r w:rsidRPr="00DC2C3F">
        <w:rPr>
          <w:bCs/>
        </w:rPr>
        <w:t xml:space="preserve">  </w:t>
      </w:r>
      <w:r w:rsidRPr="00E41E11">
        <w:rPr>
          <w:shd w:val="clear" w:color="auto" w:fill="FFFFFF"/>
        </w:rPr>
        <w:t xml:space="preserve">to determine </w:t>
      </w:r>
      <w:r w:rsidR="00A8501D" w:rsidRPr="00E41E11">
        <w:rPr>
          <w:shd w:val="clear" w:color="auto" w:fill="FFFFFF"/>
        </w:rPr>
        <w:t>or</w:t>
      </w:r>
      <w:r w:rsidRPr="00E41E11">
        <w:rPr>
          <w:shd w:val="clear" w:color="auto" w:fill="FFFFFF"/>
        </w:rPr>
        <w:t xml:space="preserve"> fix the boundaries or extent of; to make clear the outline or form of; to explain the nature or essential qualities of</w:t>
      </w:r>
    </w:p>
    <w:p w14:paraId="2C25306E" w14:textId="77777777" w:rsidR="00A96599" w:rsidRPr="00E41E11" w:rsidRDefault="00A96599" w:rsidP="00723A0D">
      <w:pPr>
        <w:pStyle w:val="DELWPbullet1"/>
        <w:rPr>
          <w:b/>
        </w:rPr>
      </w:pPr>
      <w:r w:rsidRPr="00E41E11">
        <w:rPr>
          <w:b/>
        </w:rPr>
        <w:t>Deliver:</w:t>
      </w:r>
      <w:r w:rsidRPr="00DC2C3F">
        <w:rPr>
          <w:bCs/>
        </w:rPr>
        <w:t xml:space="preserve">  </w:t>
      </w:r>
      <w:r w:rsidRPr="00E41E11">
        <w:rPr>
          <w:shd w:val="clear" w:color="auto" w:fill="FFFFFF"/>
        </w:rPr>
        <w:t>to give forth or produce</w:t>
      </w:r>
    </w:p>
    <w:p w14:paraId="29BFC906" w14:textId="77777777" w:rsidR="00A96599" w:rsidRPr="00E41E11" w:rsidRDefault="00A96599" w:rsidP="00723A0D">
      <w:pPr>
        <w:pStyle w:val="DELWPbullet1"/>
        <w:rPr>
          <w:b/>
        </w:rPr>
      </w:pPr>
      <w:r w:rsidRPr="00E41E11">
        <w:rPr>
          <w:b/>
        </w:rPr>
        <w:t>Demonstrate:</w:t>
      </w:r>
      <w:r w:rsidRPr="00DC2C3F">
        <w:rPr>
          <w:bCs/>
        </w:rPr>
        <w:t xml:space="preserve">  </w:t>
      </w:r>
      <w:r w:rsidRPr="00E41E11">
        <w:rPr>
          <w:shd w:val="clear" w:color="auto" w:fill="FFFFFF"/>
        </w:rPr>
        <w:t>to make evident by arguments or reasoning; prove</w:t>
      </w:r>
    </w:p>
    <w:p w14:paraId="3D8FB595" w14:textId="31D23E96" w:rsidR="00A96599" w:rsidRPr="00E41E11" w:rsidRDefault="00A96599" w:rsidP="00723A0D">
      <w:pPr>
        <w:pStyle w:val="DELWPbullet1"/>
        <w:rPr>
          <w:b/>
        </w:rPr>
      </w:pPr>
      <w:r w:rsidRPr="00E41E11">
        <w:rPr>
          <w:b/>
        </w:rPr>
        <w:t>Design:</w:t>
      </w:r>
      <w:r w:rsidRPr="00DC2C3F">
        <w:rPr>
          <w:bCs/>
        </w:rPr>
        <w:t xml:space="preserve"> </w:t>
      </w:r>
      <w:r w:rsidR="00D92C0F" w:rsidRPr="00DC2C3F">
        <w:rPr>
          <w:bCs/>
        </w:rPr>
        <w:t xml:space="preserve"> </w:t>
      </w:r>
      <w:r w:rsidRPr="00E41E11">
        <w:t>a plan to be executed or constructed; a plan; a project; a scheme</w:t>
      </w:r>
    </w:p>
    <w:p w14:paraId="4D35FD21" w14:textId="0ADDC8B0" w:rsidR="00A96599" w:rsidRPr="00E41E11" w:rsidRDefault="00A96599" w:rsidP="00723A0D">
      <w:pPr>
        <w:pStyle w:val="DELWPbullet1"/>
        <w:rPr>
          <w:b/>
        </w:rPr>
      </w:pPr>
      <w:r w:rsidRPr="00E41E11">
        <w:rPr>
          <w:b/>
        </w:rPr>
        <w:t>Develop:</w:t>
      </w:r>
      <w:r w:rsidRPr="00DC2C3F">
        <w:rPr>
          <w:bCs/>
        </w:rPr>
        <w:t xml:space="preserve">  </w:t>
      </w:r>
      <w:r w:rsidRPr="00E41E11">
        <w:rPr>
          <w:shd w:val="clear" w:color="auto" w:fill="FFFFFF"/>
        </w:rPr>
        <w:t>to bring to a mo</w:t>
      </w:r>
      <w:r w:rsidR="00E13D3D" w:rsidRPr="00E41E11">
        <w:rPr>
          <w:shd w:val="clear" w:color="auto" w:fill="FFFFFF"/>
        </w:rPr>
        <w:t>r</w:t>
      </w:r>
      <w:r w:rsidRPr="00E41E11">
        <w:rPr>
          <w:shd w:val="clear" w:color="auto" w:fill="FFFFFF"/>
        </w:rPr>
        <w:t>e advanced or effective state; to cause to grow or expand</w:t>
      </w:r>
    </w:p>
    <w:p w14:paraId="2B3CB953" w14:textId="77777777" w:rsidR="00A96599" w:rsidRPr="00B3001C" w:rsidRDefault="00A96599" w:rsidP="00723A0D">
      <w:pPr>
        <w:pStyle w:val="DELWPbullet1"/>
        <w:rPr>
          <w:b/>
        </w:rPr>
      </w:pPr>
      <w:r w:rsidRPr="00E41E11">
        <w:rPr>
          <w:b/>
        </w:rPr>
        <w:t>Direct:</w:t>
      </w:r>
      <w:r w:rsidRPr="00DC2C3F">
        <w:rPr>
          <w:bCs/>
        </w:rPr>
        <w:t xml:space="preserve">  </w:t>
      </w:r>
      <w:r w:rsidRPr="00E41E11">
        <w:rPr>
          <w:shd w:val="clear" w:color="auto" w:fill="FFFFFF"/>
        </w:rPr>
        <w:t>to regulate</w:t>
      </w:r>
      <w:r w:rsidRPr="00B3001C">
        <w:rPr>
          <w:shd w:val="clear" w:color="auto" w:fill="FFFFFF"/>
        </w:rPr>
        <w:t xml:space="preserve"> the course of; conduct; manage; control; to point or aim towards a place or an object</w:t>
      </w:r>
    </w:p>
    <w:p w14:paraId="539E72ED" w14:textId="18D6B7A3" w:rsidR="00A96599" w:rsidRPr="00E41E11" w:rsidRDefault="00A96599" w:rsidP="00723A0D">
      <w:pPr>
        <w:pStyle w:val="DELWPbullet1"/>
      </w:pPr>
      <w:r w:rsidRPr="00E41E11">
        <w:rPr>
          <w:b/>
        </w:rPr>
        <w:t>Establish:</w:t>
      </w:r>
      <w:r w:rsidRPr="00E41E11">
        <w:t xml:space="preserve">  to set up or bring about; to settle or install in a position</w:t>
      </w:r>
    </w:p>
    <w:p w14:paraId="00ABDCC5" w14:textId="69B7DA1B" w:rsidR="00A96599" w:rsidRPr="00E41E11" w:rsidRDefault="00A96599" w:rsidP="00723A0D">
      <w:pPr>
        <w:pStyle w:val="DELWPbullet1"/>
        <w:rPr>
          <w:b/>
        </w:rPr>
      </w:pPr>
      <w:r w:rsidRPr="00E41E11">
        <w:rPr>
          <w:b/>
        </w:rPr>
        <w:t>Focus</w:t>
      </w:r>
      <w:proofErr w:type="gramStart"/>
      <w:r w:rsidRPr="00E41E11">
        <w:rPr>
          <w:b/>
        </w:rPr>
        <w:t>:</w:t>
      </w:r>
      <w:r w:rsidRPr="00E41E11">
        <w:t xml:space="preserve"> </w:t>
      </w:r>
      <w:r w:rsidR="00D92C0F" w:rsidRPr="00E41E11">
        <w:t xml:space="preserve"> </w:t>
      </w:r>
      <w:r w:rsidRPr="00E41E11">
        <w:t>(</w:t>
      </w:r>
      <w:proofErr w:type="gramEnd"/>
      <w:r w:rsidRPr="00E41E11">
        <w:t>to make)</w:t>
      </w:r>
      <w:r w:rsidRPr="00E41E11">
        <w:rPr>
          <w:b/>
        </w:rPr>
        <w:t xml:space="preserve"> </w:t>
      </w:r>
      <w:r w:rsidRPr="00E41E11">
        <w:rPr>
          <w:shd w:val="clear" w:color="auto" w:fill="FFFFFF"/>
        </w:rPr>
        <w:t>a central point of attraction, attention or activity; to concentrate</w:t>
      </w:r>
    </w:p>
    <w:p w14:paraId="5C412FE8" w14:textId="3810D808" w:rsidR="00A96599" w:rsidRPr="00E41E11" w:rsidRDefault="00A96599" w:rsidP="00723A0D">
      <w:pPr>
        <w:pStyle w:val="DELWPbullet1"/>
        <w:rPr>
          <w:b/>
        </w:rPr>
      </w:pPr>
      <w:r w:rsidRPr="00E41E11">
        <w:rPr>
          <w:b/>
        </w:rPr>
        <w:t>Implement:</w:t>
      </w:r>
      <w:r w:rsidRPr="00E41E11">
        <w:t xml:space="preserve">  to</w:t>
      </w:r>
      <w:r w:rsidRPr="00E41E11">
        <w:rPr>
          <w:b/>
        </w:rPr>
        <w:t xml:space="preserve"> </w:t>
      </w:r>
      <w:r w:rsidRPr="00E41E11">
        <w:rPr>
          <w:shd w:val="clear" w:color="auto" w:fill="FFFFFF"/>
        </w:rPr>
        <w:t>put (a plan, proposal etc.) into effect</w:t>
      </w:r>
    </w:p>
    <w:p w14:paraId="4BD7B5EB" w14:textId="77777777" w:rsidR="00A96599" w:rsidRPr="00E41E11" w:rsidRDefault="00A96599" w:rsidP="00723A0D">
      <w:pPr>
        <w:pStyle w:val="DELWPbullet1"/>
        <w:rPr>
          <w:b/>
        </w:rPr>
      </w:pPr>
      <w:r w:rsidRPr="00E41E11">
        <w:rPr>
          <w:b/>
        </w:rPr>
        <w:t>Increase:</w:t>
      </w:r>
      <w:r w:rsidRPr="00DC2C3F">
        <w:rPr>
          <w:bCs/>
        </w:rPr>
        <w:t xml:space="preserve">  </w:t>
      </w:r>
      <w:r w:rsidRPr="00E41E11">
        <w:t>to make greater in any respect; augment; add to</w:t>
      </w:r>
    </w:p>
    <w:p w14:paraId="2D6AC71F" w14:textId="77777777" w:rsidR="00A96599" w:rsidRPr="00E41E11" w:rsidRDefault="00A96599" w:rsidP="00723A0D">
      <w:pPr>
        <w:pStyle w:val="DELWPbullet1"/>
        <w:rPr>
          <w:b/>
        </w:rPr>
      </w:pPr>
      <w:r w:rsidRPr="00E41E11">
        <w:rPr>
          <w:b/>
        </w:rPr>
        <w:t xml:space="preserve">Locate:  </w:t>
      </w:r>
      <w:r w:rsidRPr="00E41E11">
        <w:rPr>
          <w:shd w:val="clear" w:color="auto" w:fill="FFFFFF"/>
        </w:rPr>
        <w:t>to set, fix or establish in a place, situation or locality</w:t>
      </w:r>
    </w:p>
    <w:p w14:paraId="7465C66D" w14:textId="77777777" w:rsidR="00A96599" w:rsidRPr="00E41E11" w:rsidRDefault="00A96599" w:rsidP="00723A0D">
      <w:pPr>
        <w:pStyle w:val="DELWPbullet1"/>
        <w:rPr>
          <w:b/>
        </w:rPr>
      </w:pPr>
      <w:r w:rsidRPr="00E41E11">
        <w:rPr>
          <w:b/>
        </w:rPr>
        <w:t>Manage:</w:t>
      </w:r>
      <w:r w:rsidRPr="00DC2C3F">
        <w:rPr>
          <w:bCs/>
        </w:rPr>
        <w:t xml:space="preserve">  </w:t>
      </w:r>
      <w:r w:rsidRPr="00E41E11">
        <w:rPr>
          <w:shd w:val="clear" w:color="auto" w:fill="FFFFFF"/>
        </w:rPr>
        <w:t>to take charge or care of; to handle, direct, govern or control in action or use</w:t>
      </w:r>
    </w:p>
    <w:p w14:paraId="7F7A3F73" w14:textId="77777777" w:rsidR="00A96599" w:rsidRPr="00B3001C" w:rsidRDefault="00A96599" w:rsidP="00723A0D">
      <w:pPr>
        <w:pStyle w:val="DELWPbullet1"/>
        <w:rPr>
          <w:b/>
        </w:rPr>
      </w:pPr>
      <w:r w:rsidRPr="00E41E11">
        <w:rPr>
          <w:b/>
        </w:rPr>
        <w:t>Offset:</w:t>
      </w:r>
      <w:r w:rsidRPr="00E41E11">
        <w:t xml:space="preserve">  </w:t>
      </w:r>
      <w:r w:rsidRPr="00E41E11">
        <w:rPr>
          <w:shd w:val="clear" w:color="auto" w:fill="FFFFFF"/>
        </w:rPr>
        <w:t>to</w:t>
      </w:r>
      <w:r w:rsidRPr="00B3001C">
        <w:rPr>
          <w:shd w:val="clear" w:color="auto" w:fill="FFFFFF"/>
        </w:rPr>
        <w:t xml:space="preserve"> balance by something else as an equivalent; to compensate for</w:t>
      </w:r>
    </w:p>
    <w:p w14:paraId="0FE128B9" w14:textId="77777777" w:rsidR="00A96599" w:rsidRPr="00E41E11" w:rsidRDefault="00A96599" w:rsidP="00723A0D">
      <w:pPr>
        <w:pStyle w:val="DELWPbullet1"/>
        <w:rPr>
          <w:b/>
        </w:rPr>
      </w:pPr>
      <w:r w:rsidRPr="00E41E11">
        <w:rPr>
          <w:b/>
        </w:rPr>
        <w:t>Plan:</w:t>
      </w:r>
      <w:r w:rsidRPr="00DC2C3F">
        <w:rPr>
          <w:bCs/>
        </w:rPr>
        <w:t xml:space="preserve">  </w:t>
      </w:r>
      <w:r w:rsidRPr="00E41E11">
        <w:rPr>
          <w:shd w:val="clear" w:color="auto" w:fill="FFFFFF"/>
        </w:rPr>
        <w:t xml:space="preserve">a scheme of action or procedure; a design or scheme or arrangement </w:t>
      </w:r>
    </w:p>
    <w:p w14:paraId="4BE4041E" w14:textId="77777777" w:rsidR="00A96599" w:rsidRPr="00E41E11" w:rsidRDefault="00A96599" w:rsidP="00723A0D">
      <w:pPr>
        <w:pStyle w:val="DELWPbullet1"/>
        <w:rPr>
          <w:b/>
        </w:rPr>
      </w:pPr>
      <w:r w:rsidRPr="00E41E11">
        <w:rPr>
          <w:b/>
        </w:rPr>
        <w:t>Provide:</w:t>
      </w:r>
      <w:r w:rsidRPr="00E41E11">
        <w:t xml:space="preserve">  to furnish or</w:t>
      </w:r>
      <w:r w:rsidRPr="00E41E11">
        <w:rPr>
          <w:shd w:val="clear" w:color="auto" w:fill="FFFFFF"/>
        </w:rPr>
        <w:t xml:space="preserve"> supply</w:t>
      </w:r>
    </w:p>
    <w:p w14:paraId="6DAF12C0" w14:textId="77777777" w:rsidR="00A96599" w:rsidRPr="00E41E11" w:rsidRDefault="00A96599" w:rsidP="00723A0D">
      <w:pPr>
        <w:pStyle w:val="DELWPbullet1"/>
        <w:rPr>
          <w:b/>
        </w:rPr>
      </w:pPr>
      <w:r w:rsidRPr="00E41E11">
        <w:rPr>
          <w:b/>
        </w:rPr>
        <w:t>Reinforce:</w:t>
      </w:r>
      <w:r w:rsidRPr="00DC2C3F">
        <w:rPr>
          <w:bCs/>
        </w:rPr>
        <w:t xml:space="preserve">  </w:t>
      </w:r>
      <w:r w:rsidRPr="00E41E11">
        <w:rPr>
          <w:shd w:val="clear" w:color="auto" w:fill="FFFFFF"/>
        </w:rPr>
        <w:t>to strengthen; make more forcible or effective</w:t>
      </w:r>
    </w:p>
    <w:p w14:paraId="706F44C9" w14:textId="77777777" w:rsidR="00A96599" w:rsidRPr="00B3001C" w:rsidRDefault="00A96599" w:rsidP="00723A0D">
      <w:pPr>
        <w:pStyle w:val="DELWPbullet1"/>
        <w:rPr>
          <w:b/>
        </w:rPr>
      </w:pPr>
      <w:r w:rsidRPr="00E41E11">
        <w:rPr>
          <w:b/>
        </w:rPr>
        <w:t>Reserve:</w:t>
      </w:r>
      <w:r w:rsidRPr="00DC2C3F">
        <w:rPr>
          <w:bCs/>
        </w:rPr>
        <w:t xml:space="preserve">  </w:t>
      </w:r>
      <w:r w:rsidRPr="00E41E11">
        <w:rPr>
          <w:shd w:val="clear" w:color="auto" w:fill="FFFFFF"/>
        </w:rPr>
        <w:t>to</w:t>
      </w:r>
      <w:r w:rsidRPr="00B3001C">
        <w:rPr>
          <w:shd w:val="clear" w:color="auto" w:fill="FFFFFF"/>
        </w:rPr>
        <w:t xml:space="preserve"> keep back or save for future use, disposal, treatment; to retain or secure by express stipulation</w:t>
      </w:r>
    </w:p>
    <w:p w14:paraId="77AEC8BB" w14:textId="77777777" w:rsidR="00A96599" w:rsidRPr="00E41E11" w:rsidRDefault="00A96599" w:rsidP="00723A0D">
      <w:pPr>
        <w:pStyle w:val="DELWPbullet1"/>
        <w:rPr>
          <w:b/>
        </w:rPr>
      </w:pPr>
      <w:r w:rsidRPr="00E41E11">
        <w:rPr>
          <w:b/>
          <w:shd w:val="clear" w:color="auto" w:fill="FFFFFF"/>
        </w:rPr>
        <w:t>Restore</w:t>
      </w:r>
      <w:r w:rsidRPr="00DC2C3F">
        <w:rPr>
          <w:b/>
          <w:bCs/>
          <w:shd w:val="clear" w:color="auto" w:fill="FFFFFF"/>
        </w:rPr>
        <w:t>:</w:t>
      </w:r>
      <w:r w:rsidRPr="00E41E11">
        <w:rPr>
          <w:shd w:val="clear" w:color="auto" w:fill="FFFFFF"/>
        </w:rPr>
        <w:t xml:space="preserve">  to bring back to a former, original or normal condition</w:t>
      </w:r>
    </w:p>
    <w:p w14:paraId="07579590" w14:textId="77777777" w:rsidR="00A96599" w:rsidRPr="00E41E11" w:rsidRDefault="00A96599" w:rsidP="00723A0D">
      <w:pPr>
        <w:pStyle w:val="DELWPbullet1"/>
        <w:rPr>
          <w:b/>
        </w:rPr>
      </w:pPr>
      <w:r w:rsidRPr="00E41E11">
        <w:rPr>
          <w:b/>
        </w:rPr>
        <w:t>Specify:</w:t>
      </w:r>
      <w:r w:rsidRPr="00E41E11">
        <w:t xml:space="preserve">  </w:t>
      </w:r>
      <w:r w:rsidRPr="00E41E11">
        <w:rPr>
          <w:shd w:val="clear" w:color="auto" w:fill="FFFFFF"/>
        </w:rPr>
        <w:t>to mention or name specifically or definitively; to give a specific character to</w:t>
      </w:r>
    </w:p>
    <w:p w14:paraId="26245117" w14:textId="77777777" w:rsidR="00A96599" w:rsidRPr="00E41E11" w:rsidRDefault="00A96599" w:rsidP="00723A0D">
      <w:pPr>
        <w:pStyle w:val="DELWPbullet1"/>
        <w:rPr>
          <w:b/>
        </w:rPr>
      </w:pPr>
      <w:r w:rsidRPr="00E41E11">
        <w:rPr>
          <w:b/>
        </w:rPr>
        <w:t>Transition:</w:t>
      </w:r>
      <w:r w:rsidRPr="00E41E11">
        <w:t xml:space="preserve">  </w:t>
      </w:r>
      <w:r w:rsidRPr="00E41E11">
        <w:rPr>
          <w:shd w:val="clear" w:color="auto" w:fill="FFFFFF"/>
        </w:rPr>
        <w:t>to move from one state, position or stage to another</w:t>
      </w:r>
    </w:p>
    <w:p w14:paraId="5A47A1AA" w14:textId="56F77CF0" w:rsidR="00A96599" w:rsidRPr="00B3001C" w:rsidRDefault="00A96599" w:rsidP="00723A0D">
      <w:pPr>
        <w:pStyle w:val="DELWPbullet1"/>
        <w:rPr>
          <w:shd w:val="clear" w:color="auto" w:fill="FFFFFF"/>
        </w:rPr>
      </w:pPr>
      <w:r w:rsidRPr="00E41E11">
        <w:rPr>
          <w:b/>
        </w:rPr>
        <w:t>Undertake:</w:t>
      </w:r>
      <w:r w:rsidR="00D92C0F" w:rsidRPr="00DC2C3F">
        <w:rPr>
          <w:bCs/>
        </w:rPr>
        <w:t xml:space="preserve"> </w:t>
      </w:r>
      <w:r w:rsidRPr="00DC2C3F">
        <w:rPr>
          <w:bCs/>
        </w:rPr>
        <w:t xml:space="preserve"> </w:t>
      </w:r>
      <w:r w:rsidRPr="00E41E11">
        <w:rPr>
          <w:shd w:val="clear" w:color="auto" w:fill="FFFFFF"/>
        </w:rPr>
        <w:t>to</w:t>
      </w:r>
      <w:r w:rsidRPr="00B3001C">
        <w:rPr>
          <w:shd w:val="clear" w:color="auto" w:fill="FFFFFF"/>
        </w:rPr>
        <w:t xml:space="preserve"> warrant or guarantee; to take in charge</w:t>
      </w:r>
    </w:p>
    <w:p w14:paraId="7B414619" w14:textId="77777777" w:rsidR="003D6FBF" w:rsidRDefault="003D6FBF">
      <w:pPr>
        <w:suppressAutoHyphens w:val="0"/>
        <w:spacing w:after="0" w:line="240" w:lineRule="auto"/>
        <w:rPr>
          <w:rFonts w:ascii="VIC" w:eastAsia="MS Mincho" w:hAnsi="VIC"/>
          <w:b/>
          <w:bCs/>
          <w:color w:val="00828D" w:themeColor="text2"/>
          <w:sz w:val="22"/>
          <w:szCs w:val="22"/>
          <w:lang w:eastAsia="en-US"/>
        </w:rPr>
      </w:pPr>
      <w:r>
        <w:br w:type="page"/>
      </w:r>
    </w:p>
    <w:p w14:paraId="0911ED73" w14:textId="1E74A095" w:rsidR="00A96599" w:rsidRDefault="00A96599" w:rsidP="003D6FBF">
      <w:pPr>
        <w:pStyle w:val="Heading4"/>
      </w:pPr>
      <w:r w:rsidRPr="00B3001C">
        <w:lastRenderedPageBreak/>
        <w:t>Verbs to avoid</w:t>
      </w:r>
    </w:p>
    <w:p w14:paraId="0FCEFD77" w14:textId="77777777" w:rsidR="00A96599" w:rsidRPr="00B447C7" w:rsidRDefault="00A96599" w:rsidP="00FE1A04">
      <w:pPr>
        <w:pStyle w:val="Heading3nonumber"/>
        <w:keepNext w:val="0"/>
        <w:keepLines w:val="0"/>
        <w:widowControl w:val="0"/>
        <w:rPr>
          <w:b w:val="0"/>
          <w:iCs/>
          <w:sz w:val="20"/>
          <w:szCs w:val="20"/>
        </w:rPr>
      </w:pPr>
      <w:r w:rsidRPr="00B447C7">
        <w:rPr>
          <w:b w:val="0"/>
          <w:iCs/>
          <w:sz w:val="20"/>
          <w:szCs w:val="20"/>
        </w:rPr>
        <w:t>(</w:t>
      </w:r>
      <w:proofErr w:type="gramStart"/>
      <w:r w:rsidRPr="00B447C7">
        <w:rPr>
          <w:b w:val="0"/>
          <w:iCs/>
          <w:sz w:val="20"/>
          <w:szCs w:val="20"/>
        </w:rPr>
        <w:t>provide</w:t>
      </w:r>
      <w:proofErr w:type="gramEnd"/>
      <w:r w:rsidRPr="00B447C7">
        <w:rPr>
          <w:b w:val="0"/>
          <w:iCs/>
          <w:sz w:val="20"/>
          <w:szCs w:val="20"/>
        </w:rPr>
        <w:t xml:space="preserve"> little/no direction)</w:t>
      </w:r>
    </w:p>
    <w:p w14:paraId="12DE89E9" w14:textId="77777777" w:rsidR="00A96599" w:rsidRPr="00E41E11" w:rsidRDefault="00A96599" w:rsidP="00723A0D">
      <w:pPr>
        <w:pStyle w:val="DELWPbullet1"/>
        <w:rPr>
          <w:b/>
        </w:rPr>
      </w:pPr>
      <w:r w:rsidRPr="00E41E11">
        <w:rPr>
          <w:b/>
        </w:rPr>
        <w:t>Consider:</w:t>
      </w:r>
      <w:r w:rsidRPr="007B3519">
        <w:rPr>
          <w:bCs/>
        </w:rPr>
        <w:t xml:space="preserve">  </w:t>
      </w:r>
      <w:r w:rsidRPr="00E41E11">
        <w:rPr>
          <w:shd w:val="clear" w:color="auto" w:fill="FFFFFF"/>
        </w:rPr>
        <w:t xml:space="preserve">to think carefully; to view attentively or scrutinise </w:t>
      </w:r>
    </w:p>
    <w:p w14:paraId="7E5D74A6" w14:textId="77DD9186" w:rsidR="00A96599" w:rsidRPr="00E41E11" w:rsidRDefault="00A96599" w:rsidP="00723A0D">
      <w:pPr>
        <w:pStyle w:val="DELWPbullet1"/>
        <w:rPr>
          <w:b/>
          <w:i/>
        </w:rPr>
      </w:pPr>
      <w:r w:rsidRPr="00E41E11">
        <w:rPr>
          <w:b/>
        </w:rPr>
        <w:t>Recognise:</w:t>
      </w:r>
      <w:r w:rsidRPr="007B3519">
        <w:rPr>
          <w:bCs/>
          <w:i/>
        </w:rPr>
        <w:t xml:space="preserve">  </w:t>
      </w:r>
      <w:r w:rsidRPr="00E41E11">
        <w:rPr>
          <w:shd w:val="clear" w:color="auto" w:fill="FFFFFF"/>
        </w:rPr>
        <w:t>to perceive as existing or true; to acknowledge formally as existing</w:t>
      </w:r>
    </w:p>
    <w:p w14:paraId="0A24BAEB" w14:textId="74B82C5A" w:rsidR="00740EE0" w:rsidRPr="00740EE0" w:rsidRDefault="00740EE0" w:rsidP="00723A0D">
      <w:pPr>
        <w:pStyle w:val="DELWPbullet1"/>
        <w:rPr>
          <w:b/>
        </w:rPr>
      </w:pPr>
      <w:r w:rsidRPr="00E41E11">
        <w:rPr>
          <w:b/>
        </w:rPr>
        <w:t>Acknowledge:</w:t>
      </w:r>
      <w:r w:rsidRPr="00E41E11">
        <w:t xml:space="preserve">  </w:t>
      </w:r>
      <w:bookmarkStart w:id="333" w:name="_Hlk31900679"/>
      <w:r w:rsidRPr="00E41E11">
        <w:t>to admit</w:t>
      </w:r>
      <w:r w:rsidRPr="00740EE0">
        <w:t xml:space="preserve"> </w:t>
      </w:r>
      <w:proofErr w:type="gramStart"/>
      <w:r w:rsidRPr="00740EE0">
        <w:t>to be</w:t>
      </w:r>
      <w:proofErr w:type="gramEnd"/>
      <w:r w:rsidRPr="00740EE0">
        <w:t xml:space="preserve"> real or true</w:t>
      </w:r>
      <w:r>
        <w:t>; to indicate appreciation or gratitude for; to certify the receipt of</w:t>
      </w:r>
    </w:p>
    <w:bookmarkEnd w:id="333"/>
    <w:p w14:paraId="62510FAB" w14:textId="77777777" w:rsidR="00A96599" w:rsidRPr="00B447C7" w:rsidRDefault="00A96599" w:rsidP="00FE1A04">
      <w:pPr>
        <w:pStyle w:val="Heading3nonumber"/>
        <w:keepNext w:val="0"/>
        <w:keepLines w:val="0"/>
        <w:widowControl w:val="0"/>
        <w:rPr>
          <w:b w:val="0"/>
          <w:iCs/>
          <w:sz w:val="20"/>
          <w:szCs w:val="20"/>
        </w:rPr>
      </w:pPr>
      <w:r w:rsidRPr="00B447C7">
        <w:rPr>
          <w:b w:val="0"/>
          <w:iCs/>
          <w:sz w:val="20"/>
          <w:szCs w:val="20"/>
        </w:rPr>
        <w:t>(</w:t>
      </w:r>
      <w:proofErr w:type="gramStart"/>
      <w:r w:rsidRPr="00B447C7">
        <w:rPr>
          <w:b w:val="0"/>
          <w:iCs/>
          <w:sz w:val="20"/>
          <w:szCs w:val="20"/>
        </w:rPr>
        <w:t>controls</w:t>
      </w:r>
      <w:proofErr w:type="gramEnd"/>
      <w:r w:rsidRPr="00B447C7">
        <w:rPr>
          <w:b w:val="0"/>
          <w:iCs/>
          <w:sz w:val="20"/>
          <w:szCs w:val="20"/>
        </w:rPr>
        <w:t xml:space="preserve"> cannot be included in policy)</w:t>
      </w:r>
    </w:p>
    <w:p w14:paraId="5AD30DA1" w14:textId="77777777" w:rsidR="00A96599" w:rsidRPr="003C70BE" w:rsidRDefault="00A96599" w:rsidP="00723A0D">
      <w:pPr>
        <w:pStyle w:val="DELWPbullet1"/>
        <w:rPr>
          <w:b/>
          <w:i/>
        </w:rPr>
      </w:pPr>
      <w:r w:rsidRPr="00E41E11">
        <w:rPr>
          <w:b/>
        </w:rPr>
        <w:t>Require:</w:t>
      </w:r>
      <w:r w:rsidRPr="003C70BE">
        <w:t xml:space="preserve">  to place under an obligation or necessity</w:t>
      </w:r>
    </w:p>
    <w:p w14:paraId="385BDFBF" w14:textId="77777777" w:rsidR="00112935" w:rsidRDefault="00112935">
      <w:pPr>
        <w:suppressAutoHyphens w:val="0"/>
        <w:spacing w:after="0" w:line="240" w:lineRule="auto"/>
        <w:rPr>
          <w:rFonts w:ascii="Arial" w:hAnsi="Arial"/>
          <w:bCs/>
          <w:color w:val="00828D" w:themeColor="text2"/>
          <w:sz w:val="44"/>
          <w:szCs w:val="44"/>
          <w:lang w:eastAsia="en-US"/>
        </w:rPr>
      </w:pPr>
      <w:r>
        <w:br w:type="page"/>
      </w:r>
    </w:p>
    <w:p w14:paraId="489C77C8" w14:textId="24DDB3CA" w:rsidR="00DC2411" w:rsidRDefault="00257C6D" w:rsidP="00D2198E">
      <w:pPr>
        <w:pStyle w:val="Heading1"/>
      </w:pPr>
      <w:bookmarkStart w:id="334" w:name="_Appendix_3_–"/>
      <w:bookmarkStart w:id="335" w:name="_Toc158706999"/>
      <w:bookmarkEnd w:id="334"/>
      <w:r>
        <w:lastRenderedPageBreak/>
        <w:t>Appendix 3</w:t>
      </w:r>
      <w:r w:rsidR="00042CA1">
        <w:t xml:space="preserve"> </w:t>
      </w:r>
      <w:r w:rsidR="00A16B15">
        <w:t>–</w:t>
      </w:r>
      <w:r w:rsidR="00B3434E">
        <w:t xml:space="preserve"> </w:t>
      </w:r>
      <w:r w:rsidR="00AB2C0B">
        <w:t>Example Municipal Planning Strategy</w:t>
      </w:r>
      <w:bookmarkEnd w:id="335"/>
    </w:p>
    <w:p w14:paraId="489C77C9" w14:textId="77777777" w:rsidR="00DC2411" w:rsidRPr="00DC60D0" w:rsidRDefault="001A4F64" w:rsidP="00BA6981">
      <w:pPr>
        <w:pStyle w:val="Appendix2-Heading1"/>
      </w:pPr>
      <w:r w:rsidRPr="00DC60D0">
        <w:t>02</w:t>
      </w:r>
      <w:r w:rsidRPr="00DC60D0">
        <w:tab/>
      </w:r>
      <w:r w:rsidR="00AB2C0B" w:rsidRPr="00DC60D0">
        <w:t>M</w:t>
      </w:r>
      <w:r w:rsidR="00B92435" w:rsidRPr="00DC60D0">
        <w:t>unicipal Planning Strategy</w:t>
      </w:r>
    </w:p>
    <w:p w14:paraId="489C77CA" w14:textId="5B9B4F1F" w:rsidR="00DC2411" w:rsidRPr="00C06F7D" w:rsidRDefault="001A4F64" w:rsidP="00BA6981">
      <w:pPr>
        <w:pStyle w:val="Appendix2-Heading1"/>
      </w:pPr>
      <w:r w:rsidRPr="00C06F7D">
        <w:t>02.01</w:t>
      </w:r>
      <w:r w:rsidRPr="00C06F7D">
        <w:tab/>
      </w:r>
      <w:r w:rsidR="00AB2C0B" w:rsidRPr="00C06F7D">
        <w:t>Context</w:t>
      </w:r>
    </w:p>
    <w:p w14:paraId="489C77CB" w14:textId="77777777" w:rsidR="00754143" w:rsidRPr="00FB14AC" w:rsidRDefault="00AB2C0B" w:rsidP="00FB14AC">
      <w:pPr>
        <w:pStyle w:val="Appendix2-Body"/>
      </w:pPr>
      <w:r w:rsidRPr="00FB14AC">
        <w:t>Gumnut Shire is about 250 kilometres north-west of metropolitan Melbourne.</w:t>
      </w:r>
      <w:r w:rsidR="00DA5AF6" w:rsidRPr="00FB14AC">
        <w:t xml:space="preserve"> </w:t>
      </w:r>
      <w:r w:rsidRPr="00FB14AC">
        <w:t>It has an urban core, surrounding rural townships and a large agricultural base across approximately 170 square kilometres. The Gumnut City Town Centre is a major activity centre on the state’s northern transport corridor.</w:t>
      </w:r>
    </w:p>
    <w:p w14:paraId="489C77CC" w14:textId="77777777" w:rsidR="00754143" w:rsidRPr="00FB14AC" w:rsidRDefault="00AB2C0B" w:rsidP="00FB14AC">
      <w:pPr>
        <w:pStyle w:val="Appendix2-Body"/>
      </w:pPr>
      <w:r w:rsidRPr="00FB14AC">
        <w:t>There are shared boundaries, connections and relationships with Leadbeater Shire to the north and Honeyeater Shire to the south.</w:t>
      </w:r>
    </w:p>
    <w:p w14:paraId="489C77CD" w14:textId="77777777" w:rsidR="00754143" w:rsidRPr="00FB14AC" w:rsidRDefault="00AB2C0B" w:rsidP="00FB14AC">
      <w:pPr>
        <w:pStyle w:val="Appendix2-Body"/>
      </w:pPr>
      <w:r w:rsidRPr="00FB14AC">
        <w:t>The population of about 70,000 in 2016 is forecast to grow to about 100,000 by 2040, making Gumnut Shire one of Victoria’s fastest growing regional municipalities.</w:t>
      </w:r>
    </w:p>
    <w:p w14:paraId="489C77CE" w14:textId="77777777" w:rsidR="00754143" w:rsidRPr="00FB14AC" w:rsidRDefault="00AB2C0B" w:rsidP="00FB14AC">
      <w:pPr>
        <w:pStyle w:val="Appendix2-Body"/>
      </w:pPr>
      <w:r w:rsidRPr="00FB14AC">
        <w:t>Gumnut Shire’s catchment extends beyond its borders and includes major retail, health and education facilities. People are attracted to Gumnut for its character and lifestyle as well as its employment and education opportunities.</w:t>
      </w:r>
    </w:p>
    <w:p w14:paraId="489C77CF" w14:textId="77777777" w:rsidR="0022127A" w:rsidRPr="00FB14AC" w:rsidRDefault="00AB2C0B" w:rsidP="00FB14AC">
      <w:pPr>
        <w:pStyle w:val="Appendix2-Body"/>
      </w:pPr>
      <w:r w:rsidRPr="00FB14AC">
        <w:t xml:space="preserve">Gumnut’s most important natural feature is the </w:t>
      </w:r>
      <w:proofErr w:type="spellStart"/>
      <w:r w:rsidRPr="00FB14AC">
        <w:t>Westcotty</w:t>
      </w:r>
      <w:proofErr w:type="spellEnd"/>
      <w:r w:rsidRPr="00FB14AC">
        <w:t xml:space="preserve"> River, a major tributary of the Murray River.</w:t>
      </w:r>
      <w:r w:rsidR="00DA5AF6" w:rsidRPr="00FB14AC">
        <w:t xml:space="preserve"> </w:t>
      </w:r>
      <w:r w:rsidRPr="00FB14AC">
        <w:t>The river environs include substantial areas of high-value biodiversity.</w:t>
      </w:r>
      <w:r w:rsidR="00DA5AF6" w:rsidRPr="00FB14AC">
        <w:t xml:space="preserve"> </w:t>
      </w:r>
      <w:r w:rsidRPr="00FB14AC">
        <w:t>The river and its surrounds make up a substantial portion of the western part of the Shire.</w:t>
      </w:r>
      <w:r w:rsidR="00DA5AF6" w:rsidRPr="00FB14AC">
        <w:t xml:space="preserve"> </w:t>
      </w:r>
    </w:p>
    <w:p w14:paraId="489C77D0" w14:textId="77777777" w:rsidR="00754143" w:rsidRPr="00FB14AC" w:rsidRDefault="001534A4" w:rsidP="00FB14AC">
      <w:pPr>
        <w:pStyle w:val="Appendix2-Body"/>
      </w:pPr>
      <w:r w:rsidRPr="00FB14AC">
        <w:t xml:space="preserve">Gumnut Shire has </w:t>
      </w:r>
      <w:proofErr w:type="gramStart"/>
      <w:r w:rsidRPr="00FB14AC">
        <w:t>a number of</w:t>
      </w:r>
      <w:proofErr w:type="gramEnd"/>
      <w:r w:rsidRPr="00FB14AC">
        <w:t xml:space="preserve"> highly significant heritage buildings, structures, features, precincts, archaeological sites, cultural landscapes, trees, avenues and natural features. Gumnut’s natural heritage was formed over 500 million years ago, while its rich cultural heritage began over 40,000 years ago. Much of the remaining pre-contact heritage is concentrated in the area surrounding the </w:t>
      </w:r>
      <w:proofErr w:type="spellStart"/>
      <w:r w:rsidRPr="00FB14AC">
        <w:t>Westcotty</w:t>
      </w:r>
      <w:proofErr w:type="spellEnd"/>
      <w:r w:rsidRPr="00FB14AC">
        <w:t xml:space="preserve"> River.</w:t>
      </w:r>
    </w:p>
    <w:p w14:paraId="489C77D1" w14:textId="4C9D67A6" w:rsidR="00754143" w:rsidRPr="00FB14AC" w:rsidRDefault="00AB2C0B" w:rsidP="00FB14AC">
      <w:pPr>
        <w:pStyle w:val="Appendix2-Body"/>
      </w:pPr>
      <w:r w:rsidRPr="00FB14AC">
        <w:t>The agricultural areas of Gumnut Shire are some of Victoria’s richest. Local farming activities deliver some of the highest value production per hectare in the state. Agriculture is also important to the shire’s rural character and identity and is a key driver for tourism in the shire.</w:t>
      </w:r>
      <w:r w:rsidR="00647D9B" w:rsidRPr="00FB14AC">
        <w:t xml:space="preserve"> The popularity of the ‘farm to table’ movement has drawn people to Gumnut Shire because of its strong food and wine</w:t>
      </w:r>
      <w:r w:rsidR="006C023B" w:rsidRPr="00FB14AC">
        <w:t>-</w:t>
      </w:r>
      <w:r w:rsidR="00647D9B" w:rsidRPr="00FB14AC">
        <w:t>based tourism industry.</w:t>
      </w:r>
      <w:r w:rsidR="00D92C0F" w:rsidRPr="00FB14AC">
        <w:t xml:space="preserve"> </w:t>
      </w:r>
      <w:r w:rsidR="00647D9B" w:rsidRPr="00FB14AC">
        <w:t>Service industries, including professional services, education, health, retail, cultural and government are all represented in Gumnut and have been growing strongly over the past decade.</w:t>
      </w:r>
    </w:p>
    <w:p w14:paraId="489C77D3" w14:textId="77777777" w:rsidR="00754143" w:rsidRPr="00367F72" w:rsidRDefault="00754143" w:rsidP="002E55BC">
      <w:pPr>
        <w:pStyle w:val="BodyText1"/>
        <w:rPr>
          <w:rFonts w:ascii="Times New Roman" w:hAnsi="Times New Roman"/>
        </w:rPr>
      </w:pPr>
    </w:p>
    <w:p w14:paraId="489C77D4" w14:textId="77777777" w:rsidR="00DC2411" w:rsidRPr="002C7EC5" w:rsidRDefault="00AB2C0B" w:rsidP="00BA6981">
      <w:pPr>
        <w:pStyle w:val="Appendix2-Heading1"/>
      </w:pPr>
      <w:r w:rsidRPr="002C7EC5">
        <w:lastRenderedPageBreak/>
        <w:t>Context Plan</w:t>
      </w:r>
    </w:p>
    <w:p w14:paraId="3B25B9E9" w14:textId="599EB487" w:rsidR="00805F75" w:rsidRDefault="00805F75" w:rsidP="009C55EE">
      <w:pPr>
        <w:pStyle w:val="DELWPdiagraminline"/>
      </w:pPr>
      <w:r>
        <w:rPr>
          <w:noProof/>
        </w:rPr>
        <w:drawing>
          <wp:inline distT="0" distB="0" distL="0" distR="0" wp14:anchorId="3112E23D" wp14:editId="315B20D6">
            <wp:extent cx="5759450" cy="8146415"/>
            <wp:effectExtent l="133350" t="114300" r="146050" b="159385"/>
            <wp:docPr id="18" name="Picture 18" descr="Example 'Gumnut' MPS Contex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xample 'Gumnut' MPS Context Plan."/>
                    <pic:cNvPicPr/>
                  </pic:nvPicPr>
                  <pic:blipFill>
                    <a:blip r:embed="rId42"/>
                    <a:stretch>
                      <a:fillRect/>
                    </a:stretch>
                  </pic:blipFill>
                  <pic:spPr>
                    <a:xfrm>
                      <a:off x="0" y="0"/>
                      <a:ext cx="5759450" cy="8146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D521AA3" w14:textId="77777777" w:rsidR="00DC2D42" w:rsidRDefault="00DC2D42">
      <w:pPr>
        <w:suppressAutoHyphens w:val="0"/>
        <w:spacing w:after="0" w:line="240" w:lineRule="auto"/>
        <w:rPr>
          <w:rFonts w:ascii="Arial" w:hAnsi="Arial" w:cs="Arial"/>
          <w:b/>
          <w:sz w:val="22"/>
          <w:szCs w:val="22"/>
          <w:lang w:eastAsia="en-US"/>
        </w:rPr>
      </w:pPr>
      <w:r>
        <w:br w:type="page"/>
      </w:r>
    </w:p>
    <w:p w14:paraId="489C77D7" w14:textId="1D81F2F3" w:rsidR="00DA5AF6" w:rsidRDefault="00BB377E" w:rsidP="00BA6981">
      <w:pPr>
        <w:pStyle w:val="Appendix2-Heading1"/>
      </w:pPr>
      <w:r>
        <w:lastRenderedPageBreak/>
        <w:t>02.02</w:t>
      </w:r>
      <w:r>
        <w:tab/>
      </w:r>
      <w:r w:rsidR="00AB2C0B">
        <w:t>Vision</w:t>
      </w:r>
    </w:p>
    <w:p w14:paraId="489C77D8" w14:textId="071A495D" w:rsidR="00754143" w:rsidRDefault="00AB2C0B" w:rsidP="00FB14AC">
      <w:pPr>
        <w:pStyle w:val="Appendix2-Body"/>
      </w:pPr>
      <w:r>
        <w:t>Gumnut Shire</w:t>
      </w:r>
      <w:r w:rsidR="00A16B15">
        <w:t>’</w:t>
      </w:r>
      <w:r>
        <w:t>s Vision, derived from the Gumnut Shire Council Plan 2017, is to create a place that:</w:t>
      </w:r>
    </w:p>
    <w:p w14:paraId="489C77D9" w14:textId="77777777" w:rsidR="00DC2411" w:rsidRPr="00FB14AC" w:rsidRDefault="00AB2C0B" w:rsidP="005510AA">
      <w:pPr>
        <w:pStyle w:val="Appendix2-Bullet"/>
      </w:pPr>
      <w:r w:rsidRPr="00FB14AC">
        <w:t>Fosters economic prosperity by supporting our local businesses and industries and creates an environment in which they can thrive by:</w:t>
      </w:r>
    </w:p>
    <w:p w14:paraId="489C77DA" w14:textId="77777777" w:rsidR="00DC2411" w:rsidRPr="00FB14AC" w:rsidRDefault="00AB2C0B" w:rsidP="005510AA">
      <w:pPr>
        <w:pStyle w:val="Appendix2-sub-bullet"/>
      </w:pPr>
      <w:r w:rsidRPr="00FB14AC">
        <w:t>Supporting agricultural, knowledge industry, tourism, service and industrial uses in the Shire.</w:t>
      </w:r>
    </w:p>
    <w:p w14:paraId="489C77DB" w14:textId="77777777" w:rsidR="00754143" w:rsidRPr="00FB14AC" w:rsidRDefault="00AB2C0B" w:rsidP="005510AA">
      <w:pPr>
        <w:pStyle w:val="Appendix2-sub-bullet"/>
      </w:pPr>
      <w:r w:rsidRPr="00FB14AC">
        <w:t>Supporting and protecting the road, air and rail links to the region and the state.</w:t>
      </w:r>
    </w:p>
    <w:p w14:paraId="489C77DC" w14:textId="77777777" w:rsidR="00DC2411" w:rsidRDefault="00AB2C0B" w:rsidP="005510AA">
      <w:pPr>
        <w:pStyle w:val="Appendix2-Bullet"/>
      </w:pPr>
      <w:r>
        <w:t>Is vibrant and sustainable, that we love to live and work in and has excellent connections, facilities and services by:</w:t>
      </w:r>
    </w:p>
    <w:p w14:paraId="489C77DD" w14:textId="77777777" w:rsidR="00DC2411" w:rsidRDefault="00AB2C0B" w:rsidP="005510AA">
      <w:pPr>
        <w:pStyle w:val="Appendix2-sub-bullet"/>
      </w:pPr>
      <w:r>
        <w:t>Protecting the existing rural character while also providing an attractive and liveable built environment in those parts of the Shire where development will intensify.</w:t>
      </w:r>
    </w:p>
    <w:p w14:paraId="489C77DE" w14:textId="77777777" w:rsidR="00DC2411" w:rsidRDefault="00AB2C0B" w:rsidP="005510AA">
      <w:pPr>
        <w:pStyle w:val="Appendix2-sub-bullet"/>
      </w:pPr>
      <w:r>
        <w:t>Creating an ecologically sustainable Shire.</w:t>
      </w:r>
    </w:p>
    <w:p w14:paraId="489C77DF" w14:textId="77777777" w:rsidR="00DC2411" w:rsidRDefault="00AB2C0B" w:rsidP="005510AA">
      <w:pPr>
        <w:pStyle w:val="Appendix2-sub-bullet"/>
      </w:pPr>
      <w:r>
        <w:t>Providing housing to accommodate the expected population growth.</w:t>
      </w:r>
    </w:p>
    <w:p w14:paraId="489C77E0" w14:textId="77777777" w:rsidR="00754143" w:rsidRDefault="00AB2C0B" w:rsidP="005510AA">
      <w:pPr>
        <w:pStyle w:val="Appendix2-sub-bullet"/>
      </w:pPr>
      <w:r>
        <w:t>Achieving a diversity of housing choices, housing affordability and a good standard of building design and amenity.</w:t>
      </w:r>
    </w:p>
    <w:p w14:paraId="489C77E1" w14:textId="77777777" w:rsidR="00DC2411" w:rsidRDefault="00AB2C0B" w:rsidP="005510AA">
      <w:pPr>
        <w:pStyle w:val="Appendix2-Bullet"/>
      </w:pPr>
      <w:r>
        <w:t>Promotes our valued natural and built assets by:</w:t>
      </w:r>
    </w:p>
    <w:p w14:paraId="489C77E2" w14:textId="77777777" w:rsidR="00DC2411" w:rsidRPr="007315E5" w:rsidRDefault="00AB2C0B" w:rsidP="005510AA">
      <w:pPr>
        <w:pStyle w:val="Appendix2-sub-bullet"/>
      </w:pPr>
      <w:r w:rsidRPr="007315E5">
        <w:t>Managing development so that it is responsive to the existing natural and built environment.</w:t>
      </w:r>
    </w:p>
    <w:p w14:paraId="489C77E3" w14:textId="77777777" w:rsidR="00DC2411" w:rsidRPr="007315E5" w:rsidRDefault="00AB2C0B" w:rsidP="005510AA">
      <w:pPr>
        <w:pStyle w:val="Appendix2-sub-bullet"/>
      </w:pPr>
      <w:r w:rsidRPr="007315E5">
        <w:t>Safeguarding our valued environmental assets to ensure the health of ecological systems and the biodiversity they support.</w:t>
      </w:r>
    </w:p>
    <w:p w14:paraId="489C77E4" w14:textId="77777777" w:rsidR="00DC2411" w:rsidRPr="007315E5" w:rsidRDefault="00AB2C0B" w:rsidP="005510AA">
      <w:pPr>
        <w:pStyle w:val="Appendix2-sub-bullet"/>
      </w:pPr>
      <w:r w:rsidRPr="007315E5">
        <w:t>Protecting, conserving and enhancing the Shire’s heritage resources.</w:t>
      </w:r>
    </w:p>
    <w:p w14:paraId="489C77E6" w14:textId="77777777" w:rsidR="00DC2411" w:rsidRDefault="001D1491" w:rsidP="00BA6981">
      <w:pPr>
        <w:pStyle w:val="Appendix2-Heading1"/>
      </w:pPr>
      <w:r>
        <w:t>02.03</w:t>
      </w:r>
      <w:r>
        <w:tab/>
      </w:r>
      <w:r w:rsidR="00AB2C0B">
        <w:t>Strategic directions</w:t>
      </w:r>
    </w:p>
    <w:p w14:paraId="489C77E7" w14:textId="77777777" w:rsidR="00DC2411" w:rsidRPr="00170B2A" w:rsidRDefault="00AB2C0B" w:rsidP="00BA6981">
      <w:pPr>
        <w:pStyle w:val="Appendix2-Heading1"/>
      </w:pPr>
      <w:r w:rsidRPr="00170B2A">
        <w:t>Settlement</w:t>
      </w:r>
    </w:p>
    <w:p w14:paraId="489C77E8" w14:textId="77777777" w:rsidR="0077086A" w:rsidRPr="00170B2A" w:rsidRDefault="0077086A" w:rsidP="00FB14AC">
      <w:pPr>
        <w:pStyle w:val="Appendix2-Body"/>
      </w:pPr>
      <w:r w:rsidRPr="00170B2A">
        <w:t>Growth in Gumnut Shire is to be accommodated by consolidating existing urban form, expanding identified towns and providing greenfield development opportunities.</w:t>
      </w:r>
    </w:p>
    <w:p w14:paraId="489C77E9" w14:textId="77777777" w:rsidR="00170B2A" w:rsidRPr="00170B2A" w:rsidRDefault="00170B2A" w:rsidP="00FB14AC">
      <w:pPr>
        <w:pStyle w:val="Appendix2-Body"/>
      </w:pPr>
      <w:r w:rsidRPr="00170B2A">
        <w:t>The Gumnut City Northern Growth Area is the primary greenfield development area. Urban consolidation is encouraged in and around Gumnut City’s three neighbourhood activity centres.</w:t>
      </w:r>
    </w:p>
    <w:p w14:paraId="489C77EA" w14:textId="77777777" w:rsidR="0077086A" w:rsidRPr="00170B2A" w:rsidRDefault="0077086A" w:rsidP="00FB14AC">
      <w:pPr>
        <w:pStyle w:val="Appendix2-Body"/>
      </w:pPr>
      <w:r w:rsidRPr="00170B2A">
        <w:t xml:space="preserve">The townships of Brockway, </w:t>
      </w:r>
      <w:proofErr w:type="spellStart"/>
      <w:r w:rsidRPr="00170B2A">
        <w:t>Odgenville</w:t>
      </w:r>
      <w:proofErr w:type="spellEnd"/>
      <w:r w:rsidRPr="00170B2A">
        <w:t xml:space="preserve"> and North </w:t>
      </w:r>
      <w:proofErr w:type="spellStart"/>
      <w:r w:rsidRPr="00170B2A">
        <w:t>Haverbrook</w:t>
      </w:r>
      <w:proofErr w:type="spellEnd"/>
      <w:r w:rsidRPr="00170B2A">
        <w:t xml:space="preserve"> and their surrounding communities provide an attractive lifestyle choice in a rural setting. They represent a different style of living to the</w:t>
      </w:r>
      <w:r w:rsidR="00170B2A" w:rsidRPr="00170B2A">
        <w:t xml:space="preserve"> more</w:t>
      </w:r>
      <w:r w:rsidRPr="00170B2A">
        <w:t xml:space="preserve"> urban</w:t>
      </w:r>
      <w:r w:rsidR="00170B2A" w:rsidRPr="00170B2A">
        <w:t xml:space="preserve"> form of</w:t>
      </w:r>
      <w:r w:rsidRPr="00170B2A">
        <w:t xml:space="preserve"> Gumnut City.</w:t>
      </w:r>
      <w:r w:rsidR="000C0B56">
        <w:t xml:space="preserve"> </w:t>
      </w:r>
    </w:p>
    <w:p w14:paraId="489C77EB" w14:textId="77777777" w:rsidR="0077086A" w:rsidRPr="00170B2A" w:rsidRDefault="000C0B56" w:rsidP="00FB14AC">
      <w:pPr>
        <w:pStyle w:val="Appendix2-Body"/>
      </w:pPr>
      <w:r w:rsidRPr="00E41E11">
        <w:t xml:space="preserve">The </w:t>
      </w:r>
      <w:r w:rsidRPr="00E41E11">
        <w:rPr>
          <w:i/>
          <w:iCs/>
        </w:rPr>
        <w:t>Gumnut Townships Development Plan 2010</w:t>
      </w:r>
      <w:r w:rsidRPr="00E41E11">
        <w:t xml:space="preserve"> sets</w:t>
      </w:r>
      <w:r w:rsidRPr="00743D77">
        <w:t xml:space="preserve"> out the preferred form for future development in Brockway, </w:t>
      </w:r>
      <w:proofErr w:type="spellStart"/>
      <w:r w:rsidRPr="00743D77">
        <w:t>Ogdenville</w:t>
      </w:r>
      <w:proofErr w:type="spellEnd"/>
      <w:r w:rsidRPr="00743D77">
        <w:t xml:space="preserve"> and North </w:t>
      </w:r>
      <w:proofErr w:type="spellStart"/>
      <w:r w:rsidRPr="00743D77">
        <w:t>Haverbrook</w:t>
      </w:r>
      <w:proofErr w:type="spellEnd"/>
      <w:r w:rsidRPr="00743D77">
        <w:t xml:space="preserve">. While </w:t>
      </w:r>
      <w:proofErr w:type="spellStart"/>
      <w:r w:rsidRPr="00743D77">
        <w:t>Ogdenville</w:t>
      </w:r>
      <w:proofErr w:type="spellEnd"/>
      <w:r w:rsidRPr="00743D77">
        <w:t xml:space="preserve"> and North </w:t>
      </w:r>
      <w:proofErr w:type="spellStart"/>
      <w:r w:rsidRPr="00743D77">
        <w:t>Haverbrook</w:t>
      </w:r>
      <w:proofErr w:type="spellEnd"/>
      <w:r w:rsidRPr="00743D77">
        <w:t xml:space="preserve"> are identified for growth, residential development in Brockway will be limited to areas that are already zoned for residential use, recognising the constraints of native vegetation, landscape and heritage character.</w:t>
      </w:r>
    </w:p>
    <w:p w14:paraId="489C77ED" w14:textId="28AB6C69" w:rsidR="00754143" w:rsidRPr="00171065" w:rsidRDefault="00AB2C0B" w:rsidP="00FB14AC">
      <w:pPr>
        <w:pStyle w:val="Appendix2-Body"/>
      </w:pPr>
      <w:r w:rsidRPr="00171065">
        <w:t xml:space="preserve">Most of the population increase in Gumnut to 2040 is to be accommodated </w:t>
      </w:r>
      <w:r w:rsidR="0077086A" w:rsidRPr="00171065">
        <w:t xml:space="preserve">by </w:t>
      </w:r>
      <w:r w:rsidR="00752AFB" w:rsidRPr="00171065">
        <w:t>d</w:t>
      </w:r>
      <w:r w:rsidR="0077086A" w:rsidRPr="00171065">
        <w:t>irecting growth to</w:t>
      </w:r>
      <w:r w:rsidRPr="00171065">
        <w:t>:</w:t>
      </w:r>
    </w:p>
    <w:p w14:paraId="489C77EE" w14:textId="77777777" w:rsidR="00DC2411" w:rsidRPr="00171065" w:rsidRDefault="00AB2C0B" w:rsidP="005510AA">
      <w:pPr>
        <w:pStyle w:val="Appendix2-Bullet"/>
      </w:pPr>
      <w:r w:rsidRPr="00171065">
        <w:t>Gumnut City Northern Growth area.</w:t>
      </w:r>
    </w:p>
    <w:p w14:paraId="489C77EF" w14:textId="77777777" w:rsidR="00DA5AF6" w:rsidRPr="00171065" w:rsidRDefault="00AB2C0B" w:rsidP="005510AA">
      <w:pPr>
        <w:pStyle w:val="Appendix2-Bullet"/>
      </w:pPr>
      <w:r w:rsidRPr="00171065">
        <w:t>Urban consolidation areas (including the Wombat Flats, Gumnut Central and Gumnut City North neighbourhood centres).</w:t>
      </w:r>
    </w:p>
    <w:p w14:paraId="489C77F0" w14:textId="77777777" w:rsidR="00743D77" w:rsidRPr="00171065" w:rsidRDefault="00AB2C0B" w:rsidP="005510AA">
      <w:pPr>
        <w:pStyle w:val="Appendix2-Bullet"/>
      </w:pPr>
      <w:r w:rsidRPr="00171065">
        <w:t xml:space="preserve">The townships of </w:t>
      </w:r>
      <w:proofErr w:type="spellStart"/>
      <w:r w:rsidRPr="00171065">
        <w:t>Odgenville</w:t>
      </w:r>
      <w:proofErr w:type="spellEnd"/>
      <w:r w:rsidRPr="00171065">
        <w:t xml:space="preserve"> and North </w:t>
      </w:r>
      <w:proofErr w:type="spellStart"/>
      <w:r w:rsidRPr="00171065">
        <w:t>Haverbrook</w:t>
      </w:r>
      <w:proofErr w:type="spellEnd"/>
      <w:r w:rsidRPr="00171065">
        <w:t>.</w:t>
      </w:r>
    </w:p>
    <w:p w14:paraId="489C77F1" w14:textId="77777777" w:rsidR="00DC2411" w:rsidRPr="00367F72" w:rsidRDefault="00AB2C0B" w:rsidP="00BA6981">
      <w:pPr>
        <w:pStyle w:val="Appendix2-Heading1"/>
      </w:pPr>
      <w:r w:rsidRPr="00170B2A">
        <w:t>Activity centres</w:t>
      </w:r>
    </w:p>
    <w:p w14:paraId="489C77F2" w14:textId="77777777" w:rsidR="00754143" w:rsidRPr="00170B2A" w:rsidRDefault="00AB2C0B" w:rsidP="00FB14AC">
      <w:pPr>
        <w:pStyle w:val="Appendix2-Body"/>
      </w:pPr>
      <w:r w:rsidRPr="00170B2A">
        <w:t>There is a strong network of activity centres providing shopping, employment, entertainment, social and community focal points throughout the Shire.</w:t>
      </w:r>
    </w:p>
    <w:p w14:paraId="489C77F3" w14:textId="77777777" w:rsidR="00754143" w:rsidRPr="00170B2A" w:rsidRDefault="00AB2C0B" w:rsidP="00FB14AC">
      <w:pPr>
        <w:pStyle w:val="Appendix2-Body"/>
      </w:pPr>
      <w:r w:rsidRPr="00170B2A">
        <w:lastRenderedPageBreak/>
        <w:t>The Gumnut Shire activity centre hierarchy establishes the order (with respect to scale and function) of one centre compared to another. The spatial distribution and hierarchy of activity centres across Gumnut is shown on the Strategic Framework Plan.</w:t>
      </w:r>
    </w:p>
    <w:p w14:paraId="489C77F4" w14:textId="77777777" w:rsidR="00170B2A" w:rsidRPr="00170B2A" w:rsidRDefault="00170B2A" w:rsidP="00FB14AC">
      <w:pPr>
        <w:pStyle w:val="Appendix2-Body"/>
      </w:pPr>
      <w:r w:rsidRPr="00170B2A">
        <w:t>The role and function of activity centres will be supported by:</w:t>
      </w:r>
    </w:p>
    <w:p w14:paraId="489C77F5" w14:textId="77777777" w:rsidR="00754143" w:rsidRPr="00170B2A" w:rsidRDefault="00170B2A" w:rsidP="005510AA">
      <w:pPr>
        <w:pStyle w:val="Appendix2-Bullet"/>
      </w:pPr>
      <w:r w:rsidRPr="00170B2A">
        <w:t>Reinforcing</w:t>
      </w:r>
      <w:r w:rsidR="00AB2C0B" w:rsidRPr="00170B2A">
        <w:t xml:space="preserve"> the primacy</w:t>
      </w:r>
      <w:r w:rsidRPr="00170B2A">
        <w:t xml:space="preserve"> of the Gumnut City Town Centre</w:t>
      </w:r>
      <w:r w:rsidR="00AB2C0B" w:rsidRPr="00170B2A">
        <w:t xml:space="preserve"> as a key entertainment destination, service</w:t>
      </w:r>
      <w:r w:rsidRPr="00170B2A">
        <w:t>,</w:t>
      </w:r>
      <w:r w:rsidR="00AB2C0B" w:rsidRPr="00170B2A">
        <w:t xml:space="preserve"> industry</w:t>
      </w:r>
      <w:r w:rsidRPr="00170B2A">
        <w:t xml:space="preserve"> and</w:t>
      </w:r>
      <w:r w:rsidR="00AB2C0B" w:rsidRPr="00170B2A">
        <w:t xml:space="preserve"> employment area and </w:t>
      </w:r>
      <w:proofErr w:type="gramStart"/>
      <w:r w:rsidR="00AB2C0B" w:rsidRPr="00170B2A">
        <w:t>inner city</w:t>
      </w:r>
      <w:proofErr w:type="gramEnd"/>
      <w:r w:rsidR="00AB2C0B" w:rsidRPr="00170B2A">
        <w:t xml:space="preserve"> living precinct.</w:t>
      </w:r>
    </w:p>
    <w:p w14:paraId="489C77F6" w14:textId="77777777" w:rsidR="00754143" w:rsidRPr="00743D77" w:rsidRDefault="00170B2A" w:rsidP="005510AA">
      <w:pPr>
        <w:pStyle w:val="Appendix2-Bullet"/>
      </w:pPr>
      <w:r w:rsidRPr="00170B2A">
        <w:t>Encouraging uses that provide localised employment and service needs in the</w:t>
      </w:r>
      <w:r w:rsidR="00AB2C0B" w:rsidRPr="00170B2A">
        <w:t xml:space="preserve"> Wombat Flats, Gumnut Central and Gumnut City North Neighbourhood Centres.</w:t>
      </w:r>
    </w:p>
    <w:p w14:paraId="489C77F7" w14:textId="77777777" w:rsidR="00DC2411" w:rsidRPr="007F05A3" w:rsidRDefault="00AB2C0B" w:rsidP="00BA6981">
      <w:pPr>
        <w:pStyle w:val="Appendix2-Heading1"/>
      </w:pPr>
      <w:r w:rsidRPr="007F05A3">
        <w:t>Natural Environment</w:t>
      </w:r>
    </w:p>
    <w:p w14:paraId="489C77F8" w14:textId="3EFF2910" w:rsidR="0022127A" w:rsidRPr="007F05A3" w:rsidRDefault="0022127A" w:rsidP="00FB14AC">
      <w:pPr>
        <w:pStyle w:val="Appendix2-Body"/>
      </w:pPr>
      <w:r w:rsidRPr="007F05A3">
        <w:t>Much of the native vegetation that existed in the Shire before settlement has been removed or substantially modified.</w:t>
      </w:r>
      <w:r w:rsidR="000C0B56" w:rsidRPr="007F05A3">
        <w:t xml:space="preserve"> As a </w:t>
      </w:r>
      <w:proofErr w:type="gramStart"/>
      <w:r w:rsidR="000C0B56" w:rsidRPr="007F05A3">
        <w:t>result</w:t>
      </w:r>
      <w:proofErr w:type="gramEnd"/>
      <w:r w:rsidR="000C0B56" w:rsidRPr="007F05A3">
        <w:t xml:space="preserve"> r</w:t>
      </w:r>
      <w:r w:rsidRPr="007F05A3">
        <w:t xml:space="preserve">emnant vegetation, particularly along the </w:t>
      </w:r>
      <w:proofErr w:type="spellStart"/>
      <w:r w:rsidR="007F05A3">
        <w:t>Westcotty</w:t>
      </w:r>
      <w:proofErr w:type="spellEnd"/>
      <w:r w:rsidR="007F05A3">
        <w:t xml:space="preserve"> </w:t>
      </w:r>
      <w:r w:rsidRPr="007F05A3">
        <w:t>River, serves an important rol</w:t>
      </w:r>
      <w:r w:rsidR="000C0B56" w:rsidRPr="007F05A3">
        <w:t>e in preserving biodiversity,</w:t>
      </w:r>
      <w:r w:rsidRPr="007F05A3">
        <w:t xml:space="preserve"> providing habitat and environmental benefits such as water quality control, ground water management and soil stabilisation.</w:t>
      </w:r>
      <w:r w:rsidR="00D92C0F">
        <w:t xml:space="preserve"> </w:t>
      </w:r>
      <w:r w:rsidR="007F05A3">
        <w:t xml:space="preserve">The </w:t>
      </w:r>
      <w:r w:rsidR="007F05A3" w:rsidRPr="007F05A3">
        <w:t xml:space="preserve">urban break between </w:t>
      </w:r>
      <w:proofErr w:type="spellStart"/>
      <w:r w:rsidR="007F05A3" w:rsidRPr="007F05A3">
        <w:t>Ogdenville</w:t>
      </w:r>
      <w:proofErr w:type="spellEnd"/>
      <w:r w:rsidR="007F05A3" w:rsidRPr="007F05A3">
        <w:t xml:space="preserve"> and Gumnut City</w:t>
      </w:r>
      <w:r w:rsidR="007F05A3">
        <w:t xml:space="preserve"> is significant in providing the one substantial east-west biodiversity corridor through the municipality.</w:t>
      </w:r>
    </w:p>
    <w:p w14:paraId="489C77F9" w14:textId="77777777" w:rsidR="007F05A3" w:rsidRPr="007F05A3" w:rsidRDefault="007F05A3" w:rsidP="00FB14AC">
      <w:pPr>
        <w:pStyle w:val="Appendix2-Body"/>
      </w:pPr>
      <w:r w:rsidRPr="007F05A3">
        <w:t xml:space="preserve">The </w:t>
      </w:r>
      <w:r w:rsidRPr="00EC3B47">
        <w:t>Shire seeks to protect biodiversity by:</w:t>
      </w:r>
    </w:p>
    <w:p w14:paraId="489C77FA" w14:textId="77777777" w:rsidR="00754143" w:rsidRPr="007F05A3" w:rsidRDefault="007F05A3" w:rsidP="005510AA">
      <w:pPr>
        <w:pStyle w:val="Appendix2-Bullet"/>
      </w:pPr>
      <w:r>
        <w:t>Retaining r</w:t>
      </w:r>
      <w:r w:rsidR="00AB2C0B" w:rsidRPr="007F05A3">
        <w:t>emnant vegetation</w:t>
      </w:r>
      <w:r w:rsidR="00EC3B47">
        <w:t xml:space="preserve"> throughout the municipality but</w:t>
      </w:r>
      <w:r w:rsidR="00AB2C0B" w:rsidRPr="007F05A3">
        <w:t xml:space="preserve"> particularly along the </w:t>
      </w:r>
      <w:proofErr w:type="spellStart"/>
      <w:r w:rsidR="00AB2C0B" w:rsidRPr="007F05A3">
        <w:t>Westcotty</w:t>
      </w:r>
      <w:proofErr w:type="spellEnd"/>
      <w:r w:rsidR="00AB2C0B" w:rsidRPr="007F05A3">
        <w:t xml:space="preserve"> River.</w:t>
      </w:r>
    </w:p>
    <w:p w14:paraId="489C77FB" w14:textId="77777777" w:rsidR="00170B2A" w:rsidRPr="007F05A3" w:rsidRDefault="007F05A3" w:rsidP="005510AA">
      <w:pPr>
        <w:pStyle w:val="Appendix2-Bullet"/>
      </w:pPr>
      <w:r>
        <w:t>Maintaining t</w:t>
      </w:r>
      <w:r w:rsidR="00170B2A" w:rsidRPr="007F05A3">
        <w:t>he urban break betwe</w:t>
      </w:r>
      <w:r>
        <w:t xml:space="preserve">en </w:t>
      </w:r>
      <w:proofErr w:type="spellStart"/>
      <w:r>
        <w:t>Ogdenville</w:t>
      </w:r>
      <w:proofErr w:type="spellEnd"/>
      <w:r>
        <w:t xml:space="preserve"> and Gumnut City</w:t>
      </w:r>
      <w:r w:rsidR="00170B2A" w:rsidRPr="007F05A3">
        <w:t>.</w:t>
      </w:r>
    </w:p>
    <w:p w14:paraId="489C77FC" w14:textId="77777777" w:rsidR="00DC2411" w:rsidRPr="0075453C" w:rsidRDefault="00AB2C0B" w:rsidP="00BA6981">
      <w:pPr>
        <w:pStyle w:val="Appendix2-Heading1"/>
      </w:pPr>
      <w:r w:rsidRPr="00F90620">
        <w:t>Amenity</w:t>
      </w:r>
    </w:p>
    <w:p w14:paraId="489C77FD" w14:textId="77777777" w:rsidR="00EF28CC" w:rsidRPr="0075453C" w:rsidRDefault="00EF28CC" w:rsidP="00FB14AC">
      <w:pPr>
        <w:pStyle w:val="Appendix2-Body"/>
      </w:pPr>
      <w:r w:rsidRPr="0075453C">
        <w:t>Gumnut City’s</w:t>
      </w:r>
      <w:r w:rsidR="0075453C" w:rsidRPr="0075453C">
        <w:t xml:space="preserve"> residential areas are highly desirable</w:t>
      </w:r>
      <w:r w:rsidRPr="0075453C" w:rsidDel="00B56813">
        <w:t xml:space="preserve"> </w:t>
      </w:r>
      <w:r w:rsidR="0075453C" w:rsidRPr="0075453C">
        <w:t>due to their access to retail, entertainment, employment,</w:t>
      </w:r>
      <w:r w:rsidRPr="0075453C" w:rsidDel="00B56813">
        <w:t xml:space="preserve"> community and recreational facilities. Many of these areas are also </w:t>
      </w:r>
      <w:r w:rsidR="0075453C" w:rsidRPr="0075453C">
        <w:t>aesthetically significant</w:t>
      </w:r>
      <w:r w:rsidRPr="0075453C" w:rsidDel="00B56813">
        <w:t xml:space="preserve"> with intact streetscapes. </w:t>
      </w:r>
      <w:r w:rsidRPr="0075453C">
        <w:t>T</w:t>
      </w:r>
      <w:r w:rsidRPr="0075453C" w:rsidDel="00B56813">
        <w:t xml:space="preserve">he </w:t>
      </w:r>
      <w:r w:rsidR="0075453C" w:rsidRPr="0075453C">
        <w:t>Shire seeks to</w:t>
      </w:r>
      <w:r w:rsidRPr="0075453C">
        <w:t xml:space="preserve"> </w:t>
      </w:r>
      <w:r w:rsidR="0075453C" w:rsidRPr="0075453C">
        <w:t>maintain</w:t>
      </w:r>
      <w:r w:rsidRPr="0075453C">
        <w:t xml:space="preserve"> residential amenity by:</w:t>
      </w:r>
    </w:p>
    <w:p w14:paraId="489C77FE" w14:textId="77777777" w:rsidR="00EF28CC" w:rsidRPr="0075453C" w:rsidRDefault="0075453C" w:rsidP="005510AA">
      <w:pPr>
        <w:pStyle w:val="Appendix2-Bullet"/>
      </w:pPr>
      <w:r w:rsidRPr="0075453C">
        <w:t>Directing non-residential uses to locate in either the Gumnut City town centre or the Wombat Flats, Gumnut Central and Gumnut City North neighbourhood centres.</w:t>
      </w:r>
    </w:p>
    <w:p w14:paraId="489C77FF" w14:textId="77777777" w:rsidR="0075453C" w:rsidRPr="0075453C" w:rsidRDefault="0075453C" w:rsidP="005510AA">
      <w:pPr>
        <w:pStyle w:val="Appendix2-Bullet"/>
      </w:pPr>
      <w:r w:rsidRPr="0075453C">
        <w:t>Supporting limited non-residential uses in residential areas, provided they serve a direct local need and minimise impacts on the amenity of an area.</w:t>
      </w:r>
    </w:p>
    <w:p w14:paraId="489C7800" w14:textId="77777777" w:rsidR="0075453C" w:rsidRPr="0075453C" w:rsidRDefault="0075453C" w:rsidP="005510AA">
      <w:pPr>
        <w:pStyle w:val="Appendix2-Bullet"/>
      </w:pPr>
      <w:r w:rsidRPr="0075453C">
        <w:t>Directing industrial uses, particularly those with adverse amenity impact potential, to the Wombat Flats industrial precinct.</w:t>
      </w:r>
    </w:p>
    <w:p w14:paraId="489C7801" w14:textId="77777777" w:rsidR="00DC2411" w:rsidRPr="0077086A" w:rsidRDefault="00AB2C0B" w:rsidP="00BA6981">
      <w:pPr>
        <w:pStyle w:val="Appendix2-Heading1"/>
      </w:pPr>
      <w:r w:rsidRPr="0077086A">
        <w:t>Agriculture</w:t>
      </w:r>
    </w:p>
    <w:p w14:paraId="489C7802" w14:textId="77777777" w:rsidR="00CB429B" w:rsidRPr="0077086A" w:rsidRDefault="00EE66F7" w:rsidP="00FB14AC">
      <w:pPr>
        <w:pStyle w:val="Appendix2-Body"/>
      </w:pPr>
      <w:r w:rsidRPr="0077086A">
        <w:t>Agriculture is an important economic asset for the Shire and needs to be protected from encroaching, non-compatible uses. In particular, t</w:t>
      </w:r>
      <w:r w:rsidR="00AB2C0B" w:rsidRPr="0077086A">
        <w:t>he subdivision or use of land in farming areas for dwellings is discourag</w:t>
      </w:r>
      <w:r w:rsidRPr="0077086A">
        <w:t>ed as this has the potential to r</w:t>
      </w:r>
      <w:r w:rsidR="00AB2C0B" w:rsidRPr="0077086A">
        <w:t>emove productiv</w:t>
      </w:r>
      <w:r w:rsidRPr="0077086A">
        <w:t>e agricultural land from supply and c</w:t>
      </w:r>
      <w:r w:rsidR="00AB2C0B" w:rsidRPr="0077086A">
        <w:t>reate land use conflicts with nearby farming properties.</w:t>
      </w:r>
    </w:p>
    <w:p w14:paraId="489C7803" w14:textId="77777777" w:rsidR="00EE66F7" w:rsidRPr="0077086A" w:rsidRDefault="00EE66F7" w:rsidP="00FB14AC">
      <w:pPr>
        <w:pStyle w:val="Appendix2-Body"/>
      </w:pPr>
      <w:r w:rsidRPr="0077086A">
        <w:t>Agriculture in the Shire will be protected by:</w:t>
      </w:r>
    </w:p>
    <w:p w14:paraId="489C7804" w14:textId="77777777" w:rsidR="00754143" w:rsidRPr="0077086A" w:rsidRDefault="00EE66F7" w:rsidP="005510AA">
      <w:pPr>
        <w:pStyle w:val="Appendix2-Bullet"/>
      </w:pPr>
      <w:r w:rsidRPr="0077086A">
        <w:t>Supporting t</w:t>
      </w:r>
      <w:r w:rsidR="00AB2C0B" w:rsidRPr="0077086A">
        <w:t>he</w:t>
      </w:r>
      <w:r w:rsidRPr="0077086A">
        <w:t xml:space="preserve"> subdivision of land for or</w:t>
      </w:r>
      <w:r w:rsidR="00AB2C0B" w:rsidRPr="0077086A">
        <w:t xml:space="preserve"> construction of a dwelling in the Farming Zone only where it can be demonstrated that the dwelling is reasonably required to support agricultural activity.</w:t>
      </w:r>
    </w:p>
    <w:p w14:paraId="489C7805" w14:textId="77777777" w:rsidR="00DC2411" w:rsidRPr="009E2B42" w:rsidRDefault="00AB2C0B" w:rsidP="00BA6981">
      <w:pPr>
        <w:pStyle w:val="Appendix2-Heading1"/>
      </w:pPr>
      <w:r w:rsidRPr="009E2B42">
        <w:t>Built environment and heritage</w:t>
      </w:r>
    </w:p>
    <w:p w14:paraId="489C7806" w14:textId="77777777" w:rsidR="00D54A74" w:rsidRPr="009E2B42" w:rsidRDefault="00D54A74" w:rsidP="00FB14AC">
      <w:pPr>
        <w:pStyle w:val="Appendix2-Body"/>
      </w:pPr>
      <w:r w:rsidRPr="009E2B42">
        <w:t xml:space="preserve">Gumnut Shire contains many diverse urban and environmental features identified for preservation and enhancement </w:t>
      </w:r>
      <w:proofErr w:type="gramStart"/>
      <w:r w:rsidRPr="009E2B42">
        <w:t>in order to</w:t>
      </w:r>
      <w:proofErr w:type="gramEnd"/>
      <w:r w:rsidRPr="009E2B42">
        <w:t xml:space="preserve"> retain the character of the municipality.  </w:t>
      </w:r>
    </w:p>
    <w:p w14:paraId="489C7807" w14:textId="77777777" w:rsidR="00211499" w:rsidRPr="009E2B42" w:rsidRDefault="00211499" w:rsidP="00FB14AC">
      <w:pPr>
        <w:pStyle w:val="Appendix2-Body"/>
      </w:pPr>
      <w:r w:rsidRPr="009E2B42">
        <w:lastRenderedPageBreak/>
        <w:t>Brockway township was one of the first post-contact settlements in the region and has an extensive and highly intact built heritage.</w:t>
      </w:r>
    </w:p>
    <w:p w14:paraId="489C7808" w14:textId="77777777" w:rsidR="007F05A3" w:rsidRPr="009E2B42" w:rsidRDefault="007F05A3" w:rsidP="00FB14AC">
      <w:pPr>
        <w:pStyle w:val="Appendix2-Body"/>
      </w:pPr>
      <w:r w:rsidRPr="009E2B42">
        <w:t>Vegetation throughout the Shire also provides scenic qualities and contributes to amenity and character.</w:t>
      </w:r>
    </w:p>
    <w:p w14:paraId="489C7809" w14:textId="77777777" w:rsidR="009E2B42" w:rsidRPr="009E2B42" w:rsidRDefault="009E2B42" w:rsidP="00FB14AC">
      <w:pPr>
        <w:pStyle w:val="Appendix2-Body"/>
      </w:pPr>
      <w:r w:rsidRPr="009E2B42">
        <w:t>Gumnut’s activity centres are a key element in promoting activity and social interaction with built form providing the physical basis for this.</w:t>
      </w:r>
    </w:p>
    <w:p w14:paraId="489C780A" w14:textId="77777777" w:rsidR="00211499" w:rsidRPr="009E2B42" w:rsidRDefault="00211499" w:rsidP="00FB14AC">
      <w:pPr>
        <w:pStyle w:val="Appendix2-Body"/>
      </w:pPr>
      <w:r w:rsidRPr="009E2B42">
        <w:t>Owing to its high-profile location at the southern entry point to Gumnut City, the Wombat Flats industrial precinct forms the primary gateway location for the urban areas of Gumnut.</w:t>
      </w:r>
    </w:p>
    <w:p w14:paraId="489C780B" w14:textId="77777777" w:rsidR="00D54A74" w:rsidRPr="009E2B42" w:rsidRDefault="00D54A74" w:rsidP="00FB14AC">
      <w:pPr>
        <w:pStyle w:val="Appendix2-Body"/>
      </w:pPr>
      <w:r w:rsidRPr="009E2B42">
        <w:t>The Shire will protect its distinctive built and natural environment by:</w:t>
      </w:r>
    </w:p>
    <w:p w14:paraId="489C780C" w14:textId="77777777" w:rsidR="00D54A74" w:rsidRPr="009E2B42" w:rsidRDefault="00D54A74" w:rsidP="005510AA">
      <w:pPr>
        <w:pStyle w:val="Appendix2-Bullet"/>
      </w:pPr>
      <w:r w:rsidRPr="009E2B42">
        <w:t>Designing built form in activity centres to encourage interaction with the public realm and prioritise pedestrian amenity.</w:t>
      </w:r>
    </w:p>
    <w:p w14:paraId="489C780D" w14:textId="77777777" w:rsidR="00754143" w:rsidRPr="009E2B42" w:rsidRDefault="00D54A74" w:rsidP="005510AA">
      <w:pPr>
        <w:pStyle w:val="Appendix2-Bullet"/>
      </w:pPr>
      <w:r w:rsidRPr="009E2B42">
        <w:t>Protecting,</w:t>
      </w:r>
      <w:r w:rsidR="00AB2C0B" w:rsidRPr="009E2B42">
        <w:t xml:space="preserve"> conserv</w:t>
      </w:r>
      <w:r w:rsidRPr="009E2B42">
        <w:t>ing</w:t>
      </w:r>
      <w:r w:rsidR="00AB2C0B" w:rsidRPr="009E2B42">
        <w:t xml:space="preserve"> and enhanc</w:t>
      </w:r>
      <w:r w:rsidRPr="009E2B42">
        <w:t>ing its heritage assets</w:t>
      </w:r>
      <w:r w:rsidR="00AB2C0B" w:rsidRPr="009E2B42">
        <w:t>.</w:t>
      </w:r>
    </w:p>
    <w:p w14:paraId="489C780E" w14:textId="77777777" w:rsidR="009E2B42" w:rsidRDefault="00D54A74" w:rsidP="005510AA">
      <w:pPr>
        <w:pStyle w:val="Appendix2-Bullet"/>
      </w:pPr>
      <w:r w:rsidRPr="009E2B42">
        <w:t xml:space="preserve">Designing </w:t>
      </w:r>
      <w:r w:rsidRPr="00EE1C4E">
        <w:t>i</w:t>
      </w:r>
      <w:r w:rsidR="00AB2C0B" w:rsidRPr="00EE1C4E">
        <w:t>nfill</w:t>
      </w:r>
      <w:r w:rsidR="00AB2C0B" w:rsidRPr="009E2B42">
        <w:t xml:space="preserve"> housing development in existing residential areas </w:t>
      </w:r>
      <w:r w:rsidRPr="009E2B42">
        <w:t>to</w:t>
      </w:r>
      <w:r w:rsidR="00AB2C0B" w:rsidRPr="009E2B42">
        <w:t xml:space="preserve"> respect existing neighbourhood character.</w:t>
      </w:r>
    </w:p>
    <w:p w14:paraId="489C780F" w14:textId="77777777" w:rsidR="00D54A74" w:rsidRPr="009E2B42" w:rsidRDefault="009E2B42" w:rsidP="005510AA">
      <w:pPr>
        <w:pStyle w:val="Appendix2-Bullet"/>
      </w:pPr>
      <w:r>
        <w:t>Encouraging the retention of existing canopy trees.</w:t>
      </w:r>
      <w:r w:rsidR="00DA5AF6" w:rsidRPr="009E2B42">
        <w:t xml:space="preserve"> </w:t>
      </w:r>
    </w:p>
    <w:p w14:paraId="489C7810" w14:textId="77777777" w:rsidR="00754143" w:rsidRPr="009E2B42" w:rsidRDefault="00D54A74" w:rsidP="005510AA">
      <w:pPr>
        <w:pStyle w:val="Appendix2-Bullet"/>
      </w:pPr>
      <w:r w:rsidRPr="009E2B42">
        <w:t>Supporting innovative and contemporary designs for housing i</w:t>
      </w:r>
      <w:r w:rsidR="00AB2C0B" w:rsidRPr="009E2B42">
        <w:t>n urban consolidation and greenfield development areas</w:t>
      </w:r>
      <w:r w:rsidRPr="009E2B42">
        <w:t xml:space="preserve"> that complement</w:t>
      </w:r>
      <w:r w:rsidR="00AB2C0B" w:rsidRPr="009E2B42">
        <w:t xml:space="preserve"> the important natural, cultural and historic built form and landscape values of the Shire.</w:t>
      </w:r>
    </w:p>
    <w:p w14:paraId="489C7811" w14:textId="77777777" w:rsidR="009E2B42" w:rsidRDefault="009E2B42" w:rsidP="005510AA">
      <w:pPr>
        <w:pStyle w:val="Appendix2-Bullet"/>
      </w:pPr>
      <w:r>
        <w:t>Encouraging development in</w:t>
      </w:r>
      <w:r w:rsidR="00AB2C0B" w:rsidRPr="009E2B42">
        <w:t xml:space="preserve"> the Wombat Flats industrial precinct to</w:t>
      </w:r>
      <w:r>
        <w:t xml:space="preserve"> achieve a high standard of urban design </w:t>
      </w:r>
      <w:proofErr w:type="gramStart"/>
      <w:r>
        <w:t>in order to</w:t>
      </w:r>
      <w:proofErr w:type="gramEnd"/>
      <w:r>
        <w:t>:</w:t>
      </w:r>
      <w:r w:rsidR="00AB2C0B" w:rsidRPr="009E2B42">
        <w:t xml:space="preserve"> </w:t>
      </w:r>
    </w:p>
    <w:p w14:paraId="489C7812" w14:textId="77777777" w:rsidR="009E2B42" w:rsidRPr="00EE1C4E" w:rsidRDefault="009E2B42" w:rsidP="005510AA">
      <w:pPr>
        <w:pStyle w:val="Appendix2-sub-bullet"/>
      </w:pPr>
      <w:r w:rsidRPr="00EE1C4E">
        <w:t>Create a gateway entry.</w:t>
      </w:r>
      <w:r w:rsidR="00AB2C0B" w:rsidRPr="00EE1C4E">
        <w:t xml:space="preserve"> </w:t>
      </w:r>
    </w:p>
    <w:p w14:paraId="489C7813" w14:textId="77777777" w:rsidR="009E2B42" w:rsidRPr="00EE1C4E" w:rsidRDefault="009E2B42" w:rsidP="005510AA">
      <w:pPr>
        <w:pStyle w:val="Appendix2-sub-bullet"/>
      </w:pPr>
      <w:r w:rsidRPr="00EE1C4E">
        <w:t>Create a strong sense of place.</w:t>
      </w:r>
      <w:r w:rsidR="00AB2C0B" w:rsidRPr="00EE1C4E">
        <w:t xml:space="preserve"> </w:t>
      </w:r>
    </w:p>
    <w:p w14:paraId="489C7814" w14:textId="77777777" w:rsidR="009E2B42" w:rsidRPr="00EE1C4E" w:rsidRDefault="009E2B42" w:rsidP="005510AA">
      <w:pPr>
        <w:pStyle w:val="Appendix2-sub-bullet"/>
      </w:pPr>
      <w:r w:rsidRPr="00EE1C4E">
        <w:t>C</w:t>
      </w:r>
      <w:r w:rsidR="00AB2C0B" w:rsidRPr="00EE1C4E">
        <w:t>omplement the abutting Wombat Flats neighbourhood centre</w:t>
      </w:r>
      <w:r w:rsidRPr="00EE1C4E">
        <w:t>.</w:t>
      </w:r>
      <w:r w:rsidR="00AB2C0B" w:rsidRPr="00EE1C4E">
        <w:t xml:space="preserve"> </w:t>
      </w:r>
    </w:p>
    <w:p w14:paraId="489C7815" w14:textId="77777777" w:rsidR="00754143" w:rsidRPr="00A7003F" w:rsidRDefault="009E2B42" w:rsidP="005510AA">
      <w:pPr>
        <w:pStyle w:val="Appendix2-sub-bullet"/>
      </w:pPr>
      <w:r w:rsidRPr="00EE1C4E">
        <w:t>P</w:t>
      </w:r>
      <w:r w:rsidR="00AB2C0B" w:rsidRPr="00EE1C4E">
        <w:t>rovide</w:t>
      </w:r>
      <w:r w:rsidR="00AB2C0B" w:rsidRPr="00A7003F">
        <w:t xml:space="preserve"> a quality environment for workers and visitors.</w:t>
      </w:r>
    </w:p>
    <w:p w14:paraId="489C7816" w14:textId="77777777" w:rsidR="00DC2411" w:rsidRPr="0077086A" w:rsidRDefault="00AB2C0B" w:rsidP="00BA6981">
      <w:pPr>
        <w:pStyle w:val="Appendix2-Heading1"/>
      </w:pPr>
      <w:r w:rsidRPr="0077086A">
        <w:t>Sustainability</w:t>
      </w:r>
    </w:p>
    <w:p w14:paraId="489C7817" w14:textId="77777777" w:rsidR="00211499" w:rsidRPr="0077086A" w:rsidRDefault="00211499" w:rsidP="00FB14AC">
      <w:pPr>
        <w:pStyle w:val="Appendix2-Body"/>
      </w:pPr>
      <w:r w:rsidRPr="0077086A">
        <w:t>Building design and the pattern of land use and development can contribute substantially to the overall sustainability of the Shire. Lowering the ecological footprint of new housing (and other development) is necessary to accommodate new residents and businesses while minimising impacts on the environment.</w:t>
      </w:r>
    </w:p>
    <w:p w14:paraId="489C7818" w14:textId="77777777" w:rsidR="00EE66F7" w:rsidRPr="0077086A" w:rsidRDefault="0077086A" w:rsidP="00FB14AC">
      <w:pPr>
        <w:pStyle w:val="Appendix2-Body"/>
      </w:pPr>
      <w:r w:rsidRPr="0077086A">
        <w:t xml:space="preserve">Sustainability in the Shire will be </w:t>
      </w:r>
      <w:r w:rsidR="00EE66F7" w:rsidRPr="0077086A">
        <w:t>supported by:</w:t>
      </w:r>
    </w:p>
    <w:p w14:paraId="489C7819" w14:textId="77777777" w:rsidR="00754143" w:rsidRPr="0077086A" w:rsidRDefault="00EE66F7" w:rsidP="005510AA">
      <w:pPr>
        <w:pStyle w:val="Appendix2-Bullet"/>
      </w:pPr>
      <w:r w:rsidRPr="0077086A">
        <w:t>Encouraging s</w:t>
      </w:r>
      <w:r w:rsidR="00AB2C0B" w:rsidRPr="0077086A">
        <w:t>ubdivisions</w:t>
      </w:r>
      <w:r w:rsidRPr="0077086A">
        <w:t xml:space="preserve"> and development</w:t>
      </w:r>
      <w:r w:rsidR="00AB2C0B" w:rsidRPr="0077086A">
        <w:t xml:space="preserve"> in greenfie</w:t>
      </w:r>
      <w:r w:rsidRPr="0077086A">
        <w:t>ld areas</w:t>
      </w:r>
      <w:r w:rsidR="00AB2C0B" w:rsidRPr="0077086A">
        <w:t xml:space="preserve"> to create a compact form and include facilities that promote sustainable modes of transport.</w:t>
      </w:r>
    </w:p>
    <w:p w14:paraId="489C781A" w14:textId="77777777" w:rsidR="00754143" w:rsidRPr="0077086A" w:rsidRDefault="00EE66F7" w:rsidP="005510AA">
      <w:pPr>
        <w:pStyle w:val="Appendix2-Bullet"/>
      </w:pPr>
      <w:r w:rsidRPr="0077086A">
        <w:t>Encouraging d</w:t>
      </w:r>
      <w:r w:rsidR="00AB2C0B" w:rsidRPr="0077086A">
        <w:t>evelopment throughout the Shire to incorporate environmentally sustainable design principles to reduce its ecological footprint.</w:t>
      </w:r>
    </w:p>
    <w:p w14:paraId="489C781B" w14:textId="77777777" w:rsidR="00DC2411" w:rsidRPr="0077086A" w:rsidRDefault="00AB2C0B" w:rsidP="00BA6981">
      <w:pPr>
        <w:pStyle w:val="Appendix2-Heading1"/>
      </w:pPr>
      <w:r w:rsidRPr="0077086A">
        <w:t>Housing</w:t>
      </w:r>
    </w:p>
    <w:p w14:paraId="489C781C" w14:textId="77777777" w:rsidR="00211499" w:rsidRPr="0077086A" w:rsidRDefault="00211499" w:rsidP="00FB14AC">
      <w:pPr>
        <w:pStyle w:val="Appendix2-Body"/>
      </w:pPr>
      <w:r w:rsidRPr="0077086A">
        <w:t>Housing demand is high in Gumnut Shire due to the increasing number of new residents. The supply of housing being developed in Gumnut Shire is not matching the needs of a diverse population, particularly in relation to smaller households, the elderly and disabled persons.</w:t>
      </w:r>
    </w:p>
    <w:p w14:paraId="489C781D" w14:textId="77777777" w:rsidR="00647D9B" w:rsidRPr="0077086A" w:rsidRDefault="00647D9B" w:rsidP="00FB14AC">
      <w:pPr>
        <w:pStyle w:val="Appendix2-Body"/>
      </w:pPr>
      <w:r w:rsidRPr="0077086A">
        <w:t>The Shire seeks to accommodate housing demand by:</w:t>
      </w:r>
    </w:p>
    <w:p w14:paraId="489C781E" w14:textId="7632A4A6" w:rsidR="00EE66F7" w:rsidRPr="0077086A" w:rsidRDefault="00EE66F7" w:rsidP="005510AA">
      <w:pPr>
        <w:pStyle w:val="Appendix2-Bullet"/>
      </w:pPr>
      <w:r w:rsidRPr="0077086A">
        <w:lastRenderedPageBreak/>
        <w:t>Directing more compact dwellings, including apartments and townhouses, to locate in the Gumnut North, Gumnut Central and Wombat Flats neighbourhood centres where urban consolidation is encouraged</w:t>
      </w:r>
      <w:r w:rsidR="00A16B15">
        <w:t>.</w:t>
      </w:r>
    </w:p>
    <w:p w14:paraId="489C781F" w14:textId="77777777" w:rsidR="00EE66F7" w:rsidRPr="0077086A" w:rsidRDefault="00EE66F7" w:rsidP="005510AA">
      <w:pPr>
        <w:pStyle w:val="Appendix2-Bullet"/>
      </w:pPr>
      <w:r w:rsidRPr="0077086A">
        <w:t xml:space="preserve">Supporting the provision of </w:t>
      </w:r>
      <w:r w:rsidR="00AB2C0B" w:rsidRPr="0077086A">
        <w:t>lower cost accommodation, social housing and housing for people of all abilities around the Gumnut City town centre and the three neighbourhood centres.</w:t>
      </w:r>
    </w:p>
    <w:p w14:paraId="489C7820" w14:textId="77777777" w:rsidR="00DC2411" w:rsidRPr="0077086A" w:rsidRDefault="00AB2C0B" w:rsidP="00BA6981">
      <w:pPr>
        <w:pStyle w:val="Appendix2-Heading1"/>
      </w:pPr>
      <w:r w:rsidRPr="0077086A">
        <w:t>Economic development</w:t>
      </w:r>
    </w:p>
    <w:p w14:paraId="489C7821" w14:textId="77777777" w:rsidR="00211499" w:rsidRPr="0077086A" w:rsidRDefault="00211499" w:rsidP="00FB14AC">
      <w:pPr>
        <w:pStyle w:val="Appendix2-Body"/>
      </w:pPr>
      <w:r w:rsidRPr="0077086A">
        <w:t>Gumnut Shire has a diverse local economy that is distributed across the primary, secondary and tertiary economic sectors. While agriculture remains a mainstay of the local economy, the Gumnut Airport and Brown Snake University (with its research and technology precinct) are significant economic contributors to both the Shire and the surrounding region. The Shire also has a role in transporting and processing timber from plantations in neighbouring municipalities.</w:t>
      </w:r>
    </w:p>
    <w:p w14:paraId="489C7822" w14:textId="77777777" w:rsidR="00211499" w:rsidRPr="0077086A" w:rsidRDefault="00211499" w:rsidP="00FB14AC">
      <w:pPr>
        <w:pStyle w:val="Appendix2-Body"/>
      </w:pPr>
      <w:r w:rsidRPr="0077086A">
        <w:t>The Wombat Flats industrial precinct is the main manufacturing centre for the Shire. The precinct has a focus on food manufacturing that responds to the high quality and availability of local produce. Businesses in the precinct are a major source of employment for the Shire.</w:t>
      </w:r>
    </w:p>
    <w:p w14:paraId="489C7823" w14:textId="77777777" w:rsidR="00647D9B" w:rsidRPr="0077086A" w:rsidRDefault="00647D9B" w:rsidP="00FB14AC">
      <w:pPr>
        <w:pStyle w:val="Appendix2-Body"/>
      </w:pPr>
      <w:r w:rsidRPr="00993E56">
        <w:t>Economic growth in the Shire will be supported by:</w:t>
      </w:r>
    </w:p>
    <w:p w14:paraId="489C7824" w14:textId="77777777" w:rsidR="006A19B4" w:rsidRPr="0077086A" w:rsidRDefault="00647D9B" w:rsidP="005510AA">
      <w:pPr>
        <w:pStyle w:val="Appendix2-Bullet"/>
      </w:pPr>
      <w:r w:rsidRPr="0077086A">
        <w:t xml:space="preserve">Protecting </w:t>
      </w:r>
      <w:r w:rsidR="00AB2C0B" w:rsidRPr="0077086A">
        <w:t>the Brown Snake University and Technology Precinct from encroaching residential uses, other than where such uses will support the function of the precinct.</w:t>
      </w:r>
    </w:p>
    <w:p w14:paraId="489C7825" w14:textId="68DF4A33" w:rsidR="00DC2411" w:rsidRPr="0077086A" w:rsidRDefault="0077086A" w:rsidP="005510AA">
      <w:pPr>
        <w:pStyle w:val="Appendix2-Bullet"/>
      </w:pPr>
      <w:r w:rsidRPr="0077086A">
        <w:t>Discouraging</w:t>
      </w:r>
      <w:r w:rsidR="00AB2C0B" w:rsidRPr="0077086A">
        <w:t xml:space="preserve"> uses</w:t>
      </w:r>
      <w:r w:rsidRPr="0077086A">
        <w:t xml:space="preserve"> in or directly </w:t>
      </w:r>
      <w:r w:rsidRPr="00993E56">
        <w:t xml:space="preserve">adjacent </w:t>
      </w:r>
      <w:r w:rsidR="00C93D4C" w:rsidRPr="00993E56">
        <w:t xml:space="preserve">to </w:t>
      </w:r>
      <w:r w:rsidRPr="00993E56">
        <w:t>the</w:t>
      </w:r>
      <w:r w:rsidRPr="0077086A">
        <w:t xml:space="preserve"> Wombat Flats Industrial precinct that are incompatible or would inhibit its function</w:t>
      </w:r>
      <w:r w:rsidR="00AB2C0B" w:rsidRPr="0077086A">
        <w:t>.</w:t>
      </w:r>
    </w:p>
    <w:p w14:paraId="489C7826" w14:textId="77777777" w:rsidR="00754143" w:rsidRPr="0077086A" w:rsidRDefault="00647D9B" w:rsidP="005510AA">
      <w:pPr>
        <w:pStyle w:val="Appendix2-Bullet"/>
      </w:pPr>
      <w:r w:rsidRPr="0077086A">
        <w:t>Encouraging t</w:t>
      </w:r>
      <w:r w:rsidR="00AB2C0B" w:rsidRPr="0077086A">
        <w:t>ourism uses that support and enhance local agriculture, particularly where they support the viability of smaller farms.</w:t>
      </w:r>
    </w:p>
    <w:p w14:paraId="489C7827" w14:textId="77777777" w:rsidR="00DC2411" w:rsidRPr="0077086A" w:rsidRDefault="00AB2C0B" w:rsidP="00BA6981">
      <w:pPr>
        <w:pStyle w:val="Appendix2-Heading1"/>
      </w:pPr>
      <w:r w:rsidRPr="0077086A">
        <w:t>Transport</w:t>
      </w:r>
    </w:p>
    <w:p w14:paraId="489C7828" w14:textId="77777777" w:rsidR="00211499" w:rsidRPr="0077086A" w:rsidRDefault="00211499" w:rsidP="00FB14AC">
      <w:pPr>
        <w:pStyle w:val="Appendix2-Body"/>
      </w:pPr>
      <w:r w:rsidRPr="0077086A">
        <w:t xml:space="preserve">Gumnut Airport is </w:t>
      </w:r>
      <w:proofErr w:type="gramStart"/>
      <w:r w:rsidRPr="0077086A">
        <w:t>a valuable asset</w:t>
      </w:r>
      <w:proofErr w:type="gramEnd"/>
      <w:r w:rsidRPr="0077086A">
        <w:t xml:space="preserve"> for the Shire and the region. The airport links the Shire to Melbourne, other state capitals and regional centres. The railway line and Tilley Highway provide important transport links for moving both people and freight. Gumnut Railway Station is a key internodal terminal for the region.</w:t>
      </w:r>
    </w:p>
    <w:p w14:paraId="489C7829" w14:textId="263FEB73" w:rsidR="00211499" w:rsidRPr="0077086A" w:rsidRDefault="00211499" w:rsidP="00FB14AC">
      <w:pPr>
        <w:pStyle w:val="Appendix2-Body"/>
      </w:pPr>
      <w:r w:rsidRPr="0077086A">
        <w:t xml:space="preserve">The planned highway bypass will improve the amenity of Gumnut City </w:t>
      </w:r>
      <w:r w:rsidRPr="00E85ACF">
        <w:t>by removing through traffic</w:t>
      </w:r>
      <w:r w:rsidRPr="0077086A">
        <w:t>. The bypass will also increase the viability of transport links in the area by reducing the time taken to travel through Gumnut City.</w:t>
      </w:r>
    </w:p>
    <w:p w14:paraId="489C782A" w14:textId="77777777" w:rsidR="00754143" w:rsidRPr="0077086A" w:rsidRDefault="00647D9B" w:rsidP="00FB14AC">
      <w:pPr>
        <w:pStyle w:val="Appendix2-Body"/>
      </w:pPr>
      <w:r w:rsidRPr="0077086A">
        <w:t>As</w:t>
      </w:r>
      <w:r w:rsidR="00AB2C0B" w:rsidRPr="0077086A">
        <w:t xml:space="preserve"> important asset</w:t>
      </w:r>
      <w:r w:rsidRPr="0077086A">
        <w:t>s</w:t>
      </w:r>
      <w:r w:rsidR="00AB2C0B" w:rsidRPr="0077086A">
        <w:t xml:space="preserve"> for the Shire and the surrounding region, the Gumnut Airport</w:t>
      </w:r>
      <w:r w:rsidRPr="0077086A">
        <w:t xml:space="preserve"> &amp; Tilley Highway bypass</w:t>
      </w:r>
      <w:r w:rsidR="00AB2C0B" w:rsidRPr="0077086A">
        <w:t xml:space="preserve"> will be protected by:</w:t>
      </w:r>
    </w:p>
    <w:p w14:paraId="489C782B" w14:textId="77777777" w:rsidR="00DC2411" w:rsidRPr="005C4A94" w:rsidRDefault="00AB2C0B" w:rsidP="005510AA">
      <w:pPr>
        <w:pStyle w:val="Appendix2-Bullet"/>
      </w:pPr>
      <w:r w:rsidRPr="005C4A94">
        <w:t>Maintaining and growing the recreational, emergency and charter use of the airport.</w:t>
      </w:r>
    </w:p>
    <w:p w14:paraId="489C782C" w14:textId="77777777" w:rsidR="00CB429B" w:rsidRPr="005C4A94" w:rsidRDefault="00AB2C0B" w:rsidP="005510AA">
      <w:pPr>
        <w:pStyle w:val="Appendix2-Bullet"/>
      </w:pPr>
      <w:r w:rsidRPr="005C4A94">
        <w:t>Preventing the encroachment of land uses and forms of development that could restrict the future use of the airport</w:t>
      </w:r>
      <w:r w:rsidR="00647D9B" w:rsidRPr="005C4A94">
        <w:t xml:space="preserve"> or the function of the highway</w:t>
      </w:r>
      <w:r w:rsidRPr="005C4A94">
        <w:t>.</w:t>
      </w:r>
    </w:p>
    <w:p w14:paraId="489C782E" w14:textId="77777777" w:rsidR="00DC2411" w:rsidRDefault="00975450" w:rsidP="00BA6981">
      <w:pPr>
        <w:pStyle w:val="Appendix2-Heading1"/>
      </w:pPr>
      <w:r>
        <w:lastRenderedPageBreak/>
        <w:t>02.04</w:t>
      </w:r>
      <w:r>
        <w:tab/>
      </w:r>
      <w:r w:rsidR="00AB2C0B">
        <w:t>Strategic framework plan</w:t>
      </w:r>
    </w:p>
    <w:p w14:paraId="489C782F" w14:textId="7F86A953" w:rsidR="00CB429B" w:rsidRDefault="002D5581" w:rsidP="00A26997">
      <w:pPr>
        <w:pStyle w:val="DELWPdiagraminline"/>
      </w:pPr>
      <w:r>
        <w:rPr>
          <w:noProof/>
        </w:rPr>
        <w:drawing>
          <wp:inline distT="0" distB="0" distL="0" distR="0" wp14:anchorId="6C1AE0BE" wp14:editId="7CB401D5">
            <wp:extent cx="5759450" cy="8144510"/>
            <wp:effectExtent l="0" t="0" r="0" b="8890"/>
            <wp:docPr id="47" name="Picture 47" descr="Example 'Gumnut' MPS Strategic Framework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Example 'Gumnut' MPS Strategic Framework Plan."/>
                    <pic:cNvPicPr/>
                  </pic:nvPicPr>
                  <pic:blipFill>
                    <a:blip r:embed="rId43"/>
                    <a:stretch>
                      <a:fillRect/>
                    </a:stretch>
                  </pic:blipFill>
                  <pic:spPr>
                    <a:xfrm>
                      <a:off x="0" y="0"/>
                      <a:ext cx="5759450" cy="8144510"/>
                    </a:xfrm>
                    <a:prstGeom prst="rect">
                      <a:avLst/>
                    </a:prstGeom>
                  </pic:spPr>
                </pic:pic>
              </a:graphicData>
            </a:graphic>
          </wp:inline>
        </w:drawing>
      </w:r>
    </w:p>
    <w:p w14:paraId="54D0B2E2" w14:textId="6A583466" w:rsidR="004F1DAD" w:rsidRDefault="004F1DAD" w:rsidP="00A26997">
      <w:pPr>
        <w:pStyle w:val="DELWPdiagraminline"/>
      </w:pPr>
    </w:p>
    <w:p w14:paraId="489C7830" w14:textId="7024AD3B" w:rsidR="00DC2411" w:rsidRDefault="00C73410" w:rsidP="00D2198E">
      <w:pPr>
        <w:pStyle w:val="Heading1"/>
      </w:pPr>
      <w:bookmarkStart w:id="336" w:name="_Appendix_4_-"/>
      <w:bookmarkStart w:id="337" w:name="_Toc158707000"/>
      <w:bookmarkEnd w:id="336"/>
      <w:r>
        <w:lastRenderedPageBreak/>
        <w:t>Appendix 4</w:t>
      </w:r>
      <w:r w:rsidR="00B3434E">
        <w:t xml:space="preserve"> - </w:t>
      </w:r>
      <w:r w:rsidR="00AB2C0B" w:rsidRPr="003261F9">
        <w:t>Place-based policy checklist</w:t>
      </w:r>
      <w:bookmarkEnd w:id="337"/>
    </w:p>
    <w:p w14:paraId="71B0FD5D" w14:textId="32EE24EE" w:rsidR="008E03CE" w:rsidRPr="009841C2" w:rsidRDefault="00AB2C0B" w:rsidP="00B6446A">
      <w:pPr>
        <w:pStyle w:val="Head5"/>
      </w:pPr>
      <w:r w:rsidRPr="009841C2">
        <w:t>Checklist for in</w:t>
      </w:r>
      <w:r w:rsidR="00BA5336" w:rsidRPr="009841C2">
        <w:t xml:space="preserve">cluding policy in </w:t>
      </w:r>
      <w:r w:rsidR="001F616D">
        <w:t>c</w:t>
      </w:r>
      <w:r w:rsidR="00BA5336" w:rsidRPr="009841C2">
        <w:t xml:space="preserve">lause 11.03 </w:t>
      </w:r>
      <w:r w:rsidR="004401FC">
        <w:t>(</w:t>
      </w:r>
      <w:r w:rsidRPr="009841C2">
        <w:t>Planning for Places</w:t>
      </w:r>
      <w:r w:rsidR="004401FC">
        <w:t>)</w:t>
      </w:r>
    </w:p>
    <w:p w14:paraId="489C7833" w14:textId="750B8172" w:rsidR="00DC2411" w:rsidRDefault="00AB2C0B" w:rsidP="002E55BC">
      <w:pPr>
        <w:pStyle w:val="BodyText1"/>
      </w:pPr>
      <w:r>
        <w:t>Given the breadth of policies addressed in the PPF, most policy can be nested thematically within the PPF</w:t>
      </w:r>
      <w:r w:rsidR="00474219">
        <w:t xml:space="preserve"> – </w:t>
      </w:r>
      <w:r>
        <w:t>including policies for specific places.</w:t>
      </w:r>
      <w:r w:rsidR="00DA5AF6">
        <w:t xml:space="preserve"> </w:t>
      </w:r>
      <w:r>
        <w:t xml:space="preserve">To qualify for inclusion in </w:t>
      </w:r>
      <w:r w:rsidR="001F616D" w:rsidRPr="00B00B76">
        <w:t>c</w:t>
      </w:r>
      <w:r w:rsidRPr="00B00B76">
        <w:t>lause 11.03</w:t>
      </w:r>
      <w:r>
        <w:t xml:space="preserve">, a policy must tick </w:t>
      </w:r>
      <w:proofErr w:type="gramStart"/>
      <w:r w:rsidRPr="007E64CD">
        <w:rPr>
          <w:rStyle w:val="Strong"/>
        </w:rPr>
        <w:t>all</w:t>
      </w:r>
      <w:r>
        <w:t xml:space="preserve"> of</w:t>
      </w:r>
      <w:proofErr w:type="gramEnd"/>
      <w:r>
        <w:t xml:space="preserve"> the following boxes:</w:t>
      </w:r>
    </w:p>
    <w:tbl>
      <w:tblPr>
        <w:tblStyle w:val="TableGrid"/>
        <w:tblW w:w="9185" w:type="dxa"/>
        <w:tblInd w:w="-5" w:type="dxa"/>
        <w:tblLayout w:type="fixed"/>
        <w:tblCellMar>
          <w:top w:w="85" w:type="dxa"/>
          <w:bottom w:w="57" w:type="dxa"/>
        </w:tblCellMar>
        <w:tblLook w:val="0600" w:firstRow="0" w:lastRow="0" w:firstColumn="0" w:lastColumn="0" w:noHBand="1" w:noVBand="1"/>
      </w:tblPr>
      <w:tblGrid>
        <w:gridCol w:w="8505"/>
        <w:gridCol w:w="680"/>
      </w:tblGrid>
      <w:tr w:rsidR="00DC2411" w:rsidRPr="00DF371F" w14:paraId="489C7837" w14:textId="77777777" w:rsidTr="0083599D">
        <w:trPr>
          <w:cantSplit/>
        </w:trPr>
        <w:tc>
          <w:tcPr>
            <w:tcW w:w="8505" w:type="dxa"/>
          </w:tcPr>
          <w:p w14:paraId="489C7834" w14:textId="77777777" w:rsidR="00CB429B" w:rsidRPr="0089761E" w:rsidRDefault="00AB2C0B" w:rsidP="005510AA">
            <w:pPr>
              <w:pStyle w:val="DELWPnumberdigit"/>
              <w:numPr>
                <w:ilvl w:val="0"/>
                <w:numId w:val="10"/>
              </w:numPr>
            </w:pPr>
            <w:r w:rsidRPr="0089761E">
              <w:t>Does the proposed policy apply to a specific place?</w:t>
            </w:r>
          </w:p>
          <w:p w14:paraId="489C7835" w14:textId="77777777" w:rsidR="00DC2411" w:rsidRPr="000E23F7" w:rsidRDefault="00AB2C0B" w:rsidP="003F72C9">
            <w:pPr>
              <w:pStyle w:val="Tablebody"/>
              <w:ind w:left="397"/>
            </w:pPr>
            <w:r w:rsidRPr="004F03DE">
              <w:t xml:space="preserve">For </w:t>
            </w:r>
            <w:proofErr w:type="gramStart"/>
            <w:r w:rsidRPr="004F03DE">
              <w:t>example</w:t>
            </w:r>
            <w:proofErr w:type="gramEnd"/>
            <w:r w:rsidRPr="004F03DE">
              <w:t xml:space="preserve"> ‘Gumnut irrigation district’, not ‘Townships in the City of Gumnut’ which are a type of place, rather than a place.</w:t>
            </w:r>
            <w:r w:rsidRPr="000E23F7">
              <w:t xml:space="preserve"> </w:t>
            </w:r>
          </w:p>
        </w:tc>
        <w:tc>
          <w:tcPr>
            <w:tcW w:w="680" w:type="dxa"/>
          </w:tcPr>
          <w:p w14:paraId="489C7836" w14:textId="77777777" w:rsidR="00DC2411" w:rsidRPr="0089761E" w:rsidRDefault="00B70AD6" w:rsidP="00D02070">
            <w:pPr>
              <w:pStyle w:val="Tablebody"/>
            </w:pPr>
            <w:r>
              <w:rPr>
                <w:noProof/>
                <w:shd w:val="clear" w:color="auto" w:fill="E6E6E6"/>
                <w:lang w:val="en-US"/>
              </w:rPr>
              <mc:AlternateContent>
                <mc:Choice Requires="wps">
                  <w:drawing>
                    <wp:inline distT="0" distB="0" distL="0" distR="0" wp14:anchorId="489C7AD0" wp14:editId="489C7AD1">
                      <wp:extent cx="179705" cy="179705"/>
                      <wp:effectExtent l="8255" t="8255" r="12065" b="12065"/>
                      <wp:docPr id="7" name="Rectangle 7" descr="Check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9705" cy="179705"/>
                              </a:xfrm>
                              <a:prstGeom prst="rect">
                                <a:avLst/>
                              </a:prstGeom>
                              <a:noFill/>
                              <a:ln w="3175">
                                <a:solidFill>
                                  <a:srgbClr val="000000"/>
                                </a:solidFill>
                                <a:miter lim="800000"/>
                                <a:headEnd/>
                                <a:tailEnd/>
                              </a:ln>
                              <a:extLst>
                                <a:ext uri="{909E8E84-426E-40dd-AFC4-6F175D3DCCD1}">
                                  <a14:hiddenFill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1AA56309" id="Rectangle 7" o:spid="_x0000_s1026" alt="Checkbox"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" filled="f" strokeweight=".25pt">
                      <o:lock v:ext="edit" aspectratio="t"/>
                      <w10:anchorlock/>
                    </v:rect>
                  </w:pict>
                </mc:Fallback>
              </mc:AlternateContent>
            </w:r>
          </w:p>
        </w:tc>
      </w:tr>
      <w:tr w:rsidR="00DC2411" w:rsidRPr="00DF371F" w14:paraId="489C783A" w14:textId="77777777" w:rsidTr="0083599D">
        <w:trPr>
          <w:cantSplit/>
        </w:trPr>
        <w:tc>
          <w:tcPr>
            <w:tcW w:w="8505" w:type="dxa"/>
          </w:tcPr>
          <w:p w14:paraId="489C7838" w14:textId="77777777" w:rsidR="00DC2411" w:rsidRPr="0089761E" w:rsidRDefault="00AB2C0B" w:rsidP="005510AA">
            <w:pPr>
              <w:pStyle w:val="DELWPnumberdigit"/>
            </w:pPr>
            <w:r w:rsidRPr="0089761E">
              <w:t>Is there a common objective or common set of objectives for the place?</w:t>
            </w:r>
          </w:p>
        </w:tc>
        <w:tc>
          <w:tcPr>
            <w:tcW w:w="680" w:type="dxa"/>
          </w:tcPr>
          <w:p w14:paraId="489C7839" w14:textId="77777777" w:rsidR="00DC2411" w:rsidRPr="0089761E" w:rsidRDefault="00B70AD6" w:rsidP="00D02070">
            <w:pPr>
              <w:pStyle w:val="Tablebody"/>
            </w:pPr>
            <w:r>
              <w:rPr>
                <w:noProof/>
                <w:shd w:val="clear" w:color="auto" w:fill="E6E6E6"/>
                <w:lang w:val="en-US"/>
              </w:rPr>
              <mc:AlternateContent>
                <mc:Choice Requires="wps">
                  <w:drawing>
                    <wp:inline distT="0" distB="0" distL="0" distR="0" wp14:anchorId="489C7AD2" wp14:editId="489C7AD3">
                      <wp:extent cx="179705" cy="179705"/>
                      <wp:effectExtent l="8255" t="10160" r="12065" b="10160"/>
                      <wp:docPr id="6" name="Rectangle 6" descr="Check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9705" cy="179705"/>
                              </a:xfrm>
                              <a:prstGeom prst="rect">
                                <a:avLst/>
                              </a:prstGeom>
                              <a:noFill/>
                              <a:ln w="3175">
                                <a:solidFill>
                                  <a:srgbClr val="000000"/>
                                </a:solidFill>
                                <a:miter lim="800000"/>
                                <a:headEnd/>
                                <a:tailEnd/>
                              </a:ln>
                              <a:extLst>
                                <a:ext uri="{909E8E84-426E-40dd-AFC4-6F175D3DCCD1}">
                                  <a14:hiddenFill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4CB65FA3" id="Rectangle 6" o:spid="_x0000_s1026" alt="Checkbox"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" filled="f" strokeweight=".25pt">
                      <o:lock v:ext="edit" aspectratio="t"/>
                      <w10:anchorlock/>
                    </v:rect>
                  </w:pict>
                </mc:Fallback>
              </mc:AlternateContent>
            </w:r>
          </w:p>
        </w:tc>
      </w:tr>
      <w:tr w:rsidR="00DC2411" w:rsidRPr="00DF371F" w14:paraId="489C783E" w14:textId="77777777" w:rsidTr="0083599D">
        <w:trPr>
          <w:cantSplit/>
        </w:trPr>
        <w:tc>
          <w:tcPr>
            <w:tcW w:w="8505" w:type="dxa"/>
          </w:tcPr>
          <w:p w14:paraId="489C783B" w14:textId="77777777" w:rsidR="00CB429B" w:rsidRPr="0089761E" w:rsidRDefault="00AB2C0B" w:rsidP="005510AA">
            <w:pPr>
              <w:pStyle w:val="DELWPnumberdigit"/>
            </w:pPr>
            <w:r w:rsidRPr="0089761E">
              <w:t>Does the proposed policy provide guidance specific to the place?</w:t>
            </w:r>
          </w:p>
          <w:p w14:paraId="489C783C" w14:textId="77777777" w:rsidR="00DC2411" w:rsidRPr="000E23F7" w:rsidRDefault="00AB2C0B" w:rsidP="003F72C9">
            <w:pPr>
              <w:pStyle w:val="Tablebody"/>
              <w:ind w:left="397"/>
            </w:pPr>
            <w:r w:rsidRPr="004F03DE">
              <w:t>Generic content applied loosely to multiple places or precincts in one or more policies should be consolidated and positioned elsewhere in the PPF.</w:t>
            </w:r>
          </w:p>
        </w:tc>
        <w:tc>
          <w:tcPr>
            <w:tcW w:w="680" w:type="dxa"/>
          </w:tcPr>
          <w:p w14:paraId="489C783D" w14:textId="77777777" w:rsidR="00DC2411" w:rsidRPr="0089761E" w:rsidRDefault="00B70AD6" w:rsidP="00D02070">
            <w:pPr>
              <w:pStyle w:val="Tablebody"/>
            </w:pPr>
            <w:r>
              <w:rPr>
                <w:noProof/>
                <w:shd w:val="clear" w:color="auto" w:fill="E6E6E6"/>
                <w:lang w:val="en-US"/>
              </w:rPr>
              <mc:AlternateContent>
                <mc:Choice Requires="wps">
                  <w:drawing>
                    <wp:inline distT="0" distB="0" distL="0" distR="0" wp14:anchorId="489C7AD4" wp14:editId="489C7AD5">
                      <wp:extent cx="179705" cy="179705"/>
                      <wp:effectExtent l="8255" t="8890" r="12065" b="11430"/>
                      <wp:docPr id="5" name="Rectangle 5" descr="Check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9705" cy="179705"/>
                              </a:xfrm>
                              <a:prstGeom prst="rect">
                                <a:avLst/>
                              </a:prstGeom>
                              <a:noFill/>
                              <a:ln w="3175">
                                <a:solidFill>
                                  <a:srgbClr val="000000"/>
                                </a:solidFill>
                                <a:miter lim="800000"/>
                                <a:headEnd/>
                                <a:tailEnd/>
                              </a:ln>
                              <a:extLst>
                                <a:ext uri="{909E8E84-426E-40dd-AFC4-6F175D3DCCD1}">
                                  <a14:hiddenFill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3EF2A4FD" id="Rectangle 5" o:spid="_x0000_s1026" alt="Checkbox"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" filled="f" strokeweight=".25pt">
                      <o:lock v:ext="edit" aspectratio="t"/>
                      <w10:anchorlock/>
                    </v:rect>
                  </w:pict>
                </mc:Fallback>
              </mc:AlternateContent>
            </w:r>
          </w:p>
        </w:tc>
      </w:tr>
      <w:tr w:rsidR="00DC2411" w:rsidRPr="00DF371F" w14:paraId="489C7841" w14:textId="77777777" w:rsidTr="0083599D">
        <w:trPr>
          <w:cantSplit/>
        </w:trPr>
        <w:tc>
          <w:tcPr>
            <w:tcW w:w="8505" w:type="dxa"/>
          </w:tcPr>
          <w:p w14:paraId="762854BC" w14:textId="77777777" w:rsidR="00DC2411" w:rsidRDefault="00AB2C0B" w:rsidP="005510AA">
            <w:pPr>
              <w:pStyle w:val="DELWPnumberdigit"/>
            </w:pPr>
            <w:r w:rsidRPr="0089761E">
              <w:t>Does the proposed policy include content relating to multiple, interrelated issues?</w:t>
            </w:r>
          </w:p>
          <w:p w14:paraId="489C783F" w14:textId="556A90A1" w:rsidR="00CC2280" w:rsidRPr="0089761E" w:rsidRDefault="00CC2280" w:rsidP="003F72C9">
            <w:pPr>
              <w:pStyle w:val="Tablebody"/>
              <w:ind w:left="397"/>
              <w:rPr>
                <w:b/>
              </w:rPr>
            </w:pPr>
            <w:r w:rsidRPr="002744DA">
              <w:t xml:space="preserve">Where </w:t>
            </w:r>
            <w:r w:rsidR="007B5AA7" w:rsidRPr="002744DA">
              <w:t xml:space="preserve">there are </w:t>
            </w:r>
            <w:r w:rsidRPr="002744DA">
              <w:t>interdependencies between multiple strategies</w:t>
            </w:r>
            <w:r w:rsidR="00F43E21" w:rsidRPr="002744DA">
              <w:t xml:space="preserve"> a place</w:t>
            </w:r>
            <w:r w:rsidR="005A1B60" w:rsidRPr="002744DA">
              <w:t xml:space="preserve">-based policy may provide </w:t>
            </w:r>
            <w:r w:rsidRPr="002744DA">
              <w:t>a</w:t>
            </w:r>
            <w:r w:rsidR="005A1B60" w:rsidRPr="002744DA">
              <w:t xml:space="preserve"> more</w:t>
            </w:r>
            <w:r w:rsidRPr="002744DA">
              <w:t xml:space="preserve"> coherent strategic narrative</w:t>
            </w:r>
            <w:r w:rsidR="00E4170F" w:rsidRPr="002744DA">
              <w:t>.</w:t>
            </w:r>
          </w:p>
        </w:tc>
        <w:tc>
          <w:tcPr>
            <w:tcW w:w="680" w:type="dxa"/>
          </w:tcPr>
          <w:p w14:paraId="489C7840" w14:textId="77777777" w:rsidR="00DC2411" w:rsidRPr="0089761E" w:rsidRDefault="00B70AD6" w:rsidP="00D02070">
            <w:pPr>
              <w:pStyle w:val="Tablebody"/>
            </w:pPr>
            <w:r>
              <w:rPr>
                <w:noProof/>
                <w:shd w:val="clear" w:color="auto" w:fill="E6E6E6"/>
                <w:lang w:val="en-US"/>
              </w:rPr>
              <mc:AlternateContent>
                <mc:Choice Requires="wps">
                  <w:drawing>
                    <wp:inline distT="0" distB="0" distL="0" distR="0" wp14:anchorId="489C7AD6" wp14:editId="489C7AD7">
                      <wp:extent cx="179705" cy="179705"/>
                      <wp:effectExtent l="8255" t="10795" r="12065" b="9525"/>
                      <wp:docPr id="4" name="Rectangle 4" descr="Check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9705" cy="179705"/>
                              </a:xfrm>
                              <a:prstGeom prst="rect">
                                <a:avLst/>
                              </a:prstGeom>
                              <a:noFill/>
                              <a:ln w="3175">
                                <a:solidFill>
                                  <a:srgbClr val="000000"/>
                                </a:solidFill>
                                <a:miter lim="800000"/>
                                <a:headEnd/>
                                <a:tailEnd/>
                              </a:ln>
                              <a:extLst>
                                <a:ext uri="{909E8E84-426E-40dd-AFC4-6F175D3DCCD1}">
                                  <a14:hiddenFill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3CBF79FC" id="Rectangle 4" o:spid="_x0000_s1026" alt="Checkbox"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" filled="f" strokeweight=".25pt">
                      <o:lock v:ext="edit" aspectratio="t"/>
                      <w10:anchorlock/>
                    </v:rect>
                  </w:pict>
                </mc:Fallback>
              </mc:AlternateContent>
            </w:r>
          </w:p>
        </w:tc>
      </w:tr>
      <w:tr w:rsidR="00DC2411" w:rsidRPr="00DF371F" w14:paraId="489C7844" w14:textId="77777777" w:rsidTr="0083599D">
        <w:trPr>
          <w:cantSplit/>
        </w:trPr>
        <w:tc>
          <w:tcPr>
            <w:tcW w:w="8505" w:type="dxa"/>
          </w:tcPr>
          <w:p w14:paraId="489C7842" w14:textId="77777777" w:rsidR="00DC2411" w:rsidRPr="0089761E" w:rsidRDefault="00AB2C0B" w:rsidP="005510AA">
            <w:pPr>
              <w:pStyle w:val="DELWPnumberdigit"/>
            </w:pPr>
            <w:r w:rsidRPr="0089761E">
              <w:t>Does the proposed policy result in a clearer and simpler representation of the policy than if it were thematically distributed across the PPF?</w:t>
            </w:r>
          </w:p>
        </w:tc>
        <w:tc>
          <w:tcPr>
            <w:tcW w:w="680" w:type="dxa"/>
          </w:tcPr>
          <w:p w14:paraId="489C7843" w14:textId="77777777" w:rsidR="00DC2411" w:rsidRPr="0089761E" w:rsidRDefault="00B70AD6" w:rsidP="00D02070">
            <w:pPr>
              <w:pStyle w:val="Tablebody"/>
            </w:pPr>
            <w:r>
              <w:rPr>
                <w:noProof/>
                <w:shd w:val="clear" w:color="auto" w:fill="E6E6E6"/>
                <w:lang w:val="en-US"/>
              </w:rPr>
              <mc:AlternateContent>
                <mc:Choice Requires="wps">
                  <w:drawing>
                    <wp:inline distT="0" distB="0" distL="0" distR="0" wp14:anchorId="489C7AD8" wp14:editId="489C7AD9">
                      <wp:extent cx="179705" cy="179705"/>
                      <wp:effectExtent l="8255" t="9525" r="12065" b="10795"/>
                      <wp:docPr id="3" name="Rectangle 3" descr="Check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9705" cy="179705"/>
                              </a:xfrm>
                              <a:prstGeom prst="rect">
                                <a:avLst/>
                              </a:prstGeom>
                              <a:noFill/>
                              <a:ln w="3175">
                                <a:solidFill>
                                  <a:srgbClr val="000000"/>
                                </a:solidFill>
                                <a:miter lim="800000"/>
                                <a:headEnd/>
                                <a:tailEnd/>
                              </a:ln>
                              <a:extLst>
                                <a:ext uri="{909E8E84-426E-40dd-AFC4-6F175D3DCCD1}">
                                  <a14:hiddenFill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377DC2DD" id="Rectangle 3" o:spid="_x0000_s1026" alt="Checkbox"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" filled="f" strokeweight=".25pt">
                      <o:lock v:ext="edit" aspectratio="t"/>
                      <w10:anchorlock/>
                    </v:rect>
                  </w:pict>
                </mc:Fallback>
              </mc:AlternateContent>
            </w:r>
          </w:p>
        </w:tc>
      </w:tr>
      <w:tr w:rsidR="00DC2411" w:rsidRPr="00DF371F" w14:paraId="489C7848" w14:textId="77777777" w:rsidTr="0083599D">
        <w:trPr>
          <w:cantSplit/>
        </w:trPr>
        <w:tc>
          <w:tcPr>
            <w:tcW w:w="8505" w:type="dxa"/>
          </w:tcPr>
          <w:p w14:paraId="489C7845" w14:textId="77777777" w:rsidR="00CB429B" w:rsidRPr="0089761E" w:rsidRDefault="00AB2C0B" w:rsidP="005510AA">
            <w:pPr>
              <w:pStyle w:val="DELWPnumberdigit"/>
            </w:pPr>
            <w:r w:rsidRPr="0089761E">
              <w:t xml:space="preserve">Do the proposed strategies provide detailed policy directions for the </w:t>
            </w:r>
            <w:proofErr w:type="gramStart"/>
            <w:r w:rsidRPr="0089761E">
              <w:t>particular place</w:t>
            </w:r>
            <w:proofErr w:type="gramEnd"/>
            <w:r w:rsidRPr="0089761E">
              <w:t>?</w:t>
            </w:r>
          </w:p>
          <w:p w14:paraId="489C7846" w14:textId="77777777" w:rsidR="00DC2411" w:rsidRPr="000E23F7" w:rsidRDefault="00AB2C0B" w:rsidP="003F72C9">
            <w:pPr>
              <w:pStyle w:val="Tablebody"/>
              <w:ind w:left="397"/>
            </w:pPr>
            <w:r w:rsidRPr="002744DA">
              <w:t>High level strategic directions belong in the Municipal Planning Strategy.</w:t>
            </w:r>
          </w:p>
        </w:tc>
        <w:tc>
          <w:tcPr>
            <w:tcW w:w="680" w:type="dxa"/>
          </w:tcPr>
          <w:p w14:paraId="489C7847" w14:textId="77777777" w:rsidR="00DC2411" w:rsidRPr="0089761E" w:rsidRDefault="00B70AD6" w:rsidP="00D02070">
            <w:pPr>
              <w:pStyle w:val="Tablebody"/>
            </w:pPr>
            <w:r>
              <w:rPr>
                <w:noProof/>
                <w:shd w:val="clear" w:color="auto" w:fill="E6E6E6"/>
                <w:lang w:val="en-US"/>
              </w:rPr>
              <mc:AlternateContent>
                <mc:Choice Requires="wps">
                  <w:drawing>
                    <wp:inline distT="0" distB="0" distL="0" distR="0" wp14:anchorId="489C7ADA" wp14:editId="489C7ADB">
                      <wp:extent cx="179705" cy="179705"/>
                      <wp:effectExtent l="8255" t="5080" r="12065" b="5715"/>
                      <wp:docPr id="2" name="Rectangle 2" descr="Check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9705" cy="179705"/>
                              </a:xfrm>
                              <a:prstGeom prst="rect">
                                <a:avLst/>
                              </a:prstGeom>
                              <a:noFill/>
                              <a:ln w="3175">
                                <a:solidFill>
                                  <a:srgbClr val="000000"/>
                                </a:solidFill>
                                <a:miter lim="800000"/>
                                <a:headEnd/>
                                <a:tailEnd/>
                              </a:ln>
                              <a:extLst>
                                <a:ext uri="{909E8E84-426E-40dd-AFC4-6F175D3DCCD1}">
                                  <a14:hiddenFill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2ADA6627" id="Rectangle 2" o:spid="_x0000_s1026" alt="Checkbox"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" filled="f" strokeweight=".25pt">
                      <o:lock v:ext="edit" aspectratio="t"/>
                      <w10:anchorlock/>
                    </v:rect>
                  </w:pict>
                </mc:Fallback>
              </mc:AlternateContent>
            </w:r>
          </w:p>
        </w:tc>
      </w:tr>
      <w:tr w:rsidR="00DC2411" w:rsidRPr="00DF371F" w14:paraId="489C784C" w14:textId="77777777" w:rsidTr="0083599D">
        <w:trPr>
          <w:cantSplit/>
        </w:trPr>
        <w:tc>
          <w:tcPr>
            <w:tcW w:w="8505" w:type="dxa"/>
          </w:tcPr>
          <w:p w14:paraId="489C7849" w14:textId="77777777" w:rsidR="00CB429B" w:rsidRPr="00A15C15" w:rsidRDefault="00AB2C0B" w:rsidP="005510AA">
            <w:pPr>
              <w:pStyle w:val="DELWPnumberdigit"/>
            </w:pPr>
            <w:r w:rsidRPr="00A15C15">
              <w:t>Does the proposed policy exclusively comprise content for the place that is not already contained in a control?</w:t>
            </w:r>
          </w:p>
          <w:p w14:paraId="489C784A" w14:textId="77777777" w:rsidR="00DC2411" w:rsidRPr="000E23F7" w:rsidRDefault="00AB2C0B" w:rsidP="003F72C9">
            <w:pPr>
              <w:pStyle w:val="Tablebody"/>
              <w:ind w:left="397"/>
            </w:pPr>
            <w:r w:rsidRPr="002744DA">
              <w:t>Policy should not duplicate content in a control that applies to the place, such as a Design and Development Overlay.</w:t>
            </w:r>
            <w:r w:rsidRPr="000E23F7">
              <w:t xml:space="preserve"> </w:t>
            </w:r>
          </w:p>
        </w:tc>
        <w:tc>
          <w:tcPr>
            <w:tcW w:w="680" w:type="dxa"/>
          </w:tcPr>
          <w:p w14:paraId="489C784B" w14:textId="77777777" w:rsidR="00DC2411" w:rsidRPr="0089761E" w:rsidRDefault="00B70AD6" w:rsidP="00D02070">
            <w:pPr>
              <w:pStyle w:val="Tablebody"/>
            </w:pPr>
            <w:r>
              <w:rPr>
                <w:noProof/>
                <w:shd w:val="clear" w:color="auto" w:fill="E6E6E6"/>
                <w:lang w:val="en-US"/>
              </w:rPr>
              <mc:AlternateContent>
                <mc:Choice Requires="wps">
                  <w:drawing>
                    <wp:inline distT="0" distB="0" distL="0" distR="0" wp14:anchorId="489C7ADC" wp14:editId="489C7ADD">
                      <wp:extent cx="179705" cy="179705"/>
                      <wp:effectExtent l="8255" t="6985" r="12065" b="13335"/>
                      <wp:docPr id="1" name="Rectangle 1" descr="Check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9705" cy="179705"/>
                              </a:xfrm>
                              <a:prstGeom prst="rect">
                                <a:avLst/>
                              </a:prstGeom>
                              <a:noFill/>
                              <a:ln w="3175">
                                <a:solidFill>
                                  <a:srgbClr val="000000"/>
                                </a:solidFill>
                                <a:miter lim="800000"/>
                                <a:headEnd/>
                                <a:tailEnd/>
                              </a:ln>
                              <a:extLst>
                                <a:ext uri="{909E8E84-426E-40dd-AFC4-6F175D3DCCD1}">
                                  <a14:hiddenFill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59C80E50" id="Rectangle 1" o:spid="_x0000_s1026" alt="Checkbox"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" filled="f" strokeweight=".25pt">
                      <o:lock v:ext="edit" aspectratio="t"/>
                      <w10:anchorlock/>
                    </v:rect>
                  </w:pict>
                </mc:Fallback>
              </mc:AlternateContent>
            </w:r>
          </w:p>
        </w:tc>
      </w:tr>
    </w:tbl>
    <w:p w14:paraId="486F96FB" w14:textId="45B82FA7" w:rsidR="005F46F1" w:rsidRPr="005F46F1" w:rsidRDefault="005F46F1" w:rsidP="002E55BC">
      <w:pPr>
        <w:pStyle w:val="BodyText1"/>
      </w:pPr>
      <w:r w:rsidRPr="002744DA">
        <w:t xml:space="preserve">See </w:t>
      </w:r>
      <w:r w:rsidR="0074503B" w:rsidRPr="00B00B76">
        <w:t>Chapter</w:t>
      </w:r>
      <w:r w:rsidRPr="00B00B76">
        <w:t xml:space="preserve"> 6.4.4</w:t>
      </w:r>
      <w:r w:rsidRPr="00997BEB">
        <w:t xml:space="preserve"> for</w:t>
      </w:r>
      <w:r w:rsidRPr="002744DA">
        <w:t xml:space="preserve"> more information about applying a place-based policy.</w:t>
      </w:r>
    </w:p>
    <w:p w14:paraId="489C784D" w14:textId="51536B08" w:rsidR="00754143" w:rsidRDefault="00C73410" w:rsidP="00D2198E">
      <w:pPr>
        <w:pStyle w:val="Heading1"/>
      </w:pPr>
      <w:bookmarkStart w:id="338" w:name="_Appendix_5_-"/>
      <w:bookmarkStart w:id="339" w:name="_Toc158707001"/>
      <w:bookmarkStart w:id="340" w:name="_Hlk145587517"/>
      <w:bookmarkEnd w:id="338"/>
      <w:r>
        <w:lastRenderedPageBreak/>
        <w:t>Appendix 5</w:t>
      </w:r>
      <w:r w:rsidR="00B3434E">
        <w:t xml:space="preserve"> - </w:t>
      </w:r>
      <w:r w:rsidR="00AB2C0B">
        <w:t>Local policy location list</w:t>
      </w:r>
      <w:bookmarkEnd w:id="339"/>
    </w:p>
    <w:bookmarkEnd w:id="340"/>
    <w:p w14:paraId="33D91F40" w14:textId="30E9A72B" w:rsidR="00AB55DD" w:rsidRDefault="00AB55DD" w:rsidP="002E55BC">
      <w:pPr>
        <w:pStyle w:val="BodyText1"/>
      </w:pPr>
      <w:r>
        <w:t xml:space="preserve">The following table provides an overview of the content of state (or regional) policy and indicates where </w:t>
      </w:r>
      <w:proofErr w:type="gramStart"/>
      <w:r>
        <w:t>particular local</w:t>
      </w:r>
      <w:proofErr w:type="gramEnd"/>
      <w:r>
        <w:t xml:space="preserve"> policies should be placed under the various Planning Policy Framework clauses. </w:t>
      </w:r>
    </w:p>
    <w:p w14:paraId="2B90A5C7" w14:textId="15F21C99" w:rsidR="00AB55DD" w:rsidRDefault="00AB55DD" w:rsidP="002E55BC">
      <w:pPr>
        <w:pStyle w:val="BodyText1"/>
      </w:pPr>
      <w:r>
        <w:t>This table is intended as a guide only.</w:t>
      </w:r>
      <w:r w:rsidR="00D92C0F">
        <w:t xml:space="preserve"> </w:t>
      </w:r>
      <w:r>
        <w:t xml:space="preserve">Correct placement of policy is dependent on a detailed understanding of state and regional policies and local policy content.  </w:t>
      </w:r>
    </w:p>
    <w:p w14:paraId="0DB1BF1C" w14:textId="0BD01017" w:rsidR="00AB55DD" w:rsidRDefault="00AB55DD" w:rsidP="002E55BC">
      <w:pPr>
        <w:pStyle w:val="BodyText1"/>
      </w:pPr>
      <w:r>
        <w:t>Where a state policy relates to a single, well-defined topic (for example planning for ports), no further instruction has been provided as it is considered self-explanatory.</w:t>
      </w:r>
    </w:p>
    <w:tbl>
      <w:tblPr>
        <w:tblStyle w:val="TableGrid"/>
        <w:tblW w:w="9183" w:type="dxa"/>
        <w:tblInd w:w="0" w:type="dxa"/>
        <w:tblLayout w:type="fixed"/>
        <w:tblLook w:val="06A0" w:firstRow="1" w:lastRow="0" w:firstColumn="1" w:lastColumn="0" w:noHBand="1" w:noVBand="1"/>
      </w:tblPr>
      <w:tblGrid>
        <w:gridCol w:w="1242"/>
        <w:gridCol w:w="3403"/>
        <w:gridCol w:w="4538"/>
      </w:tblGrid>
      <w:tr w:rsidR="00AB55DD" w14:paraId="5ED6B93D" w14:textId="77777777" w:rsidTr="00542C3C">
        <w:trPr>
          <w:cnfStyle w:val="100000000000" w:firstRow="1" w:lastRow="0" w:firstColumn="0" w:lastColumn="0" w:oddVBand="0" w:evenVBand="0" w:oddHBand="0" w:evenHBand="0" w:firstRowFirstColumn="0" w:firstRowLastColumn="0" w:lastRowFirstColumn="0" w:lastRowLastColumn="0"/>
          <w:cantSplit/>
          <w:tblHeader/>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76FD4F77" w14:textId="77777777" w:rsidR="00AB55DD" w:rsidRDefault="00AB55DD" w:rsidP="00D02070">
            <w:pPr>
              <w:pStyle w:val="Tablecolhead"/>
            </w:pPr>
            <w:r>
              <w:t>Clause</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6EDE6E35" w14:textId="77777777" w:rsidR="00AB55DD" w:rsidRDefault="00AB55DD" w:rsidP="00D02070">
            <w:pPr>
              <w:pStyle w:val="Tablecolhead"/>
            </w:pPr>
            <w:r>
              <w:t>PPF Heading</w:t>
            </w:r>
          </w:p>
        </w:tc>
        <w:tc>
          <w:tcPr>
            <w:tcW w:w="4538" w:type="dxa"/>
            <w:tcBorders>
              <w:top w:val="single" w:sz="4" w:space="0" w:color="00828D" w:themeColor="accent1"/>
              <w:left w:val="single" w:sz="4" w:space="0" w:color="00828D" w:themeColor="accent1"/>
              <w:bottom w:val="single" w:sz="4" w:space="0" w:color="00828D" w:themeColor="accent1"/>
              <w:right w:val="nil"/>
            </w:tcBorders>
            <w:hideMark/>
          </w:tcPr>
          <w:p w14:paraId="6636C955" w14:textId="77777777" w:rsidR="00AB55DD" w:rsidRDefault="00AB55DD" w:rsidP="00D02070">
            <w:pPr>
              <w:pStyle w:val="Tablecolhead"/>
            </w:pPr>
            <w:r>
              <w:t xml:space="preserve">Policy Content </w:t>
            </w:r>
          </w:p>
        </w:tc>
      </w:tr>
      <w:tr w:rsidR="00AB55DD" w14:paraId="2CBECF2C" w14:textId="77777777" w:rsidTr="00542C3C">
        <w:trPr>
          <w:cantSplit/>
        </w:trPr>
        <w:tc>
          <w:tcPr>
            <w:tcW w:w="1242" w:type="dxa"/>
            <w:tcBorders>
              <w:top w:val="single" w:sz="4" w:space="0" w:color="00828D" w:themeColor="accent1"/>
              <w:left w:val="nil"/>
              <w:bottom w:val="single" w:sz="4" w:space="0" w:color="00828D" w:themeColor="accent1"/>
              <w:right w:val="single" w:sz="4" w:space="0" w:color="595959" w:themeColor="text1" w:themeTint="A6"/>
            </w:tcBorders>
            <w:shd w:val="clear" w:color="auto" w:fill="595959" w:themeFill="text1" w:themeFillTint="A6"/>
            <w:hideMark/>
          </w:tcPr>
          <w:p w14:paraId="6E8D408F" w14:textId="77777777" w:rsidR="00AB55DD" w:rsidRPr="00AD6B0C" w:rsidRDefault="00AB55DD" w:rsidP="00D02070">
            <w:pPr>
              <w:pStyle w:val="Tablebodybold"/>
              <w:rPr>
                <w:color w:val="FFFFFF" w:themeColor="background1"/>
              </w:rPr>
            </w:pPr>
            <w:r w:rsidRPr="00AD6B0C">
              <w:rPr>
                <w:color w:val="FFFFFF" w:themeColor="background1"/>
              </w:rPr>
              <w:t>11</w:t>
            </w:r>
          </w:p>
        </w:tc>
        <w:tc>
          <w:tcPr>
            <w:tcW w:w="3403" w:type="dxa"/>
            <w:tcBorders>
              <w:top w:val="single" w:sz="4" w:space="0" w:color="00828D" w:themeColor="accent1"/>
              <w:left w:val="single" w:sz="4" w:space="0" w:color="595959" w:themeColor="text1" w:themeTint="A6"/>
              <w:bottom w:val="single" w:sz="4" w:space="0" w:color="00828D" w:themeColor="accent1"/>
              <w:right w:val="single" w:sz="4" w:space="0" w:color="595959" w:themeColor="text1" w:themeTint="A6"/>
            </w:tcBorders>
            <w:shd w:val="clear" w:color="auto" w:fill="595959" w:themeFill="text1" w:themeFillTint="A6"/>
            <w:hideMark/>
          </w:tcPr>
          <w:p w14:paraId="3BF2A144" w14:textId="77777777" w:rsidR="00AB55DD" w:rsidRPr="00AD6B0C" w:rsidRDefault="00AB55DD" w:rsidP="00D02070">
            <w:pPr>
              <w:pStyle w:val="Tablebodybold"/>
              <w:rPr>
                <w:color w:val="FFFFFF" w:themeColor="background1"/>
              </w:rPr>
            </w:pPr>
            <w:r w:rsidRPr="00AD6B0C">
              <w:rPr>
                <w:color w:val="FFFFFF" w:themeColor="background1"/>
              </w:rPr>
              <w:t>SETTLEMENT</w:t>
            </w:r>
          </w:p>
        </w:tc>
        <w:tc>
          <w:tcPr>
            <w:tcW w:w="4538" w:type="dxa"/>
            <w:tcBorders>
              <w:top w:val="single" w:sz="4" w:space="0" w:color="00828D" w:themeColor="accent1"/>
              <w:left w:val="single" w:sz="4" w:space="0" w:color="595959" w:themeColor="text1" w:themeTint="A6"/>
              <w:bottom w:val="single" w:sz="4" w:space="0" w:color="00828D" w:themeColor="accent1"/>
              <w:right w:val="nil"/>
            </w:tcBorders>
            <w:shd w:val="clear" w:color="auto" w:fill="595959" w:themeFill="text1" w:themeFillTint="A6"/>
          </w:tcPr>
          <w:p w14:paraId="66217628" w14:textId="77777777" w:rsidR="00AB55DD" w:rsidRPr="00AD6B0C" w:rsidRDefault="00AB55DD" w:rsidP="00D02070">
            <w:pPr>
              <w:pStyle w:val="Tablebody"/>
              <w:rPr>
                <w:color w:val="FFFFFF" w:themeColor="background1"/>
              </w:rPr>
            </w:pPr>
          </w:p>
        </w:tc>
      </w:tr>
      <w:tr w:rsidR="00AB55DD" w14:paraId="58BDE265"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shd w:val="clear" w:color="auto" w:fill="D9D9D9" w:themeFill="background1" w:themeFillShade="D9"/>
            <w:hideMark/>
          </w:tcPr>
          <w:p w14:paraId="2F1EA161" w14:textId="77777777" w:rsidR="00AB55DD" w:rsidRDefault="00AB55DD" w:rsidP="00D02070">
            <w:pPr>
              <w:pStyle w:val="Tablebodybold"/>
            </w:pPr>
            <w:r>
              <w:t>11.01</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shd w:val="clear" w:color="auto" w:fill="D9D9D9" w:themeFill="background1" w:themeFillShade="D9"/>
            <w:hideMark/>
          </w:tcPr>
          <w:p w14:paraId="4521CA46" w14:textId="77777777" w:rsidR="00AB55DD" w:rsidRDefault="00AB55DD" w:rsidP="00D02070">
            <w:pPr>
              <w:pStyle w:val="Tablebodybold"/>
            </w:pPr>
            <w:r>
              <w:t>Victoria</w:t>
            </w:r>
          </w:p>
        </w:tc>
        <w:tc>
          <w:tcPr>
            <w:tcW w:w="4538" w:type="dxa"/>
            <w:tcBorders>
              <w:top w:val="single" w:sz="4" w:space="0" w:color="00828D" w:themeColor="accent1"/>
              <w:left w:val="single" w:sz="4" w:space="0" w:color="00828D" w:themeColor="accent1"/>
              <w:bottom w:val="single" w:sz="4" w:space="0" w:color="00828D" w:themeColor="accent1"/>
              <w:right w:val="nil"/>
            </w:tcBorders>
            <w:shd w:val="clear" w:color="auto" w:fill="D9D9D9" w:themeFill="background1" w:themeFillShade="D9"/>
          </w:tcPr>
          <w:p w14:paraId="3C59B692" w14:textId="77777777" w:rsidR="00AB55DD" w:rsidRDefault="00AB55DD" w:rsidP="00D02070">
            <w:pPr>
              <w:pStyle w:val="Tablebody"/>
            </w:pPr>
          </w:p>
        </w:tc>
      </w:tr>
      <w:tr w:rsidR="00AB55DD" w14:paraId="650C2A6C"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07A310FD" w14:textId="77777777" w:rsidR="00AB55DD" w:rsidRDefault="00AB55DD" w:rsidP="00D02070">
            <w:pPr>
              <w:pStyle w:val="Tablebody"/>
            </w:pPr>
            <w:r>
              <w:t>11.01-1</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15CF7AA7" w14:textId="77777777" w:rsidR="00AB55DD" w:rsidRDefault="00AB55DD" w:rsidP="00D02070">
            <w:pPr>
              <w:pStyle w:val="Tablebody"/>
            </w:pPr>
            <w:r>
              <w:t>Settlement</w:t>
            </w:r>
          </w:p>
        </w:tc>
        <w:tc>
          <w:tcPr>
            <w:tcW w:w="4538" w:type="dxa"/>
            <w:tcBorders>
              <w:top w:val="single" w:sz="4" w:space="0" w:color="00828D" w:themeColor="accent1"/>
              <w:left w:val="single" w:sz="4" w:space="0" w:color="00828D" w:themeColor="accent1"/>
              <w:bottom w:val="single" w:sz="4" w:space="0" w:color="00828D" w:themeColor="accent1"/>
              <w:right w:val="nil"/>
            </w:tcBorders>
            <w:hideMark/>
          </w:tcPr>
          <w:p w14:paraId="53A109BF" w14:textId="24E14853" w:rsidR="00AB55DD" w:rsidRDefault="00AB55DD" w:rsidP="00A10EA3">
            <w:pPr>
              <w:pStyle w:val="Tablebullet1"/>
            </w:pPr>
            <w:r>
              <w:t>Settlement within Metropolitan Melbourne and the eight regional growth plan areas</w:t>
            </w:r>
          </w:p>
          <w:p w14:paraId="71A04FBF" w14:textId="6005CE68" w:rsidR="000F4DA6" w:rsidRDefault="000F4DA6" w:rsidP="00A10EA3">
            <w:pPr>
              <w:pStyle w:val="Tablebullet1"/>
            </w:pPr>
            <w:r>
              <w:t>Settlement planning for cities and townships</w:t>
            </w:r>
          </w:p>
          <w:p w14:paraId="63FFBD40" w14:textId="77777777" w:rsidR="00AB55DD" w:rsidRDefault="00AB55DD" w:rsidP="00A10EA3">
            <w:pPr>
              <w:pStyle w:val="Tablebullet1"/>
            </w:pPr>
            <w:r>
              <w:t>Metropolitan Melbourne green wedges</w:t>
            </w:r>
          </w:p>
        </w:tc>
      </w:tr>
      <w:tr w:rsidR="00AB55DD" w14:paraId="190C4312"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shd w:val="clear" w:color="auto" w:fill="D9D9D9" w:themeFill="background1" w:themeFillShade="D9"/>
            <w:hideMark/>
          </w:tcPr>
          <w:p w14:paraId="1EC459D6" w14:textId="77777777" w:rsidR="00AB55DD" w:rsidRDefault="00AB55DD" w:rsidP="00D02070">
            <w:pPr>
              <w:pStyle w:val="Tablebodybold"/>
            </w:pPr>
            <w:r>
              <w:t>11.02</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shd w:val="clear" w:color="auto" w:fill="D9D9D9" w:themeFill="background1" w:themeFillShade="D9"/>
            <w:hideMark/>
          </w:tcPr>
          <w:p w14:paraId="6DB73018" w14:textId="77777777" w:rsidR="00AB55DD" w:rsidRDefault="00AB55DD" w:rsidP="00D02070">
            <w:pPr>
              <w:pStyle w:val="Tablebodybold"/>
            </w:pPr>
            <w:r>
              <w:t>Managing growth</w:t>
            </w:r>
          </w:p>
        </w:tc>
        <w:tc>
          <w:tcPr>
            <w:tcW w:w="4538" w:type="dxa"/>
            <w:tcBorders>
              <w:top w:val="single" w:sz="4" w:space="0" w:color="00828D" w:themeColor="accent1"/>
              <w:left w:val="single" w:sz="4" w:space="0" w:color="00828D" w:themeColor="accent1"/>
              <w:bottom w:val="single" w:sz="4" w:space="0" w:color="00828D" w:themeColor="accent1"/>
              <w:right w:val="nil"/>
            </w:tcBorders>
            <w:shd w:val="clear" w:color="auto" w:fill="D9D9D9" w:themeFill="background1" w:themeFillShade="D9"/>
          </w:tcPr>
          <w:p w14:paraId="27BD0241" w14:textId="77777777" w:rsidR="00AB55DD" w:rsidRDefault="00AB55DD" w:rsidP="00D02070">
            <w:pPr>
              <w:pStyle w:val="Tablebody"/>
            </w:pPr>
          </w:p>
        </w:tc>
      </w:tr>
      <w:tr w:rsidR="00AB55DD" w14:paraId="5806F38D"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0675B9A6" w14:textId="77777777" w:rsidR="00AB55DD" w:rsidRDefault="00AB55DD" w:rsidP="00D02070">
            <w:pPr>
              <w:pStyle w:val="Tablebody"/>
            </w:pPr>
            <w:r>
              <w:t>11.02-1</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6D5FB9F1" w14:textId="77777777" w:rsidR="00AB55DD" w:rsidRDefault="00AB55DD" w:rsidP="00D02070">
            <w:pPr>
              <w:pStyle w:val="Tablebody"/>
            </w:pPr>
            <w:r>
              <w:t>Supply of urban land</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0C6D4BF0" w14:textId="77777777" w:rsidR="00AB55DD" w:rsidRDefault="00AB55DD" w:rsidP="00D02070">
            <w:pPr>
              <w:pStyle w:val="Tablebody"/>
            </w:pPr>
            <w:r>
              <w:t>The provision of land (residential, commercial, industrial etc.) and infrastructure to support development and meet forecast demand</w:t>
            </w:r>
          </w:p>
        </w:tc>
      </w:tr>
      <w:tr w:rsidR="00AB55DD" w14:paraId="2B2B8532"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1DBA5F5C" w14:textId="77777777" w:rsidR="00AB55DD" w:rsidRDefault="00AB55DD" w:rsidP="00D02070">
            <w:pPr>
              <w:pStyle w:val="Tablebody"/>
            </w:pPr>
            <w:r>
              <w:t>11.02-2</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11E91EEC" w14:textId="77777777" w:rsidR="00AB55DD" w:rsidRDefault="00AB55DD" w:rsidP="00D02070">
            <w:pPr>
              <w:pStyle w:val="Tablebody"/>
            </w:pPr>
            <w:r>
              <w:t>Structure planning</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3753F6B0" w14:textId="77777777" w:rsidR="00AB55DD" w:rsidRDefault="00AB55DD" w:rsidP="00D02070">
            <w:pPr>
              <w:pStyle w:val="Tablebody"/>
            </w:pPr>
            <w:r>
              <w:t>Precinct Structure Plans for growth areas</w:t>
            </w:r>
          </w:p>
        </w:tc>
      </w:tr>
      <w:tr w:rsidR="00AB55DD" w14:paraId="018BA5A8"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3FA19F0A" w14:textId="77777777" w:rsidR="00AB55DD" w:rsidRDefault="00AB55DD" w:rsidP="00D02070">
            <w:pPr>
              <w:pStyle w:val="Tablebody"/>
            </w:pPr>
            <w:r>
              <w:t>11.02-3</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365F0E3D" w14:textId="77777777" w:rsidR="00AB55DD" w:rsidRDefault="00AB55DD" w:rsidP="00D02070">
            <w:pPr>
              <w:pStyle w:val="Tablebody"/>
            </w:pPr>
            <w:r>
              <w:t>Sequencing of development</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77B1F833" w14:textId="77777777" w:rsidR="00AB55DD" w:rsidRDefault="00AB55DD" w:rsidP="00D02070">
            <w:pPr>
              <w:pStyle w:val="Tablebody"/>
            </w:pPr>
            <w:r>
              <w:t xml:space="preserve">Managing development in growth areas so services are available early for new communities </w:t>
            </w:r>
          </w:p>
        </w:tc>
      </w:tr>
      <w:tr w:rsidR="00AB55DD" w14:paraId="24B99F22"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shd w:val="clear" w:color="auto" w:fill="D9D9D9" w:themeFill="background1" w:themeFillShade="D9"/>
            <w:hideMark/>
          </w:tcPr>
          <w:p w14:paraId="655ECB83" w14:textId="77777777" w:rsidR="00AB55DD" w:rsidRDefault="00AB55DD" w:rsidP="00D02070">
            <w:pPr>
              <w:pStyle w:val="Tablebodybold"/>
            </w:pPr>
            <w:r>
              <w:t>11.03</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shd w:val="clear" w:color="auto" w:fill="D9D9D9" w:themeFill="background1" w:themeFillShade="D9"/>
            <w:hideMark/>
          </w:tcPr>
          <w:p w14:paraId="00B24440" w14:textId="77777777" w:rsidR="00AB55DD" w:rsidRDefault="00AB55DD" w:rsidP="00D02070">
            <w:pPr>
              <w:pStyle w:val="Tablebodybold"/>
            </w:pPr>
            <w:r>
              <w:t>Planning for places</w:t>
            </w:r>
          </w:p>
        </w:tc>
        <w:tc>
          <w:tcPr>
            <w:tcW w:w="4538" w:type="dxa"/>
            <w:tcBorders>
              <w:top w:val="single" w:sz="4" w:space="0" w:color="00828D" w:themeColor="accent1"/>
              <w:left w:val="single" w:sz="4" w:space="0" w:color="00828D" w:themeColor="accent1"/>
              <w:bottom w:val="single" w:sz="4" w:space="0" w:color="00828D" w:themeColor="accent1"/>
              <w:right w:val="nil"/>
            </w:tcBorders>
            <w:shd w:val="clear" w:color="auto" w:fill="D9D9D9" w:themeFill="background1" w:themeFillShade="D9"/>
          </w:tcPr>
          <w:p w14:paraId="51F0FA28" w14:textId="77777777" w:rsidR="00AB55DD" w:rsidRDefault="00AB55DD" w:rsidP="00D02070">
            <w:pPr>
              <w:pStyle w:val="Tablebody"/>
            </w:pPr>
          </w:p>
        </w:tc>
      </w:tr>
      <w:tr w:rsidR="00AB55DD" w14:paraId="2E4BDDC4"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001AAF0D" w14:textId="77777777" w:rsidR="00AB55DD" w:rsidRDefault="00AB55DD" w:rsidP="00D02070">
            <w:pPr>
              <w:pStyle w:val="Tablebody"/>
            </w:pPr>
            <w:r>
              <w:t>11.03-1</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1ABA3514" w14:textId="77777777" w:rsidR="00AB55DD" w:rsidRDefault="00AB55DD" w:rsidP="00D02070">
            <w:pPr>
              <w:pStyle w:val="Tablebody"/>
            </w:pPr>
            <w:r>
              <w:t>Activity centres</w:t>
            </w:r>
          </w:p>
        </w:tc>
        <w:tc>
          <w:tcPr>
            <w:tcW w:w="4538" w:type="dxa"/>
            <w:tcBorders>
              <w:top w:val="single" w:sz="4" w:space="0" w:color="00828D" w:themeColor="accent1"/>
              <w:left w:val="single" w:sz="4" w:space="0" w:color="00828D" w:themeColor="accent1"/>
              <w:bottom w:val="single" w:sz="4" w:space="0" w:color="00828D" w:themeColor="accent1"/>
              <w:right w:val="nil"/>
            </w:tcBorders>
            <w:hideMark/>
          </w:tcPr>
          <w:p w14:paraId="74931250" w14:textId="77777777" w:rsidR="00AB55DD" w:rsidRDefault="00AB55DD" w:rsidP="00A10EA3">
            <w:pPr>
              <w:pStyle w:val="Tablebullet1"/>
            </w:pPr>
            <w:r>
              <w:t>Networks of activity centres</w:t>
            </w:r>
          </w:p>
          <w:p w14:paraId="49326B51" w14:textId="77777777" w:rsidR="00AB55DD" w:rsidRDefault="00AB55DD" w:rsidP="00A10EA3">
            <w:pPr>
              <w:pStyle w:val="Tablebullet1"/>
            </w:pPr>
            <w:r>
              <w:t>Development of activity centres (such as those based on strategic framework plans)</w:t>
            </w:r>
          </w:p>
        </w:tc>
      </w:tr>
      <w:tr w:rsidR="00AB55DD" w14:paraId="118E0A2A"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2F876BCA" w14:textId="77777777" w:rsidR="00AB55DD" w:rsidRDefault="00AB55DD" w:rsidP="00D02070">
            <w:pPr>
              <w:pStyle w:val="Tablebody"/>
            </w:pPr>
            <w:r>
              <w:t>11.03-2</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793EF813" w14:textId="77777777" w:rsidR="00AB55DD" w:rsidRDefault="00AB55DD" w:rsidP="00D02070">
            <w:pPr>
              <w:pStyle w:val="Tablebody"/>
            </w:pPr>
            <w:r>
              <w:t>Growth areas</w:t>
            </w:r>
          </w:p>
        </w:tc>
        <w:tc>
          <w:tcPr>
            <w:tcW w:w="4538" w:type="dxa"/>
            <w:tcBorders>
              <w:top w:val="single" w:sz="4" w:space="0" w:color="00828D" w:themeColor="accent1"/>
              <w:left w:val="single" w:sz="4" w:space="0" w:color="00828D" w:themeColor="accent1"/>
              <w:bottom w:val="single" w:sz="4" w:space="0" w:color="00828D" w:themeColor="accent1"/>
              <w:right w:val="nil"/>
            </w:tcBorders>
            <w:hideMark/>
          </w:tcPr>
          <w:p w14:paraId="7FBFECFB" w14:textId="7ACDE28B" w:rsidR="00AB55DD" w:rsidRDefault="00AB55DD" w:rsidP="00A10EA3">
            <w:pPr>
              <w:pStyle w:val="Tablebullet1"/>
            </w:pPr>
            <w:r>
              <w:t>Location of urban growth</w:t>
            </w:r>
          </w:p>
          <w:p w14:paraId="00F35199" w14:textId="77777777" w:rsidR="00AB55DD" w:rsidRDefault="00AB55DD" w:rsidP="00A10EA3">
            <w:pPr>
              <w:pStyle w:val="Tablebullet1"/>
            </w:pPr>
            <w:r>
              <w:t>Growth Area Framework Plans</w:t>
            </w:r>
          </w:p>
        </w:tc>
      </w:tr>
      <w:tr w:rsidR="00AB55DD" w14:paraId="52DF0CF2"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1128ADDA" w14:textId="77777777" w:rsidR="00AB55DD" w:rsidRDefault="00AB55DD" w:rsidP="00D02070">
            <w:pPr>
              <w:pStyle w:val="Tablebody"/>
            </w:pPr>
            <w:r>
              <w:t>11.03-3</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60A232D6" w14:textId="77777777" w:rsidR="00AB55DD" w:rsidRDefault="00AB55DD" w:rsidP="00D02070">
            <w:pPr>
              <w:pStyle w:val="Tablebody"/>
            </w:pPr>
            <w:r>
              <w:t>Peri-urban areas</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49852B7F" w14:textId="77777777" w:rsidR="00AB55DD" w:rsidRDefault="00AB55DD" w:rsidP="00A10EA3">
            <w:pPr>
              <w:pStyle w:val="Tablebullet1"/>
            </w:pPr>
            <w:r>
              <w:t>Management of growth in peri-urban areas</w:t>
            </w:r>
          </w:p>
          <w:p w14:paraId="14E290F0" w14:textId="77777777" w:rsidR="00AB55DD" w:rsidRDefault="00AB55DD" w:rsidP="00A10EA3">
            <w:pPr>
              <w:pStyle w:val="Tablebullet1"/>
            </w:pPr>
            <w:r>
              <w:t>Protecting valued qualities including environmental, cultural or economic</w:t>
            </w:r>
          </w:p>
        </w:tc>
      </w:tr>
      <w:tr w:rsidR="00AB55DD" w14:paraId="715CC8AF"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52007DE0" w14:textId="77777777" w:rsidR="00AB55DD" w:rsidRDefault="00AB55DD" w:rsidP="00D02070">
            <w:pPr>
              <w:pStyle w:val="Tablebody"/>
            </w:pPr>
            <w:r>
              <w:lastRenderedPageBreak/>
              <w:t>11.03-4</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77E9CBAB" w14:textId="77777777" w:rsidR="00AB55DD" w:rsidRDefault="00AB55DD" w:rsidP="00D02070">
            <w:pPr>
              <w:pStyle w:val="Tablebody"/>
            </w:pPr>
            <w:r>
              <w:t>Coastal settlement</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5F376265" w14:textId="77777777" w:rsidR="00AB55DD" w:rsidRDefault="00AB55DD" w:rsidP="00D02070">
            <w:pPr>
              <w:pStyle w:val="Tablebody"/>
            </w:pPr>
            <w:r>
              <w:t xml:space="preserve">Planning for sustainable coastal development through: </w:t>
            </w:r>
          </w:p>
          <w:p w14:paraId="6AC69F85" w14:textId="77777777" w:rsidR="00AB55DD" w:rsidRDefault="00AB55DD" w:rsidP="00A10EA3">
            <w:pPr>
              <w:pStyle w:val="Tablebullet1"/>
            </w:pPr>
            <w:r>
              <w:t>settlement boundaries to avoid linear sprawl and protect non-urban breaks</w:t>
            </w:r>
          </w:p>
          <w:p w14:paraId="60E2A18F" w14:textId="77777777" w:rsidR="00AB55DD" w:rsidRDefault="00AB55DD" w:rsidP="00A10EA3">
            <w:pPr>
              <w:pStyle w:val="Tablebullet1"/>
            </w:pPr>
            <w:r>
              <w:t>protecting environmental values</w:t>
            </w:r>
          </w:p>
        </w:tc>
      </w:tr>
      <w:tr w:rsidR="00AB55DD" w14:paraId="3772734C"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0F8BC455" w14:textId="77777777" w:rsidR="00AB55DD" w:rsidRDefault="00AB55DD" w:rsidP="00D02070">
            <w:pPr>
              <w:pStyle w:val="Tablebody"/>
            </w:pPr>
            <w:r>
              <w:t>11.03-5</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7FF7B3F0" w14:textId="77777777" w:rsidR="00AB55DD" w:rsidRDefault="00AB55DD" w:rsidP="00D02070">
            <w:pPr>
              <w:pStyle w:val="Tablebody"/>
            </w:pPr>
            <w:r>
              <w:t>Distinctive areas and landscapes</w:t>
            </w:r>
          </w:p>
        </w:tc>
        <w:tc>
          <w:tcPr>
            <w:tcW w:w="4538" w:type="dxa"/>
            <w:tcBorders>
              <w:top w:val="single" w:sz="4" w:space="0" w:color="00828D" w:themeColor="accent1"/>
              <w:left w:val="single" w:sz="4" w:space="0" w:color="00828D" w:themeColor="accent1"/>
              <w:bottom w:val="single" w:sz="4" w:space="0" w:color="00828D" w:themeColor="accent1"/>
              <w:right w:val="nil"/>
            </w:tcBorders>
            <w:hideMark/>
          </w:tcPr>
          <w:p w14:paraId="5CBEEDD4" w14:textId="03A02853" w:rsidR="00AB55DD" w:rsidRDefault="00AB55DD" w:rsidP="00A10EA3">
            <w:pPr>
              <w:pStyle w:val="Tablebullet1"/>
            </w:pPr>
            <w:r>
              <w:t xml:space="preserve">Identified </w:t>
            </w:r>
            <w:r w:rsidR="000F4DA6">
              <w:t xml:space="preserve">and declared </w:t>
            </w:r>
            <w:r>
              <w:t>distinctive areas. Includes</w:t>
            </w:r>
            <w:r w:rsidR="000F4DA6">
              <w:t xml:space="preserve"> areas with</w:t>
            </w:r>
            <w:r>
              <w:t xml:space="preserve"> Localised Planning Statements (such as for the Bellarine Peninsula</w:t>
            </w:r>
            <w:r w:rsidR="000F4DA6">
              <w:t xml:space="preserve"> or Yarra Ranges</w:t>
            </w:r>
            <w:r>
              <w:t>)</w:t>
            </w:r>
          </w:p>
          <w:p w14:paraId="23B6D0BC" w14:textId="77777777" w:rsidR="00AB55DD" w:rsidRDefault="00AB55DD" w:rsidP="00A10EA3">
            <w:pPr>
              <w:pStyle w:val="Tablebullet1"/>
            </w:pPr>
            <w:r>
              <w:t>Managing impacts along the Great Ocean Road</w:t>
            </w:r>
          </w:p>
        </w:tc>
      </w:tr>
      <w:tr w:rsidR="00AB55DD" w14:paraId="45BD1FE9"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3CBDEA86" w14:textId="77777777" w:rsidR="00AB55DD" w:rsidRDefault="00AB55DD" w:rsidP="00D02070">
            <w:pPr>
              <w:pStyle w:val="Tablebody"/>
            </w:pPr>
            <w:r>
              <w:t>11.03-6</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5CDAEE32" w14:textId="77777777" w:rsidR="00AB55DD" w:rsidRDefault="00AB55DD" w:rsidP="00D02070">
            <w:pPr>
              <w:pStyle w:val="Tablebody"/>
            </w:pPr>
            <w:r>
              <w:t>Regional and local places</w:t>
            </w:r>
          </w:p>
        </w:tc>
        <w:tc>
          <w:tcPr>
            <w:tcW w:w="4538" w:type="dxa"/>
            <w:tcBorders>
              <w:top w:val="single" w:sz="4" w:space="0" w:color="00828D" w:themeColor="accent1"/>
              <w:left w:val="single" w:sz="4" w:space="0" w:color="00828D" w:themeColor="accent1"/>
              <w:bottom w:val="single" w:sz="4" w:space="0" w:color="00828D" w:themeColor="accent1"/>
              <w:right w:val="nil"/>
            </w:tcBorders>
            <w:hideMark/>
          </w:tcPr>
          <w:p w14:paraId="55F0D3FF" w14:textId="4D9E3BD9" w:rsidR="00AB55DD" w:rsidRDefault="00AB55DD" w:rsidP="00D02070">
            <w:pPr>
              <w:pStyle w:val="Tablebody"/>
            </w:pPr>
            <w:r>
              <w:t>Place-based policies that relate to a</w:t>
            </w:r>
            <w:r w:rsidR="008F1090">
              <w:t xml:space="preserve"> place</w:t>
            </w:r>
            <w:r>
              <w:t xml:space="preserve"> that is not covered by </w:t>
            </w:r>
            <w:r w:rsidR="00EE2F6B" w:rsidRPr="00B00B76">
              <w:t>c</w:t>
            </w:r>
            <w:r w:rsidRPr="00B00B76">
              <w:t xml:space="preserve">lauses </w:t>
            </w:r>
            <w:r w:rsidR="008F1090" w:rsidRPr="00B00B76">
              <w:t xml:space="preserve">11.01, 11.02 or </w:t>
            </w:r>
            <w:r w:rsidRPr="00B00B76">
              <w:t>11.03-1 to 11.03-5</w:t>
            </w:r>
            <w:r>
              <w:t xml:space="preserve"> – such as a township, an urban renewal precinct or a strategic redevelopment area</w:t>
            </w:r>
          </w:p>
          <w:p w14:paraId="1301C3B1" w14:textId="2E71E53A" w:rsidR="00AB55DD" w:rsidRPr="00625DA8" w:rsidRDefault="00AB55DD" w:rsidP="00D02070">
            <w:pPr>
              <w:pStyle w:val="Tablebody"/>
            </w:pPr>
            <w:r w:rsidRPr="00625DA8">
              <w:t xml:space="preserve">This clause can only be used for policies that meet </w:t>
            </w:r>
            <w:proofErr w:type="gramStart"/>
            <w:r w:rsidRPr="00625DA8">
              <w:t>all of</w:t>
            </w:r>
            <w:proofErr w:type="gramEnd"/>
            <w:r w:rsidRPr="00625DA8">
              <w:t xml:space="preserve"> the criteria outlined in the checklist at </w:t>
            </w:r>
            <w:r w:rsidRPr="00B00B76">
              <w:t xml:space="preserve">Appendix </w:t>
            </w:r>
            <w:r w:rsidR="00F564B2" w:rsidRPr="00B00B76">
              <w:t>4</w:t>
            </w:r>
            <w:r w:rsidRPr="00625DA8">
              <w:t xml:space="preserve"> of this </w:t>
            </w:r>
            <w:r w:rsidR="00542C3C">
              <w:t>g</w:t>
            </w:r>
            <w:r w:rsidRPr="00625DA8">
              <w:t>uide</w:t>
            </w:r>
          </w:p>
        </w:tc>
      </w:tr>
      <w:tr w:rsidR="00AB55DD" w14:paraId="00B902B4" w14:textId="77777777" w:rsidTr="00542C3C">
        <w:trPr>
          <w:cantSplit/>
        </w:trPr>
        <w:tc>
          <w:tcPr>
            <w:tcW w:w="1242" w:type="dxa"/>
            <w:tcBorders>
              <w:top w:val="single" w:sz="4" w:space="0" w:color="00828D" w:themeColor="accent1"/>
              <w:left w:val="nil"/>
              <w:bottom w:val="single" w:sz="4" w:space="0" w:color="00828D" w:themeColor="accent1"/>
              <w:right w:val="single" w:sz="4" w:space="0" w:color="595959" w:themeColor="text1" w:themeTint="A6"/>
            </w:tcBorders>
            <w:shd w:val="clear" w:color="auto" w:fill="595959" w:themeFill="text1" w:themeFillTint="A6"/>
            <w:hideMark/>
          </w:tcPr>
          <w:p w14:paraId="037E19D8" w14:textId="77777777" w:rsidR="00AB55DD" w:rsidRPr="00AD6B0C" w:rsidRDefault="00AB55DD" w:rsidP="00D02070">
            <w:pPr>
              <w:pStyle w:val="Tablebodybold"/>
              <w:rPr>
                <w:color w:val="FFFFFF" w:themeColor="background1"/>
              </w:rPr>
            </w:pPr>
            <w:r w:rsidRPr="00AD6B0C">
              <w:rPr>
                <w:color w:val="FFFFFF" w:themeColor="background1"/>
              </w:rPr>
              <w:t>12</w:t>
            </w:r>
          </w:p>
        </w:tc>
        <w:tc>
          <w:tcPr>
            <w:tcW w:w="3403" w:type="dxa"/>
            <w:tcBorders>
              <w:top w:val="single" w:sz="4" w:space="0" w:color="00828D" w:themeColor="accent1"/>
              <w:left w:val="single" w:sz="4" w:space="0" w:color="595959" w:themeColor="text1" w:themeTint="A6"/>
              <w:bottom w:val="single" w:sz="4" w:space="0" w:color="00828D" w:themeColor="accent1"/>
              <w:right w:val="single" w:sz="4" w:space="0" w:color="595959" w:themeColor="text1" w:themeTint="A6"/>
            </w:tcBorders>
            <w:shd w:val="clear" w:color="auto" w:fill="595959" w:themeFill="text1" w:themeFillTint="A6"/>
            <w:hideMark/>
          </w:tcPr>
          <w:p w14:paraId="17B23209" w14:textId="77777777" w:rsidR="00AB55DD" w:rsidRPr="00AD6B0C" w:rsidRDefault="00AB55DD" w:rsidP="00D02070">
            <w:pPr>
              <w:pStyle w:val="Tablebodybold"/>
              <w:rPr>
                <w:color w:val="FFFFFF" w:themeColor="background1"/>
              </w:rPr>
            </w:pPr>
            <w:r w:rsidRPr="00AD6B0C">
              <w:rPr>
                <w:color w:val="FFFFFF" w:themeColor="background1"/>
              </w:rPr>
              <w:t>ENVIRONMENTAL AND LANDSCAPE VALUES</w:t>
            </w:r>
          </w:p>
        </w:tc>
        <w:tc>
          <w:tcPr>
            <w:tcW w:w="4538" w:type="dxa"/>
            <w:tcBorders>
              <w:top w:val="single" w:sz="4" w:space="0" w:color="00828D" w:themeColor="accent1"/>
              <w:left w:val="single" w:sz="4" w:space="0" w:color="595959" w:themeColor="text1" w:themeTint="A6"/>
              <w:bottom w:val="single" w:sz="4" w:space="0" w:color="00828D" w:themeColor="accent1"/>
              <w:right w:val="nil"/>
            </w:tcBorders>
            <w:shd w:val="clear" w:color="auto" w:fill="595959" w:themeFill="text1" w:themeFillTint="A6"/>
          </w:tcPr>
          <w:p w14:paraId="2A365073" w14:textId="77777777" w:rsidR="00AB55DD" w:rsidRPr="00AD6B0C" w:rsidRDefault="00AB55DD" w:rsidP="00D02070">
            <w:pPr>
              <w:pStyle w:val="Tablebody"/>
              <w:rPr>
                <w:color w:val="FFFFFF" w:themeColor="background1"/>
              </w:rPr>
            </w:pPr>
          </w:p>
        </w:tc>
      </w:tr>
      <w:tr w:rsidR="00AB55DD" w14:paraId="794E58F3"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shd w:val="clear" w:color="auto" w:fill="D9D9D9" w:themeFill="background1" w:themeFillShade="D9"/>
            <w:hideMark/>
          </w:tcPr>
          <w:p w14:paraId="54A96C56" w14:textId="77777777" w:rsidR="00AB55DD" w:rsidRDefault="00AB55DD" w:rsidP="00D02070">
            <w:pPr>
              <w:pStyle w:val="Tablebodybold"/>
            </w:pPr>
            <w:r>
              <w:t>12.01</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shd w:val="clear" w:color="auto" w:fill="D9D9D9" w:themeFill="background1" w:themeFillShade="D9"/>
            <w:hideMark/>
          </w:tcPr>
          <w:p w14:paraId="02ADFAE2" w14:textId="77777777" w:rsidR="00AB55DD" w:rsidRDefault="00AB55DD" w:rsidP="00D02070">
            <w:pPr>
              <w:pStyle w:val="Tablebodybold"/>
            </w:pPr>
            <w:r>
              <w:t>Biodiversity</w:t>
            </w:r>
          </w:p>
        </w:tc>
        <w:tc>
          <w:tcPr>
            <w:tcW w:w="4538" w:type="dxa"/>
            <w:tcBorders>
              <w:top w:val="single" w:sz="4" w:space="0" w:color="00828D" w:themeColor="accent1"/>
              <w:left w:val="single" w:sz="4" w:space="0" w:color="00828D" w:themeColor="accent1"/>
              <w:bottom w:val="single" w:sz="4" w:space="0" w:color="00828D" w:themeColor="accent1"/>
              <w:right w:val="nil"/>
            </w:tcBorders>
            <w:shd w:val="clear" w:color="auto" w:fill="D9D9D9" w:themeFill="background1" w:themeFillShade="D9"/>
          </w:tcPr>
          <w:p w14:paraId="677E74A9" w14:textId="77777777" w:rsidR="00AB55DD" w:rsidRDefault="00AB55DD" w:rsidP="00D02070">
            <w:pPr>
              <w:pStyle w:val="Tablebody"/>
            </w:pPr>
          </w:p>
        </w:tc>
      </w:tr>
      <w:tr w:rsidR="00AB55DD" w:rsidRPr="00FB1EFE" w14:paraId="02A1434C"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4DB76627" w14:textId="77777777" w:rsidR="00AB55DD" w:rsidRDefault="00AB55DD" w:rsidP="00D02070">
            <w:pPr>
              <w:pStyle w:val="Tablebody"/>
            </w:pPr>
            <w:r>
              <w:t>12.01-1</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0FD6B406" w14:textId="3ACD544F" w:rsidR="00AB55DD" w:rsidRDefault="00AB55DD" w:rsidP="00D02070">
            <w:pPr>
              <w:pStyle w:val="Tablebody"/>
            </w:pPr>
            <w:r>
              <w:t>Protection of biodiversity</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3AC4F317" w14:textId="77777777" w:rsidR="00AB55DD" w:rsidRPr="00FB1EFE" w:rsidRDefault="00AB55DD" w:rsidP="00A10EA3">
            <w:pPr>
              <w:pStyle w:val="Tablebullet1"/>
            </w:pPr>
            <w:r w:rsidRPr="00FB1EFE">
              <w:t xml:space="preserve">Identifying and protecting areas of biodiversity including important areas of biodiversity </w:t>
            </w:r>
          </w:p>
          <w:p w14:paraId="30AE99F0" w14:textId="77777777" w:rsidR="00AB55DD" w:rsidRPr="00FB1EFE" w:rsidRDefault="00AB55DD" w:rsidP="00A10EA3">
            <w:pPr>
              <w:pStyle w:val="Tablebullet1"/>
            </w:pPr>
            <w:r w:rsidRPr="00FB1EFE">
              <w:t xml:space="preserve">Providing links between areas of biodiversity </w:t>
            </w:r>
          </w:p>
          <w:p w14:paraId="35546B33" w14:textId="77777777" w:rsidR="00AB55DD" w:rsidRPr="00FB1EFE" w:rsidRDefault="00AB55DD" w:rsidP="00A10EA3">
            <w:pPr>
              <w:pStyle w:val="Tablebullet1"/>
            </w:pPr>
            <w:r w:rsidRPr="00FB1EFE">
              <w:t>Planting and tree cover to increase habitat</w:t>
            </w:r>
          </w:p>
        </w:tc>
      </w:tr>
      <w:tr w:rsidR="00AB55DD" w14:paraId="5E300E53"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7F9F5DD2" w14:textId="77777777" w:rsidR="00AB55DD" w:rsidRDefault="00AB55DD" w:rsidP="00D02070">
            <w:pPr>
              <w:pStyle w:val="Tablebody"/>
            </w:pPr>
            <w:r>
              <w:t>12.01-2</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1FDF4FBB" w14:textId="77777777" w:rsidR="00AB55DD" w:rsidRDefault="00AB55DD" w:rsidP="00D02070">
            <w:pPr>
              <w:pStyle w:val="Tablebody"/>
            </w:pPr>
            <w:r>
              <w:t>Native vegetation management</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55028EE0" w14:textId="043FCE69" w:rsidR="00AB55DD" w:rsidRDefault="00AB55DD" w:rsidP="00D02070">
            <w:pPr>
              <w:pStyle w:val="Tablebody"/>
            </w:pPr>
            <w:r>
              <w:t xml:space="preserve">Removal of native vegetation resulting in </w:t>
            </w:r>
            <w:r w:rsidRPr="00FB1EFE">
              <w:rPr>
                <w:i/>
              </w:rPr>
              <w:t>no net loss</w:t>
            </w:r>
            <w:r>
              <w:t xml:space="preserve"> to biodiversity.</w:t>
            </w:r>
            <w:r w:rsidR="00D92C0F">
              <w:t xml:space="preserve"> </w:t>
            </w:r>
            <w:r>
              <w:t>For more general vegetation management see 12.01-1 Protection of biodiversity</w:t>
            </w:r>
          </w:p>
        </w:tc>
      </w:tr>
      <w:tr w:rsidR="00AB55DD" w14:paraId="4855A72D"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shd w:val="clear" w:color="auto" w:fill="D9D9D9" w:themeFill="background1" w:themeFillShade="D9"/>
            <w:hideMark/>
          </w:tcPr>
          <w:p w14:paraId="74A27604" w14:textId="77777777" w:rsidR="00AB55DD" w:rsidRDefault="00AB55DD" w:rsidP="00D02070">
            <w:pPr>
              <w:pStyle w:val="Tablebodybold"/>
            </w:pPr>
            <w:r>
              <w:t>12.02</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shd w:val="clear" w:color="auto" w:fill="D9D9D9" w:themeFill="background1" w:themeFillShade="D9"/>
            <w:hideMark/>
          </w:tcPr>
          <w:p w14:paraId="17967EED" w14:textId="5AB7E8CC" w:rsidR="00AB55DD" w:rsidRPr="009D2FA9" w:rsidRDefault="003B25D8" w:rsidP="00D02070">
            <w:pPr>
              <w:pStyle w:val="Tablebodybold"/>
            </w:pPr>
            <w:r w:rsidRPr="009D2FA9">
              <w:t xml:space="preserve">Marine and </w:t>
            </w:r>
            <w:r w:rsidR="00BD113A" w:rsidRPr="009D2FA9">
              <w:t xml:space="preserve">coastal environment </w:t>
            </w:r>
          </w:p>
        </w:tc>
        <w:tc>
          <w:tcPr>
            <w:tcW w:w="4538" w:type="dxa"/>
            <w:tcBorders>
              <w:top w:val="single" w:sz="4" w:space="0" w:color="00828D" w:themeColor="accent1"/>
              <w:left w:val="single" w:sz="4" w:space="0" w:color="00828D" w:themeColor="accent1"/>
              <w:bottom w:val="single" w:sz="4" w:space="0" w:color="00828D" w:themeColor="accent1"/>
              <w:right w:val="nil"/>
            </w:tcBorders>
            <w:shd w:val="clear" w:color="auto" w:fill="D9D9D9" w:themeFill="background1" w:themeFillShade="D9"/>
          </w:tcPr>
          <w:p w14:paraId="03900D2A" w14:textId="77777777" w:rsidR="00AB55DD" w:rsidRPr="009D2FA9" w:rsidRDefault="00AB55DD" w:rsidP="00D02070">
            <w:pPr>
              <w:pStyle w:val="Tablebody"/>
            </w:pPr>
          </w:p>
        </w:tc>
      </w:tr>
      <w:tr w:rsidR="00AB55DD" w14:paraId="6D6F4C06"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18FB358D" w14:textId="77777777" w:rsidR="00AB55DD" w:rsidRDefault="00AB55DD" w:rsidP="00D02070">
            <w:pPr>
              <w:pStyle w:val="Tablebody"/>
            </w:pPr>
            <w:r>
              <w:t>12.02-1</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784231A5" w14:textId="5C6AD165" w:rsidR="00AB55DD" w:rsidRPr="009D2FA9" w:rsidRDefault="00AB55DD" w:rsidP="00D02070">
            <w:pPr>
              <w:pStyle w:val="Tablebody"/>
            </w:pPr>
            <w:r w:rsidRPr="009D2FA9">
              <w:t xml:space="preserve">Protection of </w:t>
            </w:r>
            <w:r w:rsidR="00D523EC" w:rsidRPr="009D2FA9">
              <w:t xml:space="preserve">the marine and </w:t>
            </w:r>
            <w:r w:rsidRPr="009D2FA9">
              <w:t xml:space="preserve">coastal </w:t>
            </w:r>
            <w:r w:rsidR="00D523EC" w:rsidRPr="009D2FA9">
              <w:t>environment</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1E777577" w14:textId="77777777" w:rsidR="00AB55DD" w:rsidRPr="009D2FA9" w:rsidRDefault="00AB55DD" w:rsidP="00A10EA3">
            <w:pPr>
              <w:pStyle w:val="Tablebullet1"/>
            </w:pPr>
            <w:r w:rsidRPr="009D2FA9">
              <w:t>Protecting natural and environmental values of coastal areas</w:t>
            </w:r>
          </w:p>
          <w:p w14:paraId="67E206B5" w14:textId="77777777" w:rsidR="00AB55DD" w:rsidRPr="009D2FA9" w:rsidRDefault="00AB55DD" w:rsidP="00A10EA3">
            <w:pPr>
              <w:pStyle w:val="Tablebullet1"/>
            </w:pPr>
            <w:r w:rsidRPr="009D2FA9">
              <w:t>Managing marine development and infrastructure</w:t>
            </w:r>
          </w:p>
          <w:p w14:paraId="65283B99" w14:textId="77777777" w:rsidR="00AB55DD" w:rsidRPr="009D2FA9" w:rsidRDefault="00AB55DD" w:rsidP="00A10EA3">
            <w:pPr>
              <w:pStyle w:val="Tablebullet1"/>
            </w:pPr>
            <w:r w:rsidRPr="009D2FA9">
              <w:t>Protecting cultural heritage</w:t>
            </w:r>
          </w:p>
          <w:p w14:paraId="5383415C" w14:textId="77777777" w:rsidR="00AB55DD" w:rsidRPr="009D2FA9" w:rsidRDefault="00AB55DD" w:rsidP="00A10EA3">
            <w:pPr>
              <w:pStyle w:val="Tablebullet1"/>
            </w:pPr>
            <w:r w:rsidRPr="009D2FA9">
              <w:t xml:space="preserve">Coastal acid and </w:t>
            </w:r>
            <w:proofErr w:type="spellStart"/>
            <w:r w:rsidRPr="009D2FA9">
              <w:t>sulfate</w:t>
            </w:r>
            <w:proofErr w:type="spellEnd"/>
            <w:r w:rsidRPr="009D2FA9">
              <w:t xml:space="preserve"> soils</w:t>
            </w:r>
          </w:p>
        </w:tc>
      </w:tr>
      <w:tr w:rsidR="00AB55DD" w14:paraId="2BCD3939"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61C467B5" w14:textId="77777777" w:rsidR="00AB55DD" w:rsidRDefault="00AB55DD" w:rsidP="00D02070">
            <w:pPr>
              <w:pStyle w:val="Tablebody"/>
            </w:pPr>
            <w:r>
              <w:t>12.02-2</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46CB6963" w14:textId="08EFF021" w:rsidR="00AB55DD" w:rsidRPr="009D2FA9" w:rsidRDefault="00542623" w:rsidP="00D02070">
            <w:pPr>
              <w:pStyle w:val="Tablebody"/>
            </w:pPr>
            <w:r w:rsidRPr="009D2FA9">
              <w:t>Marine and c</w:t>
            </w:r>
            <w:r w:rsidR="00AB55DD" w:rsidRPr="009D2FA9">
              <w:t>oastal Crown land</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0496E49E" w14:textId="77777777" w:rsidR="00AB55DD" w:rsidRPr="009D2FA9" w:rsidRDefault="00AB55DD" w:rsidP="00D02070">
            <w:pPr>
              <w:pStyle w:val="Tablebody"/>
            </w:pPr>
          </w:p>
        </w:tc>
      </w:tr>
    </w:tbl>
    <w:p w14:paraId="5820FFBA" w14:textId="77777777" w:rsidR="00542C3C" w:rsidRDefault="00542C3C">
      <w:r>
        <w:br w:type="page"/>
      </w:r>
    </w:p>
    <w:tbl>
      <w:tblPr>
        <w:tblStyle w:val="TableGrid"/>
        <w:tblW w:w="9183" w:type="dxa"/>
        <w:tblInd w:w="0" w:type="dxa"/>
        <w:tblLayout w:type="fixed"/>
        <w:tblLook w:val="06A0" w:firstRow="1" w:lastRow="0" w:firstColumn="1" w:lastColumn="0" w:noHBand="1" w:noVBand="1"/>
      </w:tblPr>
      <w:tblGrid>
        <w:gridCol w:w="1242"/>
        <w:gridCol w:w="3403"/>
        <w:gridCol w:w="4538"/>
      </w:tblGrid>
      <w:tr w:rsidR="00AB55DD" w14:paraId="7F9644D7" w14:textId="77777777" w:rsidTr="00542C3C">
        <w:trPr>
          <w:cnfStyle w:val="100000000000" w:firstRow="1" w:lastRow="0" w:firstColumn="0" w:lastColumn="0" w:oddVBand="0" w:evenVBand="0" w:oddHBand="0" w:evenHBand="0" w:firstRowFirstColumn="0" w:firstRowLastColumn="0" w:lastRowFirstColumn="0" w:lastRowLastColumn="0"/>
          <w:cantSplit/>
          <w:tblHeader/>
        </w:trPr>
        <w:tc>
          <w:tcPr>
            <w:tcW w:w="1242" w:type="dxa"/>
            <w:tcBorders>
              <w:top w:val="single" w:sz="4" w:space="0" w:color="00828D" w:themeColor="accent1"/>
              <w:left w:val="nil"/>
              <w:bottom w:val="single" w:sz="4" w:space="0" w:color="00828D" w:themeColor="accent1"/>
              <w:right w:val="single" w:sz="4" w:space="0" w:color="00828D" w:themeColor="accent1"/>
            </w:tcBorders>
          </w:tcPr>
          <w:p w14:paraId="7B18FF8B" w14:textId="7AB126C3" w:rsidR="00AB55DD" w:rsidRPr="00542C3C" w:rsidRDefault="00542C3C" w:rsidP="00D02070">
            <w:pPr>
              <w:pStyle w:val="Tablebody"/>
              <w:rPr>
                <w:b/>
                <w:bCs/>
                <w:color w:val="FFFFFF" w:themeColor="background1"/>
              </w:rPr>
            </w:pPr>
            <w:r w:rsidRPr="00542C3C">
              <w:rPr>
                <w:b/>
                <w:bCs/>
                <w:color w:val="FFFFFF" w:themeColor="background1"/>
              </w:rPr>
              <w:lastRenderedPageBreak/>
              <w:t>Clause</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tcPr>
          <w:p w14:paraId="09106E69" w14:textId="5CA98439" w:rsidR="00AB55DD" w:rsidRPr="00542C3C" w:rsidRDefault="00542C3C" w:rsidP="00D02070">
            <w:pPr>
              <w:pStyle w:val="Tablebody"/>
              <w:rPr>
                <w:b/>
                <w:bCs/>
              </w:rPr>
            </w:pPr>
            <w:r w:rsidRPr="00542C3C">
              <w:rPr>
                <w:b/>
                <w:bCs/>
                <w:color w:val="FFFFFF" w:themeColor="background1"/>
              </w:rPr>
              <w:t>PPF Heading</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56686FCF" w14:textId="2458FBF5" w:rsidR="00AB55DD" w:rsidRPr="00542C3C" w:rsidRDefault="00542C3C" w:rsidP="00D02070">
            <w:pPr>
              <w:pStyle w:val="Tablebody"/>
              <w:rPr>
                <w:b/>
                <w:bCs/>
              </w:rPr>
            </w:pPr>
            <w:r w:rsidRPr="00542C3C">
              <w:rPr>
                <w:b/>
                <w:bCs/>
                <w:color w:val="FFFFFF" w:themeColor="background1"/>
              </w:rPr>
              <w:t>Policy Content</w:t>
            </w:r>
          </w:p>
        </w:tc>
      </w:tr>
      <w:tr w:rsidR="00AB55DD" w14:paraId="5C4EC25E"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shd w:val="clear" w:color="auto" w:fill="D9D9D9" w:themeFill="background1" w:themeFillShade="D9"/>
            <w:hideMark/>
          </w:tcPr>
          <w:p w14:paraId="42DBFAD8" w14:textId="77777777" w:rsidR="00AB55DD" w:rsidRDefault="00AB55DD" w:rsidP="00D02070">
            <w:pPr>
              <w:pStyle w:val="Tablebodybold"/>
            </w:pPr>
            <w:r>
              <w:t>12.03</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shd w:val="clear" w:color="auto" w:fill="D9D9D9" w:themeFill="background1" w:themeFillShade="D9"/>
            <w:hideMark/>
          </w:tcPr>
          <w:p w14:paraId="0C330B5C" w14:textId="77777777" w:rsidR="00AB55DD" w:rsidRDefault="00AB55DD" w:rsidP="00D02070">
            <w:pPr>
              <w:pStyle w:val="Tablebodybold"/>
            </w:pPr>
            <w:r>
              <w:t>Water bodies and wetlands</w:t>
            </w:r>
          </w:p>
        </w:tc>
        <w:tc>
          <w:tcPr>
            <w:tcW w:w="4538" w:type="dxa"/>
            <w:tcBorders>
              <w:top w:val="single" w:sz="4" w:space="0" w:color="00828D" w:themeColor="accent1"/>
              <w:left w:val="single" w:sz="4" w:space="0" w:color="00828D" w:themeColor="accent1"/>
              <w:bottom w:val="single" w:sz="4" w:space="0" w:color="00828D" w:themeColor="accent1"/>
              <w:right w:val="nil"/>
            </w:tcBorders>
            <w:shd w:val="clear" w:color="auto" w:fill="D9D9D9" w:themeFill="background1" w:themeFillShade="D9"/>
          </w:tcPr>
          <w:p w14:paraId="1D478890" w14:textId="77777777" w:rsidR="00AB55DD" w:rsidRDefault="00AB55DD" w:rsidP="00D02070">
            <w:pPr>
              <w:pStyle w:val="Tablebody"/>
            </w:pPr>
          </w:p>
        </w:tc>
      </w:tr>
      <w:tr w:rsidR="00AB55DD" w14:paraId="26627948"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548389FB" w14:textId="77777777" w:rsidR="00AB55DD" w:rsidRDefault="00AB55DD" w:rsidP="00D02070">
            <w:pPr>
              <w:pStyle w:val="Tablebody"/>
            </w:pPr>
            <w:r>
              <w:t>12.03-1</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5551495C" w14:textId="1CEC1CB8" w:rsidR="00AB55DD" w:rsidRDefault="00AB55DD" w:rsidP="00D02070">
            <w:pPr>
              <w:pStyle w:val="Tablebody"/>
            </w:pPr>
            <w:r>
              <w:t xml:space="preserve">River </w:t>
            </w:r>
            <w:r w:rsidR="002C741C">
              <w:t xml:space="preserve">and riparian </w:t>
            </w:r>
            <w:r>
              <w:t>corridors, waterways, lakes</w:t>
            </w:r>
            <w:r w:rsidR="002C741C">
              <w:t xml:space="preserve">, </w:t>
            </w:r>
            <w:r>
              <w:t>wetlands</w:t>
            </w:r>
            <w:r w:rsidR="002C741C">
              <w:t xml:space="preserve"> and billabongs</w:t>
            </w:r>
          </w:p>
        </w:tc>
        <w:tc>
          <w:tcPr>
            <w:tcW w:w="4538" w:type="dxa"/>
            <w:tcBorders>
              <w:top w:val="single" w:sz="4" w:space="0" w:color="00828D" w:themeColor="accent1"/>
              <w:left w:val="single" w:sz="4" w:space="0" w:color="00828D" w:themeColor="accent1"/>
              <w:bottom w:val="single" w:sz="4" w:space="0" w:color="00828D" w:themeColor="accent1"/>
              <w:right w:val="nil"/>
            </w:tcBorders>
            <w:hideMark/>
          </w:tcPr>
          <w:p w14:paraId="2A782CD5" w14:textId="5336F461" w:rsidR="00AB55DD" w:rsidRDefault="00AB55DD" w:rsidP="00A10EA3">
            <w:pPr>
              <w:pStyle w:val="Tablebullet1"/>
            </w:pPr>
            <w:r>
              <w:t xml:space="preserve">Water bodies of all kinds except </w:t>
            </w:r>
            <w:r w:rsidR="00A8555C">
              <w:t>marine and</w:t>
            </w:r>
            <w:r>
              <w:t xml:space="preserve"> bay</w:t>
            </w:r>
            <w:r w:rsidR="00A255F5">
              <w:t xml:space="preserve"> environments</w:t>
            </w:r>
          </w:p>
          <w:p w14:paraId="5F5CBC1F" w14:textId="77777777" w:rsidR="00AB55DD" w:rsidRDefault="00AB55DD" w:rsidP="00A10EA3">
            <w:pPr>
              <w:pStyle w:val="Tablebullet1"/>
            </w:pPr>
            <w:r>
              <w:t>Dams – where the principal concern is interfering with the flow of a waterway</w:t>
            </w:r>
          </w:p>
          <w:p w14:paraId="03A9DBD0" w14:textId="77777777" w:rsidR="00AB55DD" w:rsidRDefault="00AB55DD" w:rsidP="00A10EA3">
            <w:pPr>
              <w:pStyle w:val="Tablebullet1"/>
            </w:pPr>
            <w:r>
              <w:t>The Yarra River</w:t>
            </w:r>
          </w:p>
        </w:tc>
      </w:tr>
      <w:tr w:rsidR="00AB55DD" w14:paraId="29745C37"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shd w:val="clear" w:color="auto" w:fill="D9D9D9" w:themeFill="background1" w:themeFillShade="D9"/>
            <w:hideMark/>
          </w:tcPr>
          <w:p w14:paraId="2AD373E8" w14:textId="77777777" w:rsidR="00AB55DD" w:rsidRDefault="00AB55DD" w:rsidP="00D02070">
            <w:pPr>
              <w:pStyle w:val="Tablebodybold"/>
            </w:pPr>
            <w:r>
              <w:t>12.04</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shd w:val="clear" w:color="auto" w:fill="D9D9D9" w:themeFill="background1" w:themeFillShade="D9"/>
            <w:hideMark/>
          </w:tcPr>
          <w:p w14:paraId="0D126054" w14:textId="77777777" w:rsidR="00AB55DD" w:rsidRDefault="00AB55DD" w:rsidP="00D02070">
            <w:pPr>
              <w:pStyle w:val="Tablebodybold"/>
            </w:pPr>
            <w:r>
              <w:t>Alpine areas</w:t>
            </w:r>
          </w:p>
        </w:tc>
        <w:tc>
          <w:tcPr>
            <w:tcW w:w="4538" w:type="dxa"/>
            <w:tcBorders>
              <w:top w:val="single" w:sz="4" w:space="0" w:color="00828D" w:themeColor="accent1"/>
              <w:left w:val="single" w:sz="4" w:space="0" w:color="00828D" w:themeColor="accent1"/>
              <w:bottom w:val="single" w:sz="4" w:space="0" w:color="00828D" w:themeColor="accent1"/>
              <w:right w:val="nil"/>
            </w:tcBorders>
            <w:shd w:val="clear" w:color="auto" w:fill="D9D9D9" w:themeFill="background1" w:themeFillShade="D9"/>
          </w:tcPr>
          <w:p w14:paraId="15063037" w14:textId="77777777" w:rsidR="00AB55DD" w:rsidRDefault="00AB55DD" w:rsidP="00D02070">
            <w:pPr>
              <w:pStyle w:val="Tablebody"/>
            </w:pPr>
          </w:p>
        </w:tc>
      </w:tr>
      <w:tr w:rsidR="00AB55DD" w14:paraId="5CB5EE42"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7002603A" w14:textId="77777777" w:rsidR="00AB55DD" w:rsidRDefault="00AB55DD" w:rsidP="00D02070">
            <w:pPr>
              <w:pStyle w:val="Tablebody"/>
            </w:pPr>
            <w:r>
              <w:t>12.04-1</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26327E65" w14:textId="77777777" w:rsidR="00AB55DD" w:rsidRDefault="00AB55DD" w:rsidP="00D02070">
            <w:pPr>
              <w:pStyle w:val="Tablebody"/>
            </w:pPr>
            <w:r>
              <w:t>Sustainable development in alpine areas</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7A279CC3" w14:textId="77777777" w:rsidR="00AB55DD" w:rsidRDefault="00AB55DD" w:rsidP="00D02070">
            <w:pPr>
              <w:pStyle w:val="Tablebody"/>
            </w:pPr>
          </w:p>
        </w:tc>
      </w:tr>
      <w:tr w:rsidR="00AB55DD" w14:paraId="64BBD478"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shd w:val="clear" w:color="auto" w:fill="D9D9D9" w:themeFill="background1" w:themeFillShade="D9"/>
            <w:hideMark/>
          </w:tcPr>
          <w:p w14:paraId="4A8238E9" w14:textId="77777777" w:rsidR="00AB55DD" w:rsidRDefault="00AB55DD" w:rsidP="00D02070">
            <w:pPr>
              <w:pStyle w:val="Tablebodybold"/>
            </w:pPr>
            <w:r>
              <w:t>12.05</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shd w:val="clear" w:color="auto" w:fill="D9D9D9" w:themeFill="background1" w:themeFillShade="D9"/>
            <w:hideMark/>
          </w:tcPr>
          <w:p w14:paraId="00CE21CF" w14:textId="77777777" w:rsidR="00AB55DD" w:rsidRDefault="00AB55DD" w:rsidP="00D02070">
            <w:pPr>
              <w:pStyle w:val="Tablebodybold"/>
            </w:pPr>
            <w:r>
              <w:t>Significant environments and landscapes</w:t>
            </w:r>
          </w:p>
        </w:tc>
        <w:tc>
          <w:tcPr>
            <w:tcW w:w="4538" w:type="dxa"/>
            <w:tcBorders>
              <w:top w:val="single" w:sz="4" w:space="0" w:color="00828D" w:themeColor="accent1"/>
              <w:left w:val="single" w:sz="4" w:space="0" w:color="00828D" w:themeColor="accent1"/>
              <w:bottom w:val="single" w:sz="4" w:space="0" w:color="00828D" w:themeColor="accent1"/>
              <w:right w:val="nil"/>
            </w:tcBorders>
            <w:shd w:val="clear" w:color="auto" w:fill="D9D9D9" w:themeFill="background1" w:themeFillShade="D9"/>
          </w:tcPr>
          <w:p w14:paraId="7EF3A988" w14:textId="77777777" w:rsidR="00AB55DD" w:rsidRDefault="00AB55DD" w:rsidP="00D02070">
            <w:pPr>
              <w:pStyle w:val="Tablebody"/>
            </w:pPr>
          </w:p>
        </w:tc>
      </w:tr>
      <w:tr w:rsidR="00AB55DD" w14:paraId="6DC02BD0"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14D2F3F6" w14:textId="77777777" w:rsidR="00AB55DD" w:rsidRDefault="00AB55DD" w:rsidP="00D02070">
            <w:pPr>
              <w:pStyle w:val="Tablebody"/>
            </w:pPr>
            <w:r>
              <w:t>12.05-1</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7BE5DB36" w14:textId="77777777" w:rsidR="00AB55DD" w:rsidRDefault="00AB55DD" w:rsidP="00D02070">
            <w:pPr>
              <w:pStyle w:val="Tablebody"/>
            </w:pPr>
            <w:r>
              <w:t>Environmentally sensitive areas</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722E1A9F" w14:textId="1105F643" w:rsidR="00AB55DD" w:rsidRDefault="00AB55DD" w:rsidP="0065027F">
            <w:pPr>
              <w:pStyle w:val="Tablebody"/>
            </w:pPr>
            <w:r>
              <w:t>Protection of environmentally sensitive areas with significant recreational value</w:t>
            </w:r>
          </w:p>
        </w:tc>
      </w:tr>
      <w:tr w:rsidR="00AB55DD" w14:paraId="646D4B40"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005DB3B1" w14:textId="77777777" w:rsidR="00AB55DD" w:rsidRDefault="00AB55DD" w:rsidP="00D02070">
            <w:pPr>
              <w:pStyle w:val="Tablebody"/>
            </w:pPr>
            <w:r>
              <w:t>12.05-2</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25C33AC9" w14:textId="77777777" w:rsidR="00AB55DD" w:rsidRDefault="00AB55DD" w:rsidP="00D02070">
            <w:pPr>
              <w:pStyle w:val="Tablebody"/>
            </w:pPr>
            <w:r>
              <w:t>Landscapes</w:t>
            </w:r>
          </w:p>
        </w:tc>
        <w:tc>
          <w:tcPr>
            <w:tcW w:w="4538" w:type="dxa"/>
            <w:tcBorders>
              <w:top w:val="single" w:sz="4" w:space="0" w:color="00828D" w:themeColor="accent1"/>
              <w:left w:val="single" w:sz="4" w:space="0" w:color="00828D" w:themeColor="accent1"/>
              <w:bottom w:val="single" w:sz="4" w:space="0" w:color="00828D" w:themeColor="accent1"/>
              <w:right w:val="nil"/>
            </w:tcBorders>
            <w:hideMark/>
          </w:tcPr>
          <w:p w14:paraId="4DB2EE50" w14:textId="0D027CAC" w:rsidR="00AB55DD" w:rsidRDefault="00AB55DD" w:rsidP="00D02070">
            <w:pPr>
              <w:pStyle w:val="Tablebody"/>
            </w:pPr>
            <w:r>
              <w:t xml:space="preserve">Significant landscapes and open spaces that are not distinctive landscapes identified at </w:t>
            </w:r>
            <w:r w:rsidR="001F616D" w:rsidRPr="00B00B76">
              <w:t>c</w:t>
            </w:r>
            <w:r w:rsidRPr="00B00B76">
              <w:t>lause 11.03-5</w:t>
            </w:r>
          </w:p>
        </w:tc>
      </w:tr>
      <w:tr w:rsidR="00AB55DD" w14:paraId="3E0E862C" w14:textId="77777777" w:rsidTr="00542C3C">
        <w:trPr>
          <w:cantSplit/>
        </w:trPr>
        <w:tc>
          <w:tcPr>
            <w:tcW w:w="1242" w:type="dxa"/>
            <w:tcBorders>
              <w:top w:val="single" w:sz="4" w:space="0" w:color="00828D" w:themeColor="accent1"/>
              <w:left w:val="nil"/>
              <w:bottom w:val="single" w:sz="4" w:space="0" w:color="00828D" w:themeColor="accent1"/>
              <w:right w:val="single" w:sz="4" w:space="0" w:color="595959" w:themeColor="text1" w:themeTint="A6"/>
            </w:tcBorders>
            <w:shd w:val="clear" w:color="auto" w:fill="595959" w:themeFill="text1" w:themeFillTint="A6"/>
            <w:hideMark/>
          </w:tcPr>
          <w:p w14:paraId="4FECCE6F" w14:textId="77777777" w:rsidR="00AB55DD" w:rsidRPr="00AD6B0C" w:rsidRDefault="00AB55DD" w:rsidP="00D02070">
            <w:pPr>
              <w:pStyle w:val="Tablebodybold"/>
              <w:rPr>
                <w:color w:val="FFFFFF" w:themeColor="background1"/>
              </w:rPr>
            </w:pPr>
            <w:r w:rsidRPr="00AD6B0C">
              <w:rPr>
                <w:color w:val="FFFFFF" w:themeColor="background1"/>
              </w:rPr>
              <w:t>13</w:t>
            </w:r>
          </w:p>
        </w:tc>
        <w:tc>
          <w:tcPr>
            <w:tcW w:w="3403" w:type="dxa"/>
            <w:tcBorders>
              <w:top w:val="single" w:sz="4" w:space="0" w:color="00828D" w:themeColor="accent1"/>
              <w:left w:val="single" w:sz="4" w:space="0" w:color="595959" w:themeColor="text1" w:themeTint="A6"/>
              <w:bottom w:val="single" w:sz="4" w:space="0" w:color="00828D" w:themeColor="accent1"/>
              <w:right w:val="single" w:sz="4" w:space="0" w:color="595959" w:themeColor="text1" w:themeTint="A6"/>
            </w:tcBorders>
            <w:shd w:val="clear" w:color="auto" w:fill="595959" w:themeFill="text1" w:themeFillTint="A6"/>
            <w:hideMark/>
          </w:tcPr>
          <w:p w14:paraId="4AB85FA6" w14:textId="77777777" w:rsidR="00AB55DD" w:rsidRPr="00AD6B0C" w:rsidRDefault="00AB55DD" w:rsidP="00D02070">
            <w:pPr>
              <w:pStyle w:val="Tablebodybold"/>
              <w:rPr>
                <w:color w:val="FFFFFF" w:themeColor="background1"/>
              </w:rPr>
            </w:pPr>
            <w:r w:rsidRPr="00AD6B0C">
              <w:rPr>
                <w:color w:val="FFFFFF" w:themeColor="background1"/>
              </w:rPr>
              <w:t>ENVIRONMENTAL RISKS AND AMENITY</w:t>
            </w:r>
          </w:p>
        </w:tc>
        <w:tc>
          <w:tcPr>
            <w:tcW w:w="4538" w:type="dxa"/>
            <w:tcBorders>
              <w:top w:val="single" w:sz="4" w:space="0" w:color="00828D" w:themeColor="accent1"/>
              <w:left w:val="single" w:sz="4" w:space="0" w:color="595959" w:themeColor="text1" w:themeTint="A6"/>
              <w:bottom w:val="single" w:sz="4" w:space="0" w:color="00828D" w:themeColor="accent1"/>
              <w:right w:val="nil"/>
            </w:tcBorders>
            <w:shd w:val="clear" w:color="auto" w:fill="595959" w:themeFill="text1" w:themeFillTint="A6"/>
          </w:tcPr>
          <w:p w14:paraId="1E3A4FA7" w14:textId="77777777" w:rsidR="00AB55DD" w:rsidRPr="00AD6B0C" w:rsidRDefault="00AB55DD" w:rsidP="00D02070">
            <w:pPr>
              <w:pStyle w:val="Tablebody"/>
              <w:rPr>
                <w:color w:val="FFFFFF" w:themeColor="background1"/>
              </w:rPr>
            </w:pPr>
          </w:p>
        </w:tc>
      </w:tr>
      <w:tr w:rsidR="00AB55DD" w14:paraId="6CFE4A26"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shd w:val="clear" w:color="auto" w:fill="D9D9D9" w:themeFill="background1" w:themeFillShade="D9"/>
            <w:hideMark/>
          </w:tcPr>
          <w:p w14:paraId="4E3E0AEB" w14:textId="77777777" w:rsidR="00AB55DD" w:rsidRDefault="00AB55DD" w:rsidP="00D02070">
            <w:pPr>
              <w:pStyle w:val="Tablebodybold"/>
            </w:pPr>
            <w:r>
              <w:t>13.01</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shd w:val="clear" w:color="auto" w:fill="D9D9D9" w:themeFill="background1" w:themeFillShade="D9"/>
            <w:hideMark/>
          </w:tcPr>
          <w:p w14:paraId="3D35B768" w14:textId="77777777" w:rsidR="00AB55DD" w:rsidRDefault="00AB55DD" w:rsidP="00D02070">
            <w:pPr>
              <w:pStyle w:val="Tablebodybold"/>
            </w:pPr>
            <w:r>
              <w:t>Climate change impacts</w:t>
            </w:r>
          </w:p>
        </w:tc>
        <w:tc>
          <w:tcPr>
            <w:tcW w:w="4538" w:type="dxa"/>
            <w:tcBorders>
              <w:top w:val="single" w:sz="4" w:space="0" w:color="00828D" w:themeColor="accent1"/>
              <w:left w:val="single" w:sz="4" w:space="0" w:color="00828D" w:themeColor="accent1"/>
              <w:bottom w:val="single" w:sz="4" w:space="0" w:color="00828D" w:themeColor="accent1"/>
              <w:right w:val="nil"/>
            </w:tcBorders>
            <w:shd w:val="clear" w:color="auto" w:fill="D9D9D9" w:themeFill="background1" w:themeFillShade="D9"/>
          </w:tcPr>
          <w:p w14:paraId="50C9E90C" w14:textId="77777777" w:rsidR="00AB55DD" w:rsidRDefault="00AB55DD" w:rsidP="00D02070">
            <w:pPr>
              <w:pStyle w:val="Tablebody"/>
            </w:pPr>
          </w:p>
        </w:tc>
      </w:tr>
      <w:tr w:rsidR="00AB55DD" w14:paraId="0C59C86C"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726F7702" w14:textId="77777777" w:rsidR="00AB55DD" w:rsidRDefault="00AB55DD" w:rsidP="00D02070">
            <w:pPr>
              <w:pStyle w:val="Tablebody"/>
            </w:pPr>
            <w:r>
              <w:t>13.01-1</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39357473" w14:textId="77777777" w:rsidR="00AB55DD" w:rsidRDefault="00AB55DD" w:rsidP="00D02070">
            <w:pPr>
              <w:pStyle w:val="Tablebody"/>
            </w:pPr>
            <w:r>
              <w:t>Natural hazards and climate change</w:t>
            </w:r>
          </w:p>
        </w:tc>
        <w:tc>
          <w:tcPr>
            <w:tcW w:w="4538" w:type="dxa"/>
            <w:tcBorders>
              <w:top w:val="single" w:sz="4" w:space="0" w:color="00828D" w:themeColor="accent1"/>
              <w:left w:val="single" w:sz="4" w:space="0" w:color="00828D" w:themeColor="accent1"/>
              <w:bottom w:val="single" w:sz="4" w:space="0" w:color="00828D" w:themeColor="accent1"/>
              <w:right w:val="nil"/>
            </w:tcBorders>
            <w:hideMark/>
          </w:tcPr>
          <w:p w14:paraId="52C128D5" w14:textId="77777777" w:rsidR="00AB55DD" w:rsidRDefault="00AB55DD" w:rsidP="00A10EA3">
            <w:pPr>
              <w:pStyle w:val="Tablebullet1"/>
            </w:pPr>
            <w:r>
              <w:t>Climate change – General matters</w:t>
            </w:r>
          </w:p>
          <w:p w14:paraId="5748510A" w14:textId="7D5E5CCB" w:rsidR="00AB55DD" w:rsidRDefault="00AB55DD" w:rsidP="00A10EA3">
            <w:pPr>
              <w:pStyle w:val="Tablebullet1"/>
            </w:pPr>
            <w:r>
              <w:t xml:space="preserve">Natural hazards – General considerations not otherwise addressed in </w:t>
            </w:r>
            <w:r w:rsidR="00EE2F6B" w:rsidRPr="00B00B76">
              <w:t>c</w:t>
            </w:r>
            <w:r w:rsidRPr="00B00B76">
              <w:t>lauses 13.02, 13.03 and 13.04</w:t>
            </w:r>
          </w:p>
        </w:tc>
      </w:tr>
      <w:tr w:rsidR="00AB55DD" w14:paraId="2223A45B"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6B6A9E44" w14:textId="77777777" w:rsidR="00AB55DD" w:rsidRDefault="00AB55DD" w:rsidP="00D02070">
            <w:pPr>
              <w:pStyle w:val="Tablebody"/>
            </w:pPr>
            <w:r>
              <w:t>13.01-2</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74467808" w14:textId="77777777" w:rsidR="00AB55DD" w:rsidRDefault="00AB55DD" w:rsidP="00D02070">
            <w:pPr>
              <w:pStyle w:val="Tablebody"/>
            </w:pPr>
            <w:r>
              <w:t>Coastal inundation and erosion</w:t>
            </w:r>
          </w:p>
        </w:tc>
        <w:tc>
          <w:tcPr>
            <w:tcW w:w="4538" w:type="dxa"/>
            <w:tcBorders>
              <w:top w:val="single" w:sz="4" w:space="0" w:color="00828D" w:themeColor="accent1"/>
              <w:left w:val="single" w:sz="4" w:space="0" w:color="00828D" w:themeColor="accent1"/>
              <w:bottom w:val="single" w:sz="4" w:space="0" w:color="00828D" w:themeColor="accent1"/>
              <w:right w:val="nil"/>
            </w:tcBorders>
            <w:hideMark/>
          </w:tcPr>
          <w:p w14:paraId="4E77C94F" w14:textId="77777777" w:rsidR="00AB55DD" w:rsidRDefault="00AB55DD" w:rsidP="00A10EA3">
            <w:pPr>
              <w:pStyle w:val="Tablebullet1"/>
            </w:pPr>
            <w:r>
              <w:t>Coastal impacts of climate change</w:t>
            </w:r>
          </w:p>
          <w:p w14:paraId="6472C605" w14:textId="77777777" w:rsidR="00AB55DD" w:rsidRDefault="00AB55DD" w:rsidP="00A10EA3">
            <w:pPr>
              <w:pStyle w:val="Tablebullet1"/>
            </w:pPr>
            <w:r>
              <w:t>River and coastal development susceptible to inundation and erosion</w:t>
            </w:r>
          </w:p>
        </w:tc>
      </w:tr>
      <w:tr w:rsidR="00AB55DD" w14:paraId="3E8CDD2E"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shd w:val="clear" w:color="auto" w:fill="D9D9D9" w:themeFill="background1" w:themeFillShade="D9"/>
            <w:hideMark/>
          </w:tcPr>
          <w:p w14:paraId="4C64F82C" w14:textId="77777777" w:rsidR="00AB55DD" w:rsidRDefault="00AB55DD" w:rsidP="00D02070">
            <w:pPr>
              <w:pStyle w:val="Tablebodybold"/>
            </w:pPr>
            <w:r>
              <w:t>13.02</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shd w:val="clear" w:color="auto" w:fill="D9D9D9" w:themeFill="background1" w:themeFillShade="D9"/>
            <w:hideMark/>
          </w:tcPr>
          <w:p w14:paraId="589183E7" w14:textId="77777777" w:rsidR="00AB55DD" w:rsidRDefault="00AB55DD" w:rsidP="00D02070">
            <w:pPr>
              <w:pStyle w:val="Tablebodybold"/>
            </w:pPr>
            <w:r>
              <w:t>Bushfire</w:t>
            </w:r>
          </w:p>
        </w:tc>
        <w:tc>
          <w:tcPr>
            <w:tcW w:w="4538" w:type="dxa"/>
            <w:tcBorders>
              <w:top w:val="single" w:sz="4" w:space="0" w:color="00828D" w:themeColor="accent1"/>
              <w:left w:val="single" w:sz="4" w:space="0" w:color="00828D" w:themeColor="accent1"/>
              <w:bottom w:val="single" w:sz="4" w:space="0" w:color="00828D" w:themeColor="accent1"/>
              <w:right w:val="nil"/>
            </w:tcBorders>
            <w:shd w:val="clear" w:color="auto" w:fill="D9D9D9" w:themeFill="background1" w:themeFillShade="D9"/>
          </w:tcPr>
          <w:p w14:paraId="617E1F8A" w14:textId="77777777" w:rsidR="00AB55DD" w:rsidRDefault="00AB55DD" w:rsidP="00D02070">
            <w:pPr>
              <w:pStyle w:val="Tablebody"/>
            </w:pPr>
          </w:p>
        </w:tc>
      </w:tr>
      <w:tr w:rsidR="00AB55DD" w14:paraId="553CA1A6"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3D0E04B4" w14:textId="77777777" w:rsidR="00AB55DD" w:rsidRDefault="00AB55DD" w:rsidP="00D02070">
            <w:pPr>
              <w:pStyle w:val="Tablebody"/>
            </w:pPr>
            <w:r>
              <w:t>13.02-1</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5DD742CF" w14:textId="77777777" w:rsidR="00AB55DD" w:rsidRDefault="00AB55DD" w:rsidP="00D02070">
            <w:pPr>
              <w:pStyle w:val="Tablebody"/>
            </w:pPr>
            <w:r>
              <w:t>Bushfire planning</w:t>
            </w:r>
          </w:p>
        </w:tc>
        <w:tc>
          <w:tcPr>
            <w:tcW w:w="4538" w:type="dxa"/>
            <w:tcBorders>
              <w:top w:val="single" w:sz="4" w:space="0" w:color="00828D" w:themeColor="accent1"/>
              <w:left w:val="single" w:sz="4" w:space="0" w:color="00828D" w:themeColor="accent1"/>
              <w:bottom w:val="single" w:sz="4" w:space="0" w:color="00828D" w:themeColor="accent1"/>
              <w:right w:val="nil"/>
            </w:tcBorders>
            <w:shd w:val="clear" w:color="auto" w:fill="auto"/>
          </w:tcPr>
          <w:p w14:paraId="262ADBBD" w14:textId="77777777" w:rsidR="00AB55DD" w:rsidRDefault="00AB55DD" w:rsidP="00D02070">
            <w:pPr>
              <w:pStyle w:val="Tablebody"/>
            </w:pPr>
            <w:r w:rsidRPr="00D14AE0">
              <w:t>Bushfire planning for land affected by the Bushfire Management Overlay or included in a Bushfire Prone Area</w:t>
            </w:r>
          </w:p>
        </w:tc>
      </w:tr>
      <w:tr w:rsidR="00AB55DD" w14:paraId="6797A3E4"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shd w:val="clear" w:color="auto" w:fill="D9D9D9" w:themeFill="background1" w:themeFillShade="D9"/>
            <w:hideMark/>
          </w:tcPr>
          <w:p w14:paraId="12123BCB" w14:textId="77777777" w:rsidR="00AB55DD" w:rsidRDefault="00AB55DD" w:rsidP="00D02070">
            <w:pPr>
              <w:pStyle w:val="Tablebodybold"/>
            </w:pPr>
            <w:r>
              <w:t>13.03</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shd w:val="clear" w:color="auto" w:fill="D9D9D9" w:themeFill="background1" w:themeFillShade="D9"/>
            <w:hideMark/>
          </w:tcPr>
          <w:p w14:paraId="608C9018" w14:textId="77777777" w:rsidR="00AB55DD" w:rsidRDefault="00AB55DD" w:rsidP="00D02070">
            <w:pPr>
              <w:pStyle w:val="Tablebodybold"/>
            </w:pPr>
            <w:r>
              <w:t>Floodplains</w:t>
            </w:r>
          </w:p>
        </w:tc>
        <w:tc>
          <w:tcPr>
            <w:tcW w:w="4538" w:type="dxa"/>
            <w:tcBorders>
              <w:top w:val="single" w:sz="4" w:space="0" w:color="00828D" w:themeColor="accent1"/>
              <w:left w:val="single" w:sz="4" w:space="0" w:color="00828D" w:themeColor="accent1"/>
              <w:bottom w:val="single" w:sz="4" w:space="0" w:color="00828D" w:themeColor="accent1"/>
              <w:right w:val="nil"/>
            </w:tcBorders>
            <w:shd w:val="clear" w:color="auto" w:fill="D9D9D9" w:themeFill="background1" w:themeFillShade="D9"/>
          </w:tcPr>
          <w:p w14:paraId="0B80CF26" w14:textId="77777777" w:rsidR="00AB55DD" w:rsidRDefault="00AB55DD" w:rsidP="00D02070">
            <w:pPr>
              <w:pStyle w:val="Tablebody"/>
            </w:pPr>
          </w:p>
        </w:tc>
      </w:tr>
      <w:tr w:rsidR="00AB55DD" w14:paraId="7853BF37"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3F775FC8" w14:textId="77777777" w:rsidR="00AB55DD" w:rsidRDefault="00AB55DD" w:rsidP="00D02070">
            <w:pPr>
              <w:pStyle w:val="Tablebody"/>
            </w:pPr>
            <w:r>
              <w:t>13.03-1</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61A26275" w14:textId="77777777" w:rsidR="00AB55DD" w:rsidRDefault="00AB55DD" w:rsidP="00D02070">
            <w:pPr>
              <w:pStyle w:val="Tablebody"/>
            </w:pPr>
            <w:r>
              <w:t>Floodplain management</w:t>
            </w:r>
          </w:p>
        </w:tc>
        <w:tc>
          <w:tcPr>
            <w:tcW w:w="4538" w:type="dxa"/>
            <w:tcBorders>
              <w:top w:val="single" w:sz="4" w:space="0" w:color="00828D" w:themeColor="accent1"/>
              <w:left w:val="single" w:sz="4" w:space="0" w:color="00828D" w:themeColor="accent1"/>
              <w:bottom w:val="single" w:sz="4" w:space="0" w:color="00828D" w:themeColor="accent1"/>
              <w:right w:val="nil"/>
            </w:tcBorders>
            <w:hideMark/>
          </w:tcPr>
          <w:p w14:paraId="2DA80470" w14:textId="77777777" w:rsidR="00AB55DD" w:rsidRDefault="00AB55DD" w:rsidP="00A10EA3">
            <w:pPr>
              <w:pStyle w:val="Tablebullet1"/>
            </w:pPr>
            <w:r>
              <w:t>Managing floodplains</w:t>
            </w:r>
          </w:p>
          <w:p w14:paraId="21BEFFAD" w14:textId="77777777" w:rsidR="00AB55DD" w:rsidRDefault="00AB55DD" w:rsidP="00A10EA3">
            <w:pPr>
              <w:pStyle w:val="Tablebullet1"/>
            </w:pPr>
            <w:r>
              <w:t>Mitigation of negative impacts of flooding including the protection of life and property</w:t>
            </w:r>
          </w:p>
          <w:p w14:paraId="37635229" w14:textId="77777777" w:rsidR="00AB55DD" w:rsidRDefault="00AB55DD" w:rsidP="00A10EA3">
            <w:pPr>
              <w:pStyle w:val="Tablebullet1"/>
            </w:pPr>
            <w:r>
              <w:t>Dams – where the principal concern is reducing flooding impacts</w:t>
            </w:r>
          </w:p>
        </w:tc>
      </w:tr>
      <w:tr w:rsidR="00AB55DD" w14:paraId="4C7A6636"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shd w:val="clear" w:color="auto" w:fill="D9D9D9" w:themeFill="background1" w:themeFillShade="D9"/>
            <w:hideMark/>
          </w:tcPr>
          <w:p w14:paraId="3FDB9665" w14:textId="77777777" w:rsidR="00AB55DD" w:rsidRDefault="00AB55DD" w:rsidP="00D02070">
            <w:pPr>
              <w:pStyle w:val="Tablebodybold"/>
            </w:pPr>
            <w:r>
              <w:t>13.04</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shd w:val="clear" w:color="auto" w:fill="D9D9D9" w:themeFill="background1" w:themeFillShade="D9"/>
            <w:hideMark/>
          </w:tcPr>
          <w:p w14:paraId="66256C71" w14:textId="77777777" w:rsidR="00AB55DD" w:rsidRDefault="00AB55DD" w:rsidP="00D02070">
            <w:pPr>
              <w:pStyle w:val="Tablebodybold"/>
            </w:pPr>
            <w:r>
              <w:t>Soil degradation</w:t>
            </w:r>
          </w:p>
        </w:tc>
        <w:tc>
          <w:tcPr>
            <w:tcW w:w="4538" w:type="dxa"/>
            <w:tcBorders>
              <w:top w:val="single" w:sz="4" w:space="0" w:color="00828D" w:themeColor="accent1"/>
              <w:left w:val="single" w:sz="4" w:space="0" w:color="00828D" w:themeColor="accent1"/>
              <w:bottom w:val="single" w:sz="4" w:space="0" w:color="00828D" w:themeColor="accent1"/>
              <w:right w:val="nil"/>
            </w:tcBorders>
            <w:shd w:val="clear" w:color="auto" w:fill="D9D9D9" w:themeFill="background1" w:themeFillShade="D9"/>
          </w:tcPr>
          <w:p w14:paraId="44BE1D64" w14:textId="77777777" w:rsidR="00AB55DD" w:rsidRDefault="00AB55DD" w:rsidP="00D02070">
            <w:pPr>
              <w:pStyle w:val="Tablebody"/>
            </w:pPr>
          </w:p>
        </w:tc>
      </w:tr>
      <w:tr w:rsidR="00AB55DD" w14:paraId="3E75627D"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0EAFFA24" w14:textId="77777777" w:rsidR="00AB55DD" w:rsidRDefault="00AB55DD" w:rsidP="00D02070">
            <w:pPr>
              <w:pStyle w:val="Tablebody"/>
            </w:pPr>
            <w:r>
              <w:t>13.04-1</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101BE65C" w14:textId="77777777" w:rsidR="00AB55DD" w:rsidRDefault="00AB55DD" w:rsidP="00D02070">
            <w:pPr>
              <w:pStyle w:val="Tablebody"/>
            </w:pPr>
            <w:r>
              <w:t>Contaminated and potentially contaminated land</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19612281" w14:textId="77777777" w:rsidR="00AB55DD" w:rsidRDefault="00AB55DD" w:rsidP="00D02070">
            <w:pPr>
              <w:pStyle w:val="Tablebody"/>
            </w:pPr>
          </w:p>
        </w:tc>
      </w:tr>
      <w:tr w:rsidR="00AB55DD" w14:paraId="6334292D"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38503505" w14:textId="77777777" w:rsidR="00AB55DD" w:rsidRDefault="00AB55DD" w:rsidP="00D02070">
            <w:pPr>
              <w:pStyle w:val="Tablebody"/>
            </w:pPr>
            <w:r>
              <w:lastRenderedPageBreak/>
              <w:t>13.04-2</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780ED1F6" w14:textId="77777777" w:rsidR="00AB55DD" w:rsidRDefault="00AB55DD" w:rsidP="00D02070">
            <w:pPr>
              <w:pStyle w:val="Tablebody"/>
            </w:pPr>
            <w:r>
              <w:t>Erosion and landslip</w:t>
            </w:r>
          </w:p>
        </w:tc>
        <w:tc>
          <w:tcPr>
            <w:tcW w:w="4538" w:type="dxa"/>
            <w:tcBorders>
              <w:top w:val="single" w:sz="4" w:space="0" w:color="00828D" w:themeColor="accent1"/>
              <w:left w:val="single" w:sz="4" w:space="0" w:color="00828D" w:themeColor="accent1"/>
              <w:bottom w:val="single" w:sz="4" w:space="0" w:color="00828D" w:themeColor="accent1"/>
              <w:right w:val="nil"/>
            </w:tcBorders>
            <w:hideMark/>
          </w:tcPr>
          <w:p w14:paraId="6B99BFB4" w14:textId="77777777" w:rsidR="00AB55DD" w:rsidRDefault="00AB55DD" w:rsidP="00A10EA3">
            <w:pPr>
              <w:pStyle w:val="Tablebullet1"/>
            </w:pPr>
            <w:r>
              <w:t>Land degradation processes – management of use and development in areas prone to landslip, erosion etc.</w:t>
            </w:r>
          </w:p>
          <w:p w14:paraId="045C479E" w14:textId="77777777" w:rsidR="00AB55DD" w:rsidRDefault="00AB55DD" w:rsidP="00A10EA3">
            <w:pPr>
              <w:pStyle w:val="Tablebullet1"/>
            </w:pPr>
            <w:r>
              <w:t>Dams – as relevant to erosion or landslip</w:t>
            </w:r>
          </w:p>
        </w:tc>
      </w:tr>
      <w:tr w:rsidR="00AB55DD" w14:paraId="18F4F74B"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631C86B3" w14:textId="77777777" w:rsidR="00AB55DD" w:rsidRDefault="00AB55DD" w:rsidP="00D02070">
            <w:pPr>
              <w:pStyle w:val="Tablebody"/>
            </w:pPr>
            <w:r>
              <w:t>13.04-3</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58687BAF" w14:textId="77777777" w:rsidR="00AB55DD" w:rsidRDefault="00AB55DD" w:rsidP="00D02070">
            <w:pPr>
              <w:pStyle w:val="Tablebody"/>
            </w:pPr>
            <w:r>
              <w:t>Salinity</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3B5DCFAD" w14:textId="77777777" w:rsidR="00AB55DD" w:rsidRDefault="00AB55DD" w:rsidP="00D02070">
            <w:pPr>
              <w:pStyle w:val="Tablebody"/>
            </w:pPr>
          </w:p>
        </w:tc>
      </w:tr>
      <w:tr w:rsidR="00AB55DD" w14:paraId="4AAF0B94"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shd w:val="clear" w:color="auto" w:fill="D9D9D9" w:themeFill="background1" w:themeFillShade="D9"/>
            <w:hideMark/>
          </w:tcPr>
          <w:p w14:paraId="08BFAAC0" w14:textId="77777777" w:rsidR="00AB55DD" w:rsidRDefault="00AB55DD" w:rsidP="00D02070">
            <w:pPr>
              <w:pStyle w:val="Tablebodybold"/>
            </w:pPr>
            <w:r>
              <w:t>13.05</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shd w:val="clear" w:color="auto" w:fill="D9D9D9" w:themeFill="background1" w:themeFillShade="D9"/>
            <w:hideMark/>
          </w:tcPr>
          <w:p w14:paraId="3C064B90" w14:textId="77777777" w:rsidR="00AB55DD" w:rsidRDefault="00AB55DD" w:rsidP="00D02070">
            <w:pPr>
              <w:pStyle w:val="Tablebodybold"/>
            </w:pPr>
            <w:r>
              <w:t>Noise</w:t>
            </w:r>
          </w:p>
        </w:tc>
        <w:tc>
          <w:tcPr>
            <w:tcW w:w="4538" w:type="dxa"/>
            <w:tcBorders>
              <w:top w:val="single" w:sz="4" w:space="0" w:color="00828D" w:themeColor="accent1"/>
              <w:left w:val="single" w:sz="4" w:space="0" w:color="00828D" w:themeColor="accent1"/>
              <w:bottom w:val="single" w:sz="4" w:space="0" w:color="00828D" w:themeColor="accent1"/>
              <w:right w:val="nil"/>
            </w:tcBorders>
            <w:shd w:val="clear" w:color="auto" w:fill="D9D9D9" w:themeFill="background1" w:themeFillShade="D9"/>
          </w:tcPr>
          <w:p w14:paraId="588D958C" w14:textId="77777777" w:rsidR="00AB55DD" w:rsidRDefault="00AB55DD" w:rsidP="00D02070">
            <w:pPr>
              <w:pStyle w:val="Tablebody"/>
            </w:pPr>
          </w:p>
        </w:tc>
      </w:tr>
      <w:tr w:rsidR="00AB55DD" w14:paraId="655B9294"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385BFFF0" w14:textId="77777777" w:rsidR="00AB55DD" w:rsidRDefault="00AB55DD" w:rsidP="00D02070">
            <w:pPr>
              <w:pStyle w:val="Tablebody"/>
            </w:pPr>
            <w:r>
              <w:t>13.05-1</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3C76657E" w14:textId="29168A86" w:rsidR="00AB55DD" w:rsidRDefault="00AB55DD" w:rsidP="00D02070">
            <w:pPr>
              <w:pStyle w:val="Tablebody"/>
            </w:pPr>
            <w:r>
              <w:t xml:space="preserve">Noise </w:t>
            </w:r>
            <w:r w:rsidR="002C741C">
              <w:t>management</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25205B4E" w14:textId="77777777" w:rsidR="00AB55DD" w:rsidRDefault="00AB55DD" w:rsidP="00D02070">
            <w:pPr>
              <w:pStyle w:val="Tablebody"/>
            </w:pPr>
            <w:r>
              <w:t>Using building design, urban design and land separation techniques to manage noise effects on sensitive land uses</w:t>
            </w:r>
          </w:p>
        </w:tc>
      </w:tr>
      <w:tr w:rsidR="00AB55DD" w14:paraId="67936EF6"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shd w:val="clear" w:color="auto" w:fill="D9D9D9" w:themeFill="background1" w:themeFillShade="D9"/>
            <w:hideMark/>
          </w:tcPr>
          <w:p w14:paraId="05133067" w14:textId="77777777" w:rsidR="00AB55DD" w:rsidRDefault="00AB55DD" w:rsidP="00D02070">
            <w:pPr>
              <w:pStyle w:val="Tablebodybold"/>
            </w:pPr>
            <w:r>
              <w:t>13.06</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shd w:val="clear" w:color="auto" w:fill="D9D9D9" w:themeFill="background1" w:themeFillShade="D9"/>
            <w:hideMark/>
          </w:tcPr>
          <w:p w14:paraId="4C34A3D4" w14:textId="77777777" w:rsidR="00AB55DD" w:rsidRDefault="00AB55DD" w:rsidP="00D02070">
            <w:pPr>
              <w:pStyle w:val="Tablebodybold"/>
            </w:pPr>
            <w:r>
              <w:t>Air quality</w:t>
            </w:r>
          </w:p>
        </w:tc>
        <w:tc>
          <w:tcPr>
            <w:tcW w:w="4538" w:type="dxa"/>
            <w:tcBorders>
              <w:top w:val="single" w:sz="4" w:space="0" w:color="00828D" w:themeColor="accent1"/>
              <w:left w:val="single" w:sz="4" w:space="0" w:color="00828D" w:themeColor="accent1"/>
              <w:bottom w:val="single" w:sz="4" w:space="0" w:color="00828D" w:themeColor="accent1"/>
              <w:right w:val="nil"/>
            </w:tcBorders>
            <w:shd w:val="clear" w:color="auto" w:fill="D9D9D9" w:themeFill="background1" w:themeFillShade="D9"/>
          </w:tcPr>
          <w:p w14:paraId="1A7DCFA3" w14:textId="77777777" w:rsidR="00AB55DD" w:rsidRDefault="00AB55DD" w:rsidP="00D02070">
            <w:pPr>
              <w:pStyle w:val="Tablebody"/>
            </w:pPr>
          </w:p>
        </w:tc>
      </w:tr>
      <w:tr w:rsidR="00AB55DD" w14:paraId="36EB8DE3"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1E14CFE7" w14:textId="77777777" w:rsidR="00AB55DD" w:rsidRDefault="00AB55DD" w:rsidP="00D02070">
            <w:pPr>
              <w:pStyle w:val="Tablebody"/>
            </w:pPr>
            <w:r>
              <w:t>13.06-1</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1F78800D" w14:textId="77777777" w:rsidR="00AB55DD" w:rsidRDefault="00AB55DD" w:rsidP="00D02070">
            <w:pPr>
              <w:pStyle w:val="Tablebody"/>
            </w:pPr>
            <w:r>
              <w:t>Air quality management</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6CD52FDD" w14:textId="77777777" w:rsidR="00AB55DD" w:rsidRDefault="00AB55DD" w:rsidP="00A10EA3">
            <w:pPr>
              <w:pStyle w:val="Tablebullet1"/>
            </w:pPr>
            <w:r>
              <w:t>Integration of land use and transport to improve air quality through reduced emissions</w:t>
            </w:r>
          </w:p>
          <w:p w14:paraId="499A1384" w14:textId="77777777" w:rsidR="00AB55DD" w:rsidRDefault="00AB55DD" w:rsidP="00A10EA3">
            <w:pPr>
              <w:pStyle w:val="Tablebullet1"/>
            </w:pPr>
            <w:r w:rsidRPr="00625DA8">
              <w:t>Separating uses that generate emissions and more sensitive uses</w:t>
            </w:r>
          </w:p>
        </w:tc>
      </w:tr>
      <w:tr w:rsidR="00AB55DD" w14:paraId="0441DE86"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shd w:val="clear" w:color="auto" w:fill="D9D9D9" w:themeFill="background1" w:themeFillShade="D9"/>
            <w:hideMark/>
          </w:tcPr>
          <w:p w14:paraId="05AF1CA1" w14:textId="77777777" w:rsidR="00AB55DD" w:rsidRDefault="00AB55DD" w:rsidP="00D02070">
            <w:pPr>
              <w:pStyle w:val="Tablebodybold"/>
            </w:pPr>
            <w:r>
              <w:t>13.07</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shd w:val="clear" w:color="auto" w:fill="D9D9D9" w:themeFill="background1" w:themeFillShade="D9"/>
            <w:hideMark/>
          </w:tcPr>
          <w:p w14:paraId="29E9F3D4" w14:textId="79B5BA8A" w:rsidR="00AB55DD" w:rsidRDefault="00AB55DD" w:rsidP="00D02070">
            <w:pPr>
              <w:pStyle w:val="Tablebodybold"/>
            </w:pPr>
            <w:r>
              <w:t>Amenity</w:t>
            </w:r>
            <w:r w:rsidR="004301F2">
              <w:t>, human health</w:t>
            </w:r>
            <w:r>
              <w:t xml:space="preserve"> and safety</w:t>
            </w:r>
          </w:p>
        </w:tc>
        <w:tc>
          <w:tcPr>
            <w:tcW w:w="4538" w:type="dxa"/>
            <w:tcBorders>
              <w:top w:val="single" w:sz="4" w:space="0" w:color="00828D" w:themeColor="accent1"/>
              <w:left w:val="single" w:sz="4" w:space="0" w:color="00828D" w:themeColor="accent1"/>
              <w:bottom w:val="single" w:sz="4" w:space="0" w:color="00828D" w:themeColor="accent1"/>
              <w:right w:val="nil"/>
            </w:tcBorders>
            <w:shd w:val="clear" w:color="auto" w:fill="D9D9D9" w:themeFill="background1" w:themeFillShade="D9"/>
          </w:tcPr>
          <w:p w14:paraId="0F3BCD5B" w14:textId="77777777" w:rsidR="00AB55DD" w:rsidRDefault="00AB55DD" w:rsidP="00D02070">
            <w:pPr>
              <w:pStyle w:val="Tablebody"/>
            </w:pPr>
          </w:p>
        </w:tc>
      </w:tr>
      <w:tr w:rsidR="00AB55DD" w14:paraId="37C8634C"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6E027293" w14:textId="77777777" w:rsidR="00AB55DD" w:rsidRDefault="00AB55DD" w:rsidP="00D02070">
            <w:pPr>
              <w:pStyle w:val="Tablebody"/>
            </w:pPr>
            <w:r>
              <w:t>13.07-1</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6EF25E92" w14:textId="77777777" w:rsidR="00AB55DD" w:rsidRDefault="00AB55DD" w:rsidP="00D02070">
            <w:pPr>
              <w:pStyle w:val="Tablebody"/>
            </w:pPr>
            <w:r>
              <w:t>Land use compatibility</w:t>
            </w:r>
          </w:p>
        </w:tc>
        <w:tc>
          <w:tcPr>
            <w:tcW w:w="4538" w:type="dxa"/>
            <w:tcBorders>
              <w:top w:val="single" w:sz="4" w:space="0" w:color="00828D" w:themeColor="accent1"/>
              <w:left w:val="single" w:sz="4" w:space="0" w:color="00828D" w:themeColor="accent1"/>
              <w:bottom w:val="single" w:sz="4" w:space="0" w:color="00828D" w:themeColor="accent1"/>
              <w:right w:val="nil"/>
            </w:tcBorders>
            <w:hideMark/>
          </w:tcPr>
          <w:p w14:paraId="6322F9E7" w14:textId="73BB4515" w:rsidR="00AB55DD" w:rsidRDefault="00AB55DD" w:rsidP="00A10EA3">
            <w:pPr>
              <w:pStyle w:val="Tablebullet1"/>
            </w:pPr>
            <w:r>
              <w:t>Amenity</w:t>
            </w:r>
            <w:r w:rsidR="004301F2">
              <w:t>, human health and safety</w:t>
            </w:r>
            <w:r>
              <w:t xml:space="preserve"> impact management</w:t>
            </w:r>
          </w:p>
          <w:p w14:paraId="0055287A" w14:textId="175A0EF9" w:rsidR="00E27189" w:rsidRDefault="00D17FCD" w:rsidP="00A10EA3">
            <w:pPr>
              <w:pStyle w:val="Tablebullet1"/>
            </w:pPr>
            <w:r>
              <w:t>Off-site impacts from commercial, industrial and other uses</w:t>
            </w:r>
          </w:p>
          <w:p w14:paraId="4FD9FE4A" w14:textId="77777777" w:rsidR="00AB55DD" w:rsidRDefault="00AB55DD" w:rsidP="00A10EA3">
            <w:pPr>
              <w:pStyle w:val="Tablebullet1"/>
            </w:pPr>
            <w:r>
              <w:t>Conflicts between uses within a zone (</w:t>
            </w:r>
            <w:proofErr w:type="gramStart"/>
            <w:r>
              <w:t>e.g.</w:t>
            </w:r>
            <w:proofErr w:type="gramEnd"/>
            <w:r>
              <w:t xml:space="preserve"> non-residential uses in residential zones or caretaker’s residences in industrial areas</w:t>
            </w:r>
          </w:p>
          <w:p w14:paraId="78FD41E2" w14:textId="77777777" w:rsidR="00AB55DD" w:rsidRDefault="00AB55DD" w:rsidP="00A10EA3">
            <w:pPr>
              <w:pStyle w:val="Tablebullet1"/>
            </w:pPr>
            <w:r>
              <w:t>Interface impacts between different zones (</w:t>
            </w:r>
            <w:proofErr w:type="gramStart"/>
            <w:r>
              <w:t>e.g.</w:t>
            </w:r>
            <w:proofErr w:type="gramEnd"/>
            <w:r>
              <w:t xml:space="preserve"> dwellings that abut an industrial zone</w:t>
            </w:r>
          </w:p>
          <w:p w14:paraId="26D5759C" w14:textId="77777777" w:rsidR="00AB55DD" w:rsidRDefault="00AB55DD" w:rsidP="00A10EA3">
            <w:pPr>
              <w:pStyle w:val="Tablebullet1"/>
            </w:pPr>
            <w:r>
              <w:t>Licensed premises – managing the amenity impacts they generate</w:t>
            </w:r>
          </w:p>
          <w:p w14:paraId="660DBAE9" w14:textId="77777777" w:rsidR="00AB55DD" w:rsidRDefault="00AB55DD" w:rsidP="00A10EA3">
            <w:pPr>
              <w:pStyle w:val="Tablebullet1"/>
            </w:pPr>
            <w:r>
              <w:t>Sexually explicit entertainment venues – managing the amenity impacts they generate</w:t>
            </w:r>
          </w:p>
        </w:tc>
      </w:tr>
      <w:tr w:rsidR="00AB55DD" w14:paraId="41EDC6CE"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tcPr>
          <w:p w14:paraId="1D962E9B" w14:textId="77777777" w:rsidR="00AB55DD" w:rsidRDefault="00AB55DD" w:rsidP="00D02070">
            <w:pPr>
              <w:pStyle w:val="Tablebody"/>
            </w:pPr>
            <w:r>
              <w:t>13.07-2</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tcPr>
          <w:p w14:paraId="2586BB8A" w14:textId="77777777" w:rsidR="00AB55DD" w:rsidRDefault="00AB55DD" w:rsidP="00D02070">
            <w:pPr>
              <w:pStyle w:val="Tablebody"/>
            </w:pPr>
            <w:r>
              <w:t>Major hazard facilities</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3CD55EB2" w14:textId="77777777" w:rsidR="00AB55DD" w:rsidRPr="00542B9F" w:rsidRDefault="00AB55DD" w:rsidP="00A10EA3">
            <w:pPr>
              <w:pStyle w:val="Tablebullet1"/>
            </w:pPr>
            <w:r w:rsidRPr="00542B9F">
              <w:t>Minimising the potential risk to humans and property from major hazard facilities</w:t>
            </w:r>
          </w:p>
          <w:p w14:paraId="609EAA07" w14:textId="345B14E4" w:rsidR="00AB55DD" w:rsidRDefault="00AB55DD" w:rsidP="00A10EA3">
            <w:pPr>
              <w:pStyle w:val="Tablebullet1"/>
            </w:pPr>
            <w:r w:rsidRPr="00542B9F">
              <w:t>Providing for the ongoing viability of major hazard facilities</w:t>
            </w:r>
          </w:p>
        </w:tc>
      </w:tr>
      <w:tr w:rsidR="000A69DD" w14:paraId="69A6B1BD" w14:textId="77777777" w:rsidTr="00AD312E">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tcPr>
          <w:p w14:paraId="3A961039" w14:textId="61FA72C0" w:rsidR="000A69DD" w:rsidRPr="005051D3" w:rsidRDefault="000A69DD" w:rsidP="00D02070">
            <w:pPr>
              <w:pStyle w:val="Tablebodybold"/>
              <w:rPr>
                <w:b w:val="0"/>
                <w:bCs/>
              </w:rPr>
            </w:pPr>
            <w:r w:rsidRPr="005051D3">
              <w:rPr>
                <w:b w:val="0"/>
                <w:bCs/>
              </w:rPr>
              <w:t>13.07-3</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tcPr>
          <w:p w14:paraId="29F9403D" w14:textId="4C187983" w:rsidR="000A69DD" w:rsidRPr="005051D3" w:rsidRDefault="000A69DD" w:rsidP="00D02070">
            <w:pPr>
              <w:pStyle w:val="Tablebodybold"/>
              <w:rPr>
                <w:b w:val="0"/>
                <w:bCs/>
              </w:rPr>
            </w:pPr>
            <w:r w:rsidRPr="005051D3">
              <w:rPr>
                <w:b w:val="0"/>
                <w:bCs/>
              </w:rPr>
              <w:t>Live Music</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5A221C5B" w14:textId="3DE2AD7E" w:rsidR="000A69DD" w:rsidRPr="005051D3" w:rsidRDefault="000A69DD" w:rsidP="00D02070">
            <w:pPr>
              <w:pStyle w:val="Tablebody"/>
              <w:rPr>
                <w:bCs/>
              </w:rPr>
            </w:pPr>
          </w:p>
        </w:tc>
      </w:tr>
      <w:tr w:rsidR="00AD312E" w14:paraId="48A16C44" w14:textId="77777777" w:rsidTr="00AD312E">
        <w:trPr>
          <w:cantSplit/>
        </w:trPr>
        <w:tc>
          <w:tcPr>
            <w:tcW w:w="1242" w:type="dxa"/>
            <w:tcBorders>
              <w:top w:val="single" w:sz="4" w:space="0" w:color="00828D" w:themeColor="accent1"/>
              <w:left w:val="nil"/>
              <w:bottom w:val="nil"/>
              <w:right w:val="nil"/>
            </w:tcBorders>
          </w:tcPr>
          <w:p w14:paraId="27533EB4" w14:textId="77777777" w:rsidR="00AD312E" w:rsidRDefault="00AD312E" w:rsidP="00D02070">
            <w:pPr>
              <w:pStyle w:val="Tablebodybold"/>
              <w:rPr>
                <w:b w:val="0"/>
                <w:bCs/>
              </w:rPr>
            </w:pPr>
          </w:p>
          <w:p w14:paraId="742735F9" w14:textId="77777777" w:rsidR="00AD312E" w:rsidRDefault="00AD312E" w:rsidP="00D02070">
            <w:pPr>
              <w:pStyle w:val="Tablebodybold"/>
              <w:rPr>
                <w:b w:val="0"/>
                <w:bCs/>
              </w:rPr>
            </w:pPr>
          </w:p>
          <w:p w14:paraId="20BBBA3C" w14:textId="77777777" w:rsidR="00AD312E" w:rsidRDefault="00AD312E" w:rsidP="00D02070">
            <w:pPr>
              <w:pStyle w:val="Tablebodybold"/>
              <w:rPr>
                <w:b w:val="0"/>
                <w:bCs/>
              </w:rPr>
            </w:pPr>
          </w:p>
          <w:p w14:paraId="534BE5F7" w14:textId="77777777" w:rsidR="00AD312E" w:rsidRPr="005051D3" w:rsidRDefault="00AD312E" w:rsidP="00D02070">
            <w:pPr>
              <w:pStyle w:val="Tablebodybold"/>
              <w:rPr>
                <w:b w:val="0"/>
                <w:bCs/>
              </w:rPr>
            </w:pPr>
          </w:p>
        </w:tc>
        <w:tc>
          <w:tcPr>
            <w:tcW w:w="3403" w:type="dxa"/>
            <w:tcBorders>
              <w:top w:val="single" w:sz="4" w:space="0" w:color="00828D" w:themeColor="accent1"/>
              <w:left w:val="nil"/>
              <w:bottom w:val="nil"/>
              <w:right w:val="nil"/>
            </w:tcBorders>
          </w:tcPr>
          <w:p w14:paraId="21C22786" w14:textId="77777777" w:rsidR="00AD312E" w:rsidRPr="005051D3" w:rsidRDefault="00AD312E" w:rsidP="00D02070">
            <w:pPr>
              <w:pStyle w:val="Tablebodybold"/>
              <w:rPr>
                <w:b w:val="0"/>
                <w:bCs/>
              </w:rPr>
            </w:pPr>
          </w:p>
        </w:tc>
        <w:tc>
          <w:tcPr>
            <w:tcW w:w="4538" w:type="dxa"/>
            <w:tcBorders>
              <w:top w:val="single" w:sz="4" w:space="0" w:color="00828D" w:themeColor="accent1"/>
              <w:left w:val="nil"/>
              <w:bottom w:val="nil"/>
              <w:right w:val="nil"/>
            </w:tcBorders>
          </w:tcPr>
          <w:p w14:paraId="30730C08" w14:textId="77777777" w:rsidR="00AD312E" w:rsidRPr="005051D3" w:rsidRDefault="00AD312E" w:rsidP="00D02070">
            <w:pPr>
              <w:pStyle w:val="Tablebody"/>
              <w:rPr>
                <w:bCs/>
              </w:rPr>
            </w:pPr>
          </w:p>
        </w:tc>
      </w:tr>
      <w:tr w:rsidR="00AB55DD" w14:paraId="026FC4AC" w14:textId="77777777" w:rsidTr="00AD312E">
        <w:trPr>
          <w:cantSplit/>
        </w:trPr>
        <w:tc>
          <w:tcPr>
            <w:tcW w:w="1242" w:type="dxa"/>
            <w:tcBorders>
              <w:top w:val="nil"/>
              <w:left w:val="nil"/>
              <w:bottom w:val="single" w:sz="4" w:space="0" w:color="00828D" w:themeColor="accent1"/>
              <w:right w:val="single" w:sz="4" w:space="0" w:color="595959" w:themeColor="text1" w:themeTint="A6"/>
            </w:tcBorders>
            <w:shd w:val="clear" w:color="auto" w:fill="595959" w:themeFill="text1" w:themeFillTint="A6"/>
            <w:hideMark/>
          </w:tcPr>
          <w:p w14:paraId="59F094C4" w14:textId="7A978820" w:rsidR="00AD312E" w:rsidRPr="00AD6B0C" w:rsidRDefault="00AD312E" w:rsidP="00AD312E">
            <w:pPr>
              <w:pStyle w:val="Tablebodybold"/>
              <w:ind w:left="0"/>
              <w:rPr>
                <w:color w:val="FFFFFF" w:themeColor="background1"/>
              </w:rPr>
            </w:pPr>
            <w:r>
              <w:rPr>
                <w:color w:val="FFFFFF" w:themeColor="background1"/>
              </w:rPr>
              <w:lastRenderedPageBreak/>
              <w:t>14</w:t>
            </w:r>
          </w:p>
        </w:tc>
        <w:tc>
          <w:tcPr>
            <w:tcW w:w="3403" w:type="dxa"/>
            <w:tcBorders>
              <w:top w:val="nil"/>
              <w:left w:val="single" w:sz="4" w:space="0" w:color="595959" w:themeColor="text1" w:themeTint="A6"/>
              <w:bottom w:val="single" w:sz="4" w:space="0" w:color="00828D" w:themeColor="accent1"/>
              <w:right w:val="single" w:sz="4" w:space="0" w:color="595959" w:themeColor="text1" w:themeTint="A6"/>
            </w:tcBorders>
            <w:shd w:val="clear" w:color="auto" w:fill="595959" w:themeFill="text1" w:themeFillTint="A6"/>
            <w:hideMark/>
          </w:tcPr>
          <w:p w14:paraId="7D880B6D" w14:textId="77777777" w:rsidR="00AB55DD" w:rsidRPr="00AD6B0C" w:rsidRDefault="00AB55DD" w:rsidP="00D02070">
            <w:pPr>
              <w:pStyle w:val="Tablebodybold"/>
              <w:rPr>
                <w:color w:val="FFFFFF" w:themeColor="background1"/>
              </w:rPr>
            </w:pPr>
            <w:r w:rsidRPr="00AD6B0C">
              <w:rPr>
                <w:color w:val="FFFFFF" w:themeColor="background1"/>
              </w:rPr>
              <w:t>NATURAL RESOURCE MANAGEMENT</w:t>
            </w:r>
          </w:p>
        </w:tc>
        <w:tc>
          <w:tcPr>
            <w:tcW w:w="4538" w:type="dxa"/>
            <w:tcBorders>
              <w:top w:val="nil"/>
              <w:left w:val="single" w:sz="4" w:space="0" w:color="595959" w:themeColor="text1" w:themeTint="A6"/>
              <w:bottom w:val="single" w:sz="4" w:space="0" w:color="00828D" w:themeColor="accent1"/>
              <w:right w:val="nil"/>
            </w:tcBorders>
            <w:shd w:val="clear" w:color="auto" w:fill="595959" w:themeFill="text1" w:themeFillTint="A6"/>
          </w:tcPr>
          <w:p w14:paraId="672B47D6" w14:textId="77777777" w:rsidR="00AB55DD" w:rsidRPr="00AD6B0C" w:rsidRDefault="00AB55DD" w:rsidP="00D02070">
            <w:pPr>
              <w:pStyle w:val="Tablebody"/>
              <w:rPr>
                <w:color w:val="FFFFFF" w:themeColor="background1"/>
              </w:rPr>
            </w:pPr>
          </w:p>
        </w:tc>
      </w:tr>
      <w:tr w:rsidR="00AB55DD" w14:paraId="06AEF304"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shd w:val="clear" w:color="auto" w:fill="D9D9D9" w:themeFill="background1" w:themeFillShade="D9"/>
            <w:hideMark/>
          </w:tcPr>
          <w:p w14:paraId="14D8AB7E" w14:textId="77777777" w:rsidR="00AB55DD" w:rsidRDefault="00AB55DD" w:rsidP="00D02070">
            <w:pPr>
              <w:pStyle w:val="Tablebodybold"/>
            </w:pPr>
            <w:r>
              <w:t>14.01</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shd w:val="clear" w:color="auto" w:fill="D9D9D9" w:themeFill="background1" w:themeFillShade="D9"/>
            <w:hideMark/>
          </w:tcPr>
          <w:p w14:paraId="5737AC4F" w14:textId="77777777" w:rsidR="00AB55DD" w:rsidRDefault="00AB55DD" w:rsidP="00D02070">
            <w:pPr>
              <w:pStyle w:val="Tablebodybold"/>
            </w:pPr>
            <w:r>
              <w:t>Agriculture</w:t>
            </w:r>
          </w:p>
        </w:tc>
        <w:tc>
          <w:tcPr>
            <w:tcW w:w="4538" w:type="dxa"/>
            <w:tcBorders>
              <w:top w:val="single" w:sz="4" w:space="0" w:color="00828D" w:themeColor="accent1"/>
              <w:left w:val="single" w:sz="4" w:space="0" w:color="00828D" w:themeColor="accent1"/>
              <w:bottom w:val="single" w:sz="4" w:space="0" w:color="00828D" w:themeColor="accent1"/>
              <w:right w:val="nil"/>
            </w:tcBorders>
            <w:shd w:val="clear" w:color="auto" w:fill="D9D9D9" w:themeFill="background1" w:themeFillShade="D9"/>
          </w:tcPr>
          <w:p w14:paraId="0DDA31A3" w14:textId="77777777" w:rsidR="00AB55DD" w:rsidRDefault="00AB55DD" w:rsidP="00D02070">
            <w:pPr>
              <w:pStyle w:val="Tablebody"/>
            </w:pPr>
          </w:p>
        </w:tc>
      </w:tr>
      <w:tr w:rsidR="00AB55DD" w14:paraId="3EF567C7"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00AD87CB" w14:textId="77777777" w:rsidR="00AB55DD" w:rsidRDefault="00AB55DD" w:rsidP="00D02070">
            <w:pPr>
              <w:pStyle w:val="Tablebody"/>
            </w:pPr>
            <w:r>
              <w:t>14.01-1</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1C3F3816" w14:textId="77777777" w:rsidR="00AB55DD" w:rsidRDefault="00AB55DD" w:rsidP="00D02070">
            <w:pPr>
              <w:pStyle w:val="Tablebody"/>
            </w:pPr>
            <w:r>
              <w:t>Protection of agricultural land</w:t>
            </w:r>
          </w:p>
        </w:tc>
        <w:tc>
          <w:tcPr>
            <w:tcW w:w="4538" w:type="dxa"/>
            <w:tcBorders>
              <w:top w:val="single" w:sz="4" w:space="0" w:color="00828D" w:themeColor="accent1"/>
              <w:left w:val="single" w:sz="4" w:space="0" w:color="00828D" w:themeColor="accent1"/>
              <w:bottom w:val="single" w:sz="4" w:space="0" w:color="00828D" w:themeColor="accent1"/>
              <w:right w:val="nil"/>
            </w:tcBorders>
            <w:hideMark/>
          </w:tcPr>
          <w:p w14:paraId="40576674" w14:textId="77777777" w:rsidR="00AB55DD" w:rsidRDefault="00AB55DD" w:rsidP="00A10EA3">
            <w:pPr>
              <w:pStyle w:val="Tablebullet1"/>
            </w:pPr>
            <w:r>
              <w:t>Protection of productive agricultural land</w:t>
            </w:r>
          </w:p>
          <w:p w14:paraId="740259E6" w14:textId="77777777" w:rsidR="00AB55DD" w:rsidRDefault="00AB55DD" w:rsidP="00A10EA3">
            <w:pPr>
              <w:pStyle w:val="Tablebullet1"/>
            </w:pPr>
            <w:r>
              <w:t>Criteria for the assessment of non-agricultural uses in farming zones</w:t>
            </w:r>
          </w:p>
          <w:p w14:paraId="193FC857" w14:textId="77777777" w:rsidR="00AB55DD" w:rsidRDefault="00AB55DD" w:rsidP="00A10EA3">
            <w:pPr>
              <w:pStyle w:val="Tablebullet1"/>
            </w:pPr>
            <w:r>
              <w:t>Housing in agricultural zones: excisions, development, subdivisions (excludes rural residential development)</w:t>
            </w:r>
          </w:p>
        </w:tc>
      </w:tr>
      <w:tr w:rsidR="00AB55DD" w14:paraId="42BEFCDB"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679B23A5" w14:textId="77777777" w:rsidR="00AB55DD" w:rsidRDefault="00AB55DD" w:rsidP="00D02070">
            <w:pPr>
              <w:pStyle w:val="Tablebody"/>
            </w:pPr>
            <w:r>
              <w:t>14.01-2</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45B34F6D" w14:textId="77777777" w:rsidR="00AB55DD" w:rsidRDefault="00AB55DD" w:rsidP="00D02070">
            <w:pPr>
              <w:pStyle w:val="Tablebody"/>
            </w:pPr>
            <w:r>
              <w:t>Sustainable agricultural land use</w:t>
            </w:r>
          </w:p>
        </w:tc>
        <w:tc>
          <w:tcPr>
            <w:tcW w:w="4538" w:type="dxa"/>
            <w:tcBorders>
              <w:top w:val="single" w:sz="4" w:space="0" w:color="00828D" w:themeColor="accent1"/>
              <w:left w:val="single" w:sz="4" w:space="0" w:color="00828D" w:themeColor="accent1"/>
              <w:bottom w:val="single" w:sz="4" w:space="0" w:color="00828D" w:themeColor="accent1"/>
              <w:right w:val="nil"/>
            </w:tcBorders>
            <w:hideMark/>
          </w:tcPr>
          <w:p w14:paraId="0AFAE450" w14:textId="77777777" w:rsidR="00AB55DD" w:rsidRDefault="00AB55DD" w:rsidP="00A10EA3">
            <w:pPr>
              <w:pStyle w:val="Tablebullet1"/>
            </w:pPr>
            <w:r>
              <w:t>Animal husbandry and other animal industries including animal keeping, training, breeding</w:t>
            </w:r>
          </w:p>
          <w:p w14:paraId="56159120" w14:textId="73900652" w:rsidR="00AB55DD" w:rsidRDefault="00AB55DD" w:rsidP="00A10EA3">
            <w:pPr>
              <w:pStyle w:val="Tablebullet1"/>
            </w:pPr>
            <w:r>
              <w:t>Horticulture</w:t>
            </w:r>
          </w:p>
          <w:p w14:paraId="146D5E15" w14:textId="77777777" w:rsidR="00AB55DD" w:rsidRDefault="00AB55DD" w:rsidP="00A10EA3">
            <w:pPr>
              <w:pStyle w:val="Tablebullet1"/>
            </w:pPr>
            <w:r>
              <w:t>Sustainable management of ongoing agricultural land use</w:t>
            </w:r>
          </w:p>
        </w:tc>
      </w:tr>
      <w:tr w:rsidR="00AB55DD" w14:paraId="28ED33AC"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33F7445C" w14:textId="77777777" w:rsidR="00AB55DD" w:rsidRDefault="00AB55DD" w:rsidP="00D02070">
            <w:pPr>
              <w:pStyle w:val="Tablebody"/>
            </w:pPr>
            <w:r>
              <w:t>14.01-3</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30065F5B" w14:textId="77777777" w:rsidR="00AB55DD" w:rsidRDefault="00AB55DD" w:rsidP="00D02070">
            <w:pPr>
              <w:pStyle w:val="Tablebody"/>
            </w:pPr>
            <w:r>
              <w:t>Forestry and timber production</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7F84E90A" w14:textId="77777777" w:rsidR="00AB55DD" w:rsidRDefault="00AB55DD" w:rsidP="002E55BC">
            <w:pPr>
              <w:pStyle w:val="BodyText1"/>
            </w:pPr>
          </w:p>
        </w:tc>
      </w:tr>
      <w:tr w:rsidR="00AB55DD" w14:paraId="2D345EAD"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shd w:val="clear" w:color="auto" w:fill="D9D9D9" w:themeFill="background1" w:themeFillShade="D9"/>
            <w:hideMark/>
          </w:tcPr>
          <w:p w14:paraId="2EE41DE2" w14:textId="77777777" w:rsidR="00AB55DD" w:rsidRDefault="00AB55DD" w:rsidP="00D02070">
            <w:pPr>
              <w:pStyle w:val="Tablebodybold"/>
            </w:pPr>
            <w:r>
              <w:t>14.02</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shd w:val="clear" w:color="auto" w:fill="D9D9D9" w:themeFill="background1" w:themeFillShade="D9"/>
            <w:hideMark/>
          </w:tcPr>
          <w:p w14:paraId="005B3D20" w14:textId="77777777" w:rsidR="00AB55DD" w:rsidRDefault="00AB55DD" w:rsidP="00D02070">
            <w:pPr>
              <w:pStyle w:val="Tablebodybold"/>
            </w:pPr>
            <w:r>
              <w:t>Water</w:t>
            </w:r>
          </w:p>
        </w:tc>
        <w:tc>
          <w:tcPr>
            <w:tcW w:w="4538" w:type="dxa"/>
            <w:tcBorders>
              <w:top w:val="single" w:sz="4" w:space="0" w:color="00828D" w:themeColor="accent1"/>
              <w:left w:val="single" w:sz="4" w:space="0" w:color="00828D" w:themeColor="accent1"/>
              <w:bottom w:val="single" w:sz="4" w:space="0" w:color="00828D" w:themeColor="accent1"/>
              <w:right w:val="nil"/>
            </w:tcBorders>
            <w:shd w:val="clear" w:color="auto" w:fill="D9D9D9" w:themeFill="background1" w:themeFillShade="D9"/>
          </w:tcPr>
          <w:p w14:paraId="474495D1" w14:textId="77777777" w:rsidR="00AB55DD" w:rsidRDefault="00AB55DD" w:rsidP="002E55BC">
            <w:pPr>
              <w:pStyle w:val="BodyText1"/>
            </w:pPr>
          </w:p>
        </w:tc>
      </w:tr>
      <w:tr w:rsidR="00AB55DD" w14:paraId="2078FF69"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4D20DC5A" w14:textId="77777777" w:rsidR="00AB55DD" w:rsidRDefault="00AB55DD" w:rsidP="00D02070">
            <w:pPr>
              <w:pStyle w:val="Tablebody"/>
            </w:pPr>
            <w:r>
              <w:t>14.02-1</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00B249CE" w14:textId="77777777" w:rsidR="00AB55DD" w:rsidRDefault="00AB55DD" w:rsidP="00D02070">
            <w:pPr>
              <w:pStyle w:val="Tablebody"/>
            </w:pPr>
            <w:r>
              <w:t>Catchment planning and management</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52C626E5" w14:textId="77777777" w:rsidR="00AB55DD" w:rsidRDefault="00AB55DD" w:rsidP="00A10EA3">
            <w:pPr>
              <w:pStyle w:val="Tablebullet1"/>
            </w:pPr>
            <w:r>
              <w:t>Protecting and restoring the natural function of catchments</w:t>
            </w:r>
          </w:p>
          <w:p w14:paraId="16CF0ED7" w14:textId="77777777" w:rsidR="00AB55DD" w:rsidRDefault="00AB55DD" w:rsidP="00A10EA3">
            <w:pPr>
              <w:pStyle w:val="Tablebullet1"/>
            </w:pPr>
            <w:r>
              <w:t>Managing impacts on downstream water quality including from development</w:t>
            </w:r>
          </w:p>
        </w:tc>
      </w:tr>
      <w:tr w:rsidR="00AB55DD" w14:paraId="7F3C43CE"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5CEB268D" w14:textId="77777777" w:rsidR="00AB55DD" w:rsidRDefault="00AB55DD" w:rsidP="00D02070">
            <w:pPr>
              <w:pStyle w:val="Tablebody"/>
            </w:pPr>
            <w:r>
              <w:t>14.02-2</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4432CD08" w14:textId="77777777" w:rsidR="00AB55DD" w:rsidRDefault="00AB55DD" w:rsidP="00D02070">
            <w:pPr>
              <w:pStyle w:val="Tablebody"/>
            </w:pPr>
            <w:r>
              <w:t>Water quality</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6BF095A1" w14:textId="77777777" w:rsidR="00AB55DD" w:rsidRDefault="00AB55DD" w:rsidP="00A10EA3">
            <w:pPr>
              <w:pStyle w:val="Tablebullet1"/>
            </w:pPr>
            <w:r>
              <w:t>Protecting surface and ground water quality</w:t>
            </w:r>
          </w:p>
          <w:p w14:paraId="07A926A5" w14:textId="77777777" w:rsidR="00AB55DD" w:rsidRDefault="00AB55DD" w:rsidP="00A10EA3">
            <w:pPr>
              <w:pStyle w:val="Tablebullet1"/>
            </w:pPr>
            <w:r>
              <w:t>Managing land use and development to protect impacts on downstream water quality or flow</w:t>
            </w:r>
          </w:p>
        </w:tc>
      </w:tr>
      <w:tr w:rsidR="0003676E" w14:paraId="3712658F"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tcPr>
          <w:p w14:paraId="09C83EA1" w14:textId="770C6EBE" w:rsidR="0003676E" w:rsidRDefault="000678EE" w:rsidP="00D02070">
            <w:pPr>
              <w:pStyle w:val="Tablebody"/>
            </w:pPr>
            <w:r w:rsidRPr="00897181">
              <w:t>14.02-3</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tcPr>
          <w:p w14:paraId="62175D8F" w14:textId="431A2E2F" w:rsidR="0003676E" w:rsidRDefault="00CE3B1F" w:rsidP="00D02070">
            <w:pPr>
              <w:pStyle w:val="Tablebody"/>
            </w:pPr>
            <w:r>
              <w:t>Protection of declared irrigation districts</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356D2432" w14:textId="77777777" w:rsidR="0003676E" w:rsidRDefault="0003676E" w:rsidP="00817187">
            <w:pPr>
              <w:pStyle w:val="Tablebullet1"/>
              <w:numPr>
                <w:ilvl w:val="0"/>
                <w:numId w:val="0"/>
              </w:numPr>
              <w:ind w:left="227"/>
            </w:pPr>
          </w:p>
        </w:tc>
      </w:tr>
      <w:tr w:rsidR="00AB55DD" w14:paraId="2A33EB2A"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shd w:val="clear" w:color="auto" w:fill="D9D9D9" w:themeFill="background1" w:themeFillShade="D9"/>
            <w:hideMark/>
          </w:tcPr>
          <w:p w14:paraId="46023B0F" w14:textId="77777777" w:rsidR="00AB55DD" w:rsidRDefault="00AB55DD" w:rsidP="00D02070">
            <w:pPr>
              <w:pStyle w:val="Tablebodybold"/>
            </w:pPr>
            <w:r>
              <w:t>14.03</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shd w:val="clear" w:color="auto" w:fill="D9D9D9" w:themeFill="background1" w:themeFillShade="D9"/>
            <w:hideMark/>
          </w:tcPr>
          <w:p w14:paraId="5EA086CA" w14:textId="77777777" w:rsidR="00AB55DD" w:rsidRDefault="00AB55DD" w:rsidP="00D02070">
            <w:pPr>
              <w:pStyle w:val="Tablebodybold"/>
            </w:pPr>
            <w:r>
              <w:t>Earth and energy resources</w:t>
            </w:r>
          </w:p>
        </w:tc>
        <w:tc>
          <w:tcPr>
            <w:tcW w:w="4538" w:type="dxa"/>
            <w:tcBorders>
              <w:top w:val="single" w:sz="4" w:space="0" w:color="00828D" w:themeColor="accent1"/>
              <w:left w:val="single" w:sz="4" w:space="0" w:color="00828D" w:themeColor="accent1"/>
              <w:bottom w:val="single" w:sz="4" w:space="0" w:color="00828D" w:themeColor="accent1"/>
              <w:right w:val="nil"/>
            </w:tcBorders>
            <w:shd w:val="clear" w:color="auto" w:fill="D9D9D9" w:themeFill="background1" w:themeFillShade="D9"/>
          </w:tcPr>
          <w:p w14:paraId="4F5FD324" w14:textId="77777777" w:rsidR="00AB55DD" w:rsidRDefault="00AB55DD" w:rsidP="00D02070">
            <w:pPr>
              <w:pStyle w:val="Tablebody"/>
            </w:pPr>
          </w:p>
        </w:tc>
      </w:tr>
      <w:tr w:rsidR="00AB55DD" w14:paraId="010F7463"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24D170FE" w14:textId="77777777" w:rsidR="00AB55DD" w:rsidRDefault="00AB55DD" w:rsidP="00D02070">
            <w:pPr>
              <w:pStyle w:val="Tablebody"/>
            </w:pPr>
            <w:r>
              <w:t>14.03-1</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11E885BC" w14:textId="77777777" w:rsidR="00AB55DD" w:rsidRDefault="00AB55DD" w:rsidP="00D02070">
            <w:pPr>
              <w:pStyle w:val="Tablebody"/>
            </w:pPr>
            <w:r>
              <w:t>Resource exploration and extraction</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205F3F63" w14:textId="77777777" w:rsidR="00AB55DD" w:rsidRDefault="00AB55DD" w:rsidP="00D02070">
            <w:pPr>
              <w:pStyle w:val="Tablebody"/>
            </w:pPr>
          </w:p>
        </w:tc>
      </w:tr>
      <w:tr w:rsidR="00AB55DD" w14:paraId="517E4747" w14:textId="77777777" w:rsidTr="00542C3C">
        <w:trPr>
          <w:cantSplit/>
        </w:trPr>
        <w:tc>
          <w:tcPr>
            <w:tcW w:w="1242" w:type="dxa"/>
            <w:tcBorders>
              <w:top w:val="single" w:sz="4" w:space="0" w:color="00828D" w:themeColor="accent1"/>
              <w:left w:val="nil"/>
              <w:bottom w:val="single" w:sz="4" w:space="0" w:color="00828D" w:themeColor="accent1"/>
              <w:right w:val="single" w:sz="4" w:space="0" w:color="595959" w:themeColor="text1" w:themeTint="A6"/>
            </w:tcBorders>
            <w:shd w:val="clear" w:color="auto" w:fill="595959" w:themeFill="text1" w:themeFillTint="A6"/>
            <w:hideMark/>
          </w:tcPr>
          <w:p w14:paraId="48F0AF04" w14:textId="77777777" w:rsidR="00AB55DD" w:rsidRPr="00AD6B0C" w:rsidRDefault="00AB55DD" w:rsidP="00D02070">
            <w:pPr>
              <w:pStyle w:val="Tablebodybold"/>
              <w:rPr>
                <w:color w:val="FFFFFF" w:themeColor="background1"/>
              </w:rPr>
            </w:pPr>
            <w:r w:rsidRPr="00AD6B0C">
              <w:rPr>
                <w:color w:val="FFFFFF" w:themeColor="background1"/>
              </w:rPr>
              <w:t>15</w:t>
            </w:r>
          </w:p>
        </w:tc>
        <w:tc>
          <w:tcPr>
            <w:tcW w:w="3403" w:type="dxa"/>
            <w:tcBorders>
              <w:top w:val="single" w:sz="4" w:space="0" w:color="00828D" w:themeColor="accent1"/>
              <w:left w:val="single" w:sz="4" w:space="0" w:color="595959" w:themeColor="text1" w:themeTint="A6"/>
              <w:bottom w:val="single" w:sz="4" w:space="0" w:color="00828D" w:themeColor="accent1"/>
              <w:right w:val="single" w:sz="4" w:space="0" w:color="595959" w:themeColor="text1" w:themeTint="A6"/>
            </w:tcBorders>
            <w:shd w:val="clear" w:color="auto" w:fill="595959" w:themeFill="text1" w:themeFillTint="A6"/>
            <w:hideMark/>
          </w:tcPr>
          <w:p w14:paraId="5476F702" w14:textId="77777777" w:rsidR="00AB55DD" w:rsidRPr="00AD6B0C" w:rsidRDefault="00AB55DD" w:rsidP="00D02070">
            <w:pPr>
              <w:pStyle w:val="Tablebodybold"/>
              <w:rPr>
                <w:color w:val="FFFFFF" w:themeColor="background1"/>
              </w:rPr>
            </w:pPr>
            <w:r w:rsidRPr="00AD6B0C">
              <w:rPr>
                <w:color w:val="FFFFFF" w:themeColor="background1"/>
              </w:rPr>
              <w:t>BUILT ENVIRONMENT AND HERITAGE</w:t>
            </w:r>
          </w:p>
        </w:tc>
        <w:tc>
          <w:tcPr>
            <w:tcW w:w="4538" w:type="dxa"/>
            <w:tcBorders>
              <w:top w:val="single" w:sz="4" w:space="0" w:color="00828D" w:themeColor="accent1"/>
              <w:left w:val="single" w:sz="4" w:space="0" w:color="595959" w:themeColor="text1" w:themeTint="A6"/>
              <w:bottom w:val="single" w:sz="4" w:space="0" w:color="00828D" w:themeColor="accent1"/>
              <w:right w:val="nil"/>
            </w:tcBorders>
            <w:shd w:val="clear" w:color="auto" w:fill="595959" w:themeFill="text1" w:themeFillTint="A6"/>
          </w:tcPr>
          <w:p w14:paraId="72EEE2C3" w14:textId="77777777" w:rsidR="00AB55DD" w:rsidRPr="00AD6B0C" w:rsidRDefault="00AB55DD" w:rsidP="00D02070">
            <w:pPr>
              <w:pStyle w:val="Tablebody"/>
              <w:rPr>
                <w:color w:val="FFFFFF" w:themeColor="background1"/>
              </w:rPr>
            </w:pPr>
          </w:p>
        </w:tc>
      </w:tr>
      <w:tr w:rsidR="00AB55DD" w14:paraId="60B9D2E4"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shd w:val="clear" w:color="auto" w:fill="D9D9D9" w:themeFill="background1" w:themeFillShade="D9"/>
            <w:hideMark/>
          </w:tcPr>
          <w:p w14:paraId="7481531E" w14:textId="77777777" w:rsidR="00AB55DD" w:rsidRDefault="00AB55DD" w:rsidP="00D02070">
            <w:pPr>
              <w:pStyle w:val="Tablebodybold"/>
            </w:pPr>
            <w:r>
              <w:t>15.01</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shd w:val="clear" w:color="auto" w:fill="D9D9D9" w:themeFill="background1" w:themeFillShade="D9"/>
            <w:hideMark/>
          </w:tcPr>
          <w:p w14:paraId="205EAE6C" w14:textId="77777777" w:rsidR="00AB55DD" w:rsidRDefault="00AB55DD" w:rsidP="00D02070">
            <w:pPr>
              <w:pStyle w:val="Tablebodybold"/>
            </w:pPr>
            <w:r>
              <w:t>Built environment</w:t>
            </w:r>
          </w:p>
        </w:tc>
        <w:tc>
          <w:tcPr>
            <w:tcW w:w="4538" w:type="dxa"/>
            <w:tcBorders>
              <w:top w:val="single" w:sz="4" w:space="0" w:color="00828D" w:themeColor="accent1"/>
              <w:left w:val="single" w:sz="4" w:space="0" w:color="00828D" w:themeColor="accent1"/>
              <w:bottom w:val="single" w:sz="4" w:space="0" w:color="00828D" w:themeColor="accent1"/>
              <w:right w:val="nil"/>
            </w:tcBorders>
            <w:shd w:val="clear" w:color="auto" w:fill="D9D9D9" w:themeFill="background1" w:themeFillShade="D9"/>
          </w:tcPr>
          <w:p w14:paraId="6B5616E9" w14:textId="77777777" w:rsidR="00AB55DD" w:rsidRDefault="00AB55DD" w:rsidP="00D02070">
            <w:pPr>
              <w:pStyle w:val="Tablebody"/>
            </w:pPr>
          </w:p>
        </w:tc>
      </w:tr>
      <w:tr w:rsidR="00AB55DD" w14:paraId="7D2CFD0C"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53DC648C" w14:textId="77777777" w:rsidR="00AB55DD" w:rsidRDefault="00AB55DD" w:rsidP="00D02070">
            <w:pPr>
              <w:pStyle w:val="Tablebody"/>
            </w:pPr>
            <w:r>
              <w:t>15.01-1</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490A2208" w14:textId="77777777" w:rsidR="00AB55DD" w:rsidRDefault="00AB55DD" w:rsidP="00D02070">
            <w:pPr>
              <w:pStyle w:val="Tablebody"/>
            </w:pPr>
            <w:r>
              <w:t>Urban design</w:t>
            </w:r>
          </w:p>
        </w:tc>
        <w:tc>
          <w:tcPr>
            <w:tcW w:w="4538" w:type="dxa"/>
            <w:tcBorders>
              <w:top w:val="single" w:sz="4" w:space="0" w:color="00828D" w:themeColor="accent1"/>
              <w:left w:val="single" w:sz="4" w:space="0" w:color="00828D" w:themeColor="accent1"/>
              <w:bottom w:val="single" w:sz="4" w:space="0" w:color="00828D" w:themeColor="accent1"/>
              <w:right w:val="nil"/>
            </w:tcBorders>
            <w:hideMark/>
          </w:tcPr>
          <w:p w14:paraId="24C85836" w14:textId="77777777" w:rsidR="00AB55DD" w:rsidRDefault="00AB55DD" w:rsidP="00A10EA3">
            <w:pPr>
              <w:pStyle w:val="Tablebullet1"/>
            </w:pPr>
            <w:r w:rsidRPr="004310DF">
              <w:t>Urban design</w:t>
            </w:r>
          </w:p>
          <w:p w14:paraId="34ECD826" w14:textId="32CEFD1A" w:rsidR="00AB55DD" w:rsidRDefault="00AB55DD" w:rsidP="00A10EA3">
            <w:pPr>
              <w:pStyle w:val="Tablebullet1"/>
            </w:pPr>
            <w:r>
              <w:t xml:space="preserve">Signs – placement, appearance and treatment of different types of signs (except signs along a transport route </w:t>
            </w:r>
            <w:r w:rsidR="002D74CE">
              <w:t xml:space="preserve">that forms part of the transport system </w:t>
            </w:r>
            <w:r>
              <w:t xml:space="preserve">such as Eastlink or the Metropolitan Ring Road, which belong under </w:t>
            </w:r>
            <w:r w:rsidR="001F616D" w:rsidRPr="00B00B76">
              <w:t>c</w:t>
            </w:r>
            <w:r w:rsidRPr="00B00B76">
              <w:t>lause 18.02-3</w:t>
            </w:r>
            <w:r w:rsidRPr="000202D0">
              <w:rPr>
                <w:b/>
                <w:bCs/>
              </w:rPr>
              <w:t xml:space="preserve"> </w:t>
            </w:r>
            <w:r w:rsidR="004401FC" w:rsidRPr="004401FC">
              <w:t>(</w:t>
            </w:r>
            <w:r w:rsidRPr="004401FC">
              <w:t>Road system</w:t>
            </w:r>
            <w:r>
              <w:t>)</w:t>
            </w:r>
          </w:p>
        </w:tc>
      </w:tr>
      <w:tr w:rsidR="00AB55DD" w14:paraId="42EE76B7"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41F4ADFF" w14:textId="77777777" w:rsidR="00AB55DD" w:rsidRDefault="00AB55DD" w:rsidP="00D02070">
            <w:pPr>
              <w:pStyle w:val="Tablebody"/>
            </w:pPr>
            <w:r>
              <w:lastRenderedPageBreak/>
              <w:t>15.01-2</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62C3D432" w14:textId="77777777" w:rsidR="00AB55DD" w:rsidRDefault="00AB55DD" w:rsidP="00D02070">
            <w:pPr>
              <w:pStyle w:val="Tablebody"/>
            </w:pPr>
            <w:r>
              <w:t>Building design</w:t>
            </w:r>
          </w:p>
        </w:tc>
        <w:tc>
          <w:tcPr>
            <w:tcW w:w="4538" w:type="dxa"/>
            <w:tcBorders>
              <w:top w:val="single" w:sz="4" w:space="0" w:color="00828D" w:themeColor="accent1"/>
              <w:left w:val="single" w:sz="4" w:space="0" w:color="00828D" w:themeColor="accent1"/>
              <w:bottom w:val="single" w:sz="4" w:space="0" w:color="00828D" w:themeColor="accent1"/>
              <w:right w:val="nil"/>
            </w:tcBorders>
            <w:hideMark/>
          </w:tcPr>
          <w:p w14:paraId="0DB063B9" w14:textId="77777777" w:rsidR="00AB55DD" w:rsidRDefault="00AB55DD" w:rsidP="00D02070">
            <w:pPr>
              <w:pStyle w:val="Tablebody"/>
            </w:pPr>
            <w:r>
              <w:t xml:space="preserve">Building design </w:t>
            </w:r>
            <w:proofErr w:type="gramStart"/>
            <w:r>
              <w:t>including:</w:t>
            </w:r>
            <w:proofErr w:type="gramEnd"/>
            <w:r>
              <w:t xml:space="preserve"> residential, commercial and industrial</w:t>
            </w:r>
          </w:p>
        </w:tc>
      </w:tr>
      <w:tr w:rsidR="00AB55DD" w14:paraId="6AAB2440"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514D2166" w14:textId="77777777" w:rsidR="00AB55DD" w:rsidRDefault="00AB55DD" w:rsidP="00D02070">
            <w:pPr>
              <w:pStyle w:val="Tablebody"/>
            </w:pPr>
            <w:r>
              <w:t>15.01-3</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17071482" w14:textId="77777777" w:rsidR="00AB55DD" w:rsidRDefault="00AB55DD" w:rsidP="00D02070">
            <w:pPr>
              <w:pStyle w:val="Tablebody"/>
            </w:pPr>
            <w:r>
              <w:t>Subdivision design</w:t>
            </w:r>
          </w:p>
        </w:tc>
        <w:tc>
          <w:tcPr>
            <w:tcW w:w="4538" w:type="dxa"/>
            <w:tcBorders>
              <w:top w:val="single" w:sz="4" w:space="0" w:color="00828D" w:themeColor="accent1"/>
              <w:left w:val="single" w:sz="4" w:space="0" w:color="00828D" w:themeColor="accent1"/>
              <w:bottom w:val="single" w:sz="4" w:space="0" w:color="00828D" w:themeColor="accent1"/>
              <w:right w:val="nil"/>
            </w:tcBorders>
            <w:hideMark/>
          </w:tcPr>
          <w:p w14:paraId="05AA7986" w14:textId="77777777" w:rsidR="00AB55DD" w:rsidRDefault="00AB55DD" w:rsidP="0065027F">
            <w:pPr>
              <w:pStyle w:val="Tablebullet1"/>
            </w:pPr>
            <w:r>
              <w:t>Neighbourhood design</w:t>
            </w:r>
          </w:p>
          <w:p w14:paraId="7804C94A" w14:textId="49D08F1C" w:rsidR="00AB55DD" w:rsidRDefault="00AB55DD" w:rsidP="0065027F">
            <w:pPr>
              <w:pStyle w:val="Tablebullet1"/>
            </w:pPr>
            <w:r>
              <w:t xml:space="preserve">Subdivision design – particularly those covered by </w:t>
            </w:r>
            <w:r w:rsidR="001F616D" w:rsidRPr="00B00B76">
              <w:t>c</w:t>
            </w:r>
            <w:r w:rsidRPr="00B00B76">
              <w:t>lause 56</w:t>
            </w:r>
          </w:p>
        </w:tc>
      </w:tr>
      <w:tr w:rsidR="00AB55DD" w14:paraId="249E774F"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429A9B91" w14:textId="77777777" w:rsidR="00AB55DD" w:rsidRDefault="00AB55DD" w:rsidP="00D02070">
            <w:pPr>
              <w:pStyle w:val="Tablebody"/>
            </w:pPr>
            <w:r>
              <w:t>15.01-4</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404EEE3B" w14:textId="77777777" w:rsidR="00AB55DD" w:rsidRDefault="00AB55DD" w:rsidP="00D02070">
            <w:pPr>
              <w:pStyle w:val="Tablebody"/>
            </w:pPr>
            <w:r>
              <w:t>Healthy neighbourhoods</w:t>
            </w:r>
          </w:p>
        </w:tc>
        <w:tc>
          <w:tcPr>
            <w:tcW w:w="4538" w:type="dxa"/>
            <w:tcBorders>
              <w:top w:val="single" w:sz="4" w:space="0" w:color="00828D" w:themeColor="accent1"/>
              <w:left w:val="single" w:sz="4" w:space="0" w:color="00828D" w:themeColor="accent1"/>
              <w:bottom w:val="single" w:sz="4" w:space="0" w:color="00828D" w:themeColor="accent1"/>
              <w:right w:val="nil"/>
            </w:tcBorders>
            <w:hideMark/>
          </w:tcPr>
          <w:p w14:paraId="2F161E22" w14:textId="77777777" w:rsidR="00AB55DD" w:rsidRDefault="00AB55DD" w:rsidP="0065027F">
            <w:pPr>
              <w:pStyle w:val="Tablebody"/>
            </w:pPr>
            <w:r>
              <w:t>Designing a physical environment that supports:</w:t>
            </w:r>
          </w:p>
          <w:p w14:paraId="7E8EC9E0" w14:textId="77777777" w:rsidR="00AB55DD" w:rsidRDefault="00AB55DD" w:rsidP="0065027F">
            <w:pPr>
              <w:pStyle w:val="Tablebullet1"/>
            </w:pPr>
            <w:r>
              <w:t>community interaction</w:t>
            </w:r>
          </w:p>
          <w:p w14:paraId="46E39A2C" w14:textId="77777777" w:rsidR="00AB55DD" w:rsidRDefault="00AB55DD" w:rsidP="0065027F">
            <w:pPr>
              <w:pStyle w:val="Tablebullet1"/>
            </w:pPr>
            <w:r>
              <w:t xml:space="preserve">physical activity </w:t>
            </w:r>
          </w:p>
        </w:tc>
      </w:tr>
      <w:tr w:rsidR="00AB55DD" w14:paraId="270B4EC5"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6E53C5B2" w14:textId="77777777" w:rsidR="00AB55DD" w:rsidRDefault="00AB55DD" w:rsidP="00D02070">
            <w:pPr>
              <w:pStyle w:val="Tablebody"/>
            </w:pPr>
            <w:r>
              <w:t>15.01-5</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1ED4401E" w14:textId="77777777" w:rsidR="00AB55DD" w:rsidRDefault="00AB55DD" w:rsidP="00D02070">
            <w:pPr>
              <w:pStyle w:val="Tablebody"/>
            </w:pPr>
            <w:r>
              <w:t>Neighbourhood character</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4FAC7B84" w14:textId="77777777" w:rsidR="00AB55DD" w:rsidRDefault="00AB55DD" w:rsidP="00D02070">
            <w:pPr>
              <w:pStyle w:val="Tablebody"/>
            </w:pPr>
          </w:p>
        </w:tc>
      </w:tr>
      <w:tr w:rsidR="00AB55DD" w14:paraId="39880833"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77D9B0E8" w14:textId="77777777" w:rsidR="00AB55DD" w:rsidRDefault="00AB55DD" w:rsidP="00D02070">
            <w:pPr>
              <w:pStyle w:val="Tablebody"/>
            </w:pPr>
            <w:r>
              <w:t>15.01-6</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7564B036" w14:textId="77777777" w:rsidR="00AB55DD" w:rsidRDefault="00AB55DD" w:rsidP="00D02070">
            <w:pPr>
              <w:pStyle w:val="Tablebody"/>
            </w:pPr>
            <w:r>
              <w:t>Design for rural areas</w:t>
            </w:r>
          </w:p>
        </w:tc>
        <w:tc>
          <w:tcPr>
            <w:tcW w:w="4538" w:type="dxa"/>
            <w:tcBorders>
              <w:top w:val="single" w:sz="4" w:space="0" w:color="00828D" w:themeColor="accent1"/>
              <w:left w:val="single" w:sz="4" w:space="0" w:color="00828D" w:themeColor="accent1"/>
              <w:bottom w:val="single" w:sz="4" w:space="0" w:color="00828D" w:themeColor="accent1"/>
              <w:right w:val="nil"/>
            </w:tcBorders>
            <w:hideMark/>
          </w:tcPr>
          <w:p w14:paraId="32C8F23E" w14:textId="77777777" w:rsidR="00AB55DD" w:rsidRDefault="00AB55DD" w:rsidP="00D02070">
            <w:pPr>
              <w:pStyle w:val="Tablebody"/>
            </w:pPr>
            <w:r>
              <w:t>Design in rural areas including:</w:t>
            </w:r>
          </w:p>
          <w:p w14:paraId="6201FA48" w14:textId="77777777" w:rsidR="00AB55DD" w:rsidRDefault="00AB55DD" w:rsidP="0065027F">
            <w:pPr>
              <w:pStyle w:val="Tablebody"/>
              <w:numPr>
                <w:ilvl w:val="0"/>
                <w:numId w:val="14"/>
              </w:numPr>
              <w:ind w:hanging="294"/>
            </w:pPr>
            <w:r>
              <w:t>approaches to townships</w:t>
            </w:r>
          </w:p>
          <w:p w14:paraId="00EB7A1F" w14:textId="77777777" w:rsidR="00AB55DD" w:rsidRDefault="00AB55DD" w:rsidP="0065027F">
            <w:pPr>
              <w:pStyle w:val="Tablebody"/>
              <w:numPr>
                <w:ilvl w:val="0"/>
                <w:numId w:val="14"/>
              </w:numPr>
              <w:ind w:hanging="294"/>
            </w:pPr>
            <w:r>
              <w:t>along tourist routes</w:t>
            </w:r>
          </w:p>
          <w:p w14:paraId="64B8A232" w14:textId="77777777" w:rsidR="00AB55DD" w:rsidRDefault="00AB55DD" w:rsidP="0065027F">
            <w:pPr>
              <w:pStyle w:val="Tablebody"/>
              <w:numPr>
                <w:ilvl w:val="0"/>
                <w:numId w:val="14"/>
              </w:numPr>
              <w:ind w:hanging="294"/>
            </w:pPr>
            <w:r>
              <w:t>ridgelines and hilltops</w:t>
            </w:r>
          </w:p>
          <w:p w14:paraId="1A333514" w14:textId="15F297EE" w:rsidR="00AB55DD" w:rsidRDefault="00AB55DD" w:rsidP="00D02070">
            <w:pPr>
              <w:pStyle w:val="Tablebody"/>
            </w:pPr>
            <w:r>
              <w:t xml:space="preserve">This policy relates to design for more general rural areas. For significant landscapes or other sensitive natural areas see </w:t>
            </w:r>
            <w:r w:rsidR="001F616D" w:rsidRPr="00B00B76">
              <w:t>c</w:t>
            </w:r>
            <w:r w:rsidRPr="00B00B76">
              <w:t>lause 11.03-5</w:t>
            </w:r>
            <w:r w:rsidRPr="000202D0">
              <w:rPr>
                <w:b/>
                <w:bCs/>
              </w:rPr>
              <w:t xml:space="preserve"> </w:t>
            </w:r>
            <w:r w:rsidR="004401FC" w:rsidRPr="004401FC">
              <w:t>(</w:t>
            </w:r>
            <w:r w:rsidRPr="004401FC">
              <w:t>Distinctive areas and landscapes</w:t>
            </w:r>
            <w:r w:rsidR="004401FC" w:rsidRPr="004401FC">
              <w:t>)</w:t>
            </w:r>
            <w:r>
              <w:t xml:space="preserve"> or </w:t>
            </w:r>
            <w:r w:rsidR="001F616D" w:rsidRPr="00B00B76">
              <w:t>c</w:t>
            </w:r>
            <w:r w:rsidRPr="00B00B76">
              <w:t>lause 12.05</w:t>
            </w:r>
            <w:r w:rsidRPr="000202D0">
              <w:rPr>
                <w:b/>
                <w:bCs/>
              </w:rPr>
              <w:t xml:space="preserve"> </w:t>
            </w:r>
            <w:r w:rsidR="004401FC" w:rsidRPr="004401FC">
              <w:t>(</w:t>
            </w:r>
            <w:r w:rsidRPr="004401FC">
              <w:t>Significant environments and landscapes</w:t>
            </w:r>
            <w:r w:rsidR="004401FC" w:rsidRPr="004401FC">
              <w:t>)</w:t>
            </w:r>
          </w:p>
        </w:tc>
      </w:tr>
      <w:tr w:rsidR="00AB55DD" w14:paraId="03A96A8E"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shd w:val="clear" w:color="auto" w:fill="D9D9D9" w:themeFill="background1" w:themeFillShade="D9"/>
            <w:hideMark/>
          </w:tcPr>
          <w:p w14:paraId="32AF4E64" w14:textId="7D386EC5" w:rsidR="00AB55DD" w:rsidRPr="004A450C" w:rsidRDefault="00AB55DD" w:rsidP="00D02070">
            <w:pPr>
              <w:pStyle w:val="Tablebodybold"/>
            </w:pPr>
            <w:r w:rsidRPr="004A450C">
              <w:t>15.02</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shd w:val="clear" w:color="auto" w:fill="D9D9D9" w:themeFill="background1" w:themeFillShade="D9"/>
            <w:hideMark/>
          </w:tcPr>
          <w:p w14:paraId="0A5F1F35" w14:textId="319B1991" w:rsidR="00AB55DD" w:rsidRPr="004A450C" w:rsidRDefault="004A450C" w:rsidP="00D02070">
            <w:pPr>
              <w:pStyle w:val="Tablebodybold"/>
            </w:pPr>
            <w:r w:rsidRPr="004A450C">
              <w:t>N</w:t>
            </w:r>
            <w:r>
              <w:t>o content</w:t>
            </w:r>
          </w:p>
        </w:tc>
        <w:tc>
          <w:tcPr>
            <w:tcW w:w="4538" w:type="dxa"/>
            <w:tcBorders>
              <w:top w:val="single" w:sz="4" w:space="0" w:color="00828D" w:themeColor="accent1"/>
              <w:left w:val="single" w:sz="4" w:space="0" w:color="00828D" w:themeColor="accent1"/>
              <w:bottom w:val="single" w:sz="4" w:space="0" w:color="00828D" w:themeColor="accent1"/>
              <w:right w:val="nil"/>
            </w:tcBorders>
            <w:shd w:val="clear" w:color="auto" w:fill="D9D9D9" w:themeFill="background1" w:themeFillShade="D9"/>
          </w:tcPr>
          <w:p w14:paraId="7E3CF5AA" w14:textId="77777777" w:rsidR="00AB55DD" w:rsidRDefault="00AB55DD" w:rsidP="00D02070">
            <w:pPr>
              <w:pStyle w:val="Tablebody"/>
            </w:pPr>
          </w:p>
        </w:tc>
      </w:tr>
      <w:tr w:rsidR="00BB36DA" w14:paraId="33172693" w14:textId="77777777" w:rsidTr="00BB36DA">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shd w:val="clear" w:color="auto" w:fill="auto"/>
          </w:tcPr>
          <w:p w14:paraId="277EC804" w14:textId="77777777" w:rsidR="00BB36DA" w:rsidRPr="004A450C" w:rsidRDefault="00BB36DA" w:rsidP="00D02070">
            <w:pPr>
              <w:pStyle w:val="Tablebodybold"/>
            </w:pP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shd w:val="clear" w:color="auto" w:fill="auto"/>
          </w:tcPr>
          <w:p w14:paraId="45CC17FF" w14:textId="77777777" w:rsidR="00BB36DA" w:rsidRPr="004A450C" w:rsidRDefault="00BB36DA" w:rsidP="00D02070">
            <w:pPr>
              <w:pStyle w:val="Tablebodybold"/>
            </w:pPr>
          </w:p>
        </w:tc>
        <w:tc>
          <w:tcPr>
            <w:tcW w:w="4538" w:type="dxa"/>
            <w:tcBorders>
              <w:top w:val="single" w:sz="4" w:space="0" w:color="00828D" w:themeColor="accent1"/>
              <w:left w:val="single" w:sz="4" w:space="0" w:color="00828D" w:themeColor="accent1"/>
              <w:bottom w:val="single" w:sz="4" w:space="0" w:color="00828D" w:themeColor="accent1"/>
              <w:right w:val="nil"/>
            </w:tcBorders>
            <w:shd w:val="clear" w:color="auto" w:fill="auto"/>
          </w:tcPr>
          <w:p w14:paraId="41C1639C" w14:textId="77777777" w:rsidR="00BB36DA" w:rsidRDefault="00BB36DA" w:rsidP="00D02070">
            <w:pPr>
              <w:pStyle w:val="Tablebody"/>
            </w:pPr>
          </w:p>
        </w:tc>
      </w:tr>
      <w:tr w:rsidR="00AB55DD" w14:paraId="5148363C"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15697D5D" w14:textId="25D60A4C" w:rsidR="00AB55DD" w:rsidRDefault="00AB55DD" w:rsidP="00D02070">
            <w:pPr>
              <w:pStyle w:val="Tablebody"/>
            </w:pP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0AFB1FF8" w14:textId="1F55CAC5" w:rsidR="00AB55DD" w:rsidRDefault="00AB55DD" w:rsidP="00D02070">
            <w:pPr>
              <w:pStyle w:val="Tablebody"/>
            </w:pPr>
          </w:p>
        </w:tc>
        <w:tc>
          <w:tcPr>
            <w:tcW w:w="4538" w:type="dxa"/>
            <w:tcBorders>
              <w:top w:val="single" w:sz="4" w:space="0" w:color="00828D" w:themeColor="accent1"/>
              <w:left w:val="single" w:sz="4" w:space="0" w:color="00828D" w:themeColor="accent1"/>
              <w:bottom w:val="single" w:sz="4" w:space="0" w:color="00828D" w:themeColor="accent1"/>
              <w:right w:val="nil"/>
            </w:tcBorders>
            <w:hideMark/>
          </w:tcPr>
          <w:p w14:paraId="0C526DBA" w14:textId="0AEEF8E3" w:rsidR="00AB55DD" w:rsidRDefault="00AB55DD" w:rsidP="004A450C">
            <w:pPr>
              <w:pStyle w:val="Tablebullet1"/>
              <w:numPr>
                <w:ilvl w:val="0"/>
                <w:numId w:val="0"/>
              </w:numPr>
              <w:ind w:left="227"/>
            </w:pPr>
          </w:p>
        </w:tc>
      </w:tr>
      <w:tr w:rsidR="00AB55DD" w14:paraId="32EB82AE"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shd w:val="clear" w:color="auto" w:fill="D9D9D9" w:themeFill="background1" w:themeFillShade="D9"/>
            <w:hideMark/>
          </w:tcPr>
          <w:p w14:paraId="5A558871" w14:textId="77777777" w:rsidR="00AB55DD" w:rsidRDefault="00AB55DD" w:rsidP="00D02070">
            <w:pPr>
              <w:pStyle w:val="Tablebodybold"/>
            </w:pPr>
            <w:r>
              <w:t>15.03</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shd w:val="clear" w:color="auto" w:fill="D9D9D9" w:themeFill="background1" w:themeFillShade="D9"/>
            <w:hideMark/>
          </w:tcPr>
          <w:p w14:paraId="1E603F6E" w14:textId="77777777" w:rsidR="00AB55DD" w:rsidRDefault="00AB55DD" w:rsidP="00D02070">
            <w:pPr>
              <w:pStyle w:val="Tablebodybold"/>
            </w:pPr>
            <w:r>
              <w:t>Heritage</w:t>
            </w:r>
          </w:p>
        </w:tc>
        <w:tc>
          <w:tcPr>
            <w:tcW w:w="4538" w:type="dxa"/>
            <w:tcBorders>
              <w:top w:val="single" w:sz="4" w:space="0" w:color="00828D" w:themeColor="accent1"/>
              <w:left w:val="single" w:sz="4" w:space="0" w:color="00828D" w:themeColor="accent1"/>
              <w:bottom w:val="single" w:sz="4" w:space="0" w:color="00828D" w:themeColor="accent1"/>
              <w:right w:val="nil"/>
            </w:tcBorders>
            <w:shd w:val="clear" w:color="auto" w:fill="D9D9D9" w:themeFill="background1" w:themeFillShade="D9"/>
          </w:tcPr>
          <w:p w14:paraId="6D6E1369" w14:textId="77777777" w:rsidR="00AB55DD" w:rsidRDefault="00AB55DD" w:rsidP="00D02070">
            <w:pPr>
              <w:pStyle w:val="Tablebody"/>
            </w:pPr>
          </w:p>
        </w:tc>
      </w:tr>
      <w:tr w:rsidR="00AB55DD" w14:paraId="656C6E8F"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10011778" w14:textId="77777777" w:rsidR="00AB55DD" w:rsidRDefault="00AB55DD" w:rsidP="00D02070">
            <w:pPr>
              <w:pStyle w:val="Tablebody"/>
            </w:pPr>
            <w:r>
              <w:t>15.03-1</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2E2CBFB2" w14:textId="77777777" w:rsidR="00AB55DD" w:rsidRDefault="00AB55DD" w:rsidP="00D02070">
            <w:pPr>
              <w:pStyle w:val="Tablebody"/>
            </w:pPr>
            <w:r>
              <w:t>Heritage conservation</w:t>
            </w:r>
          </w:p>
          <w:p w14:paraId="1D549BC7" w14:textId="77777777" w:rsidR="00BB36DA" w:rsidRPr="00BB36DA" w:rsidRDefault="00BB36DA" w:rsidP="00BB36DA">
            <w:pPr>
              <w:rPr>
                <w:lang w:eastAsia="en-US"/>
              </w:rPr>
            </w:pPr>
          </w:p>
          <w:p w14:paraId="6C8AB77C" w14:textId="77777777" w:rsidR="00BB36DA" w:rsidRDefault="00BB36DA" w:rsidP="00BB36DA">
            <w:pPr>
              <w:rPr>
                <w:rFonts w:ascii="VIC" w:eastAsia="Times" w:hAnsi="VIC"/>
                <w:lang w:eastAsia="en-US"/>
              </w:rPr>
            </w:pPr>
          </w:p>
          <w:p w14:paraId="4FF7617A" w14:textId="77777777" w:rsidR="00BB36DA" w:rsidRDefault="00BB36DA" w:rsidP="00BB36DA">
            <w:pPr>
              <w:jc w:val="center"/>
              <w:rPr>
                <w:rFonts w:ascii="VIC" w:eastAsia="Times" w:hAnsi="VIC"/>
                <w:lang w:eastAsia="en-US"/>
              </w:rPr>
            </w:pPr>
          </w:p>
          <w:p w14:paraId="14EE0A4C" w14:textId="20AE0B62" w:rsidR="00BB36DA" w:rsidRDefault="00BB36DA" w:rsidP="00BB36DA"/>
        </w:tc>
        <w:tc>
          <w:tcPr>
            <w:tcW w:w="4538" w:type="dxa"/>
            <w:tcBorders>
              <w:top w:val="single" w:sz="4" w:space="0" w:color="00828D" w:themeColor="accent1"/>
              <w:left w:val="single" w:sz="4" w:space="0" w:color="00828D" w:themeColor="accent1"/>
              <w:bottom w:val="single" w:sz="4" w:space="0" w:color="00828D" w:themeColor="accent1"/>
              <w:right w:val="nil"/>
            </w:tcBorders>
            <w:hideMark/>
          </w:tcPr>
          <w:p w14:paraId="0B0DC5D4" w14:textId="77777777" w:rsidR="00AB55DD" w:rsidRDefault="00AB55DD" w:rsidP="0065027F">
            <w:pPr>
              <w:pStyle w:val="Tablebullet1"/>
            </w:pPr>
            <w:r w:rsidRPr="001326DB">
              <w:t>Managing development of heritage places</w:t>
            </w:r>
            <w:r>
              <w:t xml:space="preserve">  </w:t>
            </w:r>
          </w:p>
          <w:p w14:paraId="2A6AFCAE" w14:textId="16BB48E6" w:rsidR="00AB55DD" w:rsidRDefault="00AB55DD" w:rsidP="0065027F">
            <w:pPr>
              <w:pStyle w:val="Tablebullet1"/>
            </w:pPr>
            <w:r>
              <w:t>Excludes</w:t>
            </w:r>
            <w:r w:rsidRPr="001326DB">
              <w:t xml:space="preserve"> statements of significance or detailed, place-specific design guidelines. These are to be incorporated into the schedule to the Heritage Overlay </w:t>
            </w:r>
            <w:r w:rsidRPr="007254A5">
              <w:t>(</w:t>
            </w:r>
            <w:r w:rsidRPr="00B00B76">
              <w:t xml:space="preserve">see </w:t>
            </w:r>
            <w:r w:rsidRPr="00FA65B3">
              <w:rPr>
                <w:i/>
                <w:iCs/>
              </w:rPr>
              <w:t>PPN</w:t>
            </w:r>
            <w:r w:rsidR="00B93AF4" w:rsidRPr="00FA65B3">
              <w:rPr>
                <w:i/>
                <w:iCs/>
              </w:rPr>
              <w:t>0</w:t>
            </w:r>
            <w:r w:rsidRPr="00FA65B3">
              <w:rPr>
                <w:i/>
                <w:iCs/>
              </w:rPr>
              <w:t>1</w:t>
            </w:r>
            <w:r w:rsidR="004401FC" w:rsidRPr="00FA65B3">
              <w:rPr>
                <w:i/>
                <w:iCs/>
              </w:rPr>
              <w:t xml:space="preserve"> </w:t>
            </w:r>
            <w:r w:rsidRPr="00FA65B3">
              <w:rPr>
                <w:i/>
                <w:iCs/>
              </w:rPr>
              <w:t>- Applying the Heritage Overlay</w:t>
            </w:r>
            <w:r w:rsidRPr="007254A5">
              <w:t xml:space="preserve"> for more information)</w:t>
            </w:r>
          </w:p>
        </w:tc>
      </w:tr>
      <w:tr w:rsidR="00AB55DD" w14:paraId="52C195A7" w14:textId="77777777" w:rsidTr="00AD312E">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0BDA4B81" w14:textId="77777777" w:rsidR="00AB55DD" w:rsidRDefault="00AB55DD" w:rsidP="00D02070">
            <w:pPr>
              <w:pStyle w:val="Tablebody"/>
            </w:pPr>
            <w:r>
              <w:t>15.03-2</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508F4863" w14:textId="77777777" w:rsidR="00AB55DD" w:rsidRDefault="00AB55DD" w:rsidP="00D02070">
            <w:pPr>
              <w:pStyle w:val="Tablebody"/>
            </w:pPr>
            <w:r>
              <w:t>Aboriginal cultural heritage</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23D8E478" w14:textId="77777777" w:rsidR="00AB55DD" w:rsidRDefault="00AB55DD" w:rsidP="00D02070">
            <w:pPr>
              <w:pStyle w:val="Tablebody"/>
            </w:pPr>
          </w:p>
        </w:tc>
      </w:tr>
      <w:tr w:rsidR="00AD312E" w14:paraId="7E0A5EE2" w14:textId="77777777" w:rsidTr="00AD312E">
        <w:trPr>
          <w:cantSplit/>
        </w:trPr>
        <w:tc>
          <w:tcPr>
            <w:tcW w:w="1242" w:type="dxa"/>
            <w:tcBorders>
              <w:top w:val="single" w:sz="4" w:space="0" w:color="00828D" w:themeColor="accent1"/>
              <w:left w:val="nil"/>
              <w:bottom w:val="nil"/>
              <w:right w:val="nil"/>
            </w:tcBorders>
          </w:tcPr>
          <w:p w14:paraId="2FED7277" w14:textId="77777777" w:rsidR="00AD312E" w:rsidRDefault="00AD312E" w:rsidP="00D02070">
            <w:pPr>
              <w:pStyle w:val="Tablebody"/>
            </w:pPr>
          </w:p>
          <w:p w14:paraId="7AF9508F" w14:textId="77777777" w:rsidR="00AD312E" w:rsidRDefault="00AD312E" w:rsidP="00D02070">
            <w:pPr>
              <w:pStyle w:val="Tablebody"/>
            </w:pPr>
          </w:p>
          <w:p w14:paraId="6084B23E" w14:textId="77777777" w:rsidR="00AD312E" w:rsidRDefault="00AD312E" w:rsidP="00D02070">
            <w:pPr>
              <w:pStyle w:val="Tablebody"/>
            </w:pPr>
          </w:p>
          <w:p w14:paraId="49AFF09A" w14:textId="77777777" w:rsidR="00AD312E" w:rsidRDefault="00AD312E" w:rsidP="00D02070">
            <w:pPr>
              <w:pStyle w:val="Tablebody"/>
            </w:pPr>
          </w:p>
          <w:p w14:paraId="1D6B862A" w14:textId="77777777" w:rsidR="00AD312E" w:rsidRDefault="00AD312E" w:rsidP="00D02070">
            <w:pPr>
              <w:pStyle w:val="Tablebody"/>
            </w:pPr>
          </w:p>
          <w:p w14:paraId="3C8A0704" w14:textId="77777777" w:rsidR="00AD312E" w:rsidRDefault="00AD312E" w:rsidP="00D02070">
            <w:pPr>
              <w:pStyle w:val="Tablebody"/>
            </w:pPr>
          </w:p>
          <w:p w14:paraId="14A8EB2A" w14:textId="77777777" w:rsidR="00AD312E" w:rsidRDefault="00AD312E" w:rsidP="00D02070">
            <w:pPr>
              <w:pStyle w:val="Tablebody"/>
            </w:pPr>
          </w:p>
          <w:p w14:paraId="088EE831" w14:textId="77777777" w:rsidR="00AD312E" w:rsidRDefault="00AD312E" w:rsidP="00D02070">
            <w:pPr>
              <w:pStyle w:val="Tablebody"/>
            </w:pPr>
          </w:p>
          <w:p w14:paraId="3EEA8088" w14:textId="77777777" w:rsidR="00AD312E" w:rsidRDefault="00AD312E" w:rsidP="00D02070">
            <w:pPr>
              <w:pStyle w:val="Tablebody"/>
            </w:pPr>
          </w:p>
          <w:p w14:paraId="6B5DC0D8" w14:textId="77777777" w:rsidR="00AD312E" w:rsidRDefault="00AD312E" w:rsidP="00D02070">
            <w:pPr>
              <w:pStyle w:val="Tablebody"/>
            </w:pPr>
          </w:p>
        </w:tc>
        <w:tc>
          <w:tcPr>
            <w:tcW w:w="3403" w:type="dxa"/>
            <w:tcBorders>
              <w:top w:val="single" w:sz="4" w:space="0" w:color="00828D" w:themeColor="accent1"/>
              <w:left w:val="nil"/>
              <w:bottom w:val="nil"/>
              <w:right w:val="nil"/>
            </w:tcBorders>
          </w:tcPr>
          <w:p w14:paraId="06BC0C05" w14:textId="77777777" w:rsidR="00AD312E" w:rsidRDefault="00AD312E" w:rsidP="00D02070">
            <w:pPr>
              <w:pStyle w:val="Tablebody"/>
            </w:pPr>
          </w:p>
        </w:tc>
        <w:tc>
          <w:tcPr>
            <w:tcW w:w="4538" w:type="dxa"/>
            <w:tcBorders>
              <w:top w:val="single" w:sz="4" w:space="0" w:color="00828D" w:themeColor="accent1"/>
              <w:left w:val="nil"/>
              <w:bottom w:val="nil"/>
              <w:right w:val="nil"/>
            </w:tcBorders>
          </w:tcPr>
          <w:p w14:paraId="7725BE81" w14:textId="77777777" w:rsidR="00AD312E" w:rsidRDefault="00AD312E" w:rsidP="00D02070">
            <w:pPr>
              <w:pStyle w:val="Tablebody"/>
            </w:pPr>
          </w:p>
        </w:tc>
      </w:tr>
      <w:tr w:rsidR="00AB55DD" w14:paraId="131D31E8" w14:textId="77777777" w:rsidTr="00AD312E">
        <w:trPr>
          <w:cantSplit/>
        </w:trPr>
        <w:tc>
          <w:tcPr>
            <w:tcW w:w="1242" w:type="dxa"/>
            <w:tcBorders>
              <w:top w:val="nil"/>
              <w:left w:val="nil"/>
              <w:bottom w:val="single" w:sz="4" w:space="0" w:color="00828D" w:themeColor="accent1"/>
              <w:right w:val="single" w:sz="4" w:space="0" w:color="595959" w:themeColor="text1" w:themeTint="A6"/>
            </w:tcBorders>
            <w:shd w:val="clear" w:color="auto" w:fill="595959" w:themeFill="text1" w:themeFillTint="A6"/>
            <w:hideMark/>
          </w:tcPr>
          <w:p w14:paraId="6796FB23" w14:textId="0F3177E4" w:rsidR="00AB55DD" w:rsidRPr="00AD6B0C" w:rsidRDefault="00AB55DD" w:rsidP="00D02070">
            <w:pPr>
              <w:pStyle w:val="Tablebodybold"/>
              <w:rPr>
                <w:color w:val="FFFFFF" w:themeColor="background1"/>
              </w:rPr>
            </w:pPr>
            <w:r w:rsidRPr="00AD6B0C">
              <w:rPr>
                <w:color w:val="FFFFFF" w:themeColor="background1"/>
              </w:rPr>
              <w:lastRenderedPageBreak/>
              <w:t>16</w:t>
            </w:r>
          </w:p>
        </w:tc>
        <w:tc>
          <w:tcPr>
            <w:tcW w:w="3403" w:type="dxa"/>
            <w:tcBorders>
              <w:top w:val="nil"/>
              <w:left w:val="single" w:sz="4" w:space="0" w:color="595959" w:themeColor="text1" w:themeTint="A6"/>
              <w:bottom w:val="single" w:sz="4" w:space="0" w:color="00828D" w:themeColor="accent1"/>
              <w:right w:val="single" w:sz="4" w:space="0" w:color="595959" w:themeColor="text1" w:themeTint="A6"/>
            </w:tcBorders>
            <w:shd w:val="clear" w:color="auto" w:fill="595959" w:themeFill="text1" w:themeFillTint="A6"/>
            <w:hideMark/>
          </w:tcPr>
          <w:p w14:paraId="262D54E5" w14:textId="77777777" w:rsidR="00AB55DD" w:rsidRPr="00AD6B0C" w:rsidRDefault="00AB55DD" w:rsidP="00D02070">
            <w:pPr>
              <w:pStyle w:val="Tablebodybold"/>
              <w:rPr>
                <w:color w:val="FFFFFF" w:themeColor="background1"/>
              </w:rPr>
            </w:pPr>
            <w:r w:rsidRPr="00AD6B0C">
              <w:rPr>
                <w:color w:val="FFFFFF" w:themeColor="background1"/>
              </w:rPr>
              <w:t>HOUSING</w:t>
            </w:r>
          </w:p>
        </w:tc>
        <w:tc>
          <w:tcPr>
            <w:tcW w:w="4538" w:type="dxa"/>
            <w:tcBorders>
              <w:top w:val="nil"/>
              <w:left w:val="single" w:sz="4" w:space="0" w:color="595959" w:themeColor="text1" w:themeTint="A6"/>
              <w:bottom w:val="single" w:sz="4" w:space="0" w:color="00828D" w:themeColor="accent1"/>
              <w:right w:val="nil"/>
            </w:tcBorders>
            <w:shd w:val="clear" w:color="auto" w:fill="595959" w:themeFill="text1" w:themeFillTint="A6"/>
          </w:tcPr>
          <w:p w14:paraId="341E8D3D" w14:textId="77777777" w:rsidR="00AB55DD" w:rsidRPr="00AD6B0C" w:rsidRDefault="00AB55DD" w:rsidP="00D02070">
            <w:pPr>
              <w:pStyle w:val="Tablebody"/>
              <w:rPr>
                <w:color w:val="FFFFFF" w:themeColor="background1"/>
              </w:rPr>
            </w:pPr>
          </w:p>
        </w:tc>
      </w:tr>
      <w:tr w:rsidR="00AB55DD" w14:paraId="1996009C"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shd w:val="clear" w:color="auto" w:fill="D9D9D9" w:themeFill="background1" w:themeFillShade="D9"/>
            <w:hideMark/>
          </w:tcPr>
          <w:p w14:paraId="62105577" w14:textId="77777777" w:rsidR="00AB55DD" w:rsidRDefault="00AB55DD" w:rsidP="00D02070">
            <w:pPr>
              <w:pStyle w:val="Tablebodybold"/>
            </w:pPr>
            <w:r>
              <w:t>16.01</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shd w:val="clear" w:color="auto" w:fill="D9D9D9" w:themeFill="background1" w:themeFillShade="D9"/>
            <w:hideMark/>
          </w:tcPr>
          <w:p w14:paraId="27AB9B4F" w14:textId="77777777" w:rsidR="00AB55DD" w:rsidRDefault="00AB55DD" w:rsidP="00D02070">
            <w:pPr>
              <w:pStyle w:val="Tablebodybold"/>
            </w:pPr>
            <w:r>
              <w:t>Residential development</w:t>
            </w:r>
          </w:p>
        </w:tc>
        <w:tc>
          <w:tcPr>
            <w:tcW w:w="4538" w:type="dxa"/>
            <w:tcBorders>
              <w:top w:val="single" w:sz="4" w:space="0" w:color="00828D" w:themeColor="accent1"/>
              <w:left w:val="single" w:sz="4" w:space="0" w:color="00828D" w:themeColor="accent1"/>
              <w:bottom w:val="single" w:sz="4" w:space="0" w:color="00828D" w:themeColor="accent1"/>
              <w:right w:val="nil"/>
            </w:tcBorders>
            <w:shd w:val="clear" w:color="auto" w:fill="D9D9D9" w:themeFill="background1" w:themeFillShade="D9"/>
          </w:tcPr>
          <w:p w14:paraId="7D7200CF" w14:textId="77777777" w:rsidR="00AB55DD" w:rsidRDefault="00AB55DD" w:rsidP="00D02070">
            <w:pPr>
              <w:pStyle w:val="Tablebody"/>
            </w:pPr>
          </w:p>
        </w:tc>
      </w:tr>
      <w:tr w:rsidR="00AB55DD" w14:paraId="45B41A8C"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2AA21A71" w14:textId="77777777" w:rsidR="00AB55DD" w:rsidRDefault="00AB55DD" w:rsidP="00D02070">
            <w:pPr>
              <w:pStyle w:val="Tablebody"/>
            </w:pPr>
            <w:r>
              <w:t>16.01-1</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27DD3C9D" w14:textId="6C4052ED" w:rsidR="00AB55DD" w:rsidRDefault="006C6FAB" w:rsidP="00D02070">
            <w:pPr>
              <w:pStyle w:val="Tablebody"/>
            </w:pPr>
            <w:r>
              <w:t>Housing supply</w:t>
            </w:r>
          </w:p>
        </w:tc>
        <w:tc>
          <w:tcPr>
            <w:tcW w:w="4538" w:type="dxa"/>
            <w:tcBorders>
              <w:top w:val="single" w:sz="4" w:space="0" w:color="00828D" w:themeColor="accent1"/>
              <w:left w:val="single" w:sz="4" w:space="0" w:color="00828D" w:themeColor="accent1"/>
              <w:bottom w:val="single" w:sz="4" w:space="0" w:color="00828D" w:themeColor="accent1"/>
              <w:right w:val="nil"/>
            </w:tcBorders>
            <w:hideMark/>
          </w:tcPr>
          <w:p w14:paraId="4B2C3EC9" w14:textId="77D2B0C8" w:rsidR="00877EFE" w:rsidRPr="0065027F" w:rsidRDefault="00FB3D81" w:rsidP="0065027F">
            <w:pPr>
              <w:pStyle w:val="Tablebullet1"/>
            </w:pPr>
            <w:r w:rsidRPr="0065027F">
              <w:t>Facilitat</w:t>
            </w:r>
            <w:r w:rsidR="00DB31B5" w:rsidRPr="0065027F">
              <w:t>ing</w:t>
            </w:r>
            <w:r w:rsidRPr="0065027F">
              <w:t xml:space="preserve"> w</w:t>
            </w:r>
            <w:r w:rsidR="00877EFE" w:rsidRPr="0065027F">
              <w:t>ell-located, integrated and diverse housing that meets community needs</w:t>
            </w:r>
          </w:p>
          <w:p w14:paraId="71CA13BD" w14:textId="77777777" w:rsidR="00EE0000" w:rsidRPr="0065027F" w:rsidRDefault="00F274B0" w:rsidP="0065027F">
            <w:pPr>
              <w:pStyle w:val="Tablebullet1"/>
            </w:pPr>
            <w:r w:rsidRPr="0065027F">
              <w:t>Increasing diversity in the types and configuration of housing to meet changing household needs</w:t>
            </w:r>
          </w:p>
          <w:p w14:paraId="0F9EB41D" w14:textId="76320874" w:rsidR="0086332D" w:rsidRPr="0065027F" w:rsidRDefault="0086332D" w:rsidP="0065027F">
            <w:pPr>
              <w:pStyle w:val="Tablebullet1"/>
            </w:pPr>
            <w:r w:rsidRPr="0065027F">
              <w:t>Increas</w:t>
            </w:r>
            <w:r w:rsidR="00F274B0" w:rsidRPr="0065027F">
              <w:t>ing</w:t>
            </w:r>
            <w:r w:rsidRPr="0065027F">
              <w:t xml:space="preserve"> </w:t>
            </w:r>
            <w:r w:rsidR="00155F90" w:rsidRPr="0065027F">
              <w:t xml:space="preserve">housing </w:t>
            </w:r>
            <w:r w:rsidR="00327ABF" w:rsidRPr="0065027F">
              <w:t>in established urban areas</w:t>
            </w:r>
            <w:r w:rsidR="00F70140" w:rsidRPr="0065027F">
              <w:t xml:space="preserve"> and reduc</w:t>
            </w:r>
            <w:r w:rsidR="001A75C7" w:rsidRPr="0065027F">
              <w:t>ing</w:t>
            </w:r>
            <w:r w:rsidR="00CE62C9" w:rsidRPr="0065027F">
              <w:t xml:space="preserve"> new dwellings in greenfield</w:t>
            </w:r>
            <w:r w:rsidR="00D74DA8" w:rsidRPr="0065027F">
              <w:t xml:space="preserve">, fringe and dispersed development areas </w:t>
            </w:r>
          </w:p>
          <w:p w14:paraId="07622D71" w14:textId="787B3582" w:rsidR="00F274B0" w:rsidRPr="0065027F" w:rsidRDefault="00F274B0" w:rsidP="0065027F">
            <w:pPr>
              <w:pStyle w:val="Tablebullet1"/>
            </w:pPr>
            <w:r w:rsidRPr="0065027F">
              <w:t>Directing higher density residential development to areas well serviced by public transport, employment</w:t>
            </w:r>
            <w:r w:rsidR="004C3468" w:rsidRPr="0065027F">
              <w:t>,</w:t>
            </w:r>
            <w:r w:rsidRPr="0065027F">
              <w:t xml:space="preserve"> commercial and community facilities</w:t>
            </w:r>
          </w:p>
          <w:p w14:paraId="2892ED15" w14:textId="0500AAE7" w:rsidR="00AB55DD" w:rsidRPr="0065027F" w:rsidRDefault="00AB55DD" w:rsidP="0065027F">
            <w:pPr>
              <w:pStyle w:val="Tablebullet1"/>
            </w:pPr>
            <w:r w:rsidRPr="0065027F">
              <w:t>Housing supply – excludes:</w:t>
            </w:r>
          </w:p>
          <w:p w14:paraId="279E0BE2" w14:textId="29E86551" w:rsidR="00AB55DD" w:rsidRDefault="00D17FCD" w:rsidP="00FA65B3">
            <w:pPr>
              <w:pStyle w:val="DELWPtablebullet2"/>
              <w:numPr>
                <w:ilvl w:val="1"/>
                <w:numId w:val="56"/>
              </w:numPr>
            </w:pPr>
            <w:r>
              <w:t>A</w:t>
            </w:r>
            <w:r w:rsidR="00AB55DD">
              <w:t>menity</w:t>
            </w:r>
            <w:r>
              <w:t>, human health and safety</w:t>
            </w:r>
            <w:r w:rsidR="00AB55DD">
              <w:t xml:space="preserve"> impacts and interface issues – see </w:t>
            </w:r>
            <w:r w:rsidR="001F616D" w:rsidRPr="00B00B76">
              <w:t>c</w:t>
            </w:r>
            <w:r w:rsidR="00AB55DD" w:rsidRPr="00B00B76">
              <w:t>lause 13.07-1</w:t>
            </w:r>
            <w:r w:rsidR="00AB55DD" w:rsidRPr="004401FC">
              <w:t xml:space="preserve"> </w:t>
            </w:r>
            <w:r w:rsidR="004401FC" w:rsidRPr="004401FC">
              <w:t>(</w:t>
            </w:r>
            <w:r w:rsidR="00AB55DD" w:rsidRPr="004401FC">
              <w:t>Land use compatibility</w:t>
            </w:r>
            <w:r w:rsidR="004401FC" w:rsidRPr="004401FC">
              <w:t>)</w:t>
            </w:r>
          </w:p>
          <w:p w14:paraId="4034D3F4" w14:textId="47F55558" w:rsidR="00AB55DD" w:rsidRDefault="0099617C" w:rsidP="00FA65B3">
            <w:pPr>
              <w:pStyle w:val="DELWPtablebullet2"/>
              <w:numPr>
                <w:ilvl w:val="1"/>
                <w:numId w:val="56"/>
              </w:numPr>
            </w:pPr>
            <w:r>
              <w:t>H</w:t>
            </w:r>
            <w:r w:rsidR="00AB55DD">
              <w:t xml:space="preserve">ousing affordability – </w:t>
            </w:r>
            <w:r w:rsidR="00AB55DD" w:rsidRPr="00B00B76">
              <w:t xml:space="preserve">see </w:t>
            </w:r>
            <w:r w:rsidR="001F616D" w:rsidRPr="00B00B76">
              <w:t>c</w:t>
            </w:r>
            <w:r w:rsidR="00AB55DD" w:rsidRPr="00B00B76">
              <w:t>lause 16.01-</w:t>
            </w:r>
            <w:r w:rsidR="00536B69" w:rsidRPr="00B00B76">
              <w:t>2</w:t>
            </w:r>
          </w:p>
        </w:tc>
      </w:tr>
      <w:tr w:rsidR="000228B2" w14:paraId="55BA7607"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tcPr>
          <w:p w14:paraId="4A372941" w14:textId="5B253618" w:rsidR="000228B2" w:rsidRDefault="000228B2" w:rsidP="00D02070">
            <w:pPr>
              <w:pStyle w:val="Tablebody"/>
            </w:pPr>
            <w:r>
              <w:t>16.01-</w:t>
            </w:r>
            <w:r w:rsidR="00E47A6D">
              <w:t>2</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tcPr>
          <w:p w14:paraId="41368BF6" w14:textId="3AF74753" w:rsidR="000228B2" w:rsidRDefault="000228B2" w:rsidP="00D02070">
            <w:pPr>
              <w:pStyle w:val="Tablebody"/>
            </w:pPr>
            <w:r>
              <w:t>Housing affordability</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64A4450A" w14:textId="32527645" w:rsidR="000228B2" w:rsidRDefault="000228B2" w:rsidP="00D02070">
            <w:pPr>
              <w:pStyle w:val="Tablebody"/>
            </w:pPr>
            <w:r>
              <w:t>Supporting housing affordability through:</w:t>
            </w:r>
          </w:p>
          <w:p w14:paraId="0CF98753" w14:textId="5259434A" w:rsidR="000228B2" w:rsidRPr="0065027F" w:rsidRDefault="000228B2" w:rsidP="0065027F">
            <w:pPr>
              <w:pStyle w:val="Tablebullet1"/>
            </w:pPr>
            <w:r w:rsidRPr="0065027F">
              <w:t>increasing housing choice</w:t>
            </w:r>
          </w:p>
          <w:p w14:paraId="5BC923D6" w14:textId="79082FD3" w:rsidR="000228B2" w:rsidRPr="0065027F" w:rsidRDefault="000228B2" w:rsidP="0065027F">
            <w:pPr>
              <w:pStyle w:val="Tablebullet1"/>
            </w:pPr>
            <w:r w:rsidRPr="0065027F">
              <w:t>using design to minimise environmental impacts and reduce costs</w:t>
            </w:r>
          </w:p>
          <w:p w14:paraId="4E70BAC8" w14:textId="4A1FA484" w:rsidR="000228B2" w:rsidRDefault="000228B2" w:rsidP="0065027F">
            <w:pPr>
              <w:pStyle w:val="Tablebullet1"/>
            </w:pPr>
            <w:r w:rsidRPr="0065027F">
              <w:t>facilitating the provision of affordable housing for very low to moderate income households</w:t>
            </w:r>
          </w:p>
        </w:tc>
      </w:tr>
      <w:tr w:rsidR="000228B2" w14:paraId="62572F98"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tcPr>
          <w:p w14:paraId="6D4ECF8B" w14:textId="3D9927C9" w:rsidR="000228B2" w:rsidRDefault="000228B2" w:rsidP="00D02070">
            <w:pPr>
              <w:pStyle w:val="Tablebody"/>
            </w:pPr>
            <w:r>
              <w:t>16.01-</w:t>
            </w:r>
            <w:r w:rsidR="009417C7">
              <w:t>3</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tcPr>
          <w:p w14:paraId="037D0202" w14:textId="21F862A0" w:rsidR="000228B2" w:rsidRDefault="000228B2" w:rsidP="00D02070">
            <w:pPr>
              <w:pStyle w:val="Tablebody"/>
            </w:pPr>
            <w:r>
              <w:t>Rural residential development</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6DC2B99A" w14:textId="65544D4A" w:rsidR="000228B2" w:rsidRDefault="000228B2" w:rsidP="00D02070">
            <w:pPr>
              <w:pStyle w:val="Tablebody"/>
            </w:pPr>
            <w:r>
              <w:t xml:space="preserve">Housing in areas where rural residential development is expected or preferred – excludes dwellings and dwelling lot excisions in the Farming Zone – see </w:t>
            </w:r>
            <w:r w:rsidR="001F616D" w:rsidRPr="00B00B76">
              <w:t>c</w:t>
            </w:r>
            <w:r w:rsidRPr="00B00B76">
              <w:t xml:space="preserve">lause 14.01-1 </w:t>
            </w:r>
            <w:r w:rsidR="004401FC" w:rsidRPr="004401FC">
              <w:t>(</w:t>
            </w:r>
            <w:r w:rsidRPr="004401FC">
              <w:t>Protection of agricultural land</w:t>
            </w:r>
            <w:r w:rsidR="004401FC" w:rsidRPr="004401FC">
              <w:t>)</w:t>
            </w:r>
          </w:p>
        </w:tc>
      </w:tr>
      <w:tr w:rsidR="000228B2" w14:paraId="021F1061"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tcPr>
          <w:p w14:paraId="45C9D4BA" w14:textId="37982788" w:rsidR="000228B2" w:rsidRDefault="000228B2" w:rsidP="00D02070">
            <w:pPr>
              <w:pStyle w:val="Tablebody"/>
            </w:pPr>
            <w:r>
              <w:t>16.01-</w:t>
            </w:r>
            <w:r w:rsidR="007D11CD">
              <w:t>4</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tcPr>
          <w:p w14:paraId="6AF2BCBC" w14:textId="3A14EECC" w:rsidR="000228B2" w:rsidRDefault="000228B2" w:rsidP="00D02070">
            <w:pPr>
              <w:pStyle w:val="Tablebody"/>
            </w:pPr>
            <w:r>
              <w:t>Community care accommodation</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7D3F57FA" w14:textId="0B7F9F74" w:rsidR="000228B2" w:rsidRDefault="000228B2" w:rsidP="00D02070">
            <w:pPr>
              <w:pStyle w:val="Tablebody"/>
            </w:pPr>
            <w:r>
              <w:t>Facilitating the confidential establishment of community care facilities</w:t>
            </w:r>
          </w:p>
        </w:tc>
      </w:tr>
      <w:tr w:rsidR="000228B2" w14:paraId="73D8572C"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tcPr>
          <w:p w14:paraId="7CC404C5" w14:textId="63315A41" w:rsidR="000228B2" w:rsidRDefault="000228B2" w:rsidP="00D02070">
            <w:pPr>
              <w:pStyle w:val="Tablebody"/>
            </w:pPr>
            <w:r>
              <w:t>16.01-</w:t>
            </w:r>
            <w:r w:rsidR="007D11CD">
              <w:t>5</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tcPr>
          <w:p w14:paraId="06F7E7DE" w14:textId="22B5E915" w:rsidR="000228B2" w:rsidRDefault="000228B2" w:rsidP="00D02070">
            <w:pPr>
              <w:pStyle w:val="Tablebody"/>
            </w:pPr>
            <w:r>
              <w:t>Residential aged care facilities</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6F86E239" w14:textId="77505B83" w:rsidR="000228B2" w:rsidRDefault="000228B2" w:rsidP="00D02070">
            <w:pPr>
              <w:pStyle w:val="Tablebody"/>
            </w:pPr>
            <w:r>
              <w:t>Facilitating the development of residential aged care facilities that:</w:t>
            </w:r>
          </w:p>
          <w:p w14:paraId="24A195DA" w14:textId="358B1DFA" w:rsidR="000228B2" w:rsidRDefault="000228B2" w:rsidP="00A10EA3">
            <w:pPr>
              <w:pStyle w:val="Tablebullet1"/>
            </w:pPr>
            <w:r>
              <w:t>are integrated with services and the community</w:t>
            </w:r>
          </w:p>
          <w:p w14:paraId="65FE8A75" w14:textId="51CB49C9" w:rsidR="000228B2" w:rsidRDefault="000228B2" w:rsidP="00A10EA3">
            <w:pPr>
              <w:pStyle w:val="Tablebullet1"/>
            </w:pPr>
            <w:r>
              <w:t>cater to a range of needs</w:t>
            </w:r>
          </w:p>
          <w:p w14:paraId="7112A888" w14:textId="7EDA95E8" w:rsidR="000228B2" w:rsidRDefault="000228B2" w:rsidP="00A10EA3">
            <w:pPr>
              <w:pStyle w:val="Tablebullet1"/>
            </w:pPr>
            <w:r>
              <w:t>are designed to respond to site and context</w:t>
            </w:r>
          </w:p>
        </w:tc>
      </w:tr>
      <w:tr w:rsidR="000228B2" w14:paraId="7B041060" w14:textId="77777777" w:rsidTr="00542C3C">
        <w:trPr>
          <w:cantSplit/>
        </w:trPr>
        <w:tc>
          <w:tcPr>
            <w:tcW w:w="1242" w:type="dxa"/>
            <w:tcBorders>
              <w:top w:val="single" w:sz="4" w:space="0" w:color="00828D" w:themeColor="accent1"/>
              <w:left w:val="nil"/>
              <w:bottom w:val="single" w:sz="4" w:space="0" w:color="00828D" w:themeColor="accent1"/>
              <w:right w:val="single" w:sz="4" w:space="0" w:color="595959" w:themeColor="text1" w:themeTint="A6"/>
            </w:tcBorders>
            <w:shd w:val="clear" w:color="auto" w:fill="595959" w:themeFill="text1" w:themeFillTint="A6"/>
            <w:hideMark/>
          </w:tcPr>
          <w:p w14:paraId="4D95373B" w14:textId="77777777" w:rsidR="000228B2" w:rsidRPr="00AD6B0C" w:rsidRDefault="000228B2" w:rsidP="00D02070">
            <w:pPr>
              <w:pStyle w:val="Tablebodybold"/>
              <w:rPr>
                <w:color w:val="FFFFFF" w:themeColor="background1"/>
              </w:rPr>
            </w:pPr>
            <w:r w:rsidRPr="00AD6B0C">
              <w:rPr>
                <w:color w:val="FFFFFF" w:themeColor="background1"/>
              </w:rPr>
              <w:lastRenderedPageBreak/>
              <w:t>17</w:t>
            </w:r>
          </w:p>
        </w:tc>
        <w:tc>
          <w:tcPr>
            <w:tcW w:w="3403" w:type="dxa"/>
            <w:tcBorders>
              <w:top w:val="single" w:sz="4" w:space="0" w:color="00828D" w:themeColor="accent1"/>
              <w:left w:val="single" w:sz="4" w:space="0" w:color="595959" w:themeColor="text1" w:themeTint="A6"/>
              <w:bottom w:val="single" w:sz="4" w:space="0" w:color="00828D" w:themeColor="accent1"/>
              <w:right w:val="single" w:sz="4" w:space="0" w:color="595959" w:themeColor="text1" w:themeTint="A6"/>
            </w:tcBorders>
            <w:shd w:val="clear" w:color="auto" w:fill="595959" w:themeFill="text1" w:themeFillTint="A6"/>
            <w:hideMark/>
          </w:tcPr>
          <w:p w14:paraId="7074C333" w14:textId="77777777" w:rsidR="000228B2" w:rsidRPr="00AD6B0C" w:rsidRDefault="000228B2" w:rsidP="00D02070">
            <w:pPr>
              <w:pStyle w:val="Tablebodybold"/>
              <w:rPr>
                <w:color w:val="FFFFFF" w:themeColor="background1"/>
              </w:rPr>
            </w:pPr>
            <w:r w:rsidRPr="00AD6B0C">
              <w:rPr>
                <w:color w:val="FFFFFF" w:themeColor="background1"/>
              </w:rPr>
              <w:t>ECONOMIC DEVELOPMENT</w:t>
            </w:r>
          </w:p>
        </w:tc>
        <w:tc>
          <w:tcPr>
            <w:tcW w:w="4538" w:type="dxa"/>
            <w:tcBorders>
              <w:top w:val="single" w:sz="4" w:space="0" w:color="00828D" w:themeColor="accent1"/>
              <w:left w:val="single" w:sz="4" w:space="0" w:color="595959" w:themeColor="text1" w:themeTint="A6"/>
              <w:bottom w:val="single" w:sz="4" w:space="0" w:color="00828D" w:themeColor="accent1"/>
              <w:right w:val="nil"/>
            </w:tcBorders>
            <w:shd w:val="clear" w:color="auto" w:fill="595959" w:themeFill="text1" w:themeFillTint="A6"/>
          </w:tcPr>
          <w:p w14:paraId="4A716387" w14:textId="77777777" w:rsidR="000228B2" w:rsidRPr="00AD6B0C" w:rsidRDefault="000228B2" w:rsidP="00D02070">
            <w:pPr>
              <w:pStyle w:val="Tablebody"/>
              <w:rPr>
                <w:color w:val="FFFFFF" w:themeColor="background1"/>
              </w:rPr>
            </w:pPr>
          </w:p>
        </w:tc>
      </w:tr>
      <w:tr w:rsidR="000228B2" w14:paraId="36E93E21"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shd w:val="clear" w:color="auto" w:fill="D9D9D9" w:themeFill="background1" w:themeFillShade="D9"/>
            <w:hideMark/>
          </w:tcPr>
          <w:p w14:paraId="65F52703" w14:textId="77777777" w:rsidR="000228B2" w:rsidRDefault="000228B2" w:rsidP="00D02070">
            <w:pPr>
              <w:pStyle w:val="Tablebodybold"/>
            </w:pPr>
            <w:r>
              <w:t>17.01</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shd w:val="clear" w:color="auto" w:fill="D9D9D9" w:themeFill="background1" w:themeFillShade="D9"/>
            <w:hideMark/>
          </w:tcPr>
          <w:p w14:paraId="08E68CEA" w14:textId="77777777" w:rsidR="000228B2" w:rsidRDefault="000228B2" w:rsidP="00D02070">
            <w:pPr>
              <w:pStyle w:val="Tablebodybold"/>
            </w:pPr>
            <w:r>
              <w:t>Employment</w:t>
            </w:r>
          </w:p>
        </w:tc>
        <w:tc>
          <w:tcPr>
            <w:tcW w:w="4538" w:type="dxa"/>
            <w:tcBorders>
              <w:top w:val="single" w:sz="4" w:space="0" w:color="00828D" w:themeColor="accent1"/>
              <w:left w:val="single" w:sz="4" w:space="0" w:color="00828D" w:themeColor="accent1"/>
              <w:bottom w:val="single" w:sz="4" w:space="0" w:color="00828D" w:themeColor="accent1"/>
              <w:right w:val="nil"/>
            </w:tcBorders>
            <w:shd w:val="clear" w:color="auto" w:fill="D9D9D9" w:themeFill="background1" w:themeFillShade="D9"/>
          </w:tcPr>
          <w:p w14:paraId="0FB892ED" w14:textId="77777777" w:rsidR="000228B2" w:rsidRDefault="000228B2" w:rsidP="00D02070">
            <w:pPr>
              <w:pStyle w:val="Tablebody"/>
            </w:pPr>
          </w:p>
        </w:tc>
      </w:tr>
      <w:tr w:rsidR="000228B2" w14:paraId="2589385E"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2D013C06" w14:textId="77777777" w:rsidR="000228B2" w:rsidRDefault="000228B2" w:rsidP="00D02070">
            <w:pPr>
              <w:pStyle w:val="Tablebody"/>
            </w:pPr>
            <w:r>
              <w:t>17.01-1</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23688953" w14:textId="77777777" w:rsidR="000228B2" w:rsidRDefault="000228B2" w:rsidP="00D02070">
            <w:pPr>
              <w:pStyle w:val="Tablebody"/>
            </w:pPr>
            <w:r>
              <w:t>Diversified economy</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7C68F224" w14:textId="77777777" w:rsidR="000228B2" w:rsidRPr="0065027F" w:rsidRDefault="000228B2" w:rsidP="0065027F">
            <w:pPr>
              <w:pStyle w:val="Tablebullet1"/>
            </w:pPr>
            <w:r w:rsidRPr="0065027F">
              <w:t>Facilitating growth in emerging employment sectors</w:t>
            </w:r>
          </w:p>
          <w:p w14:paraId="611E49BC" w14:textId="77777777" w:rsidR="000228B2" w:rsidRPr="0065027F" w:rsidRDefault="000228B2" w:rsidP="0065027F">
            <w:pPr>
              <w:pStyle w:val="Tablebullet1"/>
            </w:pPr>
            <w:r w:rsidRPr="0065027F">
              <w:t>Protecting existing employment areas and planning for new ones</w:t>
            </w:r>
          </w:p>
          <w:p w14:paraId="61FF9879" w14:textId="77777777" w:rsidR="000228B2" w:rsidRDefault="000228B2" w:rsidP="0065027F">
            <w:pPr>
              <w:pStyle w:val="Tablebullet1"/>
            </w:pPr>
            <w:r w:rsidRPr="0065027F">
              <w:t>Growing and diversifying rural economies</w:t>
            </w:r>
          </w:p>
        </w:tc>
      </w:tr>
      <w:tr w:rsidR="000228B2" w14:paraId="20AF18E3"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1C4442E5" w14:textId="77777777" w:rsidR="000228B2" w:rsidRDefault="000228B2" w:rsidP="00D02070">
            <w:pPr>
              <w:pStyle w:val="Tablebody"/>
            </w:pPr>
            <w:r>
              <w:t>17.01-2</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01C70F61" w14:textId="77777777" w:rsidR="000228B2" w:rsidRDefault="000228B2" w:rsidP="00D02070">
            <w:pPr>
              <w:pStyle w:val="Tablebody"/>
            </w:pPr>
            <w:r>
              <w:t>Innovation and research</w:t>
            </w:r>
          </w:p>
        </w:tc>
        <w:tc>
          <w:tcPr>
            <w:tcW w:w="4538" w:type="dxa"/>
            <w:tcBorders>
              <w:top w:val="single" w:sz="4" w:space="0" w:color="00828D" w:themeColor="accent1"/>
              <w:left w:val="single" w:sz="4" w:space="0" w:color="00828D" w:themeColor="accent1"/>
              <w:bottom w:val="single" w:sz="4" w:space="0" w:color="00828D" w:themeColor="accent1"/>
              <w:right w:val="nil"/>
            </w:tcBorders>
            <w:hideMark/>
          </w:tcPr>
          <w:p w14:paraId="4CA5BAF4" w14:textId="77777777" w:rsidR="000228B2" w:rsidRDefault="000228B2" w:rsidP="00A10EA3">
            <w:pPr>
              <w:pStyle w:val="Tablebullet1"/>
            </w:pPr>
            <w:r>
              <w:t>Facilitating growth in the knowledge economy</w:t>
            </w:r>
          </w:p>
          <w:p w14:paraId="0D01FDC2" w14:textId="77777777" w:rsidR="000228B2" w:rsidRDefault="000228B2" w:rsidP="00A10EA3">
            <w:pPr>
              <w:pStyle w:val="Tablebullet1"/>
            </w:pPr>
            <w:r>
              <w:t>Supporting the development of business clusters</w:t>
            </w:r>
          </w:p>
          <w:p w14:paraId="2070C12A" w14:textId="77777777" w:rsidR="000228B2" w:rsidRDefault="000228B2" w:rsidP="00A10EA3">
            <w:pPr>
              <w:pStyle w:val="Tablebullet1"/>
            </w:pPr>
            <w:r>
              <w:t>Innovation and research precinct development (</w:t>
            </w:r>
            <w:proofErr w:type="gramStart"/>
            <w:r>
              <w:t>e.g.</w:t>
            </w:r>
            <w:proofErr w:type="gramEnd"/>
            <w:r>
              <w:t xml:space="preserve"> the Latrobe employment cluster)</w:t>
            </w:r>
          </w:p>
        </w:tc>
      </w:tr>
      <w:tr w:rsidR="000228B2" w14:paraId="3D157F08"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shd w:val="clear" w:color="auto" w:fill="D9D9D9" w:themeFill="background1" w:themeFillShade="D9"/>
            <w:hideMark/>
          </w:tcPr>
          <w:p w14:paraId="785A91E1" w14:textId="77777777" w:rsidR="000228B2" w:rsidRDefault="000228B2" w:rsidP="00D02070">
            <w:pPr>
              <w:pStyle w:val="Tablebodybold"/>
            </w:pPr>
            <w:r>
              <w:t>17.02</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shd w:val="clear" w:color="auto" w:fill="D9D9D9" w:themeFill="background1" w:themeFillShade="D9"/>
            <w:hideMark/>
          </w:tcPr>
          <w:p w14:paraId="459B67A3" w14:textId="77777777" w:rsidR="000228B2" w:rsidRDefault="000228B2" w:rsidP="00D02070">
            <w:pPr>
              <w:pStyle w:val="Tablebodybold"/>
            </w:pPr>
            <w:r>
              <w:t>Commercial</w:t>
            </w:r>
          </w:p>
        </w:tc>
        <w:tc>
          <w:tcPr>
            <w:tcW w:w="4538" w:type="dxa"/>
            <w:tcBorders>
              <w:top w:val="single" w:sz="4" w:space="0" w:color="00828D" w:themeColor="accent1"/>
              <w:left w:val="single" w:sz="4" w:space="0" w:color="00828D" w:themeColor="accent1"/>
              <w:bottom w:val="single" w:sz="4" w:space="0" w:color="00828D" w:themeColor="accent1"/>
              <w:right w:val="nil"/>
            </w:tcBorders>
            <w:shd w:val="clear" w:color="auto" w:fill="D9D9D9" w:themeFill="background1" w:themeFillShade="D9"/>
          </w:tcPr>
          <w:p w14:paraId="75E3BEA4" w14:textId="77777777" w:rsidR="000228B2" w:rsidRDefault="000228B2" w:rsidP="00D02070">
            <w:pPr>
              <w:pStyle w:val="Tablebody"/>
            </w:pPr>
          </w:p>
        </w:tc>
      </w:tr>
      <w:tr w:rsidR="000228B2" w14:paraId="55285C65"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7CB72DA5" w14:textId="77777777" w:rsidR="000228B2" w:rsidRDefault="000228B2" w:rsidP="00D02070">
            <w:pPr>
              <w:pStyle w:val="Tablebody"/>
            </w:pPr>
            <w:r>
              <w:t>17.02-1</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1A5F07AF" w14:textId="77777777" w:rsidR="000228B2" w:rsidRDefault="000228B2" w:rsidP="00D02070">
            <w:pPr>
              <w:pStyle w:val="Tablebody"/>
            </w:pPr>
            <w:r>
              <w:t>Business</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4AB6780D" w14:textId="77777777" w:rsidR="000228B2" w:rsidRDefault="000228B2" w:rsidP="00D02070">
            <w:pPr>
              <w:pStyle w:val="Tablebody"/>
            </w:pPr>
            <w:r>
              <w:t>Meeting the community’s need for retail, entertainment, office and other commercial services</w:t>
            </w:r>
          </w:p>
        </w:tc>
      </w:tr>
      <w:tr w:rsidR="000228B2" w14:paraId="6E48A50A"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086D6816" w14:textId="77777777" w:rsidR="000228B2" w:rsidRDefault="000228B2" w:rsidP="00D02070">
            <w:pPr>
              <w:pStyle w:val="Tablebody"/>
            </w:pPr>
            <w:r>
              <w:t>17.02-2</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683EBBDA" w14:textId="77777777" w:rsidR="000228B2" w:rsidRDefault="000228B2" w:rsidP="00D02070">
            <w:pPr>
              <w:pStyle w:val="Tablebody"/>
            </w:pPr>
            <w:r>
              <w:t>Out-of-centre development</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49B98C50" w14:textId="77777777" w:rsidR="000228B2" w:rsidRDefault="000228B2" w:rsidP="00D02070">
            <w:pPr>
              <w:pStyle w:val="Tablebody"/>
            </w:pPr>
            <w:r>
              <w:t>Managing out-of-centre development to not undermine existing centres and provide a net community benefit</w:t>
            </w:r>
          </w:p>
        </w:tc>
      </w:tr>
      <w:tr w:rsidR="000228B2" w14:paraId="0616F4CA"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shd w:val="clear" w:color="auto" w:fill="D9D9D9" w:themeFill="background1" w:themeFillShade="D9"/>
            <w:hideMark/>
          </w:tcPr>
          <w:p w14:paraId="73F05183" w14:textId="77777777" w:rsidR="000228B2" w:rsidRDefault="000228B2" w:rsidP="00D02070">
            <w:pPr>
              <w:pStyle w:val="Tablebodybold"/>
            </w:pPr>
            <w:r>
              <w:t>17.03</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shd w:val="clear" w:color="auto" w:fill="D9D9D9" w:themeFill="background1" w:themeFillShade="D9"/>
            <w:hideMark/>
          </w:tcPr>
          <w:p w14:paraId="6574098C" w14:textId="77777777" w:rsidR="000228B2" w:rsidRDefault="000228B2" w:rsidP="00D02070">
            <w:pPr>
              <w:pStyle w:val="Tablebodybold"/>
            </w:pPr>
            <w:r>
              <w:t>Industry</w:t>
            </w:r>
          </w:p>
        </w:tc>
        <w:tc>
          <w:tcPr>
            <w:tcW w:w="4538" w:type="dxa"/>
            <w:tcBorders>
              <w:top w:val="single" w:sz="4" w:space="0" w:color="00828D" w:themeColor="accent1"/>
              <w:left w:val="single" w:sz="4" w:space="0" w:color="00828D" w:themeColor="accent1"/>
              <w:bottom w:val="single" w:sz="4" w:space="0" w:color="00828D" w:themeColor="accent1"/>
              <w:right w:val="nil"/>
            </w:tcBorders>
            <w:shd w:val="clear" w:color="auto" w:fill="D9D9D9" w:themeFill="background1" w:themeFillShade="D9"/>
          </w:tcPr>
          <w:p w14:paraId="2F9F1C8C" w14:textId="77777777" w:rsidR="000228B2" w:rsidRDefault="000228B2" w:rsidP="00D02070">
            <w:pPr>
              <w:pStyle w:val="Tablebody"/>
            </w:pPr>
          </w:p>
        </w:tc>
      </w:tr>
      <w:tr w:rsidR="000228B2" w14:paraId="745E2229"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39B99943" w14:textId="77777777" w:rsidR="000228B2" w:rsidRDefault="000228B2" w:rsidP="00D02070">
            <w:pPr>
              <w:pStyle w:val="Tablebody"/>
            </w:pPr>
            <w:r>
              <w:t>17.03-1</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20397BCE" w14:textId="77777777" w:rsidR="000228B2" w:rsidRDefault="000228B2" w:rsidP="00D02070">
            <w:pPr>
              <w:pStyle w:val="Tablebody"/>
            </w:pPr>
            <w:r>
              <w:t>Industrial land supply</w:t>
            </w:r>
          </w:p>
        </w:tc>
        <w:tc>
          <w:tcPr>
            <w:tcW w:w="4538" w:type="dxa"/>
            <w:tcBorders>
              <w:top w:val="single" w:sz="4" w:space="0" w:color="00828D" w:themeColor="accent1"/>
              <w:left w:val="single" w:sz="4" w:space="0" w:color="00828D" w:themeColor="accent1"/>
              <w:bottom w:val="single" w:sz="4" w:space="0" w:color="00828D" w:themeColor="accent1"/>
              <w:right w:val="nil"/>
            </w:tcBorders>
            <w:hideMark/>
          </w:tcPr>
          <w:p w14:paraId="584F46DB" w14:textId="77777777" w:rsidR="000228B2" w:rsidRDefault="000228B2" w:rsidP="00D02070">
            <w:pPr>
              <w:pStyle w:val="Tablebody"/>
            </w:pPr>
            <w:r>
              <w:t>Allocating sufficient land for all industrial needs</w:t>
            </w:r>
          </w:p>
        </w:tc>
      </w:tr>
      <w:tr w:rsidR="000228B2" w14:paraId="62E7ED08"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5A518098" w14:textId="77777777" w:rsidR="000228B2" w:rsidRDefault="000228B2" w:rsidP="00D02070">
            <w:pPr>
              <w:pStyle w:val="Tablebody"/>
            </w:pPr>
            <w:r>
              <w:t>17.03-2</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03BF313F" w14:textId="281ACAC3" w:rsidR="000228B2" w:rsidRDefault="000228B2" w:rsidP="00D02070">
            <w:pPr>
              <w:pStyle w:val="Tablebody"/>
            </w:pPr>
            <w:r>
              <w:t>Sustainable industry</w:t>
            </w:r>
          </w:p>
        </w:tc>
        <w:tc>
          <w:tcPr>
            <w:tcW w:w="4538" w:type="dxa"/>
            <w:tcBorders>
              <w:top w:val="single" w:sz="4" w:space="0" w:color="00828D" w:themeColor="accent1"/>
              <w:left w:val="single" w:sz="4" w:space="0" w:color="00828D" w:themeColor="accent1"/>
              <w:bottom w:val="single" w:sz="4" w:space="0" w:color="00828D" w:themeColor="accent1"/>
              <w:right w:val="nil"/>
            </w:tcBorders>
            <w:hideMark/>
          </w:tcPr>
          <w:p w14:paraId="58D0F22F" w14:textId="2281918D" w:rsidR="000228B2" w:rsidRDefault="000228B2" w:rsidP="00D02070">
            <w:pPr>
              <w:pStyle w:val="Tablebody"/>
            </w:pPr>
            <w:r>
              <w:t>Protecting the viability of industries through buffer distances, their location and other measures</w:t>
            </w:r>
          </w:p>
        </w:tc>
      </w:tr>
      <w:tr w:rsidR="000228B2" w14:paraId="4EA973F1"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767D44B0" w14:textId="77777777" w:rsidR="000228B2" w:rsidRDefault="000228B2" w:rsidP="00D02070">
            <w:pPr>
              <w:pStyle w:val="Tablebody"/>
            </w:pPr>
            <w:r>
              <w:t>17.03-3</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3EC10CA6" w14:textId="77777777" w:rsidR="000228B2" w:rsidRDefault="000228B2" w:rsidP="00D02070">
            <w:pPr>
              <w:pStyle w:val="Tablebody"/>
            </w:pPr>
            <w:r>
              <w:t>State significant industrial land</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0F0F07C3" w14:textId="77777777" w:rsidR="000228B2" w:rsidRDefault="000228B2" w:rsidP="00D02070">
            <w:pPr>
              <w:pStyle w:val="Tablebody"/>
            </w:pPr>
            <w:r>
              <w:t>Protecting industrial land of state significance to allow for future growth</w:t>
            </w:r>
          </w:p>
        </w:tc>
      </w:tr>
      <w:tr w:rsidR="000228B2" w14:paraId="080A734D"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shd w:val="clear" w:color="auto" w:fill="D9D9D9" w:themeFill="background1" w:themeFillShade="D9"/>
            <w:hideMark/>
          </w:tcPr>
          <w:p w14:paraId="55D1D5EB" w14:textId="77777777" w:rsidR="000228B2" w:rsidRDefault="000228B2" w:rsidP="00D02070">
            <w:pPr>
              <w:pStyle w:val="Tablebodybold"/>
            </w:pPr>
            <w:r>
              <w:t>17.04</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shd w:val="clear" w:color="auto" w:fill="D9D9D9" w:themeFill="background1" w:themeFillShade="D9"/>
            <w:hideMark/>
          </w:tcPr>
          <w:p w14:paraId="6E086B64" w14:textId="77777777" w:rsidR="000228B2" w:rsidRDefault="000228B2" w:rsidP="00D02070">
            <w:pPr>
              <w:pStyle w:val="Tablebodybold"/>
            </w:pPr>
            <w:r>
              <w:t>Tourism</w:t>
            </w:r>
          </w:p>
        </w:tc>
        <w:tc>
          <w:tcPr>
            <w:tcW w:w="4538" w:type="dxa"/>
            <w:tcBorders>
              <w:top w:val="single" w:sz="4" w:space="0" w:color="00828D" w:themeColor="accent1"/>
              <w:left w:val="single" w:sz="4" w:space="0" w:color="00828D" w:themeColor="accent1"/>
              <w:bottom w:val="single" w:sz="4" w:space="0" w:color="00828D" w:themeColor="accent1"/>
              <w:right w:val="nil"/>
            </w:tcBorders>
            <w:shd w:val="clear" w:color="auto" w:fill="D9D9D9" w:themeFill="background1" w:themeFillShade="D9"/>
          </w:tcPr>
          <w:p w14:paraId="540CBF0F" w14:textId="77777777" w:rsidR="000228B2" w:rsidRDefault="000228B2" w:rsidP="00D02070">
            <w:pPr>
              <w:pStyle w:val="Tablebody"/>
            </w:pPr>
          </w:p>
        </w:tc>
      </w:tr>
      <w:tr w:rsidR="000228B2" w14:paraId="6BC098D4"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13F60414" w14:textId="77777777" w:rsidR="000228B2" w:rsidRDefault="000228B2" w:rsidP="00D02070">
            <w:pPr>
              <w:pStyle w:val="Tablebody"/>
            </w:pPr>
            <w:r>
              <w:t>17.04-1</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60072218" w14:textId="77777777" w:rsidR="000228B2" w:rsidRDefault="000228B2" w:rsidP="00D02070">
            <w:pPr>
              <w:pStyle w:val="Tablebody"/>
            </w:pPr>
            <w:r>
              <w:t>Facilitating tourism</w:t>
            </w:r>
          </w:p>
        </w:tc>
        <w:tc>
          <w:tcPr>
            <w:tcW w:w="4538" w:type="dxa"/>
            <w:tcBorders>
              <w:top w:val="single" w:sz="4" w:space="0" w:color="00828D" w:themeColor="accent1"/>
              <w:left w:val="single" w:sz="4" w:space="0" w:color="00828D" w:themeColor="accent1"/>
              <w:bottom w:val="single" w:sz="4" w:space="0" w:color="00828D" w:themeColor="accent1"/>
              <w:right w:val="nil"/>
            </w:tcBorders>
            <w:hideMark/>
          </w:tcPr>
          <w:p w14:paraId="0CB3E0B8" w14:textId="6E260644" w:rsidR="000228B2" w:rsidRDefault="000228B2" w:rsidP="00D02070">
            <w:pPr>
              <w:pStyle w:val="Tablebody"/>
            </w:pPr>
            <w:r>
              <w:t xml:space="preserve">Excludes what is captured under </w:t>
            </w:r>
            <w:r w:rsidR="001F616D" w:rsidRPr="00B00B76">
              <w:t>c</w:t>
            </w:r>
            <w:r w:rsidRPr="00B00B76">
              <w:t>lause 17.04-2</w:t>
            </w:r>
            <w:r w:rsidRPr="004401FC">
              <w:t xml:space="preserve"> </w:t>
            </w:r>
            <w:r w:rsidR="004401FC" w:rsidRPr="004401FC">
              <w:t>(</w:t>
            </w:r>
            <w:r w:rsidRPr="004401FC">
              <w:t>Coastal and maritime tourism and recreation</w:t>
            </w:r>
            <w:r w:rsidR="004401FC" w:rsidRPr="004401FC">
              <w:t>)</w:t>
            </w:r>
          </w:p>
        </w:tc>
      </w:tr>
      <w:tr w:rsidR="000228B2" w14:paraId="723C7B01"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56B400BD" w14:textId="77777777" w:rsidR="000228B2" w:rsidRDefault="000228B2" w:rsidP="00D02070">
            <w:pPr>
              <w:pStyle w:val="Tablebody"/>
            </w:pPr>
            <w:r>
              <w:t>17.04-2</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528D3916" w14:textId="77777777" w:rsidR="000228B2" w:rsidRDefault="000228B2" w:rsidP="00D02070">
            <w:pPr>
              <w:pStyle w:val="Tablebody"/>
            </w:pPr>
            <w:r>
              <w:t>Coastal and maritime tourism and recreation</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0ED3E673" w14:textId="77777777" w:rsidR="000228B2" w:rsidRDefault="000228B2" w:rsidP="00D02070">
            <w:pPr>
              <w:pStyle w:val="Tablebody"/>
            </w:pPr>
          </w:p>
        </w:tc>
      </w:tr>
      <w:tr w:rsidR="000228B2" w14:paraId="53E27AD8" w14:textId="77777777" w:rsidTr="00542C3C">
        <w:trPr>
          <w:cantSplit/>
        </w:trPr>
        <w:tc>
          <w:tcPr>
            <w:tcW w:w="1242" w:type="dxa"/>
            <w:tcBorders>
              <w:top w:val="single" w:sz="4" w:space="0" w:color="00828D" w:themeColor="accent1"/>
              <w:left w:val="nil"/>
              <w:bottom w:val="single" w:sz="4" w:space="0" w:color="00828D" w:themeColor="accent1"/>
              <w:right w:val="single" w:sz="4" w:space="0" w:color="595959" w:themeColor="text1" w:themeTint="A6"/>
            </w:tcBorders>
            <w:shd w:val="clear" w:color="auto" w:fill="595959" w:themeFill="text1" w:themeFillTint="A6"/>
            <w:hideMark/>
          </w:tcPr>
          <w:p w14:paraId="1547BC2B" w14:textId="77777777" w:rsidR="000228B2" w:rsidRPr="00AD6B0C" w:rsidRDefault="000228B2" w:rsidP="00D02070">
            <w:pPr>
              <w:pStyle w:val="Tablebodybold"/>
              <w:rPr>
                <w:color w:val="FFFFFF" w:themeColor="background1"/>
              </w:rPr>
            </w:pPr>
            <w:r w:rsidRPr="00AD6B0C">
              <w:rPr>
                <w:color w:val="FFFFFF" w:themeColor="background1"/>
              </w:rPr>
              <w:t>18</w:t>
            </w:r>
          </w:p>
        </w:tc>
        <w:tc>
          <w:tcPr>
            <w:tcW w:w="3403" w:type="dxa"/>
            <w:tcBorders>
              <w:top w:val="single" w:sz="4" w:space="0" w:color="00828D" w:themeColor="accent1"/>
              <w:left w:val="single" w:sz="4" w:space="0" w:color="595959" w:themeColor="text1" w:themeTint="A6"/>
              <w:bottom w:val="single" w:sz="4" w:space="0" w:color="00828D" w:themeColor="accent1"/>
              <w:right w:val="single" w:sz="4" w:space="0" w:color="595959" w:themeColor="text1" w:themeTint="A6"/>
            </w:tcBorders>
            <w:shd w:val="clear" w:color="auto" w:fill="595959" w:themeFill="text1" w:themeFillTint="A6"/>
            <w:hideMark/>
          </w:tcPr>
          <w:p w14:paraId="7C0A7930" w14:textId="77777777" w:rsidR="000228B2" w:rsidRPr="00AD6B0C" w:rsidRDefault="000228B2" w:rsidP="00D02070">
            <w:pPr>
              <w:pStyle w:val="Tablebodybold"/>
              <w:rPr>
                <w:color w:val="FFFFFF" w:themeColor="background1"/>
              </w:rPr>
            </w:pPr>
            <w:r w:rsidRPr="00AD6B0C">
              <w:rPr>
                <w:color w:val="FFFFFF" w:themeColor="background1"/>
              </w:rPr>
              <w:t>TRANSPORT</w:t>
            </w:r>
          </w:p>
        </w:tc>
        <w:tc>
          <w:tcPr>
            <w:tcW w:w="4538" w:type="dxa"/>
            <w:tcBorders>
              <w:top w:val="single" w:sz="4" w:space="0" w:color="00828D" w:themeColor="accent1"/>
              <w:left w:val="single" w:sz="4" w:space="0" w:color="595959" w:themeColor="text1" w:themeTint="A6"/>
              <w:bottom w:val="single" w:sz="4" w:space="0" w:color="00828D" w:themeColor="accent1"/>
              <w:right w:val="nil"/>
            </w:tcBorders>
            <w:shd w:val="clear" w:color="auto" w:fill="595959" w:themeFill="text1" w:themeFillTint="A6"/>
          </w:tcPr>
          <w:p w14:paraId="38D80FCA" w14:textId="77777777" w:rsidR="000228B2" w:rsidRPr="00AD6B0C" w:rsidRDefault="000228B2" w:rsidP="00D02070">
            <w:pPr>
              <w:pStyle w:val="Tablebody"/>
              <w:rPr>
                <w:color w:val="FFFFFF" w:themeColor="background1"/>
              </w:rPr>
            </w:pPr>
          </w:p>
        </w:tc>
      </w:tr>
      <w:tr w:rsidR="000228B2" w14:paraId="6CBC231B"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shd w:val="clear" w:color="auto" w:fill="D9D9D9" w:themeFill="background1" w:themeFillShade="D9"/>
            <w:hideMark/>
          </w:tcPr>
          <w:p w14:paraId="328F8EBB" w14:textId="77777777" w:rsidR="000228B2" w:rsidRDefault="000228B2" w:rsidP="00D02070">
            <w:pPr>
              <w:pStyle w:val="Tablebodybold"/>
            </w:pPr>
            <w:r>
              <w:t>18.01</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shd w:val="clear" w:color="auto" w:fill="D9D9D9" w:themeFill="background1" w:themeFillShade="D9"/>
            <w:hideMark/>
          </w:tcPr>
          <w:p w14:paraId="486362BE" w14:textId="7760653F" w:rsidR="000228B2" w:rsidRDefault="00D1103C" w:rsidP="00D02070">
            <w:pPr>
              <w:pStyle w:val="Tablebodybold"/>
            </w:pPr>
            <w:r>
              <w:t xml:space="preserve">Land use and </w:t>
            </w:r>
            <w:r w:rsidR="000228B2">
              <w:t>transport</w:t>
            </w:r>
          </w:p>
        </w:tc>
        <w:tc>
          <w:tcPr>
            <w:tcW w:w="4538" w:type="dxa"/>
            <w:tcBorders>
              <w:top w:val="single" w:sz="4" w:space="0" w:color="00828D" w:themeColor="accent1"/>
              <w:left w:val="single" w:sz="4" w:space="0" w:color="00828D" w:themeColor="accent1"/>
              <w:bottom w:val="single" w:sz="4" w:space="0" w:color="00828D" w:themeColor="accent1"/>
              <w:right w:val="nil"/>
            </w:tcBorders>
            <w:shd w:val="clear" w:color="auto" w:fill="D9D9D9" w:themeFill="background1" w:themeFillShade="D9"/>
          </w:tcPr>
          <w:p w14:paraId="27CFDF74" w14:textId="77777777" w:rsidR="000228B2" w:rsidRDefault="000228B2" w:rsidP="00D02070">
            <w:pPr>
              <w:pStyle w:val="Tablebody"/>
            </w:pPr>
          </w:p>
        </w:tc>
      </w:tr>
      <w:tr w:rsidR="000228B2" w14:paraId="430E9522"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089BA4F8" w14:textId="77777777" w:rsidR="000228B2" w:rsidRDefault="000228B2" w:rsidP="00D02070">
            <w:pPr>
              <w:pStyle w:val="Tablebody"/>
            </w:pPr>
            <w:r>
              <w:t>18.01-1</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56146FC5" w14:textId="481928D5" w:rsidR="000228B2" w:rsidRDefault="000228B2" w:rsidP="00D02070">
            <w:pPr>
              <w:pStyle w:val="Tablebody"/>
            </w:pPr>
            <w:r>
              <w:t xml:space="preserve">Land use and transport </w:t>
            </w:r>
            <w:r w:rsidR="005F1F4F">
              <w:t>integration</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6910C2D0" w14:textId="26A865F7" w:rsidR="000228B2" w:rsidRDefault="00C60214" w:rsidP="00D02070">
            <w:pPr>
              <w:pStyle w:val="Tablebody"/>
            </w:pPr>
            <w:r>
              <w:t>Integrating land use and transport to develop a transport system that facilitates access to social, cultural, and economic activities</w:t>
            </w:r>
          </w:p>
        </w:tc>
      </w:tr>
      <w:tr w:rsidR="000228B2" w14:paraId="5A31563A"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217BFE96" w14:textId="77777777" w:rsidR="000228B2" w:rsidRDefault="000228B2" w:rsidP="00D02070">
            <w:pPr>
              <w:pStyle w:val="Tablebody"/>
            </w:pPr>
            <w:r>
              <w:lastRenderedPageBreak/>
              <w:t>18.01-2</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2CE2940A" w14:textId="77777777" w:rsidR="000228B2" w:rsidRDefault="000228B2" w:rsidP="00D02070">
            <w:pPr>
              <w:pStyle w:val="Tablebody"/>
            </w:pPr>
            <w:r>
              <w:t>Transport system</w:t>
            </w:r>
          </w:p>
        </w:tc>
        <w:tc>
          <w:tcPr>
            <w:tcW w:w="4538" w:type="dxa"/>
            <w:tcBorders>
              <w:top w:val="single" w:sz="4" w:space="0" w:color="00828D" w:themeColor="accent1"/>
              <w:left w:val="single" w:sz="4" w:space="0" w:color="00828D" w:themeColor="accent1"/>
              <w:bottom w:val="single" w:sz="4" w:space="0" w:color="00828D" w:themeColor="accent1"/>
              <w:right w:val="nil"/>
            </w:tcBorders>
            <w:hideMark/>
          </w:tcPr>
          <w:p w14:paraId="0B560B6B" w14:textId="77777777" w:rsidR="000228B2" w:rsidRDefault="000228B2" w:rsidP="00A10EA3">
            <w:pPr>
              <w:pStyle w:val="Tablebullet1"/>
            </w:pPr>
            <w:r>
              <w:t>Location and design of new transport routes for all modes</w:t>
            </w:r>
          </w:p>
          <w:p w14:paraId="7F00BBCB" w14:textId="255C7A31" w:rsidR="000228B2" w:rsidRDefault="000228B2" w:rsidP="00A10EA3">
            <w:pPr>
              <w:pStyle w:val="Tablebullet1"/>
            </w:pPr>
            <w:r>
              <w:t xml:space="preserve">Locating and designing </w:t>
            </w:r>
            <w:r w:rsidR="00696EB8">
              <w:t>movement networks to balance the needs of different users of the transport system</w:t>
            </w:r>
          </w:p>
        </w:tc>
      </w:tr>
      <w:tr w:rsidR="000228B2" w14:paraId="5104E7B2"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tcPr>
          <w:p w14:paraId="166066EB" w14:textId="052EE85F" w:rsidR="000228B2" w:rsidRPr="005051D3" w:rsidRDefault="000228B2" w:rsidP="00D02070">
            <w:pPr>
              <w:pStyle w:val="Tablebodybold"/>
              <w:rPr>
                <w:b w:val="0"/>
                <w:bCs/>
              </w:rPr>
            </w:pPr>
            <w:r w:rsidRPr="005051D3">
              <w:rPr>
                <w:b w:val="0"/>
                <w:bCs/>
              </w:rPr>
              <w:t>18.01-3</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tcPr>
          <w:p w14:paraId="0B5906F0" w14:textId="7FB9EBC0" w:rsidR="000228B2" w:rsidRPr="005051D3" w:rsidRDefault="000228B2" w:rsidP="00D02070">
            <w:pPr>
              <w:pStyle w:val="Tablebodybold"/>
              <w:rPr>
                <w:b w:val="0"/>
                <w:bCs/>
              </w:rPr>
            </w:pPr>
            <w:r w:rsidRPr="005051D3">
              <w:rPr>
                <w:b w:val="0"/>
                <w:bCs/>
              </w:rPr>
              <w:t>Sustainable and safe transport</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716BD630" w14:textId="649AE643" w:rsidR="000228B2" w:rsidRDefault="002A4703" w:rsidP="00D02070">
            <w:pPr>
              <w:pStyle w:val="Tablebody"/>
            </w:pPr>
            <w:r>
              <w:t>Designing a safe transport system that promotes health and wellbeing and is sustainable</w:t>
            </w:r>
          </w:p>
        </w:tc>
      </w:tr>
      <w:tr w:rsidR="000228B2" w14:paraId="1C8253D7"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shd w:val="clear" w:color="auto" w:fill="D9D9D9" w:themeFill="background1" w:themeFillShade="D9"/>
            <w:hideMark/>
          </w:tcPr>
          <w:p w14:paraId="31C5D619" w14:textId="77777777" w:rsidR="000228B2" w:rsidRDefault="000228B2" w:rsidP="00D02070">
            <w:pPr>
              <w:pStyle w:val="Tablebodybold"/>
            </w:pPr>
            <w:r>
              <w:t>18.02</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shd w:val="clear" w:color="auto" w:fill="D9D9D9" w:themeFill="background1" w:themeFillShade="D9"/>
            <w:hideMark/>
          </w:tcPr>
          <w:p w14:paraId="0DB34D8F" w14:textId="77777777" w:rsidR="000228B2" w:rsidRDefault="000228B2" w:rsidP="00D02070">
            <w:pPr>
              <w:pStyle w:val="Tablebodybold"/>
            </w:pPr>
            <w:r>
              <w:t>Movement networks</w:t>
            </w:r>
          </w:p>
        </w:tc>
        <w:tc>
          <w:tcPr>
            <w:tcW w:w="4538" w:type="dxa"/>
            <w:tcBorders>
              <w:top w:val="single" w:sz="4" w:space="0" w:color="00828D" w:themeColor="accent1"/>
              <w:left w:val="single" w:sz="4" w:space="0" w:color="00828D" w:themeColor="accent1"/>
              <w:bottom w:val="single" w:sz="4" w:space="0" w:color="00828D" w:themeColor="accent1"/>
              <w:right w:val="nil"/>
            </w:tcBorders>
            <w:shd w:val="clear" w:color="auto" w:fill="D9D9D9" w:themeFill="background1" w:themeFillShade="D9"/>
          </w:tcPr>
          <w:p w14:paraId="32B31D93" w14:textId="77777777" w:rsidR="000228B2" w:rsidRDefault="000228B2" w:rsidP="00D02070">
            <w:pPr>
              <w:pStyle w:val="Tablebody"/>
            </w:pPr>
          </w:p>
        </w:tc>
      </w:tr>
      <w:tr w:rsidR="005D4E34" w14:paraId="7895934A"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tcPr>
          <w:p w14:paraId="159891E5" w14:textId="09A5AD1F" w:rsidR="005D4E34" w:rsidRDefault="005D4E34" w:rsidP="00D02070">
            <w:pPr>
              <w:pStyle w:val="Tablebody"/>
            </w:pPr>
            <w:r>
              <w:t>18.02-1</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tcPr>
          <w:p w14:paraId="1921AED3" w14:textId="67C86BE3" w:rsidR="005D4E34" w:rsidRDefault="007D046A" w:rsidP="00D02070">
            <w:pPr>
              <w:pStyle w:val="Tablebody"/>
            </w:pPr>
            <w:r>
              <w:t>Walking</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69EB0B60" w14:textId="77777777" w:rsidR="00A0008D" w:rsidRDefault="005D4E34" w:rsidP="00A10EA3">
            <w:pPr>
              <w:pStyle w:val="Tablebullet1"/>
            </w:pPr>
            <w:r>
              <w:t xml:space="preserve">Encouraging </w:t>
            </w:r>
            <w:r w:rsidR="00260308">
              <w:t>efficient and safe walking networks that link with the transport system</w:t>
            </w:r>
          </w:p>
          <w:p w14:paraId="3C3C83B5" w14:textId="38B96E69" w:rsidR="005D4E34" w:rsidRDefault="00A0008D" w:rsidP="00763A62">
            <w:pPr>
              <w:pStyle w:val="Tablebullet1"/>
            </w:pPr>
            <w:r>
              <w:t>Improving walking infrastructure</w:t>
            </w:r>
          </w:p>
        </w:tc>
      </w:tr>
      <w:tr w:rsidR="004B2A06" w14:paraId="0B0075F4"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tcPr>
          <w:p w14:paraId="526ADD45" w14:textId="2AE30775" w:rsidR="004B2A06" w:rsidRDefault="004B2A06" w:rsidP="00D02070">
            <w:pPr>
              <w:pStyle w:val="Tablebody"/>
            </w:pPr>
            <w:r>
              <w:t>18.02-2</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tcPr>
          <w:p w14:paraId="68B771BC" w14:textId="03121777" w:rsidR="004B2A06" w:rsidRDefault="00A0008D" w:rsidP="00D02070">
            <w:pPr>
              <w:pStyle w:val="Tablebody"/>
            </w:pPr>
            <w:r>
              <w:t>Cycling</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7404F539" w14:textId="6ADAC5B6" w:rsidR="004B2A06" w:rsidRDefault="00612A82" w:rsidP="00A10EA3">
            <w:pPr>
              <w:pStyle w:val="Tablebullet1"/>
            </w:pPr>
            <w:r>
              <w:t>Encouraging efficient and safe bicycle</w:t>
            </w:r>
            <w:r w:rsidR="00007057">
              <w:t xml:space="preserve"> networks that link with the transport system </w:t>
            </w:r>
          </w:p>
          <w:p w14:paraId="41D90B3A" w14:textId="530AA0EE" w:rsidR="005C0B12" w:rsidRDefault="005C0B12" w:rsidP="00A10EA3">
            <w:pPr>
              <w:pStyle w:val="Tablebullet1"/>
            </w:pPr>
            <w:r>
              <w:t>Protecting and improving</w:t>
            </w:r>
            <w:r w:rsidR="00CD7379">
              <w:t xml:space="preserve"> Strategic Cycling Corridors</w:t>
            </w:r>
          </w:p>
          <w:p w14:paraId="6093390C" w14:textId="2877A33C" w:rsidR="004B2A06" w:rsidRDefault="005D107D" w:rsidP="00763A62">
            <w:pPr>
              <w:pStyle w:val="Tablebullet1"/>
            </w:pPr>
            <w:r>
              <w:t>Improving cycling infrastructure</w:t>
            </w:r>
          </w:p>
        </w:tc>
      </w:tr>
      <w:tr w:rsidR="00FA4C6B" w14:paraId="511D0EA2"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tcPr>
          <w:p w14:paraId="4ED724DD" w14:textId="6403FF52" w:rsidR="00FA4C6B" w:rsidRPr="006230E3" w:rsidRDefault="00FA4C6B" w:rsidP="00D02070">
            <w:pPr>
              <w:pStyle w:val="Tablebody"/>
              <w:rPr>
                <w:highlight w:val="yellow"/>
              </w:rPr>
            </w:pPr>
            <w:r w:rsidRPr="007F357D">
              <w:t>18.02-3</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tcPr>
          <w:p w14:paraId="2EAE103F" w14:textId="537D22C4" w:rsidR="00FA4C6B" w:rsidRDefault="00CD7379" w:rsidP="00D02070">
            <w:pPr>
              <w:pStyle w:val="Tablebody"/>
            </w:pPr>
            <w:r>
              <w:t>Public Transport</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488FB63A" w14:textId="77777777" w:rsidR="00162AF1" w:rsidRDefault="00162AF1" w:rsidP="00A10EA3">
            <w:pPr>
              <w:pStyle w:val="Tablebullet1"/>
            </w:pPr>
            <w:r>
              <w:t>Integrating major transport projects with public transport infrastructure</w:t>
            </w:r>
          </w:p>
          <w:p w14:paraId="4C4EADB4" w14:textId="77777777" w:rsidR="00162AF1" w:rsidRDefault="00162AF1" w:rsidP="00A10EA3">
            <w:pPr>
              <w:pStyle w:val="Tablebullet1"/>
            </w:pPr>
            <w:r>
              <w:t xml:space="preserve">Protecting and developing the </w:t>
            </w:r>
            <w:proofErr w:type="gramStart"/>
            <w:r>
              <w:t>Principal  Public</w:t>
            </w:r>
            <w:proofErr w:type="gramEnd"/>
            <w:r>
              <w:t xml:space="preserve"> Transport Network and Regional Rail</w:t>
            </w:r>
          </w:p>
          <w:p w14:paraId="43DB5A1E" w14:textId="51D611C4" w:rsidR="00FA4C6B" w:rsidRDefault="00162AF1" w:rsidP="00454F0F">
            <w:pPr>
              <w:pStyle w:val="Tablebullet1"/>
            </w:pPr>
            <w:r>
              <w:t>Integrating land use and development with public transport infrastructure</w:t>
            </w:r>
          </w:p>
        </w:tc>
      </w:tr>
      <w:tr w:rsidR="00981FC0" w14:paraId="475D4930"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tcPr>
          <w:p w14:paraId="62C73F9B" w14:textId="703FE32C" w:rsidR="00981FC0" w:rsidRDefault="00981FC0" w:rsidP="00D02070">
            <w:pPr>
              <w:pStyle w:val="Tablebody"/>
            </w:pPr>
            <w:r>
              <w:t>18.02-4</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tcPr>
          <w:p w14:paraId="10E00696" w14:textId="61E458DD" w:rsidR="00981FC0" w:rsidRDefault="00162AF1" w:rsidP="00D02070">
            <w:pPr>
              <w:pStyle w:val="Tablebody"/>
            </w:pPr>
            <w:r>
              <w:t>Roads</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513DA292" w14:textId="77777777" w:rsidR="00DA7A7D" w:rsidRDefault="00DA7A7D" w:rsidP="00A10EA3">
            <w:pPr>
              <w:pStyle w:val="Tablebullet1"/>
            </w:pPr>
            <w:r>
              <w:t>Design of road networks and declared roads and freeways</w:t>
            </w:r>
          </w:p>
          <w:p w14:paraId="44929A20" w14:textId="77777777" w:rsidR="00DA7A7D" w:rsidRDefault="00DA7A7D" w:rsidP="00A10EA3">
            <w:pPr>
              <w:pStyle w:val="Tablebullet1"/>
            </w:pPr>
            <w:r>
              <w:t>Design for safe movement of people and goods</w:t>
            </w:r>
          </w:p>
          <w:p w14:paraId="37A6779D" w14:textId="7E282513" w:rsidR="00B00C44" w:rsidRDefault="00DA7A7D" w:rsidP="00A10EA3">
            <w:pPr>
              <w:pStyle w:val="Tablebullet1"/>
            </w:pPr>
            <w:r>
              <w:t>Protecting and development of the Principal Road Network</w:t>
            </w:r>
          </w:p>
          <w:p w14:paraId="0196EC3A" w14:textId="59269171" w:rsidR="00981FC0" w:rsidRDefault="00981FC0" w:rsidP="00A10EA3">
            <w:pPr>
              <w:pStyle w:val="Tablebullet1"/>
            </w:pPr>
            <w:r>
              <w:t xml:space="preserve">Allocating land for car parking based on demand </w:t>
            </w:r>
            <w:proofErr w:type="gramStart"/>
            <w:r>
              <w:t>taking into account</w:t>
            </w:r>
            <w:proofErr w:type="gramEnd"/>
            <w:r>
              <w:t xml:space="preserve"> all modes of transport</w:t>
            </w:r>
          </w:p>
          <w:p w14:paraId="15F12E43" w14:textId="77777777" w:rsidR="00981FC0" w:rsidRDefault="00981FC0" w:rsidP="00A10EA3">
            <w:pPr>
              <w:pStyle w:val="Tablebullet1"/>
            </w:pPr>
            <w:r>
              <w:t>Efficient provision and use of car parking facilities</w:t>
            </w:r>
          </w:p>
          <w:p w14:paraId="4F27DD30" w14:textId="608874DD" w:rsidR="00981FC0" w:rsidRDefault="00981FC0" w:rsidP="00A10EA3">
            <w:pPr>
              <w:pStyle w:val="Tablebullet1"/>
            </w:pPr>
            <w:r>
              <w:t>Design and location of car parking facilities</w:t>
            </w:r>
          </w:p>
        </w:tc>
      </w:tr>
      <w:tr w:rsidR="00986E07" w14:paraId="5C6B0A6F"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tcPr>
          <w:p w14:paraId="019F8890" w14:textId="0C98CB04" w:rsidR="00986E07" w:rsidRDefault="00986E07" w:rsidP="00D02070">
            <w:pPr>
              <w:pStyle w:val="Tablebody"/>
            </w:pPr>
            <w:r>
              <w:t>18.02-5</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tcPr>
          <w:p w14:paraId="6046A898" w14:textId="5CB10BA1" w:rsidR="00986E07" w:rsidRDefault="00986E07" w:rsidP="00D02070">
            <w:pPr>
              <w:pStyle w:val="Tablebody"/>
            </w:pPr>
            <w:r>
              <w:t>Freight</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0F17FBA7" w14:textId="77777777" w:rsidR="00986E07" w:rsidRDefault="00986E07" w:rsidP="00A10EA3">
            <w:pPr>
              <w:pStyle w:val="Tablebullet1"/>
            </w:pPr>
            <w:r>
              <w:t>Protecting and developing the Principal Freight Network</w:t>
            </w:r>
          </w:p>
          <w:p w14:paraId="11BEB679" w14:textId="261DF92E" w:rsidR="00986E07" w:rsidRDefault="00986E07" w:rsidP="00A10EA3">
            <w:pPr>
              <w:pStyle w:val="Tablebullet1"/>
            </w:pPr>
            <w:r>
              <w:t>Improving freight and logistics system and precincts</w:t>
            </w:r>
          </w:p>
        </w:tc>
      </w:tr>
      <w:tr w:rsidR="00986E07" w14:paraId="495E2BB5"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tcPr>
          <w:p w14:paraId="2B28F0B8" w14:textId="6EE63802" w:rsidR="00986E07" w:rsidRDefault="00986E07" w:rsidP="00D02070">
            <w:pPr>
              <w:pStyle w:val="Tablebody"/>
            </w:pPr>
            <w:r w:rsidRPr="00F24240">
              <w:t>18.02-6</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tcPr>
          <w:p w14:paraId="5CA792CA" w14:textId="250C9614" w:rsidR="00986E07" w:rsidRDefault="00986E07" w:rsidP="00D02070">
            <w:pPr>
              <w:pStyle w:val="Tablebody"/>
            </w:pPr>
            <w:r w:rsidRPr="00F24240">
              <w:t>Ports</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23B74852" w14:textId="77777777" w:rsidR="00986E07" w:rsidRDefault="00986E07" w:rsidP="00892CEF">
            <w:pPr>
              <w:pStyle w:val="Tablebullet1"/>
              <w:numPr>
                <w:ilvl w:val="0"/>
                <w:numId w:val="0"/>
              </w:numPr>
              <w:ind w:left="227" w:hanging="227"/>
            </w:pPr>
          </w:p>
        </w:tc>
      </w:tr>
      <w:tr w:rsidR="00986E07" w14:paraId="7B23F9CF"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tcPr>
          <w:p w14:paraId="0BE40D17" w14:textId="36FD3786" w:rsidR="00986E07" w:rsidRPr="006638FE" w:rsidRDefault="00986E07" w:rsidP="00D02070">
            <w:pPr>
              <w:pStyle w:val="Tablebody"/>
              <w:rPr>
                <w:b/>
              </w:rPr>
            </w:pPr>
            <w:r w:rsidRPr="00F24240">
              <w:lastRenderedPageBreak/>
              <w:t>18.02-7</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tcPr>
          <w:p w14:paraId="46D6DB9C" w14:textId="10FF8E27" w:rsidR="00986E07" w:rsidRPr="006638FE" w:rsidRDefault="00986E07" w:rsidP="00D02070">
            <w:pPr>
              <w:pStyle w:val="Tablebody"/>
              <w:rPr>
                <w:b/>
              </w:rPr>
            </w:pPr>
            <w:r w:rsidRPr="00F24240">
              <w:t>Airports and airfields</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3BB3C89D" w14:textId="77777777" w:rsidR="00986E07" w:rsidRDefault="00986E07" w:rsidP="00892CEF">
            <w:pPr>
              <w:pStyle w:val="Tablebullet1"/>
              <w:numPr>
                <w:ilvl w:val="0"/>
                <w:numId w:val="0"/>
              </w:numPr>
              <w:ind w:left="227" w:hanging="227"/>
            </w:pPr>
          </w:p>
        </w:tc>
      </w:tr>
      <w:tr w:rsidR="00986E07" w14:paraId="12642259" w14:textId="77777777" w:rsidTr="00542C3C">
        <w:trPr>
          <w:cantSplit/>
        </w:trPr>
        <w:tc>
          <w:tcPr>
            <w:tcW w:w="1242" w:type="dxa"/>
            <w:tcBorders>
              <w:top w:val="single" w:sz="4" w:space="0" w:color="00828D" w:themeColor="accent1"/>
              <w:left w:val="nil"/>
              <w:bottom w:val="single" w:sz="4" w:space="0" w:color="00828D" w:themeColor="accent1"/>
              <w:right w:val="single" w:sz="4" w:space="0" w:color="595959" w:themeColor="text1" w:themeTint="A6"/>
            </w:tcBorders>
            <w:shd w:val="clear" w:color="auto" w:fill="595959" w:themeFill="text1" w:themeFillTint="A6"/>
            <w:hideMark/>
          </w:tcPr>
          <w:p w14:paraId="4C8112CB" w14:textId="77777777" w:rsidR="00986E07" w:rsidRPr="005051D3" w:rsidRDefault="00986E07" w:rsidP="00D02070">
            <w:pPr>
              <w:pStyle w:val="Tablebodybold"/>
              <w:rPr>
                <w:color w:val="FFFFFF" w:themeColor="background1"/>
              </w:rPr>
            </w:pPr>
            <w:r w:rsidRPr="005051D3">
              <w:rPr>
                <w:color w:val="FFFFFF" w:themeColor="background1"/>
              </w:rPr>
              <w:t>19</w:t>
            </w:r>
          </w:p>
        </w:tc>
        <w:tc>
          <w:tcPr>
            <w:tcW w:w="3403" w:type="dxa"/>
            <w:tcBorders>
              <w:top w:val="single" w:sz="4" w:space="0" w:color="00828D" w:themeColor="accent1"/>
              <w:left w:val="single" w:sz="4" w:space="0" w:color="595959" w:themeColor="text1" w:themeTint="A6"/>
              <w:bottom w:val="single" w:sz="4" w:space="0" w:color="00828D" w:themeColor="accent1"/>
              <w:right w:val="single" w:sz="4" w:space="0" w:color="595959" w:themeColor="text1" w:themeTint="A6"/>
            </w:tcBorders>
            <w:shd w:val="clear" w:color="auto" w:fill="595959" w:themeFill="text1" w:themeFillTint="A6"/>
            <w:hideMark/>
          </w:tcPr>
          <w:p w14:paraId="0EBAE3AB" w14:textId="77777777" w:rsidR="00986E07" w:rsidRPr="005051D3" w:rsidRDefault="00986E07" w:rsidP="00D02070">
            <w:pPr>
              <w:pStyle w:val="Tablebodybold"/>
              <w:rPr>
                <w:color w:val="FFFFFF" w:themeColor="background1"/>
              </w:rPr>
            </w:pPr>
            <w:r w:rsidRPr="005051D3">
              <w:rPr>
                <w:color w:val="FFFFFF" w:themeColor="background1"/>
              </w:rPr>
              <w:t>INFRASTRUCTURE</w:t>
            </w:r>
          </w:p>
        </w:tc>
        <w:tc>
          <w:tcPr>
            <w:tcW w:w="4538" w:type="dxa"/>
            <w:tcBorders>
              <w:top w:val="single" w:sz="4" w:space="0" w:color="00828D" w:themeColor="accent1"/>
              <w:left w:val="single" w:sz="4" w:space="0" w:color="595959" w:themeColor="text1" w:themeTint="A6"/>
              <w:bottom w:val="single" w:sz="4" w:space="0" w:color="00828D" w:themeColor="accent1"/>
              <w:right w:val="nil"/>
            </w:tcBorders>
            <w:shd w:val="clear" w:color="auto" w:fill="595959" w:themeFill="text1" w:themeFillTint="A6"/>
          </w:tcPr>
          <w:p w14:paraId="32BCDC81" w14:textId="77777777" w:rsidR="00986E07" w:rsidRPr="005051D3" w:rsidRDefault="00986E07" w:rsidP="00D02070">
            <w:pPr>
              <w:pStyle w:val="Tablebody"/>
              <w:rPr>
                <w:color w:val="FFFFFF" w:themeColor="background1"/>
              </w:rPr>
            </w:pPr>
          </w:p>
        </w:tc>
      </w:tr>
      <w:tr w:rsidR="00986E07" w14:paraId="1F62574A"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shd w:val="clear" w:color="auto" w:fill="D9D9D9" w:themeFill="background1" w:themeFillShade="D9"/>
            <w:hideMark/>
          </w:tcPr>
          <w:p w14:paraId="26866FE0" w14:textId="77777777" w:rsidR="00986E07" w:rsidRDefault="00986E07" w:rsidP="00D02070">
            <w:pPr>
              <w:pStyle w:val="Tablebodybold"/>
            </w:pPr>
            <w:r>
              <w:t>19.01</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shd w:val="clear" w:color="auto" w:fill="D9D9D9" w:themeFill="background1" w:themeFillShade="D9"/>
            <w:hideMark/>
          </w:tcPr>
          <w:p w14:paraId="0E7E990E" w14:textId="77777777" w:rsidR="00986E07" w:rsidRDefault="00986E07" w:rsidP="00D02070">
            <w:pPr>
              <w:pStyle w:val="Tablebodybold"/>
            </w:pPr>
            <w:r>
              <w:t>Energy</w:t>
            </w:r>
          </w:p>
        </w:tc>
        <w:tc>
          <w:tcPr>
            <w:tcW w:w="4538" w:type="dxa"/>
            <w:tcBorders>
              <w:top w:val="single" w:sz="4" w:space="0" w:color="00828D" w:themeColor="accent1"/>
              <w:left w:val="single" w:sz="4" w:space="0" w:color="00828D" w:themeColor="accent1"/>
              <w:bottom w:val="single" w:sz="4" w:space="0" w:color="00828D" w:themeColor="accent1"/>
              <w:right w:val="nil"/>
            </w:tcBorders>
            <w:shd w:val="clear" w:color="auto" w:fill="D9D9D9" w:themeFill="background1" w:themeFillShade="D9"/>
          </w:tcPr>
          <w:p w14:paraId="29C255CD" w14:textId="77777777" w:rsidR="00986E07" w:rsidRDefault="00986E07" w:rsidP="00D02070">
            <w:pPr>
              <w:pStyle w:val="Tablebody"/>
            </w:pPr>
          </w:p>
        </w:tc>
      </w:tr>
      <w:tr w:rsidR="00986E07" w14:paraId="2329B70F"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1ABB861B" w14:textId="77777777" w:rsidR="00986E07" w:rsidRDefault="00986E07" w:rsidP="00D02070">
            <w:pPr>
              <w:pStyle w:val="Tablebody"/>
            </w:pPr>
            <w:r>
              <w:t>19.01-1</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27147395" w14:textId="77777777" w:rsidR="00986E07" w:rsidRDefault="00986E07" w:rsidP="00D02070">
            <w:pPr>
              <w:pStyle w:val="Tablebody"/>
            </w:pPr>
            <w:r>
              <w:t>Energy supply</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56A2D054" w14:textId="77777777" w:rsidR="00986E07" w:rsidRDefault="00986E07" w:rsidP="00A10EA3">
            <w:pPr>
              <w:pStyle w:val="Tablebullet1"/>
            </w:pPr>
            <w:r>
              <w:t>Facilitating development of energy supply infrastructure including at a local level to help diversify local economies</w:t>
            </w:r>
          </w:p>
          <w:p w14:paraId="3F1EFF02" w14:textId="77777777" w:rsidR="00986E07" w:rsidRDefault="00986E07" w:rsidP="00A10EA3">
            <w:pPr>
              <w:pStyle w:val="Tablebullet1"/>
            </w:pPr>
            <w:r>
              <w:t xml:space="preserve">Supporting the transition to a low-carbon economy </w:t>
            </w:r>
          </w:p>
        </w:tc>
      </w:tr>
      <w:tr w:rsidR="00986E07" w14:paraId="52FB68EF"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1260914B" w14:textId="77777777" w:rsidR="00986E07" w:rsidRDefault="00986E07" w:rsidP="00D02070">
            <w:pPr>
              <w:pStyle w:val="Tablebody"/>
            </w:pPr>
            <w:r>
              <w:t>19.01-2</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1DB2B1BB" w14:textId="77777777" w:rsidR="00986E07" w:rsidRDefault="00986E07" w:rsidP="00D02070">
            <w:pPr>
              <w:pStyle w:val="Tablebody"/>
            </w:pPr>
            <w:r>
              <w:t>Renewable energy</w:t>
            </w:r>
          </w:p>
        </w:tc>
        <w:tc>
          <w:tcPr>
            <w:tcW w:w="4538" w:type="dxa"/>
            <w:tcBorders>
              <w:top w:val="single" w:sz="4" w:space="0" w:color="00828D" w:themeColor="accent1"/>
              <w:left w:val="single" w:sz="4" w:space="0" w:color="00828D" w:themeColor="accent1"/>
              <w:bottom w:val="single" w:sz="4" w:space="0" w:color="00828D" w:themeColor="accent1"/>
              <w:right w:val="nil"/>
            </w:tcBorders>
            <w:hideMark/>
          </w:tcPr>
          <w:p w14:paraId="6B591159" w14:textId="77777777" w:rsidR="00986E07" w:rsidRDefault="00986E07" w:rsidP="00D02070">
            <w:pPr>
              <w:pStyle w:val="Tablebody"/>
            </w:pPr>
            <w:r>
              <w:t>Renewable energy facilities on a commercial scale</w:t>
            </w:r>
          </w:p>
        </w:tc>
      </w:tr>
      <w:tr w:rsidR="00986E07" w14:paraId="6E2C288D"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11F57E5B" w14:textId="77777777" w:rsidR="00986E07" w:rsidRDefault="00986E07" w:rsidP="00D02070">
            <w:pPr>
              <w:pStyle w:val="Tablebody"/>
            </w:pPr>
            <w:r>
              <w:t>19.01-3</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11FD2142" w14:textId="77777777" w:rsidR="00986E07" w:rsidRDefault="00986E07" w:rsidP="00D02070">
            <w:pPr>
              <w:pStyle w:val="Tablebody"/>
            </w:pPr>
            <w:r>
              <w:t>Pipeline infrastructure</w:t>
            </w:r>
          </w:p>
        </w:tc>
        <w:tc>
          <w:tcPr>
            <w:tcW w:w="4538" w:type="dxa"/>
            <w:tcBorders>
              <w:top w:val="single" w:sz="4" w:space="0" w:color="00828D" w:themeColor="accent1"/>
              <w:left w:val="single" w:sz="4" w:space="0" w:color="00828D" w:themeColor="accent1"/>
              <w:bottom w:val="single" w:sz="4" w:space="0" w:color="00828D" w:themeColor="accent1"/>
              <w:right w:val="nil"/>
            </w:tcBorders>
            <w:hideMark/>
          </w:tcPr>
          <w:p w14:paraId="36F19D4B" w14:textId="77777777" w:rsidR="00986E07" w:rsidRDefault="00986E07" w:rsidP="00D02070">
            <w:pPr>
              <w:pStyle w:val="Tablebody"/>
            </w:pPr>
            <w:r>
              <w:t>Pipeline infrastructure provision and protection</w:t>
            </w:r>
          </w:p>
        </w:tc>
      </w:tr>
      <w:tr w:rsidR="00986E07" w14:paraId="4C48D565"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shd w:val="clear" w:color="auto" w:fill="D9D9D9" w:themeFill="background1" w:themeFillShade="D9"/>
            <w:hideMark/>
          </w:tcPr>
          <w:p w14:paraId="2F1C8F0D" w14:textId="77777777" w:rsidR="00986E07" w:rsidRDefault="00986E07" w:rsidP="00D02070">
            <w:pPr>
              <w:pStyle w:val="Tablebodybold"/>
            </w:pPr>
            <w:r>
              <w:t>19.02</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shd w:val="clear" w:color="auto" w:fill="D9D9D9" w:themeFill="background1" w:themeFillShade="D9"/>
            <w:hideMark/>
          </w:tcPr>
          <w:p w14:paraId="75A8B9DD" w14:textId="77777777" w:rsidR="00986E07" w:rsidRDefault="00986E07" w:rsidP="00D02070">
            <w:pPr>
              <w:pStyle w:val="Tablebodybold"/>
            </w:pPr>
            <w:r>
              <w:t>Community infrastructure</w:t>
            </w:r>
          </w:p>
        </w:tc>
        <w:tc>
          <w:tcPr>
            <w:tcW w:w="4538" w:type="dxa"/>
            <w:tcBorders>
              <w:top w:val="single" w:sz="4" w:space="0" w:color="00828D" w:themeColor="accent1"/>
              <w:left w:val="single" w:sz="4" w:space="0" w:color="00828D" w:themeColor="accent1"/>
              <w:bottom w:val="single" w:sz="4" w:space="0" w:color="00828D" w:themeColor="accent1"/>
              <w:right w:val="nil"/>
            </w:tcBorders>
            <w:shd w:val="clear" w:color="auto" w:fill="D9D9D9" w:themeFill="background1" w:themeFillShade="D9"/>
          </w:tcPr>
          <w:p w14:paraId="64EF52D0" w14:textId="77777777" w:rsidR="00986E07" w:rsidRDefault="00986E07" w:rsidP="00D02070">
            <w:pPr>
              <w:pStyle w:val="Tablebody"/>
            </w:pPr>
          </w:p>
        </w:tc>
      </w:tr>
      <w:tr w:rsidR="00986E07" w14:paraId="0DDB6050"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212F69BF" w14:textId="77777777" w:rsidR="00986E07" w:rsidRDefault="00986E07" w:rsidP="00D02070">
            <w:pPr>
              <w:pStyle w:val="Tablebody"/>
            </w:pPr>
            <w:r>
              <w:t>19.02-1</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32F88700" w14:textId="77777777" w:rsidR="00986E07" w:rsidRDefault="00986E07" w:rsidP="00D02070">
            <w:pPr>
              <w:pStyle w:val="Tablebody"/>
            </w:pPr>
            <w:r>
              <w:t>Health facilities</w:t>
            </w:r>
          </w:p>
        </w:tc>
        <w:tc>
          <w:tcPr>
            <w:tcW w:w="4538" w:type="dxa"/>
            <w:tcBorders>
              <w:top w:val="single" w:sz="4" w:space="0" w:color="00828D" w:themeColor="accent1"/>
              <w:left w:val="single" w:sz="4" w:space="0" w:color="00828D" w:themeColor="accent1"/>
              <w:bottom w:val="single" w:sz="4" w:space="0" w:color="00828D" w:themeColor="accent1"/>
              <w:right w:val="nil"/>
            </w:tcBorders>
            <w:hideMark/>
          </w:tcPr>
          <w:p w14:paraId="035FD0D6" w14:textId="77777777" w:rsidR="00986E07" w:rsidRDefault="00986E07" w:rsidP="00640D5A">
            <w:pPr>
              <w:pStyle w:val="Tablebody"/>
            </w:pPr>
            <w:r>
              <w:t>Includes, hospitals, medical centres, health and health-related facilities and the like</w:t>
            </w:r>
          </w:p>
        </w:tc>
      </w:tr>
      <w:tr w:rsidR="00986E07" w14:paraId="07AAEC08"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340A83E0" w14:textId="77777777" w:rsidR="00986E07" w:rsidRDefault="00986E07" w:rsidP="00D02070">
            <w:pPr>
              <w:pStyle w:val="Tablebody"/>
            </w:pPr>
            <w:r>
              <w:t>19.02-2</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127205AA" w14:textId="77777777" w:rsidR="00986E07" w:rsidRDefault="00986E07" w:rsidP="00D02070">
            <w:pPr>
              <w:pStyle w:val="Tablebody"/>
            </w:pPr>
            <w:r>
              <w:t>Education facilities</w:t>
            </w:r>
          </w:p>
        </w:tc>
        <w:tc>
          <w:tcPr>
            <w:tcW w:w="4538" w:type="dxa"/>
            <w:tcBorders>
              <w:top w:val="single" w:sz="4" w:space="0" w:color="00828D" w:themeColor="accent1"/>
              <w:left w:val="single" w:sz="4" w:space="0" w:color="00828D" w:themeColor="accent1"/>
              <w:bottom w:val="single" w:sz="4" w:space="0" w:color="00828D" w:themeColor="accent1"/>
              <w:right w:val="nil"/>
            </w:tcBorders>
            <w:hideMark/>
          </w:tcPr>
          <w:p w14:paraId="3B5003B4" w14:textId="77777777" w:rsidR="00986E07" w:rsidRDefault="00986E07" w:rsidP="00D02070">
            <w:pPr>
              <w:pStyle w:val="Tablebody"/>
            </w:pPr>
            <w:r>
              <w:t>Includes childcare, early learning centres, kindergartens and the like</w:t>
            </w:r>
          </w:p>
        </w:tc>
      </w:tr>
      <w:tr w:rsidR="00986E07" w14:paraId="330F76B9"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432DA800" w14:textId="77777777" w:rsidR="00986E07" w:rsidRDefault="00986E07" w:rsidP="00D02070">
            <w:pPr>
              <w:pStyle w:val="Tablebody"/>
            </w:pPr>
            <w:r>
              <w:t>19.02-3</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4992F193" w14:textId="77777777" w:rsidR="00986E07" w:rsidRDefault="00986E07" w:rsidP="00D02070">
            <w:pPr>
              <w:pStyle w:val="Tablebody"/>
            </w:pPr>
            <w:r>
              <w:t>Cultural facilities</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254A6B9F" w14:textId="77777777" w:rsidR="00986E07" w:rsidRDefault="00986E07" w:rsidP="00D02070">
            <w:pPr>
              <w:pStyle w:val="Tablebody"/>
            </w:pPr>
            <w:r>
              <w:t>Increasing access to arts, recreation and other cultural facilities</w:t>
            </w:r>
          </w:p>
        </w:tc>
      </w:tr>
      <w:tr w:rsidR="00986E07" w14:paraId="5265468C"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734A6761" w14:textId="77777777" w:rsidR="00986E07" w:rsidRDefault="00986E07" w:rsidP="00D02070">
            <w:pPr>
              <w:pStyle w:val="Tablebody"/>
            </w:pPr>
            <w:r>
              <w:t>19.02-4</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086CDBB8" w14:textId="77777777" w:rsidR="00986E07" w:rsidRDefault="00986E07" w:rsidP="00D02070">
            <w:pPr>
              <w:pStyle w:val="Tablebody"/>
            </w:pPr>
            <w:r>
              <w:t>Social and cultural infrastructure</w:t>
            </w:r>
          </w:p>
        </w:tc>
        <w:tc>
          <w:tcPr>
            <w:tcW w:w="4538" w:type="dxa"/>
            <w:tcBorders>
              <w:top w:val="single" w:sz="4" w:space="0" w:color="00828D" w:themeColor="accent1"/>
              <w:left w:val="single" w:sz="4" w:space="0" w:color="00828D" w:themeColor="accent1"/>
              <w:bottom w:val="single" w:sz="4" w:space="0" w:color="00828D" w:themeColor="accent1"/>
              <w:right w:val="nil"/>
            </w:tcBorders>
          </w:tcPr>
          <w:p w14:paraId="5335CF79" w14:textId="29D7E5F0" w:rsidR="00986E07" w:rsidRDefault="00986E07" w:rsidP="00D02070">
            <w:pPr>
              <w:pStyle w:val="Tablebody"/>
            </w:pPr>
            <w:r>
              <w:t>Providing a fairer distribution of and access to social and cultural infrastructure, including community facilities</w:t>
            </w:r>
          </w:p>
        </w:tc>
      </w:tr>
      <w:tr w:rsidR="00986E07" w14:paraId="2F6E4738"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125050CA" w14:textId="77777777" w:rsidR="00986E07" w:rsidRDefault="00986E07" w:rsidP="00D02070">
            <w:pPr>
              <w:pStyle w:val="Tablebody"/>
            </w:pPr>
            <w:r>
              <w:t>19.02-5</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2E380663" w14:textId="77777777" w:rsidR="00986E07" w:rsidRDefault="00986E07" w:rsidP="00D02070">
            <w:pPr>
              <w:pStyle w:val="Tablebody"/>
            </w:pPr>
            <w:r>
              <w:t>Emergency services</w:t>
            </w:r>
          </w:p>
        </w:tc>
        <w:tc>
          <w:tcPr>
            <w:tcW w:w="4538" w:type="dxa"/>
            <w:tcBorders>
              <w:top w:val="single" w:sz="4" w:space="0" w:color="00828D" w:themeColor="accent1"/>
              <w:left w:val="single" w:sz="4" w:space="0" w:color="00828D" w:themeColor="accent1"/>
              <w:bottom w:val="single" w:sz="4" w:space="0" w:color="00828D" w:themeColor="accent1"/>
              <w:right w:val="nil"/>
            </w:tcBorders>
            <w:hideMark/>
          </w:tcPr>
          <w:p w14:paraId="3659D5DD" w14:textId="77777777" w:rsidR="00986E07" w:rsidRDefault="00986E07" w:rsidP="00D02070">
            <w:pPr>
              <w:pStyle w:val="Tablebody"/>
            </w:pPr>
            <w:r>
              <w:t>Emergency service infrastructure location</w:t>
            </w:r>
          </w:p>
        </w:tc>
      </w:tr>
      <w:tr w:rsidR="00986E07" w14:paraId="431DE0A2"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34AEF135" w14:textId="77777777" w:rsidR="00986E07" w:rsidRDefault="00986E07" w:rsidP="00D02070">
            <w:pPr>
              <w:pStyle w:val="Tablebody"/>
            </w:pPr>
            <w:r>
              <w:t>19.02-6</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36684B22" w14:textId="77777777" w:rsidR="00986E07" w:rsidRDefault="00986E07" w:rsidP="00D02070">
            <w:pPr>
              <w:pStyle w:val="Tablebody"/>
            </w:pPr>
            <w:r>
              <w:t>Open space</w:t>
            </w:r>
          </w:p>
        </w:tc>
        <w:tc>
          <w:tcPr>
            <w:tcW w:w="4538" w:type="dxa"/>
            <w:tcBorders>
              <w:top w:val="single" w:sz="4" w:space="0" w:color="00828D" w:themeColor="accent1"/>
              <w:left w:val="single" w:sz="4" w:space="0" w:color="00828D" w:themeColor="accent1"/>
              <w:bottom w:val="single" w:sz="4" w:space="0" w:color="00828D" w:themeColor="accent1"/>
              <w:right w:val="nil"/>
            </w:tcBorders>
            <w:hideMark/>
          </w:tcPr>
          <w:p w14:paraId="5A1718C3" w14:textId="77777777" w:rsidR="00986E07" w:rsidRDefault="00986E07" w:rsidP="00D02070">
            <w:pPr>
              <w:pStyle w:val="Tablebody"/>
            </w:pPr>
            <w:r>
              <w:t>Public open space areas – distribution and/or management</w:t>
            </w:r>
          </w:p>
        </w:tc>
      </w:tr>
      <w:tr w:rsidR="00986E07" w14:paraId="7B0F079B"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shd w:val="clear" w:color="auto" w:fill="D9D9D9" w:themeFill="background1" w:themeFillShade="D9"/>
            <w:hideMark/>
          </w:tcPr>
          <w:p w14:paraId="6C3F80FD" w14:textId="77777777" w:rsidR="00986E07" w:rsidRDefault="00986E07" w:rsidP="00D02070">
            <w:pPr>
              <w:pStyle w:val="Tablebodybold"/>
            </w:pPr>
            <w:r>
              <w:t>19.03</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shd w:val="clear" w:color="auto" w:fill="D9D9D9" w:themeFill="background1" w:themeFillShade="D9"/>
            <w:hideMark/>
          </w:tcPr>
          <w:p w14:paraId="5B445774" w14:textId="77777777" w:rsidR="00986E07" w:rsidRDefault="00986E07" w:rsidP="00D02070">
            <w:pPr>
              <w:pStyle w:val="Tablebodybold"/>
            </w:pPr>
            <w:r>
              <w:t>Development infrastructure</w:t>
            </w:r>
          </w:p>
        </w:tc>
        <w:tc>
          <w:tcPr>
            <w:tcW w:w="4538" w:type="dxa"/>
            <w:tcBorders>
              <w:top w:val="single" w:sz="4" w:space="0" w:color="00828D" w:themeColor="accent1"/>
              <w:left w:val="single" w:sz="4" w:space="0" w:color="00828D" w:themeColor="accent1"/>
              <w:bottom w:val="single" w:sz="4" w:space="0" w:color="00828D" w:themeColor="accent1"/>
              <w:right w:val="nil"/>
            </w:tcBorders>
            <w:shd w:val="clear" w:color="auto" w:fill="D9D9D9" w:themeFill="background1" w:themeFillShade="D9"/>
          </w:tcPr>
          <w:p w14:paraId="67DBEC8F" w14:textId="77777777" w:rsidR="00986E07" w:rsidRDefault="00986E07" w:rsidP="00D02070">
            <w:pPr>
              <w:pStyle w:val="Tablebody"/>
            </w:pPr>
          </w:p>
        </w:tc>
      </w:tr>
      <w:tr w:rsidR="00986E07" w14:paraId="1E027372"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0AA3C776" w14:textId="77777777" w:rsidR="00986E07" w:rsidRDefault="00986E07" w:rsidP="00D02070">
            <w:pPr>
              <w:pStyle w:val="Tablebody"/>
            </w:pPr>
            <w:r>
              <w:t>19.03-1</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4827C0F9" w14:textId="4C30BE2F" w:rsidR="00986E07" w:rsidRDefault="00986E07" w:rsidP="00D02070">
            <w:pPr>
              <w:pStyle w:val="Tablebody"/>
            </w:pPr>
            <w:r>
              <w:t>Development and infrastructure contribution</w:t>
            </w:r>
            <w:r w:rsidR="008D7665">
              <w:t>s</w:t>
            </w:r>
            <w:r>
              <w:t xml:space="preserve"> plans</w:t>
            </w:r>
          </w:p>
        </w:tc>
        <w:tc>
          <w:tcPr>
            <w:tcW w:w="4538" w:type="dxa"/>
            <w:tcBorders>
              <w:top w:val="single" w:sz="4" w:space="0" w:color="00828D" w:themeColor="accent1"/>
              <w:left w:val="single" w:sz="4" w:space="0" w:color="00828D" w:themeColor="accent1"/>
              <w:bottom w:val="single" w:sz="4" w:space="0" w:color="00828D" w:themeColor="accent1"/>
              <w:right w:val="nil"/>
            </w:tcBorders>
            <w:hideMark/>
          </w:tcPr>
          <w:p w14:paraId="3822F8C2" w14:textId="77777777" w:rsidR="00986E07" w:rsidRDefault="00986E07" w:rsidP="00A10EA3">
            <w:pPr>
              <w:pStyle w:val="Tablebullet1"/>
            </w:pPr>
            <w:r>
              <w:t>Development Contribution Plans</w:t>
            </w:r>
          </w:p>
          <w:p w14:paraId="30ADFE53" w14:textId="77777777" w:rsidR="00986E07" w:rsidRDefault="00986E07" w:rsidP="00A10EA3">
            <w:pPr>
              <w:pStyle w:val="Tablebullet1"/>
            </w:pPr>
            <w:r>
              <w:t>Infrastructure Contribution Plans</w:t>
            </w:r>
          </w:p>
        </w:tc>
      </w:tr>
      <w:tr w:rsidR="00986E07" w14:paraId="23EC37CD"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5F13A638" w14:textId="77777777" w:rsidR="00986E07" w:rsidRDefault="00986E07" w:rsidP="00D02070">
            <w:pPr>
              <w:pStyle w:val="Tablebody"/>
            </w:pPr>
            <w:r>
              <w:t>19.03-2</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0FDC88F7" w14:textId="77777777" w:rsidR="00986E07" w:rsidRDefault="00986E07" w:rsidP="00D02070">
            <w:pPr>
              <w:pStyle w:val="Tablebody"/>
            </w:pPr>
            <w:r>
              <w:t>Infrastructure design and provision</w:t>
            </w:r>
          </w:p>
        </w:tc>
        <w:tc>
          <w:tcPr>
            <w:tcW w:w="4538" w:type="dxa"/>
            <w:tcBorders>
              <w:top w:val="single" w:sz="4" w:space="0" w:color="00828D" w:themeColor="accent1"/>
              <w:left w:val="single" w:sz="4" w:space="0" w:color="00828D" w:themeColor="accent1"/>
              <w:bottom w:val="single" w:sz="4" w:space="0" w:color="00828D" w:themeColor="accent1"/>
              <w:right w:val="nil"/>
            </w:tcBorders>
            <w:hideMark/>
          </w:tcPr>
          <w:p w14:paraId="1A7F1E4F" w14:textId="77777777" w:rsidR="00986E07" w:rsidRDefault="00986E07" w:rsidP="00A10EA3">
            <w:pPr>
              <w:pStyle w:val="Tablebullet1"/>
            </w:pPr>
            <w:r>
              <w:t>Subdivision – providing an integrated approach to the planning and engineering design of new subdivisions</w:t>
            </w:r>
          </w:p>
          <w:p w14:paraId="19BA877B" w14:textId="77777777" w:rsidR="00986E07" w:rsidRDefault="00986E07" w:rsidP="00A10EA3">
            <w:pPr>
              <w:pStyle w:val="Tablebullet1"/>
            </w:pPr>
            <w:r>
              <w:t>Engineering design for subdivisions -</w:t>
            </w:r>
            <w:r>
              <w:rPr>
                <w:rStyle w:val="Emphasis"/>
              </w:rPr>
              <w:t>Infrastructure Design Manual</w:t>
            </w:r>
          </w:p>
        </w:tc>
      </w:tr>
      <w:tr w:rsidR="00986E07" w14:paraId="47B4E505"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38257D34" w14:textId="77777777" w:rsidR="00986E07" w:rsidRDefault="00986E07" w:rsidP="00D02070">
            <w:pPr>
              <w:pStyle w:val="Tablebody"/>
            </w:pPr>
            <w:r>
              <w:lastRenderedPageBreak/>
              <w:t>19.03-3</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1141038B" w14:textId="77777777" w:rsidR="00986E07" w:rsidRPr="007254A5" w:rsidRDefault="00986E07" w:rsidP="00D02070">
            <w:pPr>
              <w:pStyle w:val="Tablebody"/>
            </w:pPr>
            <w:r w:rsidRPr="007254A5">
              <w:t>Integrated water management</w:t>
            </w:r>
          </w:p>
        </w:tc>
        <w:tc>
          <w:tcPr>
            <w:tcW w:w="4538" w:type="dxa"/>
            <w:tcBorders>
              <w:top w:val="single" w:sz="4" w:space="0" w:color="00828D" w:themeColor="accent1"/>
              <w:left w:val="single" w:sz="4" w:space="0" w:color="00828D" w:themeColor="accent1"/>
              <w:bottom w:val="single" w:sz="4" w:space="0" w:color="00828D" w:themeColor="accent1"/>
              <w:right w:val="nil"/>
            </w:tcBorders>
            <w:hideMark/>
          </w:tcPr>
          <w:p w14:paraId="0631A233" w14:textId="77777777" w:rsidR="00986E07" w:rsidRPr="007254A5" w:rsidRDefault="00986E07" w:rsidP="00A10EA3">
            <w:pPr>
              <w:pStyle w:val="Tablebullet1"/>
            </w:pPr>
            <w:r w:rsidRPr="007254A5">
              <w:t>Water supply, treatment and re-use</w:t>
            </w:r>
            <w:r>
              <w:t xml:space="preserve"> including alternative water sources such as rainwater collection</w:t>
            </w:r>
          </w:p>
          <w:p w14:paraId="39282292" w14:textId="77777777" w:rsidR="00986E07" w:rsidRPr="007254A5" w:rsidRDefault="00986E07" w:rsidP="00A10EA3">
            <w:pPr>
              <w:pStyle w:val="Tablebullet1"/>
            </w:pPr>
            <w:r w:rsidRPr="007254A5">
              <w:t>Sewerage</w:t>
            </w:r>
          </w:p>
          <w:p w14:paraId="53C2FCAD" w14:textId="77777777" w:rsidR="00986E07" w:rsidRPr="007254A5" w:rsidRDefault="00986E07" w:rsidP="00A10EA3">
            <w:pPr>
              <w:pStyle w:val="Tablebullet1"/>
            </w:pPr>
            <w:r w:rsidRPr="007254A5">
              <w:t>Drainage</w:t>
            </w:r>
          </w:p>
          <w:p w14:paraId="7A64572E" w14:textId="77777777" w:rsidR="00986E07" w:rsidRPr="007254A5" w:rsidRDefault="00986E07" w:rsidP="00A10EA3">
            <w:pPr>
              <w:pStyle w:val="Tablebullet1"/>
            </w:pPr>
            <w:r w:rsidRPr="007254A5">
              <w:t>Dams – where the principal concern is more general water supply</w:t>
            </w:r>
          </w:p>
          <w:p w14:paraId="767173D9" w14:textId="77777777" w:rsidR="00986E07" w:rsidRPr="007254A5" w:rsidRDefault="00986E07" w:rsidP="00A10EA3">
            <w:pPr>
              <w:pStyle w:val="Tablebullet1"/>
            </w:pPr>
            <w:r w:rsidRPr="007254A5">
              <w:t>Stormwater – quality, management and treatment</w:t>
            </w:r>
          </w:p>
          <w:p w14:paraId="79763AA6" w14:textId="77777777" w:rsidR="00986E07" w:rsidRPr="007254A5" w:rsidRDefault="00986E07" w:rsidP="00A10EA3">
            <w:pPr>
              <w:pStyle w:val="Tablebullet1"/>
            </w:pPr>
            <w:r w:rsidRPr="007254A5">
              <w:t>Water sensitive urban design (WSUD)</w:t>
            </w:r>
          </w:p>
        </w:tc>
      </w:tr>
      <w:tr w:rsidR="00986E07" w14:paraId="1415919F"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01C2CE42" w14:textId="77777777" w:rsidR="00986E07" w:rsidRDefault="00986E07" w:rsidP="00D02070">
            <w:pPr>
              <w:pStyle w:val="Tablebody"/>
            </w:pPr>
            <w:r>
              <w:t>19.03-4</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296F5A7F" w14:textId="77777777" w:rsidR="00986E07" w:rsidRDefault="00986E07" w:rsidP="00D02070">
            <w:pPr>
              <w:pStyle w:val="Tablebody"/>
            </w:pPr>
            <w:r>
              <w:t>Telecommunications</w:t>
            </w:r>
          </w:p>
        </w:tc>
        <w:tc>
          <w:tcPr>
            <w:tcW w:w="4538" w:type="dxa"/>
            <w:tcBorders>
              <w:top w:val="single" w:sz="4" w:space="0" w:color="00828D" w:themeColor="accent1"/>
              <w:left w:val="single" w:sz="4" w:space="0" w:color="00828D" w:themeColor="accent1"/>
              <w:bottom w:val="single" w:sz="4" w:space="0" w:color="00828D" w:themeColor="accent1"/>
              <w:right w:val="nil"/>
            </w:tcBorders>
            <w:hideMark/>
          </w:tcPr>
          <w:p w14:paraId="2FEF8D89" w14:textId="77777777" w:rsidR="00986E07" w:rsidRDefault="00986E07" w:rsidP="00A10EA3">
            <w:pPr>
              <w:pStyle w:val="Tablebullet1"/>
            </w:pPr>
            <w:r>
              <w:t>Telecommunication facilities and infrastructure</w:t>
            </w:r>
          </w:p>
        </w:tc>
      </w:tr>
      <w:tr w:rsidR="00986E07" w14:paraId="20DFCEF3" w14:textId="77777777" w:rsidTr="00542C3C">
        <w:trPr>
          <w:cantSplit/>
        </w:trPr>
        <w:tc>
          <w:tcPr>
            <w:tcW w:w="1242" w:type="dxa"/>
            <w:tcBorders>
              <w:top w:val="single" w:sz="4" w:space="0" w:color="00828D" w:themeColor="accent1"/>
              <w:left w:val="nil"/>
              <w:bottom w:val="single" w:sz="4" w:space="0" w:color="00828D" w:themeColor="accent1"/>
              <w:right w:val="single" w:sz="4" w:space="0" w:color="00828D" w:themeColor="accent1"/>
            </w:tcBorders>
            <w:hideMark/>
          </w:tcPr>
          <w:p w14:paraId="1A8033DE" w14:textId="77777777" w:rsidR="00986E07" w:rsidRDefault="00986E07" w:rsidP="00D02070">
            <w:pPr>
              <w:pStyle w:val="Tablebody"/>
            </w:pPr>
            <w:r>
              <w:t>19.03-5</w:t>
            </w:r>
          </w:p>
        </w:tc>
        <w:tc>
          <w:tcPr>
            <w:tcW w:w="3403" w:type="dxa"/>
            <w:tcBorders>
              <w:top w:val="single" w:sz="4" w:space="0" w:color="00828D" w:themeColor="accent1"/>
              <w:left w:val="single" w:sz="4" w:space="0" w:color="00828D" w:themeColor="accent1"/>
              <w:bottom w:val="single" w:sz="4" w:space="0" w:color="00828D" w:themeColor="accent1"/>
              <w:right w:val="single" w:sz="4" w:space="0" w:color="00828D" w:themeColor="accent1"/>
            </w:tcBorders>
            <w:hideMark/>
          </w:tcPr>
          <w:p w14:paraId="43527A7B" w14:textId="77777777" w:rsidR="00986E07" w:rsidRDefault="00986E07" w:rsidP="00D02070">
            <w:pPr>
              <w:pStyle w:val="Tablebody"/>
            </w:pPr>
            <w:r>
              <w:t>Waste and resource recovery</w:t>
            </w:r>
          </w:p>
        </w:tc>
        <w:tc>
          <w:tcPr>
            <w:tcW w:w="4538" w:type="dxa"/>
            <w:tcBorders>
              <w:top w:val="single" w:sz="4" w:space="0" w:color="00828D" w:themeColor="accent1"/>
              <w:left w:val="single" w:sz="4" w:space="0" w:color="00828D" w:themeColor="accent1"/>
              <w:bottom w:val="single" w:sz="4" w:space="0" w:color="00828D" w:themeColor="accent1"/>
              <w:right w:val="nil"/>
            </w:tcBorders>
            <w:hideMark/>
          </w:tcPr>
          <w:p w14:paraId="4E318851" w14:textId="77777777" w:rsidR="00986E07" w:rsidRDefault="00986E07" w:rsidP="00A10EA3">
            <w:pPr>
              <w:pStyle w:val="Tablebullet1"/>
            </w:pPr>
            <w:r>
              <w:t>Waste and resource recovery – infrastructure provision</w:t>
            </w:r>
          </w:p>
          <w:p w14:paraId="5D4757C7" w14:textId="77777777" w:rsidR="00986E07" w:rsidRDefault="00986E07" w:rsidP="00A10EA3">
            <w:pPr>
              <w:pStyle w:val="Tablebullet1"/>
            </w:pPr>
            <w:r>
              <w:t>Waste reduction</w:t>
            </w:r>
          </w:p>
          <w:p w14:paraId="14FF4AA8" w14:textId="77777777" w:rsidR="00986E07" w:rsidRDefault="00986E07" w:rsidP="00A10EA3">
            <w:pPr>
              <w:pStyle w:val="Tablebullet1"/>
            </w:pPr>
            <w:r>
              <w:t>Waste facilities – appropriate provision – including domestic, commercial and industrial</w:t>
            </w:r>
          </w:p>
        </w:tc>
      </w:tr>
    </w:tbl>
    <w:p w14:paraId="4512F16E" w14:textId="77777777" w:rsidR="00AB55DD" w:rsidRDefault="00AB55DD" w:rsidP="002E55BC">
      <w:pPr>
        <w:pStyle w:val="BodyText1"/>
      </w:pPr>
    </w:p>
    <w:p w14:paraId="489C7A95" w14:textId="17188A18" w:rsidR="00AE717E" w:rsidRDefault="00AE717E">
      <w:pPr>
        <w:suppressAutoHyphens w:val="0"/>
        <w:spacing w:after="0" w:line="240" w:lineRule="auto"/>
        <w:rPr>
          <w:rFonts w:eastAsia="Times"/>
          <w:lang w:eastAsia="en-US"/>
        </w:rPr>
      </w:pPr>
      <w:r>
        <w:br w:type="page"/>
      </w:r>
    </w:p>
    <w:p w14:paraId="2376837A" w14:textId="77777777" w:rsidR="00DC2411" w:rsidRDefault="00DC2411" w:rsidP="002E55BC">
      <w:pPr>
        <w:pStyle w:val="BodyText1"/>
      </w:pPr>
    </w:p>
    <w:tbl>
      <w:tblPr>
        <w:tblStyle w:val="TableGrid"/>
        <w:tblW w:w="0" w:type="auto"/>
        <w:tblLayout w:type="fixed"/>
        <w:tblLook w:val="06A0" w:firstRow="1" w:lastRow="0" w:firstColumn="1" w:lastColumn="0" w:noHBand="1" w:noVBand="1"/>
      </w:tblPr>
      <w:tblGrid>
        <w:gridCol w:w="1549"/>
        <w:gridCol w:w="4781"/>
      </w:tblGrid>
      <w:tr w:rsidR="00AE717E" w:rsidRPr="00DF371F" w14:paraId="79B7E4BD" w14:textId="77777777">
        <w:trPr>
          <w:cnfStyle w:val="100000000000" w:firstRow="1" w:lastRow="0" w:firstColumn="0" w:lastColumn="0" w:oddVBand="0" w:evenVBand="0" w:oddHBand="0" w:evenHBand="0" w:firstRowFirstColumn="0" w:firstRowLastColumn="0" w:lastRowFirstColumn="0" w:lastRowLastColumn="0"/>
          <w:cantSplit/>
          <w:tblHeader/>
        </w:trPr>
        <w:tc>
          <w:tcPr>
            <w:tcW w:w="6330" w:type="dxa"/>
            <w:gridSpan w:val="2"/>
            <w:tcBorders>
              <w:left w:val="nil"/>
            </w:tcBorders>
          </w:tcPr>
          <w:p w14:paraId="74A1AEB2" w14:textId="672379FC" w:rsidR="00AE717E" w:rsidRPr="00DF371F" w:rsidRDefault="00AE717E" w:rsidP="00AE717E">
            <w:pPr>
              <w:pStyle w:val="Tablecolhead"/>
            </w:pPr>
            <w:r>
              <w:t xml:space="preserve">Practitioner’s Guide </w:t>
            </w:r>
            <w:r w:rsidRPr="00AE717E">
              <w:t>to Victoria’s Planning Schemes</w:t>
            </w:r>
          </w:p>
        </w:tc>
      </w:tr>
      <w:tr w:rsidR="00DC2411" w:rsidRPr="00DF371F" w14:paraId="489C7A98" w14:textId="77777777" w:rsidTr="00415F2C">
        <w:trPr>
          <w:cnfStyle w:val="100000000000" w:firstRow="1" w:lastRow="0" w:firstColumn="0" w:lastColumn="0" w:oddVBand="0" w:evenVBand="0" w:oddHBand="0" w:evenHBand="0" w:firstRowFirstColumn="0" w:firstRowLastColumn="0" w:lastRowFirstColumn="0" w:lastRowLastColumn="0"/>
          <w:cantSplit/>
          <w:tblHeader/>
        </w:trPr>
        <w:tc>
          <w:tcPr>
            <w:tcW w:w="1549" w:type="dxa"/>
            <w:tcBorders>
              <w:left w:val="nil"/>
            </w:tcBorders>
          </w:tcPr>
          <w:p w14:paraId="489C7A96" w14:textId="77777777" w:rsidR="00DC2411" w:rsidRPr="00DF371F" w:rsidRDefault="001F25A0" w:rsidP="00D02070">
            <w:pPr>
              <w:pStyle w:val="Tablecolhead"/>
            </w:pPr>
            <w:r w:rsidRPr="00DF371F">
              <w:t>Version</w:t>
            </w:r>
          </w:p>
        </w:tc>
        <w:tc>
          <w:tcPr>
            <w:tcW w:w="4781" w:type="dxa"/>
            <w:tcBorders>
              <w:right w:val="nil"/>
            </w:tcBorders>
          </w:tcPr>
          <w:p w14:paraId="489C7A97" w14:textId="77777777" w:rsidR="00DC2411" w:rsidRPr="00DF371F" w:rsidRDefault="001F25A0" w:rsidP="00D02070">
            <w:pPr>
              <w:pStyle w:val="Tablecolhead"/>
            </w:pPr>
            <w:r w:rsidRPr="00DF371F">
              <w:t>Date</w:t>
            </w:r>
          </w:p>
        </w:tc>
      </w:tr>
      <w:tr w:rsidR="00DC2411" w:rsidRPr="00DC26EF" w14:paraId="489C7A9B" w14:textId="77777777" w:rsidTr="00415F2C">
        <w:trPr>
          <w:cantSplit/>
        </w:trPr>
        <w:tc>
          <w:tcPr>
            <w:tcW w:w="1549" w:type="dxa"/>
            <w:tcBorders>
              <w:left w:val="nil"/>
            </w:tcBorders>
          </w:tcPr>
          <w:p w14:paraId="489C7A99" w14:textId="77777777" w:rsidR="00DC2411" w:rsidRPr="00DC26EF" w:rsidRDefault="00AB2C0B" w:rsidP="00D02070">
            <w:pPr>
              <w:pStyle w:val="Tablebody"/>
            </w:pPr>
            <w:r w:rsidRPr="00DC26EF">
              <w:t>1.0</w:t>
            </w:r>
          </w:p>
        </w:tc>
        <w:tc>
          <w:tcPr>
            <w:tcW w:w="4781" w:type="dxa"/>
            <w:tcBorders>
              <w:right w:val="nil"/>
            </w:tcBorders>
          </w:tcPr>
          <w:p w14:paraId="489C7A9A" w14:textId="77777777" w:rsidR="00DC2411" w:rsidRPr="00DC26EF" w:rsidRDefault="00AB2C0B" w:rsidP="00D02070">
            <w:pPr>
              <w:pStyle w:val="Tablebody"/>
            </w:pPr>
            <w:r w:rsidRPr="00DC26EF">
              <w:t>28 September 2018</w:t>
            </w:r>
            <w:r w:rsidR="00474219" w:rsidRPr="00DC26EF">
              <w:t xml:space="preserve"> – </w:t>
            </w:r>
            <w:r w:rsidRPr="00DC26EF">
              <w:t>Initial publication</w:t>
            </w:r>
          </w:p>
        </w:tc>
      </w:tr>
      <w:tr w:rsidR="00DC2411" w:rsidRPr="00DC26EF" w14:paraId="489C7A9E" w14:textId="77777777" w:rsidTr="00415F2C">
        <w:trPr>
          <w:cantSplit/>
        </w:trPr>
        <w:tc>
          <w:tcPr>
            <w:tcW w:w="1549" w:type="dxa"/>
            <w:tcBorders>
              <w:left w:val="nil"/>
            </w:tcBorders>
          </w:tcPr>
          <w:p w14:paraId="489C7A9C" w14:textId="77777777" w:rsidR="00DC2411" w:rsidRPr="00DC26EF" w:rsidRDefault="001604CA" w:rsidP="00D02070">
            <w:pPr>
              <w:pStyle w:val="Tablebody"/>
            </w:pPr>
            <w:r>
              <w:t>1.1</w:t>
            </w:r>
          </w:p>
        </w:tc>
        <w:tc>
          <w:tcPr>
            <w:tcW w:w="4781" w:type="dxa"/>
            <w:tcBorders>
              <w:right w:val="nil"/>
            </w:tcBorders>
          </w:tcPr>
          <w:p w14:paraId="489C7A9D" w14:textId="77777777" w:rsidR="00DC2411" w:rsidRPr="00DC26EF" w:rsidRDefault="00AD67BE" w:rsidP="00D02070">
            <w:pPr>
              <w:pStyle w:val="Tablebody"/>
            </w:pPr>
            <w:r>
              <w:t>31 October</w:t>
            </w:r>
            <w:r w:rsidR="001604CA">
              <w:t xml:space="preserve"> 2018 – Minor corrections</w:t>
            </w:r>
          </w:p>
        </w:tc>
      </w:tr>
      <w:tr w:rsidR="00DC2411" w:rsidRPr="00DC26EF" w14:paraId="489C7AA1" w14:textId="77777777" w:rsidTr="00415F2C">
        <w:trPr>
          <w:cantSplit/>
        </w:trPr>
        <w:tc>
          <w:tcPr>
            <w:tcW w:w="1549" w:type="dxa"/>
            <w:tcBorders>
              <w:left w:val="nil"/>
            </w:tcBorders>
          </w:tcPr>
          <w:p w14:paraId="489C7A9F" w14:textId="152C425F" w:rsidR="00DC2411" w:rsidRPr="00DC26EF" w:rsidRDefault="005628A8" w:rsidP="00D02070">
            <w:pPr>
              <w:pStyle w:val="Tablebody"/>
            </w:pPr>
            <w:r>
              <w:t>1.2</w:t>
            </w:r>
          </w:p>
        </w:tc>
        <w:tc>
          <w:tcPr>
            <w:tcW w:w="4781" w:type="dxa"/>
            <w:tcBorders>
              <w:right w:val="nil"/>
            </w:tcBorders>
          </w:tcPr>
          <w:p w14:paraId="489C7AA0" w14:textId="02106125" w:rsidR="00DC2411" w:rsidRPr="001257D7" w:rsidRDefault="001257D7" w:rsidP="00D02070">
            <w:pPr>
              <w:pStyle w:val="Tablebody"/>
            </w:pPr>
            <w:r w:rsidRPr="001257D7">
              <w:t xml:space="preserve">1 </w:t>
            </w:r>
            <w:r w:rsidR="005628A8" w:rsidRPr="001257D7">
              <w:t xml:space="preserve">August 2019 – Content update </w:t>
            </w:r>
          </w:p>
        </w:tc>
      </w:tr>
      <w:tr w:rsidR="00DC2411" w:rsidRPr="00DC26EF" w14:paraId="489C7AA4" w14:textId="77777777" w:rsidTr="00415F2C">
        <w:trPr>
          <w:cantSplit/>
        </w:trPr>
        <w:tc>
          <w:tcPr>
            <w:tcW w:w="1549" w:type="dxa"/>
            <w:tcBorders>
              <w:left w:val="nil"/>
            </w:tcBorders>
          </w:tcPr>
          <w:p w14:paraId="489C7AA2" w14:textId="0FA91A7A" w:rsidR="00DC2411" w:rsidRPr="00DC26EF" w:rsidRDefault="007E222A" w:rsidP="00D02070">
            <w:pPr>
              <w:pStyle w:val="Tablebody"/>
            </w:pPr>
            <w:r>
              <w:t>1.3</w:t>
            </w:r>
          </w:p>
        </w:tc>
        <w:tc>
          <w:tcPr>
            <w:tcW w:w="4781" w:type="dxa"/>
            <w:tcBorders>
              <w:right w:val="nil"/>
            </w:tcBorders>
          </w:tcPr>
          <w:p w14:paraId="489C7AA3" w14:textId="7C625CB2" w:rsidR="00DC2411" w:rsidRPr="00DC26EF" w:rsidRDefault="00092E0F" w:rsidP="00D02070">
            <w:pPr>
              <w:pStyle w:val="Tablebody"/>
            </w:pPr>
            <w:r w:rsidRPr="00761AF2">
              <w:t>29 January</w:t>
            </w:r>
            <w:r>
              <w:t xml:space="preserve"> 2020</w:t>
            </w:r>
            <w:r w:rsidR="007E222A">
              <w:t xml:space="preserve"> – Content update</w:t>
            </w:r>
          </w:p>
        </w:tc>
      </w:tr>
      <w:tr w:rsidR="00DC2411" w:rsidRPr="00DC26EF" w14:paraId="489C7AA7" w14:textId="77777777" w:rsidTr="00415F2C">
        <w:trPr>
          <w:cantSplit/>
        </w:trPr>
        <w:tc>
          <w:tcPr>
            <w:tcW w:w="1549" w:type="dxa"/>
            <w:tcBorders>
              <w:left w:val="nil"/>
            </w:tcBorders>
          </w:tcPr>
          <w:p w14:paraId="489C7AA5" w14:textId="26A5B316" w:rsidR="00DC2411" w:rsidRPr="00DC26EF" w:rsidRDefault="007E222A" w:rsidP="00D02070">
            <w:pPr>
              <w:pStyle w:val="Tablebody"/>
            </w:pPr>
            <w:r>
              <w:t>1.4</w:t>
            </w:r>
          </w:p>
        </w:tc>
        <w:tc>
          <w:tcPr>
            <w:tcW w:w="4781" w:type="dxa"/>
            <w:tcBorders>
              <w:right w:val="nil"/>
            </w:tcBorders>
          </w:tcPr>
          <w:p w14:paraId="489C7AA6" w14:textId="6AA8820D" w:rsidR="00DC2411" w:rsidRPr="00DC26EF" w:rsidRDefault="00092E0F" w:rsidP="00D02070">
            <w:pPr>
              <w:pStyle w:val="Tablebody"/>
            </w:pPr>
            <w:r>
              <w:t>30 April 2020 – Content update</w:t>
            </w:r>
          </w:p>
        </w:tc>
      </w:tr>
      <w:tr w:rsidR="00761AF2" w:rsidRPr="00DC26EF" w14:paraId="0CB9B51E" w14:textId="77777777" w:rsidTr="00415F2C">
        <w:trPr>
          <w:cantSplit/>
        </w:trPr>
        <w:tc>
          <w:tcPr>
            <w:tcW w:w="1549" w:type="dxa"/>
            <w:tcBorders>
              <w:left w:val="nil"/>
            </w:tcBorders>
          </w:tcPr>
          <w:p w14:paraId="5336A5AF" w14:textId="2CC6421F" w:rsidR="00761AF2" w:rsidRPr="000D7E8A" w:rsidRDefault="00761AF2" w:rsidP="00D02070">
            <w:pPr>
              <w:pStyle w:val="Tablebody"/>
            </w:pPr>
            <w:r w:rsidRPr="000D7E8A">
              <w:t>1.5</w:t>
            </w:r>
          </w:p>
        </w:tc>
        <w:tc>
          <w:tcPr>
            <w:tcW w:w="4781" w:type="dxa"/>
            <w:tcBorders>
              <w:right w:val="nil"/>
            </w:tcBorders>
          </w:tcPr>
          <w:p w14:paraId="727EFCEB" w14:textId="2DAF0805" w:rsidR="00761AF2" w:rsidRPr="000D7E8A" w:rsidRDefault="00761AF2" w:rsidP="00D02070">
            <w:pPr>
              <w:pStyle w:val="Tablebody"/>
            </w:pPr>
            <w:r w:rsidRPr="000D7E8A">
              <w:t>1 April 2022 – Content update</w:t>
            </w:r>
          </w:p>
        </w:tc>
      </w:tr>
      <w:tr w:rsidR="00372B13" w:rsidRPr="00DC26EF" w14:paraId="3B9EF3CA" w14:textId="77777777" w:rsidTr="00415F2C">
        <w:trPr>
          <w:cantSplit/>
        </w:trPr>
        <w:tc>
          <w:tcPr>
            <w:tcW w:w="1549" w:type="dxa"/>
            <w:tcBorders>
              <w:left w:val="nil"/>
            </w:tcBorders>
          </w:tcPr>
          <w:p w14:paraId="55CE9A30" w14:textId="638DCA0E" w:rsidR="00372B13" w:rsidRPr="00371AAE" w:rsidRDefault="00372B13" w:rsidP="00D02070">
            <w:pPr>
              <w:pStyle w:val="Tablebody"/>
            </w:pPr>
            <w:r w:rsidRPr="00371AAE">
              <w:t>6</w:t>
            </w:r>
          </w:p>
        </w:tc>
        <w:tc>
          <w:tcPr>
            <w:tcW w:w="4781" w:type="dxa"/>
            <w:tcBorders>
              <w:right w:val="nil"/>
            </w:tcBorders>
          </w:tcPr>
          <w:p w14:paraId="71FE1600" w14:textId="1383891A" w:rsidR="00372B13" w:rsidRPr="00371AAE" w:rsidRDefault="0099617C" w:rsidP="00D02070">
            <w:pPr>
              <w:pStyle w:val="Tablebody"/>
            </w:pPr>
            <w:r w:rsidRPr="008D728A">
              <w:t>March</w:t>
            </w:r>
            <w:r w:rsidR="00AE3BC6" w:rsidRPr="008D728A">
              <w:t xml:space="preserve"> 2024</w:t>
            </w:r>
            <w:r w:rsidR="00372B13" w:rsidRPr="008D728A">
              <w:t xml:space="preserve"> </w:t>
            </w:r>
            <w:r w:rsidR="0034286B" w:rsidRPr="00371AAE">
              <w:t>–</w:t>
            </w:r>
            <w:r w:rsidR="00372B13" w:rsidRPr="00371AAE">
              <w:t xml:space="preserve"> </w:t>
            </w:r>
            <w:r w:rsidR="0034286B" w:rsidRPr="00371AAE">
              <w:t>Content update</w:t>
            </w:r>
          </w:p>
        </w:tc>
      </w:tr>
    </w:tbl>
    <w:tbl>
      <w:tblPr>
        <w:tblStyle w:val="TableGrid"/>
        <w:tblpPr w:leftFromText="180" w:rightFromText="180" w:vertAnchor="text" w:horzAnchor="margin" w:tblpY="4628"/>
        <w:tblW w:w="9604" w:type="dxa"/>
        <w:tblInd w:w="0" w:type="dxa"/>
        <w:tblBorders>
          <w:top w:val="single" w:sz="4" w:space="0" w:color="00B2A9"/>
          <w:left w:val="none" w:sz="0" w:space="0" w:color="auto"/>
          <w:bottom w:val="none" w:sz="0" w:space="0" w:color="auto"/>
          <w:right w:val="none" w:sz="0" w:space="0" w:color="auto"/>
          <w:insideH w:val="none" w:sz="0" w:space="0" w:color="auto"/>
          <w:insideV w:val="none" w:sz="0" w:space="0" w:color="auto"/>
        </w:tblBorders>
        <w:tblCellMar>
          <w:top w:w="142" w:type="dxa"/>
        </w:tblCellMar>
        <w:tblLook w:val="04A0" w:firstRow="1" w:lastRow="0" w:firstColumn="1" w:lastColumn="0" w:noHBand="0" w:noVBand="1"/>
      </w:tblPr>
      <w:tblGrid>
        <w:gridCol w:w="5595"/>
        <w:gridCol w:w="4009"/>
      </w:tblGrid>
      <w:tr w:rsidR="00AE717E" w14:paraId="3C680D5C" w14:textId="77777777" w:rsidTr="00AE717E">
        <w:trPr>
          <w:cnfStyle w:val="100000000000" w:firstRow="1" w:lastRow="0" w:firstColumn="0" w:lastColumn="0" w:oddVBand="0" w:evenVBand="0" w:oddHBand="0" w:evenHBand="0" w:firstRowFirstColumn="0" w:firstRowLastColumn="0" w:lastRowFirstColumn="0" w:lastRowLastColumn="0"/>
          <w:trHeight w:val="4096"/>
        </w:trPr>
        <w:tc>
          <w:tcPr>
            <w:tcW w:w="5595" w:type="dxa"/>
            <w:shd w:val="clear" w:color="auto" w:fill="auto"/>
          </w:tcPr>
          <w:p w14:paraId="7126DAF8" w14:textId="4551A703" w:rsidR="00AE717E" w:rsidRPr="0045784C" w:rsidRDefault="00AE717E" w:rsidP="00AE717E">
            <w:pPr>
              <w:pStyle w:val="SmallBodyText"/>
              <w:spacing w:line="240" w:lineRule="auto"/>
              <w:ind w:left="35"/>
              <w:rPr>
                <w:rFonts w:ascii="VIC" w:hAnsi="VIC"/>
                <w:color w:val="53565A"/>
                <w:sz w:val="16"/>
                <w:szCs w:val="16"/>
              </w:rPr>
            </w:pPr>
            <w:r w:rsidRPr="0045784C">
              <w:rPr>
                <w:rFonts w:ascii="VIC" w:hAnsi="VIC"/>
                <w:color w:val="53565A"/>
                <w:sz w:val="16"/>
                <w:szCs w:val="16"/>
              </w:rPr>
              <w:t xml:space="preserve">© The State of Victoria </w:t>
            </w:r>
            <w:r>
              <w:rPr>
                <w:rFonts w:ascii="VIC" w:hAnsi="VIC"/>
                <w:color w:val="53565A"/>
                <w:sz w:val="16"/>
                <w:szCs w:val="16"/>
              </w:rPr>
              <w:t xml:space="preserve">- </w:t>
            </w:r>
            <w:r w:rsidRPr="0045784C">
              <w:rPr>
                <w:rFonts w:ascii="VIC" w:hAnsi="VIC"/>
                <w:color w:val="53565A"/>
                <w:sz w:val="16"/>
                <w:szCs w:val="16"/>
              </w:rPr>
              <w:t xml:space="preserve">Department of </w:t>
            </w:r>
            <w:r>
              <w:rPr>
                <w:rFonts w:ascii="VIC" w:hAnsi="VIC"/>
                <w:color w:val="53565A"/>
                <w:sz w:val="16"/>
                <w:szCs w:val="16"/>
              </w:rPr>
              <w:t>Transport and Planning</w:t>
            </w:r>
            <w:r w:rsidRPr="0045784C">
              <w:rPr>
                <w:rFonts w:ascii="VIC" w:hAnsi="VIC"/>
                <w:color w:val="53565A"/>
                <w:sz w:val="16"/>
                <w:szCs w:val="16"/>
              </w:rPr>
              <w:t xml:space="preserve">, </w:t>
            </w:r>
            <w:r w:rsidR="0028407E" w:rsidRPr="0071547C">
              <w:rPr>
                <w:rFonts w:ascii="VIC" w:hAnsi="VIC"/>
                <w:color w:val="53565A"/>
                <w:sz w:val="16"/>
                <w:szCs w:val="16"/>
              </w:rPr>
              <w:t>March</w:t>
            </w:r>
            <w:r w:rsidRPr="0071547C">
              <w:rPr>
                <w:rFonts w:ascii="VIC" w:hAnsi="VIC"/>
                <w:color w:val="53565A"/>
                <w:sz w:val="16"/>
                <w:szCs w:val="16"/>
              </w:rPr>
              <w:t xml:space="preserve"> </w:t>
            </w:r>
            <w:r w:rsidR="00C44245" w:rsidRPr="009A4A32">
              <w:rPr>
                <w:rFonts w:ascii="VIC" w:hAnsi="VIC"/>
                <w:color w:val="53565A"/>
                <w:sz w:val="16"/>
                <w:szCs w:val="16"/>
              </w:rPr>
              <w:t>2024.</w:t>
            </w:r>
          </w:p>
          <w:p w14:paraId="7AAB40DE" w14:textId="77777777" w:rsidR="00AE717E" w:rsidRPr="0045784C" w:rsidRDefault="00AE717E" w:rsidP="00AE717E">
            <w:pPr>
              <w:pStyle w:val="SmallBodyText"/>
              <w:spacing w:line="240" w:lineRule="auto"/>
              <w:ind w:left="35"/>
              <w:rPr>
                <w:rFonts w:ascii="VIC" w:hAnsi="VIC"/>
                <w:color w:val="53565A"/>
                <w:sz w:val="16"/>
                <w:szCs w:val="16"/>
              </w:rPr>
            </w:pPr>
            <w:r w:rsidRPr="0045784C">
              <w:rPr>
                <w:rFonts w:ascii="VIC" w:hAnsi="VIC"/>
                <w:noProof/>
                <w:color w:val="53565A"/>
                <w:sz w:val="16"/>
                <w:szCs w:val="16"/>
              </w:rPr>
              <w:drawing>
                <wp:anchor distT="0" distB="0" distL="114300" distR="36195" simplePos="0" relativeHeight="251658240" behindDoc="0" locked="1" layoutInCell="1" allowOverlap="1" wp14:anchorId="7ED5469A" wp14:editId="3A26498E">
                  <wp:simplePos x="0" y="0"/>
                  <wp:positionH relativeFrom="column">
                    <wp:posOffset>0</wp:posOffset>
                  </wp:positionH>
                  <wp:positionV relativeFrom="paragraph">
                    <wp:posOffset>28575</wp:posOffset>
                  </wp:positionV>
                  <wp:extent cx="658800" cy="237600"/>
                  <wp:effectExtent l="0" t="0" r="8255" b="0"/>
                  <wp:wrapSquare wrapText="bothSides"/>
                  <wp:docPr id="16" name="Picture 16"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44">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341" w:name="_ImprintPageOne"/>
            <w:bookmarkEnd w:id="341"/>
            <w:r w:rsidRPr="0045784C">
              <w:rPr>
                <w:rFonts w:ascii="VIC" w:hAnsi="VIC"/>
                <w:color w:val="53565A"/>
                <w:sz w:val="16"/>
                <w:szCs w:val="16"/>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w:t>
            </w:r>
            <w:r>
              <w:rPr>
                <w:rFonts w:ascii="VIC" w:hAnsi="VIC"/>
                <w:color w:val="53565A"/>
                <w:sz w:val="16"/>
                <w:szCs w:val="16"/>
              </w:rPr>
              <w:t>Transport</w:t>
            </w:r>
            <w:r w:rsidRPr="0045784C">
              <w:rPr>
                <w:rFonts w:ascii="VIC" w:hAnsi="VIC"/>
                <w:color w:val="53565A"/>
                <w:sz w:val="16"/>
                <w:szCs w:val="16"/>
              </w:rPr>
              <w:t xml:space="preserve"> and Planning (D</w:t>
            </w:r>
            <w:r>
              <w:rPr>
                <w:rFonts w:ascii="VIC" w:hAnsi="VIC"/>
                <w:color w:val="53565A"/>
                <w:sz w:val="16"/>
                <w:szCs w:val="16"/>
              </w:rPr>
              <w:t>TP</w:t>
            </w:r>
            <w:r w:rsidRPr="0045784C">
              <w:rPr>
                <w:rFonts w:ascii="VIC" w:hAnsi="VIC"/>
                <w:color w:val="53565A"/>
                <w:sz w:val="16"/>
                <w:szCs w:val="16"/>
              </w:rPr>
              <w:t xml:space="preserve">) logo. To view a copy of this licence, visit </w:t>
            </w:r>
            <w:hyperlink r:id="rId45" w:history="1">
              <w:r w:rsidRPr="0045784C">
                <w:rPr>
                  <w:rStyle w:val="Hyperlink"/>
                  <w:rFonts w:ascii="VIC" w:hAnsi="VIC"/>
                  <w:color w:val="53565A"/>
                  <w:sz w:val="16"/>
                  <w:szCs w:val="16"/>
                </w:rPr>
                <w:t>http://creativecommons.org/licenses/by/4.0/</w:t>
              </w:r>
            </w:hyperlink>
          </w:p>
          <w:p w14:paraId="16E490B1" w14:textId="741ED6D7" w:rsidR="00AE717E" w:rsidRPr="0045784C" w:rsidRDefault="00AE717E" w:rsidP="00AE717E">
            <w:pPr>
              <w:pStyle w:val="SmallBodyText"/>
              <w:spacing w:before="120" w:after="120" w:line="240" w:lineRule="auto"/>
              <w:ind w:left="35"/>
              <w:rPr>
                <w:rFonts w:ascii="VIC" w:hAnsi="VIC"/>
                <w:color w:val="53565A"/>
                <w:sz w:val="16"/>
                <w:szCs w:val="16"/>
              </w:rPr>
            </w:pPr>
            <w:r w:rsidRPr="0045784C">
              <w:rPr>
                <w:rFonts w:ascii="VIC" w:hAnsi="VIC"/>
                <w:color w:val="53565A"/>
                <w:sz w:val="16"/>
                <w:szCs w:val="16"/>
              </w:rPr>
              <w:t>ISBN</w:t>
            </w:r>
            <w:r w:rsidRPr="00371AAE">
              <w:rPr>
                <w:rFonts w:ascii="VIC" w:hAnsi="VIC"/>
                <w:color w:val="53565A"/>
                <w:sz w:val="16"/>
                <w:szCs w:val="16"/>
              </w:rPr>
              <w:t xml:space="preserve"> </w:t>
            </w:r>
            <w:r w:rsidR="00371AAE" w:rsidRPr="00371AAE">
              <w:rPr>
                <w:rFonts w:ascii="VIC" w:hAnsi="VIC"/>
                <w:color w:val="53565A"/>
                <w:sz w:val="16"/>
                <w:szCs w:val="16"/>
              </w:rPr>
              <w:t>978-0-7311-9307-3</w:t>
            </w:r>
            <w:r w:rsidRPr="001B79C6">
              <w:rPr>
                <w:rFonts w:ascii="VIC" w:hAnsi="VIC"/>
                <w:color w:val="FF0000"/>
                <w:sz w:val="16"/>
                <w:szCs w:val="16"/>
              </w:rPr>
              <w:t xml:space="preserve"> </w:t>
            </w:r>
            <w:r w:rsidRPr="0045784C">
              <w:rPr>
                <w:rFonts w:ascii="VIC" w:hAnsi="VIC"/>
                <w:color w:val="53565A"/>
                <w:sz w:val="16"/>
                <w:szCs w:val="16"/>
              </w:rPr>
              <w:t>(pdf/online/MS word)</w:t>
            </w:r>
          </w:p>
          <w:p w14:paraId="598F9C82" w14:textId="77777777" w:rsidR="00AE717E" w:rsidRPr="0045784C" w:rsidRDefault="00AE717E" w:rsidP="00AE717E">
            <w:pPr>
              <w:pStyle w:val="SmallHeading"/>
              <w:spacing w:line="240" w:lineRule="auto"/>
              <w:ind w:left="35"/>
              <w:rPr>
                <w:rFonts w:ascii="VIC" w:hAnsi="VIC"/>
                <w:color w:val="53565A"/>
                <w:sz w:val="16"/>
                <w:szCs w:val="16"/>
              </w:rPr>
            </w:pPr>
            <w:r w:rsidRPr="0045784C">
              <w:rPr>
                <w:rFonts w:ascii="VIC" w:hAnsi="VIC"/>
                <w:color w:val="53565A"/>
                <w:sz w:val="16"/>
                <w:szCs w:val="16"/>
              </w:rPr>
              <w:t>Disclaimer</w:t>
            </w:r>
          </w:p>
          <w:p w14:paraId="757408A1" w14:textId="77777777" w:rsidR="00AE717E" w:rsidRPr="0045784C" w:rsidRDefault="00AE717E" w:rsidP="00AE717E">
            <w:pPr>
              <w:pStyle w:val="SmallBodyText"/>
              <w:spacing w:line="240" w:lineRule="auto"/>
              <w:ind w:left="35"/>
              <w:rPr>
                <w:color w:val="53565A"/>
              </w:rPr>
            </w:pPr>
            <w:r w:rsidRPr="0045784C">
              <w:rPr>
                <w:rFonts w:ascii="VIC" w:hAnsi="VIC"/>
                <w:color w:val="53565A"/>
                <w:sz w:val="16"/>
                <w:szCs w:val="16"/>
              </w:rPr>
              <w:t xml:space="preserve">This publication may be of assistance to </w:t>
            </w:r>
            <w:proofErr w:type="gramStart"/>
            <w:r w:rsidRPr="0045784C">
              <w:rPr>
                <w:rFonts w:ascii="VIC" w:hAnsi="VIC"/>
                <w:color w:val="53565A"/>
                <w:sz w:val="16"/>
                <w:szCs w:val="16"/>
              </w:rPr>
              <w:t>you</w:t>
            </w:r>
            <w:proofErr w:type="gramEnd"/>
            <w:r w:rsidRPr="0045784C">
              <w:rPr>
                <w:rFonts w:ascii="VIC" w:hAnsi="VIC"/>
                <w:color w:val="53565A"/>
                <w:sz w:val="16"/>
                <w:szCs w:val="16"/>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4009" w:type="dxa"/>
            <w:shd w:val="clear" w:color="auto" w:fill="auto"/>
          </w:tcPr>
          <w:p w14:paraId="7F7C0DC8" w14:textId="77777777" w:rsidR="00AE717E" w:rsidRPr="0045784C" w:rsidRDefault="00AE717E" w:rsidP="00AE717E">
            <w:pPr>
              <w:pStyle w:val="xAccessibilityHeading"/>
              <w:rPr>
                <w:color w:val="53565A"/>
              </w:rPr>
            </w:pPr>
            <w:r w:rsidRPr="0045784C">
              <w:rPr>
                <w:rFonts w:ascii="VIC" w:hAnsi="VIC"/>
                <w:color w:val="53565A"/>
              </w:rPr>
              <w:t>Accessibility</w:t>
            </w:r>
          </w:p>
          <w:p w14:paraId="5529B741" w14:textId="5C5602F3" w:rsidR="00AE717E" w:rsidRPr="00AB081A" w:rsidRDefault="00AE717E" w:rsidP="00AE717E">
            <w:pPr>
              <w:rPr>
                <w:rFonts w:ascii="VIC" w:hAnsi="VIC"/>
              </w:rPr>
            </w:pPr>
            <w:r w:rsidRPr="00AB081A">
              <w:rPr>
                <w:rFonts w:ascii="VIC" w:hAnsi="VIC"/>
                <w:color w:val="53565A"/>
              </w:rPr>
              <w:t xml:space="preserve">If you would like to receive this publication in an alternative format, please email </w:t>
            </w:r>
            <w:hyperlink r:id="rId46" w:history="1">
              <w:r w:rsidR="0071547C" w:rsidRPr="00FC50E8">
                <w:rPr>
                  <w:rStyle w:val="Hyperlink"/>
                  <w:rFonts w:ascii="VIC" w:hAnsi="VIC"/>
                </w:rPr>
                <w:t>planning.systems@delwp.vic.gov.au</w:t>
              </w:r>
            </w:hyperlink>
          </w:p>
        </w:tc>
      </w:tr>
    </w:tbl>
    <w:p w14:paraId="489C7AB1" w14:textId="6FDA0A58" w:rsidR="00DC2411" w:rsidRDefault="00DC2411" w:rsidP="00AE717E">
      <w:pPr>
        <w:pStyle w:val="DELWPlargebody"/>
      </w:pPr>
    </w:p>
    <w:sectPr w:rsidR="00DC2411" w:rsidSect="004D42CC">
      <w:headerReference w:type="even" r:id="rId47"/>
      <w:headerReference w:type="default" r:id="rId48"/>
      <w:footerReference w:type="even" r:id="rId49"/>
      <w:footerReference w:type="default" r:id="rId50"/>
      <w:footerReference w:type="first" r:id="rId51"/>
      <w:pgSz w:w="11906" w:h="16838" w:code="9"/>
      <w:pgMar w:top="1418" w:right="1418" w:bottom="1134" w:left="1418" w:header="454" w:footer="45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E68F8" w14:textId="77777777" w:rsidR="00884C5E" w:rsidRDefault="00884C5E" w:rsidP="00DF371F">
      <w:pPr>
        <w:spacing w:after="0" w:line="240" w:lineRule="auto"/>
      </w:pPr>
      <w:r>
        <w:separator/>
      </w:r>
    </w:p>
  </w:endnote>
  <w:endnote w:type="continuationSeparator" w:id="0">
    <w:p w14:paraId="5B2200FE" w14:textId="77777777" w:rsidR="00884C5E" w:rsidRDefault="00884C5E" w:rsidP="00DF371F">
      <w:pPr>
        <w:spacing w:after="0" w:line="240" w:lineRule="auto"/>
      </w:pPr>
      <w:r>
        <w:continuationSeparator/>
      </w:r>
    </w:p>
  </w:endnote>
  <w:endnote w:type="continuationNotice" w:id="1">
    <w:p w14:paraId="37341BB6" w14:textId="77777777" w:rsidR="00884C5E" w:rsidRDefault="00884C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VIC Medium">
    <w:panose1 w:val="00000600000000000000"/>
    <w:charset w:val="00"/>
    <w:family w:val="auto"/>
    <w:pitch w:val="variable"/>
    <w:sig w:usb0="00000007" w:usb1="00000000" w:usb2="00000000" w:usb3="00000000" w:csb0="00000093" w:csb1="00000000"/>
  </w:font>
  <w:font w:name="VIC-Light">
    <w:altName w:val="Times New Roman"/>
    <w:charset w:val="00"/>
    <w:family w:val="auto"/>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A07E4" w14:textId="39C272D7" w:rsidR="00907375" w:rsidRDefault="00C60F05">
    <w:pPr>
      <w:pStyle w:val="Footer"/>
    </w:pPr>
    <w:r>
      <w:rPr>
        <w:noProof/>
        <w:color w:val="2B579A"/>
      </w:rPr>
      <mc:AlternateContent>
        <mc:Choice Requires="wps">
          <w:drawing>
            <wp:anchor distT="0" distB="0" distL="0" distR="0" simplePos="0" relativeHeight="251658244" behindDoc="0" locked="0" layoutInCell="1" allowOverlap="1" wp14:anchorId="73BC737A" wp14:editId="1EFB7333">
              <wp:simplePos x="635" y="635"/>
              <wp:positionH relativeFrom="page">
                <wp:align>center</wp:align>
              </wp:positionH>
              <wp:positionV relativeFrom="page">
                <wp:align>bottom</wp:align>
              </wp:positionV>
              <wp:extent cx="443865" cy="443865"/>
              <wp:effectExtent l="0" t="0" r="635" b="0"/>
              <wp:wrapNone/>
              <wp:docPr id="26"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7A3048" w14:textId="1B9B3677" w:rsidR="00C60F05" w:rsidRPr="00C60F05" w:rsidRDefault="00C60F05" w:rsidP="00C60F05">
                          <w:pPr>
                            <w:spacing w:after="0"/>
                            <w:rPr>
                              <w:rFonts w:eastAsia="Calibri" w:cs="Calibri"/>
                              <w:noProof/>
                              <w:color w:val="000000"/>
                              <w:sz w:val="24"/>
                              <w:szCs w:val="24"/>
                            </w:rPr>
                          </w:pPr>
                          <w:r w:rsidRPr="00C60F05">
                            <w:rPr>
                              <w:rFonts w:eastAsia="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BC737A" id="_x0000_t202" coordsize="21600,21600" o:spt="202" path="m,l,21600r21600,l21600,xe">
              <v:stroke joinstyle="miter"/>
              <v:path gradientshapeok="t" o:connecttype="rect"/>
            </v:shapetype>
            <v:shape id="Text Box 26" o:spid="_x0000_s1035" type="#_x0000_t202" alt="OFFICIAL"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657A3048" w14:textId="1B9B3677" w:rsidR="00C60F05" w:rsidRPr="00C60F05" w:rsidRDefault="00C60F05" w:rsidP="00C60F05">
                    <w:pPr>
                      <w:spacing w:after="0"/>
                      <w:rPr>
                        <w:rFonts w:eastAsia="Calibri" w:cs="Calibri"/>
                        <w:noProof/>
                        <w:color w:val="000000"/>
                        <w:sz w:val="24"/>
                        <w:szCs w:val="24"/>
                      </w:rPr>
                    </w:pPr>
                    <w:r w:rsidRPr="00C60F05">
                      <w:rPr>
                        <w:rFonts w:eastAsia="Calibri" w:cs="Calibri"/>
                        <w:noProof/>
                        <w:color w:val="000000"/>
                        <w:sz w:val="24"/>
                        <w:szCs w:val="24"/>
                      </w:rPr>
                      <w:t>OFFICIAL</w:t>
                    </w:r>
                  </w:p>
                </w:txbxContent>
              </v:textbox>
              <w10:wrap anchorx="page" anchory="page"/>
            </v:shape>
          </w:pict>
        </mc:Fallback>
      </mc:AlternateContent>
    </w:r>
    <w:r w:rsidR="00F05CA5">
      <w:rPr>
        <w:noProof/>
        <w:color w:val="2B579A"/>
      </w:rPr>
      <mc:AlternateContent>
        <mc:Choice Requires="wps">
          <w:drawing>
            <wp:anchor distT="0" distB="0" distL="114300" distR="114300" simplePos="1" relativeHeight="251658242" behindDoc="0" locked="0" layoutInCell="0" allowOverlap="1" wp14:anchorId="2AD136CB" wp14:editId="630D8C32">
              <wp:simplePos x="0" y="10228183"/>
              <wp:positionH relativeFrom="page">
                <wp:posOffset>0</wp:posOffset>
              </wp:positionH>
              <wp:positionV relativeFrom="page">
                <wp:posOffset>10227945</wp:posOffset>
              </wp:positionV>
              <wp:extent cx="7560310" cy="273050"/>
              <wp:effectExtent l="0" t="0" r="0" b="12700"/>
              <wp:wrapNone/>
              <wp:docPr id="46" name="Text Box 46" descr="{&quot;HashCode&quot;:1862493762,&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CA9B12" w14:textId="4009EA2C" w:rsidR="00F05CA5" w:rsidRPr="00F05CA5" w:rsidRDefault="00F05CA5" w:rsidP="00F05CA5">
                          <w:pPr>
                            <w:spacing w:after="0"/>
                            <w:jc w:val="center"/>
                            <w:rPr>
                              <w:rFonts w:cs="Calibri"/>
                              <w:color w:val="000000"/>
                              <w:sz w:val="24"/>
                            </w:rPr>
                          </w:pPr>
                          <w:r w:rsidRPr="00F05CA5">
                            <w:rPr>
                              <w:rFonts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AD136CB" id="Text Box 46" o:spid="_x0000_s1036" type="#_x0000_t202" alt="{&quot;HashCode&quot;:1862493762,&quot;Height&quot;:841.0,&quot;Width&quot;:595.0,&quot;Placement&quot;:&quot;Footer&quot;,&quot;Index&quot;:&quot;OddAndEven&quot;,&quot;Section&quot;:1,&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26CA9B12" w14:textId="4009EA2C" w:rsidR="00F05CA5" w:rsidRPr="00F05CA5" w:rsidRDefault="00F05CA5" w:rsidP="00F05CA5">
                    <w:pPr>
                      <w:spacing w:after="0"/>
                      <w:jc w:val="center"/>
                      <w:rPr>
                        <w:rFonts w:cs="Calibri"/>
                        <w:color w:val="000000"/>
                        <w:sz w:val="24"/>
                      </w:rPr>
                    </w:pPr>
                    <w:r w:rsidRPr="00F05CA5">
                      <w:rPr>
                        <w:rFonts w:cs="Calibri"/>
                        <w:color w:val="000000"/>
                        <w:sz w:val="24"/>
                      </w:rPr>
                      <w:t>OFFICIAL</w:t>
                    </w:r>
                  </w:p>
                </w:txbxContent>
              </v:textbox>
              <w10:wrap anchorx="page" anchory="page"/>
            </v:shape>
          </w:pict>
        </mc:Fallback>
      </mc:AlternateContent>
    </w:r>
    <w:r w:rsidR="00754528">
      <w:rPr>
        <w:noProof/>
        <w:color w:val="2B579A"/>
      </w:rPr>
      <mc:AlternateContent>
        <mc:Choice Requires="wps">
          <w:drawing>
            <wp:anchor distT="0" distB="0" distL="114300" distR="114300" simplePos="1" relativeHeight="251658241" behindDoc="0" locked="0" layoutInCell="0" allowOverlap="1" wp14:anchorId="37C611FE" wp14:editId="55005403">
              <wp:simplePos x="0" y="10228183"/>
              <wp:positionH relativeFrom="page">
                <wp:posOffset>0</wp:posOffset>
              </wp:positionH>
              <wp:positionV relativeFrom="page">
                <wp:posOffset>10228580</wp:posOffset>
              </wp:positionV>
              <wp:extent cx="7560310" cy="273050"/>
              <wp:effectExtent l="0" t="0" r="0" b="12700"/>
              <wp:wrapNone/>
              <wp:docPr id="17" name="Text Box 17" descr="{&quot;HashCode&quot;:1862493762,&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B35707" w14:textId="13E80845" w:rsidR="00754528" w:rsidRPr="002A3831" w:rsidRDefault="002A3831" w:rsidP="002A3831">
                          <w:pPr>
                            <w:spacing w:after="0"/>
                            <w:jc w:val="center"/>
                            <w:rPr>
                              <w:rFonts w:cs="Calibri"/>
                              <w:color w:val="000000"/>
                              <w:sz w:val="24"/>
                            </w:rPr>
                          </w:pPr>
                          <w:r w:rsidRPr="002A3831">
                            <w:rPr>
                              <w:rFonts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7C611FE" id="Text Box 17" o:spid="_x0000_s1037" type="#_x0000_t202" alt="{&quot;HashCode&quot;:1862493762,&quot;Height&quot;:841.0,&quot;Width&quot;:595.0,&quot;Placement&quot;:&quot;Footer&quot;,&quot;Index&quot;:&quot;OddAndEven&quot;,&quot;Section&quot;:1,&quot;Top&quot;:0.0,&quot;Left&quot;:0.0}" style="position:absolute;margin-left:0;margin-top:805.4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MhrUUEXAgAAKwQAAA4AAAAAAAAAAAAAAAAALgIAAGRycy9lMm9Eb2MueG1sUEsBAi0AFAAG&#10;AAgAAAAhAMQgy4TfAAAACwEAAA8AAAAAAAAAAAAAAAAAcQQAAGRycy9kb3ducmV2LnhtbFBLBQYA&#10;AAAABAAEAPMAAAB9BQAAAAA=&#10;" o:allowincell="f" filled="f" stroked="f" strokeweight=".5pt">
              <v:textbox inset=",0,,0">
                <w:txbxContent>
                  <w:p w14:paraId="5DB35707" w14:textId="13E80845" w:rsidR="00754528" w:rsidRPr="002A3831" w:rsidRDefault="002A3831" w:rsidP="002A3831">
                    <w:pPr>
                      <w:spacing w:after="0"/>
                      <w:jc w:val="center"/>
                      <w:rPr>
                        <w:rFonts w:cs="Calibri"/>
                        <w:color w:val="000000"/>
                        <w:sz w:val="24"/>
                      </w:rPr>
                    </w:pPr>
                    <w:r w:rsidRPr="002A3831">
                      <w:rPr>
                        <w:rFonts w:cs="Calibri"/>
                        <w:color w:val="000000"/>
                        <w:sz w:val="24"/>
                      </w:rPr>
                      <w:t>OFFICIAL</w:t>
                    </w:r>
                  </w:p>
                </w:txbxContent>
              </v:textbox>
              <w10:wrap anchorx="page" anchory="page"/>
            </v:shape>
          </w:pict>
        </mc:Fallback>
      </mc:AlternateContent>
    </w:r>
    <w:r w:rsidR="00907375">
      <w:rPr>
        <w:noProof/>
        <w:color w:val="2B579A"/>
        <w:shd w:val="clear" w:color="auto" w:fill="E6E6E6"/>
      </w:rPr>
      <mc:AlternateContent>
        <mc:Choice Requires="wps">
          <w:drawing>
            <wp:anchor distT="0" distB="0" distL="114300" distR="114300" simplePos="1" relativeHeight="251658240" behindDoc="0" locked="0" layoutInCell="0" allowOverlap="1" wp14:anchorId="1F6F1411" wp14:editId="3FCBC7E1">
              <wp:simplePos x="0" y="10228183"/>
              <wp:positionH relativeFrom="page">
                <wp:posOffset>0</wp:posOffset>
              </wp:positionH>
              <wp:positionV relativeFrom="page">
                <wp:posOffset>10228580</wp:posOffset>
              </wp:positionV>
              <wp:extent cx="7560310" cy="273050"/>
              <wp:effectExtent l="0" t="0" r="0" b="12700"/>
              <wp:wrapNone/>
              <wp:docPr id="24" name="Text Box 24" descr="{&quot;HashCode&quot;:87376732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88A21E" w14:textId="7481CA01" w:rsidR="00907375" w:rsidRPr="00122BB4" w:rsidRDefault="00122BB4" w:rsidP="00122BB4">
                          <w:pPr>
                            <w:spacing w:after="0"/>
                            <w:jc w:val="center"/>
                            <w:rPr>
                              <w:rFonts w:cs="Calibri"/>
                              <w:color w:val="000000"/>
                              <w:sz w:val="24"/>
                            </w:rPr>
                          </w:pPr>
                          <w:r w:rsidRPr="00122BB4">
                            <w:rPr>
                              <w:rFonts w:cs="Calibri"/>
                              <w:color w:val="000000"/>
                              <w:sz w:val="24"/>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F6F1411" id="Text Box 24" o:spid="_x0000_s1038" type="#_x0000_t202" alt="{&quot;HashCode&quot;:873767321,&quot;Height&quot;:841.0,&quot;Width&quot;:595.0,&quot;Placement&quot;:&quot;Footer&quot;,&quot;Index&quot;:&quot;OddAndEven&quot;,&quot;Section&quot;:1,&quot;Top&quot;:0.0,&quot;Left&quot;:0.0}" style="position:absolute;margin-left:0;margin-top:805.4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Djk0MkXAgAAKwQAAA4AAAAAAAAAAAAAAAAALgIAAGRycy9lMm9Eb2MueG1sUEsBAi0AFAAG&#10;AAgAAAAhAMQgy4TfAAAACwEAAA8AAAAAAAAAAAAAAAAAcQQAAGRycy9kb3ducmV2LnhtbFBLBQYA&#10;AAAABAAEAPMAAAB9BQAAAAA=&#10;" o:allowincell="f" filled="f" stroked="f" strokeweight=".5pt">
              <v:textbox inset=",0,,0">
                <w:txbxContent>
                  <w:p w14:paraId="7388A21E" w14:textId="7481CA01" w:rsidR="00907375" w:rsidRPr="00122BB4" w:rsidRDefault="00122BB4" w:rsidP="00122BB4">
                    <w:pPr>
                      <w:spacing w:after="0"/>
                      <w:jc w:val="center"/>
                      <w:rPr>
                        <w:rFonts w:cs="Calibri"/>
                        <w:color w:val="000000"/>
                        <w:sz w:val="24"/>
                      </w:rPr>
                    </w:pPr>
                    <w:r w:rsidRPr="00122BB4">
                      <w:rPr>
                        <w:rFonts w:cs="Calibri"/>
                        <w:color w:val="000000"/>
                        <w:sz w:val="24"/>
                      </w:rPr>
                      <w:t>Unofficial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5044A" w14:textId="353EB311" w:rsidR="00C60F05" w:rsidRDefault="00C60F05">
    <w:pPr>
      <w:pStyle w:val="Footer"/>
    </w:pPr>
    <w:r>
      <w:rPr>
        <w:noProof/>
      </w:rPr>
      <mc:AlternateContent>
        <mc:Choice Requires="wps">
          <w:drawing>
            <wp:anchor distT="0" distB="0" distL="0" distR="0" simplePos="0" relativeHeight="251658243" behindDoc="0" locked="0" layoutInCell="1" allowOverlap="1" wp14:anchorId="416865AC" wp14:editId="67DC9B24">
              <wp:simplePos x="635" y="635"/>
              <wp:positionH relativeFrom="page">
                <wp:align>center</wp:align>
              </wp:positionH>
              <wp:positionV relativeFrom="page">
                <wp:align>bottom</wp:align>
              </wp:positionV>
              <wp:extent cx="443865" cy="443865"/>
              <wp:effectExtent l="0" t="0" r="635" b="0"/>
              <wp:wrapNone/>
              <wp:docPr id="25"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77C8CE" w14:textId="035F78F5" w:rsidR="00C60F05" w:rsidRPr="00C60F05" w:rsidRDefault="00C60F05" w:rsidP="00C60F05">
                          <w:pPr>
                            <w:spacing w:after="0"/>
                            <w:rPr>
                              <w:rFonts w:eastAsia="Calibri" w:cs="Calibri"/>
                              <w:noProof/>
                              <w:color w:val="000000"/>
                              <w:sz w:val="24"/>
                              <w:szCs w:val="24"/>
                            </w:rPr>
                          </w:pPr>
                          <w:r w:rsidRPr="00C60F05">
                            <w:rPr>
                              <w:rFonts w:eastAsia="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6865AC" id="_x0000_t202" coordsize="21600,21600" o:spt="202" path="m,l,21600r21600,l21600,xe">
              <v:stroke joinstyle="miter"/>
              <v:path gradientshapeok="t" o:connecttype="rect"/>
            </v:shapetype>
            <v:shape id="Text Box 25" o:spid="_x0000_s1039" type="#_x0000_t202" alt="OFFICIAL" style="position:absolute;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7977C8CE" w14:textId="035F78F5" w:rsidR="00C60F05" w:rsidRPr="00C60F05" w:rsidRDefault="00C60F05" w:rsidP="00C60F05">
                    <w:pPr>
                      <w:spacing w:after="0"/>
                      <w:rPr>
                        <w:rFonts w:eastAsia="Calibri" w:cs="Calibri"/>
                        <w:noProof/>
                        <w:color w:val="000000"/>
                        <w:sz w:val="24"/>
                        <w:szCs w:val="24"/>
                      </w:rPr>
                    </w:pPr>
                    <w:r w:rsidRPr="00C60F05">
                      <w:rPr>
                        <w:rFonts w:eastAsia="Calibri" w:cs="Calibri"/>
                        <w:noProof/>
                        <w:color w:val="00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C7AE7" w14:textId="08B6BE6F" w:rsidR="00907375" w:rsidRPr="00503509" w:rsidRDefault="00907375" w:rsidP="00745B13">
    <w:pPr>
      <w:pStyle w:val="DELWPfooter"/>
      <w:rPr>
        <w:rFonts w:ascii="VIC" w:hAnsi="VIC"/>
        <w:color w:val="00828D" w:themeColor="text2"/>
        <w:sz w:val="16"/>
        <w:szCs w:val="16"/>
      </w:rPr>
    </w:pPr>
    <w:r w:rsidRPr="00503509">
      <w:rPr>
        <w:rFonts w:ascii="VIC" w:hAnsi="VIC"/>
        <w:color w:val="00828D" w:themeColor="text2"/>
        <w:sz w:val="16"/>
        <w:szCs w:val="16"/>
        <w:shd w:val="clear" w:color="auto" w:fill="E6E6E6"/>
      </w:rPr>
      <w:fldChar w:fldCharType="begin"/>
    </w:r>
    <w:r w:rsidRPr="00503509">
      <w:rPr>
        <w:rFonts w:ascii="VIC" w:hAnsi="VIC"/>
        <w:color w:val="00828D" w:themeColor="text2"/>
        <w:sz w:val="16"/>
        <w:szCs w:val="16"/>
      </w:rPr>
      <w:instrText xml:space="preserve"> PAGE   \* MERGEFORMAT </w:instrText>
    </w:r>
    <w:r w:rsidRPr="00503509">
      <w:rPr>
        <w:rFonts w:ascii="VIC" w:hAnsi="VIC"/>
        <w:color w:val="00828D" w:themeColor="text2"/>
        <w:sz w:val="16"/>
        <w:szCs w:val="16"/>
        <w:shd w:val="clear" w:color="auto" w:fill="E6E6E6"/>
      </w:rPr>
      <w:fldChar w:fldCharType="separate"/>
    </w:r>
    <w:r w:rsidRPr="00503509">
      <w:rPr>
        <w:rFonts w:ascii="VIC" w:hAnsi="VIC"/>
        <w:noProof/>
        <w:color w:val="00828D" w:themeColor="text2"/>
        <w:sz w:val="16"/>
        <w:szCs w:val="16"/>
      </w:rPr>
      <w:t>66</w:t>
    </w:r>
    <w:r w:rsidRPr="00503509">
      <w:rPr>
        <w:rFonts w:ascii="VIC" w:hAnsi="VIC"/>
        <w:color w:val="00828D" w:themeColor="text2"/>
        <w:sz w:val="16"/>
        <w:szCs w:val="16"/>
        <w:shd w:val="clear" w:color="auto" w:fill="E6E6E6"/>
      </w:rPr>
      <w:fldChar w:fldCharType="end"/>
    </w:r>
    <w:r w:rsidRPr="00503509">
      <w:rPr>
        <w:rFonts w:ascii="VIC" w:hAnsi="VIC"/>
        <w:color w:val="00828D" w:themeColor="text2"/>
        <w:sz w:val="16"/>
        <w:szCs w:val="16"/>
      </w:rPr>
      <w:tab/>
      <w:t xml:space="preserve">Practitioner’s Guide to Victoria’s </w:t>
    </w:r>
    <w:r w:rsidR="00503509">
      <w:rPr>
        <w:rFonts w:ascii="VIC" w:hAnsi="VIC"/>
        <w:color w:val="00828D" w:themeColor="text2"/>
        <w:sz w:val="16"/>
        <w:szCs w:val="16"/>
      </w:rPr>
      <w:t>P</w:t>
    </w:r>
    <w:r w:rsidRPr="00503509">
      <w:rPr>
        <w:rFonts w:ascii="VIC" w:hAnsi="VIC"/>
        <w:color w:val="00828D" w:themeColor="text2"/>
        <w:sz w:val="16"/>
        <w:szCs w:val="16"/>
      </w:rPr>
      <w:t xml:space="preserve">lanning </w:t>
    </w:r>
    <w:r w:rsidR="00503509">
      <w:rPr>
        <w:rFonts w:ascii="VIC" w:hAnsi="VIC"/>
        <w:color w:val="00828D" w:themeColor="text2"/>
        <w:sz w:val="16"/>
        <w:szCs w:val="16"/>
      </w:rPr>
      <w:t>S</w:t>
    </w:r>
    <w:r w:rsidRPr="00503509">
      <w:rPr>
        <w:rFonts w:ascii="VIC" w:hAnsi="VIC"/>
        <w:color w:val="00828D" w:themeColor="text2"/>
        <w:sz w:val="16"/>
        <w:szCs w:val="16"/>
      </w:rPr>
      <w:t>chemes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C7AE8" w14:textId="0BF964D7" w:rsidR="00907375" w:rsidRPr="00B135AD" w:rsidRDefault="00907375" w:rsidP="00C6398D">
    <w:pPr>
      <w:pStyle w:val="DELWPfooter"/>
      <w:rPr>
        <w:rFonts w:ascii="VIC" w:hAnsi="VIC"/>
        <w:sz w:val="16"/>
        <w:szCs w:val="16"/>
      </w:rPr>
    </w:pPr>
    <w:r w:rsidRPr="00B135AD">
      <w:rPr>
        <w:rFonts w:ascii="VIC" w:hAnsi="VIC"/>
        <w:color w:val="00828D" w:themeColor="text2"/>
        <w:sz w:val="16"/>
        <w:szCs w:val="16"/>
      </w:rPr>
      <w:t xml:space="preserve">Practitioner’s Guide to Victoria’s </w:t>
    </w:r>
    <w:r w:rsidR="00B135AD">
      <w:rPr>
        <w:rFonts w:ascii="VIC" w:hAnsi="VIC"/>
        <w:color w:val="00828D" w:themeColor="text2"/>
        <w:sz w:val="16"/>
        <w:szCs w:val="16"/>
      </w:rPr>
      <w:t>P</w:t>
    </w:r>
    <w:r w:rsidRPr="00B135AD">
      <w:rPr>
        <w:rFonts w:ascii="VIC" w:hAnsi="VIC"/>
        <w:color w:val="00828D" w:themeColor="text2"/>
        <w:sz w:val="16"/>
        <w:szCs w:val="16"/>
      </w:rPr>
      <w:t xml:space="preserve">lanning </w:t>
    </w:r>
    <w:r w:rsidR="00B135AD">
      <w:rPr>
        <w:rFonts w:ascii="VIC" w:hAnsi="VIC"/>
        <w:color w:val="00828D" w:themeColor="text2"/>
        <w:sz w:val="16"/>
        <w:szCs w:val="16"/>
      </w:rPr>
      <w:t>S</w:t>
    </w:r>
    <w:r w:rsidRPr="00B135AD">
      <w:rPr>
        <w:rFonts w:ascii="VIC" w:hAnsi="VIC"/>
        <w:color w:val="00828D" w:themeColor="text2"/>
        <w:sz w:val="16"/>
        <w:szCs w:val="16"/>
      </w:rPr>
      <w:t>chemes</w:t>
    </w:r>
    <w:r w:rsidRPr="00B135AD">
      <w:rPr>
        <w:rFonts w:ascii="VIC" w:hAnsi="VIC"/>
        <w:sz w:val="16"/>
        <w:szCs w:val="16"/>
      </w:rPr>
      <w:tab/>
    </w:r>
    <w:r w:rsidRPr="00B135AD">
      <w:rPr>
        <w:rFonts w:ascii="VIC" w:hAnsi="VIC"/>
        <w:color w:val="2B579A"/>
        <w:sz w:val="16"/>
        <w:szCs w:val="16"/>
        <w:shd w:val="clear" w:color="auto" w:fill="E6E6E6"/>
      </w:rPr>
      <w:fldChar w:fldCharType="begin"/>
    </w:r>
    <w:r w:rsidRPr="00B135AD">
      <w:rPr>
        <w:rFonts w:ascii="VIC" w:hAnsi="VIC"/>
        <w:sz w:val="16"/>
        <w:szCs w:val="16"/>
      </w:rPr>
      <w:instrText xml:space="preserve"> PAGE   \* MERGEFORMAT </w:instrText>
    </w:r>
    <w:r w:rsidRPr="00B135AD">
      <w:rPr>
        <w:rFonts w:ascii="VIC" w:hAnsi="VIC"/>
        <w:color w:val="2B579A"/>
        <w:sz w:val="16"/>
        <w:szCs w:val="16"/>
        <w:shd w:val="clear" w:color="auto" w:fill="E6E6E6"/>
      </w:rPr>
      <w:fldChar w:fldCharType="separate"/>
    </w:r>
    <w:r w:rsidRPr="00B135AD">
      <w:rPr>
        <w:rFonts w:ascii="VIC" w:hAnsi="VIC"/>
        <w:noProof/>
        <w:sz w:val="16"/>
        <w:szCs w:val="16"/>
      </w:rPr>
      <w:t>65</w:t>
    </w:r>
    <w:r w:rsidRPr="00B135AD">
      <w:rPr>
        <w:rFonts w:ascii="VIC" w:hAnsi="VIC"/>
        <w:color w:val="2B579A"/>
        <w:sz w:val="16"/>
        <w:szCs w:val="16"/>
        <w:shd w:val="clear" w:color="auto" w:fill="E6E6E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A6D1D" w14:textId="1501AE10" w:rsidR="00C60F05" w:rsidRDefault="00C60F05">
    <w:pPr>
      <w:pStyle w:val="Footer"/>
    </w:pPr>
    <w:r>
      <w:rPr>
        <w:noProof/>
      </w:rPr>
      <mc:AlternateContent>
        <mc:Choice Requires="wps">
          <w:drawing>
            <wp:anchor distT="0" distB="0" distL="0" distR="0" simplePos="0" relativeHeight="251658245" behindDoc="0" locked="0" layoutInCell="1" allowOverlap="1" wp14:anchorId="7C7F4FA9" wp14:editId="1B6BB105">
              <wp:simplePos x="635" y="635"/>
              <wp:positionH relativeFrom="page">
                <wp:align>center</wp:align>
              </wp:positionH>
              <wp:positionV relativeFrom="page">
                <wp:align>bottom</wp:align>
              </wp:positionV>
              <wp:extent cx="443865" cy="443865"/>
              <wp:effectExtent l="0" t="0" r="635" b="0"/>
              <wp:wrapNone/>
              <wp:docPr id="48" name="Text Box 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1A08EF" w14:textId="0AD56EDA" w:rsidR="00C60F05" w:rsidRPr="00C60F05" w:rsidRDefault="00C60F05" w:rsidP="00C60F05">
                          <w:pPr>
                            <w:spacing w:after="0"/>
                            <w:rPr>
                              <w:rFonts w:eastAsia="Calibri" w:cs="Calibri"/>
                              <w:noProof/>
                              <w:color w:val="000000"/>
                              <w:sz w:val="24"/>
                              <w:szCs w:val="24"/>
                            </w:rPr>
                          </w:pPr>
                          <w:r w:rsidRPr="00C60F05">
                            <w:rPr>
                              <w:rFonts w:eastAsia="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7F4FA9" id="_x0000_t202" coordsize="21600,21600" o:spt="202" path="m,l,21600r21600,l21600,xe">
              <v:stroke joinstyle="miter"/>
              <v:path gradientshapeok="t" o:connecttype="rect"/>
            </v:shapetype>
            <v:shape id="Text Box 48" o:spid="_x0000_s1040" type="#_x0000_t202" alt="OFFICIAL"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1D1A08EF" w14:textId="0AD56EDA" w:rsidR="00C60F05" w:rsidRPr="00C60F05" w:rsidRDefault="00C60F05" w:rsidP="00C60F05">
                    <w:pPr>
                      <w:spacing w:after="0"/>
                      <w:rPr>
                        <w:rFonts w:eastAsia="Calibri" w:cs="Calibri"/>
                        <w:noProof/>
                        <w:color w:val="000000"/>
                        <w:sz w:val="24"/>
                        <w:szCs w:val="24"/>
                      </w:rPr>
                    </w:pPr>
                    <w:r w:rsidRPr="00C60F05">
                      <w:rPr>
                        <w:rFonts w:eastAsia="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9E93A" w14:textId="77777777" w:rsidR="00884C5E" w:rsidRDefault="00884C5E" w:rsidP="00DF371F">
      <w:pPr>
        <w:spacing w:after="0" w:line="240" w:lineRule="auto"/>
      </w:pPr>
      <w:r>
        <w:separator/>
      </w:r>
    </w:p>
  </w:footnote>
  <w:footnote w:type="continuationSeparator" w:id="0">
    <w:p w14:paraId="10F4BFCD" w14:textId="77777777" w:rsidR="00884C5E" w:rsidRDefault="00884C5E" w:rsidP="00DF371F">
      <w:pPr>
        <w:spacing w:after="0" w:line="240" w:lineRule="auto"/>
      </w:pPr>
      <w:r>
        <w:continuationSeparator/>
      </w:r>
    </w:p>
  </w:footnote>
  <w:footnote w:type="continuationNotice" w:id="1">
    <w:p w14:paraId="6E9B8B39" w14:textId="77777777" w:rsidR="00884C5E" w:rsidRDefault="00884C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C7AE5" w14:textId="77777777" w:rsidR="00907375" w:rsidRDefault="009073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C7AE6" w14:textId="035096A8" w:rsidR="00907375" w:rsidRPr="00877108" w:rsidRDefault="00D25B1C" w:rsidP="0024731B">
    <w:pPr>
      <w:pStyle w:val="DELWPheaderright"/>
      <w:rPr>
        <w:color w:val="00828D" w:themeColor="text2"/>
      </w:rPr>
    </w:pPr>
    <w:r>
      <w:rPr>
        <w:color w:val="00828D" w:themeColor="text2"/>
      </w:rPr>
      <w:t>March</w:t>
    </w:r>
    <w:r w:rsidR="00A47EF3" w:rsidRPr="00877108">
      <w:rPr>
        <w:color w:val="00828D" w:themeColor="text2"/>
      </w:rPr>
      <w:t xml:space="preserve"> 202</w:t>
    </w:r>
    <w:r w:rsidR="00420B65" w:rsidRPr="00877108">
      <w:rPr>
        <w:color w:val="00828D" w:themeColor="text2"/>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962D8"/>
    <w:multiLevelType w:val="hybridMultilevel"/>
    <w:tmpl w:val="9A3C86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D91919"/>
    <w:multiLevelType w:val="hybridMultilevel"/>
    <w:tmpl w:val="225097D4"/>
    <w:lvl w:ilvl="0" w:tplc="308A7012">
      <w:start w:val="1"/>
      <w:numFmt w:val="bullet"/>
      <w:pStyle w:val="BulletList3"/>
      <w:lvlText w:val=""/>
      <w:lvlJc w:val="left"/>
      <w:pPr>
        <w:ind w:left="-4461" w:hanging="360"/>
      </w:pPr>
      <w:rPr>
        <w:rFonts w:ascii="Symbol" w:hAnsi="Symbol" w:hint="default"/>
        <w:color w:val="4A206A"/>
      </w:rPr>
    </w:lvl>
    <w:lvl w:ilvl="1" w:tplc="B846E970">
      <w:start w:val="1"/>
      <w:numFmt w:val="bullet"/>
      <w:pStyle w:val="Sub-bullet"/>
      <w:lvlText w:val="-"/>
      <w:lvlJc w:val="left"/>
      <w:pPr>
        <w:ind w:left="-3741" w:hanging="360"/>
      </w:pPr>
      <w:rPr>
        <w:rFonts w:ascii="Calibri" w:hAnsi="Calibri" w:hint="default"/>
      </w:rPr>
    </w:lvl>
    <w:lvl w:ilvl="2" w:tplc="0C090005" w:tentative="1">
      <w:start w:val="1"/>
      <w:numFmt w:val="bullet"/>
      <w:lvlText w:val=""/>
      <w:lvlJc w:val="left"/>
      <w:pPr>
        <w:ind w:left="-3021" w:hanging="360"/>
      </w:pPr>
      <w:rPr>
        <w:rFonts w:ascii="Wingdings" w:hAnsi="Wingdings" w:hint="default"/>
      </w:rPr>
    </w:lvl>
    <w:lvl w:ilvl="3" w:tplc="0C090001" w:tentative="1">
      <w:start w:val="1"/>
      <w:numFmt w:val="bullet"/>
      <w:lvlText w:val=""/>
      <w:lvlJc w:val="left"/>
      <w:pPr>
        <w:ind w:left="-2301" w:hanging="360"/>
      </w:pPr>
      <w:rPr>
        <w:rFonts w:ascii="Symbol" w:hAnsi="Symbol" w:hint="default"/>
      </w:rPr>
    </w:lvl>
    <w:lvl w:ilvl="4" w:tplc="0C090003" w:tentative="1">
      <w:start w:val="1"/>
      <w:numFmt w:val="bullet"/>
      <w:lvlText w:val="o"/>
      <w:lvlJc w:val="left"/>
      <w:pPr>
        <w:ind w:left="-1581" w:hanging="360"/>
      </w:pPr>
      <w:rPr>
        <w:rFonts w:ascii="Courier New" w:hAnsi="Courier New" w:cs="Courier New" w:hint="default"/>
      </w:rPr>
    </w:lvl>
    <w:lvl w:ilvl="5" w:tplc="0C090005" w:tentative="1">
      <w:start w:val="1"/>
      <w:numFmt w:val="bullet"/>
      <w:lvlText w:val=""/>
      <w:lvlJc w:val="left"/>
      <w:pPr>
        <w:ind w:left="-861" w:hanging="360"/>
      </w:pPr>
      <w:rPr>
        <w:rFonts w:ascii="Wingdings" w:hAnsi="Wingdings" w:hint="default"/>
      </w:rPr>
    </w:lvl>
    <w:lvl w:ilvl="6" w:tplc="0C090001" w:tentative="1">
      <w:start w:val="1"/>
      <w:numFmt w:val="bullet"/>
      <w:lvlText w:val=""/>
      <w:lvlJc w:val="left"/>
      <w:pPr>
        <w:ind w:left="-141" w:hanging="360"/>
      </w:pPr>
      <w:rPr>
        <w:rFonts w:ascii="Symbol" w:hAnsi="Symbol" w:hint="default"/>
      </w:rPr>
    </w:lvl>
    <w:lvl w:ilvl="7" w:tplc="0C090003" w:tentative="1">
      <w:start w:val="1"/>
      <w:numFmt w:val="bullet"/>
      <w:lvlText w:val="o"/>
      <w:lvlJc w:val="left"/>
      <w:pPr>
        <w:ind w:left="579" w:hanging="360"/>
      </w:pPr>
      <w:rPr>
        <w:rFonts w:ascii="Courier New" w:hAnsi="Courier New" w:cs="Courier New" w:hint="default"/>
      </w:rPr>
    </w:lvl>
    <w:lvl w:ilvl="8" w:tplc="0C090005" w:tentative="1">
      <w:start w:val="1"/>
      <w:numFmt w:val="bullet"/>
      <w:lvlText w:val=""/>
      <w:lvlJc w:val="left"/>
      <w:pPr>
        <w:ind w:left="1299" w:hanging="360"/>
      </w:pPr>
      <w:rPr>
        <w:rFonts w:ascii="Wingdings" w:hAnsi="Wingdings" w:hint="default"/>
      </w:rPr>
    </w:lvl>
  </w:abstractNum>
  <w:abstractNum w:abstractNumId="2" w15:restartNumberingAfterBreak="0">
    <w:nsid w:val="068B37FE"/>
    <w:multiLevelType w:val="multilevel"/>
    <w:tmpl w:val="AA6A3A34"/>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 w15:restartNumberingAfterBreak="0">
    <w:nsid w:val="07945915"/>
    <w:multiLevelType w:val="multilevel"/>
    <w:tmpl w:val="3F6ECF36"/>
    <w:styleLink w:val="Diagramcaptionnumbers"/>
    <w:lvl w:ilvl="0">
      <w:start w:val="1"/>
      <w:numFmt w:val="decimal"/>
      <w:pStyle w:val="DELWPdiagramcaption"/>
      <w:lvlText w:val="Diagram %1:"/>
      <w:lvlJc w:val="left"/>
      <w:pPr>
        <w:tabs>
          <w:tab w:val="num" w:pos="1418"/>
        </w:tabs>
        <w:ind w:left="1418" w:hanging="1418"/>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08B96285"/>
    <w:multiLevelType w:val="multilevel"/>
    <w:tmpl w:val="A950E8E4"/>
    <w:lvl w:ilvl="0">
      <w:start w:val="1"/>
      <w:numFmt w:val="bullet"/>
      <w:pStyle w:val="Bodytext"/>
      <w:lvlText w:val=""/>
      <w:lvlJc w:val="left"/>
      <w:pPr>
        <w:ind w:left="284" w:hanging="284"/>
      </w:pPr>
      <w:rPr>
        <w:rFonts w:ascii="Wingdings" w:hAnsi="Wingdings" w:hint="default"/>
        <w:sz w:val="16"/>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096755C5"/>
    <w:multiLevelType w:val="hybridMultilevel"/>
    <w:tmpl w:val="E57A3208"/>
    <w:lvl w:ilvl="0" w:tplc="0C090001">
      <w:start w:val="1"/>
      <w:numFmt w:val="bullet"/>
      <w:lvlText w:val=""/>
      <w:lvlJc w:val="left"/>
      <w:pPr>
        <w:ind w:left="360" w:hanging="360"/>
      </w:pPr>
      <w:rPr>
        <w:rFonts w:ascii="Symbol" w:hAnsi="Symbol" w:hint="default"/>
      </w:rPr>
    </w:lvl>
    <w:lvl w:ilvl="1" w:tplc="F214806E">
      <w:start w:val="1"/>
      <w:numFmt w:val="bullet"/>
      <w:lvlText w:val="∙"/>
      <w:lvlJc w:val="left"/>
      <w:pPr>
        <w:ind w:left="1080" w:hanging="360"/>
      </w:pPr>
      <w:rPr>
        <w:rFonts w:ascii="Calibri" w:hAnsi="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B445684"/>
    <w:multiLevelType w:val="hybridMultilevel"/>
    <w:tmpl w:val="7BE8FD1E"/>
    <w:lvl w:ilvl="0" w:tplc="8D44CAAA">
      <w:numFmt w:val="bullet"/>
      <w:lvlText w:val="-"/>
      <w:lvlJc w:val="left"/>
      <w:pPr>
        <w:ind w:left="360" w:hanging="360"/>
      </w:pPr>
      <w:rPr>
        <w:rFonts w:ascii="Abadi" w:eastAsiaTheme="minorHAnsi" w:hAnsi="Abadi"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C147EA4"/>
    <w:multiLevelType w:val="multilevel"/>
    <w:tmpl w:val="3836E5D6"/>
    <w:lvl w:ilvl="0">
      <w:start w:val="1"/>
      <w:numFmt w:val="bullet"/>
      <w:lvlText w:val="o"/>
      <w:lvlJc w:val="left"/>
      <w:pPr>
        <w:ind w:left="454" w:hanging="227"/>
      </w:pPr>
      <w:rPr>
        <w:rFonts w:ascii="Courier New" w:hAnsi="Courier New" w:cs="Courier New" w:hint="default"/>
      </w:rPr>
    </w:lvl>
    <w:lvl w:ilvl="1">
      <w:numFmt w:val="bullet"/>
      <w:lvlText w:val="-"/>
      <w:lvlJc w:val="left"/>
      <w:pPr>
        <w:ind w:left="814" w:hanging="360"/>
      </w:pPr>
      <w:rPr>
        <w:rFonts w:ascii="Abadi" w:eastAsiaTheme="minorHAnsi" w:hAnsi="Abadi" w:cstheme="minorBidi" w:hint="default"/>
      </w:rPr>
    </w:lvl>
    <w:lvl w:ilvl="2">
      <w:start w:val="1"/>
      <w:numFmt w:val="none"/>
      <w:lvlRestart w:val="0"/>
      <w:lvlText w:val=""/>
      <w:lvlJc w:val="left"/>
      <w:pPr>
        <w:ind w:left="227" w:firstLine="0"/>
      </w:pPr>
      <w:rPr>
        <w:rFonts w:hint="default"/>
      </w:rPr>
    </w:lvl>
    <w:lvl w:ilvl="3">
      <w:start w:val="1"/>
      <w:numFmt w:val="none"/>
      <w:lvlRestart w:val="0"/>
      <w:lvlText w:val=""/>
      <w:lvlJc w:val="left"/>
      <w:pPr>
        <w:ind w:left="227" w:firstLine="0"/>
      </w:pPr>
      <w:rPr>
        <w:rFonts w:hint="default"/>
      </w:rPr>
    </w:lvl>
    <w:lvl w:ilvl="4">
      <w:start w:val="1"/>
      <w:numFmt w:val="none"/>
      <w:lvlRestart w:val="0"/>
      <w:lvlText w:val=""/>
      <w:lvlJc w:val="left"/>
      <w:pPr>
        <w:ind w:left="227" w:firstLine="0"/>
      </w:pPr>
      <w:rPr>
        <w:rFonts w:hint="default"/>
      </w:rPr>
    </w:lvl>
    <w:lvl w:ilvl="5">
      <w:start w:val="1"/>
      <w:numFmt w:val="none"/>
      <w:lvlRestart w:val="0"/>
      <w:lvlText w:val=""/>
      <w:lvlJc w:val="left"/>
      <w:pPr>
        <w:ind w:left="227" w:firstLine="0"/>
      </w:pPr>
      <w:rPr>
        <w:rFonts w:hint="default"/>
      </w:rPr>
    </w:lvl>
    <w:lvl w:ilvl="6">
      <w:start w:val="1"/>
      <w:numFmt w:val="none"/>
      <w:lvlRestart w:val="0"/>
      <w:lvlText w:val=""/>
      <w:lvlJc w:val="left"/>
      <w:pPr>
        <w:ind w:left="227" w:firstLine="0"/>
      </w:pPr>
      <w:rPr>
        <w:rFonts w:hint="default"/>
      </w:rPr>
    </w:lvl>
    <w:lvl w:ilvl="7">
      <w:start w:val="1"/>
      <w:numFmt w:val="none"/>
      <w:lvlRestart w:val="0"/>
      <w:lvlText w:val=""/>
      <w:lvlJc w:val="left"/>
      <w:pPr>
        <w:ind w:left="227" w:firstLine="0"/>
      </w:pPr>
      <w:rPr>
        <w:rFonts w:hint="default"/>
      </w:rPr>
    </w:lvl>
    <w:lvl w:ilvl="8">
      <w:start w:val="1"/>
      <w:numFmt w:val="none"/>
      <w:lvlRestart w:val="0"/>
      <w:lvlText w:val=""/>
      <w:lvlJc w:val="left"/>
      <w:pPr>
        <w:ind w:left="227" w:firstLine="0"/>
      </w:pPr>
      <w:rPr>
        <w:rFonts w:hint="default"/>
      </w:rPr>
    </w:lvl>
  </w:abstractNum>
  <w:abstractNum w:abstractNumId="8" w15:restartNumberingAfterBreak="0">
    <w:nsid w:val="109D0B43"/>
    <w:multiLevelType w:val="multilevel"/>
    <w:tmpl w:val="68088692"/>
    <w:lvl w:ilvl="0">
      <w:start w:val="1"/>
      <w:numFmt w:val="bullet"/>
      <w:lvlText w:val="•"/>
      <w:lvlJc w:val="left"/>
      <w:pPr>
        <w:ind w:left="227" w:hanging="227"/>
      </w:pPr>
      <w:rPr>
        <w:rFonts w:ascii="Calibri" w:hAnsi="Calibri" w:hint="default"/>
      </w:rPr>
    </w:lvl>
    <w:lvl w:ilvl="1">
      <w:start w:val="1"/>
      <w:numFmt w:val="bullet"/>
      <w:lvlText w:val="o"/>
      <w:lvlJc w:val="left"/>
      <w:pPr>
        <w:ind w:left="972" w:hanging="360"/>
      </w:pPr>
      <w:rPr>
        <w:rFonts w:ascii="Courier New" w:hAnsi="Courier New" w:cs="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1BF12A38"/>
    <w:multiLevelType w:val="multilevel"/>
    <w:tmpl w:val="360616D2"/>
    <w:lvl w:ilvl="0">
      <w:numFmt w:val="bullet"/>
      <w:pStyle w:val="Example-sub-bullet"/>
      <w:lvlText w:val="-"/>
      <w:lvlJc w:val="left"/>
      <w:pPr>
        <w:ind w:left="454" w:hanging="227"/>
      </w:pPr>
      <w:rPr>
        <w:rFonts w:ascii="Abadi" w:eastAsiaTheme="minorHAnsi" w:hAnsi="Abadi" w:cstheme="minorBidi" w:hint="default"/>
      </w:rPr>
    </w:lvl>
    <w:lvl w:ilvl="1">
      <w:numFmt w:val="bullet"/>
      <w:lvlText w:val="-"/>
      <w:lvlJc w:val="left"/>
      <w:pPr>
        <w:ind w:left="814" w:hanging="360"/>
      </w:pPr>
      <w:rPr>
        <w:rFonts w:ascii="Abadi" w:eastAsiaTheme="minorHAnsi" w:hAnsi="Abadi" w:cstheme="minorBidi" w:hint="default"/>
      </w:rPr>
    </w:lvl>
    <w:lvl w:ilvl="2">
      <w:start w:val="1"/>
      <w:numFmt w:val="none"/>
      <w:lvlRestart w:val="0"/>
      <w:lvlText w:val=""/>
      <w:lvlJc w:val="left"/>
      <w:pPr>
        <w:ind w:left="227" w:firstLine="0"/>
      </w:pPr>
      <w:rPr>
        <w:rFonts w:hint="default"/>
      </w:rPr>
    </w:lvl>
    <w:lvl w:ilvl="3">
      <w:start w:val="1"/>
      <w:numFmt w:val="none"/>
      <w:lvlRestart w:val="0"/>
      <w:lvlText w:val=""/>
      <w:lvlJc w:val="left"/>
      <w:pPr>
        <w:ind w:left="227" w:firstLine="0"/>
      </w:pPr>
      <w:rPr>
        <w:rFonts w:hint="default"/>
      </w:rPr>
    </w:lvl>
    <w:lvl w:ilvl="4">
      <w:start w:val="1"/>
      <w:numFmt w:val="none"/>
      <w:lvlRestart w:val="0"/>
      <w:lvlText w:val=""/>
      <w:lvlJc w:val="left"/>
      <w:pPr>
        <w:ind w:left="227" w:firstLine="0"/>
      </w:pPr>
      <w:rPr>
        <w:rFonts w:hint="default"/>
      </w:rPr>
    </w:lvl>
    <w:lvl w:ilvl="5">
      <w:start w:val="1"/>
      <w:numFmt w:val="none"/>
      <w:lvlRestart w:val="0"/>
      <w:lvlText w:val=""/>
      <w:lvlJc w:val="left"/>
      <w:pPr>
        <w:ind w:left="227" w:firstLine="0"/>
      </w:pPr>
      <w:rPr>
        <w:rFonts w:hint="default"/>
      </w:rPr>
    </w:lvl>
    <w:lvl w:ilvl="6">
      <w:start w:val="1"/>
      <w:numFmt w:val="none"/>
      <w:lvlRestart w:val="0"/>
      <w:lvlText w:val=""/>
      <w:lvlJc w:val="left"/>
      <w:pPr>
        <w:ind w:left="227" w:firstLine="0"/>
      </w:pPr>
      <w:rPr>
        <w:rFonts w:hint="default"/>
      </w:rPr>
    </w:lvl>
    <w:lvl w:ilvl="7">
      <w:start w:val="1"/>
      <w:numFmt w:val="none"/>
      <w:lvlRestart w:val="0"/>
      <w:lvlText w:val=""/>
      <w:lvlJc w:val="left"/>
      <w:pPr>
        <w:ind w:left="227" w:firstLine="0"/>
      </w:pPr>
      <w:rPr>
        <w:rFonts w:hint="default"/>
      </w:rPr>
    </w:lvl>
    <w:lvl w:ilvl="8">
      <w:start w:val="1"/>
      <w:numFmt w:val="none"/>
      <w:lvlRestart w:val="0"/>
      <w:lvlText w:val=""/>
      <w:lvlJc w:val="left"/>
      <w:pPr>
        <w:ind w:left="227" w:firstLine="0"/>
      </w:pPr>
      <w:rPr>
        <w:rFonts w:hint="default"/>
      </w:rPr>
    </w:lvl>
  </w:abstractNum>
  <w:abstractNum w:abstractNumId="10" w15:restartNumberingAfterBreak="0">
    <w:nsid w:val="1CDD0057"/>
    <w:multiLevelType w:val="hybridMultilevel"/>
    <w:tmpl w:val="50508FAE"/>
    <w:lvl w:ilvl="0" w:tplc="0C090001">
      <w:start w:val="1"/>
      <w:numFmt w:val="bullet"/>
      <w:lvlText w:val=""/>
      <w:lvlJc w:val="left"/>
      <w:pPr>
        <w:ind w:left="360" w:hanging="360"/>
      </w:pPr>
      <w:rPr>
        <w:rFonts w:ascii="Symbol" w:hAnsi="Symbol" w:hint="default"/>
        <w:color w:val="00828D" w:themeColor="tex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F1A5512"/>
    <w:multiLevelType w:val="hybridMultilevel"/>
    <w:tmpl w:val="AD30AAEA"/>
    <w:lvl w:ilvl="0" w:tplc="FFFFFFFF">
      <w:start w:val="1"/>
      <w:numFmt w:val="bullet"/>
      <w:lvlText w:val=""/>
      <w:lvlJc w:val="left"/>
      <w:pPr>
        <w:ind w:left="-468" w:hanging="360"/>
      </w:pPr>
      <w:rPr>
        <w:rFonts w:ascii="Wingdings" w:hAnsi="Wingdings" w:hint="default"/>
      </w:rPr>
    </w:lvl>
    <w:lvl w:ilvl="1" w:tplc="FFFFFFFF">
      <w:start w:val="1"/>
      <w:numFmt w:val="bullet"/>
      <w:lvlText w:val="‐"/>
      <w:lvlJc w:val="left"/>
      <w:pPr>
        <w:ind w:left="252" w:hanging="360"/>
      </w:pPr>
      <w:rPr>
        <w:rFonts w:ascii="Calibri" w:hAnsi="Calibri" w:hint="default"/>
      </w:rPr>
    </w:lvl>
    <w:lvl w:ilvl="2" w:tplc="0C090003">
      <w:start w:val="1"/>
      <w:numFmt w:val="bullet"/>
      <w:lvlText w:val="o"/>
      <w:lvlJc w:val="left"/>
      <w:pPr>
        <w:ind w:left="972" w:hanging="360"/>
      </w:pPr>
      <w:rPr>
        <w:rFonts w:ascii="Courier New" w:hAnsi="Courier New" w:cs="Courier New" w:hint="default"/>
      </w:rPr>
    </w:lvl>
    <w:lvl w:ilvl="3" w:tplc="FFFFFFFF">
      <w:start w:val="1"/>
      <w:numFmt w:val="bullet"/>
      <w:lvlText w:val="‐"/>
      <w:lvlJc w:val="left"/>
      <w:pPr>
        <w:ind w:left="1692" w:hanging="360"/>
      </w:pPr>
      <w:rPr>
        <w:rFonts w:ascii="Calibri" w:hAnsi="Calibri" w:hint="default"/>
      </w:rPr>
    </w:lvl>
    <w:lvl w:ilvl="4" w:tplc="FFFFFFFF" w:tentative="1">
      <w:start w:val="1"/>
      <w:numFmt w:val="bullet"/>
      <w:lvlText w:val="o"/>
      <w:lvlJc w:val="left"/>
      <w:pPr>
        <w:ind w:left="2412" w:hanging="360"/>
      </w:pPr>
      <w:rPr>
        <w:rFonts w:ascii="Courier New" w:hAnsi="Courier New" w:cs="Courier New" w:hint="default"/>
      </w:rPr>
    </w:lvl>
    <w:lvl w:ilvl="5" w:tplc="FFFFFFFF" w:tentative="1">
      <w:start w:val="1"/>
      <w:numFmt w:val="bullet"/>
      <w:lvlText w:val=""/>
      <w:lvlJc w:val="left"/>
      <w:pPr>
        <w:ind w:left="3132" w:hanging="360"/>
      </w:pPr>
      <w:rPr>
        <w:rFonts w:ascii="Wingdings" w:hAnsi="Wingdings" w:hint="default"/>
      </w:rPr>
    </w:lvl>
    <w:lvl w:ilvl="6" w:tplc="FFFFFFFF" w:tentative="1">
      <w:start w:val="1"/>
      <w:numFmt w:val="bullet"/>
      <w:lvlText w:val=""/>
      <w:lvlJc w:val="left"/>
      <w:pPr>
        <w:ind w:left="3852" w:hanging="360"/>
      </w:pPr>
      <w:rPr>
        <w:rFonts w:ascii="Symbol" w:hAnsi="Symbol" w:hint="default"/>
      </w:rPr>
    </w:lvl>
    <w:lvl w:ilvl="7" w:tplc="FFFFFFFF" w:tentative="1">
      <w:start w:val="1"/>
      <w:numFmt w:val="bullet"/>
      <w:lvlText w:val="o"/>
      <w:lvlJc w:val="left"/>
      <w:pPr>
        <w:ind w:left="4572" w:hanging="360"/>
      </w:pPr>
      <w:rPr>
        <w:rFonts w:ascii="Courier New" w:hAnsi="Courier New" w:cs="Courier New" w:hint="default"/>
      </w:rPr>
    </w:lvl>
    <w:lvl w:ilvl="8" w:tplc="FFFFFFFF" w:tentative="1">
      <w:start w:val="1"/>
      <w:numFmt w:val="bullet"/>
      <w:lvlText w:val=""/>
      <w:lvlJc w:val="left"/>
      <w:pPr>
        <w:ind w:left="5292" w:hanging="360"/>
      </w:pPr>
      <w:rPr>
        <w:rFonts w:ascii="Wingdings" w:hAnsi="Wingdings" w:hint="default"/>
      </w:rPr>
    </w:lvl>
  </w:abstractNum>
  <w:abstractNum w:abstractNumId="12" w15:restartNumberingAfterBreak="0">
    <w:nsid w:val="226956FB"/>
    <w:multiLevelType w:val="hybridMultilevel"/>
    <w:tmpl w:val="29F294E8"/>
    <w:lvl w:ilvl="0" w:tplc="286E6EBA">
      <w:start w:val="1"/>
      <w:numFmt w:val="bullet"/>
      <w:pStyle w:val="Appendix2-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8340BBE"/>
    <w:multiLevelType w:val="hybridMultilevel"/>
    <w:tmpl w:val="542EBA92"/>
    <w:lvl w:ilvl="0" w:tplc="10583C32">
      <w:numFmt w:val="bullet"/>
      <w:pStyle w:val="Appendix2-sub-bullet"/>
      <w:lvlText w:val="-"/>
      <w:lvlJc w:val="left"/>
      <w:pPr>
        <w:ind w:left="1080" w:hanging="360"/>
      </w:pPr>
      <w:rPr>
        <w:rFonts w:ascii="Abadi" w:eastAsiaTheme="minorHAnsi" w:hAnsi="Abadi" w:cstheme="minorBidi" w:hint="default"/>
        <w:sz w:val="16"/>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2ED00D30"/>
    <w:multiLevelType w:val="hybridMultilevel"/>
    <w:tmpl w:val="19E4BF88"/>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5" w15:restartNumberingAfterBreak="0">
    <w:nsid w:val="2EF81D61"/>
    <w:multiLevelType w:val="multilevel"/>
    <w:tmpl w:val="287215F6"/>
    <w:styleLink w:val="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DELWP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30211630"/>
    <w:multiLevelType w:val="multilevel"/>
    <w:tmpl w:val="B8C4D164"/>
    <w:lvl w:ilvl="0">
      <w:start w:val="1"/>
      <w:numFmt w:val="bullet"/>
      <w:lvlText w:val="•"/>
      <w:lvlJc w:val="left"/>
      <w:pPr>
        <w:ind w:left="227" w:hanging="227"/>
      </w:pPr>
      <w:rPr>
        <w:rFonts w:ascii="Calibri" w:hAnsi="Calibri" w:hint="default"/>
      </w:rPr>
    </w:lvl>
    <w:lvl w:ilvl="1">
      <w:start w:val="1"/>
      <w:numFmt w:val="bullet"/>
      <w:lvlText w:val="o"/>
      <w:lvlJc w:val="left"/>
      <w:pPr>
        <w:ind w:left="972" w:hanging="360"/>
      </w:pPr>
      <w:rPr>
        <w:rFonts w:ascii="Courier New" w:hAnsi="Courier New" w:cs="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328F4A1C"/>
    <w:multiLevelType w:val="hybridMultilevel"/>
    <w:tmpl w:val="9CD89E3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36B4FC4"/>
    <w:multiLevelType w:val="multilevel"/>
    <w:tmpl w:val="0518A2E4"/>
    <w:lvl w:ilvl="0">
      <w:start w:val="1"/>
      <w:numFmt w:val="bullet"/>
      <w:lvlText w:val="•"/>
      <w:lvlJc w:val="left"/>
      <w:pPr>
        <w:ind w:left="227" w:hanging="227"/>
      </w:pPr>
      <w:rPr>
        <w:rFonts w:ascii="Calibri" w:hAnsi="Calibri" w:hint="default"/>
      </w:rPr>
    </w:lvl>
    <w:lvl w:ilvl="1">
      <w:numFmt w:val="bullet"/>
      <w:lvlText w:val="-"/>
      <w:lvlJc w:val="left"/>
      <w:pPr>
        <w:ind w:left="587" w:hanging="360"/>
      </w:pPr>
      <w:rPr>
        <w:rFonts w:ascii="Abadi" w:eastAsiaTheme="minorHAnsi" w:hAnsi="Abadi" w:cstheme="minorBid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344330B8"/>
    <w:multiLevelType w:val="hybridMultilevel"/>
    <w:tmpl w:val="682A99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ABF6EE3"/>
    <w:multiLevelType w:val="multilevel"/>
    <w:tmpl w:val="C13A506C"/>
    <w:lvl w:ilvl="0">
      <w:start w:val="1"/>
      <w:numFmt w:val="bullet"/>
      <w:lvlText w:val="o"/>
      <w:lvlJc w:val="left"/>
      <w:pPr>
        <w:ind w:left="568" w:hanging="284"/>
      </w:pPr>
      <w:rPr>
        <w:rFonts w:ascii="Courier New" w:hAnsi="Courier New" w:cs="Courier New" w:hint="default"/>
        <w:b w:val="0"/>
        <w:i w:val="0"/>
        <w:color w:val="000000" w:themeColor="text1"/>
        <w:sz w:val="16"/>
      </w:rPr>
    </w:lvl>
    <w:lvl w:ilvl="1">
      <w:start w:val="1"/>
      <w:numFmt w:val="bullet"/>
      <w:lvlRestart w:val="0"/>
      <w:lvlText w:val="–"/>
      <w:lvlJc w:val="left"/>
      <w:pPr>
        <w:ind w:left="851" w:hanging="283"/>
      </w:pPr>
      <w:rPr>
        <w:rFonts w:ascii="Calibri" w:hAnsi="Calibri" w:hint="default"/>
      </w:rPr>
    </w:lvl>
    <w:lvl w:ilvl="2">
      <w:start w:val="1"/>
      <w:numFmt w:val="none"/>
      <w:lvlRestart w:val="0"/>
      <w:lvlText w:val=""/>
      <w:lvlJc w:val="left"/>
      <w:pPr>
        <w:ind w:left="284" w:firstLine="0"/>
      </w:pPr>
      <w:rPr>
        <w:rFonts w:hint="default"/>
      </w:rPr>
    </w:lvl>
    <w:lvl w:ilvl="3">
      <w:start w:val="1"/>
      <w:numFmt w:val="none"/>
      <w:lvlRestart w:val="0"/>
      <w:lvlText w:val=""/>
      <w:lvlJc w:val="left"/>
      <w:pPr>
        <w:ind w:left="284" w:firstLine="0"/>
      </w:pPr>
      <w:rPr>
        <w:rFonts w:hint="default"/>
      </w:rPr>
    </w:lvl>
    <w:lvl w:ilvl="4">
      <w:start w:val="1"/>
      <w:numFmt w:val="none"/>
      <w:lvlRestart w:val="0"/>
      <w:lvlText w:val=""/>
      <w:lvlJc w:val="left"/>
      <w:pPr>
        <w:ind w:left="284" w:firstLine="0"/>
      </w:pPr>
      <w:rPr>
        <w:rFonts w:hint="default"/>
      </w:rPr>
    </w:lvl>
    <w:lvl w:ilvl="5">
      <w:start w:val="1"/>
      <w:numFmt w:val="none"/>
      <w:lvlRestart w:val="0"/>
      <w:lvlText w:val=""/>
      <w:lvlJc w:val="left"/>
      <w:pPr>
        <w:ind w:left="284" w:firstLine="0"/>
      </w:pPr>
      <w:rPr>
        <w:rFonts w:hint="default"/>
      </w:rPr>
    </w:lvl>
    <w:lvl w:ilvl="6">
      <w:start w:val="1"/>
      <w:numFmt w:val="none"/>
      <w:lvlRestart w:val="0"/>
      <w:lvlText w:val=""/>
      <w:lvlJc w:val="left"/>
      <w:pPr>
        <w:ind w:left="284" w:firstLine="0"/>
      </w:pPr>
      <w:rPr>
        <w:rFonts w:hint="default"/>
      </w:rPr>
    </w:lvl>
    <w:lvl w:ilvl="7">
      <w:start w:val="1"/>
      <w:numFmt w:val="none"/>
      <w:lvlRestart w:val="0"/>
      <w:lvlText w:val=""/>
      <w:lvlJc w:val="left"/>
      <w:pPr>
        <w:ind w:left="284" w:firstLine="0"/>
      </w:pPr>
      <w:rPr>
        <w:rFonts w:hint="default"/>
      </w:rPr>
    </w:lvl>
    <w:lvl w:ilvl="8">
      <w:start w:val="1"/>
      <w:numFmt w:val="none"/>
      <w:lvlRestart w:val="0"/>
      <w:lvlText w:val=""/>
      <w:lvlJc w:val="left"/>
      <w:pPr>
        <w:ind w:left="284" w:firstLine="0"/>
      </w:pPr>
      <w:rPr>
        <w:rFonts w:hint="default"/>
      </w:rPr>
    </w:lvl>
  </w:abstractNum>
  <w:abstractNum w:abstractNumId="21" w15:restartNumberingAfterBreak="0">
    <w:nsid w:val="3C6F39DD"/>
    <w:multiLevelType w:val="multilevel"/>
    <w:tmpl w:val="A93CF474"/>
    <w:styleLink w:val="Bullets"/>
    <w:lvl w:ilvl="0">
      <w:start w:val="1"/>
      <w:numFmt w:val="bullet"/>
      <w:pStyle w:val="DELWPbullet1"/>
      <w:lvlText w:val="•"/>
      <w:lvlJc w:val="left"/>
      <w:pPr>
        <w:ind w:left="284" w:hanging="284"/>
      </w:pPr>
      <w:rPr>
        <w:rFonts w:ascii="Calibri" w:hAnsi="Calibri" w:hint="default"/>
      </w:rPr>
    </w:lvl>
    <w:lvl w:ilvl="1">
      <w:start w:val="1"/>
      <w:numFmt w:val="bullet"/>
      <w:lvlRestart w:val="0"/>
      <w:pStyle w:val="DELWP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3E7F4923"/>
    <w:multiLevelType w:val="multilevel"/>
    <w:tmpl w:val="876CA206"/>
    <w:lvl w:ilvl="0">
      <w:start w:val="1"/>
      <w:numFmt w:val="bullet"/>
      <w:lvlText w:val="•"/>
      <w:lvlJc w:val="left"/>
      <w:pPr>
        <w:ind w:left="284" w:hanging="284"/>
      </w:pPr>
      <w:rPr>
        <w:rFonts w:ascii="Calibri" w:hAnsi="Calibri" w:hint="default"/>
      </w:rPr>
    </w:lvl>
    <w:lvl w:ilvl="1">
      <w:start w:val="1"/>
      <w:numFmt w:val="bullet"/>
      <w:lvlText w:val="o"/>
      <w:lvlJc w:val="left"/>
      <w:pPr>
        <w:ind w:left="644" w:hanging="360"/>
      </w:pPr>
      <w:rPr>
        <w:rFonts w:ascii="Courier New" w:hAnsi="Courier New" w:cs="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462F3176"/>
    <w:multiLevelType w:val="multilevel"/>
    <w:tmpl w:val="53F6689A"/>
    <w:styleLink w:val="Tablecaptionnumbers"/>
    <w:lvl w:ilvl="0">
      <w:start w:val="1"/>
      <w:numFmt w:val="decimal"/>
      <w:pStyle w:val="Tablecaption"/>
      <w:lvlText w:val="Table %1:"/>
      <w:lvlJc w:val="left"/>
      <w:pPr>
        <w:tabs>
          <w:tab w:val="num" w:pos="5246"/>
        </w:tabs>
        <w:ind w:left="5246" w:hanging="1134"/>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46DC2BA8"/>
    <w:multiLevelType w:val="multilevel"/>
    <w:tmpl w:val="BBA67776"/>
    <w:styleLink w:val="Examplebullets"/>
    <w:lvl w:ilvl="0">
      <w:start w:val="1"/>
      <w:numFmt w:val="bullet"/>
      <w:pStyle w:val="DELWPexamplebullet"/>
      <w:lvlText w:val=""/>
      <w:lvlJc w:val="left"/>
      <w:pPr>
        <w:ind w:left="360" w:hanging="360"/>
      </w:pPr>
      <w:rPr>
        <w:rFonts w:ascii="Symbol" w:hAnsi="Symbol" w:hint="default"/>
        <w:color w:val="auto"/>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486A4343"/>
    <w:multiLevelType w:val="multilevel"/>
    <w:tmpl w:val="E58CAA98"/>
    <w:lvl w:ilvl="0">
      <w:start w:val="1"/>
      <w:numFmt w:val="bullet"/>
      <w:lvlText w:val="•"/>
      <w:lvlJc w:val="left"/>
      <w:pPr>
        <w:ind w:left="227" w:hanging="227"/>
      </w:pPr>
      <w:rPr>
        <w:rFonts w:ascii="Calibri" w:hAnsi="Calibri" w:hint="default"/>
      </w:rPr>
    </w:lvl>
    <w:lvl w:ilvl="1">
      <w:start w:val="1"/>
      <w:numFmt w:val="bullet"/>
      <w:lvlText w:val="o"/>
      <w:lvlJc w:val="left"/>
      <w:pPr>
        <w:ind w:left="587" w:hanging="360"/>
      </w:pPr>
      <w:rPr>
        <w:rFonts w:ascii="Courier New" w:hAnsi="Courier New" w:cs="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4B1A6CEA"/>
    <w:multiLevelType w:val="multilevel"/>
    <w:tmpl w:val="92F65CDC"/>
    <w:styleLink w:val="Numberdigit"/>
    <w:lvl w:ilvl="0">
      <w:start w:val="1"/>
      <w:numFmt w:val="decimal"/>
      <w:pStyle w:val="DELWPnumberdigit"/>
      <w:lvlText w:val="%1."/>
      <w:lvlJc w:val="left"/>
      <w:pPr>
        <w:tabs>
          <w:tab w:val="num" w:pos="397"/>
        </w:tabs>
        <w:ind w:left="397" w:hanging="39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4D2F4581"/>
    <w:multiLevelType w:val="multilevel"/>
    <w:tmpl w:val="EB28E06C"/>
    <w:styleLink w:val="Numberedheadings"/>
    <w:lvl w:ilvl="0">
      <w:start w:val="1"/>
      <w:numFmt w:val="decimal"/>
      <w:lvlText w:val="%1"/>
      <w:lvlJc w:val="left"/>
      <w:pPr>
        <w:tabs>
          <w:tab w:val="num" w:pos="1986"/>
        </w:tabs>
        <w:ind w:left="1986" w:hanging="1134"/>
      </w:pPr>
      <w:rPr>
        <w:rFonts w:hint="default"/>
      </w:rPr>
    </w:lvl>
    <w:lvl w:ilvl="1">
      <w:start w:val="1"/>
      <w:numFmt w:val="decimal"/>
      <w:lvlText w:val="%1.%2"/>
      <w:lvlJc w:val="left"/>
      <w:pPr>
        <w:tabs>
          <w:tab w:val="num" w:pos="1560"/>
        </w:tabs>
        <w:ind w:left="1560" w:hanging="1134"/>
      </w:pPr>
      <w:rPr>
        <w:rFonts w:hint="default"/>
      </w:rPr>
    </w:lvl>
    <w:lvl w:ilvl="2">
      <w:start w:val="1"/>
      <w:numFmt w:val="decimal"/>
      <w:lvlText w:val="%1.%2.%3"/>
      <w:lvlJc w:val="left"/>
      <w:pPr>
        <w:tabs>
          <w:tab w:val="num" w:pos="1986"/>
        </w:tabs>
        <w:ind w:left="1986" w:hanging="1134"/>
      </w:pPr>
      <w:rPr>
        <w:rFonts w:hint="default"/>
      </w:rPr>
    </w:lvl>
    <w:lvl w:ilvl="3">
      <w:start w:val="1"/>
      <w:numFmt w:val="none"/>
      <w:lvlRestart w:val="0"/>
      <w:lvlText w:val=""/>
      <w:lvlJc w:val="left"/>
      <w:pPr>
        <w:tabs>
          <w:tab w:val="num" w:pos="1134"/>
        </w:tabs>
        <w:ind w:left="0" w:firstLine="0"/>
      </w:pPr>
      <w:rPr>
        <w:rFonts w:hint="default"/>
      </w:rPr>
    </w:lvl>
    <w:lvl w:ilvl="4">
      <w:start w:val="1"/>
      <w:numFmt w:val="none"/>
      <w:lvlRestart w:val="0"/>
      <w:lvlText w:val=""/>
      <w:lvlJc w:val="left"/>
      <w:pPr>
        <w:tabs>
          <w:tab w:val="num" w:pos="1134"/>
        </w:tabs>
        <w:ind w:left="0" w:firstLine="0"/>
      </w:pPr>
      <w:rPr>
        <w:rFonts w:hint="default"/>
      </w:rPr>
    </w:lvl>
    <w:lvl w:ilvl="5">
      <w:start w:val="1"/>
      <w:numFmt w:val="none"/>
      <w:lvlRestart w:val="0"/>
      <w:lvlText w:val=""/>
      <w:lvlJc w:val="left"/>
      <w:pPr>
        <w:tabs>
          <w:tab w:val="num" w:pos="1134"/>
        </w:tabs>
        <w:ind w:left="0" w:firstLine="0"/>
      </w:pPr>
      <w:rPr>
        <w:rFonts w:hint="default"/>
      </w:rPr>
    </w:lvl>
    <w:lvl w:ilvl="6">
      <w:start w:val="1"/>
      <w:numFmt w:val="none"/>
      <w:lvlRestart w:val="0"/>
      <w:lvlText w:val=""/>
      <w:lvlJc w:val="left"/>
      <w:pPr>
        <w:tabs>
          <w:tab w:val="num" w:pos="1134"/>
        </w:tabs>
        <w:ind w:left="0" w:firstLine="0"/>
      </w:pPr>
      <w:rPr>
        <w:rFonts w:hint="default"/>
      </w:rPr>
    </w:lvl>
    <w:lvl w:ilvl="7">
      <w:start w:val="1"/>
      <w:numFmt w:val="none"/>
      <w:lvlRestart w:val="0"/>
      <w:lvlText w:val=""/>
      <w:lvlJc w:val="left"/>
      <w:pPr>
        <w:tabs>
          <w:tab w:val="num" w:pos="1134"/>
        </w:tabs>
        <w:ind w:left="0" w:firstLine="0"/>
      </w:pPr>
      <w:rPr>
        <w:rFonts w:hint="default"/>
      </w:rPr>
    </w:lvl>
    <w:lvl w:ilvl="8">
      <w:start w:val="1"/>
      <w:numFmt w:val="none"/>
      <w:lvlRestart w:val="0"/>
      <w:lvlText w:val=""/>
      <w:lvlJc w:val="left"/>
      <w:pPr>
        <w:tabs>
          <w:tab w:val="num" w:pos="1134"/>
        </w:tabs>
        <w:ind w:left="0" w:firstLine="0"/>
      </w:pPr>
      <w:rPr>
        <w:rFonts w:hint="default"/>
      </w:rPr>
    </w:lvl>
  </w:abstractNum>
  <w:abstractNum w:abstractNumId="28" w15:restartNumberingAfterBreak="0">
    <w:nsid w:val="581C61D0"/>
    <w:multiLevelType w:val="hybridMultilevel"/>
    <w:tmpl w:val="6EC4AF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8EF1F98"/>
    <w:multiLevelType w:val="multilevel"/>
    <w:tmpl w:val="8B9C70AA"/>
    <w:lvl w:ilvl="0">
      <w:start w:val="1"/>
      <w:numFmt w:val="bullet"/>
      <w:lvlText w:val="o"/>
      <w:lvlJc w:val="left"/>
      <w:pPr>
        <w:ind w:left="568" w:hanging="284"/>
      </w:pPr>
      <w:rPr>
        <w:rFonts w:ascii="Courier New" w:hAnsi="Courier New" w:cs="Courier New" w:hint="default"/>
      </w:rPr>
    </w:lvl>
    <w:lvl w:ilvl="1">
      <w:start w:val="1"/>
      <w:numFmt w:val="bullet"/>
      <w:lvlRestart w:val="0"/>
      <w:lvlText w:val="–"/>
      <w:lvlJc w:val="left"/>
      <w:pPr>
        <w:ind w:left="851" w:hanging="283"/>
      </w:pPr>
      <w:rPr>
        <w:rFonts w:ascii="Calibri" w:hAnsi="Calibri" w:hint="default"/>
      </w:rPr>
    </w:lvl>
    <w:lvl w:ilvl="2">
      <w:start w:val="1"/>
      <w:numFmt w:val="none"/>
      <w:lvlRestart w:val="0"/>
      <w:lvlText w:val=""/>
      <w:lvlJc w:val="left"/>
      <w:pPr>
        <w:ind w:left="284" w:firstLine="0"/>
      </w:pPr>
      <w:rPr>
        <w:rFonts w:hint="default"/>
      </w:rPr>
    </w:lvl>
    <w:lvl w:ilvl="3">
      <w:start w:val="1"/>
      <w:numFmt w:val="none"/>
      <w:lvlRestart w:val="0"/>
      <w:lvlText w:val=""/>
      <w:lvlJc w:val="left"/>
      <w:pPr>
        <w:ind w:left="284" w:firstLine="0"/>
      </w:pPr>
      <w:rPr>
        <w:rFonts w:hint="default"/>
      </w:rPr>
    </w:lvl>
    <w:lvl w:ilvl="4">
      <w:start w:val="1"/>
      <w:numFmt w:val="none"/>
      <w:lvlRestart w:val="0"/>
      <w:lvlText w:val=""/>
      <w:lvlJc w:val="left"/>
      <w:pPr>
        <w:ind w:left="284" w:firstLine="0"/>
      </w:pPr>
      <w:rPr>
        <w:rFonts w:hint="default"/>
      </w:rPr>
    </w:lvl>
    <w:lvl w:ilvl="5">
      <w:start w:val="1"/>
      <w:numFmt w:val="none"/>
      <w:lvlRestart w:val="0"/>
      <w:lvlText w:val=""/>
      <w:lvlJc w:val="left"/>
      <w:pPr>
        <w:ind w:left="284" w:firstLine="0"/>
      </w:pPr>
      <w:rPr>
        <w:rFonts w:hint="default"/>
      </w:rPr>
    </w:lvl>
    <w:lvl w:ilvl="6">
      <w:start w:val="1"/>
      <w:numFmt w:val="none"/>
      <w:lvlRestart w:val="0"/>
      <w:lvlText w:val=""/>
      <w:lvlJc w:val="left"/>
      <w:pPr>
        <w:ind w:left="284" w:firstLine="0"/>
      </w:pPr>
      <w:rPr>
        <w:rFonts w:hint="default"/>
      </w:rPr>
    </w:lvl>
    <w:lvl w:ilvl="7">
      <w:start w:val="1"/>
      <w:numFmt w:val="none"/>
      <w:lvlRestart w:val="0"/>
      <w:lvlText w:val=""/>
      <w:lvlJc w:val="left"/>
      <w:pPr>
        <w:ind w:left="284" w:firstLine="0"/>
      </w:pPr>
      <w:rPr>
        <w:rFonts w:hint="default"/>
      </w:rPr>
    </w:lvl>
    <w:lvl w:ilvl="8">
      <w:start w:val="1"/>
      <w:numFmt w:val="none"/>
      <w:lvlRestart w:val="0"/>
      <w:lvlText w:val=""/>
      <w:lvlJc w:val="left"/>
      <w:pPr>
        <w:ind w:left="284" w:firstLine="0"/>
      </w:pPr>
      <w:rPr>
        <w:rFonts w:hint="default"/>
      </w:rPr>
    </w:lvl>
  </w:abstractNum>
  <w:abstractNum w:abstractNumId="30" w15:restartNumberingAfterBreak="0">
    <w:nsid w:val="5AAA70AC"/>
    <w:multiLevelType w:val="hybridMultilevel"/>
    <w:tmpl w:val="9774AD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D722A2A"/>
    <w:multiLevelType w:val="hybridMultilevel"/>
    <w:tmpl w:val="9E06BCCE"/>
    <w:lvl w:ilvl="0" w:tplc="E3ACCF64">
      <w:start w:val="1"/>
      <w:numFmt w:val="bullet"/>
      <w:lvlText w:val=""/>
      <w:lvlJc w:val="left"/>
      <w:pPr>
        <w:ind w:left="360" w:hanging="360"/>
      </w:pPr>
      <w:rPr>
        <w:rFonts w:ascii="Symbol" w:hAnsi="Symbol" w:hint="default"/>
        <w:color w:val="00828D"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FB746CB"/>
    <w:multiLevelType w:val="multilevel"/>
    <w:tmpl w:val="859E734A"/>
    <w:styleLink w:val="Numberedappendices"/>
    <w:lvl w:ilvl="0">
      <w:start w:val="1"/>
      <w:numFmt w:val="decimal"/>
      <w:pStyle w:val="Appendix-Contents"/>
      <w:suff w:val="nothing"/>
      <w:lvlText w:val="Appendix %1"/>
      <w:lvlJc w:val="left"/>
      <w:pPr>
        <w:ind w:left="0" w:firstLine="0"/>
      </w:pPr>
      <w:rPr>
        <w:rFonts w:hint="default"/>
        <w:b/>
        <w:i w:val="0"/>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3" w15:restartNumberingAfterBreak="0">
    <w:nsid w:val="60E1502C"/>
    <w:multiLevelType w:val="multilevel"/>
    <w:tmpl w:val="1646C884"/>
    <w:styleLink w:val="Bullets0"/>
    <w:lvl w:ilvl="0">
      <w:start w:val="1"/>
      <w:numFmt w:val="bullet"/>
      <w:lvlText w:val=""/>
      <w:lvlJc w:val="left"/>
      <w:pPr>
        <w:ind w:left="284" w:hanging="284"/>
      </w:pPr>
      <w:rPr>
        <w:rFonts w:ascii="Symbol" w:hAnsi="Symbol" w:cs="Times New Roman" w:hint="default"/>
        <w:color w:val="auto"/>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4" w15:restartNumberingAfterBreak="0">
    <w:nsid w:val="61DE4A6D"/>
    <w:multiLevelType w:val="multilevel"/>
    <w:tmpl w:val="08DAD87C"/>
    <w:lvl w:ilvl="0">
      <w:start w:val="1"/>
      <w:numFmt w:val="bullet"/>
      <w:lvlText w:val="o"/>
      <w:lvlJc w:val="left"/>
      <w:pPr>
        <w:ind w:left="454" w:hanging="227"/>
      </w:pPr>
      <w:rPr>
        <w:rFonts w:ascii="Courier New" w:hAnsi="Courier New" w:cs="Courier New" w:hint="default"/>
      </w:rPr>
    </w:lvl>
    <w:lvl w:ilvl="1">
      <w:numFmt w:val="bullet"/>
      <w:lvlText w:val="-"/>
      <w:lvlJc w:val="left"/>
      <w:pPr>
        <w:ind w:left="814" w:hanging="360"/>
      </w:pPr>
      <w:rPr>
        <w:rFonts w:ascii="Abadi" w:eastAsiaTheme="minorHAnsi" w:hAnsi="Abadi" w:cstheme="minorBidi" w:hint="default"/>
      </w:rPr>
    </w:lvl>
    <w:lvl w:ilvl="2">
      <w:start w:val="1"/>
      <w:numFmt w:val="none"/>
      <w:lvlRestart w:val="0"/>
      <w:lvlText w:val=""/>
      <w:lvlJc w:val="left"/>
      <w:pPr>
        <w:ind w:left="227" w:firstLine="0"/>
      </w:pPr>
      <w:rPr>
        <w:rFonts w:hint="default"/>
      </w:rPr>
    </w:lvl>
    <w:lvl w:ilvl="3">
      <w:start w:val="1"/>
      <w:numFmt w:val="none"/>
      <w:lvlRestart w:val="0"/>
      <w:lvlText w:val=""/>
      <w:lvlJc w:val="left"/>
      <w:pPr>
        <w:ind w:left="227" w:firstLine="0"/>
      </w:pPr>
      <w:rPr>
        <w:rFonts w:hint="default"/>
      </w:rPr>
    </w:lvl>
    <w:lvl w:ilvl="4">
      <w:start w:val="1"/>
      <w:numFmt w:val="none"/>
      <w:lvlRestart w:val="0"/>
      <w:lvlText w:val=""/>
      <w:lvlJc w:val="left"/>
      <w:pPr>
        <w:ind w:left="227" w:firstLine="0"/>
      </w:pPr>
      <w:rPr>
        <w:rFonts w:hint="default"/>
      </w:rPr>
    </w:lvl>
    <w:lvl w:ilvl="5">
      <w:start w:val="1"/>
      <w:numFmt w:val="none"/>
      <w:lvlRestart w:val="0"/>
      <w:lvlText w:val=""/>
      <w:lvlJc w:val="left"/>
      <w:pPr>
        <w:ind w:left="227" w:firstLine="0"/>
      </w:pPr>
      <w:rPr>
        <w:rFonts w:hint="default"/>
      </w:rPr>
    </w:lvl>
    <w:lvl w:ilvl="6">
      <w:start w:val="1"/>
      <w:numFmt w:val="none"/>
      <w:lvlRestart w:val="0"/>
      <w:lvlText w:val=""/>
      <w:lvlJc w:val="left"/>
      <w:pPr>
        <w:ind w:left="227" w:firstLine="0"/>
      </w:pPr>
      <w:rPr>
        <w:rFonts w:hint="default"/>
      </w:rPr>
    </w:lvl>
    <w:lvl w:ilvl="7">
      <w:start w:val="1"/>
      <w:numFmt w:val="none"/>
      <w:lvlRestart w:val="0"/>
      <w:lvlText w:val=""/>
      <w:lvlJc w:val="left"/>
      <w:pPr>
        <w:ind w:left="227" w:firstLine="0"/>
      </w:pPr>
      <w:rPr>
        <w:rFonts w:hint="default"/>
      </w:rPr>
    </w:lvl>
    <w:lvl w:ilvl="8">
      <w:start w:val="1"/>
      <w:numFmt w:val="none"/>
      <w:lvlRestart w:val="0"/>
      <w:lvlText w:val=""/>
      <w:lvlJc w:val="left"/>
      <w:pPr>
        <w:ind w:left="227" w:firstLine="0"/>
      </w:pPr>
      <w:rPr>
        <w:rFonts w:hint="default"/>
      </w:rPr>
    </w:lvl>
  </w:abstractNum>
  <w:abstractNum w:abstractNumId="35" w15:restartNumberingAfterBreak="0">
    <w:nsid w:val="62EB0EF2"/>
    <w:multiLevelType w:val="hybridMultilevel"/>
    <w:tmpl w:val="14B48A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6A048EF"/>
    <w:multiLevelType w:val="multilevel"/>
    <w:tmpl w:val="92F65CDC"/>
    <w:numStyleLink w:val="Numberdigit"/>
  </w:abstractNum>
  <w:abstractNum w:abstractNumId="37" w15:restartNumberingAfterBreak="0">
    <w:nsid w:val="68914EDD"/>
    <w:multiLevelType w:val="hybridMultilevel"/>
    <w:tmpl w:val="62B63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8ED1BCB"/>
    <w:multiLevelType w:val="hybridMultilevel"/>
    <w:tmpl w:val="50BC9762"/>
    <w:lvl w:ilvl="0" w:tplc="0C090001">
      <w:start w:val="1"/>
      <w:numFmt w:val="bullet"/>
      <w:lvlText w:val=""/>
      <w:lvlJc w:val="left"/>
      <w:pPr>
        <w:ind w:left="360" w:hanging="360"/>
      </w:pPr>
      <w:rPr>
        <w:rFonts w:ascii="Symbol" w:hAnsi="Symbol" w:hint="default"/>
        <w:color w:val="00828D" w:themeColor="tex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6B3818B8"/>
    <w:multiLevelType w:val="hybridMultilevel"/>
    <w:tmpl w:val="0E1457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C623EB8"/>
    <w:multiLevelType w:val="hybridMultilevel"/>
    <w:tmpl w:val="B56CA472"/>
    <w:lvl w:ilvl="0" w:tplc="FFFFFFFF">
      <w:start w:val="1"/>
      <w:numFmt w:val="bullet"/>
      <w:lvlText w:val=""/>
      <w:lvlJc w:val="left"/>
      <w:pPr>
        <w:ind w:left="-468" w:hanging="360"/>
      </w:pPr>
      <w:rPr>
        <w:rFonts w:ascii="Wingdings" w:hAnsi="Wingdings" w:hint="default"/>
      </w:rPr>
    </w:lvl>
    <w:lvl w:ilvl="1" w:tplc="FFFFFFFF">
      <w:start w:val="1"/>
      <w:numFmt w:val="bullet"/>
      <w:lvlText w:val="‐"/>
      <w:lvlJc w:val="left"/>
      <w:pPr>
        <w:ind w:left="252" w:hanging="360"/>
      </w:pPr>
      <w:rPr>
        <w:rFonts w:ascii="Calibri" w:hAnsi="Calibri" w:hint="default"/>
      </w:rPr>
    </w:lvl>
    <w:lvl w:ilvl="2" w:tplc="0C090003">
      <w:start w:val="1"/>
      <w:numFmt w:val="bullet"/>
      <w:lvlText w:val="o"/>
      <w:lvlJc w:val="left"/>
      <w:pPr>
        <w:ind w:left="972" w:hanging="360"/>
      </w:pPr>
      <w:rPr>
        <w:rFonts w:ascii="Courier New" w:hAnsi="Courier New" w:cs="Courier New" w:hint="default"/>
      </w:rPr>
    </w:lvl>
    <w:lvl w:ilvl="3" w:tplc="FFFFFFFF">
      <w:start w:val="1"/>
      <w:numFmt w:val="bullet"/>
      <w:lvlText w:val="‐"/>
      <w:lvlJc w:val="left"/>
      <w:pPr>
        <w:ind w:left="1692" w:hanging="360"/>
      </w:pPr>
      <w:rPr>
        <w:rFonts w:ascii="Calibri" w:hAnsi="Calibri" w:hint="default"/>
      </w:rPr>
    </w:lvl>
    <w:lvl w:ilvl="4" w:tplc="FFFFFFFF" w:tentative="1">
      <w:start w:val="1"/>
      <w:numFmt w:val="bullet"/>
      <w:lvlText w:val="o"/>
      <w:lvlJc w:val="left"/>
      <w:pPr>
        <w:ind w:left="2412" w:hanging="360"/>
      </w:pPr>
      <w:rPr>
        <w:rFonts w:ascii="Courier New" w:hAnsi="Courier New" w:cs="Courier New" w:hint="default"/>
      </w:rPr>
    </w:lvl>
    <w:lvl w:ilvl="5" w:tplc="FFFFFFFF" w:tentative="1">
      <w:start w:val="1"/>
      <w:numFmt w:val="bullet"/>
      <w:lvlText w:val=""/>
      <w:lvlJc w:val="left"/>
      <w:pPr>
        <w:ind w:left="3132" w:hanging="360"/>
      </w:pPr>
      <w:rPr>
        <w:rFonts w:ascii="Wingdings" w:hAnsi="Wingdings" w:hint="default"/>
      </w:rPr>
    </w:lvl>
    <w:lvl w:ilvl="6" w:tplc="FFFFFFFF" w:tentative="1">
      <w:start w:val="1"/>
      <w:numFmt w:val="bullet"/>
      <w:lvlText w:val=""/>
      <w:lvlJc w:val="left"/>
      <w:pPr>
        <w:ind w:left="3852" w:hanging="360"/>
      </w:pPr>
      <w:rPr>
        <w:rFonts w:ascii="Symbol" w:hAnsi="Symbol" w:hint="default"/>
      </w:rPr>
    </w:lvl>
    <w:lvl w:ilvl="7" w:tplc="FFFFFFFF" w:tentative="1">
      <w:start w:val="1"/>
      <w:numFmt w:val="bullet"/>
      <w:lvlText w:val="o"/>
      <w:lvlJc w:val="left"/>
      <w:pPr>
        <w:ind w:left="4572" w:hanging="360"/>
      </w:pPr>
      <w:rPr>
        <w:rFonts w:ascii="Courier New" w:hAnsi="Courier New" w:cs="Courier New" w:hint="default"/>
      </w:rPr>
    </w:lvl>
    <w:lvl w:ilvl="8" w:tplc="FFFFFFFF" w:tentative="1">
      <w:start w:val="1"/>
      <w:numFmt w:val="bullet"/>
      <w:lvlText w:val=""/>
      <w:lvlJc w:val="left"/>
      <w:pPr>
        <w:ind w:left="5292" w:hanging="360"/>
      </w:pPr>
      <w:rPr>
        <w:rFonts w:ascii="Wingdings" w:hAnsi="Wingdings" w:hint="default"/>
      </w:rPr>
    </w:lvl>
  </w:abstractNum>
  <w:abstractNum w:abstractNumId="41" w15:restartNumberingAfterBreak="0">
    <w:nsid w:val="736F28AB"/>
    <w:multiLevelType w:val="multilevel"/>
    <w:tmpl w:val="6C846A36"/>
    <w:lvl w:ilvl="0">
      <w:start w:val="1"/>
      <w:numFmt w:val="bullet"/>
      <w:pStyle w:val="Bullets1"/>
      <w:lvlText w:val=""/>
      <w:lvlJc w:val="left"/>
      <w:pPr>
        <w:tabs>
          <w:tab w:val="num" w:pos="360"/>
        </w:tabs>
        <w:ind w:left="360" w:hanging="360"/>
      </w:pPr>
      <w:rPr>
        <w:rFonts w:ascii="Symbol" w:hAnsi="Symbol"/>
        <w:color w:val="00000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7007CDE"/>
    <w:multiLevelType w:val="hybridMultilevel"/>
    <w:tmpl w:val="59D833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7827676"/>
    <w:multiLevelType w:val="hybridMultilevel"/>
    <w:tmpl w:val="DF3CA1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000000" w:themeColor="text1"/>
        <w:spacing w:val="0"/>
        <w:sz w:val="20"/>
      </w:rPr>
    </w:lvl>
    <w:lvl w:ilvl="1">
      <w:start w:val="1"/>
      <w:numFmt w:val="lowerLetter"/>
      <w:pStyle w:val="ListNumber2"/>
      <w:lvlText w:val="%2."/>
      <w:lvlJc w:val="left"/>
      <w:pPr>
        <w:tabs>
          <w:tab w:val="num" w:pos="680"/>
        </w:tabs>
        <w:ind w:left="680" w:hanging="340"/>
      </w:pPr>
      <w:rPr>
        <w:rFonts w:hint="default"/>
        <w:color w:val="000000" w:themeColor="text1"/>
        <w:spacing w:val="0"/>
        <w:sz w:val="20"/>
      </w:rPr>
    </w:lvl>
    <w:lvl w:ilvl="2">
      <w:start w:val="1"/>
      <w:numFmt w:val="lowerRoman"/>
      <w:pStyle w:val="ListNumber3"/>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5" w15:restartNumberingAfterBreak="0">
    <w:nsid w:val="796E3BEC"/>
    <w:multiLevelType w:val="hybridMultilevel"/>
    <w:tmpl w:val="31EA3FB4"/>
    <w:lvl w:ilvl="0" w:tplc="E3ACCF64">
      <w:start w:val="1"/>
      <w:numFmt w:val="bullet"/>
      <w:lvlText w:val=""/>
      <w:lvlJc w:val="left"/>
      <w:pPr>
        <w:ind w:left="360" w:hanging="360"/>
      </w:pPr>
      <w:rPr>
        <w:rFonts w:ascii="Symbol" w:hAnsi="Symbol" w:hint="default"/>
        <w:color w:val="00828D"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98953CC"/>
    <w:multiLevelType w:val="multilevel"/>
    <w:tmpl w:val="C3EE0C80"/>
    <w:lvl w:ilvl="0">
      <w:start w:val="1"/>
      <w:numFmt w:val="bullet"/>
      <w:lvlText w:val="o"/>
      <w:lvlJc w:val="left"/>
      <w:pPr>
        <w:ind w:left="454" w:hanging="227"/>
      </w:pPr>
      <w:rPr>
        <w:rFonts w:ascii="Courier New" w:hAnsi="Courier New" w:cs="Courier New" w:hint="default"/>
      </w:rPr>
    </w:lvl>
    <w:lvl w:ilvl="1">
      <w:numFmt w:val="bullet"/>
      <w:lvlText w:val="-"/>
      <w:lvlJc w:val="left"/>
      <w:pPr>
        <w:ind w:left="814" w:hanging="360"/>
      </w:pPr>
      <w:rPr>
        <w:rFonts w:ascii="Abadi" w:eastAsiaTheme="minorHAnsi" w:hAnsi="Abadi" w:cstheme="minorBidi" w:hint="default"/>
      </w:rPr>
    </w:lvl>
    <w:lvl w:ilvl="2">
      <w:start w:val="1"/>
      <w:numFmt w:val="none"/>
      <w:lvlRestart w:val="0"/>
      <w:lvlText w:val=""/>
      <w:lvlJc w:val="left"/>
      <w:pPr>
        <w:ind w:left="227" w:firstLine="0"/>
      </w:pPr>
      <w:rPr>
        <w:rFonts w:hint="default"/>
      </w:rPr>
    </w:lvl>
    <w:lvl w:ilvl="3">
      <w:start w:val="1"/>
      <w:numFmt w:val="none"/>
      <w:lvlRestart w:val="0"/>
      <w:lvlText w:val=""/>
      <w:lvlJc w:val="left"/>
      <w:pPr>
        <w:ind w:left="227" w:firstLine="0"/>
      </w:pPr>
      <w:rPr>
        <w:rFonts w:hint="default"/>
      </w:rPr>
    </w:lvl>
    <w:lvl w:ilvl="4">
      <w:start w:val="1"/>
      <w:numFmt w:val="none"/>
      <w:lvlRestart w:val="0"/>
      <w:lvlText w:val=""/>
      <w:lvlJc w:val="left"/>
      <w:pPr>
        <w:ind w:left="227" w:firstLine="0"/>
      </w:pPr>
      <w:rPr>
        <w:rFonts w:hint="default"/>
      </w:rPr>
    </w:lvl>
    <w:lvl w:ilvl="5">
      <w:start w:val="1"/>
      <w:numFmt w:val="none"/>
      <w:lvlRestart w:val="0"/>
      <w:lvlText w:val=""/>
      <w:lvlJc w:val="left"/>
      <w:pPr>
        <w:ind w:left="227" w:firstLine="0"/>
      </w:pPr>
      <w:rPr>
        <w:rFonts w:hint="default"/>
      </w:rPr>
    </w:lvl>
    <w:lvl w:ilvl="6">
      <w:start w:val="1"/>
      <w:numFmt w:val="none"/>
      <w:lvlRestart w:val="0"/>
      <w:lvlText w:val=""/>
      <w:lvlJc w:val="left"/>
      <w:pPr>
        <w:ind w:left="227" w:firstLine="0"/>
      </w:pPr>
      <w:rPr>
        <w:rFonts w:hint="default"/>
      </w:rPr>
    </w:lvl>
    <w:lvl w:ilvl="7">
      <w:start w:val="1"/>
      <w:numFmt w:val="none"/>
      <w:lvlRestart w:val="0"/>
      <w:lvlText w:val=""/>
      <w:lvlJc w:val="left"/>
      <w:pPr>
        <w:ind w:left="227" w:firstLine="0"/>
      </w:pPr>
      <w:rPr>
        <w:rFonts w:hint="default"/>
      </w:rPr>
    </w:lvl>
    <w:lvl w:ilvl="8">
      <w:start w:val="1"/>
      <w:numFmt w:val="none"/>
      <w:lvlRestart w:val="0"/>
      <w:lvlText w:val=""/>
      <w:lvlJc w:val="left"/>
      <w:pPr>
        <w:ind w:left="227" w:firstLine="0"/>
      </w:pPr>
      <w:rPr>
        <w:rFonts w:hint="default"/>
      </w:rPr>
    </w:lvl>
  </w:abstractNum>
  <w:abstractNum w:abstractNumId="47" w15:restartNumberingAfterBreak="0">
    <w:nsid w:val="7A4C7DB8"/>
    <w:multiLevelType w:val="multilevel"/>
    <w:tmpl w:val="A5C042E4"/>
    <w:lvl w:ilvl="0">
      <w:start w:val="1"/>
      <w:numFmt w:val="bullet"/>
      <w:lvlText w:val="•"/>
      <w:lvlJc w:val="left"/>
      <w:pPr>
        <w:ind w:left="227" w:hanging="227"/>
      </w:pPr>
      <w:rPr>
        <w:rFonts w:ascii="Calibri" w:hAnsi="Calibri" w:hint="default"/>
      </w:rPr>
    </w:lvl>
    <w:lvl w:ilvl="1">
      <w:start w:val="1"/>
      <w:numFmt w:val="bullet"/>
      <w:lvlText w:val="o"/>
      <w:lvlJc w:val="left"/>
      <w:pPr>
        <w:ind w:left="587" w:hanging="360"/>
      </w:pPr>
      <w:rPr>
        <w:rFonts w:ascii="Courier New" w:hAnsi="Courier New" w:cs="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8" w15:restartNumberingAfterBreak="0">
    <w:nsid w:val="7CB216AF"/>
    <w:multiLevelType w:val="multilevel"/>
    <w:tmpl w:val="C6D46536"/>
    <w:lvl w:ilvl="0">
      <w:start w:val="1"/>
      <w:numFmt w:val="bullet"/>
      <w:pStyle w:val="Bullet1"/>
      <w:lvlText w:val=""/>
      <w:lvlJc w:val="left"/>
      <w:pPr>
        <w:tabs>
          <w:tab w:val="num" w:pos="720"/>
        </w:tabs>
        <w:ind w:left="720" w:hanging="360"/>
      </w:pPr>
      <w:rPr>
        <w:rFonts w:ascii="Symbol" w:hAnsi="Symbol"/>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E1416F9"/>
    <w:multiLevelType w:val="multilevel"/>
    <w:tmpl w:val="2C3E97CC"/>
    <w:lvl w:ilvl="0">
      <w:start w:val="1"/>
      <w:numFmt w:val="bullet"/>
      <w:pStyle w:val="Examplebullet"/>
      <w:lvlText w:val="•"/>
      <w:lvlJc w:val="left"/>
      <w:pPr>
        <w:ind w:left="227" w:hanging="227"/>
      </w:pPr>
      <w:rPr>
        <w:rFonts w:ascii="Calibri" w:hAnsi="Calibri" w:hint="default"/>
      </w:rPr>
    </w:lvl>
    <w:lvl w:ilvl="1">
      <w:numFmt w:val="bullet"/>
      <w:lvlText w:val="-"/>
      <w:lvlJc w:val="left"/>
      <w:pPr>
        <w:ind w:left="587" w:hanging="360"/>
      </w:pPr>
      <w:rPr>
        <w:rFonts w:ascii="Abadi" w:eastAsiaTheme="minorHAnsi" w:hAnsi="Abadi" w:cstheme="minorBid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1943490972">
    <w:abstractNumId w:val="21"/>
  </w:num>
  <w:num w:numId="2" w16cid:durableId="1350764037">
    <w:abstractNumId w:val="15"/>
  </w:num>
  <w:num w:numId="3" w16cid:durableId="546648229">
    <w:abstractNumId w:val="21"/>
  </w:num>
  <w:num w:numId="4" w16cid:durableId="585381977">
    <w:abstractNumId w:val="3"/>
    <w:lvlOverride w:ilvl="0">
      <w:lvl w:ilvl="0">
        <w:start w:val="1"/>
        <w:numFmt w:val="decimal"/>
        <w:pStyle w:val="DELWPdiagramcaption"/>
        <w:lvlText w:val="Diagram %1:"/>
        <w:lvlJc w:val="left"/>
        <w:pPr>
          <w:tabs>
            <w:tab w:val="num" w:pos="1418"/>
          </w:tabs>
          <w:ind w:left="1418" w:hanging="1418"/>
        </w:pPr>
        <w:rPr>
          <w:rFonts w:ascii="VIC" w:hAnsi="VIC" w:hint="default"/>
        </w:rPr>
      </w:lvl>
    </w:lvlOverride>
  </w:num>
  <w:num w:numId="5" w16cid:durableId="1790275664">
    <w:abstractNumId w:val="23"/>
    <w:lvlOverride w:ilvl="0">
      <w:lvl w:ilvl="0">
        <w:start w:val="1"/>
        <w:numFmt w:val="decimal"/>
        <w:pStyle w:val="Tablecaption"/>
        <w:lvlText w:val="Table %1:"/>
        <w:lvlJc w:val="left"/>
        <w:pPr>
          <w:tabs>
            <w:tab w:val="num" w:pos="7514"/>
          </w:tabs>
          <w:ind w:left="7514" w:hanging="1134"/>
        </w:pPr>
      </w:lvl>
    </w:lvlOverride>
  </w:num>
  <w:num w:numId="6" w16cid:durableId="1028408205">
    <w:abstractNumId w:val="24"/>
  </w:num>
  <w:num w:numId="7" w16cid:durableId="1484665574">
    <w:abstractNumId w:val="26"/>
  </w:num>
  <w:num w:numId="8" w16cid:durableId="1633903728">
    <w:abstractNumId w:val="36"/>
  </w:num>
  <w:num w:numId="9" w16cid:durableId="796216299">
    <w:abstractNumId w:val="32"/>
    <w:lvlOverride w:ilvl="0">
      <w:lvl w:ilvl="0">
        <w:start w:val="1"/>
        <w:numFmt w:val="decimal"/>
        <w:pStyle w:val="Appendix-Contents"/>
        <w:suff w:val="nothing"/>
        <w:lvlText w:val="Appendix %1"/>
        <w:lvlJc w:val="left"/>
        <w:pPr>
          <w:ind w:left="0" w:firstLine="0"/>
        </w:pPr>
        <w:rPr>
          <w:rFonts w:hint="default"/>
          <w:b/>
          <w:i w:val="0"/>
        </w:rPr>
      </w:lvl>
    </w:lvlOverride>
  </w:num>
  <w:num w:numId="10" w16cid:durableId="4965750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53982989">
    <w:abstractNumId w:val="36"/>
  </w:num>
  <w:num w:numId="12" w16cid:durableId="2021153757">
    <w:abstractNumId w:val="4"/>
  </w:num>
  <w:num w:numId="13" w16cid:durableId="1146437435">
    <w:abstractNumId w:val="12"/>
  </w:num>
  <w:num w:numId="14" w16cid:durableId="1832988639">
    <w:abstractNumId w:val="39"/>
  </w:num>
  <w:num w:numId="15" w16cid:durableId="2073037699">
    <w:abstractNumId w:val="1"/>
  </w:num>
  <w:num w:numId="16" w16cid:durableId="301694462">
    <w:abstractNumId w:val="32"/>
  </w:num>
  <w:num w:numId="17" w16cid:durableId="1179809383">
    <w:abstractNumId w:val="30"/>
  </w:num>
  <w:num w:numId="18" w16cid:durableId="1434594478">
    <w:abstractNumId w:val="43"/>
  </w:num>
  <w:num w:numId="19" w16cid:durableId="1742020668">
    <w:abstractNumId w:val="37"/>
  </w:num>
  <w:num w:numId="20" w16cid:durableId="926842629">
    <w:abstractNumId w:val="5"/>
  </w:num>
  <w:num w:numId="21" w16cid:durableId="234894676">
    <w:abstractNumId w:val="44"/>
  </w:num>
  <w:num w:numId="22" w16cid:durableId="552426314">
    <w:abstractNumId w:val="2"/>
  </w:num>
  <w:num w:numId="23" w16cid:durableId="8067236">
    <w:abstractNumId w:val="15"/>
  </w:num>
  <w:num w:numId="24" w16cid:durableId="237520873">
    <w:abstractNumId w:val="31"/>
  </w:num>
  <w:num w:numId="25" w16cid:durableId="2066486276">
    <w:abstractNumId w:val="17"/>
  </w:num>
  <w:num w:numId="26" w16cid:durableId="629432868">
    <w:abstractNumId w:val="42"/>
  </w:num>
  <w:num w:numId="27" w16cid:durableId="100032694">
    <w:abstractNumId w:val="45"/>
  </w:num>
  <w:num w:numId="28" w16cid:durableId="167599730">
    <w:abstractNumId w:val="27"/>
  </w:num>
  <w:num w:numId="29" w16cid:durableId="1570536840">
    <w:abstractNumId w:val="23"/>
  </w:num>
  <w:num w:numId="30" w16cid:durableId="776289894">
    <w:abstractNumId w:val="33"/>
  </w:num>
  <w:num w:numId="31" w16cid:durableId="1281297514">
    <w:abstractNumId w:val="3"/>
  </w:num>
  <w:num w:numId="32" w16cid:durableId="446630716">
    <w:abstractNumId w:val="19"/>
  </w:num>
  <w:num w:numId="33" w16cid:durableId="1738816532">
    <w:abstractNumId w:val="18"/>
  </w:num>
  <w:num w:numId="34" w16cid:durableId="388266308">
    <w:abstractNumId w:val="49"/>
  </w:num>
  <w:num w:numId="35" w16cid:durableId="966397844">
    <w:abstractNumId w:val="13"/>
  </w:num>
  <w:num w:numId="36" w16cid:durableId="526798212">
    <w:abstractNumId w:val="48"/>
  </w:num>
  <w:num w:numId="37" w16cid:durableId="1759323508">
    <w:abstractNumId w:val="9"/>
  </w:num>
  <w:num w:numId="38" w16cid:durableId="851144697">
    <w:abstractNumId w:val="35"/>
  </w:num>
  <w:num w:numId="39" w16cid:durableId="1308900427">
    <w:abstractNumId w:val="28"/>
  </w:num>
  <w:num w:numId="40" w16cid:durableId="1092091921">
    <w:abstractNumId w:val="0"/>
  </w:num>
  <w:num w:numId="41" w16cid:durableId="1429496427">
    <w:abstractNumId w:val="41"/>
  </w:num>
  <w:num w:numId="42" w16cid:durableId="1398939003">
    <w:abstractNumId w:val="14"/>
  </w:num>
  <w:num w:numId="43" w16cid:durableId="1119059021">
    <w:abstractNumId w:val="20"/>
  </w:num>
  <w:num w:numId="44" w16cid:durableId="1305039038">
    <w:abstractNumId w:val="29"/>
  </w:num>
  <w:num w:numId="45" w16cid:durableId="175466087">
    <w:abstractNumId w:val="22"/>
  </w:num>
  <w:num w:numId="46" w16cid:durableId="568617084">
    <w:abstractNumId w:val="7"/>
  </w:num>
  <w:num w:numId="47" w16cid:durableId="290593832">
    <w:abstractNumId w:val="46"/>
  </w:num>
  <w:num w:numId="48" w16cid:durableId="1850682003">
    <w:abstractNumId w:val="34"/>
  </w:num>
  <w:num w:numId="49" w16cid:durableId="1608923084">
    <w:abstractNumId w:val="11"/>
  </w:num>
  <w:num w:numId="50" w16cid:durableId="1618413023">
    <w:abstractNumId w:val="40"/>
  </w:num>
  <w:num w:numId="51" w16cid:durableId="1577517908">
    <w:abstractNumId w:val="16"/>
  </w:num>
  <w:num w:numId="52" w16cid:durableId="1100178993">
    <w:abstractNumId w:val="8"/>
  </w:num>
  <w:num w:numId="53" w16cid:durableId="861437437">
    <w:abstractNumId w:val="10"/>
  </w:num>
  <w:num w:numId="54" w16cid:durableId="44138094">
    <w:abstractNumId w:val="38"/>
  </w:num>
  <w:num w:numId="55" w16cid:durableId="572474221">
    <w:abstractNumId w:val="25"/>
  </w:num>
  <w:num w:numId="56" w16cid:durableId="1454590278">
    <w:abstractNumId w:val="47"/>
  </w:num>
  <w:num w:numId="57" w16cid:durableId="166754633">
    <w:abstractNumId w:val="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removePersonalInformation/>
  <w:removeDateAndTime/>
  <w:embedSystemFonts/>
  <w:mirrorMargins/>
  <w:bordersDoNotSurroundHeader/>
  <w:bordersDoNotSurroundFooter/>
  <w:proofState w:spelling="clean" w:grammar="clean"/>
  <w:stylePaneSortMethod w:val="0000"/>
  <w:doNotTrackFormatting/>
  <w:defaultTabStop w:val="567"/>
  <w:autoHyphenation/>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C0B"/>
    <w:rsid w:val="00000ACE"/>
    <w:rsid w:val="00000B2B"/>
    <w:rsid w:val="00001790"/>
    <w:rsid w:val="00002A8C"/>
    <w:rsid w:val="00002D14"/>
    <w:rsid w:val="00003247"/>
    <w:rsid w:val="0000365C"/>
    <w:rsid w:val="000036B4"/>
    <w:rsid w:val="00003879"/>
    <w:rsid w:val="00003E19"/>
    <w:rsid w:val="00004B49"/>
    <w:rsid w:val="00004D19"/>
    <w:rsid w:val="00005369"/>
    <w:rsid w:val="000059E3"/>
    <w:rsid w:val="00005CBB"/>
    <w:rsid w:val="00006A95"/>
    <w:rsid w:val="00007057"/>
    <w:rsid w:val="00010663"/>
    <w:rsid w:val="00011ACD"/>
    <w:rsid w:val="00011CCB"/>
    <w:rsid w:val="00012818"/>
    <w:rsid w:val="00012B09"/>
    <w:rsid w:val="00012E25"/>
    <w:rsid w:val="000130B5"/>
    <w:rsid w:val="0001349D"/>
    <w:rsid w:val="00013773"/>
    <w:rsid w:val="00013A7E"/>
    <w:rsid w:val="00013B73"/>
    <w:rsid w:val="0001426F"/>
    <w:rsid w:val="0001428F"/>
    <w:rsid w:val="0001481C"/>
    <w:rsid w:val="00014F44"/>
    <w:rsid w:val="00015134"/>
    <w:rsid w:val="00015C11"/>
    <w:rsid w:val="000165E2"/>
    <w:rsid w:val="00016786"/>
    <w:rsid w:val="00016A85"/>
    <w:rsid w:val="00016B39"/>
    <w:rsid w:val="000172BD"/>
    <w:rsid w:val="00017728"/>
    <w:rsid w:val="00017BA0"/>
    <w:rsid w:val="000200DF"/>
    <w:rsid w:val="000202D0"/>
    <w:rsid w:val="00020AD0"/>
    <w:rsid w:val="00021140"/>
    <w:rsid w:val="000219AB"/>
    <w:rsid w:val="00021D4B"/>
    <w:rsid w:val="00021F0D"/>
    <w:rsid w:val="0002238B"/>
    <w:rsid w:val="0002282F"/>
    <w:rsid w:val="000228B2"/>
    <w:rsid w:val="00022D7D"/>
    <w:rsid w:val="00022F65"/>
    <w:rsid w:val="0002398B"/>
    <w:rsid w:val="000242A6"/>
    <w:rsid w:val="00024551"/>
    <w:rsid w:val="000246DB"/>
    <w:rsid w:val="000262BC"/>
    <w:rsid w:val="000262DD"/>
    <w:rsid w:val="0002656B"/>
    <w:rsid w:val="00026C09"/>
    <w:rsid w:val="000272EA"/>
    <w:rsid w:val="00027DC0"/>
    <w:rsid w:val="000306BD"/>
    <w:rsid w:val="0003177B"/>
    <w:rsid w:val="00031E75"/>
    <w:rsid w:val="000322F9"/>
    <w:rsid w:val="00032D63"/>
    <w:rsid w:val="00032FAF"/>
    <w:rsid w:val="00032FFE"/>
    <w:rsid w:val="0003367A"/>
    <w:rsid w:val="000336A6"/>
    <w:rsid w:val="00033AA5"/>
    <w:rsid w:val="00033D74"/>
    <w:rsid w:val="00033FCC"/>
    <w:rsid w:val="000342A2"/>
    <w:rsid w:val="00034463"/>
    <w:rsid w:val="00034A89"/>
    <w:rsid w:val="000352BC"/>
    <w:rsid w:val="00035328"/>
    <w:rsid w:val="00035DA8"/>
    <w:rsid w:val="00036023"/>
    <w:rsid w:val="0003603E"/>
    <w:rsid w:val="00036187"/>
    <w:rsid w:val="000361C1"/>
    <w:rsid w:val="0003676E"/>
    <w:rsid w:val="00036C0C"/>
    <w:rsid w:val="00037060"/>
    <w:rsid w:val="000379EC"/>
    <w:rsid w:val="00037D26"/>
    <w:rsid w:val="00040565"/>
    <w:rsid w:val="0004072B"/>
    <w:rsid w:val="000407DC"/>
    <w:rsid w:val="000408AD"/>
    <w:rsid w:val="0004114A"/>
    <w:rsid w:val="000416D5"/>
    <w:rsid w:val="00041B3B"/>
    <w:rsid w:val="000424F0"/>
    <w:rsid w:val="0004277A"/>
    <w:rsid w:val="00042AAA"/>
    <w:rsid w:val="00042CA1"/>
    <w:rsid w:val="00043145"/>
    <w:rsid w:val="0004369F"/>
    <w:rsid w:val="00043D3D"/>
    <w:rsid w:val="00043F51"/>
    <w:rsid w:val="000441FD"/>
    <w:rsid w:val="00044DA8"/>
    <w:rsid w:val="00044F65"/>
    <w:rsid w:val="00045CAD"/>
    <w:rsid w:val="00045CB0"/>
    <w:rsid w:val="000467ED"/>
    <w:rsid w:val="00046E4C"/>
    <w:rsid w:val="000470E3"/>
    <w:rsid w:val="00047337"/>
    <w:rsid w:val="000473BF"/>
    <w:rsid w:val="000473D3"/>
    <w:rsid w:val="00047CE6"/>
    <w:rsid w:val="000500FE"/>
    <w:rsid w:val="000502B0"/>
    <w:rsid w:val="00050DFD"/>
    <w:rsid w:val="000512C1"/>
    <w:rsid w:val="0005130F"/>
    <w:rsid w:val="000514E9"/>
    <w:rsid w:val="00051543"/>
    <w:rsid w:val="00051696"/>
    <w:rsid w:val="00051757"/>
    <w:rsid w:val="00051A61"/>
    <w:rsid w:val="00051B29"/>
    <w:rsid w:val="0005233D"/>
    <w:rsid w:val="0005237B"/>
    <w:rsid w:val="000534F3"/>
    <w:rsid w:val="00053A76"/>
    <w:rsid w:val="00054479"/>
    <w:rsid w:val="000544D0"/>
    <w:rsid w:val="00054512"/>
    <w:rsid w:val="00055C7F"/>
    <w:rsid w:val="00056075"/>
    <w:rsid w:val="00056096"/>
    <w:rsid w:val="000568AF"/>
    <w:rsid w:val="00056E60"/>
    <w:rsid w:val="000571CC"/>
    <w:rsid w:val="000571FF"/>
    <w:rsid w:val="000577A4"/>
    <w:rsid w:val="00057D5B"/>
    <w:rsid w:val="000603E7"/>
    <w:rsid w:val="000612D5"/>
    <w:rsid w:val="00061383"/>
    <w:rsid w:val="000622B7"/>
    <w:rsid w:val="00062473"/>
    <w:rsid w:val="0006257A"/>
    <w:rsid w:val="00062B45"/>
    <w:rsid w:val="00062B8B"/>
    <w:rsid w:val="000632E8"/>
    <w:rsid w:val="00064230"/>
    <w:rsid w:val="00064E5A"/>
    <w:rsid w:val="000651EF"/>
    <w:rsid w:val="00065C58"/>
    <w:rsid w:val="00066BB2"/>
    <w:rsid w:val="00067011"/>
    <w:rsid w:val="00067329"/>
    <w:rsid w:val="000678EE"/>
    <w:rsid w:val="00067E78"/>
    <w:rsid w:val="00067EB3"/>
    <w:rsid w:val="00070653"/>
    <w:rsid w:val="000708B1"/>
    <w:rsid w:val="000710AE"/>
    <w:rsid w:val="00071499"/>
    <w:rsid w:val="00072084"/>
    <w:rsid w:val="00072213"/>
    <w:rsid w:val="00073717"/>
    <w:rsid w:val="00073C96"/>
    <w:rsid w:val="000740DF"/>
    <w:rsid w:val="00074481"/>
    <w:rsid w:val="00074EEF"/>
    <w:rsid w:val="00075157"/>
    <w:rsid w:val="00075376"/>
    <w:rsid w:val="00075E9C"/>
    <w:rsid w:val="000774CA"/>
    <w:rsid w:val="0007797E"/>
    <w:rsid w:val="00077F47"/>
    <w:rsid w:val="0008069E"/>
    <w:rsid w:val="000806C9"/>
    <w:rsid w:val="0008099D"/>
    <w:rsid w:val="00081F7D"/>
    <w:rsid w:val="000824EA"/>
    <w:rsid w:val="00082A28"/>
    <w:rsid w:val="00083013"/>
    <w:rsid w:val="0008352C"/>
    <w:rsid w:val="00083E5F"/>
    <w:rsid w:val="00084193"/>
    <w:rsid w:val="00084D98"/>
    <w:rsid w:val="00085312"/>
    <w:rsid w:val="00085B16"/>
    <w:rsid w:val="0008631C"/>
    <w:rsid w:val="0008636E"/>
    <w:rsid w:val="000868EB"/>
    <w:rsid w:val="00090A03"/>
    <w:rsid w:val="00091367"/>
    <w:rsid w:val="000915BD"/>
    <w:rsid w:val="00091AB5"/>
    <w:rsid w:val="00092E0F"/>
    <w:rsid w:val="00092E40"/>
    <w:rsid w:val="00092E73"/>
    <w:rsid w:val="00092E89"/>
    <w:rsid w:val="00093198"/>
    <w:rsid w:val="00093642"/>
    <w:rsid w:val="000939C1"/>
    <w:rsid w:val="000942C0"/>
    <w:rsid w:val="0009498C"/>
    <w:rsid w:val="00094B2F"/>
    <w:rsid w:val="000957D7"/>
    <w:rsid w:val="00095802"/>
    <w:rsid w:val="00095C3D"/>
    <w:rsid w:val="00095EF2"/>
    <w:rsid w:val="00096A9A"/>
    <w:rsid w:val="00096C3F"/>
    <w:rsid w:val="00096CB3"/>
    <w:rsid w:val="00097288"/>
    <w:rsid w:val="00097555"/>
    <w:rsid w:val="00097970"/>
    <w:rsid w:val="000A0504"/>
    <w:rsid w:val="000A05CC"/>
    <w:rsid w:val="000A06D6"/>
    <w:rsid w:val="000A08C0"/>
    <w:rsid w:val="000A09C7"/>
    <w:rsid w:val="000A15B1"/>
    <w:rsid w:val="000A1E6A"/>
    <w:rsid w:val="000A2ABF"/>
    <w:rsid w:val="000A2B03"/>
    <w:rsid w:val="000A2CD4"/>
    <w:rsid w:val="000A32FE"/>
    <w:rsid w:val="000A34E3"/>
    <w:rsid w:val="000A391D"/>
    <w:rsid w:val="000A3F9B"/>
    <w:rsid w:val="000A437F"/>
    <w:rsid w:val="000A4DED"/>
    <w:rsid w:val="000A4F57"/>
    <w:rsid w:val="000A4FC5"/>
    <w:rsid w:val="000A577A"/>
    <w:rsid w:val="000A5A46"/>
    <w:rsid w:val="000A6431"/>
    <w:rsid w:val="000A69DD"/>
    <w:rsid w:val="000A7608"/>
    <w:rsid w:val="000A76E3"/>
    <w:rsid w:val="000A77C6"/>
    <w:rsid w:val="000A7841"/>
    <w:rsid w:val="000A7AA8"/>
    <w:rsid w:val="000A7B2A"/>
    <w:rsid w:val="000A7B7E"/>
    <w:rsid w:val="000A7C43"/>
    <w:rsid w:val="000A7DB1"/>
    <w:rsid w:val="000A7F52"/>
    <w:rsid w:val="000B0736"/>
    <w:rsid w:val="000B0851"/>
    <w:rsid w:val="000B1970"/>
    <w:rsid w:val="000B19F3"/>
    <w:rsid w:val="000B1BA4"/>
    <w:rsid w:val="000B1D71"/>
    <w:rsid w:val="000B2017"/>
    <w:rsid w:val="000B3AC6"/>
    <w:rsid w:val="000B41F4"/>
    <w:rsid w:val="000B4415"/>
    <w:rsid w:val="000B472A"/>
    <w:rsid w:val="000B51E5"/>
    <w:rsid w:val="000B692E"/>
    <w:rsid w:val="000B6E2A"/>
    <w:rsid w:val="000B700F"/>
    <w:rsid w:val="000B764E"/>
    <w:rsid w:val="000B7980"/>
    <w:rsid w:val="000B7EED"/>
    <w:rsid w:val="000C0873"/>
    <w:rsid w:val="000C0B56"/>
    <w:rsid w:val="000C115C"/>
    <w:rsid w:val="000C1F2B"/>
    <w:rsid w:val="000C1F64"/>
    <w:rsid w:val="000C276E"/>
    <w:rsid w:val="000C2991"/>
    <w:rsid w:val="000C2EF5"/>
    <w:rsid w:val="000C2F44"/>
    <w:rsid w:val="000C3317"/>
    <w:rsid w:val="000C34B1"/>
    <w:rsid w:val="000C3740"/>
    <w:rsid w:val="000C3989"/>
    <w:rsid w:val="000C4124"/>
    <w:rsid w:val="000C4480"/>
    <w:rsid w:val="000C6154"/>
    <w:rsid w:val="000C61E6"/>
    <w:rsid w:val="000C6445"/>
    <w:rsid w:val="000C68F7"/>
    <w:rsid w:val="000C6E03"/>
    <w:rsid w:val="000C7408"/>
    <w:rsid w:val="000C773C"/>
    <w:rsid w:val="000C7AA1"/>
    <w:rsid w:val="000C7B82"/>
    <w:rsid w:val="000D067D"/>
    <w:rsid w:val="000D1EE2"/>
    <w:rsid w:val="000D2F16"/>
    <w:rsid w:val="000D31F4"/>
    <w:rsid w:val="000D38B9"/>
    <w:rsid w:val="000D39B1"/>
    <w:rsid w:val="000D4098"/>
    <w:rsid w:val="000D4739"/>
    <w:rsid w:val="000D4746"/>
    <w:rsid w:val="000D4B10"/>
    <w:rsid w:val="000D53F8"/>
    <w:rsid w:val="000D5459"/>
    <w:rsid w:val="000D55DF"/>
    <w:rsid w:val="000D5ADF"/>
    <w:rsid w:val="000D5B8C"/>
    <w:rsid w:val="000D625F"/>
    <w:rsid w:val="000D6A72"/>
    <w:rsid w:val="000D6AF0"/>
    <w:rsid w:val="000D6B38"/>
    <w:rsid w:val="000D6FEE"/>
    <w:rsid w:val="000D789C"/>
    <w:rsid w:val="000D78A6"/>
    <w:rsid w:val="000D7E8A"/>
    <w:rsid w:val="000E0415"/>
    <w:rsid w:val="000E051D"/>
    <w:rsid w:val="000E09AD"/>
    <w:rsid w:val="000E0A5B"/>
    <w:rsid w:val="000E0B6C"/>
    <w:rsid w:val="000E12F6"/>
    <w:rsid w:val="000E1550"/>
    <w:rsid w:val="000E159C"/>
    <w:rsid w:val="000E17E1"/>
    <w:rsid w:val="000E23F7"/>
    <w:rsid w:val="000E2444"/>
    <w:rsid w:val="000E2765"/>
    <w:rsid w:val="000E30C5"/>
    <w:rsid w:val="000E3DF8"/>
    <w:rsid w:val="000E42E5"/>
    <w:rsid w:val="000E472E"/>
    <w:rsid w:val="000E49F4"/>
    <w:rsid w:val="000E4DB0"/>
    <w:rsid w:val="000E595C"/>
    <w:rsid w:val="000E61DB"/>
    <w:rsid w:val="000E62A4"/>
    <w:rsid w:val="000E6BEB"/>
    <w:rsid w:val="000E76C0"/>
    <w:rsid w:val="000E76CD"/>
    <w:rsid w:val="000E790B"/>
    <w:rsid w:val="000F02F6"/>
    <w:rsid w:val="000F0DDB"/>
    <w:rsid w:val="000F0EC5"/>
    <w:rsid w:val="000F10E5"/>
    <w:rsid w:val="000F11E5"/>
    <w:rsid w:val="000F14BE"/>
    <w:rsid w:val="000F160B"/>
    <w:rsid w:val="000F1CE1"/>
    <w:rsid w:val="000F2B38"/>
    <w:rsid w:val="000F2CAE"/>
    <w:rsid w:val="000F3145"/>
    <w:rsid w:val="000F3183"/>
    <w:rsid w:val="000F3898"/>
    <w:rsid w:val="000F38C9"/>
    <w:rsid w:val="000F3C06"/>
    <w:rsid w:val="000F3D09"/>
    <w:rsid w:val="000F414D"/>
    <w:rsid w:val="000F4DA6"/>
    <w:rsid w:val="000F51B6"/>
    <w:rsid w:val="000F5910"/>
    <w:rsid w:val="000F5B18"/>
    <w:rsid w:val="000F618D"/>
    <w:rsid w:val="000F61B1"/>
    <w:rsid w:val="000F6231"/>
    <w:rsid w:val="000F62E5"/>
    <w:rsid w:val="000F66CC"/>
    <w:rsid w:val="000F6C8F"/>
    <w:rsid w:val="000F79E4"/>
    <w:rsid w:val="000F79EB"/>
    <w:rsid w:val="000F7B44"/>
    <w:rsid w:val="000F7F04"/>
    <w:rsid w:val="00100013"/>
    <w:rsid w:val="00100125"/>
    <w:rsid w:val="00100427"/>
    <w:rsid w:val="0010169E"/>
    <w:rsid w:val="001019B4"/>
    <w:rsid w:val="00101C87"/>
    <w:rsid w:val="00101DD3"/>
    <w:rsid w:val="001020DD"/>
    <w:rsid w:val="0010225E"/>
    <w:rsid w:val="0010248E"/>
    <w:rsid w:val="00102566"/>
    <w:rsid w:val="00102A11"/>
    <w:rsid w:val="00102A70"/>
    <w:rsid w:val="00102FA3"/>
    <w:rsid w:val="00102FE3"/>
    <w:rsid w:val="001036B8"/>
    <w:rsid w:val="001042F6"/>
    <w:rsid w:val="00104F2F"/>
    <w:rsid w:val="00105302"/>
    <w:rsid w:val="00105405"/>
    <w:rsid w:val="00105611"/>
    <w:rsid w:val="0010637B"/>
    <w:rsid w:val="0010729F"/>
    <w:rsid w:val="00110218"/>
    <w:rsid w:val="0011127A"/>
    <w:rsid w:val="001112D8"/>
    <w:rsid w:val="00111434"/>
    <w:rsid w:val="0011184B"/>
    <w:rsid w:val="00111BB5"/>
    <w:rsid w:val="00112935"/>
    <w:rsid w:val="0011352B"/>
    <w:rsid w:val="00113D54"/>
    <w:rsid w:val="00115A8C"/>
    <w:rsid w:val="00115F50"/>
    <w:rsid w:val="001162FA"/>
    <w:rsid w:val="00116318"/>
    <w:rsid w:val="00116420"/>
    <w:rsid w:val="00116E1B"/>
    <w:rsid w:val="001174F3"/>
    <w:rsid w:val="0011771B"/>
    <w:rsid w:val="00117EC3"/>
    <w:rsid w:val="001206F2"/>
    <w:rsid w:val="00120729"/>
    <w:rsid w:val="00120C28"/>
    <w:rsid w:val="001212DE"/>
    <w:rsid w:val="00121376"/>
    <w:rsid w:val="00121AD6"/>
    <w:rsid w:val="0012231B"/>
    <w:rsid w:val="00122B2C"/>
    <w:rsid w:val="00122BB4"/>
    <w:rsid w:val="00122DC1"/>
    <w:rsid w:val="00123A30"/>
    <w:rsid w:val="00123C97"/>
    <w:rsid w:val="00123CBD"/>
    <w:rsid w:val="00123FAD"/>
    <w:rsid w:val="00124CD2"/>
    <w:rsid w:val="00124CE2"/>
    <w:rsid w:val="00124D7D"/>
    <w:rsid w:val="00124F55"/>
    <w:rsid w:val="001257D7"/>
    <w:rsid w:val="001261B8"/>
    <w:rsid w:val="001269BF"/>
    <w:rsid w:val="00127016"/>
    <w:rsid w:val="001278B5"/>
    <w:rsid w:val="00130048"/>
    <w:rsid w:val="00130456"/>
    <w:rsid w:val="001307A7"/>
    <w:rsid w:val="0013109F"/>
    <w:rsid w:val="00131102"/>
    <w:rsid w:val="001318B0"/>
    <w:rsid w:val="00131E54"/>
    <w:rsid w:val="00132628"/>
    <w:rsid w:val="0013298D"/>
    <w:rsid w:val="001329CE"/>
    <w:rsid w:val="00132D96"/>
    <w:rsid w:val="00133F1F"/>
    <w:rsid w:val="00134130"/>
    <w:rsid w:val="00134730"/>
    <w:rsid w:val="00134C6C"/>
    <w:rsid w:val="00134CC9"/>
    <w:rsid w:val="00134D6A"/>
    <w:rsid w:val="0013528D"/>
    <w:rsid w:val="0013535F"/>
    <w:rsid w:val="00135556"/>
    <w:rsid w:val="00136C42"/>
    <w:rsid w:val="00136F1E"/>
    <w:rsid w:val="0013706C"/>
    <w:rsid w:val="00137C8C"/>
    <w:rsid w:val="00140029"/>
    <w:rsid w:val="00140782"/>
    <w:rsid w:val="00140B8E"/>
    <w:rsid w:val="00140C7E"/>
    <w:rsid w:val="0014119E"/>
    <w:rsid w:val="00141238"/>
    <w:rsid w:val="00141249"/>
    <w:rsid w:val="001416C4"/>
    <w:rsid w:val="00141C6B"/>
    <w:rsid w:val="00141DBB"/>
    <w:rsid w:val="00141DC5"/>
    <w:rsid w:val="00142866"/>
    <w:rsid w:val="001438DE"/>
    <w:rsid w:val="00143A10"/>
    <w:rsid w:val="00143ECF"/>
    <w:rsid w:val="001444FD"/>
    <w:rsid w:val="00144565"/>
    <w:rsid w:val="0014491D"/>
    <w:rsid w:val="00144BEC"/>
    <w:rsid w:val="00144E69"/>
    <w:rsid w:val="0014503A"/>
    <w:rsid w:val="00145CBD"/>
    <w:rsid w:val="0014667F"/>
    <w:rsid w:val="001472AF"/>
    <w:rsid w:val="001472B6"/>
    <w:rsid w:val="00147839"/>
    <w:rsid w:val="00147B26"/>
    <w:rsid w:val="00147C19"/>
    <w:rsid w:val="00147CD6"/>
    <w:rsid w:val="00147FBD"/>
    <w:rsid w:val="001500D2"/>
    <w:rsid w:val="001503DE"/>
    <w:rsid w:val="001505BE"/>
    <w:rsid w:val="001509A9"/>
    <w:rsid w:val="001513D0"/>
    <w:rsid w:val="001513DE"/>
    <w:rsid w:val="0015189E"/>
    <w:rsid w:val="00151B1E"/>
    <w:rsid w:val="00151D2C"/>
    <w:rsid w:val="00152448"/>
    <w:rsid w:val="00152B37"/>
    <w:rsid w:val="00152D88"/>
    <w:rsid w:val="0015317E"/>
    <w:rsid w:val="001534A4"/>
    <w:rsid w:val="0015354C"/>
    <w:rsid w:val="001539AD"/>
    <w:rsid w:val="00153B1A"/>
    <w:rsid w:val="00154DEA"/>
    <w:rsid w:val="00155A2A"/>
    <w:rsid w:val="00155A6F"/>
    <w:rsid w:val="00155F90"/>
    <w:rsid w:val="00156118"/>
    <w:rsid w:val="0015644D"/>
    <w:rsid w:val="001568E0"/>
    <w:rsid w:val="00157250"/>
    <w:rsid w:val="001604CA"/>
    <w:rsid w:val="0016056C"/>
    <w:rsid w:val="00160598"/>
    <w:rsid w:val="00160E80"/>
    <w:rsid w:val="001613C1"/>
    <w:rsid w:val="00161AA3"/>
    <w:rsid w:val="00161D95"/>
    <w:rsid w:val="001623DD"/>
    <w:rsid w:val="00162AF1"/>
    <w:rsid w:val="00162D63"/>
    <w:rsid w:val="00163958"/>
    <w:rsid w:val="00163A15"/>
    <w:rsid w:val="001643CF"/>
    <w:rsid w:val="00164498"/>
    <w:rsid w:val="0016488A"/>
    <w:rsid w:val="00164BB0"/>
    <w:rsid w:val="0016572D"/>
    <w:rsid w:val="001657FE"/>
    <w:rsid w:val="00166606"/>
    <w:rsid w:val="0016667E"/>
    <w:rsid w:val="00166872"/>
    <w:rsid w:val="00166AD9"/>
    <w:rsid w:val="00166CF3"/>
    <w:rsid w:val="00166D7D"/>
    <w:rsid w:val="001671D9"/>
    <w:rsid w:val="00167383"/>
    <w:rsid w:val="0016768D"/>
    <w:rsid w:val="001701B5"/>
    <w:rsid w:val="0017038B"/>
    <w:rsid w:val="00170436"/>
    <w:rsid w:val="001704F3"/>
    <w:rsid w:val="00170B2A"/>
    <w:rsid w:val="00170D74"/>
    <w:rsid w:val="00171065"/>
    <w:rsid w:val="00171117"/>
    <w:rsid w:val="00171599"/>
    <w:rsid w:val="00171DA3"/>
    <w:rsid w:val="00172029"/>
    <w:rsid w:val="001720E1"/>
    <w:rsid w:val="00172106"/>
    <w:rsid w:val="00172704"/>
    <w:rsid w:val="00172984"/>
    <w:rsid w:val="00173D57"/>
    <w:rsid w:val="001741A2"/>
    <w:rsid w:val="001744FC"/>
    <w:rsid w:val="00174C16"/>
    <w:rsid w:val="00174C77"/>
    <w:rsid w:val="00174D8D"/>
    <w:rsid w:val="0017507B"/>
    <w:rsid w:val="001750FC"/>
    <w:rsid w:val="0017545C"/>
    <w:rsid w:val="00175553"/>
    <w:rsid w:val="001755AD"/>
    <w:rsid w:val="00175692"/>
    <w:rsid w:val="0017578B"/>
    <w:rsid w:val="00175F60"/>
    <w:rsid w:val="001761C8"/>
    <w:rsid w:val="001764A1"/>
    <w:rsid w:val="001766F1"/>
    <w:rsid w:val="001768E5"/>
    <w:rsid w:val="00177B72"/>
    <w:rsid w:val="001800CB"/>
    <w:rsid w:val="0018013D"/>
    <w:rsid w:val="00180162"/>
    <w:rsid w:val="001804BD"/>
    <w:rsid w:val="0018051D"/>
    <w:rsid w:val="001811AB"/>
    <w:rsid w:val="00181507"/>
    <w:rsid w:val="001816F2"/>
    <w:rsid w:val="00181B8E"/>
    <w:rsid w:val="001822F6"/>
    <w:rsid w:val="00183183"/>
    <w:rsid w:val="00183239"/>
    <w:rsid w:val="00183357"/>
    <w:rsid w:val="00183549"/>
    <w:rsid w:val="001838B1"/>
    <w:rsid w:val="0018409F"/>
    <w:rsid w:val="00184421"/>
    <w:rsid w:val="001845FD"/>
    <w:rsid w:val="00184F4B"/>
    <w:rsid w:val="001864D4"/>
    <w:rsid w:val="00186684"/>
    <w:rsid w:val="00186DFA"/>
    <w:rsid w:val="00187229"/>
    <w:rsid w:val="00187B9B"/>
    <w:rsid w:val="00187FD6"/>
    <w:rsid w:val="0019137F"/>
    <w:rsid w:val="001919C1"/>
    <w:rsid w:val="001923BB"/>
    <w:rsid w:val="001924EC"/>
    <w:rsid w:val="00192584"/>
    <w:rsid w:val="00192896"/>
    <w:rsid w:val="00192AEC"/>
    <w:rsid w:val="00193C22"/>
    <w:rsid w:val="00193FDE"/>
    <w:rsid w:val="001941F9"/>
    <w:rsid w:val="00195C68"/>
    <w:rsid w:val="00195C71"/>
    <w:rsid w:val="001960F7"/>
    <w:rsid w:val="0019685E"/>
    <w:rsid w:val="00196DA7"/>
    <w:rsid w:val="00196EBF"/>
    <w:rsid w:val="0019792E"/>
    <w:rsid w:val="001A06E1"/>
    <w:rsid w:val="001A0D07"/>
    <w:rsid w:val="001A0DC5"/>
    <w:rsid w:val="001A1089"/>
    <w:rsid w:val="001A10C1"/>
    <w:rsid w:val="001A11B0"/>
    <w:rsid w:val="001A21D6"/>
    <w:rsid w:val="001A239E"/>
    <w:rsid w:val="001A2AFC"/>
    <w:rsid w:val="001A3136"/>
    <w:rsid w:val="001A3449"/>
    <w:rsid w:val="001A34B7"/>
    <w:rsid w:val="001A3610"/>
    <w:rsid w:val="001A385F"/>
    <w:rsid w:val="001A3EEE"/>
    <w:rsid w:val="001A450B"/>
    <w:rsid w:val="001A4949"/>
    <w:rsid w:val="001A4B93"/>
    <w:rsid w:val="001A4F64"/>
    <w:rsid w:val="001A5335"/>
    <w:rsid w:val="001A54B0"/>
    <w:rsid w:val="001A5800"/>
    <w:rsid w:val="001A6403"/>
    <w:rsid w:val="001A6DE5"/>
    <w:rsid w:val="001A6E1A"/>
    <w:rsid w:val="001A7535"/>
    <w:rsid w:val="001A75C7"/>
    <w:rsid w:val="001A76A1"/>
    <w:rsid w:val="001A7805"/>
    <w:rsid w:val="001A7AA1"/>
    <w:rsid w:val="001B00D9"/>
    <w:rsid w:val="001B0139"/>
    <w:rsid w:val="001B017B"/>
    <w:rsid w:val="001B023D"/>
    <w:rsid w:val="001B042C"/>
    <w:rsid w:val="001B06EC"/>
    <w:rsid w:val="001B0794"/>
    <w:rsid w:val="001B0D4C"/>
    <w:rsid w:val="001B1757"/>
    <w:rsid w:val="001B2006"/>
    <w:rsid w:val="001B26FB"/>
    <w:rsid w:val="001B2A1F"/>
    <w:rsid w:val="001B2A52"/>
    <w:rsid w:val="001B32BB"/>
    <w:rsid w:val="001B3346"/>
    <w:rsid w:val="001B36E9"/>
    <w:rsid w:val="001B3E3E"/>
    <w:rsid w:val="001B3FFD"/>
    <w:rsid w:val="001B41A9"/>
    <w:rsid w:val="001B4295"/>
    <w:rsid w:val="001B562E"/>
    <w:rsid w:val="001B5C91"/>
    <w:rsid w:val="001B60CC"/>
    <w:rsid w:val="001B616C"/>
    <w:rsid w:val="001B623F"/>
    <w:rsid w:val="001B6454"/>
    <w:rsid w:val="001B64F3"/>
    <w:rsid w:val="001B6D3F"/>
    <w:rsid w:val="001B70A8"/>
    <w:rsid w:val="001B729E"/>
    <w:rsid w:val="001C0A3A"/>
    <w:rsid w:val="001C0D8E"/>
    <w:rsid w:val="001C0E11"/>
    <w:rsid w:val="001C15E2"/>
    <w:rsid w:val="001C15FE"/>
    <w:rsid w:val="001C1768"/>
    <w:rsid w:val="001C1A92"/>
    <w:rsid w:val="001C1FE2"/>
    <w:rsid w:val="001C24A8"/>
    <w:rsid w:val="001C2C0F"/>
    <w:rsid w:val="001C2DF7"/>
    <w:rsid w:val="001C3305"/>
    <w:rsid w:val="001C3724"/>
    <w:rsid w:val="001C3C0F"/>
    <w:rsid w:val="001C3C41"/>
    <w:rsid w:val="001C4051"/>
    <w:rsid w:val="001C40E5"/>
    <w:rsid w:val="001C4C59"/>
    <w:rsid w:val="001C50E3"/>
    <w:rsid w:val="001C5D06"/>
    <w:rsid w:val="001C666C"/>
    <w:rsid w:val="001C6764"/>
    <w:rsid w:val="001C67BB"/>
    <w:rsid w:val="001C68A1"/>
    <w:rsid w:val="001C6CA1"/>
    <w:rsid w:val="001C7537"/>
    <w:rsid w:val="001D010F"/>
    <w:rsid w:val="001D03B1"/>
    <w:rsid w:val="001D0837"/>
    <w:rsid w:val="001D09D9"/>
    <w:rsid w:val="001D106F"/>
    <w:rsid w:val="001D11D7"/>
    <w:rsid w:val="001D1491"/>
    <w:rsid w:val="001D1F88"/>
    <w:rsid w:val="001D214C"/>
    <w:rsid w:val="001D25DE"/>
    <w:rsid w:val="001D3672"/>
    <w:rsid w:val="001D382F"/>
    <w:rsid w:val="001D3C0C"/>
    <w:rsid w:val="001D410D"/>
    <w:rsid w:val="001D478E"/>
    <w:rsid w:val="001D4E85"/>
    <w:rsid w:val="001D52D3"/>
    <w:rsid w:val="001D53A5"/>
    <w:rsid w:val="001D5834"/>
    <w:rsid w:val="001D598B"/>
    <w:rsid w:val="001D5C7E"/>
    <w:rsid w:val="001D5D01"/>
    <w:rsid w:val="001D61BD"/>
    <w:rsid w:val="001D6804"/>
    <w:rsid w:val="001D6EC5"/>
    <w:rsid w:val="001D7338"/>
    <w:rsid w:val="001E0876"/>
    <w:rsid w:val="001E11C2"/>
    <w:rsid w:val="001E11D4"/>
    <w:rsid w:val="001E2504"/>
    <w:rsid w:val="001E2D1D"/>
    <w:rsid w:val="001E342B"/>
    <w:rsid w:val="001E4788"/>
    <w:rsid w:val="001E4B9D"/>
    <w:rsid w:val="001E5210"/>
    <w:rsid w:val="001E5559"/>
    <w:rsid w:val="001E67D7"/>
    <w:rsid w:val="001E6C73"/>
    <w:rsid w:val="001E6FC9"/>
    <w:rsid w:val="001E7654"/>
    <w:rsid w:val="001F0364"/>
    <w:rsid w:val="001F0865"/>
    <w:rsid w:val="001F0C8A"/>
    <w:rsid w:val="001F0FED"/>
    <w:rsid w:val="001F137E"/>
    <w:rsid w:val="001F2038"/>
    <w:rsid w:val="001F2301"/>
    <w:rsid w:val="001F2553"/>
    <w:rsid w:val="001F25A0"/>
    <w:rsid w:val="001F3237"/>
    <w:rsid w:val="001F3384"/>
    <w:rsid w:val="001F396F"/>
    <w:rsid w:val="001F3AFB"/>
    <w:rsid w:val="001F3B24"/>
    <w:rsid w:val="001F40E0"/>
    <w:rsid w:val="001F4C7A"/>
    <w:rsid w:val="001F4C8C"/>
    <w:rsid w:val="001F5195"/>
    <w:rsid w:val="001F53AF"/>
    <w:rsid w:val="001F616D"/>
    <w:rsid w:val="001F6170"/>
    <w:rsid w:val="001F62DF"/>
    <w:rsid w:val="001F69CB"/>
    <w:rsid w:val="001F6A78"/>
    <w:rsid w:val="001F6C7B"/>
    <w:rsid w:val="001F7393"/>
    <w:rsid w:val="001F766F"/>
    <w:rsid w:val="001F7C88"/>
    <w:rsid w:val="001F7DA5"/>
    <w:rsid w:val="002000EA"/>
    <w:rsid w:val="002007E1"/>
    <w:rsid w:val="00200D26"/>
    <w:rsid w:val="00200FA8"/>
    <w:rsid w:val="0020137C"/>
    <w:rsid w:val="0020153C"/>
    <w:rsid w:val="00201FC6"/>
    <w:rsid w:val="00202533"/>
    <w:rsid w:val="00202A48"/>
    <w:rsid w:val="00203106"/>
    <w:rsid w:val="002038B6"/>
    <w:rsid w:val="00203A71"/>
    <w:rsid w:val="00203F63"/>
    <w:rsid w:val="00203FD7"/>
    <w:rsid w:val="00204B11"/>
    <w:rsid w:val="00204DC9"/>
    <w:rsid w:val="002051F0"/>
    <w:rsid w:val="00205234"/>
    <w:rsid w:val="002052A0"/>
    <w:rsid w:val="00205795"/>
    <w:rsid w:val="00205B4C"/>
    <w:rsid w:val="00206020"/>
    <w:rsid w:val="002066D8"/>
    <w:rsid w:val="00206D7E"/>
    <w:rsid w:val="00206F0F"/>
    <w:rsid w:val="0020760A"/>
    <w:rsid w:val="002076EA"/>
    <w:rsid w:val="00207927"/>
    <w:rsid w:val="00207CCE"/>
    <w:rsid w:val="00207DD9"/>
    <w:rsid w:val="00210351"/>
    <w:rsid w:val="0021043F"/>
    <w:rsid w:val="002104A4"/>
    <w:rsid w:val="00210546"/>
    <w:rsid w:val="00210821"/>
    <w:rsid w:val="00210DBA"/>
    <w:rsid w:val="002110E1"/>
    <w:rsid w:val="0021120D"/>
    <w:rsid w:val="00211499"/>
    <w:rsid w:val="00211885"/>
    <w:rsid w:val="002123AF"/>
    <w:rsid w:val="00212494"/>
    <w:rsid w:val="00212512"/>
    <w:rsid w:val="00212D53"/>
    <w:rsid w:val="00212D71"/>
    <w:rsid w:val="00212E4F"/>
    <w:rsid w:val="0021381A"/>
    <w:rsid w:val="00213955"/>
    <w:rsid w:val="002139D5"/>
    <w:rsid w:val="00213D28"/>
    <w:rsid w:val="00213FAD"/>
    <w:rsid w:val="00214412"/>
    <w:rsid w:val="00214504"/>
    <w:rsid w:val="00214722"/>
    <w:rsid w:val="00214D19"/>
    <w:rsid w:val="00214EFD"/>
    <w:rsid w:val="00214FD9"/>
    <w:rsid w:val="002154AC"/>
    <w:rsid w:val="0021569C"/>
    <w:rsid w:val="00216291"/>
    <w:rsid w:val="00217386"/>
    <w:rsid w:val="002173DC"/>
    <w:rsid w:val="00217849"/>
    <w:rsid w:val="00217FCC"/>
    <w:rsid w:val="002206CB"/>
    <w:rsid w:val="00220CD4"/>
    <w:rsid w:val="00221137"/>
    <w:rsid w:val="0022127A"/>
    <w:rsid w:val="0022133D"/>
    <w:rsid w:val="002213FA"/>
    <w:rsid w:val="0022148A"/>
    <w:rsid w:val="00221A08"/>
    <w:rsid w:val="00221AF7"/>
    <w:rsid w:val="00221B60"/>
    <w:rsid w:val="0022293E"/>
    <w:rsid w:val="0022347B"/>
    <w:rsid w:val="00223652"/>
    <w:rsid w:val="00223963"/>
    <w:rsid w:val="002239B9"/>
    <w:rsid w:val="00223E0B"/>
    <w:rsid w:val="002240BA"/>
    <w:rsid w:val="00224B8F"/>
    <w:rsid w:val="00224C92"/>
    <w:rsid w:val="00225947"/>
    <w:rsid w:val="00225A6A"/>
    <w:rsid w:val="00225EB9"/>
    <w:rsid w:val="00225F82"/>
    <w:rsid w:val="00226B9C"/>
    <w:rsid w:val="002274A1"/>
    <w:rsid w:val="002275B0"/>
    <w:rsid w:val="0022795E"/>
    <w:rsid w:val="00227AA5"/>
    <w:rsid w:val="00227EAB"/>
    <w:rsid w:val="002302B2"/>
    <w:rsid w:val="002303C7"/>
    <w:rsid w:val="00230ACA"/>
    <w:rsid w:val="00230CFD"/>
    <w:rsid w:val="00230F34"/>
    <w:rsid w:val="00231624"/>
    <w:rsid w:val="00231FA7"/>
    <w:rsid w:val="00232418"/>
    <w:rsid w:val="00232637"/>
    <w:rsid w:val="00232864"/>
    <w:rsid w:val="00232AFF"/>
    <w:rsid w:val="00232C1E"/>
    <w:rsid w:val="00233674"/>
    <w:rsid w:val="00233996"/>
    <w:rsid w:val="00233B8C"/>
    <w:rsid w:val="00233BCA"/>
    <w:rsid w:val="00233BCB"/>
    <w:rsid w:val="00234008"/>
    <w:rsid w:val="002348C4"/>
    <w:rsid w:val="002349B8"/>
    <w:rsid w:val="00234CF6"/>
    <w:rsid w:val="00234F88"/>
    <w:rsid w:val="00235A12"/>
    <w:rsid w:val="00235D7E"/>
    <w:rsid w:val="00235E1E"/>
    <w:rsid w:val="00236049"/>
    <w:rsid w:val="002366D1"/>
    <w:rsid w:val="00236F0A"/>
    <w:rsid w:val="00237486"/>
    <w:rsid w:val="00237564"/>
    <w:rsid w:val="0023776C"/>
    <w:rsid w:val="00237DC7"/>
    <w:rsid w:val="00240093"/>
    <w:rsid w:val="002407BA"/>
    <w:rsid w:val="002413D5"/>
    <w:rsid w:val="0024160D"/>
    <w:rsid w:val="00241CFA"/>
    <w:rsid w:val="00241FA4"/>
    <w:rsid w:val="00242D69"/>
    <w:rsid w:val="00243680"/>
    <w:rsid w:val="00243B6F"/>
    <w:rsid w:val="0024439B"/>
    <w:rsid w:val="00244B5E"/>
    <w:rsid w:val="0024555A"/>
    <w:rsid w:val="002455E0"/>
    <w:rsid w:val="002456FD"/>
    <w:rsid w:val="0024708A"/>
    <w:rsid w:val="0024731B"/>
    <w:rsid w:val="002473FA"/>
    <w:rsid w:val="00247569"/>
    <w:rsid w:val="00250225"/>
    <w:rsid w:val="00250647"/>
    <w:rsid w:val="0025073D"/>
    <w:rsid w:val="00250CE1"/>
    <w:rsid w:val="00250F9A"/>
    <w:rsid w:val="002511E2"/>
    <w:rsid w:val="0025135D"/>
    <w:rsid w:val="00252150"/>
    <w:rsid w:val="002525ED"/>
    <w:rsid w:val="00252752"/>
    <w:rsid w:val="00253584"/>
    <w:rsid w:val="002536AC"/>
    <w:rsid w:val="00253D91"/>
    <w:rsid w:val="00254270"/>
    <w:rsid w:val="00255C0B"/>
    <w:rsid w:val="002561D7"/>
    <w:rsid w:val="00256833"/>
    <w:rsid w:val="00256B6D"/>
    <w:rsid w:val="002573DD"/>
    <w:rsid w:val="00257413"/>
    <w:rsid w:val="002574A1"/>
    <w:rsid w:val="00257C6D"/>
    <w:rsid w:val="00260308"/>
    <w:rsid w:val="002605F5"/>
    <w:rsid w:val="00260715"/>
    <w:rsid w:val="0026099A"/>
    <w:rsid w:val="00260D7C"/>
    <w:rsid w:val="00261711"/>
    <w:rsid w:val="002619BD"/>
    <w:rsid w:val="00262150"/>
    <w:rsid w:val="002625A5"/>
    <w:rsid w:val="00262BE6"/>
    <w:rsid w:val="00262C73"/>
    <w:rsid w:val="0026359D"/>
    <w:rsid w:val="0026371C"/>
    <w:rsid w:val="00263A76"/>
    <w:rsid w:val="00263B6C"/>
    <w:rsid w:val="00263CCD"/>
    <w:rsid w:val="00264674"/>
    <w:rsid w:val="002647BD"/>
    <w:rsid w:val="00264F25"/>
    <w:rsid w:val="00265415"/>
    <w:rsid w:val="002654E8"/>
    <w:rsid w:val="002657D6"/>
    <w:rsid w:val="002657DF"/>
    <w:rsid w:val="00265A69"/>
    <w:rsid w:val="00265BC8"/>
    <w:rsid w:val="00265F4E"/>
    <w:rsid w:val="0026673A"/>
    <w:rsid w:val="00266A28"/>
    <w:rsid w:val="00266AB8"/>
    <w:rsid w:val="00267135"/>
    <w:rsid w:val="00267C3D"/>
    <w:rsid w:val="00270702"/>
    <w:rsid w:val="00270B49"/>
    <w:rsid w:val="00270B56"/>
    <w:rsid w:val="00270D86"/>
    <w:rsid w:val="00270E4F"/>
    <w:rsid w:val="00270EAB"/>
    <w:rsid w:val="00270FAB"/>
    <w:rsid w:val="002711FD"/>
    <w:rsid w:val="00271CF2"/>
    <w:rsid w:val="00272650"/>
    <w:rsid w:val="00272F72"/>
    <w:rsid w:val="00273399"/>
    <w:rsid w:val="00273E81"/>
    <w:rsid w:val="002744DA"/>
    <w:rsid w:val="002744DC"/>
    <w:rsid w:val="0027467E"/>
    <w:rsid w:val="0027492E"/>
    <w:rsid w:val="00274B10"/>
    <w:rsid w:val="0027545A"/>
    <w:rsid w:val="0027565E"/>
    <w:rsid w:val="002758A1"/>
    <w:rsid w:val="002758F9"/>
    <w:rsid w:val="00275A91"/>
    <w:rsid w:val="00275DD0"/>
    <w:rsid w:val="00275EAD"/>
    <w:rsid w:val="00276341"/>
    <w:rsid w:val="00276955"/>
    <w:rsid w:val="002772DF"/>
    <w:rsid w:val="002773DB"/>
    <w:rsid w:val="002777C3"/>
    <w:rsid w:val="00277DA6"/>
    <w:rsid w:val="00277E83"/>
    <w:rsid w:val="00281BC2"/>
    <w:rsid w:val="00281BD5"/>
    <w:rsid w:val="002827E5"/>
    <w:rsid w:val="00283339"/>
    <w:rsid w:val="002834D3"/>
    <w:rsid w:val="0028366A"/>
    <w:rsid w:val="00283717"/>
    <w:rsid w:val="00283993"/>
    <w:rsid w:val="0028407E"/>
    <w:rsid w:val="0028472A"/>
    <w:rsid w:val="00285547"/>
    <w:rsid w:val="00285679"/>
    <w:rsid w:val="00285A4F"/>
    <w:rsid w:val="00285F78"/>
    <w:rsid w:val="00286172"/>
    <w:rsid w:val="002861A4"/>
    <w:rsid w:val="0028640E"/>
    <w:rsid w:val="0028647A"/>
    <w:rsid w:val="00286763"/>
    <w:rsid w:val="00286840"/>
    <w:rsid w:val="00286A34"/>
    <w:rsid w:val="00286E1B"/>
    <w:rsid w:val="00287069"/>
    <w:rsid w:val="002870F2"/>
    <w:rsid w:val="0028776A"/>
    <w:rsid w:val="002905B1"/>
    <w:rsid w:val="0029073B"/>
    <w:rsid w:val="00290D56"/>
    <w:rsid w:val="00290F05"/>
    <w:rsid w:val="002911C4"/>
    <w:rsid w:val="00291538"/>
    <w:rsid w:val="00291AA1"/>
    <w:rsid w:val="00291ABB"/>
    <w:rsid w:val="00291CB9"/>
    <w:rsid w:val="00292462"/>
    <w:rsid w:val="002924B6"/>
    <w:rsid w:val="00292D68"/>
    <w:rsid w:val="00292DE5"/>
    <w:rsid w:val="0029300D"/>
    <w:rsid w:val="002933F9"/>
    <w:rsid w:val="00293571"/>
    <w:rsid w:val="002936F2"/>
    <w:rsid w:val="00293882"/>
    <w:rsid w:val="002939CB"/>
    <w:rsid w:val="00293A7C"/>
    <w:rsid w:val="0029499A"/>
    <w:rsid w:val="00294E6B"/>
    <w:rsid w:val="0029533B"/>
    <w:rsid w:val="0029596B"/>
    <w:rsid w:val="00295C09"/>
    <w:rsid w:val="00295DE0"/>
    <w:rsid w:val="002960B7"/>
    <w:rsid w:val="00296905"/>
    <w:rsid w:val="00296F11"/>
    <w:rsid w:val="002972E9"/>
    <w:rsid w:val="002979FA"/>
    <w:rsid w:val="00297E9B"/>
    <w:rsid w:val="002A106A"/>
    <w:rsid w:val="002A159F"/>
    <w:rsid w:val="002A1C42"/>
    <w:rsid w:val="002A2386"/>
    <w:rsid w:val="002A286F"/>
    <w:rsid w:val="002A293C"/>
    <w:rsid w:val="002A29D4"/>
    <w:rsid w:val="002A2B92"/>
    <w:rsid w:val="002A301B"/>
    <w:rsid w:val="002A3831"/>
    <w:rsid w:val="002A4667"/>
    <w:rsid w:val="002A4703"/>
    <w:rsid w:val="002A4958"/>
    <w:rsid w:val="002A4AEB"/>
    <w:rsid w:val="002A4B72"/>
    <w:rsid w:val="002A525B"/>
    <w:rsid w:val="002A54FD"/>
    <w:rsid w:val="002A563A"/>
    <w:rsid w:val="002A5B03"/>
    <w:rsid w:val="002A5FD8"/>
    <w:rsid w:val="002A609F"/>
    <w:rsid w:val="002A6229"/>
    <w:rsid w:val="002A632E"/>
    <w:rsid w:val="002A6BA1"/>
    <w:rsid w:val="002A6D9C"/>
    <w:rsid w:val="002A6F5C"/>
    <w:rsid w:val="002A73EF"/>
    <w:rsid w:val="002A7698"/>
    <w:rsid w:val="002A7770"/>
    <w:rsid w:val="002A7848"/>
    <w:rsid w:val="002A7BF1"/>
    <w:rsid w:val="002B031C"/>
    <w:rsid w:val="002B0DA1"/>
    <w:rsid w:val="002B1215"/>
    <w:rsid w:val="002B14C0"/>
    <w:rsid w:val="002B19F8"/>
    <w:rsid w:val="002B1CF7"/>
    <w:rsid w:val="002B2137"/>
    <w:rsid w:val="002B2483"/>
    <w:rsid w:val="002B24AA"/>
    <w:rsid w:val="002B259A"/>
    <w:rsid w:val="002B2901"/>
    <w:rsid w:val="002B2DA0"/>
    <w:rsid w:val="002B3F69"/>
    <w:rsid w:val="002B4408"/>
    <w:rsid w:val="002B49CE"/>
    <w:rsid w:val="002B4DDD"/>
    <w:rsid w:val="002B5262"/>
    <w:rsid w:val="002B572D"/>
    <w:rsid w:val="002B595D"/>
    <w:rsid w:val="002B5A17"/>
    <w:rsid w:val="002B5B10"/>
    <w:rsid w:val="002B616C"/>
    <w:rsid w:val="002B6499"/>
    <w:rsid w:val="002B6CDB"/>
    <w:rsid w:val="002B7500"/>
    <w:rsid w:val="002B75CD"/>
    <w:rsid w:val="002B7EE6"/>
    <w:rsid w:val="002C0ACC"/>
    <w:rsid w:val="002C0C8C"/>
    <w:rsid w:val="002C14AF"/>
    <w:rsid w:val="002C1681"/>
    <w:rsid w:val="002C17FF"/>
    <w:rsid w:val="002C2A7D"/>
    <w:rsid w:val="002C2ABB"/>
    <w:rsid w:val="002C2D21"/>
    <w:rsid w:val="002C3329"/>
    <w:rsid w:val="002C3C3C"/>
    <w:rsid w:val="002C3D34"/>
    <w:rsid w:val="002C4862"/>
    <w:rsid w:val="002C4CAE"/>
    <w:rsid w:val="002C4D8F"/>
    <w:rsid w:val="002C58A4"/>
    <w:rsid w:val="002C58F9"/>
    <w:rsid w:val="002C60FD"/>
    <w:rsid w:val="002C63DE"/>
    <w:rsid w:val="002C7290"/>
    <w:rsid w:val="002C741C"/>
    <w:rsid w:val="002C7440"/>
    <w:rsid w:val="002C7563"/>
    <w:rsid w:val="002C79CB"/>
    <w:rsid w:val="002C7EC5"/>
    <w:rsid w:val="002D00B8"/>
    <w:rsid w:val="002D0E80"/>
    <w:rsid w:val="002D189F"/>
    <w:rsid w:val="002D21B9"/>
    <w:rsid w:val="002D2572"/>
    <w:rsid w:val="002D2DCA"/>
    <w:rsid w:val="002D3359"/>
    <w:rsid w:val="002D36E2"/>
    <w:rsid w:val="002D38A8"/>
    <w:rsid w:val="002D3A6F"/>
    <w:rsid w:val="002D412E"/>
    <w:rsid w:val="002D465C"/>
    <w:rsid w:val="002D4CDE"/>
    <w:rsid w:val="002D4CED"/>
    <w:rsid w:val="002D522B"/>
    <w:rsid w:val="002D5581"/>
    <w:rsid w:val="002D58DC"/>
    <w:rsid w:val="002D5B99"/>
    <w:rsid w:val="002D5E02"/>
    <w:rsid w:val="002D6009"/>
    <w:rsid w:val="002D616D"/>
    <w:rsid w:val="002D6D13"/>
    <w:rsid w:val="002D6E44"/>
    <w:rsid w:val="002D74CE"/>
    <w:rsid w:val="002E003C"/>
    <w:rsid w:val="002E0A37"/>
    <w:rsid w:val="002E13A6"/>
    <w:rsid w:val="002E17A1"/>
    <w:rsid w:val="002E1E10"/>
    <w:rsid w:val="002E1F54"/>
    <w:rsid w:val="002E317C"/>
    <w:rsid w:val="002E318D"/>
    <w:rsid w:val="002E3B82"/>
    <w:rsid w:val="002E3EB7"/>
    <w:rsid w:val="002E496D"/>
    <w:rsid w:val="002E4F53"/>
    <w:rsid w:val="002E541B"/>
    <w:rsid w:val="002E55BC"/>
    <w:rsid w:val="002E67F0"/>
    <w:rsid w:val="002E6B52"/>
    <w:rsid w:val="002E7161"/>
    <w:rsid w:val="002E71C1"/>
    <w:rsid w:val="002E794B"/>
    <w:rsid w:val="002E7991"/>
    <w:rsid w:val="002E7BC9"/>
    <w:rsid w:val="002E7E1D"/>
    <w:rsid w:val="002F0367"/>
    <w:rsid w:val="002F063A"/>
    <w:rsid w:val="002F0CFE"/>
    <w:rsid w:val="002F0F42"/>
    <w:rsid w:val="002F1164"/>
    <w:rsid w:val="002F1A66"/>
    <w:rsid w:val="002F2299"/>
    <w:rsid w:val="002F23B1"/>
    <w:rsid w:val="002F24B9"/>
    <w:rsid w:val="002F2FF8"/>
    <w:rsid w:val="002F3799"/>
    <w:rsid w:val="002F5454"/>
    <w:rsid w:val="002F5701"/>
    <w:rsid w:val="002F5AA6"/>
    <w:rsid w:val="002F5C12"/>
    <w:rsid w:val="002F60FD"/>
    <w:rsid w:val="002F6331"/>
    <w:rsid w:val="002F6C18"/>
    <w:rsid w:val="002F6CD1"/>
    <w:rsid w:val="002F71E5"/>
    <w:rsid w:val="002F7657"/>
    <w:rsid w:val="002F76A9"/>
    <w:rsid w:val="002F7944"/>
    <w:rsid w:val="002F7C61"/>
    <w:rsid w:val="002F7E2C"/>
    <w:rsid w:val="003006EF"/>
    <w:rsid w:val="0030144C"/>
    <w:rsid w:val="003015E0"/>
    <w:rsid w:val="003017AF"/>
    <w:rsid w:val="00302108"/>
    <w:rsid w:val="003025AF"/>
    <w:rsid w:val="00302B3F"/>
    <w:rsid w:val="00302F52"/>
    <w:rsid w:val="00303449"/>
    <w:rsid w:val="003034A0"/>
    <w:rsid w:val="00303784"/>
    <w:rsid w:val="00304024"/>
    <w:rsid w:val="003040ED"/>
    <w:rsid w:val="00304DAB"/>
    <w:rsid w:val="003053B2"/>
    <w:rsid w:val="00305F88"/>
    <w:rsid w:val="003062EE"/>
    <w:rsid w:val="00306566"/>
    <w:rsid w:val="00306C40"/>
    <w:rsid w:val="00306E76"/>
    <w:rsid w:val="00307409"/>
    <w:rsid w:val="0030744A"/>
    <w:rsid w:val="00307809"/>
    <w:rsid w:val="00307FC7"/>
    <w:rsid w:val="00310440"/>
    <w:rsid w:val="003105BE"/>
    <w:rsid w:val="00310E4E"/>
    <w:rsid w:val="003110AC"/>
    <w:rsid w:val="00311D5E"/>
    <w:rsid w:val="003135F5"/>
    <w:rsid w:val="00313676"/>
    <w:rsid w:val="00313E1B"/>
    <w:rsid w:val="003143A2"/>
    <w:rsid w:val="00314969"/>
    <w:rsid w:val="00314B42"/>
    <w:rsid w:val="00314F65"/>
    <w:rsid w:val="00315150"/>
    <w:rsid w:val="00315C6F"/>
    <w:rsid w:val="0031746F"/>
    <w:rsid w:val="00317932"/>
    <w:rsid w:val="00317B1A"/>
    <w:rsid w:val="00317E0E"/>
    <w:rsid w:val="0032071D"/>
    <w:rsid w:val="003207EB"/>
    <w:rsid w:val="00320CA7"/>
    <w:rsid w:val="003217F8"/>
    <w:rsid w:val="00321B92"/>
    <w:rsid w:val="00322111"/>
    <w:rsid w:val="0032212B"/>
    <w:rsid w:val="00322447"/>
    <w:rsid w:val="0032254D"/>
    <w:rsid w:val="00322766"/>
    <w:rsid w:val="003227EF"/>
    <w:rsid w:val="00322BB5"/>
    <w:rsid w:val="00322BF1"/>
    <w:rsid w:val="0032318C"/>
    <w:rsid w:val="003236A6"/>
    <w:rsid w:val="00323C47"/>
    <w:rsid w:val="0032404D"/>
    <w:rsid w:val="0032437B"/>
    <w:rsid w:val="00324460"/>
    <w:rsid w:val="0032463A"/>
    <w:rsid w:val="00324E86"/>
    <w:rsid w:val="00326106"/>
    <w:rsid w:val="003261F9"/>
    <w:rsid w:val="003263FE"/>
    <w:rsid w:val="0032645E"/>
    <w:rsid w:val="00326827"/>
    <w:rsid w:val="0032688E"/>
    <w:rsid w:val="00326B10"/>
    <w:rsid w:val="0032703E"/>
    <w:rsid w:val="003274B7"/>
    <w:rsid w:val="003276E4"/>
    <w:rsid w:val="00327ABF"/>
    <w:rsid w:val="00327D44"/>
    <w:rsid w:val="00330016"/>
    <w:rsid w:val="003301FA"/>
    <w:rsid w:val="00330C17"/>
    <w:rsid w:val="00331403"/>
    <w:rsid w:val="003315AB"/>
    <w:rsid w:val="0033161A"/>
    <w:rsid w:val="0033174D"/>
    <w:rsid w:val="003319B6"/>
    <w:rsid w:val="00331AA7"/>
    <w:rsid w:val="00331EA0"/>
    <w:rsid w:val="00332009"/>
    <w:rsid w:val="00332A1D"/>
    <w:rsid w:val="00332AA3"/>
    <w:rsid w:val="00332D47"/>
    <w:rsid w:val="00332E48"/>
    <w:rsid w:val="00333151"/>
    <w:rsid w:val="00333A5C"/>
    <w:rsid w:val="00333C09"/>
    <w:rsid w:val="00333DF8"/>
    <w:rsid w:val="003347C6"/>
    <w:rsid w:val="003348BC"/>
    <w:rsid w:val="003348DF"/>
    <w:rsid w:val="0033499A"/>
    <w:rsid w:val="00334D25"/>
    <w:rsid w:val="00334D40"/>
    <w:rsid w:val="0033525B"/>
    <w:rsid w:val="00335923"/>
    <w:rsid w:val="00335EAC"/>
    <w:rsid w:val="00336074"/>
    <w:rsid w:val="00336401"/>
    <w:rsid w:val="003365A8"/>
    <w:rsid w:val="003369E4"/>
    <w:rsid w:val="00337638"/>
    <w:rsid w:val="0034169C"/>
    <w:rsid w:val="00341938"/>
    <w:rsid w:val="00341E2D"/>
    <w:rsid w:val="00342368"/>
    <w:rsid w:val="0034286B"/>
    <w:rsid w:val="00342C88"/>
    <w:rsid w:val="00342EE6"/>
    <w:rsid w:val="00342FC9"/>
    <w:rsid w:val="003430CC"/>
    <w:rsid w:val="00343673"/>
    <w:rsid w:val="00343752"/>
    <w:rsid w:val="00343BF5"/>
    <w:rsid w:val="003443B9"/>
    <w:rsid w:val="003445E4"/>
    <w:rsid w:val="00344904"/>
    <w:rsid w:val="00344DBA"/>
    <w:rsid w:val="003451B7"/>
    <w:rsid w:val="00345284"/>
    <w:rsid w:val="0034592A"/>
    <w:rsid w:val="00345F59"/>
    <w:rsid w:val="00346236"/>
    <w:rsid w:val="00346E79"/>
    <w:rsid w:val="00347049"/>
    <w:rsid w:val="00347299"/>
    <w:rsid w:val="00347B08"/>
    <w:rsid w:val="0035070D"/>
    <w:rsid w:val="00350811"/>
    <w:rsid w:val="00350978"/>
    <w:rsid w:val="00350DF7"/>
    <w:rsid w:val="0035165B"/>
    <w:rsid w:val="00351AF6"/>
    <w:rsid w:val="00352655"/>
    <w:rsid w:val="003527DB"/>
    <w:rsid w:val="00352970"/>
    <w:rsid w:val="00352EDB"/>
    <w:rsid w:val="00352FBE"/>
    <w:rsid w:val="00353230"/>
    <w:rsid w:val="003541BA"/>
    <w:rsid w:val="003545FF"/>
    <w:rsid w:val="0035461A"/>
    <w:rsid w:val="003548C7"/>
    <w:rsid w:val="00354D56"/>
    <w:rsid w:val="00355E71"/>
    <w:rsid w:val="00356437"/>
    <w:rsid w:val="00356471"/>
    <w:rsid w:val="003565EA"/>
    <w:rsid w:val="00356BAA"/>
    <w:rsid w:val="00356BE0"/>
    <w:rsid w:val="003571C7"/>
    <w:rsid w:val="003575E5"/>
    <w:rsid w:val="0036085A"/>
    <w:rsid w:val="00360E38"/>
    <w:rsid w:val="00361DBC"/>
    <w:rsid w:val="00361E71"/>
    <w:rsid w:val="0036276E"/>
    <w:rsid w:val="00362A94"/>
    <w:rsid w:val="00362B82"/>
    <w:rsid w:val="00362CCF"/>
    <w:rsid w:val="003635EE"/>
    <w:rsid w:val="003637B8"/>
    <w:rsid w:val="003637F0"/>
    <w:rsid w:val="0036434C"/>
    <w:rsid w:val="00364448"/>
    <w:rsid w:val="00364DEB"/>
    <w:rsid w:val="00364FCF"/>
    <w:rsid w:val="0036538C"/>
    <w:rsid w:val="00365F4F"/>
    <w:rsid w:val="00366246"/>
    <w:rsid w:val="003663F4"/>
    <w:rsid w:val="0036652D"/>
    <w:rsid w:val="00366769"/>
    <w:rsid w:val="00366C5D"/>
    <w:rsid w:val="00366ED2"/>
    <w:rsid w:val="00367110"/>
    <w:rsid w:val="00367DB1"/>
    <w:rsid w:val="00367F72"/>
    <w:rsid w:val="0037004F"/>
    <w:rsid w:val="003701CE"/>
    <w:rsid w:val="0037065A"/>
    <w:rsid w:val="003707FF"/>
    <w:rsid w:val="0037097D"/>
    <w:rsid w:val="00371853"/>
    <w:rsid w:val="00371976"/>
    <w:rsid w:val="00371AAE"/>
    <w:rsid w:val="00371D45"/>
    <w:rsid w:val="003722D4"/>
    <w:rsid w:val="003724D1"/>
    <w:rsid w:val="00372682"/>
    <w:rsid w:val="00372969"/>
    <w:rsid w:val="00372B13"/>
    <w:rsid w:val="00372C7B"/>
    <w:rsid w:val="003730DA"/>
    <w:rsid w:val="00373262"/>
    <w:rsid w:val="003733AE"/>
    <w:rsid w:val="00373B29"/>
    <w:rsid w:val="003740B7"/>
    <w:rsid w:val="0037413D"/>
    <w:rsid w:val="00374AF2"/>
    <w:rsid w:val="00374D47"/>
    <w:rsid w:val="00374DF7"/>
    <w:rsid w:val="00375880"/>
    <w:rsid w:val="00375D43"/>
    <w:rsid w:val="00376D8D"/>
    <w:rsid w:val="003779EB"/>
    <w:rsid w:val="00377C31"/>
    <w:rsid w:val="00377D1F"/>
    <w:rsid w:val="00377DA5"/>
    <w:rsid w:val="003804C4"/>
    <w:rsid w:val="00380D06"/>
    <w:rsid w:val="00381019"/>
    <w:rsid w:val="003818F2"/>
    <w:rsid w:val="00381A04"/>
    <w:rsid w:val="00381AC1"/>
    <w:rsid w:val="00381E19"/>
    <w:rsid w:val="0038250D"/>
    <w:rsid w:val="0038251C"/>
    <w:rsid w:val="0038254A"/>
    <w:rsid w:val="003825B6"/>
    <w:rsid w:val="00382A82"/>
    <w:rsid w:val="0038306E"/>
    <w:rsid w:val="00383572"/>
    <w:rsid w:val="00383751"/>
    <w:rsid w:val="00383FB9"/>
    <w:rsid w:val="0038445C"/>
    <w:rsid w:val="00384504"/>
    <w:rsid w:val="003845D3"/>
    <w:rsid w:val="0038485E"/>
    <w:rsid w:val="00384987"/>
    <w:rsid w:val="00384AFB"/>
    <w:rsid w:val="00384B0A"/>
    <w:rsid w:val="00384C2B"/>
    <w:rsid w:val="00384DBE"/>
    <w:rsid w:val="003854AC"/>
    <w:rsid w:val="00385B45"/>
    <w:rsid w:val="00385E08"/>
    <w:rsid w:val="00386626"/>
    <w:rsid w:val="0038684C"/>
    <w:rsid w:val="0038686E"/>
    <w:rsid w:val="00386E2D"/>
    <w:rsid w:val="003871F9"/>
    <w:rsid w:val="0039015E"/>
    <w:rsid w:val="00390170"/>
    <w:rsid w:val="00391424"/>
    <w:rsid w:val="00391932"/>
    <w:rsid w:val="0039207F"/>
    <w:rsid w:val="003920EF"/>
    <w:rsid w:val="003924D6"/>
    <w:rsid w:val="00392799"/>
    <w:rsid w:val="00392A7A"/>
    <w:rsid w:val="003931EB"/>
    <w:rsid w:val="00393B37"/>
    <w:rsid w:val="00394A46"/>
    <w:rsid w:val="00394B9E"/>
    <w:rsid w:val="00394F4B"/>
    <w:rsid w:val="00395104"/>
    <w:rsid w:val="00395732"/>
    <w:rsid w:val="0039595E"/>
    <w:rsid w:val="00395B36"/>
    <w:rsid w:val="00395F8B"/>
    <w:rsid w:val="00396306"/>
    <w:rsid w:val="00396D14"/>
    <w:rsid w:val="00396FC5"/>
    <w:rsid w:val="003972C5"/>
    <w:rsid w:val="00397F0C"/>
    <w:rsid w:val="003A1128"/>
    <w:rsid w:val="003A1749"/>
    <w:rsid w:val="003A1D38"/>
    <w:rsid w:val="003A1DC6"/>
    <w:rsid w:val="003A25BC"/>
    <w:rsid w:val="003A4299"/>
    <w:rsid w:val="003A4379"/>
    <w:rsid w:val="003A439D"/>
    <w:rsid w:val="003A46FB"/>
    <w:rsid w:val="003A56BC"/>
    <w:rsid w:val="003A57C3"/>
    <w:rsid w:val="003A6AF3"/>
    <w:rsid w:val="003A6CEA"/>
    <w:rsid w:val="003A6D33"/>
    <w:rsid w:val="003A7131"/>
    <w:rsid w:val="003A7687"/>
    <w:rsid w:val="003B0181"/>
    <w:rsid w:val="003B03C6"/>
    <w:rsid w:val="003B068C"/>
    <w:rsid w:val="003B06CC"/>
    <w:rsid w:val="003B0F4F"/>
    <w:rsid w:val="003B11D5"/>
    <w:rsid w:val="003B1AEE"/>
    <w:rsid w:val="003B1DF4"/>
    <w:rsid w:val="003B21BD"/>
    <w:rsid w:val="003B25D8"/>
    <w:rsid w:val="003B2A5D"/>
    <w:rsid w:val="003B32C1"/>
    <w:rsid w:val="003B3E3C"/>
    <w:rsid w:val="003B4C2A"/>
    <w:rsid w:val="003B4CEE"/>
    <w:rsid w:val="003B53A8"/>
    <w:rsid w:val="003B574A"/>
    <w:rsid w:val="003B5A61"/>
    <w:rsid w:val="003B685D"/>
    <w:rsid w:val="003B7639"/>
    <w:rsid w:val="003B7949"/>
    <w:rsid w:val="003B7C5F"/>
    <w:rsid w:val="003C070D"/>
    <w:rsid w:val="003C09D1"/>
    <w:rsid w:val="003C0ACB"/>
    <w:rsid w:val="003C0DB3"/>
    <w:rsid w:val="003C0F39"/>
    <w:rsid w:val="003C1705"/>
    <w:rsid w:val="003C1A12"/>
    <w:rsid w:val="003C2D3F"/>
    <w:rsid w:val="003C3B79"/>
    <w:rsid w:val="003C3C10"/>
    <w:rsid w:val="003C3D12"/>
    <w:rsid w:val="003C3F6E"/>
    <w:rsid w:val="003C407D"/>
    <w:rsid w:val="003C4525"/>
    <w:rsid w:val="003C4656"/>
    <w:rsid w:val="003C4839"/>
    <w:rsid w:val="003C48CC"/>
    <w:rsid w:val="003C510C"/>
    <w:rsid w:val="003C51A3"/>
    <w:rsid w:val="003C58F5"/>
    <w:rsid w:val="003C5E71"/>
    <w:rsid w:val="003C5F78"/>
    <w:rsid w:val="003C61E2"/>
    <w:rsid w:val="003C6279"/>
    <w:rsid w:val="003C6837"/>
    <w:rsid w:val="003C6D9F"/>
    <w:rsid w:val="003C72D4"/>
    <w:rsid w:val="003D0080"/>
    <w:rsid w:val="003D024E"/>
    <w:rsid w:val="003D0980"/>
    <w:rsid w:val="003D0A73"/>
    <w:rsid w:val="003D0E2D"/>
    <w:rsid w:val="003D146C"/>
    <w:rsid w:val="003D1EBC"/>
    <w:rsid w:val="003D2230"/>
    <w:rsid w:val="003D2ADC"/>
    <w:rsid w:val="003D2C55"/>
    <w:rsid w:val="003D2C58"/>
    <w:rsid w:val="003D321B"/>
    <w:rsid w:val="003D34C5"/>
    <w:rsid w:val="003D3574"/>
    <w:rsid w:val="003D38D2"/>
    <w:rsid w:val="003D39D2"/>
    <w:rsid w:val="003D3CA8"/>
    <w:rsid w:val="003D428C"/>
    <w:rsid w:val="003D42E4"/>
    <w:rsid w:val="003D43CD"/>
    <w:rsid w:val="003D446F"/>
    <w:rsid w:val="003D46D1"/>
    <w:rsid w:val="003D4DAE"/>
    <w:rsid w:val="003D5A5F"/>
    <w:rsid w:val="003D5C4F"/>
    <w:rsid w:val="003D614A"/>
    <w:rsid w:val="003D634C"/>
    <w:rsid w:val="003D6521"/>
    <w:rsid w:val="003D6741"/>
    <w:rsid w:val="003D6899"/>
    <w:rsid w:val="003D6A50"/>
    <w:rsid w:val="003D6A6F"/>
    <w:rsid w:val="003D6D88"/>
    <w:rsid w:val="003D6FBF"/>
    <w:rsid w:val="003D6FEB"/>
    <w:rsid w:val="003D77AA"/>
    <w:rsid w:val="003D7924"/>
    <w:rsid w:val="003D7D67"/>
    <w:rsid w:val="003E050B"/>
    <w:rsid w:val="003E1404"/>
    <w:rsid w:val="003E17B7"/>
    <w:rsid w:val="003E1889"/>
    <w:rsid w:val="003E1A32"/>
    <w:rsid w:val="003E1BBA"/>
    <w:rsid w:val="003E2468"/>
    <w:rsid w:val="003E2588"/>
    <w:rsid w:val="003E2FD0"/>
    <w:rsid w:val="003E30D6"/>
    <w:rsid w:val="003E329F"/>
    <w:rsid w:val="003E3716"/>
    <w:rsid w:val="003E3A8A"/>
    <w:rsid w:val="003E3EA3"/>
    <w:rsid w:val="003E3EB8"/>
    <w:rsid w:val="003E488E"/>
    <w:rsid w:val="003E4C75"/>
    <w:rsid w:val="003E53D0"/>
    <w:rsid w:val="003E5AE7"/>
    <w:rsid w:val="003E5E99"/>
    <w:rsid w:val="003E5F4C"/>
    <w:rsid w:val="003E636E"/>
    <w:rsid w:val="003E64D7"/>
    <w:rsid w:val="003E6674"/>
    <w:rsid w:val="003E7B2C"/>
    <w:rsid w:val="003F05E7"/>
    <w:rsid w:val="003F0DF4"/>
    <w:rsid w:val="003F1199"/>
    <w:rsid w:val="003F18F6"/>
    <w:rsid w:val="003F1BBD"/>
    <w:rsid w:val="003F30D7"/>
    <w:rsid w:val="003F4D4F"/>
    <w:rsid w:val="003F4FF6"/>
    <w:rsid w:val="003F54DB"/>
    <w:rsid w:val="003F56C9"/>
    <w:rsid w:val="003F5A00"/>
    <w:rsid w:val="003F5C19"/>
    <w:rsid w:val="003F5C48"/>
    <w:rsid w:val="003F5C83"/>
    <w:rsid w:val="003F5D79"/>
    <w:rsid w:val="003F6450"/>
    <w:rsid w:val="003F6A63"/>
    <w:rsid w:val="003F6AB1"/>
    <w:rsid w:val="003F72C9"/>
    <w:rsid w:val="003F74E3"/>
    <w:rsid w:val="003F75A3"/>
    <w:rsid w:val="003F77B1"/>
    <w:rsid w:val="003F78D6"/>
    <w:rsid w:val="003F7CCB"/>
    <w:rsid w:val="00400268"/>
    <w:rsid w:val="0040065E"/>
    <w:rsid w:val="0040080E"/>
    <w:rsid w:val="00401171"/>
    <w:rsid w:val="004012B2"/>
    <w:rsid w:val="0040155B"/>
    <w:rsid w:val="00401C96"/>
    <w:rsid w:val="00401DC2"/>
    <w:rsid w:val="00402309"/>
    <w:rsid w:val="004026E8"/>
    <w:rsid w:val="00402CA5"/>
    <w:rsid w:val="0040313E"/>
    <w:rsid w:val="00403EB8"/>
    <w:rsid w:val="00404F7C"/>
    <w:rsid w:val="004052FF"/>
    <w:rsid w:val="0040555A"/>
    <w:rsid w:val="0040629E"/>
    <w:rsid w:val="004063B4"/>
    <w:rsid w:val="0040647A"/>
    <w:rsid w:val="00406F10"/>
    <w:rsid w:val="00407044"/>
    <w:rsid w:val="0040721C"/>
    <w:rsid w:val="004073DF"/>
    <w:rsid w:val="00410107"/>
    <w:rsid w:val="00410355"/>
    <w:rsid w:val="00410383"/>
    <w:rsid w:val="00410BB2"/>
    <w:rsid w:val="00411067"/>
    <w:rsid w:val="004112DF"/>
    <w:rsid w:val="00411A01"/>
    <w:rsid w:val="004120DE"/>
    <w:rsid w:val="00412161"/>
    <w:rsid w:val="0041276E"/>
    <w:rsid w:val="00412B30"/>
    <w:rsid w:val="00412BD1"/>
    <w:rsid w:val="00412D65"/>
    <w:rsid w:val="00413B7B"/>
    <w:rsid w:val="00413E4A"/>
    <w:rsid w:val="004152D0"/>
    <w:rsid w:val="00415F2C"/>
    <w:rsid w:val="0041607A"/>
    <w:rsid w:val="0041689A"/>
    <w:rsid w:val="00417182"/>
    <w:rsid w:val="00417368"/>
    <w:rsid w:val="00417CAB"/>
    <w:rsid w:val="0042055D"/>
    <w:rsid w:val="00420B65"/>
    <w:rsid w:val="00420F4E"/>
    <w:rsid w:val="00421902"/>
    <w:rsid w:val="004227CB"/>
    <w:rsid w:val="00423232"/>
    <w:rsid w:val="004235F5"/>
    <w:rsid w:val="00424825"/>
    <w:rsid w:val="00424B9D"/>
    <w:rsid w:val="0042637B"/>
    <w:rsid w:val="00426457"/>
    <w:rsid w:val="0042661F"/>
    <w:rsid w:val="00426BCB"/>
    <w:rsid w:val="00426BED"/>
    <w:rsid w:val="00427002"/>
    <w:rsid w:val="00427662"/>
    <w:rsid w:val="004276A5"/>
    <w:rsid w:val="004301F2"/>
    <w:rsid w:val="0043028E"/>
    <w:rsid w:val="0043042A"/>
    <w:rsid w:val="00430465"/>
    <w:rsid w:val="00430A24"/>
    <w:rsid w:val="00430AE4"/>
    <w:rsid w:val="004318E3"/>
    <w:rsid w:val="00431AEF"/>
    <w:rsid w:val="00431FBF"/>
    <w:rsid w:val="0043217B"/>
    <w:rsid w:val="0043275B"/>
    <w:rsid w:val="00432C33"/>
    <w:rsid w:val="00432E21"/>
    <w:rsid w:val="004330E0"/>
    <w:rsid w:val="00433DEF"/>
    <w:rsid w:val="004343DD"/>
    <w:rsid w:val="004344B7"/>
    <w:rsid w:val="00435601"/>
    <w:rsid w:val="00436627"/>
    <w:rsid w:val="0043772D"/>
    <w:rsid w:val="004377DA"/>
    <w:rsid w:val="00437FAE"/>
    <w:rsid w:val="004401FC"/>
    <w:rsid w:val="00440531"/>
    <w:rsid w:val="00440E9F"/>
    <w:rsid w:val="0044132F"/>
    <w:rsid w:val="00441491"/>
    <w:rsid w:val="004418A9"/>
    <w:rsid w:val="00441A8A"/>
    <w:rsid w:val="00441E3F"/>
    <w:rsid w:val="004426F5"/>
    <w:rsid w:val="00443FAB"/>
    <w:rsid w:val="00444634"/>
    <w:rsid w:val="00444E34"/>
    <w:rsid w:val="00445133"/>
    <w:rsid w:val="0044524F"/>
    <w:rsid w:val="00445749"/>
    <w:rsid w:val="00445D5C"/>
    <w:rsid w:val="00446313"/>
    <w:rsid w:val="00446C3E"/>
    <w:rsid w:val="00447464"/>
    <w:rsid w:val="0044764C"/>
    <w:rsid w:val="004476C8"/>
    <w:rsid w:val="004476E8"/>
    <w:rsid w:val="004477BF"/>
    <w:rsid w:val="00450980"/>
    <w:rsid w:val="00452550"/>
    <w:rsid w:val="004525E4"/>
    <w:rsid w:val="00452623"/>
    <w:rsid w:val="00452A05"/>
    <w:rsid w:val="00453348"/>
    <w:rsid w:val="0045361F"/>
    <w:rsid w:val="00453F4B"/>
    <w:rsid w:val="004546DB"/>
    <w:rsid w:val="00454704"/>
    <w:rsid w:val="0045498F"/>
    <w:rsid w:val="00454A81"/>
    <w:rsid w:val="00454EB8"/>
    <w:rsid w:val="00454F0F"/>
    <w:rsid w:val="00455290"/>
    <w:rsid w:val="004553A9"/>
    <w:rsid w:val="00455838"/>
    <w:rsid w:val="0045595C"/>
    <w:rsid w:val="00456944"/>
    <w:rsid w:val="00456F94"/>
    <w:rsid w:val="0045741C"/>
    <w:rsid w:val="00460645"/>
    <w:rsid w:val="004612F0"/>
    <w:rsid w:val="004618D5"/>
    <w:rsid w:val="00461A22"/>
    <w:rsid w:val="00461E41"/>
    <w:rsid w:val="00462039"/>
    <w:rsid w:val="00462293"/>
    <w:rsid w:val="00462814"/>
    <w:rsid w:val="004629C9"/>
    <w:rsid w:val="00462BCF"/>
    <w:rsid w:val="00463318"/>
    <w:rsid w:val="00463B8A"/>
    <w:rsid w:val="00463F8A"/>
    <w:rsid w:val="00464737"/>
    <w:rsid w:val="0046485A"/>
    <w:rsid w:val="004648B9"/>
    <w:rsid w:val="00464B78"/>
    <w:rsid w:val="00464DCF"/>
    <w:rsid w:val="0046515D"/>
    <w:rsid w:val="0046571D"/>
    <w:rsid w:val="00465C10"/>
    <w:rsid w:val="00465F3D"/>
    <w:rsid w:val="004662BD"/>
    <w:rsid w:val="00466BD5"/>
    <w:rsid w:val="004673BE"/>
    <w:rsid w:val="00467DC8"/>
    <w:rsid w:val="0047084A"/>
    <w:rsid w:val="00470D7B"/>
    <w:rsid w:val="00471412"/>
    <w:rsid w:val="00471705"/>
    <w:rsid w:val="00471C5A"/>
    <w:rsid w:val="004723B7"/>
    <w:rsid w:val="00472818"/>
    <w:rsid w:val="00474076"/>
    <w:rsid w:val="00474219"/>
    <w:rsid w:val="0047435F"/>
    <w:rsid w:val="0047459A"/>
    <w:rsid w:val="00474CA5"/>
    <w:rsid w:val="00475293"/>
    <w:rsid w:val="0047562E"/>
    <w:rsid w:val="00475E08"/>
    <w:rsid w:val="004762BE"/>
    <w:rsid w:val="00476893"/>
    <w:rsid w:val="00476A4C"/>
    <w:rsid w:val="00476B6F"/>
    <w:rsid w:val="004773AD"/>
    <w:rsid w:val="004775DC"/>
    <w:rsid w:val="004800E5"/>
    <w:rsid w:val="00480228"/>
    <w:rsid w:val="004802F8"/>
    <w:rsid w:val="00480C9F"/>
    <w:rsid w:val="00481D91"/>
    <w:rsid w:val="00483400"/>
    <w:rsid w:val="004835E5"/>
    <w:rsid w:val="00483B9D"/>
    <w:rsid w:val="004845FD"/>
    <w:rsid w:val="004848BB"/>
    <w:rsid w:val="00484BC7"/>
    <w:rsid w:val="00484E8A"/>
    <w:rsid w:val="00484F95"/>
    <w:rsid w:val="004850E4"/>
    <w:rsid w:val="0048544E"/>
    <w:rsid w:val="00485D18"/>
    <w:rsid w:val="00486014"/>
    <w:rsid w:val="00486219"/>
    <w:rsid w:val="00486A8E"/>
    <w:rsid w:val="00486C48"/>
    <w:rsid w:val="00486F3C"/>
    <w:rsid w:val="004870A1"/>
    <w:rsid w:val="00487869"/>
    <w:rsid w:val="00487A06"/>
    <w:rsid w:val="00487BF1"/>
    <w:rsid w:val="0049088E"/>
    <w:rsid w:val="004908D3"/>
    <w:rsid w:val="004910E3"/>
    <w:rsid w:val="004915E9"/>
    <w:rsid w:val="00491636"/>
    <w:rsid w:val="0049175B"/>
    <w:rsid w:val="004917B6"/>
    <w:rsid w:val="00491B7F"/>
    <w:rsid w:val="00491D65"/>
    <w:rsid w:val="0049296A"/>
    <w:rsid w:val="004933A7"/>
    <w:rsid w:val="004933B3"/>
    <w:rsid w:val="00493466"/>
    <w:rsid w:val="00493C40"/>
    <w:rsid w:val="00493E8A"/>
    <w:rsid w:val="004942F6"/>
    <w:rsid w:val="00494BD4"/>
    <w:rsid w:val="00495058"/>
    <w:rsid w:val="00495DFD"/>
    <w:rsid w:val="00495ED8"/>
    <w:rsid w:val="00495EFB"/>
    <w:rsid w:val="00497461"/>
    <w:rsid w:val="0049759E"/>
    <w:rsid w:val="00497BDA"/>
    <w:rsid w:val="004A00EC"/>
    <w:rsid w:val="004A128F"/>
    <w:rsid w:val="004A1769"/>
    <w:rsid w:val="004A1D52"/>
    <w:rsid w:val="004A220B"/>
    <w:rsid w:val="004A2C2B"/>
    <w:rsid w:val="004A2E12"/>
    <w:rsid w:val="004A32B1"/>
    <w:rsid w:val="004A3335"/>
    <w:rsid w:val="004A33AE"/>
    <w:rsid w:val="004A38C4"/>
    <w:rsid w:val="004A3B57"/>
    <w:rsid w:val="004A3C02"/>
    <w:rsid w:val="004A450C"/>
    <w:rsid w:val="004A4D23"/>
    <w:rsid w:val="004A5131"/>
    <w:rsid w:val="004A5243"/>
    <w:rsid w:val="004A7387"/>
    <w:rsid w:val="004A73D3"/>
    <w:rsid w:val="004A7779"/>
    <w:rsid w:val="004A7806"/>
    <w:rsid w:val="004A7829"/>
    <w:rsid w:val="004B0246"/>
    <w:rsid w:val="004B0818"/>
    <w:rsid w:val="004B0E17"/>
    <w:rsid w:val="004B1244"/>
    <w:rsid w:val="004B14A9"/>
    <w:rsid w:val="004B2040"/>
    <w:rsid w:val="004B2302"/>
    <w:rsid w:val="004B2395"/>
    <w:rsid w:val="004B2A06"/>
    <w:rsid w:val="004B2C39"/>
    <w:rsid w:val="004B3300"/>
    <w:rsid w:val="004B3F11"/>
    <w:rsid w:val="004B3FE0"/>
    <w:rsid w:val="004B4242"/>
    <w:rsid w:val="004B4C06"/>
    <w:rsid w:val="004B50E1"/>
    <w:rsid w:val="004B59B6"/>
    <w:rsid w:val="004B5F61"/>
    <w:rsid w:val="004B60A0"/>
    <w:rsid w:val="004B61FB"/>
    <w:rsid w:val="004B6447"/>
    <w:rsid w:val="004B6559"/>
    <w:rsid w:val="004B6843"/>
    <w:rsid w:val="004B6EDE"/>
    <w:rsid w:val="004B7FAA"/>
    <w:rsid w:val="004B7FC7"/>
    <w:rsid w:val="004C06C0"/>
    <w:rsid w:val="004C08D6"/>
    <w:rsid w:val="004C0EC0"/>
    <w:rsid w:val="004C11A5"/>
    <w:rsid w:val="004C1681"/>
    <w:rsid w:val="004C1C57"/>
    <w:rsid w:val="004C27B5"/>
    <w:rsid w:val="004C280C"/>
    <w:rsid w:val="004C29F0"/>
    <w:rsid w:val="004C2AEB"/>
    <w:rsid w:val="004C2B4B"/>
    <w:rsid w:val="004C2D0F"/>
    <w:rsid w:val="004C3295"/>
    <w:rsid w:val="004C334E"/>
    <w:rsid w:val="004C3468"/>
    <w:rsid w:val="004C3A1D"/>
    <w:rsid w:val="004C3B9A"/>
    <w:rsid w:val="004C44FE"/>
    <w:rsid w:val="004C4AE4"/>
    <w:rsid w:val="004C4DF6"/>
    <w:rsid w:val="004C50D5"/>
    <w:rsid w:val="004C54B1"/>
    <w:rsid w:val="004C5F80"/>
    <w:rsid w:val="004C6549"/>
    <w:rsid w:val="004C6819"/>
    <w:rsid w:val="004C6A1F"/>
    <w:rsid w:val="004C6A26"/>
    <w:rsid w:val="004C7958"/>
    <w:rsid w:val="004C7D14"/>
    <w:rsid w:val="004D00DB"/>
    <w:rsid w:val="004D0191"/>
    <w:rsid w:val="004D085B"/>
    <w:rsid w:val="004D0F49"/>
    <w:rsid w:val="004D1268"/>
    <w:rsid w:val="004D18CB"/>
    <w:rsid w:val="004D27A0"/>
    <w:rsid w:val="004D2A5E"/>
    <w:rsid w:val="004D33D2"/>
    <w:rsid w:val="004D42CC"/>
    <w:rsid w:val="004D4324"/>
    <w:rsid w:val="004D4633"/>
    <w:rsid w:val="004D49B5"/>
    <w:rsid w:val="004D4E3D"/>
    <w:rsid w:val="004D4E5B"/>
    <w:rsid w:val="004D539C"/>
    <w:rsid w:val="004D6081"/>
    <w:rsid w:val="004D617A"/>
    <w:rsid w:val="004D654B"/>
    <w:rsid w:val="004D6B2C"/>
    <w:rsid w:val="004D74AB"/>
    <w:rsid w:val="004D779B"/>
    <w:rsid w:val="004D7871"/>
    <w:rsid w:val="004D7A2E"/>
    <w:rsid w:val="004D7D9A"/>
    <w:rsid w:val="004D7E45"/>
    <w:rsid w:val="004D7EC6"/>
    <w:rsid w:val="004E0A0A"/>
    <w:rsid w:val="004E0C90"/>
    <w:rsid w:val="004E19C7"/>
    <w:rsid w:val="004E1CC0"/>
    <w:rsid w:val="004E1D94"/>
    <w:rsid w:val="004E1F5C"/>
    <w:rsid w:val="004E2032"/>
    <w:rsid w:val="004E21E9"/>
    <w:rsid w:val="004E269C"/>
    <w:rsid w:val="004E3D4B"/>
    <w:rsid w:val="004E4194"/>
    <w:rsid w:val="004E437C"/>
    <w:rsid w:val="004E4835"/>
    <w:rsid w:val="004E4A82"/>
    <w:rsid w:val="004E53F6"/>
    <w:rsid w:val="004E5468"/>
    <w:rsid w:val="004E5867"/>
    <w:rsid w:val="004E5E4D"/>
    <w:rsid w:val="004E5ECF"/>
    <w:rsid w:val="004E6090"/>
    <w:rsid w:val="004E7478"/>
    <w:rsid w:val="004E7C2B"/>
    <w:rsid w:val="004F03DE"/>
    <w:rsid w:val="004F0A83"/>
    <w:rsid w:val="004F10D6"/>
    <w:rsid w:val="004F11C7"/>
    <w:rsid w:val="004F12A1"/>
    <w:rsid w:val="004F12C8"/>
    <w:rsid w:val="004F1418"/>
    <w:rsid w:val="004F1B63"/>
    <w:rsid w:val="004F1B8B"/>
    <w:rsid w:val="004F1D58"/>
    <w:rsid w:val="004F1D61"/>
    <w:rsid w:val="004F1DAD"/>
    <w:rsid w:val="004F1DE1"/>
    <w:rsid w:val="004F27CB"/>
    <w:rsid w:val="004F2CBF"/>
    <w:rsid w:val="004F31DD"/>
    <w:rsid w:val="004F3307"/>
    <w:rsid w:val="004F372F"/>
    <w:rsid w:val="004F3A86"/>
    <w:rsid w:val="004F3E24"/>
    <w:rsid w:val="004F4606"/>
    <w:rsid w:val="004F4FA8"/>
    <w:rsid w:val="004F5055"/>
    <w:rsid w:val="004F5294"/>
    <w:rsid w:val="004F64D9"/>
    <w:rsid w:val="004F6A20"/>
    <w:rsid w:val="004F6F4B"/>
    <w:rsid w:val="0050038A"/>
    <w:rsid w:val="005006FF"/>
    <w:rsid w:val="00500773"/>
    <w:rsid w:val="00500AF3"/>
    <w:rsid w:val="00500BFE"/>
    <w:rsid w:val="00500FCA"/>
    <w:rsid w:val="0050124C"/>
    <w:rsid w:val="00501397"/>
    <w:rsid w:val="00501489"/>
    <w:rsid w:val="00501A6D"/>
    <w:rsid w:val="00501A76"/>
    <w:rsid w:val="00501B6D"/>
    <w:rsid w:val="00501CAF"/>
    <w:rsid w:val="00501D8C"/>
    <w:rsid w:val="00502488"/>
    <w:rsid w:val="00502B15"/>
    <w:rsid w:val="00502D5F"/>
    <w:rsid w:val="00502EE5"/>
    <w:rsid w:val="00502F38"/>
    <w:rsid w:val="00503175"/>
    <w:rsid w:val="00503203"/>
    <w:rsid w:val="00503217"/>
    <w:rsid w:val="0050325B"/>
    <w:rsid w:val="00503509"/>
    <w:rsid w:val="005038AE"/>
    <w:rsid w:val="00503DE5"/>
    <w:rsid w:val="005041DC"/>
    <w:rsid w:val="0050431B"/>
    <w:rsid w:val="00504AB3"/>
    <w:rsid w:val="00504C37"/>
    <w:rsid w:val="00504C44"/>
    <w:rsid w:val="005050FF"/>
    <w:rsid w:val="005051D3"/>
    <w:rsid w:val="00505329"/>
    <w:rsid w:val="0050622A"/>
    <w:rsid w:val="0050640C"/>
    <w:rsid w:val="005066A3"/>
    <w:rsid w:val="00507DBE"/>
    <w:rsid w:val="0051051F"/>
    <w:rsid w:val="005111C7"/>
    <w:rsid w:val="0051226D"/>
    <w:rsid w:val="00512A03"/>
    <w:rsid w:val="00512A0D"/>
    <w:rsid w:val="0051326E"/>
    <w:rsid w:val="0051442A"/>
    <w:rsid w:val="00514461"/>
    <w:rsid w:val="0051453A"/>
    <w:rsid w:val="005145E7"/>
    <w:rsid w:val="0051483A"/>
    <w:rsid w:val="00514BBC"/>
    <w:rsid w:val="00514D14"/>
    <w:rsid w:val="00514D71"/>
    <w:rsid w:val="0051529B"/>
    <w:rsid w:val="005159EF"/>
    <w:rsid w:val="00515CDC"/>
    <w:rsid w:val="005161C3"/>
    <w:rsid w:val="005162A4"/>
    <w:rsid w:val="0051770B"/>
    <w:rsid w:val="005178EF"/>
    <w:rsid w:val="0051793C"/>
    <w:rsid w:val="00517FEB"/>
    <w:rsid w:val="0052018C"/>
    <w:rsid w:val="0052055B"/>
    <w:rsid w:val="0052069B"/>
    <w:rsid w:val="00520717"/>
    <w:rsid w:val="0052177C"/>
    <w:rsid w:val="00521887"/>
    <w:rsid w:val="00521C7C"/>
    <w:rsid w:val="00521D5E"/>
    <w:rsid w:val="00522046"/>
    <w:rsid w:val="00522598"/>
    <w:rsid w:val="00522618"/>
    <w:rsid w:val="00523016"/>
    <w:rsid w:val="005231F5"/>
    <w:rsid w:val="0052376B"/>
    <w:rsid w:val="005238FD"/>
    <w:rsid w:val="00523BAB"/>
    <w:rsid w:val="00523C06"/>
    <w:rsid w:val="00524662"/>
    <w:rsid w:val="005249E6"/>
    <w:rsid w:val="00524EC6"/>
    <w:rsid w:val="00525325"/>
    <w:rsid w:val="00525430"/>
    <w:rsid w:val="00525B79"/>
    <w:rsid w:val="005260DD"/>
    <w:rsid w:val="0052636E"/>
    <w:rsid w:val="00526B31"/>
    <w:rsid w:val="00526DE1"/>
    <w:rsid w:val="00526E59"/>
    <w:rsid w:val="00527591"/>
    <w:rsid w:val="00527BE6"/>
    <w:rsid w:val="00527D84"/>
    <w:rsid w:val="0053057D"/>
    <w:rsid w:val="00530D02"/>
    <w:rsid w:val="00530E23"/>
    <w:rsid w:val="00531955"/>
    <w:rsid w:val="005319A6"/>
    <w:rsid w:val="00531DCD"/>
    <w:rsid w:val="005321B2"/>
    <w:rsid w:val="005324A1"/>
    <w:rsid w:val="00532631"/>
    <w:rsid w:val="005328FA"/>
    <w:rsid w:val="00532FAF"/>
    <w:rsid w:val="005335B2"/>
    <w:rsid w:val="00533D8D"/>
    <w:rsid w:val="00534007"/>
    <w:rsid w:val="00534296"/>
    <w:rsid w:val="00534AB3"/>
    <w:rsid w:val="005362D9"/>
    <w:rsid w:val="00536B69"/>
    <w:rsid w:val="00536BC9"/>
    <w:rsid w:val="00537250"/>
    <w:rsid w:val="0053786D"/>
    <w:rsid w:val="005378A6"/>
    <w:rsid w:val="00540EC3"/>
    <w:rsid w:val="0054105E"/>
    <w:rsid w:val="005412C9"/>
    <w:rsid w:val="005416D5"/>
    <w:rsid w:val="00541C49"/>
    <w:rsid w:val="00541D3F"/>
    <w:rsid w:val="00542623"/>
    <w:rsid w:val="00542C3C"/>
    <w:rsid w:val="0054316D"/>
    <w:rsid w:val="0054344D"/>
    <w:rsid w:val="00543CF2"/>
    <w:rsid w:val="00543DA6"/>
    <w:rsid w:val="0054409A"/>
    <w:rsid w:val="005444C5"/>
    <w:rsid w:val="005448EE"/>
    <w:rsid w:val="00544930"/>
    <w:rsid w:val="00545978"/>
    <w:rsid w:val="00545AD5"/>
    <w:rsid w:val="00545C9C"/>
    <w:rsid w:val="00546178"/>
    <w:rsid w:val="005461DF"/>
    <w:rsid w:val="0054633C"/>
    <w:rsid w:val="005464A5"/>
    <w:rsid w:val="005468CE"/>
    <w:rsid w:val="00546ABB"/>
    <w:rsid w:val="00546AFA"/>
    <w:rsid w:val="0054707C"/>
    <w:rsid w:val="005477AC"/>
    <w:rsid w:val="00547E0A"/>
    <w:rsid w:val="00547E6F"/>
    <w:rsid w:val="00547F4D"/>
    <w:rsid w:val="0055021B"/>
    <w:rsid w:val="00550505"/>
    <w:rsid w:val="00550884"/>
    <w:rsid w:val="005510AA"/>
    <w:rsid w:val="005512FB"/>
    <w:rsid w:val="00551618"/>
    <w:rsid w:val="00551829"/>
    <w:rsid w:val="005519D6"/>
    <w:rsid w:val="00551D2F"/>
    <w:rsid w:val="005521F8"/>
    <w:rsid w:val="0055247D"/>
    <w:rsid w:val="00553145"/>
    <w:rsid w:val="005531EA"/>
    <w:rsid w:val="0055365B"/>
    <w:rsid w:val="005539C3"/>
    <w:rsid w:val="00553DB3"/>
    <w:rsid w:val="00554AE7"/>
    <w:rsid w:val="00554C07"/>
    <w:rsid w:val="00555178"/>
    <w:rsid w:val="005557C7"/>
    <w:rsid w:val="005558CC"/>
    <w:rsid w:val="005559F2"/>
    <w:rsid w:val="00555A69"/>
    <w:rsid w:val="00555DEE"/>
    <w:rsid w:val="00556159"/>
    <w:rsid w:val="0055634F"/>
    <w:rsid w:val="005563D6"/>
    <w:rsid w:val="00556B9B"/>
    <w:rsid w:val="0055703A"/>
    <w:rsid w:val="0055744B"/>
    <w:rsid w:val="00557714"/>
    <w:rsid w:val="00557A69"/>
    <w:rsid w:val="00557A79"/>
    <w:rsid w:val="00557C9F"/>
    <w:rsid w:val="00557F21"/>
    <w:rsid w:val="00557F24"/>
    <w:rsid w:val="00557F60"/>
    <w:rsid w:val="005608D8"/>
    <w:rsid w:val="005615FD"/>
    <w:rsid w:val="00561D84"/>
    <w:rsid w:val="00562369"/>
    <w:rsid w:val="00562490"/>
    <w:rsid w:val="0056251C"/>
    <w:rsid w:val="005628A8"/>
    <w:rsid w:val="005635DC"/>
    <w:rsid w:val="0056441E"/>
    <w:rsid w:val="00564798"/>
    <w:rsid w:val="005651CF"/>
    <w:rsid w:val="005652C6"/>
    <w:rsid w:val="00565A78"/>
    <w:rsid w:val="00566631"/>
    <w:rsid w:val="00566E69"/>
    <w:rsid w:val="0056725E"/>
    <w:rsid w:val="0056771F"/>
    <w:rsid w:val="00567F14"/>
    <w:rsid w:val="00567F56"/>
    <w:rsid w:val="005700C5"/>
    <w:rsid w:val="005707DF"/>
    <w:rsid w:val="00571B95"/>
    <w:rsid w:val="00571E3D"/>
    <w:rsid w:val="005727E0"/>
    <w:rsid w:val="005729BE"/>
    <w:rsid w:val="00572B00"/>
    <w:rsid w:val="00572D7F"/>
    <w:rsid w:val="00572FA8"/>
    <w:rsid w:val="005733D2"/>
    <w:rsid w:val="00573623"/>
    <w:rsid w:val="00573819"/>
    <w:rsid w:val="00573924"/>
    <w:rsid w:val="005741D4"/>
    <w:rsid w:val="00574E50"/>
    <w:rsid w:val="00575073"/>
    <w:rsid w:val="005758C7"/>
    <w:rsid w:val="00575A69"/>
    <w:rsid w:val="005762E6"/>
    <w:rsid w:val="0057663C"/>
    <w:rsid w:val="005768B9"/>
    <w:rsid w:val="00576BDA"/>
    <w:rsid w:val="00576E45"/>
    <w:rsid w:val="00576F43"/>
    <w:rsid w:val="00577204"/>
    <w:rsid w:val="00577645"/>
    <w:rsid w:val="00577C72"/>
    <w:rsid w:val="00577D7F"/>
    <w:rsid w:val="0058055B"/>
    <w:rsid w:val="005806B8"/>
    <w:rsid w:val="00580A28"/>
    <w:rsid w:val="005810DE"/>
    <w:rsid w:val="00581D4E"/>
    <w:rsid w:val="00581F5F"/>
    <w:rsid w:val="0058210D"/>
    <w:rsid w:val="00582AB0"/>
    <w:rsid w:val="005832A8"/>
    <w:rsid w:val="005833ED"/>
    <w:rsid w:val="00583A6A"/>
    <w:rsid w:val="00583A9F"/>
    <w:rsid w:val="00583BED"/>
    <w:rsid w:val="00583FAE"/>
    <w:rsid w:val="00584E1B"/>
    <w:rsid w:val="00584FD5"/>
    <w:rsid w:val="0058573F"/>
    <w:rsid w:val="00585897"/>
    <w:rsid w:val="00586870"/>
    <w:rsid w:val="00586B09"/>
    <w:rsid w:val="00587C5C"/>
    <w:rsid w:val="00587E61"/>
    <w:rsid w:val="00587E6E"/>
    <w:rsid w:val="00590277"/>
    <w:rsid w:val="00591040"/>
    <w:rsid w:val="005916DE"/>
    <w:rsid w:val="00591AEC"/>
    <w:rsid w:val="00591C88"/>
    <w:rsid w:val="00591ECB"/>
    <w:rsid w:val="00591FDC"/>
    <w:rsid w:val="0059223B"/>
    <w:rsid w:val="005925CC"/>
    <w:rsid w:val="00592B1C"/>
    <w:rsid w:val="0059360A"/>
    <w:rsid w:val="005936AB"/>
    <w:rsid w:val="00593ADF"/>
    <w:rsid w:val="00593F11"/>
    <w:rsid w:val="00593FA4"/>
    <w:rsid w:val="00594082"/>
    <w:rsid w:val="00594DD7"/>
    <w:rsid w:val="00595267"/>
    <w:rsid w:val="00595A37"/>
    <w:rsid w:val="00595DDC"/>
    <w:rsid w:val="0059624C"/>
    <w:rsid w:val="0059685B"/>
    <w:rsid w:val="00596879"/>
    <w:rsid w:val="005969C4"/>
    <w:rsid w:val="00596F30"/>
    <w:rsid w:val="005970C7"/>
    <w:rsid w:val="005972C5"/>
    <w:rsid w:val="00597334"/>
    <w:rsid w:val="005975ED"/>
    <w:rsid w:val="0059772A"/>
    <w:rsid w:val="00597B7D"/>
    <w:rsid w:val="005A0099"/>
    <w:rsid w:val="005A05AB"/>
    <w:rsid w:val="005A145D"/>
    <w:rsid w:val="005A1B60"/>
    <w:rsid w:val="005A1C2F"/>
    <w:rsid w:val="005A2258"/>
    <w:rsid w:val="005A24DB"/>
    <w:rsid w:val="005A2725"/>
    <w:rsid w:val="005A2A3E"/>
    <w:rsid w:val="005A39F1"/>
    <w:rsid w:val="005A3F58"/>
    <w:rsid w:val="005A3FC4"/>
    <w:rsid w:val="005A3FCE"/>
    <w:rsid w:val="005A3FE2"/>
    <w:rsid w:val="005A5916"/>
    <w:rsid w:val="005A5C3B"/>
    <w:rsid w:val="005A6CF0"/>
    <w:rsid w:val="005A6D09"/>
    <w:rsid w:val="005A7124"/>
    <w:rsid w:val="005A76DB"/>
    <w:rsid w:val="005A78BF"/>
    <w:rsid w:val="005B02D9"/>
    <w:rsid w:val="005B0513"/>
    <w:rsid w:val="005B0C36"/>
    <w:rsid w:val="005B1266"/>
    <w:rsid w:val="005B12A1"/>
    <w:rsid w:val="005B174D"/>
    <w:rsid w:val="005B1A63"/>
    <w:rsid w:val="005B2471"/>
    <w:rsid w:val="005B2FAE"/>
    <w:rsid w:val="005B364B"/>
    <w:rsid w:val="005B3783"/>
    <w:rsid w:val="005B4A6F"/>
    <w:rsid w:val="005B6415"/>
    <w:rsid w:val="005B6B3F"/>
    <w:rsid w:val="005B6E63"/>
    <w:rsid w:val="005C0B12"/>
    <w:rsid w:val="005C1025"/>
    <w:rsid w:val="005C1372"/>
    <w:rsid w:val="005C1947"/>
    <w:rsid w:val="005C2358"/>
    <w:rsid w:val="005C2369"/>
    <w:rsid w:val="005C27B8"/>
    <w:rsid w:val="005C3751"/>
    <w:rsid w:val="005C4710"/>
    <w:rsid w:val="005C498F"/>
    <w:rsid w:val="005C4A94"/>
    <w:rsid w:val="005C5AFE"/>
    <w:rsid w:val="005C5E77"/>
    <w:rsid w:val="005C6223"/>
    <w:rsid w:val="005C64A7"/>
    <w:rsid w:val="005C6C7A"/>
    <w:rsid w:val="005C7DE2"/>
    <w:rsid w:val="005D00B0"/>
    <w:rsid w:val="005D0401"/>
    <w:rsid w:val="005D09CC"/>
    <w:rsid w:val="005D107D"/>
    <w:rsid w:val="005D1107"/>
    <w:rsid w:val="005D1650"/>
    <w:rsid w:val="005D17FF"/>
    <w:rsid w:val="005D1CC9"/>
    <w:rsid w:val="005D1E1C"/>
    <w:rsid w:val="005D2118"/>
    <w:rsid w:val="005D2CF8"/>
    <w:rsid w:val="005D3645"/>
    <w:rsid w:val="005D39CF"/>
    <w:rsid w:val="005D3B95"/>
    <w:rsid w:val="005D42EC"/>
    <w:rsid w:val="005D4426"/>
    <w:rsid w:val="005D46A5"/>
    <w:rsid w:val="005D4E34"/>
    <w:rsid w:val="005D553A"/>
    <w:rsid w:val="005D55AF"/>
    <w:rsid w:val="005D5701"/>
    <w:rsid w:val="005D6744"/>
    <w:rsid w:val="005D6A5E"/>
    <w:rsid w:val="005D6C80"/>
    <w:rsid w:val="005D6EBA"/>
    <w:rsid w:val="005D6FD6"/>
    <w:rsid w:val="005D752C"/>
    <w:rsid w:val="005D76D4"/>
    <w:rsid w:val="005D77F8"/>
    <w:rsid w:val="005D78AA"/>
    <w:rsid w:val="005E031A"/>
    <w:rsid w:val="005E0B41"/>
    <w:rsid w:val="005E0CA5"/>
    <w:rsid w:val="005E1073"/>
    <w:rsid w:val="005E14CA"/>
    <w:rsid w:val="005E18FB"/>
    <w:rsid w:val="005E2063"/>
    <w:rsid w:val="005E259D"/>
    <w:rsid w:val="005E26ED"/>
    <w:rsid w:val="005E3ADE"/>
    <w:rsid w:val="005E412D"/>
    <w:rsid w:val="005E42B4"/>
    <w:rsid w:val="005E534B"/>
    <w:rsid w:val="005E55A1"/>
    <w:rsid w:val="005E5A1E"/>
    <w:rsid w:val="005E5B4D"/>
    <w:rsid w:val="005E64FB"/>
    <w:rsid w:val="005E6ED8"/>
    <w:rsid w:val="005E7025"/>
    <w:rsid w:val="005E73FA"/>
    <w:rsid w:val="005E74BC"/>
    <w:rsid w:val="005E781C"/>
    <w:rsid w:val="005E7DDF"/>
    <w:rsid w:val="005E7F40"/>
    <w:rsid w:val="005F0078"/>
    <w:rsid w:val="005F041B"/>
    <w:rsid w:val="005F04D9"/>
    <w:rsid w:val="005F062A"/>
    <w:rsid w:val="005F0D0D"/>
    <w:rsid w:val="005F12FC"/>
    <w:rsid w:val="005F1ADB"/>
    <w:rsid w:val="005F1EF3"/>
    <w:rsid w:val="005F1F4F"/>
    <w:rsid w:val="005F295C"/>
    <w:rsid w:val="005F31C4"/>
    <w:rsid w:val="005F3925"/>
    <w:rsid w:val="005F3954"/>
    <w:rsid w:val="005F3B1C"/>
    <w:rsid w:val="005F3D8A"/>
    <w:rsid w:val="005F41EB"/>
    <w:rsid w:val="005F46F1"/>
    <w:rsid w:val="005F49B0"/>
    <w:rsid w:val="005F4B61"/>
    <w:rsid w:val="005F52D5"/>
    <w:rsid w:val="005F53D9"/>
    <w:rsid w:val="005F5A17"/>
    <w:rsid w:val="005F5D8B"/>
    <w:rsid w:val="005F5F91"/>
    <w:rsid w:val="005F6592"/>
    <w:rsid w:val="005F737A"/>
    <w:rsid w:val="005F7E4D"/>
    <w:rsid w:val="00600062"/>
    <w:rsid w:val="0060049F"/>
    <w:rsid w:val="0060064F"/>
    <w:rsid w:val="006006C5"/>
    <w:rsid w:val="00600848"/>
    <w:rsid w:val="0060093D"/>
    <w:rsid w:val="00601E2B"/>
    <w:rsid w:val="00602AB4"/>
    <w:rsid w:val="006036AF"/>
    <w:rsid w:val="00604230"/>
    <w:rsid w:val="0060426D"/>
    <w:rsid w:val="006048AC"/>
    <w:rsid w:val="00604DB0"/>
    <w:rsid w:val="00604EFB"/>
    <w:rsid w:val="0060540E"/>
    <w:rsid w:val="00606938"/>
    <w:rsid w:val="006069AD"/>
    <w:rsid w:val="006070D2"/>
    <w:rsid w:val="00607879"/>
    <w:rsid w:val="00607E46"/>
    <w:rsid w:val="00607FEB"/>
    <w:rsid w:val="0061029E"/>
    <w:rsid w:val="0061049F"/>
    <w:rsid w:val="006107EF"/>
    <w:rsid w:val="00610ACA"/>
    <w:rsid w:val="00610E63"/>
    <w:rsid w:val="00611684"/>
    <w:rsid w:val="00611901"/>
    <w:rsid w:val="00611A2B"/>
    <w:rsid w:val="00611AB3"/>
    <w:rsid w:val="006120B1"/>
    <w:rsid w:val="006123E0"/>
    <w:rsid w:val="006126EB"/>
    <w:rsid w:val="006127A3"/>
    <w:rsid w:val="00612A43"/>
    <w:rsid w:val="00612A82"/>
    <w:rsid w:val="00612F60"/>
    <w:rsid w:val="00613722"/>
    <w:rsid w:val="0061402F"/>
    <w:rsid w:val="00614255"/>
    <w:rsid w:val="00614932"/>
    <w:rsid w:val="006153D7"/>
    <w:rsid w:val="00615CBD"/>
    <w:rsid w:val="0061628B"/>
    <w:rsid w:val="00616571"/>
    <w:rsid w:val="00616E0A"/>
    <w:rsid w:val="00616EBF"/>
    <w:rsid w:val="00617F89"/>
    <w:rsid w:val="006200C8"/>
    <w:rsid w:val="006210FE"/>
    <w:rsid w:val="006214A6"/>
    <w:rsid w:val="0062160C"/>
    <w:rsid w:val="00621BA6"/>
    <w:rsid w:val="00622823"/>
    <w:rsid w:val="00622E20"/>
    <w:rsid w:val="006230E3"/>
    <w:rsid w:val="00624143"/>
    <w:rsid w:val="006241AD"/>
    <w:rsid w:val="00624332"/>
    <w:rsid w:val="00624C38"/>
    <w:rsid w:val="00624D36"/>
    <w:rsid w:val="006258F5"/>
    <w:rsid w:val="00626208"/>
    <w:rsid w:val="00626840"/>
    <w:rsid w:val="0062699D"/>
    <w:rsid w:val="00627698"/>
    <w:rsid w:val="00627FA0"/>
    <w:rsid w:val="00630CC1"/>
    <w:rsid w:val="00631835"/>
    <w:rsid w:val="006319E4"/>
    <w:rsid w:val="00631E3D"/>
    <w:rsid w:val="00631E9A"/>
    <w:rsid w:val="00631E9E"/>
    <w:rsid w:val="00631F66"/>
    <w:rsid w:val="006321E5"/>
    <w:rsid w:val="0063289B"/>
    <w:rsid w:val="00632A11"/>
    <w:rsid w:val="00632AF5"/>
    <w:rsid w:val="00632CA3"/>
    <w:rsid w:val="006336CC"/>
    <w:rsid w:val="00633A25"/>
    <w:rsid w:val="00633AF4"/>
    <w:rsid w:val="00633B55"/>
    <w:rsid w:val="006341F1"/>
    <w:rsid w:val="00635A60"/>
    <w:rsid w:val="00635C30"/>
    <w:rsid w:val="0063716E"/>
    <w:rsid w:val="00637173"/>
    <w:rsid w:val="006371E7"/>
    <w:rsid w:val="0063742B"/>
    <w:rsid w:val="00637BEC"/>
    <w:rsid w:val="00637D7D"/>
    <w:rsid w:val="0064047C"/>
    <w:rsid w:val="00640C6F"/>
    <w:rsid w:val="00640D5A"/>
    <w:rsid w:val="00640F49"/>
    <w:rsid w:val="00641462"/>
    <w:rsid w:val="00641BA2"/>
    <w:rsid w:val="00642186"/>
    <w:rsid w:val="00642E82"/>
    <w:rsid w:val="00643403"/>
    <w:rsid w:val="00644060"/>
    <w:rsid w:val="006444F0"/>
    <w:rsid w:val="00644F85"/>
    <w:rsid w:val="00645657"/>
    <w:rsid w:val="00646679"/>
    <w:rsid w:val="00646D0E"/>
    <w:rsid w:val="0064741F"/>
    <w:rsid w:val="00647462"/>
    <w:rsid w:val="00647A7F"/>
    <w:rsid w:val="00647D9B"/>
    <w:rsid w:val="00650076"/>
    <w:rsid w:val="0065009E"/>
    <w:rsid w:val="0065027F"/>
    <w:rsid w:val="00650777"/>
    <w:rsid w:val="00650900"/>
    <w:rsid w:val="006509D0"/>
    <w:rsid w:val="00650A5C"/>
    <w:rsid w:val="00651F9E"/>
    <w:rsid w:val="00652516"/>
    <w:rsid w:val="006527E6"/>
    <w:rsid w:val="00653C60"/>
    <w:rsid w:val="00654159"/>
    <w:rsid w:val="00654276"/>
    <w:rsid w:val="006548C3"/>
    <w:rsid w:val="00654B4D"/>
    <w:rsid w:val="00654C62"/>
    <w:rsid w:val="006553BE"/>
    <w:rsid w:val="0065576F"/>
    <w:rsid w:val="00655A03"/>
    <w:rsid w:val="00655B4E"/>
    <w:rsid w:val="0065629A"/>
    <w:rsid w:val="006563EC"/>
    <w:rsid w:val="00656C7A"/>
    <w:rsid w:val="00657095"/>
    <w:rsid w:val="00657532"/>
    <w:rsid w:val="0065783F"/>
    <w:rsid w:val="006579ED"/>
    <w:rsid w:val="00657A77"/>
    <w:rsid w:val="00657D72"/>
    <w:rsid w:val="00657E2E"/>
    <w:rsid w:val="00660DB7"/>
    <w:rsid w:val="006610FE"/>
    <w:rsid w:val="006611B8"/>
    <w:rsid w:val="00661F03"/>
    <w:rsid w:val="00662280"/>
    <w:rsid w:val="0066308A"/>
    <w:rsid w:val="00663526"/>
    <w:rsid w:val="00663669"/>
    <w:rsid w:val="0066372C"/>
    <w:rsid w:val="0066389F"/>
    <w:rsid w:val="006638FE"/>
    <w:rsid w:val="0066392E"/>
    <w:rsid w:val="00663FB6"/>
    <w:rsid w:val="006654EC"/>
    <w:rsid w:val="0066558C"/>
    <w:rsid w:val="00665876"/>
    <w:rsid w:val="00665F37"/>
    <w:rsid w:val="00666019"/>
    <w:rsid w:val="0066627D"/>
    <w:rsid w:val="00667619"/>
    <w:rsid w:val="00667714"/>
    <w:rsid w:val="00667B16"/>
    <w:rsid w:val="006703D5"/>
    <w:rsid w:val="00670435"/>
    <w:rsid w:val="00670C07"/>
    <w:rsid w:val="00671084"/>
    <w:rsid w:val="006711DB"/>
    <w:rsid w:val="0067162F"/>
    <w:rsid w:val="00671CB3"/>
    <w:rsid w:val="00671EA0"/>
    <w:rsid w:val="0067374D"/>
    <w:rsid w:val="00673C46"/>
    <w:rsid w:val="00673E54"/>
    <w:rsid w:val="006742BF"/>
    <w:rsid w:val="00674F05"/>
    <w:rsid w:val="0067593A"/>
    <w:rsid w:val="00675D85"/>
    <w:rsid w:val="0067634B"/>
    <w:rsid w:val="006767DC"/>
    <w:rsid w:val="00676CB7"/>
    <w:rsid w:val="00676DB2"/>
    <w:rsid w:val="00677588"/>
    <w:rsid w:val="00680045"/>
    <w:rsid w:val="00680481"/>
    <w:rsid w:val="006806CA"/>
    <w:rsid w:val="00680B0F"/>
    <w:rsid w:val="00680C81"/>
    <w:rsid w:val="00680F13"/>
    <w:rsid w:val="00681BC8"/>
    <w:rsid w:val="006823E3"/>
    <w:rsid w:val="006827C6"/>
    <w:rsid w:val="0068311A"/>
    <w:rsid w:val="0068330A"/>
    <w:rsid w:val="00683382"/>
    <w:rsid w:val="006839AB"/>
    <w:rsid w:val="0068411A"/>
    <w:rsid w:val="00684847"/>
    <w:rsid w:val="006848CE"/>
    <w:rsid w:val="0068490E"/>
    <w:rsid w:val="0068513D"/>
    <w:rsid w:val="0068607A"/>
    <w:rsid w:val="0068611F"/>
    <w:rsid w:val="00686219"/>
    <w:rsid w:val="0068674C"/>
    <w:rsid w:val="00686DC3"/>
    <w:rsid w:val="00686FD6"/>
    <w:rsid w:val="00687003"/>
    <w:rsid w:val="006878C1"/>
    <w:rsid w:val="00687B7D"/>
    <w:rsid w:val="00690816"/>
    <w:rsid w:val="0069104E"/>
    <w:rsid w:val="00691BBB"/>
    <w:rsid w:val="00692279"/>
    <w:rsid w:val="0069356B"/>
    <w:rsid w:val="006935F6"/>
    <w:rsid w:val="00693CAC"/>
    <w:rsid w:val="00693DFC"/>
    <w:rsid w:val="00694809"/>
    <w:rsid w:val="00694870"/>
    <w:rsid w:val="006949D5"/>
    <w:rsid w:val="00694A0C"/>
    <w:rsid w:val="00694AD8"/>
    <w:rsid w:val="00695054"/>
    <w:rsid w:val="006951F8"/>
    <w:rsid w:val="006952A7"/>
    <w:rsid w:val="00695864"/>
    <w:rsid w:val="006958DD"/>
    <w:rsid w:val="00696537"/>
    <w:rsid w:val="00696AAC"/>
    <w:rsid w:val="00696C57"/>
    <w:rsid w:val="00696EB8"/>
    <w:rsid w:val="00696F87"/>
    <w:rsid w:val="00697A1C"/>
    <w:rsid w:val="006A03A0"/>
    <w:rsid w:val="006A17CE"/>
    <w:rsid w:val="006A19B4"/>
    <w:rsid w:val="006A2A26"/>
    <w:rsid w:val="006A3304"/>
    <w:rsid w:val="006A440A"/>
    <w:rsid w:val="006A4D41"/>
    <w:rsid w:val="006A4D74"/>
    <w:rsid w:val="006A4FA3"/>
    <w:rsid w:val="006A578D"/>
    <w:rsid w:val="006A59DC"/>
    <w:rsid w:val="006A5AB2"/>
    <w:rsid w:val="006A5EE2"/>
    <w:rsid w:val="006A6610"/>
    <w:rsid w:val="006A67CD"/>
    <w:rsid w:val="006A6B11"/>
    <w:rsid w:val="006A7BC6"/>
    <w:rsid w:val="006A7CEA"/>
    <w:rsid w:val="006B0D33"/>
    <w:rsid w:val="006B0DF3"/>
    <w:rsid w:val="006B1367"/>
    <w:rsid w:val="006B1540"/>
    <w:rsid w:val="006B173B"/>
    <w:rsid w:val="006B178E"/>
    <w:rsid w:val="006B1FA3"/>
    <w:rsid w:val="006B2851"/>
    <w:rsid w:val="006B2BF7"/>
    <w:rsid w:val="006B2F03"/>
    <w:rsid w:val="006B3276"/>
    <w:rsid w:val="006B34C1"/>
    <w:rsid w:val="006B3514"/>
    <w:rsid w:val="006B36A7"/>
    <w:rsid w:val="006B4075"/>
    <w:rsid w:val="006B43E7"/>
    <w:rsid w:val="006B4A42"/>
    <w:rsid w:val="006B4E02"/>
    <w:rsid w:val="006B5168"/>
    <w:rsid w:val="006B5D2C"/>
    <w:rsid w:val="006B5F67"/>
    <w:rsid w:val="006B70B3"/>
    <w:rsid w:val="006B72E2"/>
    <w:rsid w:val="006B7599"/>
    <w:rsid w:val="006B76FC"/>
    <w:rsid w:val="006B7712"/>
    <w:rsid w:val="006B7A66"/>
    <w:rsid w:val="006B7C96"/>
    <w:rsid w:val="006C023B"/>
    <w:rsid w:val="006C035F"/>
    <w:rsid w:val="006C05C5"/>
    <w:rsid w:val="006C0733"/>
    <w:rsid w:val="006C1145"/>
    <w:rsid w:val="006C1EAF"/>
    <w:rsid w:val="006C1EB5"/>
    <w:rsid w:val="006C1F23"/>
    <w:rsid w:val="006C315A"/>
    <w:rsid w:val="006C322A"/>
    <w:rsid w:val="006C399E"/>
    <w:rsid w:val="006C3BFE"/>
    <w:rsid w:val="006C3D10"/>
    <w:rsid w:val="006C3F11"/>
    <w:rsid w:val="006C41A5"/>
    <w:rsid w:val="006C4C79"/>
    <w:rsid w:val="006C61DF"/>
    <w:rsid w:val="006C63AA"/>
    <w:rsid w:val="006C670A"/>
    <w:rsid w:val="006C6C75"/>
    <w:rsid w:val="006C6EF0"/>
    <w:rsid w:val="006C6FAB"/>
    <w:rsid w:val="006C7E2B"/>
    <w:rsid w:val="006D0086"/>
    <w:rsid w:val="006D03DF"/>
    <w:rsid w:val="006D07D1"/>
    <w:rsid w:val="006D142C"/>
    <w:rsid w:val="006D2009"/>
    <w:rsid w:val="006D23C4"/>
    <w:rsid w:val="006D2C83"/>
    <w:rsid w:val="006D2FC4"/>
    <w:rsid w:val="006D3161"/>
    <w:rsid w:val="006D33A2"/>
    <w:rsid w:val="006D34ED"/>
    <w:rsid w:val="006D37D4"/>
    <w:rsid w:val="006D3958"/>
    <w:rsid w:val="006D3D4F"/>
    <w:rsid w:val="006D3E6A"/>
    <w:rsid w:val="006D4316"/>
    <w:rsid w:val="006D4CC9"/>
    <w:rsid w:val="006D4E6F"/>
    <w:rsid w:val="006D51BF"/>
    <w:rsid w:val="006D57CA"/>
    <w:rsid w:val="006D5E09"/>
    <w:rsid w:val="006D6661"/>
    <w:rsid w:val="006D7022"/>
    <w:rsid w:val="006D71A1"/>
    <w:rsid w:val="006D7DD6"/>
    <w:rsid w:val="006D7E8F"/>
    <w:rsid w:val="006E0EE1"/>
    <w:rsid w:val="006E14E2"/>
    <w:rsid w:val="006E15DA"/>
    <w:rsid w:val="006E1FC3"/>
    <w:rsid w:val="006E24EE"/>
    <w:rsid w:val="006E277E"/>
    <w:rsid w:val="006E2CDF"/>
    <w:rsid w:val="006E371B"/>
    <w:rsid w:val="006E411B"/>
    <w:rsid w:val="006E4283"/>
    <w:rsid w:val="006E4D4E"/>
    <w:rsid w:val="006E556E"/>
    <w:rsid w:val="006E58BD"/>
    <w:rsid w:val="006E5C34"/>
    <w:rsid w:val="006E5F7D"/>
    <w:rsid w:val="006E5FDB"/>
    <w:rsid w:val="006E61F4"/>
    <w:rsid w:val="006E6214"/>
    <w:rsid w:val="006E6C80"/>
    <w:rsid w:val="006E761A"/>
    <w:rsid w:val="006F037F"/>
    <w:rsid w:val="006F064F"/>
    <w:rsid w:val="006F0900"/>
    <w:rsid w:val="006F0AA2"/>
    <w:rsid w:val="006F1395"/>
    <w:rsid w:val="006F1612"/>
    <w:rsid w:val="006F1760"/>
    <w:rsid w:val="006F1987"/>
    <w:rsid w:val="006F1DFA"/>
    <w:rsid w:val="006F2015"/>
    <w:rsid w:val="006F20D5"/>
    <w:rsid w:val="006F214D"/>
    <w:rsid w:val="006F242C"/>
    <w:rsid w:val="006F24DA"/>
    <w:rsid w:val="006F2A4E"/>
    <w:rsid w:val="006F2F68"/>
    <w:rsid w:val="006F37E7"/>
    <w:rsid w:val="006F3C7F"/>
    <w:rsid w:val="006F3D50"/>
    <w:rsid w:val="006F3F48"/>
    <w:rsid w:val="006F45CC"/>
    <w:rsid w:val="006F5D26"/>
    <w:rsid w:val="006F5FCA"/>
    <w:rsid w:val="006F604D"/>
    <w:rsid w:val="006F6FC9"/>
    <w:rsid w:val="006F735A"/>
    <w:rsid w:val="006F7889"/>
    <w:rsid w:val="007004E3"/>
    <w:rsid w:val="00700C69"/>
    <w:rsid w:val="0070140A"/>
    <w:rsid w:val="007014E5"/>
    <w:rsid w:val="007015CC"/>
    <w:rsid w:val="007021B2"/>
    <w:rsid w:val="00702218"/>
    <w:rsid w:val="0070234C"/>
    <w:rsid w:val="0070268B"/>
    <w:rsid w:val="00702ADD"/>
    <w:rsid w:val="00702E3F"/>
    <w:rsid w:val="00703116"/>
    <w:rsid w:val="00703541"/>
    <w:rsid w:val="007036F9"/>
    <w:rsid w:val="00703A26"/>
    <w:rsid w:val="00703D97"/>
    <w:rsid w:val="00703FA3"/>
    <w:rsid w:val="0070400F"/>
    <w:rsid w:val="00704B21"/>
    <w:rsid w:val="00705667"/>
    <w:rsid w:val="00705C57"/>
    <w:rsid w:val="00706DAB"/>
    <w:rsid w:val="007076E1"/>
    <w:rsid w:val="0070789A"/>
    <w:rsid w:val="00707E10"/>
    <w:rsid w:val="00707F65"/>
    <w:rsid w:val="00710AEF"/>
    <w:rsid w:val="00711321"/>
    <w:rsid w:val="0071255B"/>
    <w:rsid w:val="00713227"/>
    <w:rsid w:val="00713F9E"/>
    <w:rsid w:val="0071547C"/>
    <w:rsid w:val="00715D3C"/>
    <w:rsid w:val="00716719"/>
    <w:rsid w:val="00716721"/>
    <w:rsid w:val="007168F1"/>
    <w:rsid w:val="00716AEF"/>
    <w:rsid w:val="00716BA6"/>
    <w:rsid w:val="00717525"/>
    <w:rsid w:val="00717B2A"/>
    <w:rsid w:val="00720141"/>
    <w:rsid w:val="0072061C"/>
    <w:rsid w:val="00720A3F"/>
    <w:rsid w:val="00721575"/>
    <w:rsid w:val="007219F8"/>
    <w:rsid w:val="00721A95"/>
    <w:rsid w:val="00721C7B"/>
    <w:rsid w:val="00721FD2"/>
    <w:rsid w:val="007238C5"/>
    <w:rsid w:val="007238CC"/>
    <w:rsid w:val="00723A0D"/>
    <w:rsid w:val="00724363"/>
    <w:rsid w:val="0072449D"/>
    <w:rsid w:val="00724541"/>
    <w:rsid w:val="00724A9B"/>
    <w:rsid w:val="007250B2"/>
    <w:rsid w:val="00725A8E"/>
    <w:rsid w:val="00725C63"/>
    <w:rsid w:val="00725E66"/>
    <w:rsid w:val="007262F8"/>
    <w:rsid w:val="00726D23"/>
    <w:rsid w:val="00726DCA"/>
    <w:rsid w:val="00727302"/>
    <w:rsid w:val="00727713"/>
    <w:rsid w:val="0073027C"/>
    <w:rsid w:val="007307F9"/>
    <w:rsid w:val="00730F33"/>
    <w:rsid w:val="00731590"/>
    <w:rsid w:val="007315E5"/>
    <w:rsid w:val="007321E4"/>
    <w:rsid w:val="007324A6"/>
    <w:rsid w:val="00732731"/>
    <w:rsid w:val="00732842"/>
    <w:rsid w:val="00732C6B"/>
    <w:rsid w:val="00732D9D"/>
    <w:rsid w:val="0073322F"/>
    <w:rsid w:val="00733829"/>
    <w:rsid w:val="007347F2"/>
    <w:rsid w:val="007348F6"/>
    <w:rsid w:val="00734B79"/>
    <w:rsid w:val="00734C45"/>
    <w:rsid w:val="0073531F"/>
    <w:rsid w:val="00735AE4"/>
    <w:rsid w:val="00735DA6"/>
    <w:rsid w:val="00735F61"/>
    <w:rsid w:val="00736BA8"/>
    <w:rsid w:val="00736FDB"/>
    <w:rsid w:val="00737196"/>
    <w:rsid w:val="0073732F"/>
    <w:rsid w:val="00737499"/>
    <w:rsid w:val="00737B97"/>
    <w:rsid w:val="00740206"/>
    <w:rsid w:val="007402EE"/>
    <w:rsid w:val="007402FB"/>
    <w:rsid w:val="007404DF"/>
    <w:rsid w:val="00740575"/>
    <w:rsid w:val="00740EE0"/>
    <w:rsid w:val="00741BB4"/>
    <w:rsid w:val="00741CB0"/>
    <w:rsid w:val="00741D03"/>
    <w:rsid w:val="00741EFC"/>
    <w:rsid w:val="00742231"/>
    <w:rsid w:val="00742243"/>
    <w:rsid w:val="00742525"/>
    <w:rsid w:val="00742983"/>
    <w:rsid w:val="00743C50"/>
    <w:rsid w:val="00743D77"/>
    <w:rsid w:val="0074400F"/>
    <w:rsid w:val="00744455"/>
    <w:rsid w:val="0074465D"/>
    <w:rsid w:val="00744C40"/>
    <w:rsid w:val="00744FF3"/>
    <w:rsid w:val="0074503B"/>
    <w:rsid w:val="007457AD"/>
    <w:rsid w:val="007457FF"/>
    <w:rsid w:val="00745B13"/>
    <w:rsid w:val="00746027"/>
    <w:rsid w:val="0074622F"/>
    <w:rsid w:val="0074625D"/>
    <w:rsid w:val="007463AB"/>
    <w:rsid w:val="0074665B"/>
    <w:rsid w:val="007469AF"/>
    <w:rsid w:val="0074738F"/>
    <w:rsid w:val="0074763C"/>
    <w:rsid w:val="00747BEF"/>
    <w:rsid w:val="00747D2E"/>
    <w:rsid w:val="00747FE4"/>
    <w:rsid w:val="0075026B"/>
    <w:rsid w:val="007505FC"/>
    <w:rsid w:val="007506C7"/>
    <w:rsid w:val="007507E2"/>
    <w:rsid w:val="007511BB"/>
    <w:rsid w:val="00751230"/>
    <w:rsid w:val="007522D7"/>
    <w:rsid w:val="007525C1"/>
    <w:rsid w:val="00752AFB"/>
    <w:rsid w:val="00752EA2"/>
    <w:rsid w:val="00753104"/>
    <w:rsid w:val="007534A9"/>
    <w:rsid w:val="00754143"/>
    <w:rsid w:val="00754528"/>
    <w:rsid w:val="0075453C"/>
    <w:rsid w:val="00754BDA"/>
    <w:rsid w:val="00754F76"/>
    <w:rsid w:val="007555FD"/>
    <w:rsid w:val="00755AC7"/>
    <w:rsid w:val="007566A6"/>
    <w:rsid w:val="00756870"/>
    <w:rsid w:val="007568DC"/>
    <w:rsid w:val="00756B6A"/>
    <w:rsid w:val="00756CE4"/>
    <w:rsid w:val="00756D05"/>
    <w:rsid w:val="00757067"/>
    <w:rsid w:val="007575FC"/>
    <w:rsid w:val="00760380"/>
    <w:rsid w:val="00760DDD"/>
    <w:rsid w:val="00761349"/>
    <w:rsid w:val="00761525"/>
    <w:rsid w:val="007615A1"/>
    <w:rsid w:val="007616DA"/>
    <w:rsid w:val="007619A4"/>
    <w:rsid w:val="00761AF2"/>
    <w:rsid w:val="0076217E"/>
    <w:rsid w:val="00762A0E"/>
    <w:rsid w:val="00762C28"/>
    <w:rsid w:val="00762C77"/>
    <w:rsid w:val="0076363A"/>
    <w:rsid w:val="00763906"/>
    <w:rsid w:val="00763A62"/>
    <w:rsid w:val="00763D5C"/>
    <w:rsid w:val="00763E86"/>
    <w:rsid w:val="007640F6"/>
    <w:rsid w:val="007645FD"/>
    <w:rsid w:val="00764D95"/>
    <w:rsid w:val="00764EB8"/>
    <w:rsid w:val="00764F80"/>
    <w:rsid w:val="00765961"/>
    <w:rsid w:val="00765A2D"/>
    <w:rsid w:val="00765BF9"/>
    <w:rsid w:val="00765C95"/>
    <w:rsid w:val="00765D4A"/>
    <w:rsid w:val="0076617E"/>
    <w:rsid w:val="00766824"/>
    <w:rsid w:val="00766D2A"/>
    <w:rsid w:val="00767128"/>
    <w:rsid w:val="007671AD"/>
    <w:rsid w:val="0076792E"/>
    <w:rsid w:val="00767B64"/>
    <w:rsid w:val="00767B9D"/>
    <w:rsid w:val="00767D08"/>
    <w:rsid w:val="00767D68"/>
    <w:rsid w:val="00767DEF"/>
    <w:rsid w:val="00767F09"/>
    <w:rsid w:val="0077016C"/>
    <w:rsid w:val="007702D1"/>
    <w:rsid w:val="007705D5"/>
    <w:rsid w:val="0077065C"/>
    <w:rsid w:val="00770777"/>
    <w:rsid w:val="0077086A"/>
    <w:rsid w:val="00770937"/>
    <w:rsid w:val="00770938"/>
    <w:rsid w:val="00770999"/>
    <w:rsid w:val="00771E40"/>
    <w:rsid w:val="007722B1"/>
    <w:rsid w:val="00772B4C"/>
    <w:rsid w:val="00772EE9"/>
    <w:rsid w:val="0077304A"/>
    <w:rsid w:val="0077361A"/>
    <w:rsid w:val="007741AF"/>
    <w:rsid w:val="00774264"/>
    <w:rsid w:val="00775163"/>
    <w:rsid w:val="00775B9B"/>
    <w:rsid w:val="00775C2C"/>
    <w:rsid w:val="00775D8A"/>
    <w:rsid w:val="007762EF"/>
    <w:rsid w:val="00776D7C"/>
    <w:rsid w:val="00776EEF"/>
    <w:rsid w:val="00777238"/>
    <w:rsid w:val="00777333"/>
    <w:rsid w:val="00777422"/>
    <w:rsid w:val="00777670"/>
    <w:rsid w:val="00777C30"/>
    <w:rsid w:val="00777C81"/>
    <w:rsid w:val="00780426"/>
    <w:rsid w:val="0078044C"/>
    <w:rsid w:val="00780C8E"/>
    <w:rsid w:val="007813CE"/>
    <w:rsid w:val="00781C36"/>
    <w:rsid w:val="00782074"/>
    <w:rsid w:val="007823BA"/>
    <w:rsid w:val="007826D2"/>
    <w:rsid w:val="00782738"/>
    <w:rsid w:val="00782882"/>
    <w:rsid w:val="00783328"/>
    <w:rsid w:val="00784693"/>
    <w:rsid w:val="00784D46"/>
    <w:rsid w:val="007852F7"/>
    <w:rsid w:val="0078597C"/>
    <w:rsid w:val="00785BF5"/>
    <w:rsid w:val="00785F0D"/>
    <w:rsid w:val="007870E1"/>
    <w:rsid w:val="00787DFF"/>
    <w:rsid w:val="00790279"/>
    <w:rsid w:val="007902AC"/>
    <w:rsid w:val="007902D6"/>
    <w:rsid w:val="00790457"/>
    <w:rsid w:val="0079088B"/>
    <w:rsid w:val="00790A22"/>
    <w:rsid w:val="00790BA5"/>
    <w:rsid w:val="00790D55"/>
    <w:rsid w:val="00791003"/>
    <w:rsid w:val="00791531"/>
    <w:rsid w:val="00791568"/>
    <w:rsid w:val="007918C4"/>
    <w:rsid w:val="00792069"/>
    <w:rsid w:val="0079227C"/>
    <w:rsid w:val="00792BBF"/>
    <w:rsid w:val="007939DD"/>
    <w:rsid w:val="00794103"/>
    <w:rsid w:val="00794282"/>
    <w:rsid w:val="00794759"/>
    <w:rsid w:val="00794BB0"/>
    <w:rsid w:val="0079505F"/>
    <w:rsid w:val="0079553B"/>
    <w:rsid w:val="00796C38"/>
    <w:rsid w:val="0079704D"/>
    <w:rsid w:val="00797971"/>
    <w:rsid w:val="007A04C7"/>
    <w:rsid w:val="007A0A48"/>
    <w:rsid w:val="007A2ABB"/>
    <w:rsid w:val="007A2C76"/>
    <w:rsid w:val="007A34B5"/>
    <w:rsid w:val="007A3A60"/>
    <w:rsid w:val="007A3BE0"/>
    <w:rsid w:val="007A3F2C"/>
    <w:rsid w:val="007A3FAA"/>
    <w:rsid w:val="007A3FD1"/>
    <w:rsid w:val="007A407F"/>
    <w:rsid w:val="007A412F"/>
    <w:rsid w:val="007A43CB"/>
    <w:rsid w:val="007A527C"/>
    <w:rsid w:val="007A53E9"/>
    <w:rsid w:val="007A5428"/>
    <w:rsid w:val="007A5CC9"/>
    <w:rsid w:val="007A670F"/>
    <w:rsid w:val="007A69E4"/>
    <w:rsid w:val="007A6BA7"/>
    <w:rsid w:val="007B0524"/>
    <w:rsid w:val="007B0775"/>
    <w:rsid w:val="007B0EFE"/>
    <w:rsid w:val="007B223B"/>
    <w:rsid w:val="007B2444"/>
    <w:rsid w:val="007B2782"/>
    <w:rsid w:val="007B28C5"/>
    <w:rsid w:val="007B3287"/>
    <w:rsid w:val="007B3519"/>
    <w:rsid w:val="007B356D"/>
    <w:rsid w:val="007B3C59"/>
    <w:rsid w:val="007B419E"/>
    <w:rsid w:val="007B49E8"/>
    <w:rsid w:val="007B4C9B"/>
    <w:rsid w:val="007B5235"/>
    <w:rsid w:val="007B5545"/>
    <w:rsid w:val="007B5A4E"/>
    <w:rsid w:val="007B5AA7"/>
    <w:rsid w:val="007B60CD"/>
    <w:rsid w:val="007B6291"/>
    <w:rsid w:val="007B67B3"/>
    <w:rsid w:val="007B688D"/>
    <w:rsid w:val="007B6ABA"/>
    <w:rsid w:val="007B6F3F"/>
    <w:rsid w:val="007B7861"/>
    <w:rsid w:val="007B7927"/>
    <w:rsid w:val="007C06D0"/>
    <w:rsid w:val="007C084A"/>
    <w:rsid w:val="007C0933"/>
    <w:rsid w:val="007C0A59"/>
    <w:rsid w:val="007C0D09"/>
    <w:rsid w:val="007C0DFC"/>
    <w:rsid w:val="007C16F8"/>
    <w:rsid w:val="007C1AA8"/>
    <w:rsid w:val="007C2062"/>
    <w:rsid w:val="007C2117"/>
    <w:rsid w:val="007C23ED"/>
    <w:rsid w:val="007C24EA"/>
    <w:rsid w:val="007C38B6"/>
    <w:rsid w:val="007C482F"/>
    <w:rsid w:val="007C4887"/>
    <w:rsid w:val="007C4C01"/>
    <w:rsid w:val="007C4F2C"/>
    <w:rsid w:val="007C525D"/>
    <w:rsid w:val="007C56DD"/>
    <w:rsid w:val="007C6308"/>
    <w:rsid w:val="007C6D58"/>
    <w:rsid w:val="007C6F8D"/>
    <w:rsid w:val="007C70C9"/>
    <w:rsid w:val="007C7837"/>
    <w:rsid w:val="007C79B2"/>
    <w:rsid w:val="007C7A1C"/>
    <w:rsid w:val="007D00B1"/>
    <w:rsid w:val="007D046A"/>
    <w:rsid w:val="007D0687"/>
    <w:rsid w:val="007D0CF4"/>
    <w:rsid w:val="007D11CD"/>
    <w:rsid w:val="007D2002"/>
    <w:rsid w:val="007D2084"/>
    <w:rsid w:val="007D21E2"/>
    <w:rsid w:val="007D2551"/>
    <w:rsid w:val="007D25DB"/>
    <w:rsid w:val="007D2E07"/>
    <w:rsid w:val="007D2FB8"/>
    <w:rsid w:val="007D319B"/>
    <w:rsid w:val="007D48CF"/>
    <w:rsid w:val="007D5BB1"/>
    <w:rsid w:val="007D65F9"/>
    <w:rsid w:val="007D67F1"/>
    <w:rsid w:val="007D6ADF"/>
    <w:rsid w:val="007D6FB6"/>
    <w:rsid w:val="007D7543"/>
    <w:rsid w:val="007D75DB"/>
    <w:rsid w:val="007D7989"/>
    <w:rsid w:val="007D7AE1"/>
    <w:rsid w:val="007D7BAA"/>
    <w:rsid w:val="007D7F07"/>
    <w:rsid w:val="007E0460"/>
    <w:rsid w:val="007E08FF"/>
    <w:rsid w:val="007E0C92"/>
    <w:rsid w:val="007E1117"/>
    <w:rsid w:val="007E19FD"/>
    <w:rsid w:val="007E20BB"/>
    <w:rsid w:val="007E21CE"/>
    <w:rsid w:val="007E222A"/>
    <w:rsid w:val="007E3212"/>
    <w:rsid w:val="007E3F82"/>
    <w:rsid w:val="007E4586"/>
    <w:rsid w:val="007E467A"/>
    <w:rsid w:val="007E46DA"/>
    <w:rsid w:val="007E4A7A"/>
    <w:rsid w:val="007E4D6D"/>
    <w:rsid w:val="007E55FE"/>
    <w:rsid w:val="007E5874"/>
    <w:rsid w:val="007E58E3"/>
    <w:rsid w:val="007E64CD"/>
    <w:rsid w:val="007E6594"/>
    <w:rsid w:val="007E6981"/>
    <w:rsid w:val="007E6EAC"/>
    <w:rsid w:val="007E767F"/>
    <w:rsid w:val="007E79CA"/>
    <w:rsid w:val="007E7C0C"/>
    <w:rsid w:val="007F0236"/>
    <w:rsid w:val="007F05A3"/>
    <w:rsid w:val="007F0878"/>
    <w:rsid w:val="007F0AE6"/>
    <w:rsid w:val="007F1280"/>
    <w:rsid w:val="007F1C27"/>
    <w:rsid w:val="007F2885"/>
    <w:rsid w:val="007F2A88"/>
    <w:rsid w:val="007F3192"/>
    <w:rsid w:val="007F357D"/>
    <w:rsid w:val="007F361E"/>
    <w:rsid w:val="007F3A8F"/>
    <w:rsid w:val="007F3E64"/>
    <w:rsid w:val="007F4891"/>
    <w:rsid w:val="007F4EBF"/>
    <w:rsid w:val="007F5459"/>
    <w:rsid w:val="007F568B"/>
    <w:rsid w:val="007F5F68"/>
    <w:rsid w:val="007F6076"/>
    <w:rsid w:val="007F65FF"/>
    <w:rsid w:val="007F70F3"/>
    <w:rsid w:val="007F7FF9"/>
    <w:rsid w:val="00800A9F"/>
    <w:rsid w:val="00800B09"/>
    <w:rsid w:val="00800DA9"/>
    <w:rsid w:val="00800F8C"/>
    <w:rsid w:val="0080149B"/>
    <w:rsid w:val="00801C01"/>
    <w:rsid w:val="00802105"/>
    <w:rsid w:val="00802286"/>
    <w:rsid w:val="00802E23"/>
    <w:rsid w:val="00802E2A"/>
    <w:rsid w:val="0080359C"/>
    <w:rsid w:val="00803783"/>
    <w:rsid w:val="00803A01"/>
    <w:rsid w:val="00803D8E"/>
    <w:rsid w:val="00805863"/>
    <w:rsid w:val="00805F75"/>
    <w:rsid w:val="00806226"/>
    <w:rsid w:val="008064BD"/>
    <w:rsid w:val="00806908"/>
    <w:rsid w:val="00806E31"/>
    <w:rsid w:val="00806ED3"/>
    <w:rsid w:val="008071DA"/>
    <w:rsid w:val="008072FC"/>
    <w:rsid w:val="00807E8B"/>
    <w:rsid w:val="008101FD"/>
    <w:rsid w:val="0081055D"/>
    <w:rsid w:val="00810A9D"/>
    <w:rsid w:val="00810CE7"/>
    <w:rsid w:val="008110F9"/>
    <w:rsid w:val="00811368"/>
    <w:rsid w:val="00811714"/>
    <w:rsid w:val="00811A0E"/>
    <w:rsid w:val="008135F7"/>
    <w:rsid w:val="00813B47"/>
    <w:rsid w:val="00813C09"/>
    <w:rsid w:val="008148BA"/>
    <w:rsid w:val="00814906"/>
    <w:rsid w:val="00814969"/>
    <w:rsid w:val="00815197"/>
    <w:rsid w:val="00815DFF"/>
    <w:rsid w:val="008167E0"/>
    <w:rsid w:val="00816CD0"/>
    <w:rsid w:val="00817187"/>
    <w:rsid w:val="0081787B"/>
    <w:rsid w:val="00817ADD"/>
    <w:rsid w:val="00817FA3"/>
    <w:rsid w:val="0082026C"/>
    <w:rsid w:val="008204ED"/>
    <w:rsid w:val="00820892"/>
    <w:rsid w:val="00820C14"/>
    <w:rsid w:val="00820FDF"/>
    <w:rsid w:val="0082101C"/>
    <w:rsid w:val="00821023"/>
    <w:rsid w:val="0082107A"/>
    <w:rsid w:val="00821C82"/>
    <w:rsid w:val="008221E2"/>
    <w:rsid w:val="00822742"/>
    <w:rsid w:val="00822762"/>
    <w:rsid w:val="008227E5"/>
    <w:rsid w:val="0082284D"/>
    <w:rsid w:val="008232B5"/>
    <w:rsid w:val="00823E08"/>
    <w:rsid w:val="00824368"/>
    <w:rsid w:val="0082496E"/>
    <w:rsid w:val="0082505D"/>
    <w:rsid w:val="0082582D"/>
    <w:rsid w:val="008258CA"/>
    <w:rsid w:val="00825988"/>
    <w:rsid w:val="00826A94"/>
    <w:rsid w:val="008270F0"/>
    <w:rsid w:val="008273AE"/>
    <w:rsid w:val="00827446"/>
    <w:rsid w:val="008274B6"/>
    <w:rsid w:val="008274FD"/>
    <w:rsid w:val="00827971"/>
    <w:rsid w:val="00827EEF"/>
    <w:rsid w:val="00830125"/>
    <w:rsid w:val="0083166E"/>
    <w:rsid w:val="00831904"/>
    <w:rsid w:val="0083202C"/>
    <w:rsid w:val="00833AB7"/>
    <w:rsid w:val="00834A03"/>
    <w:rsid w:val="00834E4C"/>
    <w:rsid w:val="0083599D"/>
    <w:rsid w:val="00835E2D"/>
    <w:rsid w:val="0083618E"/>
    <w:rsid w:val="00836836"/>
    <w:rsid w:val="00837436"/>
    <w:rsid w:val="00837568"/>
    <w:rsid w:val="00837F83"/>
    <w:rsid w:val="00837FEB"/>
    <w:rsid w:val="0084031C"/>
    <w:rsid w:val="008404D7"/>
    <w:rsid w:val="00840555"/>
    <w:rsid w:val="00840E68"/>
    <w:rsid w:val="00841425"/>
    <w:rsid w:val="008416BB"/>
    <w:rsid w:val="00841AE2"/>
    <w:rsid w:val="00842962"/>
    <w:rsid w:val="0084297B"/>
    <w:rsid w:val="00843616"/>
    <w:rsid w:val="00843AE6"/>
    <w:rsid w:val="00843B4B"/>
    <w:rsid w:val="00843CF7"/>
    <w:rsid w:val="00843DE4"/>
    <w:rsid w:val="00843F58"/>
    <w:rsid w:val="00843F6C"/>
    <w:rsid w:val="00844DAF"/>
    <w:rsid w:val="00844F39"/>
    <w:rsid w:val="0084587D"/>
    <w:rsid w:val="00845BA5"/>
    <w:rsid w:val="00845C70"/>
    <w:rsid w:val="00845FE2"/>
    <w:rsid w:val="00846026"/>
    <w:rsid w:val="00846196"/>
    <w:rsid w:val="0084677D"/>
    <w:rsid w:val="00847130"/>
    <w:rsid w:val="00847B3E"/>
    <w:rsid w:val="00847DCC"/>
    <w:rsid w:val="00847F89"/>
    <w:rsid w:val="008503CA"/>
    <w:rsid w:val="008506C7"/>
    <w:rsid w:val="00850882"/>
    <w:rsid w:val="00850AF8"/>
    <w:rsid w:val="00850F18"/>
    <w:rsid w:val="008512DA"/>
    <w:rsid w:val="00851598"/>
    <w:rsid w:val="0085173A"/>
    <w:rsid w:val="00851951"/>
    <w:rsid w:val="00851ADC"/>
    <w:rsid w:val="00852824"/>
    <w:rsid w:val="00852D10"/>
    <w:rsid w:val="00852F85"/>
    <w:rsid w:val="00853769"/>
    <w:rsid w:val="00853EA1"/>
    <w:rsid w:val="00853F22"/>
    <w:rsid w:val="00854147"/>
    <w:rsid w:val="00854E48"/>
    <w:rsid w:val="00855451"/>
    <w:rsid w:val="00855499"/>
    <w:rsid w:val="0085629A"/>
    <w:rsid w:val="00856688"/>
    <w:rsid w:val="00856A74"/>
    <w:rsid w:val="00856B7D"/>
    <w:rsid w:val="00856CAE"/>
    <w:rsid w:val="00856F0A"/>
    <w:rsid w:val="008575E4"/>
    <w:rsid w:val="008578BA"/>
    <w:rsid w:val="00857D54"/>
    <w:rsid w:val="0086023D"/>
    <w:rsid w:val="0086034A"/>
    <w:rsid w:val="0086049B"/>
    <w:rsid w:val="008608D7"/>
    <w:rsid w:val="00860F34"/>
    <w:rsid w:val="008612E1"/>
    <w:rsid w:val="00861AC3"/>
    <w:rsid w:val="00861E92"/>
    <w:rsid w:val="00861FBB"/>
    <w:rsid w:val="00862529"/>
    <w:rsid w:val="0086332D"/>
    <w:rsid w:val="0086362C"/>
    <w:rsid w:val="0086389B"/>
    <w:rsid w:val="00863F10"/>
    <w:rsid w:val="0086459A"/>
    <w:rsid w:val="00864FB7"/>
    <w:rsid w:val="008652A3"/>
    <w:rsid w:val="008657CF"/>
    <w:rsid w:val="00865817"/>
    <w:rsid w:val="00865E52"/>
    <w:rsid w:val="0086633F"/>
    <w:rsid w:val="0086635B"/>
    <w:rsid w:val="00866575"/>
    <w:rsid w:val="00867247"/>
    <w:rsid w:val="00867E50"/>
    <w:rsid w:val="00867F4B"/>
    <w:rsid w:val="0087045F"/>
    <w:rsid w:val="0087051F"/>
    <w:rsid w:val="00871104"/>
    <w:rsid w:val="00871429"/>
    <w:rsid w:val="00871CF8"/>
    <w:rsid w:val="008720CC"/>
    <w:rsid w:val="0087308B"/>
    <w:rsid w:val="00873506"/>
    <w:rsid w:val="008735B7"/>
    <w:rsid w:val="00873B06"/>
    <w:rsid w:val="00873F96"/>
    <w:rsid w:val="00874282"/>
    <w:rsid w:val="00874ACB"/>
    <w:rsid w:val="00874AE7"/>
    <w:rsid w:val="00874BC8"/>
    <w:rsid w:val="00875465"/>
    <w:rsid w:val="008755A1"/>
    <w:rsid w:val="008756AD"/>
    <w:rsid w:val="0087577D"/>
    <w:rsid w:val="00875858"/>
    <w:rsid w:val="008758C0"/>
    <w:rsid w:val="00875B43"/>
    <w:rsid w:val="00875C8D"/>
    <w:rsid w:val="00875E56"/>
    <w:rsid w:val="00875F7D"/>
    <w:rsid w:val="008760E4"/>
    <w:rsid w:val="008762D8"/>
    <w:rsid w:val="00876F28"/>
    <w:rsid w:val="00877108"/>
    <w:rsid w:val="008772D3"/>
    <w:rsid w:val="00877AE0"/>
    <w:rsid w:val="00877EFE"/>
    <w:rsid w:val="00880290"/>
    <w:rsid w:val="008805F9"/>
    <w:rsid w:val="008808FE"/>
    <w:rsid w:val="00880C9B"/>
    <w:rsid w:val="00880DA0"/>
    <w:rsid w:val="0088103F"/>
    <w:rsid w:val="0088154A"/>
    <w:rsid w:val="0088155A"/>
    <w:rsid w:val="0088175F"/>
    <w:rsid w:val="008817F0"/>
    <w:rsid w:val="00881C7F"/>
    <w:rsid w:val="0088237B"/>
    <w:rsid w:val="0088283B"/>
    <w:rsid w:val="0088297A"/>
    <w:rsid w:val="00882AD9"/>
    <w:rsid w:val="00882FB6"/>
    <w:rsid w:val="00883238"/>
    <w:rsid w:val="00883C51"/>
    <w:rsid w:val="00883F2C"/>
    <w:rsid w:val="008842D8"/>
    <w:rsid w:val="008844C8"/>
    <w:rsid w:val="00884C5E"/>
    <w:rsid w:val="008852CD"/>
    <w:rsid w:val="00885462"/>
    <w:rsid w:val="008854F5"/>
    <w:rsid w:val="00885652"/>
    <w:rsid w:val="00885861"/>
    <w:rsid w:val="008858CB"/>
    <w:rsid w:val="00885A43"/>
    <w:rsid w:val="00885C18"/>
    <w:rsid w:val="00885C84"/>
    <w:rsid w:val="008860C5"/>
    <w:rsid w:val="008863EA"/>
    <w:rsid w:val="0088640E"/>
    <w:rsid w:val="00887487"/>
    <w:rsid w:val="00887BA3"/>
    <w:rsid w:val="00890157"/>
    <w:rsid w:val="008901A2"/>
    <w:rsid w:val="0089031D"/>
    <w:rsid w:val="0089049B"/>
    <w:rsid w:val="008905FD"/>
    <w:rsid w:val="00890952"/>
    <w:rsid w:val="00891565"/>
    <w:rsid w:val="008920F8"/>
    <w:rsid w:val="008920FE"/>
    <w:rsid w:val="0089252F"/>
    <w:rsid w:val="008928F7"/>
    <w:rsid w:val="00892CEF"/>
    <w:rsid w:val="00892E60"/>
    <w:rsid w:val="00893342"/>
    <w:rsid w:val="00893FDF"/>
    <w:rsid w:val="00894E88"/>
    <w:rsid w:val="00895BD0"/>
    <w:rsid w:val="008960FB"/>
    <w:rsid w:val="00896282"/>
    <w:rsid w:val="0089698B"/>
    <w:rsid w:val="00896D11"/>
    <w:rsid w:val="00896E3D"/>
    <w:rsid w:val="00897181"/>
    <w:rsid w:val="008972BD"/>
    <w:rsid w:val="0089761E"/>
    <w:rsid w:val="008977F7"/>
    <w:rsid w:val="0089788B"/>
    <w:rsid w:val="008978F0"/>
    <w:rsid w:val="008A0408"/>
    <w:rsid w:val="008A1087"/>
    <w:rsid w:val="008A118C"/>
    <w:rsid w:val="008A14B0"/>
    <w:rsid w:val="008A1DA0"/>
    <w:rsid w:val="008A1F1C"/>
    <w:rsid w:val="008A2179"/>
    <w:rsid w:val="008A21A1"/>
    <w:rsid w:val="008A2DF5"/>
    <w:rsid w:val="008A3704"/>
    <w:rsid w:val="008A40CE"/>
    <w:rsid w:val="008A45D3"/>
    <w:rsid w:val="008A4682"/>
    <w:rsid w:val="008A476B"/>
    <w:rsid w:val="008A48F9"/>
    <w:rsid w:val="008A4ECC"/>
    <w:rsid w:val="008A52BA"/>
    <w:rsid w:val="008A5825"/>
    <w:rsid w:val="008A5B32"/>
    <w:rsid w:val="008A5C41"/>
    <w:rsid w:val="008A678D"/>
    <w:rsid w:val="008A67CA"/>
    <w:rsid w:val="008A6CED"/>
    <w:rsid w:val="008A6E89"/>
    <w:rsid w:val="008A71CB"/>
    <w:rsid w:val="008A778B"/>
    <w:rsid w:val="008B023C"/>
    <w:rsid w:val="008B0573"/>
    <w:rsid w:val="008B0755"/>
    <w:rsid w:val="008B0810"/>
    <w:rsid w:val="008B0A81"/>
    <w:rsid w:val="008B10EF"/>
    <w:rsid w:val="008B17C8"/>
    <w:rsid w:val="008B1974"/>
    <w:rsid w:val="008B1CB3"/>
    <w:rsid w:val="008B1F67"/>
    <w:rsid w:val="008B1FB2"/>
    <w:rsid w:val="008B22AD"/>
    <w:rsid w:val="008B2899"/>
    <w:rsid w:val="008B2C57"/>
    <w:rsid w:val="008B3200"/>
    <w:rsid w:val="008B387B"/>
    <w:rsid w:val="008B3903"/>
    <w:rsid w:val="008B3F97"/>
    <w:rsid w:val="008B41ED"/>
    <w:rsid w:val="008B4376"/>
    <w:rsid w:val="008B471B"/>
    <w:rsid w:val="008B49AF"/>
    <w:rsid w:val="008B4AFC"/>
    <w:rsid w:val="008B54A2"/>
    <w:rsid w:val="008B5511"/>
    <w:rsid w:val="008B5995"/>
    <w:rsid w:val="008B67A5"/>
    <w:rsid w:val="008B6E1F"/>
    <w:rsid w:val="008B731E"/>
    <w:rsid w:val="008B7547"/>
    <w:rsid w:val="008B77FC"/>
    <w:rsid w:val="008B7A3A"/>
    <w:rsid w:val="008B7D1F"/>
    <w:rsid w:val="008C04B0"/>
    <w:rsid w:val="008C0CDD"/>
    <w:rsid w:val="008C0F05"/>
    <w:rsid w:val="008C11D6"/>
    <w:rsid w:val="008C14B5"/>
    <w:rsid w:val="008C1575"/>
    <w:rsid w:val="008C1926"/>
    <w:rsid w:val="008C1A07"/>
    <w:rsid w:val="008C2094"/>
    <w:rsid w:val="008C2579"/>
    <w:rsid w:val="008C36C4"/>
    <w:rsid w:val="008C40CE"/>
    <w:rsid w:val="008C452A"/>
    <w:rsid w:val="008C5641"/>
    <w:rsid w:val="008C58BA"/>
    <w:rsid w:val="008C5D40"/>
    <w:rsid w:val="008C5E84"/>
    <w:rsid w:val="008C608D"/>
    <w:rsid w:val="008C653D"/>
    <w:rsid w:val="008C7414"/>
    <w:rsid w:val="008C7504"/>
    <w:rsid w:val="008C767C"/>
    <w:rsid w:val="008C77C6"/>
    <w:rsid w:val="008C7808"/>
    <w:rsid w:val="008C798B"/>
    <w:rsid w:val="008C7B1C"/>
    <w:rsid w:val="008D0028"/>
    <w:rsid w:val="008D0084"/>
    <w:rsid w:val="008D024A"/>
    <w:rsid w:val="008D0318"/>
    <w:rsid w:val="008D05EA"/>
    <w:rsid w:val="008D0950"/>
    <w:rsid w:val="008D1646"/>
    <w:rsid w:val="008D165E"/>
    <w:rsid w:val="008D1B74"/>
    <w:rsid w:val="008D1FB2"/>
    <w:rsid w:val="008D266C"/>
    <w:rsid w:val="008D28A7"/>
    <w:rsid w:val="008D2A31"/>
    <w:rsid w:val="008D2D02"/>
    <w:rsid w:val="008D3601"/>
    <w:rsid w:val="008D3659"/>
    <w:rsid w:val="008D382B"/>
    <w:rsid w:val="008D404C"/>
    <w:rsid w:val="008D4240"/>
    <w:rsid w:val="008D4A36"/>
    <w:rsid w:val="008D5387"/>
    <w:rsid w:val="008D588E"/>
    <w:rsid w:val="008D5949"/>
    <w:rsid w:val="008D5966"/>
    <w:rsid w:val="008D5B0B"/>
    <w:rsid w:val="008D615E"/>
    <w:rsid w:val="008D674E"/>
    <w:rsid w:val="008D7247"/>
    <w:rsid w:val="008D728A"/>
    <w:rsid w:val="008D7665"/>
    <w:rsid w:val="008D76F9"/>
    <w:rsid w:val="008D76FD"/>
    <w:rsid w:val="008E006E"/>
    <w:rsid w:val="008E03CE"/>
    <w:rsid w:val="008E06E5"/>
    <w:rsid w:val="008E0E9B"/>
    <w:rsid w:val="008E0FF3"/>
    <w:rsid w:val="008E1B8B"/>
    <w:rsid w:val="008E2841"/>
    <w:rsid w:val="008E29BE"/>
    <w:rsid w:val="008E29F4"/>
    <w:rsid w:val="008E2B26"/>
    <w:rsid w:val="008E306E"/>
    <w:rsid w:val="008E3506"/>
    <w:rsid w:val="008E479C"/>
    <w:rsid w:val="008E4D73"/>
    <w:rsid w:val="008E5CA4"/>
    <w:rsid w:val="008E6235"/>
    <w:rsid w:val="008E64B1"/>
    <w:rsid w:val="008E66E9"/>
    <w:rsid w:val="008E6C0A"/>
    <w:rsid w:val="008E6DC9"/>
    <w:rsid w:val="008E7356"/>
    <w:rsid w:val="008E7850"/>
    <w:rsid w:val="008E7EF8"/>
    <w:rsid w:val="008F0062"/>
    <w:rsid w:val="008F034F"/>
    <w:rsid w:val="008F0E79"/>
    <w:rsid w:val="008F1090"/>
    <w:rsid w:val="008F1363"/>
    <w:rsid w:val="008F1544"/>
    <w:rsid w:val="008F1AFF"/>
    <w:rsid w:val="008F1E28"/>
    <w:rsid w:val="008F213F"/>
    <w:rsid w:val="008F22CF"/>
    <w:rsid w:val="008F2B66"/>
    <w:rsid w:val="008F2BCC"/>
    <w:rsid w:val="008F2E6E"/>
    <w:rsid w:val="008F310E"/>
    <w:rsid w:val="008F3159"/>
    <w:rsid w:val="008F3B06"/>
    <w:rsid w:val="008F3CB9"/>
    <w:rsid w:val="008F454C"/>
    <w:rsid w:val="008F45A6"/>
    <w:rsid w:val="008F480D"/>
    <w:rsid w:val="008F4883"/>
    <w:rsid w:val="008F639C"/>
    <w:rsid w:val="008F7175"/>
    <w:rsid w:val="008F7820"/>
    <w:rsid w:val="008F7A56"/>
    <w:rsid w:val="008F7C79"/>
    <w:rsid w:val="008F7E76"/>
    <w:rsid w:val="008F7FB8"/>
    <w:rsid w:val="009003C2"/>
    <w:rsid w:val="00900EE6"/>
    <w:rsid w:val="00900EF0"/>
    <w:rsid w:val="00900FED"/>
    <w:rsid w:val="009016C8"/>
    <w:rsid w:val="009022BD"/>
    <w:rsid w:val="00902E5D"/>
    <w:rsid w:val="009032FC"/>
    <w:rsid w:val="009037ED"/>
    <w:rsid w:val="009038E0"/>
    <w:rsid w:val="00904877"/>
    <w:rsid w:val="0090562E"/>
    <w:rsid w:val="00905795"/>
    <w:rsid w:val="00906B1D"/>
    <w:rsid w:val="00906E79"/>
    <w:rsid w:val="009072EA"/>
    <w:rsid w:val="0090736A"/>
    <w:rsid w:val="00907375"/>
    <w:rsid w:val="00907708"/>
    <w:rsid w:val="0090770B"/>
    <w:rsid w:val="00907750"/>
    <w:rsid w:val="00907FFD"/>
    <w:rsid w:val="0091024E"/>
    <w:rsid w:val="009102F4"/>
    <w:rsid w:val="009102FB"/>
    <w:rsid w:val="00910422"/>
    <w:rsid w:val="00910529"/>
    <w:rsid w:val="009108A2"/>
    <w:rsid w:val="0091094F"/>
    <w:rsid w:val="00910C48"/>
    <w:rsid w:val="00910D39"/>
    <w:rsid w:val="0091122A"/>
    <w:rsid w:val="00911669"/>
    <w:rsid w:val="00911692"/>
    <w:rsid w:val="00911A37"/>
    <w:rsid w:val="00911FA5"/>
    <w:rsid w:val="00911FF5"/>
    <w:rsid w:val="009123DC"/>
    <w:rsid w:val="00912A7C"/>
    <w:rsid w:val="00912E3B"/>
    <w:rsid w:val="009137A3"/>
    <w:rsid w:val="009139BF"/>
    <w:rsid w:val="00913AC3"/>
    <w:rsid w:val="00913DA4"/>
    <w:rsid w:val="00913EAA"/>
    <w:rsid w:val="0091414F"/>
    <w:rsid w:val="009143C9"/>
    <w:rsid w:val="00914733"/>
    <w:rsid w:val="009147DB"/>
    <w:rsid w:val="009149EC"/>
    <w:rsid w:val="00915899"/>
    <w:rsid w:val="00915950"/>
    <w:rsid w:val="00915FC3"/>
    <w:rsid w:val="00916125"/>
    <w:rsid w:val="009162EB"/>
    <w:rsid w:val="00916A50"/>
    <w:rsid w:val="00916C02"/>
    <w:rsid w:val="00917540"/>
    <w:rsid w:val="0092029A"/>
    <w:rsid w:val="009203F2"/>
    <w:rsid w:val="0092046C"/>
    <w:rsid w:val="00920488"/>
    <w:rsid w:val="009206FB"/>
    <w:rsid w:val="00920C18"/>
    <w:rsid w:val="00920E68"/>
    <w:rsid w:val="00921007"/>
    <w:rsid w:val="009211C0"/>
    <w:rsid w:val="00921354"/>
    <w:rsid w:val="00921625"/>
    <w:rsid w:val="00921891"/>
    <w:rsid w:val="00921AD9"/>
    <w:rsid w:val="00921D87"/>
    <w:rsid w:val="00921EC0"/>
    <w:rsid w:val="00922005"/>
    <w:rsid w:val="009223C2"/>
    <w:rsid w:val="009227A6"/>
    <w:rsid w:val="00922D94"/>
    <w:rsid w:val="009244C5"/>
    <w:rsid w:val="009247DA"/>
    <w:rsid w:val="00924E11"/>
    <w:rsid w:val="0092522E"/>
    <w:rsid w:val="00925ACB"/>
    <w:rsid w:val="00925BE3"/>
    <w:rsid w:val="00926285"/>
    <w:rsid w:val="00927493"/>
    <w:rsid w:val="009275EF"/>
    <w:rsid w:val="00927766"/>
    <w:rsid w:val="00927A9A"/>
    <w:rsid w:val="0093096A"/>
    <w:rsid w:val="00930D19"/>
    <w:rsid w:val="00931355"/>
    <w:rsid w:val="00931538"/>
    <w:rsid w:val="009317B5"/>
    <w:rsid w:val="0093192A"/>
    <w:rsid w:val="00931999"/>
    <w:rsid w:val="00931D63"/>
    <w:rsid w:val="00932637"/>
    <w:rsid w:val="00932AF9"/>
    <w:rsid w:val="00932BBC"/>
    <w:rsid w:val="00933030"/>
    <w:rsid w:val="00933C19"/>
    <w:rsid w:val="00933D3E"/>
    <w:rsid w:val="0093415F"/>
    <w:rsid w:val="00934749"/>
    <w:rsid w:val="00934BD1"/>
    <w:rsid w:val="00935771"/>
    <w:rsid w:val="00935D66"/>
    <w:rsid w:val="00936247"/>
    <w:rsid w:val="0093632C"/>
    <w:rsid w:val="00936AE8"/>
    <w:rsid w:val="00936BE9"/>
    <w:rsid w:val="00936DA6"/>
    <w:rsid w:val="0093717E"/>
    <w:rsid w:val="00937AC3"/>
    <w:rsid w:val="00937E49"/>
    <w:rsid w:val="00940483"/>
    <w:rsid w:val="0094064C"/>
    <w:rsid w:val="0094073C"/>
    <w:rsid w:val="009413C1"/>
    <w:rsid w:val="0094144D"/>
    <w:rsid w:val="009414A6"/>
    <w:rsid w:val="009417C7"/>
    <w:rsid w:val="009418EA"/>
    <w:rsid w:val="009426A1"/>
    <w:rsid w:val="009427CD"/>
    <w:rsid w:val="00942BE5"/>
    <w:rsid w:val="00942D40"/>
    <w:rsid w:val="00942ED7"/>
    <w:rsid w:val="0094322E"/>
    <w:rsid w:val="00943677"/>
    <w:rsid w:val="00943756"/>
    <w:rsid w:val="00943993"/>
    <w:rsid w:val="00944202"/>
    <w:rsid w:val="00944232"/>
    <w:rsid w:val="0094464A"/>
    <w:rsid w:val="00944AB1"/>
    <w:rsid w:val="00944C67"/>
    <w:rsid w:val="00945521"/>
    <w:rsid w:val="00945743"/>
    <w:rsid w:val="009457D7"/>
    <w:rsid w:val="009461B1"/>
    <w:rsid w:val="00946DDC"/>
    <w:rsid w:val="00947732"/>
    <w:rsid w:val="00950994"/>
    <w:rsid w:val="0095158C"/>
    <w:rsid w:val="009516E7"/>
    <w:rsid w:val="00952695"/>
    <w:rsid w:val="0095359F"/>
    <w:rsid w:val="0095391B"/>
    <w:rsid w:val="00953DB9"/>
    <w:rsid w:val="00954080"/>
    <w:rsid w:val="00954244"/>
    <w:rsid w:val="00954282"/>
    <w:rsid w:val="00954515"/>
    <w:rsid w:val="0095493E"/>
    <w:rsid w:val="00954A02"/>
    <w:rsid w:val="00955038"/>
    <w:rsid w:val="00955C9C"/>
    <w:rsid w:val="00955E1F"/>
    <w:rsid w:val="00955F1A"/>
    <w:rsid w:val="00955F69"/>
    <w:rsid w:val="00956821"/>
    <w:rsid w:val="009577BE"/>
    <w:rsid w:val="009579A7"/>
    <w:rsid w:val="00957F60"/>
    <w:rsid w:val="009602D0"/>
    <w:rsid w:val="0096056F"/>
    <w:rsid w:val="00961452"/>
    <w:rsid w:val="00961676"/>
    <w:rsid w:val="00961D9B"/>
    <w:rsid w:val="00961E0B"/>
    <w:rsid w:val="00961E63"/>
    <w:rsid w:val="009621EF"/>
    <w:rsid w:val="00962563"/>
    <w:rsid w:val="009629BF"/>
    <w:rsid w:val="00962EC4"/>
    <w:rsid w:val="009630D7"/>
    <w:rsid w:val="0096348A"/>
    <w:rsid w:val="009642EA"/>
    <w:rsid w:val="009643D7"/>
    <w:rsid w:val="0096466C"/>
    <w:rsid w:val="00964B5D"/>
    <w:rsid w:val="00964D94"/>
    <w:rsid w:val="009653F0"/>
    <w:rsid w:val="009654F2"/>
    <w:rsid w:val="00966719"/>
    <w:rsid w:val="00966CAF"/>
    <w:rsid w:val="00966D5A"/>
    <w:rsid w:val="00967527"/>
    <w:rsid w:val="00967C91"/>
    <w:rsid w:val="00970775"/>
    <w:rsid w:val="00970876"/>
    <w:rsid w:val="009712A2"/>
    <w:rsid w:val="0097135E"/>
    <w:rsid w:val="00971592"/>
    <w:rsid w:val="00971E4D"/>
    <w:rsid w:val="00972D2C"/>
    <w:rsid w:val="00972EEC"/>
    <w:rsid w:val="00973083"/>
    <w:rsid w:val="009732FA"/>
    <w:rsid w:val="00974410"/>
    <w:rsid w:val="00975450"/>
    <w:rsid w:val="009754BD"/>
    <w:rsid w:val="009755BD"/>
    <w:rsid w:val="00975714"/>
    <w:rsid w:val="00975AC3"/>
    <w:rsid w:val="00975B76"/>
    <w:rsid w:val="00975C19"/>
    <w:rsid w:val="00975EC6"/>
    <w:rsid w:val="00976BE8"/>
    <w:rsid w:val="00976FA9"/>
    <w:rsid w:val="00980362"/>
    <w:rsid w:val="00980460"/>
    <w:rsid w:val="009804E8"/>
    <w:rsid w:val="009806B9"/>
    <w:rsid w:val="0098076B"/>
    <w:rsid w:val="009809D6"/>
    <w:rsid w:val="00980BB3"/>
    <w:rsid w:val="00980E1F"/>
    <w:rsid w:val="00981024"/>
    <w:rsid w:val="00981A27"/>
    <w:rsid w:val="00981B97"/>
    <w:rsid w:val="00981E18"/>
    <w:rsid w:val="00981FC0"/>
    <w:rsid w:val="00982187"/>
    <w:rsid w:val="0098263D"/>
    <w:rsid w:val="0098271D"/>
    <w:rsid w:val="00982ED0"/>
    <w:rsid w:val="009831C2"/>
    <w:rsid w:val="009831C5"/>
    <w:rsid w:val="009832A8"/>
    <w:rsid w:val="009832E0"/>
    <w:rsid w:val="00983635"/>
    <w:rsid w:val="00984015"/>
    <w:rsid w:val="00984171"/>
    <w:rsid w:val="009841C2"/>
    <w:rsid w:val="0098541F"/>
    <w:rsid w:val="00985BB8"/>
    <w:rsid w:val="00985E8F"/>
    <w:rsid w:val="00986209"/>
    <w:rsid w:val="0098623D"/>
    <w:rsid w:val="009863BA"/>
    <w:rsid w:val="009863EA"/>
    <w:rsid w:val="00986610"/>
    <w:rsid w:val="009868E7"/>
    <w:rsid w:val="00986B79"/>
    <w:rsid w:val="00986E07"/>
    <w:rsid w:val="00987A33"/>
    <w:rsid w:val="00987CCB"/>
    <w:rsid w:val="009901FD"/>
    <w:rsid w:val="00990627"/>
    <w:rsid w:val="00990A62"/>
    <w:rsid w:val="009913BE"/>
    <w:rsid w:val="009924CA"/>
    <w:rsid w:val="00992F31"/>
    <w:rsid w:val="00993934"/>
    <w:rsid w:val="00993B5A"/>
    <w:rsid w:val="00993E56"/>
    <w:rsid w:val="00993F28"/>
    <w:rsid w:val="00994245"/>
    <w:rsid w:val="009958BC"/>
    <w:rsid w:val="00995C65"/>
    <w:rsid w:val="0099617C"/>
    <w:rsid w:val="00996684"/>
    <w:rsid w:val="00996880"/>
    <w:rsid w:val="009968E0"/>
    <w:rsid w:val="0099710A"/>
    <w:rsid w:val="0099713E"/>
    <w:rsid w:val="009979B3"/>
    <w:rsid w:val="00997BEB"/>
    <w:rsid w:val="00997D13"/>
    <w:rsid w:val="009A0B62"/>
    <w:rsid w:val="009A0C0F"/>
    <w:rsid w:val="009A1C50"/>
    <w:rsid w:val="009A1C7D"/>
    <w:rsid w:val="009A22FA"/>
    <w:rsid w:val="009A2827"/>
    <w:rsid w:val="009A2B7C"/>
    <w:rsid w:val="009A484A"/>
    <w:rsid w:val="009A4A32"/>
    <w:rsid w:val="009A4E07"/>
    <w:rsid w:val="009A589D"/>
    <w:rsid w:val="009A5D87"/>
    <w:rsid w:val="009A6339"/>
    <w:rsid w:val="009A649F"/>
    <w:rsid w:val="009A6767"/>
    <w:rsid w:val="009A6884"/>
    <w:rsid w:val="009A7280"/>
    <w:rsid w:val="009A7D8C"/>
    <w:rsid w:val="009B0005"/>
    <w:rsid w:val="009B026D"/>
    <w:rsid w:val="009B027E"/>
    <w:rsid w:val="009B0487"/>
    <w:rsid w:val="009B0815"/>
    <w:rsid w:val="009B0B91"/>
    <w:rsid w:val="009B0E11"/>
    <w:rsid w:val="009B14AF"/>
    <w:rsid w:val="009B29D0"/>
    <w:rsid w:val="009B2F30"/>
    <w:rsid w:val="009B3AC8"/>
    <w:rsid w:val="009B3DB7"/>
    <w:rsid w:val="009B3F22"/>
    <w:rsid w:val="009B4282"/>
    <w:rsid w:val="009B455D"/>
    <w:rsid w:val="009B4563"/>
    <w:rsid w:val="009B4648"/>
    <w:rsid w:val="009B4C3E"/>
    <w:rsid w:val="009B534A"/>
    <w:rsid w:val="009B53DE"/>
    <w:rsid w:val="009B5562"/>
    <w:rsid w:val="009B56E6"/>
    <w:rsid w:val="009B5C5E"/>
    <w:rsid w:val="009B601D"/>
    <w:rsid w:val="009B607A"/>
    <w:rsid w:val="009B6370"/>
    <w:rsid w:val="009B6A10"/>
    <w:rsid w:val="009B6C54"/>
    <w:rsid w:val="009B70CE"/>
    <w:rsid w:val="009B7A44"/>
    <w:rsid w:val="009C026C"/>
    <w:rsid w:val="009C02DA"/>
    <w:rsid w:val="009C02DF"/>
    <w:rsid w:val="009C06CA"/>
    <w:rsid w:val="009C07C0"/>
    <w:rsid w:val="009C09A6"/>
    <w:rsid w:val="009C0B9F"/>
    <w:rsid w:val="009C0E69"/>
    <w:rsid w:val="009C18AC"/>
    <w:rsid w:val="009C1993"/>
    <w:rsid w:val="009C1A45"/>
    <w:rsid w:val="009C1C0F"/>
    <w:rsid w:val="009C1CCF"/>
    <w:rsid w:val="009C1D92"/>
    <w:rsid w:val="009C2563"/>
    <w:rsid w:val="009C258F"/>
    <w:rsid w:val="009C2A56"/>
    <w:rsid w:val="009C34BB"/>
    <w:rsid w:val="009C3EE7"/>
    <w:rsid w:val="009C425C"/>
    <w:rsid w:val="009C42C5"/>
    <w:rsid w:val="009C433D"/>
    <w:rsid w:val="009C44AA"/>
    <w:rsid w:val="009C4558"/>
    <w:rsid w:val="009C4650"/>
    <w:rsid w:val="009C468E"/>
    <w:rsid w:val="009C4893"/>
    <w:rsid w:val="009C4EA6"/>
    <w:rsid w:val="009C4F1F"/>
    <w:rsid w:val="009C508B"/>
    <w:rsid w:val="009C50A4"/>
    <w:rsid w:val="009C50B9"/>
    <w:rsid w:val="009C50DC"/>
    <w:rsid w:val="009C547C"/>
    <w:rsid w:val="009C55EE"/>
    <w:rsid w:val="009C5AEA"/>
    <w:rsid w:val="009C60C3"/>
    <w:rsid w:val="009C6441"/>
    <w:rsid w:val="009C6758"/>
    <w:rsid w:val="009C6A9D"/>
    <w:rsid w:val="009C6CFF"/>
    <w:rsid w:val="009C6F12"/>
    <w:rsid w:val="009C78E2"/>
    <w:rsid w:val="009C79D4"/>
    <w:rsid w:val="009D08C3"/>
    <w:rsid w:val="009D08E3"/>
    <w:rsid w:val="009D1710"/>
    <w:rsid w:val="009D19B8"/>
    <w:rsid w:val="009D1AF3"/>
    <w:rsid w:val="009D1C47"/>
    <w:rsid w:val="009D23F8"/>
    <w:rsid w:val="009D2FA9"/>
    <w:rsid w:val="009D3130"/>
    <w:rsid w:val="009D34E1"/>
    <w:rsid w:val="009D3684"/>
    <w:rsid w:val="009D36D7"/>
    <w:rsid w:val="009D375F"/>
    <w:rsid w:val="009D3DAD"/>
    <w:rsid w:val="009D3F94"/>
    <w:rsid w:val="009D591E"/>
    <w:rsid w:val="009D5F5D"/>
    <w:rsid w:val="009D6393"/>
    <w:rsid w:val="009D649E"/>
    <w:rsid w:val="009D669B"/>
    <w:rsid w:val="009D67AE"/>
    <w:rsid w:val="009D67E3"/>
    <w:rsid w:val="009D6810"/>
    <w:rsid w:val="009D7877"/>
    <w:rsid w:val="009E0050"/>
    <w:rsid w:val="009E02FA"/>
    <w:rsid w:val="009E14FA"/>
    <w:rsid w:val="009E170D"/>
    <w:rsid w:val="009E18AB"/>
    <w:rsid w:val="009E1985"/>
    <w:rsid w:val="009E1F80"/>
    <w:rsid w:val="009E2A11"/>
    <w:rsid w:val="009E2B42"/>
    <w:rsid w:val="009E3614"/>
    <w:rsid w:val="009E41E9"/>
    <w:rsid w:val="009E4447"/>
    <w:rsid w:val="009E4D90"/>
    <w:rsid w:val="009E517E"/>
    <w:rsid w:val="009E6A0E"/>
    <w:rsid w:val="009E6D9C"/>
    <w:rsid w:val="009F0532"/>
    <w:rsid w:val="009F0692"/>
    <w:rsid w:val="009F0F76"/>
    <w:rsid w:val="009F14FB"/>
    <w:rsid w:val="009F184F"/>
    <w:rsid w:val="009F1B30"/>
    <w:rsid w:val="009F1B99"/>
    <w:rsid w:val="009F1F0C"/>
    <w:rsid w:val="009F2B47"/>
    <w:rsid w:val="009F2BBF"/>
    <w:rsid w:val="009F3838"/>
    <w:rsid w:val="009F389C"/>
    <w:rsid w:val="009F3A71"/>
    <w:rsid w:val="009F3BAF"/>
    <w:rsid w:val="009F3F38"/>
    <w:rsid w:val="009F418B"/>
    <w:rsid w:val="009F42ED"/>
    <w:rsid w:val="009F450D"/>
    <w:rsid w:val="009F47C3"/>
    <w:rsid w:val="009F53AC"/>
    <w:rsid w:val="009F59E1"/>
    <w:rsid w:val="009F65AD"/>
    <w:rsid w:val="009F6E04"/>
    <w:rsid w:val="009F6EC8"/>
    <w:rsid w:val="009F737C"/>
    <w:rsid w:val="009F74DE"/>
    <w:rsid w:val="009F7DBD"/>
    <w:rsid w:val="009F7FB2"/>
    <w:rsid w:val="00A0008D"/>
    <w:rsid w:val="00A007C6"/>
    <w:rsid w:val="00A00CA4"/>
    <w:rsid w:val="00A00EC1"/>
    <w:rsid w:val="00A01041"/>
    <w:rsid w:val="00A0132E"/>
    <w:rsid w:val="00A01464"/>
    <w:rsid w:val="00A015D7"/>
    <w:rsid w:val="00A027D3"/>
    <w:rsid w:val="00A02A1F"/>
    <w:rsid w:val="00A02B00"/>
    <w:rsid w:val="00A02E77"/>
    <w:rsid w:val="00A030BC"/>
    <w:rsid w:val="00A03261"/>
    <w:rsid w:val="00A038C1"/>
    <w:rsid w:val="00A0420C"/>
    <w:rsid w:val="00A044CA"/>
    <w:rsid w:val="00A048EF"/>
    <w:rsid w:val="00A04963"/>
    <w:rsid w:val="00A0497E"/>
    <w:rsid w:val="00A04DD2"/>
    <w:rsid w:val="00A05A37"/>
    <w:rsid w:val="00A05AE7"/>
    <w:rsid w:val="00A05E44"/>
    <w:rsid w:val="00A05F84"/>
    <w:rsid w:val="00A068D8"/>
    <w:rsid w:val="00A078BD"/>
    <w:rsid w:val="00A10D48"/>
    <w:rsid w:val="00A10D83"/>
    <w:rsid w:val="00A10DAA"/>
    <w:rsid w:val="00A10EA3"/>
    <w:rsid w:val="00A118B7"/>
    <w:rsid w:val="00A122FB"/>
    <w:rsid w:val="00A12829"/>
    <w:rsid w:val="00A12C79"/>
    <w:rsid w:val="00A1356A"/>
    <w:rsid w:val="00A135DE"/>
    <w:rsid w:val="00A14112"/>
    <w:rsid w:val="00A14A96"/>
    <w:rsid w:val="00A14DCC"/>
    <w:rsid w:val="00A14E8D"/>
    <w:rsid w:val="00A15177"/>
    <w:rsid w:val="00A15606"/>
    <w:rsid w:val="00A157A0"/>
    <w:rsid w:val="00A15C15"/>
    <w:rsid w:val="00A160CB"/>
    <w:rsid w:val="00A1627C"/>
    <w:rsid w:val="00A16B15"/>
    <w:rsid w:val="00A16F39"/>
    <w:rsid w:val="00A17EAF"/>
    <w:rsid w:val="00A207E5"/>
    <w:rsid w:val="00A209E7"/>
    <w:rsid w:val="00A20B26"/>
    <w:rsid w:val="00A211C2"/>
    <w:rsid w:val="00A2183E"/>
    <w:rsid w:val="00A21D75"/>
    <w:rsid w:val="00A2212E"/>
    <w:rsid w:val="00A2223C"/>
    <w:rsid w:val="00A2253D"/>
    <w:rsid w:val="00A23782"/>
    <w:rsid w:val="00A23AF9"/>
    <w:rsid w:val="00A23F28"/>
    <w:rsid w:val="00A2416C"/>
    <w:rsid w:val="00A24937"/>
    <w:rsid w:val="00A24991"/>
    <w:rsid w:val="00A24A1C"/>
    <w:rsid w:val="00A24D58"/>
    <w:rsid w:val="00A24DDD"/>
    <w:rsid w:val="00A2555B"/>
    <w:rsid w:val="00A255F5"/>
    <w:rsid w:val="00A258EF"/>
    <w:rsid w:val="00A25B50"/>
    <w:rsid w:val="00A26125"/>
    <w:rsid w:val="00A265FD"/>
    <w:rsid w:val="00A26684"/>
    <w:rsid w:val="00A26997"/>
    <w:rsid w:val="00A271F5"/>
    <w:rsid w:val="00A277C0"/>
    <w:rsid w:val="00A27856"/>
    <w:rsid w:val="00A27874"/>
    <w:rsid w:val="00A301EB"/>
    <w:rsid w:val="00A30537"/>
    <w:rsid w:val="00A307D0"/>
    <w:rsid w:val="00A30E83"/>
    <w:rsid w:val="00A31EB2"/>
    <w:rsid w:val="00A323B6"/>
    <w:rsid w:val="00A323BD"/>
    <w:rsid w:val="00A32BA0"/>
    <w:rsid w:val="00A33422"/>
    <w:rsid w:val="00A33AD4"/>
    <w:rsid w:val="00A34770"/>
    <w:rsid w:val="00A34871"/>
    <w:rsid w:val="00A34D1B"/>
    <w:rsid w:val="00A34D54"/>
    <w:rsid w:val="00A350B0"/>
    <w:rsid w:val="00A35174"/>
    <w:rsid w:val="00A3590C"/>
    <w:rsid w:val="00A36842"/>
    <w:rsid w:val="00A371E3"/>
    <w:rsid w:val="00A37792"/>
    <w:rsid w:val="00A40011"/>
    <w:rsid w:val="00A40711"/>
    <w:rsid w:val="00A408F0"/>
    <w:rsid w:val="00A40CB0"/>
    <w:rsid w:val="00A41150"/>
    <w:rsid w:val="00A421CB"/>
    <w:rsid w:val="00A42D95"/>
    <w:rsid w:val="00A42DA7"/>
    <w:rsid w:val="00A42FE8"/>
    <w:rsid w:val="00A436D0"/>
    <w:rsid w:val="00A4422C"/>
    <w:rsid w:val="00A44D6F"/>
    <w:rsid w:val="00A44F0F"/>
    <w:rsid w:val="00A452BA"/>
    <w:rsid w:val="00A45896"/>
    <w:rsid w:val="00A458FA"/>
    <w:rsid w:val="00A46228"/>
    <w:rsid w:val="00A4630E"/>
    <w:rsid w:val="00A463BD"/>
    <w:rsid w:val="00A464AE"/>
    <w:rsid w:val="00A46818"/>
    <w:rsid w:val="00A4684C"/>
    <w:rsid w:val="00A46AB4"/>
    <w:rsid w:val="00A46B94"/>
    <w:rsid w:val="00A47053"/>
    <w:rsid w:val="00A479B2"/>
    <w:rsid w:val="00A47EF3"/>
    <w:rsid w:val="00A500D7"/>
    <w:rsid w:val="00A50A69"/>
    <w:rsid w:val="00A516CC"/>
    <w:rsid w:val="00A516D8"/>
    <w:rsid w:val="00A51AC8"/>
    <w:rsid w:val="00A5238A"/>
    <w:rsid w:val="00A52701"/>
    <w:rsid w:val="00A529D2"/>
    <w:rsid w:val="00A52D26"/>
    <w:rsid w:val="00A5360C"/>
    <w:rsid w:val="00A54B18"/>
    <w:rsid w:val="00A54DFA"/>
    <w:rsid w:val="00A54FB3"/>
    <w:rsid w:val="00A555B4"/>
    <w:rsid w:val="00A55742"/>
    <w:rsid w:val="00A55AD1"/>
    <w:rsid w:val="00A55D1D"/>
    <w:rsid w:val="00A56224"/>
    <w:rsid w:val="00A5627A"/>
    <w:rsid w:val="00A56422"/>
    <w:rsid w:val="00A56496"/>
    <w:rsid w:val="00A566F3"/>
    <w:rsid w:val="00A56704"/>
    <w:rsid w:val="00A56776"/>
    <w:rsid w:val="00A567AB"/>
    <w:rsid w:val="00A56F82"/>
    <w:rsid w:val="00A5705B"/>
    <w:rsid w:val="00A573B5"/>
    <w:rsid w:val="00A5759D"/>
    <w:rsid w:val="00A57B5E"/>
    <w:rsid w:val="00A57DF4"/>
    <w:rsid w:val="00A57FE8"/>
    <w:rsid w:val="00A603BA"/>
    <w:rsid w:val="00A61ABF"/>
    <w:rsid w:val="00A61C3E"/>
    <w:rsid w:val="00A61E72"/>
    <w:rsid w:val="00A622F9"/>
    <w:rsid w:val="00A62B31"/>
    <w:rsid w:val="00A62F03"/>
    <w:rsid w:val="00A634CA"/>
    <w:rsid w:val="00A63525"/>
    <w:rsid w:val="00A63EDB"/>
    <w:rsid w:val="00A647A7"/>
    <w:rsid w:val="00A64931"/>
    <w:rsid w:val="00A64A8A"/>
    <w:rsid w:val="00A64C79"/>
    <w:rsid w:val="00A65028"/>
    <w:rsid w:val="00A655DF"/>
    <w:rsid w:val="00A65A9F"/>
    <w:rsid w:val="00A65FF5"/>
    <w:rsid w:val="00A667FC"/>
    <w:rsid w:val="00A6697B"/>
    <w:rsid w:val="00A6699C"/>
    <w:rsid w:val="00A672C5"/>
    <w:rsid w:val="00A67F4D"/>
    <w:rsid w:val="00A7003F"/>
    <w:rsid w:val="00A70475"/>
    <w:rsid w:val="00A705A5"/>
    <w:rsid w:val="00A70C14"/>
    <w:rsid w:val="00A71337"/>
    <w:rsid w:val="00A71B20"/>
    <w:rsid w:val="00A71F51"/>
    <w:rsid w:val="00A7226B"/>
    <w:rsid w:val="00A724DF"/>
    <w:rsid w:val="00A72873"/>
    <w:rsid w:val="00A728FD"/>
    <w:rsid w:val="00A7370C"/>
    <w:rsid w:val="00A73A85"/>
    <w:rsid w:val="00A73C59"/>
    <w:rsid w:val="00A74D16"/>
    <w:rsid w:val="00A75767"/>
    <w:rsid w:val="00A75CA9"/>
    <w:rsid w:val="00A7625E"/>
    <w:rsid w:val="00A771A7"/>
    <w:rsid w:val="00A7755D"/>
    <w:rsid w:val="00A77A02"/>
    <w:rsid w:val="00A80466"/>
    <w:rsid w:val="00A809A6"/>
    <w:rsid w:val="00A80D6F"/>
    <w:rsid w:val="00A82990"/>
    <w:rsid w:val="00A829D7"/>
    <w:rsid w:val="00A830A5"/>
    <w:rsid w:val="00A83E18"/>
    <w:rsid w:val="00A84B3D"/>
    <w:rsid w:val="00A84D8C"/>
    <w:rsid w:val="00A8501D"/>
    <w:rsid w:val="00A8539C"/>
    <w:rsid w:val="00A8555C"/>
    <w:rsid w:val="00A856BB"/>
    <w:rsid w:val="00A85753"/>
    <w:rsid w:val="00A85FF5"/>
    <w:rsid w:val="00A8606C"/>
    <w:rsid w:val="00A86F2B"/>
    <w:rsid w:val="00A902BE"/>
    <w:rsid w:val="00A90495"/>
    <w:rsid w:val="00A90D2B"/>
    <w:rsid w:val="00A90E26"/>
    <w:rsid w:val="00A9141D"/>
    <w:rsid w:val="00A9186E"/>
    <w:rsid w:val="00A91CA1"/>
    <w:rsid w:val="00A91CF5"/>
    <w:rsid w:val="00A91D76"/>
    <w:rsid w:val="00A9208D"/>
    <w:rsid w:val="00A9212F"/>
    <w:rsid w:val="00A9253E"/>
    <w:rsid w:val="00A93C54"/>
    <w:rsid w:val="00A9401A"/>
    <w:rsid w:val="00A94033"/>
    <w:rsid w:val="00A941B0"/>
    <w:rsid w:val="00A947EF"/>
    <w:rsid w:val="00A94999"/>
    <w:rsid w:val="00A94D95"/>
    <w:rsid w:val="00A95051"/>
    <w:rsid w:val="00A950B4"/>
    <w:rsid w:val="00A9522E"/>
    <w:rsid w:val="00A958E3"/>
    <w:rsid w:val="00A959AE"/>
    <w:rsid w:val="00A9646F"/>
    <w:rsid w:val="00A96599"/>
    <w:rsid w:val="00A9706B"/>
    <w:rsid w:val="00A975A0"/>
    <w:rsid w:val="00AA0076"/>
    <w:rsid w:val="00AA04E1"/>
    <w:rsid w:val="00AA08AC"/>
    <w:rsid w:val="00AA0CF3"/>
    <w:rsid w:val="00AA19BB"/>
    <w:rsid w:val="00AA1F3C"/>
    <w:rsid w:val="00AA1F5E"/>
    <w:rsid w:val="00AA2224"/>
    <w:rsid w:val="00AA231E"/>
    <w:rsid w:val="00AA2EC0"/>
    <w:rsid w:val="00AA31F4"/>
    <w:rsid w:val="00AA3A59"/>
    <w:rsid w:val="00AA3C42"/>
    <w:rsid w:val="00AA44E9"/>
    <w:rsid w:val="00AA466E"/>
    <w:rsid w:val="00AA4845"/>
    <w:rsid w:val="00AA548F"/>
    <w:rsid w:val="00AA54B6"/>
    <w:rsid w:val="00AA54C6"/>
    <w:rsid w:val="00AA5B3B"/>
    <w:rsid w:val="00AA5B98"/>
    <w:rsid w:val="00AA5FDA"/>
    <w:rsid w:val="00AA652E"/>
    <w:rsid w:val="00AA6821"/>
    <w:rsid w:val="00AA70C7"/>
    <w:rsid w:val="00AA7D61"/>
    <w:rsid w:val="00AB04BB"/>
    <w:rsid w:val="00AB081A"/>
    <w:rsid w:val="00AB111A"/>
    <w:rsid w:val="00AB13E9"/>
    <w:rsid w:val="00AB1C95"/>
    <w:rsid w:val="00AB2110"/>
    <w:rsid w:val="00AB2778"/>
    <w:rsid w:val="00AB27D6"/>
    <w:rsid w:val="00AB2C0B"/>
    <w:rsid w:val="00AB2D21"/>
    <w:rsid w:val="00AB2D36"/>
    <w:rsid w:val="00AB3144"/>
    <w:rsid w:val="00AB3295"/>
    <w:rsid w:val="00AB3C58"/>
    <w:rsid w:val="00AB43A4"/>
    <w:rsid w:val="00AB49CE"/>
    <w:rsid w:val="00AB49E1"/>
    <w:rsid w:val="00AB4C4B"/>
    <w:rsid w:val="00AB4FB8"/>
    <w:rsid w:val="00AB5409"/>
    <w:rsid w:val="00AB550E"/>
    <w:rsid w:val="00AB559E"/>
    <w:rsid w:val="00AB55DD"/>
    <w:rsid w:val="00AB6ADB"/>
    <w:rsid w:val="00AB761B"/>
    <w:rsid w:val="00AB7D48"/>
    <w:rsid w:val="00AB7ED6"/>
    <w:rsid w:val="00AC0354"/>
    <w:rsid w:val="00AC0C4E"/>
    <w:rsid w:val="00AC2268"/>
    <w:rsid w:val="00AC2F6D"/>
    <w:rsid w:val="00AC321A"/>
    <w:rsid w:val="00AC3462"/>
    <w:rsid w:val="00AC371D"/>
    <w:rsid w:val="00AC49D7"/>
    <w:rsid w:val="00AC515F"/>
    <w:rsid w:val="00AC6805"/>
    <w:rsid w:val="00AC6A25"/>
    <w:rsid w:val="00AC6C0E"/>
    <w:rsid w:val="00AC7079"/>
    <w:rsid w:val="00AC70D5"/>
    <w:rsid w:val="00AC75D7"/>
    <w:rsid w:val="00AC79B3"/>
    <w:rsid w:val="00AC7DE4"/>
    <w:rsid w:val="00AC7FB6"/>
    <w:rsid w:val="00AD017B"/>
    <w:rsid w:val="00AD0741"/>
    <w:rsid w:val="00AD0D33"/>
    <w:rsid w:val="00AD240E"/>
    <w:rsid w:val="00AD2711"/>
    <w:rsid w:val="00AD2FB5"/>
    <w:rsid w:val="00AD30C3"/>
    <w:rsid w:val="00AD312E"/>
    <w:rsid w:val="00AD37F9"/>
    <w:rsid w:val="00AD44A1"/>
    <w:rsid w:val="00AD556C"/>
    <w:rsid w:val="00AD5632"/>
    <w:rsid w:val="00AD5642"/>
    <w:rsid w:val="00AD5AD7"/>
    <w:rsid w:val="00AD5F4E"/>
    <w:rsid w:val="00AD61B2"/>
    <w:rsid w:val="00AD6360"/>
    <w:rsid w:val="00AD664D"/>
    <w:rsid w:val="00AD67BE"/>
    <w:rsid w:val="00AD6A8B"/>
    <w:rsid w:val="00AD6B0C"/>
    <w:rsid w:val="00AD6F30"/>
    <w:rsid w:val="00AD739E"/>
    <w:rsid w:val="00AD79B5"/>
    <w:rsid w:val="00AD7E6D"/>
    <w:rsid w:val="00AD7F68"/>
    <w:rsid w:val="00AE0C6E"/>
    <w:rsid w:val="00AE0CE2"/>
    <w:rsid w:val="00AE164D"/>
    <w:rsid w:val="00AE1742"/>
    <w:rsid w:val="00AE1D82"/>
    <w:rsid w:val="00AE1DC6"/>
    <w:rsid w:val="00AE1FBB"/>
    <w:rsid w:val="00AE1FD0"/>
    <w:rsid w:val="00AE2642"/>
    <w:rsid w:val="00AE2AC7"/>
    <w:rsid w:val="00AE3106"/>
    <w:rsid w:val="00AE32FD"/>
    <w:rsid w:val="00AE3627"/>
    <w:rsid w:val="00AE3BC6"/>
    <w:rsid w:val="00AE3DF5"/>
    <w:rsid w:val="00AE3F45"/>
    <w:rsid w:val="00AE4124"/>
    <w:rsid w:val="00AE4208"/>
    <w:rsid w:val="00AE4234"/>
    <w:rsid w:val="00AE43CC"/>
    <w:rsid w:val="00AE456A"/>
    <w:rsid w:val="00AE4614"/>
    <w:rsid w:val="00AE4A51"/>
    <w:rsid w:val="00AE4D70"/>
    <w:rsid w:val="00AE5E4B"/>
    <w:rsid w:val="00AE6674"/>
    <w:rsid w:val="00AE67DD"/>
    <w:rsid w:val="00AE6CB1"/>
    <w:rsid w:val="00AE717E"/>
    <w:rsid w:val="00AE7325"/>
    <w:rsid w:val="00AE7344"/>
    <w:rsid w:val="00AF0510"/>
    <w:rsid w:val="00AF0898"/>
    <w:rsid w:val="00AF0A6A"/>
    <w:rsid w:val="00AF0B9C"/>
    <w:rsid w:val="00AF0DD6"/>
    <w:rsid w:val="00AF11AE"/>
    <w:rsid w:val="00AF1779"/>
    <w:rsid w:val="00AF235E"/>
    <w:rsid w:val="00AF2509"/>
    <w:rsid w:val="00AF257E"/>
    <w:rsid w:val="00AF2798"/>
    <w:rsid w:val="00AF2921"/>
    <w:rsid w:val="00AF3295"/>
    <w:rsid w:val="00AF34C4"/>
    <w:rsid w:val="00AF3936"/>
    <w:rsid w:val="00AF4280"/>
    <w:rsid w:val="00AF43C2"/>
    <w:rsid w:val="00AF4509"/>
    <w:rsid w:val="00AF4F67"/>
    <w:rsid w:val="00AF5051"/>
    <w:rsid w:val="00AF5177"/>
    <w:rsid w:val="00AF522C"/>
    <w:rsid w:val="00AF5C36"/>
    <w:rsid w:val="00AF5DEF"/>
    <w:rsid w:val="00AF602C"/>
    <w:rsid w:val="00AF621C"/>
    <w:rsid w:val="00AF7CAF"/>
    <w:rsid w:val="00B001A0"/>
    <w:rsid w:val="00B00B76"/>
    <w:rsid w:val="00B00C44"/>
    <w:rsid w:val="00B00C6F"/>
    <w:rsid w:val="00B00DB7"/>
    <w:rsid w:val="00B0102C"/>
    <w:rsid w:val="00B011CC"/>
    <w:rsid w:val="00B01D58"/>
    <w:rsid w:val="00B01DCB"/>
    <w:rsid w:val="00B01DE8"/>
    <w:rsid w:val="00B02B3A"/>
    <w:rsid w:val="00B02D90"/>
    <w:rsid w:val="00B03544"/>
    <w:rsid w:val="00B037F0"/>
    <w:rsid w:val="00B038E4"/>
    <w:rsid w:val="00B0432D"/>
    <w:rsid w:val="00B05585"/>
    <w:rsid w:val="00B05854"/>
    <w:rsid w:val="00B05F6A"/>
    <w:rsid w:val="00B05F7A"/>
    <w:rsid w:val="00B06089"/>
    <w:rsid w:val="00B064D5"/>
    <w:rsid w:val="00B06E67"/>
    <w:rsid w:val="00B070B8"/>
    <w:rsid w:val="00B07A01"/>
    <w:rsid w:val="00B10037"/>
    <w:rsid w:val="00B10C8A"/>
    <w:rsid w:val="00B10E6D"/>
    <w:rsid w:val="00B112D1"/>
    <w:rsid w:val="00B119CB"/>
    <w:rsid w:val="00B135AD"/>
    <w:rsid w:val="00B13C13"/>
    <w:rsid w:val="00B13D43"/>
    <w:rsid w:val="00B141A8"/>
    <w:rsid w:val="00B14277"/>
    <w:rsid w:val="00B1472D"/>
    <w:rsid w:val="00B14BA6"/>
    <w:rsid w:val="00B14CF4"/>
    <w:rsid w:val="00B15181"/>
    <w:rsid w:val="00B15506"/>
    <w:rsid w:val="00B159BB"/>
    <w:rsid w:val="00B164F9"/>
    <w:rsid w:val="00B16545"/>
    <w:rsid w:val="00B16D34"/>
    <w:rsid w:val="00B1715B"/>
    <w:rsid w:val="00B17B0D"/>
    <w:rsid w:val="00B17EFB"/>
    <w:rsid w:val="00B202A9"/>
    <w:rsid w:val="00B205E2"/>
    <w:rsid w:val="00B2079F"/>
    <w:rsid w:val="00B20EDA"/>
    <w:rsid w:val="00B20F87"/>
    <w:rsid w:val="00B2101A"/>
    <w:rsid w:val="00B215E7"/>
    <w:rsid w:val="00B21A61"/>
    <w:rsid w:val="00B226DE"/>
    <w:rsid w:val="00B2323F"/>
    <w:rsid w:val="00B23651"/>
    <w:rsid w:val="00B240A8"/>
    <w:rsid w:val="00B244D7"/>
    <w:rsid w:val="00B24AD8"/>
    <w:rsid w:val="00B24E71"/>
    <w:rsid w:val="00B250D5"/>
    <w:rsid w:val="00B254D1"/>
    <w:rsid w:val="00B257C5"/>
    <w:rsid w:val="00B25DE9"/>
    <w:rsid w:val="00B25DF4"/>
    <w:rsid w:val="00B26198"/>
    <w:rsid w:val="00B26795"/>
    <w:rsid w:val="00B27383"/>
    <w:rsid w:val="00B301D1"/>
    <w:rsid w:val="00B302BC"/>
    <w:rsid w:val="00B315C9"/>
    <w:rsid w:val="00B324F3"/>
    <w:rsid w:val="00B32559"/>
    <w:rsid w:val="00B32712"/>
    <w:rsid w:val="00B3274A"/>
    <w:rsid w:val="00B32A74"/>
    <w:rsid w:val="00B32EA7"/>
    <w:rsid w:val="00B33461"/>
    <w:rsid w:val="00B335CF"/>
    <w:rsid w:val="00B340E6"/>
    <w:rsid w:val="00B34181"/>
    <w:rsid w:val="00B3434E"/>
    <w:rsid w:val="00B34F3A"/>
    <w:rsid w:val="00B34F95"/>
    <w:rsid w:val="00B35499"/>
    <w:rsid w:val="00B3560B"/>
    <w:rsid w:val="00B35E7C"/>
    <w:rsid w:val="00B360C1"/>
    <w:rsid w:val="00B3620D"/>
    <w:rsid w:val="00B367D4"/>
    <w:rsid w:val="00B3692B"/>
    <w:rsid w:val="00B36C24"/>
    <w:rsid w:val="00B36DF7"/>
    <w:rsid w:val="00B3711B"/>
    <w:rsid w:val="00B37422"/>
    <w:rsid w:val="00B37567"/>
    <w:rsid w:val="00B37F12"/>
    <w:rsid w:val="00B37FC8"/>
    <w:rsid w:val="00B403BB"/>
    <w:rsid w:val="00B40B08"/>
    <w:rsid w:val="00B40FE8"/>
    <w:rsid w:val="00B412F2"/>
    <w:rsid w:val="00B41589"/>
    <w:rsid w:val="00B418A2"/>
    <w:rsid w:val="00B41C93"/>
    <w:rsid w:val="00B41D3A"/>
    <w:rsid w:val="00B420A1"/>
    <w:rsid w:val="00B424E3"/>
    <w:rsid w:val="00B4284D"/>
    <w:rsid w:val="00B431D0"/>
    <w:rsid w:val="00B433FF"/>
    <w:rsid w:val="00B43636"/>
    <w:rsid w:val="00B44021"/>
    <w:rsid w:val="00B4459E"/>
    <w:rsid w:val="00B447C7"/>
    <w:rsid w:val="00B44A4D"/>
    <w:rsid w:val="00B44E73"/>
    <w:rsid w:val="00B450F0"/>
    <w:rsid w:val="00B45220"/>
    <w:rsid w:val="00B45590"/>
    <w:rsid w:val="00B45A7C"/>
    <w:rsid w:val="00B46048"/>
    <w:rsid w:val="00B46339"/>
    <w:rsid w:val="00B46C39"/>
    <w:rsid w:val="00B475EB"/>
    <w:rsid w:val="00B47604"/>
    <w:rsid w:val="00B476E2"/>
    <w:rsid w:val="00B47AA5"/>
    <w:rsid w:val="00B50059"/>
    <w:rsid w:val="00B50C9B"/>
    <w:rsid w:val="00B5121C"/>
    <w:rsid w:val="00B51575"/>
    <w:rsid w:val="00B516CE"/>
    <w:rsid w:val="00B516EB"/>
    <w:rsid w:val="00B5181C"/>
    <w:rsid w:val="00B519BA"/>
    <w:rsid w:val="00B51BF2"/>
    <w:rsid w:val="00B5265C"/>
    <w:rsid w:val="00B53CF7"/>
    <w:rsid w:val="00B53FD7"/>
    <w:rsid w:val="00B546B7"/>
    <w:rsid w:val="00B5472E"/>
    <w:rsid w:val="00B54750"/>
    <w:rsid w:val="00B549C9"/>
    <w:rsid w:val="00B5516B"/>
    <w:rsid w:val="00B552D4"/>
    <w:rsid w:val="00B55BB1"/>
    <w:rsid w:val="00B55E29"/>
    <w:rsid w:val="00B56A1F"/>
    <w:rsid w:val="00B56C0C"/>
    <w:rsid w:val="00B578A4"/>
    <w:rsid w:val="00B60136"/>
    <w:rsid w:val="00B6016E"/>
    <w:rsid w:val="00B603B7"/>
    <w:rsid w:val="00B6102C"/>
    <w:rsid w:val="00B6148A"/>
    <w:rsid w:val="00B620BB"/>
    <w:rsid w:val="00B625BE"/>
    <w:rsid w:val="00B626C9"/>
    <w:rsid w:val="00B62912"/>
    <w:rsid w:val="00B62A87"/>
    <w:rsid w:val="00B62C90"/>
    <w:rsid w:val="00B642D1"/>
    <w:rsid w:val="00B6446A"/>
    <w:rsid w:val="00B6463A"/>
    <w:rsid w:val="00B64A38"/>
    <w:rsid w:val="00B64EB0"/>
    <w:rsid w:val="00B655BB"/>
    <w:rsid w:val="00B65621"/>
    <w:rsid w:val="00B65854"/>
    <w:rsid w:val="00B66576"/>
    <w:rsid w:val="00B66839"/>
    <w:rsid w:val="00B66B11"/>
    <w:rsid w:val="00B66B6A"/>
    <w:rsid w:val="00B66E30"/>
    <w:rsid w:val="00B66F8A"/>
    <w:rsid w:val="00B67C9F"/>
    <w:rsid w:val="00B70AD6"/>
    <w:rsid w:val="00B70D34"/>
    <w:rsid w:val="00B71185"/>
    <w:rsid w:val="00B712CA"/>
    <w:rsid w:val="00B717CE"/>
    <w:rsid w:val="00B719A7"/>
    <w:rsid w:val="00B722CC"/>
    <w:rsid w:val="00B72A4B"/>
    <w:rsid w:val="00B73A97"/>
    <w:rsid w:val="00B73FBC"/>
    <w:rsid w:val="00B745DE"/>
    <w:rsid w:val="00B75F86"/>
    <w:rsid w:val="00B763B7"/>
    <w:rsid w:val="00B766BC"/>
    <w:rsid w:val="00B7742F"/>
    <w:rsid w:val="00B77493"/>
    <w:rsid w:val="00B77F39"/>
    <w:rsid w:val="00B805DC"/>
    <w:rsid w:val="00B80C7A"/>
    <w:rsid w:val="00B80D0F"/>
    <w:rsid w:val="00B8105C"/>
    <w:rsid w:val="00B8132F"/>
    <w:rsid w:val="00B819B6"/>
    <w:rsid w:val="00B821E0"/>
    <w:rsid w:val="00B82347"/>
    <w:rsid w:val="00B828CC"/>
    <w:rsid w:val="00B82E9B"/>
    <w:rsid w:val="00B8362A"/>
    <w:rsid w:val="00B8421E"/>
    <w:rsid w:val="00B84310"/>
    <w:rsid w:val="00B84992"/>
    <w:rsid w:val="00B84D4E"/>
    <w:rsid w:val="00B85AD5"/>
    <w:rsid w:val="00B86872"/>
    <w:rsid w:val="00B86C09"/>
    <w:rsid w:val="00B8730C"/>
    <w:rsid w:val="00B87A5B"/>
    <w:rsid w:val="00B87DB3"/>
    <w:rsid w:val="00B9058B"/>
    <w:rsid w:val="00B911EF"/>
    <w:rsid w:val="00B91543"/>
    <w:rsid w:val="00B9166D"/>
    <w:rsid w:val="00B91C83"/>
    <w:rsid w:val="00B92435"/>
    <w:rsid w:val="00B924B2"/>
    <w:rsid w:val="00B928D2"/>
    <w:rsid w:val="00B93432"/>
    <w:rsid w:val="00B93653"/>
    <w:rsid w:val="00B93A84"/>
    <w:rsid w:val="00B93AF4"/>
    <w:rsid w:val="00B9444D"/>
    <w:rsid w:val="00B948C7"/>
    <w:rsid w:val="00B954B2"/>
    <w:rsid w:val="00B95640"/>
    <w:rsid w:val="00B95AB6"/>
    <w:rsid w:val="00B95F9E"/>
    <w:rsid w:val="00B9660B"/>
    <w:rsid w:val="00B97571"/>
    <w:rsid w:val="00B97D6C"/>
    <w:rsid w:val="00BA048E"/>
    <w:rsid w:val="00BA0BD1"/>
    <w:rsid w:val="00BA1553"/>
    <w:rsid w:val="00BA15D6"/>
    <w:rsid w:val="00BA1C01"/>
    <w:rsid w:val="00BA1D0B"/>
    <w:rsid w:val="00BA1DB3"/>
    <w:rsid w:val="00BA2638"/>
    <w:rsid w:val="00BA31CE"/>
    <w:rsid w:val="00BA3300"/>
    <w:rsid w:val="00BA3B39"/>
    <w:rsid w:val="00BA40EE"/>
    <w:rsid w:val="00BA4933"/>
    <w:rsid w:val="00BA4AD3"/>
    <w:rsid w:val="00BA4B7D"/>
    <w:rsid w:val="00BA5336"/>
    <w:rsid w:val="00BA5A2F"/>
    <w:rsid w:val="00BA5D56"/>
    <w:rsid w:val="00BA5D66"/>
    <w:rsid w:val="00BA62D5"/>
    <w:rsid w:val="00BA66EC"/>
    <w:rsid w:val="00BA6981"/>
    <w:rsid w:val="00BA748A"/>
    <w:rsid w:val="00BB0222"/>
    <w:rsid w:val="00BB0CB5"/>
    <w:rsid w:val="00BB0D6A"/>
    <w:rsid w:val="00BB0E1A"/>
    <w:rsid w:val="00BB0FE3"/>
    <w:rsid w:val="00BB1045"/>
    <w:rsid w:val="00BB13DB"/>
    <w:rsid w:val="00BB227B"/>
    <w:rsid w:val="00BB2297"/>
    <w:rsid w:val="00BB2542"/>
    <w:rsid w:val="00BB279F"/>
    <w:rsid w:val="00BB2F29"/>
    <w:rsid w:val="00BB3356"/>
    <w:rsid w:val="00BB3417"/>
    <w:rsid w:val="00BB3498"/>
    <w:rsid w:val="00BB36DA"/>
    <w:rsid w:val="00BB377E"/>
    <w:rsid w:val="00BB387B"/>
    <w:rsid w:val="00BB39B7"/>
    <w:rsid w:val="00BB3F42"/>
    <w:rsid w:val="00BB4129"/>
    <w:rsid w:val="00BB41C8"/>
    <w:rsid w:val="00BB4C8B"/>
    <w:rsid w:val="00BB5269"/>
    <w:rsid w:val="00BB5808"/>
    <w:rsid w:val="00BB5A48"/>
    <w:rsid w:val="00BB5AB6"/>
    <w:rsid w:val="00BB6449"/>
    <w:rsid w:val="00BB6541"/>
    <w:rsid w:val="00BB6621"/>
    <w:rsid w:val="00BB6B8F"/>
    <w:rsid w:val="00BB6C01"/>
    <w:rsid w:val="00BB6C43"/>
    <w:rsid w:val="00BB7384"/>
    <w:rsid w:val="00BB793C"/>
    <w:rsid w:val="00BC08D7"/>
    <w:rsid w:val="00BC0994"/>
    <w:rsid w:val="00BC0DED"/>
    <w:rsid w:val="00BC19BA"/>
    <w:rsid w:val="00BC19BC"/>
    <w:rsid w:val="00BC1CE7"/>
    <w:rsid w:val="00BC20E6"/>
    <w:rsid w:val="00BC26C7"/>
    <w:rsid w:val="00BC270C"/>
    <w:rsid w:val="00BC2773"/>
    <w:rsid w:val="00BC2A4C"/>
    <w:rsid w:val="00BC2DA6"/>
    <w:rsid w:val="00BC3325"/>
    <w:rsid w:val="00BC33BE"/>
    <w:rsid w:val="00BC3FF0"/>
    <w:rsid w:val="00BC43DF"/>
    <w:rsid w:val="00BC4610"/>
    <w:rsid w:val="00BC49FD"/>
    <w:rsid w:val="00BC4B32"/>
    <w:rsid w:val="00BC4B8C"/>
    <w:rsid w:val="00BC4C4B"/>
    <w:rsid w:val="00BC4FD8"/>
    <w:rsid w:val="00BC5F96"/>
    <w:rsid w:val="00BC687D"/>
    <w:rsid w:val="00BC68A8"/>
    <w:rsid w:val="00BC7634"/>
    <w:rsid w:val="00BC7930"/>
    <w:rsid w:val="00BD0071"/>
    <w:rsid w:val="00BD0748"/>
    <w:rsid w:val="00BD0A5F"/>
    <w:rsid w:val="00BD0D42"/>
    <w:rsid w:val="00BD113A"/>
    <w:rsid w:val="00BD1194"/>
    <w:rsid w:val="00BD1263"/>
    <w:rsid w:val="00BD1518"/>
    <w:rsid w:val="00BD19EC"/>
    <w:rsid w:val="00BD1B31"/>
    <w:rsid w:val="00BD1BF6"/>
    <w:rsid w:val="00BD1EFD"/>
    <w:rsid w:val="00BD2075"/>
    <w:rsid w:val="00BD2804"/>
    <w:rsid w:val="00BD327C"/>
    <w:rsid w:val="00BD3506"/>
    <w:rsid w:val="00BD3C9D"/>
    <w:rsid w:val="00BD45C2"/>
    <w:rsid w:val="00BD4E05"/>
    <w:rsid w:val="00BD56EB"/>
    <w:rsid w:val="00BD58B3"/>
    <w:rsid w:val="00BD5A8A"/>
    <w:rsid w:val="00BD6002"/>
    <w:rsid w:val="00BD68AB"/>
    <w:rsid w:val="00BD6B41"/>
    <w:rsid w:val="00BD6CA7"/>
    <w:rsid w:val="00BD7127"/>
    <w:rsid w:val="00BD72B6"/>
    <w:rsid w:val="00BD73C9"/>
    <w:rsid w:val="00BD7981"/>
    <w:rsid w:val="00BD7DAA"/>
    <w:rsid w:val="00BD7E04"/>
    <w:rsid w:val="00BE07AB"/>
    <w:rsid w:val="00BE09A2"/>
    <w:rsid w:val="00BE140F"/>
    <w:rsid w:val="00BE1E1C"/>
    <w:rsid w:val="00BE2028"/>
    <w:rsid w:val="00BE2318"/>
    <w:rsid w:val="00BE2F1C"/>
    <w:rsid w:val="00BE309F"/>
    <w:rsid w:val="00BE3504"/>
    <w:rsid w:val="00BE3C10"/>
    <w:rsid w:val="00BE3DC9"/>
    <w:rsid w:val="00BE3F4A"/>
    <w:rsid w:val="00BE412E"/>
    <w:rsid w:val="00BE469A"/>
    <w:rsid w:val="00BE46A1"/>
    <w:rsid w:val="00BE47E1"/>
    <w:rsid w:val="00BE48C9"/>
    <w:rsid w:val="00BE53CB"/>
    <w:rsid w:val="00BE59D4"/>
    <w:rsid w:val="00BE5AF9"/>
    <w:rsid w:val="00BE5EC1"/>
    <w:rsid w:val="00BE6E05"/>
    <w:rsid w:val="00BE72BF"/>
    <w:rsid w:val="00BE72C9"/>
    <w:rsid w:val="00BE763F"/>
    <w:rsid w:val="00BE7A1C"/>
    <w:rsid w:val="00BE7DBA"/>
    <w:rsid w:val="00BE7FD4"/>
    <w:rsid w:val="00BF031E"/>
    <w:rsid w:val="00BF036F"/>
    <w:rsid w:val="00BF03B8"/>
    <w:rsid w:val="00BF052B"/>
    <w:rsid w:val="00BF0C45"/>
    <w:rsid w:val="00BF12CC"/>
    <w:rsid w:val="00BF13F4"/>
    <w:rsid w:val="00BF1CAB"/>
    <w:rsid w:val="00BF1F38"/>
    <w:rsid w:val="00BF29FA"/>
    <w:rsid w:val="00BF3839"/>
    <w:rsid w:val="00BF3CDD"/>
    <w:rsid w:val="00BF40F7"/>
    <w:rsid w:val="00BF46A5"/>
    <w:rsid w:val="00BF4E8F"/>
    <w:rsid w:val="00BF4FA4"/>
    <w:rsid w:val="00BF5035"/>
    <w:rsid w:val="00BF5856"/>
    <w:rsid w:val="00BF58F5"/>
    <w:rsid w:val="00BF6449"/>
    <w:rsid w:val="00BF6F0E"/>
    <w:rsid w:val="00BF7104"/>
    <w:rsid w:val="00BF7486"/>
    <w:rsid w:val="00C0041F"/>
    <w:rsid w:val="00C010F2"/>
    <w:rsid w:val="00C016C9"/>
    <w:rsid w:val="00C017BA"/>
    <w:rsid w:val="00C022AE"/>
    <w:rsid w:val="00C0261D"/>
    <w:rsid w:val="00C02A6E"/>
    <w:rsid w:val="00C039A2"/>
    <w:rsid w:val="00C03B85"/>
    <w:rsid w:val="00C03BFB"/>
    <w:rsid w:val="00C03D1A"/>
    <w:rsid w:val="00C04638"/>
    <w:rsid w:val="00C04811"/>
    <w:rsid w:val="00C05911"/>
    <w:rsid w:val="00C05D70"/>
    <w:rsid w:val="00C064B2"/>
    <w:rsid w:val="00C06567"/>
    <w:rsid w:val="00C06843"/>
    <w:rsid w:val="00C06F7D"/>
    <w:rsid w:val="00C07521"/>
    <w:rsid w:val="00C07C1D"/>
    <w:rsid w:val="00C07ECD"/>
    <w:rsid w:val="00C10BA9"/>
    <w:rsid w:val="00C10F5D"/>
    <w:rsid w:val="00C10F63"/>
    <w:rsid w:val="00C11197"/>
    <w:rsid w:val="00C11515"/>
    <w:rsid w:val="00C115F9"/>
    <w:rsid w:val="00C11D22"/>
    <w:rsid w:val="00C12052"/>
    <w:rsid w:val="00C1242A"/>
    <w:rsid w:val="00C12CCC"/>
    <w:rsid w:val="00C13104"/>
    <w:rsid w:val="00C13398"/>
    <w:rsid w:val="00C134D1"/>
    <w:rsid w:val="00C13CEA"/>
    <w:rsid w:val="00C13DF2"/>
    <w:rsid w:val="00C13ED5"/>
    <w:rsid w:val="00C143C3"/>
    <w:rsid w:val="00C15AD3"/>
    <w:rsid w:val="00C15F40"/>
    <w:rsid w:val="00C1606A"/>
    <w:rsid w:val="00C16211"/>
    <w:rsid w:val="00C169CF"/>
    <w:rsid w:val="00C16FD4"/>
    <w:rsid w:val="00C179A2"/>
    <w:rsid w:val="00C20428"/>
    <w:rsid w:val="00C2067E"/>
    <w:rsid w:val="00C20A0C"/>
    <w:rsid w:val="00C211D4"/>
    <w:rsid w:val="00C214B1"/>
    <w:rsid w:val="00C21EBE"/>
    <w:rsid w:val="00C224D8"/>
    <w:rsid w:val="00C227A5"/>
    <w:rsid w:val="00C22EEC"/>
    <w:rsid w:val="00C23311"/>
    <w:rsid w:val="00C24570"/>
    <w:rsid w:val="00C24F75"/>
    <w:rsid w:val="00C24FAA"/>
    <w:rsid w:val="00C2581C"/>
    <w:rsid w:val="00C259E3"/>
    <w:rsid w:val="00C26050"/>
    <w:rsid w:val="00C261D4"/>
    <w:rsid w:val="00C2647A"/>
    <w:rsid w:val="00C270E9"/>
    <w:rsid w:val="00C27291"/>
    <w:rsid w:val="00C27416"/>
    <w:rsid w:val="00C2748B"/>
    <w:rsid w:val="00C27990"/>
    <w:rsid w:val="00C30E78"/>
    <w:rsid w:val="00C3103C"/>
    <w:rsid w:val="00C313EC"/>
    <w:rsid w:val="00C320B6"/>
    <w:rsid w:val="00C322E0"/>
    <w:rsid w:val="00C32558"/>
    <w:rsid w:val="00C32814"/>
    <w:rsid w:val="00C32C61"/>
    <w:rsid w:val="00C33A59"/>
    <w:rsid w:val="00C33D4C"/>
    <w:rsid w:val="00C34089"/>
    <w:rsid w:val="00C34627"/>
    <w:rsid w:val="00C347C5"/>
    <w:rsid w:val="00C34C17"/>
    <w:rsid w:val="00C35661"/>
    <w:rsid w:val="00C35800"/>
    <w:rsid w:val="00C35E80"/>
    <w:rsid w:val="00C366AE"/>
    <w:rsid w:val="00C3694B"/>
    <w:rsid w:val="00C37522"/>
    <w:rsid w:val="00C37612"/>
    <w:rsid w:val="00C37E8E"/>
    <w:rsid w:val="00C403B0"/>
    <w:rsid w:val="00C41663"/>
    <w:rsid w:val="00C4198B"/>
    <w:rsid w:val="00C42118"/>
    <w:rsid w:val="00C4217B"/>
    <w:rsid w:val="00C421B8"/>
    <w:rsid w:val="00C42777"/>
    <w:rsid w:val="00C433A5"/>
    <w:rsid w:val="00C4350F"/>
    <w:rsid w:val="00C439F4"/>
    <w:rsid w:val="00C44151"/>
    <w:rsid w:val="00C44245"/>
    <w:rsid w:val="00C44F30"/>
    <w:rsid w:val="00C45070"/>
    <w:rsid w:val="00C4529C"/>
    <w:rsid w:val="00C455BF"/>
    <w:rsid w:val="00C455EE"/>
    <w:rsid w:val="00C4568E"/>
    <w:rsid w:val="00C45A31"/>
    <w:rsid w:val="00C45EB6"/>
    <w:rsid w:val="00C45F9F"/>
    <w:rsid w:val="00C461F1"/>
    <w:rsid w:val="00C46FDD"/>
    <w:rsid w:val="00C47B69"/>
    <w:rsid w:val="00C47BC2"/>
    <w:rsid w:val="00C47C57"/>
    <w:rsid w:val="00C50437"/>
    <w:rsid w:val="00C5061C"/>
    <w:rsid w:val="00C50656"/>
    <w:rsid w:val="00C507E2"/>
    <w:rsid w:val="00C5084F"/>
    <w:rsid w:val="00C50991"/>
    <w:rsid w:val="00C50EA1"/>
    <w:rsid w:val="00C513A6"/>
    <w:rsid w:val="00C5146E"/>
    <w:rsid w:val="00C5169D"/>
    <w:rsid w:val="00C5291D"/>
    <w:rsid w:val="00C52A2F"/>
    <w:rsid w:val="00C533AA"/>
    <w:rsid w:val="00C53813"/>
    <w:rsid w:val="00C542A1"/>
    <w:rsid w:val="00C5456B"/>
    <w:rsid w:val="00C54BF4"/>
    <w:rsid w:val="00C54F1A"/>
    <w:rsid w:val="00C5540E"/>
    <w:rsid w:val="00C55659"/>
    <w:rsid w:val="00C55792"/>
    <w:rsid w:val="00C55C3E"/>
    <w:rsid w:val="00C55E41"/>
    <w:rsid w:val="00C55E49"/>
    <w:rsid w:val="00C56748"/>
    <w:rsid w:val="00C56B7C"/>
    <w:rsid w:val="00C56F23"/>
    <w:rsid w:val="00C571A6"/>
    <w:rsid w:val="00C57AF9"/>
    <w:rsid w:val="00C57CD6"/>
    <w:rsid w:val="00C57D6F"/>
    <w:rsid w:val="00C60050"/>
    <w:rsid w:val="00C60214"/>
    <w:rsid w:val="00C60419"/>
    <w:rsid w:val="00C60512"/>
    <w:rsid w:val="00C60711"/>
    <w:rsid w:val="00C60ACC"/>
    <w:rsid w:val="00C60F05"/>
    <w:rsid w:val="00C612CE"/>
    <w:rsid w:val="00C61980"/>
    <w:rsid w:val="00C62457"/>
    <w:rsid w:val="00C62F50"/>
    <w:rsid w:val="00C631E6"/>
    <w:rsid w:val="00C63408"/>
    <w:rsid w:val="00C634E1"/>
    <w:rsid w:val="00C6398D"/>
    <w:rsid w:val="00C63A08"/>
    <w:rsid w:val="00C63A36"/>
    <w:rsid w:val="00C63A84"/>
    <w:rsid w:val="00C641F0"/>
    <w:rsid w:val="00C6442A"/>
    <w:rsid w:val="00C65B94"/>
    <w:rsid w:val="00C66190"/>
    <w:rsid w:val="00C66DC2"/>
    <w:rsid w:val="00C67012"/>
    <w:rsid w:val="00C67400"/>
    <w:rsid w:val="00C67EA8"/>
    <w:rsid w:val="00C67F28"/>
    <w:rsid w:val="00C7178F"/>
    <w:rsid w:val="00C7275E"/>
    <w:rsid w:val="00C73410"/>
    <w:rsid w:val="00C73C24"/>
    <w:rsid w:val="00C73FDA"/>
    <w:rsid w:val="00C7480F"/>
    <w:rsid w:val="00C74A39"/>
    <w:rsid w:val="00C750FE"/>
    <w:rsid w:val="00C75188"/>
    <w:rsid w:val="00C75353"/>
    <w:rsid w:val="00C75E36"/>
    <w:rsid w:val="00C75EDB"/>
    <w:rsid w:val="00C76C2C"/>
    <w:rsid w:val="00C76CD4"/>
    <w:rsid w:val="00C76DEB"/>
    <w:rsid w:val="00C76EFD"/>
    <w:rsid w:val="00C77257"/>
    <w:rsid w:val="00C80582"/>
    <w:rsid w:val="00C807CF"/>
    <w:rsid w:val="00C80888"/>
    <w:rsid w:val="00C80B70"/>
    <w:rsid w:val="00C80CA5"/>
    <w:rsid w:val="00C80EB8"/>
    <w:rsid w:val="00C81A89"/>
    <w:rsid w:val="00C81C54"/>
    <w:rsid w:val="00C821AD"/>
    <w:rsid w:val="00C82ADB"/>
    <w:rsid w:val="00C82C69"/>
    <w:rsid w:val="00C83329"/>
    <w:rsid w:val="00C836E1"/>
    <w:rsid w:val="00C83DCB"/>
    <w:rsid w:val="00C8402C"/>
    <w:rsid w:val="00C843B2"/>
    <w:rsid w:val="00C847FB"/>
    <w:rsid w:val="00C84F53"/>
    <w:rsid w:val="00C8555F"/>
    <w:rsid w:val="00C8568E"/>
    <w:rsid w:val="00C86196"/>
    <w:rsid w:val="00C86D48"/>
    <w:rsid w:val="00C87344"/>
    <w:rsid w:val="00C8780B"/>
    <w:rsid w:val="00C87F95"/>
    <w:rsid w:val="00C90765"/>
    <w:rsid w:val="00C90CD7"/>
    <w:rsid w:val="00C90DDF"/>
    <w:rsid w:val="00C90ED4"/>
    <w:rsid w:val="00C91E61"/>
    <w:rsid w:val="00C921E9"/>
    <w:rsid w:val="00C92858"/>
    <w:rsid w:val="00C92EF1"/>
    <w:rsid w:val="00C93002"/>
    <w:rsid w:val="00C93339"/>
    <w:rsid w:val="00C9379C"/>
    <w:rsid w:val="00C93D4C"/>
    <w:rsid w:val="00C945EB"/>
    <w:rsid w:val="00C962D5"/>
    <w:rsid w:val="00C9645B"/>
    <w:rsid w:val="00C970A2"/>
    <w:rsid w:val="00C976F1"/>
    <w:rsid w:val="00C9785C"/>
    <w:rsid w:val="00C979FF"/>
    <w:rsid w:val="00C97E3A"/>
    <w:rsid w:val="00CA0880"/>
    <w:rsid w:val="00CA09A7"/>
    <w:rsid w:val="00CA0A14"/>
    <w:rsid w:val="00CA1F3E"/>
    <w:rsid w:val="00CA1FF8"/>
    <w:rsid w:val="00CA21D2"/>
    <w:rsid w:val="00CA21DA"/>
    <w:rsid w:val="00CA25D0"/>
    <w:rsid w:val="00CA2C79"/>
    <w:rsid w:val="00CA3172"/>
    <w:rsid w:val="00CA3674"/>
    <w:rsid w:val="00CA3BB7"/>
    <w:rsid w:val="00CA424E"/>
    <w:rsid w:val="00CA487E"/>
    <w:rsid w:val="00CA494F"/>
    <w:rsid w:val="00CA4E72"/>
    <w:rsid w:val="00CA5732"/>
    <w:rsid w:val="00CA6080"/>
    <w:rsid w:val="00CA61F6"/>
    <w:rsid w:val="00CA63E6"/>
    <w:rsid w:val="00CA6A51"/>
    <w:rsid w:val="00CA6AB0"/>
    <w:rsid w:val="00CA6B3C"/>
    <w:rsid w:val="00CB024B"/>
    <w:rsid w:val="00CB030A"/>
    <w:rsid w:val="00CB04F6"/>
    <w:rsid w:val="00CB0817"/>
    <w:rsid w:val="00CB0BB6"/>
    <w:rsid w:val="00CB0C2D"/>
    <w:rsid w:val="00CB0F03"/>
    <w:rsid w:val="00CB134A"/>
    <w:rsid w:val="00CB13D1"/>
    <w:rsid w:val="00CB2481"/>
    <w:rsid w:val="00CB297C"/>
    <w:rsid w:val="00CB2AA5"/>
    <w:rsid w:val="00CB3839"/>
    <w:rsid w:val="00CB3A25"/>
    <w:rsid w:val="00CB3E47"/>
    <w:rsid w:val="00CB429B"/>
    <w:rsid w:val="00CB446C"/>
    <w:rsid w:val="00CB4EE5"/>
    <w:rsid w:val="00CB517A"/>
    <w:rsid w:val="00CB5497"/>
    <w:rsid w:val="00CB5807"/>
    <w:rsid w:val="00CB5840"/>
    <w:rsid w:val="00CB5927"/>
    <w:rsid w:val="00CB5D13"/>
    <w:rsid w:val="00CB63B8"/>
    <w:rsid w:val="00CB6B52"/>
    <w:rsid w:val="00CB7603"/>
    <w:rsid w:val="00CB7BBA"/>
    <w:rsid w:val="00CB7CE7"/>
    <w:rsid w:val="00CB7D75"/>
    <w:rsid w:val="00CC030E"/>
    <w:rsid w:val="00CC0386"/>
    <w:rsid w:val="00CC164B"/>
    <w:rsid w:val="00CC1A99"/>
    <w:rsid w:val="00CC1E0D"/>
    <w:rsid w:val="00CC1EF1"/>
    <w:rsid w:val="00CC2280"/>
    <w:rsid w:val="00CC2CE2"/>
    <w:rsid w:val="00CC2DED"/>
    <w:rsid w:val="00CC2E93"/>
    <w:rsid w:val="00CC2EA5"/>
    <w:rsid w:val="00CC2F6A"/>
    <w:rsid w:val="00CC3831"/>
    <w:rsid w:val="00CC491F"/>
    <w:rsid w:val="00CC4A3F"/>
    <w:rsid w:val="00CC4B14"/>
    <w:rsid w:val="00CC4D09"/>
    <w:rsid w:val="00CC5465"/>
    <w:rsid w:val="00CC5698"/>
    <w:rsid w:val="00CC616D"/>
    <w:rsid w:val="00CC658B"/>
    <w:rsid w:val="00CC6D5D"/>
    <w:rsid w:val="00CC6ECD"/>
    <w:rsid w:val="00CC747D"/>
    <w:rsid w:val="00CC777D"/>
    <w:rsid w:val="00CC7E12"/>
    <w:rsid w:val="00CC7FEE"/>
    <w:rsid w:val="00CD00F1"/>
    <w:rsid w:val="00CD03CA"/>
    <w:rsid w:val="00CD1226"/>
    <w:rsid w:val="00CD1BE5"/>
    <w:rsid w:val="00CD2436"/>
    <w:rsid w:val="00CD247B"/>
    <w:rsid w:val="00CD30C6"/>
    <w:rsid w:val="00CD3115"/>
    <w:rsid w:val="00CD3BFE"/>
    <w:rsid w:val="00CD4078"/>
    <w:rsid w:val="00CD4231"/>
    <w:rsid w:val="00CD45D0"/>
    <w:rsid w:val="00CD488D"/>
    <w:rsid w:val="00CD4ED3"/>
    <w:rsid w:val="00CD52C5"/>
    <w:rsid w:val="00CD57E6"/>
    <w:rsid w:val="00CD5961"/>
    <w:rsid w:val="00CD6774"/>
    <w:rsid w:val="00CD6AFA"/>
    <w:rsid w:val="00CD7148"/>
    <w:rsid w:val="00CD7262"/>
    <w:rsid w:val="00CD7379"/>
    <w:rsid w:val="00CD7FB2"/>
    <w:rsid w:val="00CE01A2"/>
    <w:rsid w:val="00CE0478"/>
    <w:rsid w:val="00CE064E"/>
    <w:rsid w:val="00CE0778"/>
    <w:rsid w:val="00CE0888"/>
    <w:rsid w:val="00CE19B6"/>
    <w:rsid w:val="00CE1CB1"/>
    <w:rsid w:val="00CE1E45"/>
    <w:rsid w:val="00CE2B4C"/>
    <w:rsid w:val="00CE2E99"/>
    <w:rsid w:val="00CE3A59"/>
    <w:rsid w:val="00CE3B1F"/>
    <w:rsid w:val="00CE3B82"/>
    <w:rsid w:val="00CE3BD7"/>
    <w:rsid w:val="00CE3DA5"/>
    <w:rsid w:val="00CE419E"/>
    <w:rsid w:val="00CE48AA"/>
    <w:rsid w:val="00CE5290"/>
    <w:rsid w:val="00CE5429"/>
    <w:rsid w:val="00CE5B01"/>
    <w:rsid w:val="00CE61AB"/>
    <w:rsid w:val="00CE62C9"/>
    <w:rsid w:val="00CE6694"/>
    <w:rsid w:val="00CE6D30"/>
    <w:rsid w:val="00CE72DF"/>
    <w:rsid w:val="00CE739D"/>
    <w:rsid w:val="00CE7417"/>
    <w:rsid w:val="00CE7894"/>
    <w:rsid w:val="00CF03E4"/>
    <w:rsid w:val="00CF0422"/>
    <w:rsid w:val="00CF07D4"/>
    <w:rsid w:val="00CF0D67"/>
    <w:rsid w:val="00CF135E"/>
    <w:rsid w:val="00CF17E1"/>
    <w:rsid w:val="00CF276A"/>
    <w:rsid w:val="00CF2B7A"/>
    <w:rsid w:val="00CF338C"/>
    <w:rsid w:val="00CF354A"/>
    <w:rsid w:val="00CF3B5B"/>
    <w:rsid w:val="00CF3B64"/>
    <w:rsid w:val="00CF4A90"/>
    <w:rsid w:val="00CF4CDF"/>
    <w:rsid w:val="00CF4F68"/>
    <w:rsid w:val="00CF6BF7"/>
    <w:rsid w:val="00CF6F3C"/>
    <w:rsid w:val="00CF7004"/>
    <w:rsid w:val="00CF7471"/>
    <w:rsid w:val="00CF776B"/>
    <w:rsid w:val="00CF77FE"/>
    <w:rsid w:val="00CF7D63"/>
    <w:rsid w:val="00D0024D"/>
    <w:rsid w:val="00D00C90"/>
    <w:rsid w:val="00D00E8D"/>
    <w:rsid w:val="00D01062"/>
    <w:rsid w:val="00D0113A"/>
    <w:rsid w:val="00D017FB"/>
    <w:rsid w:val="00D02070"/>
    <w:rsid w:val="00D02341"/>
    <w:rsid w:val="00D0245D"/>
    <w:rsid w:val="00D0266A"/>
    <w:rsid w:val="00D02AA1"/>
    <w:rsid w:val="00D02B77"/>
    <w:rsid w:val="00D02FCD"/>
    <w:rsid w:val="00D0353D"/>
    <w:rsid w:val="00D03CC2"/>
    <w:rsid w:val="00D04158"/>
    <w:rsid w:val="00D047C6"/>
    <w:rsid w:val="00D05554"/>
    <w:rsid w:val="00D05FF9"/>
    <w:rsid w:val="00D06214"/>
    <w:rsid w:val="00D06D37"/>
    <w:rsid w:val="00D07009"/>
    <w:rsid w:val="00D0716E"/>
    <w:rsid w:val="00D079AD"/>
    <w:rsid w:val="00D07CA3"/>
    <w:rsid w:val="00D105C1"/>
    <w:rsid w:val="00D1062A"/>
    <w:rsid w:val="00D108DD"/>
    <w:rsid w:val="00D10D90"/>
    <w:rsid w:val="00D1103C"/>
    <w:rsid w:val="00D12404"/>
    <w:rsid w:val="00D13340"/>
    <w:rsid w:val="00D133CD"/>
    <w:rsid w:val="00D13976"/>
    <w:rsid w:val="00D14230"/>
    <w:rsid w:val="00D14653"/>
    <w:rsid w:val="00D14E49"/>
    <w:rsid w:val="00D15026"/>
    <w:rsid w:val="00D15261"/>
    <w:rsid w:val="00D15AC3"/>
    <w:rsid w:val="00D1644F"/>
    <w:rsid w:val="00D16852"/>
    <w:rsid w:val="00D16DD6"/>
    <w:rsid w:val="00D17766"/>
    <w:rsid w:val="00D17C2C"/>
    <w:rsid w:val="00D17CE2"/>
    <w:rsid w:val="00D17FCD"/>
    <w:rsid w:val="00D2049F"/>
    <w:rsid w:val="00D205E6"/>
    <w:rsid w:val="00D21007"/>
    <w:rsid w:val="00D21573"/>
    <w:rsid w:val="00D2162F"/>
    <w:rsid w:val="00D216E9"/>
    <w:rsid w:val="00D21723"/>
    <w:rsid w:val="00D2198E"/>
    <w:rsid w:val="00D21B59"/>
    <w:rsid w:val="00D21B5C"/>
    <w:rsid w:val="00D220F0"/>
    <w:rsid w:val="00D2263F"/>
    <w:rsid w:val="00D23194"/>
    <w:rsid w:val="00D235CF"/>
    <w:rsid w:val="00D23AC5"/>
    <w:rsid w:val="00D24E5C"/>
    <w:rsid w:val="00D25AE2"/>
    <w:rsid w:val="00D25B1C"/>
    <w:rsid w:val="00D25C70"/>
    <w:rsid w:val="00D25F0D"/>
    <w:rsid w:val="00D25F29"/>
    <w:rsid w:val="00D25FC5"/>
    <w:rsid w:val="00D2643A"/>
    <w:rsid w:val="00D2644F"/>
    <w:rsid w:val="00D27F7A"/>
    <w:rsid w:val="00D30106"/>
    <w:rsid w:val="00D30352"/>
    <w:rsid w:val="00D3041B"/>
    <w:rsid w:val="00D31627"/>
    <w:rsid w:val="00D31711"/>
    <w:rsid w:val="00D325C3"/>
    <w:rsid w:val="00D32738"/>
    <w:rsid w:val="00D32748"/>
    <w:rsid w:val="00D32FF8"/>
    <w:rsid w:val="00D3328E"/>
    <w:rsid w:val="00D33982"/>
    <w:rsid w:val="00D341E4"/>
    <w:rsid w:val="00D344E5"/>
    <w:rsid w:val="00D345D8"/>
    <w:rsid w:val="00D34D38"/>
    <w:rsid w:val="00D352B4"/>
    <w:rsid w:val="00D353D1"/>
    <w:rsid w:val="00D359E4"/>
    <w:rsid w:val="00D36101"/>
    <w:rsid w:val="00D363F6"/>
    <w:rsid w:val="00D36A6F"/>
    <w:rsid w:val="00D37272"/>
    <w:rsid w:val="00D374FE"/>
    <w:rsid w:val="00D37612"/>
    <w:rsid w:val="00D37D5C"/>
    <w:rsid w:val="00D403D1"/>
    <w:rsid w:val="00D40D69"/>
    <w:rsid w:val="00D40F9A"/>
    <w:rsid w:val="00D4111D"/>
    <w:rsid w:val="00D41496"/>
    <w:rsid w:val="00D415E2"/>
    <w:rsid w:val="00D41C81"/>
    <w:rsid w:val="00D41D00"/>
    <w:rsid w:val="00D4221E"/>
    <w:rsid w:val="00D4367B"/>
    <w:rsid w:val="00D44104"/>
    <w:rsid w:val="00D4418A"/>
    <w:rsid w:val="00D4472B"/>
    <w:rsid w:val="00D46A8E"/>
    <w:rsid w:val="00D47653"/>
    <w:rsid w:val="00D47A14"/>
    <w:rsid w:val="00D47A1B"/>
    <w:rsid w:val="00D47B5E"/>
    <w:rsid w:val="00D47D77"/>
    <w:rsid w:val="00D47DC8"/>
    <w:rsid w:val="00D47EA5"/>
    <w:rsid w:val="00D505DA"/>
    <w:rsid w:val="00D50AC7"/>
    <w:rsid w:val="00D51C1C"/>
    <w:rsid w:val="00D52241"/>
    <w:rsid w:val="00D52324"/>
    <w:rsid w:val="00D523EC"/>
    <w:rsid w:val="00D5261A"/>
    <w:rsid w:val="00D53607"/>
    <w:rsid w:val="00D53721"/>
    <w:rsid w:val="00D537D0"/>
    <w:rsid w:val="00D537FE"/>
    <w:rsid w:val="00D539BD"/>
    <w:rsid w:val="00D5408E"/>
    <w:rsid w:val="00D5411D"/>
    <w:rsid w:val="00D54548"/>
    <w:rsid w:val="00D54929"/>
    <w:rsid w:val="00D54A74"/>
    <w:rsid w:val="00D54C6F"/>
    <w:rsid w:val="00D55516"/>
    <w:rsid w:val="00D55E20"/>
    <w:rsid w:val="00D561B7"/>
    <w:rsid w:val="00D5661B"/>
    <w:rsid w:val="00D579E4"/>
    <w:rsid w:val="00D57A75"/>
    <w:rsid w:val="00D57B39"/>
    <w:rsid w:val="00D57BDF"/>
    <w:rsid w:val="00D57C22"/>
    <w:rsid w:val="00D6003A"/>
    <w:rsid w:val="00D60AE3"/>
    <w:rsid w:val="00D60FFB"/>
    <w:rsid w:val="00D61FB3"/>
    <w:rsid w:val="00D62297"/>
    <w:rsid w:val="00D624C5"/>
    <w:rsid w:val="00D63658"/>
    <w:rsid w:val="00D63C12"/>
    <w:rsid w:val="00D640CD"/>
    <w:rsid w:val="00D640CE"/>
    <w:rsid w:val="00D64372"/>
    <w:rsid w:val="00D643E5"/>
    <w:rsid w:val="00D6469B"/>
    <w:rsid w:val="00D646BC"/>
    <w:rsid w:val="00D659DE"/>
    <w:rsid w:val="00D65B36"/>
    <w:rsid w:val="00D65D93"/>
    <w:rsid w:val="00D66167"/>
    <w:rsid w:val="00D6673D"/>
    <w:rsid w:val="00D669FE"/>
    <w:rsid w:val="00D67009"/>
    <w:rsid w:val="00D671C7"/>
    <w:rsid w:val="00D674F8"/>
    <w:rsid w:val="00D67750"/>
    <w:rsid w:val="00D677EB"/>
    <w:rsid w:val="00D67E71"/>
    <w:rsid w:val="00D70288"/>
    <w:rsid w:val="00D70369"/>
    <w:rsid w:val="00D7061A"/>
    <w:rsid w:val="00D70EF5"/>
    <w:rsid w:val="00D70FCA"/>
    <w:rsid w:val="00D71654"/>
    <w:rsid w:val="00D71D84"/>
    <w:rsid w:val="00D71F14"/>
    <w:rsid w:val="00D7237F"/>
    <w:rsid w:val="00D72398"/>
    <w:rsid w:val="00D73B75"/>
    <w:rsid w:val="00D73CD4"/>
    <w:rsid w:val="00D74A76"/>
    <w:rsid w:val="00D74B27"/>
    <w:rsid w:val="00D74DA8"/>
    <w:rsid w:val="00D74FC8"/>
    <w:rsid w:val="00D75783"/>
    <w:rsid w:val="00D759BB"/>
    <w:rsid w:val="00D76D6E"/>
    <w:rsid w:val="00D76F84"/>
    <w:rsid w:val="00D77288"/>
    <w:rsid w:val="00D773CA"/>
    <w:rsid w:val="00D77B1A"/>
    <w:rsid w:val="00D77BF2"/>
    <w:rsid w:val="00D77E4F"/>
    <w:rsid w:val="00D77ED5"/>
    <w:rsid w:val="00D8017D"/>
    <w:rsid w:val="00D805BE"/>
    <w:rsid w:val="00D8098C"/>
    <w:rsid w:val="00D80B7F"/>
    <w:rsid w:val="00D80FE4"/>
    <w:rsid w:val="00D812E1"/>
    <w:rsid w:val="00D81547"/>
    <w:rsid w:val="00D820B3"/>
    <w:rsid w:val="00D82104"/>
    <w:rsid w:val="00D82B6A"/>
    <w:rsid w:val="00D830B4"/>
    <w:rsid w:val="00D833D1"/>
    <w:rsid w:val="00D83841"/>
    <w:rsid w:val="00D83977"/>
    <w:rsid w:val="00D83EBD"/>
    <w:rsid w:val="00D84329"/>
    <w:rsid w:val="00D845D1"/>
    <w:rsid w:val="00D84F6D"/>
    <w:rsid w:val="00D850A4"/>
    <w:rsid w:val="00D86020"/>
    <w:rsid w:val="00D863E0"/>
    <w:rsid w:val="00D86C58"/>
    <w:rsid w:val="00D87AE2"/>
    <w:rsid w:val="00D87F78"/>
    <w:rsid w:val="00D903AA"/>
    <w:rsid w:val="00D91C71"/>
    <w:rsid w:val="00D91C97"/>
    <w:rsid w:val="00D92129"/>
    <w:rsid w:val="00D926A2"/>
    <w:rsid w:val="00D92B15"/>
    <w:rsid w:val="00D92BB3"/>
    <w:rsid w:val="00D92C0F"/>
    <w:rsid w:val="00D92D44"/>
    <w:rsid w:val="00D94803"/>
    <w:rsid w:val="00D948E5"/>
    <w:rsid w:val="00D94DA6"/>
    <w:rsid w:val="00D95119"/>
    <w:rsid w:val="00D95520"/>
    <w:rsid w:val="00D9590C"/>
    <w:rsid w:val="00D95BE5"/>
    <w:rsid w:val="00D96522"/>
    <w:rsid w:val="00D97631"/>
    <w:rsid w:val="00D9770E"/>
    <w:rsid w:val="00D97AD2"/>
    <w:rsid w:val="00DA0434"/>
    <w:rsid w:val="00DA0463"/>
    <w:rsid w:val="00DA0C54"/>
    <w:rsid w:val="00DA132C"/>
    <w:rsid w:val="00DA15DD"/>
    <w:rsid w:val="00DA15E9"/>
    <w:rsid w:val="00DA1A62"/>
    <w:rsid w:val="00DA1E96"/>
    <w:rsid w:val="00DA2630"/>
    <w:rsid w:val="00DA291A"/>
    <w:rsid w:val="00DA2D21"/>
    <w:rsid w:val="00DA3D2C"/>
    <w:rsid w:val="00DA4035"/>
    <w:rsid w:val="00DA439F"/>
    <w:rsid w:val="00DA44A3"/>
    <w:rsid w:val="00DA475E"/>
    <w:rsid w:val="00DA4A8D"/>
    <w:rsid w:val="00DA4CC9"/>
    <w:rsid w:val="00DA4D68"/>
    <w:rsid w:val="00DA5176"/>
    <w:rsid w:val="00DA5545"/>
    <w:rsid w:val="00DA5862"/>
    <w:rsid w:val="00DA5AF6"/>
    <w:rsid w:val="00DA5C0F"/>
    <w:rsid w:val="00DA5C32"/>
    <w:rsid w:val="00DA5F80"/>
    <w:rsid w:val="00DA61A9"/>
    <w:rsid w:val="00DA6251"/>
    <w:rsid w:val="00DA6286"/>
    <w:rsid w:val="00DA6347"/>
    <w:rsid w:val="00DA7050"/>
    <w:rsid w:val="00DA7825"/>
    <w:rsid w:val="00DA7A7D"/>
    <w:rsid w:val="00DA7C99"/>
    <w:rsid w:val="00DB0157"/>
    <w:rsid w:val="00DB08D5"/>
    <w:rsid w:val="00DB112B"/>
    <w:rsid w:val="00DB1527"/>
    <w:rsid w:val="00DB16C6"/>
    <w:rsid w:val="00DB1BDF"/>
    <w:rsid w:val="00DB2115"/>
    <w:rsid w:val="00DB2189"/>
    <w:rsid w:val="00DB2652"/>
    <w:rsid w:val="00DB2ED3"/>
    <w:rsid w:val="00DB311C"/>
    <w:rsid w:val="00DB31B5"/>
    <w:rsid w:val="00DB342A"/>
    <w:rsid w:val="00DB35C5"/>
    <w:rsid w:val="00DB38BB"/>
    <w:rsid w:val="00DB4C88"/>
    <w:rsid w:val="00DB5D7E"/>
    <w:rsid w:val="00DB5EC5"/>
    <w:rsid w:val="00DB5F42"/>
    <w:rsid w:val="00DB6340"/>
    <w:rsid w:val="00DB6CE0"/>
    <w:rsid w:val="00DB6EC3"/>
    <w:rsid w:val="00DB735B"/>
    <w:rsid w:val="00DB76F6"/>
    <w:rsid w:val="00DB7B5F"/>
    <w:rsid w:val="00DC058B"/>
    <w:rsid w:val="00DC07A3"/>
    <w:rsid w:val="00DC0A4F"/>
    <w:rsid w:val="00DC0C9C"/>
    <w:rsid w:val="00DC0E56"/>
    <w:rsid w:val="00DC1255"/>
    <w:rsid w:val="00DC1894"/>
    <w:rsid w:val="00DC224C"/>
    <w:rsid w:val="00DC2300"/>
    <w:rsid w:val="00DC2379"/>
    <w:rsid w:val="00DC2411"/>
    <w:rsid w:val="00DC26EF"/>
    <w:rsid w:val="00DC29F3"/>
    <w:rsid w:val="00DC2C3F"/>
    <w:rsid w:val="00DC2D42"/>
    <w:rsid w:val="00DC3AE5"/>
    <w:rsid w:val="00DC4FF0"/>
    <w:rsid w:val="00DC531E"/>
    <w:rsid w:val="00DC60D0"/>
    <w:rsid w:val="00DC6A08"/>
    <w:rsid w:val="00DC6BA5"/>
    <w:rsid w:val="00DC74D2"/>
    <w:rsid w:val="00DC77D8"/>
    <w:rsid w:val="00DC7C93"/>
    <w:rsid w:val="00DC7D00"/>
    <w:rsid w:val="00DD0499"/>
    <w:rsid w:val="00DD0568"/>
    <w:rsid w:val="00DD061A"/>
    <w:rsid w:val="00DD111C"/>
    <w:rsid w:val="00DD16BC"/>
    <w:rsid w:val="00DD19F3"/>
    <w:rsid w:val="00DD1BE7"/>
    <w:rsid w:val="00DD2D75"/>
    <w:rsid w:val="00DD45AE"/>
    <w:rsid w:val="00DD47FF"/>
    <w:rsid w:val="00DD48F0"/>
    <w:rsid w:val="00DD4BEC"/>
    <w:rsid w:val="00DD51CB"/>
    <w:rsid w:val="00DD56AC"/>
    <w:rsid w:val="00DD5B84"/>
    <w:rsid w:val="00DD5CCD"/>
    <w:rsid w:val="00DD5D9C"/>
    <w:rsid w:val="00DD615C"/>
    <w:rsid w:val="00DD6ACB"/>
    <w:rsid w:val="00DD6B3A"/>
    <w:rsid w:val="00DD71BC"/>
    <w:rsid w:val="00DD77EB"/>
    <w:rsid w:val="00DD7843"/>
    <w:rsid w:val="00DD7ECF"/>
    <w:rsid w:val="00DE0B2B"/>
    <w:rsid w:val="00DE0DDF"/>
    <w:rsid w:val="00DE1CB5"/>
    <w:rsid w:val="00DE2659"/>
    <w:rsid w:val="00DE33B2"/>
    <w:rsid w:val="00DE3655"/>
    <w:rsid w:val="00DE3B5E"/>
    <w:rsid w:val="00DE43DD"/>
    <w:rsid w:val="00DE4840"/>
    <w:rsid w:val="00DE4B6D"/>
    <w:rsid w:val="00DE53AC"/>
    <w:rsid w:val="00DE6CD2"/>
    <w:rsid w:val="00DE761C"/>
    <w:rsid w:val="00DE7748"/>
    <w:rsid w:val="00DE7825"/>
    <w:rsid w:val="00DF02A6"/>
    <w:rsid w:val="00DF07EF"/>
    <w:rsid w:val="00DF0D55"/>
    <w:rsid w:val="00DF2675"/>
    <w:rsid w:val="00DF2C79"/>
    <w:rsid w:val="00DF2DF3"/>
    <w:rsid w:val="00DF31D2"/>
    <w:rsid w:val="00DF3255"/>
    <w:rsid w:val="00DF3272"/>
    <w:rsid w:val="00DF371F"/>
    <w:rsid w:val="00DF3BB8"/>
    <w:rsid w:val="00DF4114"/>
    <w:rsid w:val="00DF48AA"/>
    <w:rsid w:val="00DF4DD3"/>
    <w:rsid w:val="00DF51FF"/>
    <w:rsid w:val="00DF5417"/>
    <w:rsid w:val="00DF559F"/>
    <w:rsid w:val="00DF563F"/>
    <w:rsid w:val="00DF5A86"/>
    <w:rsid w:val="00DF5CC8"/>
    <w:rsid w:val="00DF6535"/>
    <w:rsid w:val="00DF6C22"/>
    <w:rsid w:val="00DF6F22"/>
    <w:rsid w:val="00DF71FD"/>
    <w:rsid w:val="00DF7413"/>
    <w:rsid w:val="00DF7D06"/>
    <w:rsid w:val="00E0080F"/>
    <w:rsid w:val="00E00821"/>
    <w:rsid w:val="00E00CE8"/>
    <w:rsid w:val="00E01271"/>
    <w:rsid w:val="00E01468"/>
    <w:rsid w:val="00E01800"/>
    <w:rsid w:val="00E0181E"/>
    <w:rsid w:val="00E02775"/>
    <w:rsid w:val="00E035B7"/>
    <w:rsid w:val="00E03DE1"/>
    <w:rsid w:val="00E05006"/>
    <w:rsid w:val="00E05645"/>
    <w:rsid w:val="00E05E5E"/>
    <w:rsid w:val="00E06270"/>
    <w:rsid w:val="00E06299"/>
    <w:rsid w:val="00E06609"/>
    <w:rsid w:val="00E06AD6"/>
    <w:rsid w:val="00E06B4C"/>
    <w:rsid w:val="00E06C69"/>
    <w:rsid w:val="00E06C80"/>
    <w:rsid w:val="00E06E33"/>
    <w:rsid w:val="00E06F55"/>
    <w:rsid w:val="00E07664"/>
    <w:rsid w:val="00E0782D"/>
    <w:rsid w:val="00E07C16"/>
    <w:rsid w:val="00E07FED"/>
    <w:rsid w:val="00E107F0"/>
    <w:rsid w:val="00E10867"/>
    <w:rsid w:val="00E108A7"/>
    <w:rsid w:val="00E10E26"/>
    <w:rsid w:val="00E11005"/>
    <w:rsid w:val="00E110CD"/>
    <w:rsid w:val="00E1111C"/>
    <w:rsid w:val="00E11153"/>
    <w:rsid w:val="00E119B3"/>
    <w:rsid w:val="00E11BFF"/>
    <w:rsid w:val="00E11FD6"/>
    <w:rsid w:val="00E1202B"/>
    <w:rsid w:val="00E1203E"/>
    <w:rsid w:val="00E12744"/>
    <w:rsid w:val="00E12C64"/>
    <w:rsid w:val="00E13D3D"/>
    <w:rsid w:val="00E147E9"/>
    <w:rsid w:val="00E147F9"/>
    <w:rsid w:val="00E14840"/>
    <w:rsid w:val="00E15437"/>
    <w:rsid w:val="00E15909"/>
    <w:rsid w:val="00E15D93"/>
    <w:rsid w:val="00E16A0F"/>
    <w:rsid w:val="00E16D0D"/>
    <w:rsid w:val="00E16F74"/>
    <w:rsid w:val="00E1719E"/>
    <w:rsid w:val="00E171E7"/>
    <w:rsid w:val="00E172B4"/>
    <w:rsid w:val="00E17394"/>
    <w:rsid w:val="00E1779E"/>
    <w:rsid w:val="00E177F1"/>
    <w:rsid w:val="00E17805"/>
    <w:rsid w:val="00E17A29"/>
    <w:rsid w:val="00E202E9"/>
    <w:rsid w:val="00E2090D"/>
    <w:rsid w:val="00E210BA"/>
    <w:rsid w:val="00E218FD"/>
    <w:rsid w:val="00E225EF"/>
    <w:rsid w:val="00E22983"/>
    <w:rsid w:val="00E22ED2"/>
    <w:rsid w:val="00E22F4A"/>
    <w:rsid w:val="00E22F60"/>
    <w:rsid w:val="00E22F6C"/>
    <w:rsid w:val="00E235DF"/>
    <w:rsid w:val="00E2386F"/>
    <w:rsid w:val="00E2433B"/>
    <w:rsid w:val="00E24BF1"/>
    <w:rsid w:val="00E25156"/>
    <w:rsid w:val="00E25329"/>
    <w:rsid w:val="00E2548C"/>
    <w:rsid w:val="00E259A6"/>
    <w:rsid w:val="00E26634"/>
    <w:rsid w:val="00E267A6"/>
    <w:rsid w:val="00E26DD4"/>
    <w:rsid w:val="00E27189"/>
    <w:rsid w:val="00E273F4"/>
    <w:rsid w:val="00E276DE"/>
    <w:rsid w:val="00E308B9"/>
    <w:rsid w:val="00E30D9B"/>
    <w:rsid w:val="00E3100E"/>
    <w:rsid w:val="00E31BCB"/>
    <w:rsid w:val="00E32145"/>
    <w:rsid w:val="00E325F3"/>
    <w:rsid w:val="00E327A7"/>
    <w:rsid w:val="00E32C3B"/>
    <w:rsid w:val="00E330B6"/>
    <w:rsid w:val="00E3331E"/>
    <w:rsid w:val="00E33407"/>
    <w:rsid w:val="00E33C56"/>
    <w:rsid w:val="00E33D7D"/>
    <w:rsid w:val="00E34165"/>
    <w:rsid w:val="00E34946"/>
    <w:rsid w:val="00E34B30"/>
    <w:rsid w:val="00E34C15"/>
    <w:rsid w:val="00E35431"/>
    <w:rsid w:val="00E356FD"/>
    <w:rsid w:val="00E3572B"/>
    <w:rsid w:val="00E35A6D"/>
    <w:rsid w:val="00E35EBE"/>
    <w:rsid w:val="00E36390"/>
    <w:rsid w:val="00E365AD"/>
    <w:rsid w:val="00E367DE"/>
    <w:rsid w:val="00E36A04"/>
    <w:rsid w:val="00E36BC8"/>
    <w:rsid w:val="00E40700"/>
    <w:rsid w:val="00E4140F"/>
    <w:rsid w:val="00E41607"/>
    <w:rsid w:val="00E4170F"/>
    <w:rsid w:val="00E41AB2"/>
    <w:rsid w:val="00E41B11"/>
    <w:rsid w:val="00E41CE2"/>
    <w:rsid w:val="00E41E11"/>
    <w:rsid w:val="00E42068"/>
    <w:rsid w:val="00E4215B"/>
    <w:rsid w:val="00E42328"/>
    <w:rsid w:val="00E423A4"/>
    <w:rsid w:val="00E42565"/>
    <w:rsid w:val="00E425C1"/>
    <w:rsid w:val="00E428FB"/>
    <w:rsid w:val="00E43178"/>
    <w:rsid w:val="00E4395C"/>
    <w:rsid w:val="00E43FA0"/>
    <w:rsid w:val="00E445A6"/>
    <w:rsid w:val="00E45378"/>
    <w:rsid w:val="00E45462"/>
    <w:rsid w:val="00E45575"/>
    <w:rsid w:val="00E456FA"/>
    <w:rsid w:val="00E45DBA"/>
    <w:rsid w:val="00E460A2"/>
    <w:rsid w:val="00E4617A"/>
    <w:rsid w:val="00E4626B"/>
    <w:rsid w:val="00E4637F"/>
    <w:rsid w:val="00E4655B"/>
    <w:rsid w:val="00E4671A"/>
    <w:rsid w:val="00E46820"/>
    <w:rsid w:val="00E477D8"/>
    <w:rsid w:val="00E47A6D"/>
    <w:rsid w:val="00E47D3E"/>
    <w:rsid w:val="00E50200"/>
    <w:rsid w:val="00E50316"/>
    <w:rsid w:val="00E508A2"/>
    <w:rsid w:val="00E50A3F"/>
    <w:rsid w:val="00E50AFA"/>
    <w:rsid w:val="00E50F9D"/>
    <w:rsid w:val="00E51136"/>
    <w:rsid w:val="00E51459"/>
    <w:rsid w:val="00E5151C"/>
    <w:rsid w:val="00E51BD0"/>
    <w:rsid w:val="00E5219B"/>
    <w:rsid w:val="00E52467"/>
    <w:rsid w:val="00E524E3"/>
    <w:rsid w:val="00E526D6"/>
    <w:rsid w:val="00E52702"/>
    <w:rsid w:val="00E52CE3"/>
    <w:rsid w:val="00E530D1"/>
    <w:rsid w:val="00E5336C"/>
    <w:rsid w:val="00E533A8"/>
    <w:rsid w:val="00E53781"/>
    <w:rsid w:val="00E538CC"/>
    <w:rsid w:val="00E53A5B"/>
    <w:rsid w:val="00E53B7F"/>
    <w:rsid w:val="00E53E58"/>
    <w:rsid w:val="00E541A9"/>
    <w:rsid w:val="00E543FD"/>
    <w:rsid w:val="00E545AC"/>
    <w:rsid w:val="00E54B6D"/>
    <w:rsid w:val="00E55452"/>
    <w:rsid w:val="00E55681"/>
    <w:rsid w:val="00E55CE3"/>
    <w:rsid w:val="00E561FB"/>
    <w:rsid w:val="00E562FB"/>
    <w:rsid w:val="00E56C8B"/>
    <w:rsid w:val="00E56DB4"/>
    <w:rsid w:val="00E5717A"/>
    <w:rsid w:val="00E602AE"/>
    <w:rsid w:val="00E60FCF"/>
    <w:rsid w:val="00E61817"/>
    <w:rsid w:val="00E61D42"/>
    <w:rsid w:val="00E6251D"/>
    <w:rsid w:val="00E6330F"/>
    <w:rsid w:val="00E63ACC"/>
    <w:rsid w:val="00E63EC2"/>
    <w:rsid w:val="00E64352"/>
    <w:rsid w:val="00E64836"/>
    <w:rsid w:val="00E64973"/>
    <w:rsid w:val="00E65340"/>
    <w:rsid w:val="00E6546F"/>
    <w:rsid w:val="00E65776"/>
    <w:rsid w:val="00E65921"/>
    <w:rsid w:val="00E65DEA"/>
    <w:rsid w:val="00E65EA5"/>
    <w:rsid w:val="00E66213"/>
    <w:rsid w:val="00E66AB0"/>
    <w:rsid w:val="00E66DB3"/>
    <w:rsid w:val="00E67780"/>
    <w:rsid w:val="00E67D86"/>
    <w:rsid w:val="00E70333"/>
    <w:rsid w:val="00E70436"/>
    <w:rsid w:val="00E7056B"/>
    <w:rsid w:val="00E70F47"/>
    <w:rsid w:val="00E732BB"/>
    <w:rsid w:val="00E7342A"/>
    <w:rsid w:val="00E73C9F"/>
    <w:rsid w:val="00E7415F"/>
    <w:rsid w:val="00E74335"/>
    <w:rsid w:val="00E74A6D"/>
    <w:rsid w:val="00E7546C"/>
    <w:rsid w:val="00E7570F"/>
    <w:rsid w:val="00E75828"/>
    <w:rsid w:val="00E75C04"/>
    <w:rsid w:val="00E7609B"/>
    <w:rsid w:val="00E76186"/>
    <w:rsid w:val="00E762B1"/>
    <w:rsid w:val="00E7706B"/>
    <w:rsid w:val="00E7749B"/>
    <w:rsid w:val="00E80606"/>
    <w:rsid w:val="00E80D47"/>
    <w:rsid w:val="00E818E3"/>
    <w:rsid w:val="00E8258F"/>
    <w:rsid w:val="00E826CE"/>
    <w:rsid w:val="00E82F6A"/>
    <w:rsid w:val="00E82FCE"/>
    <w:rsid w:val="00E836C0"/>
    <w:rsid w:val="00E83864"/>
    <w:rsid w:val="00E83D75"/>
    <w:rsid w:val="00E83E0A"/>
    <w:rsid w:val="00E844B0"/>
    <w:rsid w:val="00E845C4"/>
    <w:rsid w:val="00E84932"/>
    <w:rsid w:val="00E85ACF"/>
    <w:rsid w:val="00E863D8"/>
    <w:rsid w:val="00E863F9"/>
    <w:rsid w:val="00E86988"/>
    <w:rsid w:val="00E86BD6"/>
    <w:rsid w:val="00E86DC2"/>
    <w:rsid w:val="00E86E5B"/>
    <w:rsid w:val="00E86FF8"/>
    <w:rsid w:val="00E87033"/>
    <w:rsid w:val="00E87647"/>
    <w:rsid w:val="00E8776C"/>
    <w:rsid w:val="00E90195"/>
    <w:rsid w:val="00E9031B"/>
    <w:rsid w:val="00E90441"/>
    <w:rsid w:val="00E90A34"/>
    <w:rsid w:val="00E90B6B"/>
    <w:rsid w:val="00E91319"/>
    <w:rsid w:val="00E91D60"/>
    <w:rsid w:val="00E91E34"/>
    <w:rsid w:val="00E92565"/>
    <w:rsid w:val="00E92B2B"/>
    <w:rsid w:val="00E92B7C"/>
    <w:rsid w:val="00E93817"/>
    <w:rsid w:val="00E93A37"/>
    <w:rsid w:val="00E93B1C"/>
    <w:rsid w:val="00E93D31"/>
    <w:rsid w:val="00E95C9C"/>
    <w:rsid w:val="00E95FA3"/>
    <w:rsid w:val="00E9624B"/>
    <w:rsid w:val="00E96F52"/>
    <w:rsid w:val="00E972D6"/>
    <w:rsid w:val="00E97F3A"/>
    <w:rsid w:val="00EA066E"/>
    <w:rsid w:val="00EA0863"/>
    <w:rsid w:val="00EA1185"/>
    <w:rsid w:val="00EA15CC"/>
    <w:rsid w:val="00EA15D4"/>
    <w:rsid w:val="00EA1706"/>
    <w:rsid w:val="00EA181A"/>
    <w:rsid w:val="00EA1990"/>
    <w:rsid w:val="00EA1B2D"/>
    <w:rsid w:val="00EA3287"/>
    <w:rsid w:val="00EA34D4"/>
    <w:rsid w:val="00EA352F"/>
    <w:rsid w:val="00EA3961"/>
    <w:rsid w:val="00EA3A7F"/>
    <w:rsid w:val="00EA486A"/>
    <w:rsid w:val="00EA4C93"/>
    <w:rsid w:val="00EA4D16"/>
    <w:rsid w:val="00EA52F8"/>
    <w:rsid w:val="00EA5319"/>
    <w:rsid w:val="00EA53CF"/>
    <w:rsid w:val="00EA55A6"/>
    <w:rsid w:val="00EA5869"/>
    <w:rsid w:val="00EA61F3"/>
    <w:rsid w:val="00EA741D"/>
    <w:rsid w:val="00EA7543"/>
    <w:rsid w:val="00EA776C"/>
    <w:rsid w:val="00EA7887"/>
    <w:rsid w:val="00EA79FA"/>
    <w:rsid w:val="00EA7BA5"/>
    <w:rsid w:val="00EB006C"/>
    <w:rsid w:val="00EB0124"/>
    <w:rsid w:val="00EB0AE5"/>
    <w:rsid w:val="00EB0FF2"/>
    <w:rsid w:val="00EB116A"/>
    <w:rsid w:val="00EB1542"/>
    <w:rsid w:val="00EB155B"/>
    <w:rsid w:val="00EB16B0"/>
    <w:rsid w:val="00EB1FE1"/>
    <w:rsid w:val="00EB20FB"/>
    <w:rsid w:val="00EB212D"/>
    <w:rsid w:val="00EB30B6"/>
    <w:rsid w:val="00EB32E2"/>
    <w:rsid w:val="00EB3EDF"/>
    <w:rsid w:val="00EB3FC4"/>
    <w:rsid w:val="00EB416D"/>
    <w:rsid w:val="00EB553E"/>
    <w:rsid w:val="00EB5E81"/>
    <w:rsid w:val="00EB5F4B"/>
    <w:rsid w:val="00EB6520"/>
    <w:rsid w:val="00EB682E"/>
    <w:rsid w:val="00EB6834"/>
    <w:rsid w:val="00EB7B79"/>
    <w:rsid w:val="00EB7DB8"/>
    <w:rsid w:val="00EC0148"/>
    <w:rsid w:val="00EC0FA8"/>
    <w:rsid w:val="00EC209B"/>
    <w:rsid w:val="00EC29E1"/>
    <w:rsid w:val="00EC2B32"/>
    <w:rsid w:val="00EC2D0C"/>
    <w:rsid w:val="00EC3229"/>
    <w:rsid w:val="00EC3451"/>
    <w:rsid w:val="00EC34D4"/>
    <w:rsid w:val="00EC3B47"/>
    <w:rsid w:val="00EC4017"/>
    <w:rsid w:val="00EC4216"/>
    <w:rsid w:val="00EC4554"/>
    <w:rsid w:val="00EC49DF"/>
    <w:rsid w:val="00EC534A"/>
    <w:rsid w:val="00EC56B2"/>
    <w:rsid w:val="00EC5A97"/>
    <w:rsid w:val="00EC5B26"/>
    <w:rsid w:val="00EC5F53"/>
    <w:rsid w:val="00EC6EC7"/>
    <w:rsid w:val="00EC7975"/>
    <w:rsid w:val="00EC7BEC"/>
    <w:rsid w:val="00ED05A7"/>
    <w:rsid w:val="00ED062A"/>
    <w:rsid w:val="00ED07E1"/>
    <w:rsid w:val="00ED0C68"/>
    <w:rsid w:val="00ED0FD9"/>
    <w:rsid w:val="00ED27E1"/>
    <w:rsid w:val="00ED29B3"/>
    <w:rsid w:val="00ED29E2"/>
    <w:rsid w:val="00ED2DD5"/>
    <w:rsid w:val="00ED332C"/>
    <w:rsid w:val="00ED35D0"/>
    <w:rsid w:val="00ED3727"/>
    <w:rsid w:val="00ED3F0F"/>
    <w:rsid w:val="00ED437B"/>
    <w:rsid w:val="00ED4866"/>
    <w:rsid w:val="00ED52EC"/>
    <w:rsid w:val="00ED5519"/>
    <w:rsid w:val="00ED5AEC"/>
    <w:rsid w:val="00ED5C9B"/>
    <w:rsid w:val="00ED6090"/>
    <w:rsid w:val="00ED6622"/>
    <w:rsid w:val="00ED684B"/>
    <w:rsid w:val="00ED6D42"/>
    <w:rsid w:val="00ED6E62"/>
    <w:rsid w:val="00ED70D4"/>
    <w:rsid w:val="00ED723B"/>
    <w:rsid w:val="00ED74D0"/>
    <w:rsid w:val="00EE0000"/>
    <w:rsid w:val="00EE0B06"/>
    <w:rsid w:val="00EE16A6"/>
    <w:rsid w:val="00EE17A4"/>
    <w:rsid w:val="00EE1C4E"/>
    <w:rsid w:val="00EE1D9C"/>
    <w:rsid w:val="00EE1F62"/>
    <w:rsid w:val="00EE2285"/>
    <w:rsid w:val="00EE249B"/>
    <w:rsid w:val="00EE26E5"/>
    <w:rsid w:val="00EE2F6B"/>
    <w:rsid w:val="00EE3039"/>
    <w:rsid w:val="00EE3526"/>
    <w:rsid w:val="00EE3CEA"/>
    <w:rsid w:val="00EE3FC0"/>
    <w:rsid w:val="00EE4E3D"/>
    <w:rsid w:val="00EE4F59"/>
    <w:rsid w:val="00EE51E9"/>
    <w:rsid w:val="00EE52F1"/>
    <w:rsid w:val="00EE5A2E"/>
    <w:rsid w:val="00EE5E86"/>
    <w:rsid w:val="00EE60AB"/>
    <w:rsid w:val="00EE66F7"/>
    <w:rsid w:val="00EE6B85"/>
    <w:rsid w:val="00EE71B0"/>
    <w:rsid w:val="00EE7766"/>
    <w:rsid w:val="00EE7F49"/>
    <w:rsid w:val="00EF0010"/>
    <w:rsid w:val="00EF05C0"/>
    <w:rsid w:val="00EF06B8"/>
    <w:rsid w:val="00EF0757"/>
    <w:rsid w:val="00EF08DD"/>
    <w:rsid w:val="00EF0A70"/>
    <w:rsid w:val="00EF0A93"/>
    <w:rsid w:val="00EF0BBB"/>
    <w:rsid w:val="00EF0E85"/>
    <w:rsid w:val="00EF0F9E"/>
    <w:rsid w:val="00EF1216"/>
    <w:rsid w:val="00EF181F"/>
    <w:rsid w:val="00EF1C27"/>
    <w:rsid w:val="00EF1C3E"/>
    <w:rsid w:val="00EF1DD5"/>
    <w:rsid w:val="00EF2154"/>
    <w:rsid w:val="00EF231D"/>
    <w:rsid w:val="00EF281A"/>
    <w:rsid w:val="00EF28CC"/>
    <w:rsid w:val="00EF2C7B"/>
    <w:rsid w:val="00EF327C"/>
    <w:rsid w:val="00EF3598"/>
    <w:rsid w:val="00EF3D8A"/>
    <w:rsid w:val="00EF3E99"/>
    <w:rsid w:val="00EF3F83"/>
    <w:rsid w:val="00EF3FC3"/>
    <w:rsid w:val="00EF4A1A"/>
    <w:rsid w:val="00EF57D0"/>
    <w:rsid w:val="00EF58DA"/>
    <w:rsid w:val="00EF6694"/>
    <w:rsid w:val="00F00186"/>
    <w:rsid w:val="00F006E4"/>
    <w:rsid w:val="00F00CB2"/>
    <w:rsid w:val="00F00D15"/>
    <w:rsid w:val="00F00F76"/>
    <w:rsid w:val="00F0169C"/>
    <w:rsid w:val="00F017CD"/>
    <w:rsid w:val="00F017D3"/>
    <w:rsid w:val="00F01AEF"/>
    <w:rsid w:val="00F02227"/>
    <w:rsid w:val="00F02B9D"/>
    <w:rsid w:val="00F02E10"/>
    <w:rsid w:val="00F02EDE"/>
    <w:rsid w:val="00F03004"/>
    <w:rsid w:val="00F0362A"/>
    <w:rsid w:val="00F04081"/>
    <w:rsid w:val="00F045C1"/>
    <w:rsid w:val="00F04CA1"/>
    <w:rsid w:val="00F04EB8"/>
    <w:rsid w:val="00F05582"/>
    <w:rsid w:val="00F05639"/>
    <w:rsid w:val="00F05CA5"/>
    <w:rsid w:val="00F07189"/>
    <w:rsid w:val="00F074EC"/>
    <w:rsid w:val="00F07768"/>
    <w:rsid w:val="00F07B4E"/>
    <w:rsid w:val="00F109BE"/>
    <w:rsid w:val="00F11801"/>
    <w:rsid w:val="00F11FEB"/>
    <w:rsid w:val="00F123C9"/>
    <w:rsid w:val="00F128A3"/>
    <w:rsid w:val="00F12B31"/>
    <w:rsid w:val="00F12C6A"/>
    <w:rsid w:val="00F12E90"/>
    <w:rsid w:val="00F133F9"/>
    <w:rsid w:val="00F13400"/>
    <w:rsid w:val="00F152F7"/>
    <w:rsid w:val="00F1545D"/>
    <w:rsid w:val="00F15CC7"/>
    <w:rsid w:val="00F16394"/>
    <w:rsid w:val="00F165E3"/>
    <w:rsid w:val="00F166E9"/>
    <w:rsid w:val="00F16E6C"/>
    <w:rsid w:val="00F1759B"/>
    <w:rsid w:val="00F17B19"/>
    <w:rsid w:val="00F17F7A"/>
    <w:rsid w:val="00F2019E"/>
    <w:rsid w:val="00F201EC"/>
    <w:rsid w:val="00F2073B"/>
    <w:rsid w:val="00F21351"/>
    <w:rsid w:val="00F215F2"/>
    <w:rsid w:val="00F2165B"/>
    <w:rsid w:val="00F219F3"/>
    <w:rsid w:val="00F21A03"/>
    <w:rsid w:val="00F21C05"/>
    <w:rsid w:val="00F2213F"/>
    <w:rsid w:val="00F227C2"/>
    <w:rsid w:val="00F23067"/>
    <w:rsid w:val="00F241FD"/>
    <w:rsid w:val="00F25AB3"/>
    <w:rsid w:val="00F25EEF"/>
    <w:rsid w:val="00F25F22"/>
    <w:rsid w:val="00F26063"/>
    <w:rsid w:val="00F26CFF"/>
    <w:rsid w:val="00F27183"/>
    <w:rsid w:val="00F271DB"/>
    <w:rsid w:val="00F274B0"/>
    <w:rsid w:val="00F27583"/>
    <w:rsid w:val="00F27ACE"/>
    <w:rsid w:val="00F27CA6"/>
    <w:rsid w:val="00F30331"/>
    <w:rsid w:val="00F31137"/>
    <w:rsid w:val="00F31A55"/>
    <w:rsid w:val="00F32269"/>
    <w:rsid w:val="00F33479"/>
    <w:rsid w:val="00F33636"/>
    <w:rsid w:val="00F339B8"/>
    <w:rsid w:val="00F33A46"/>
    <w:rsid w:val="00F33D92"/>
    <w:rsid w:val="00F34259"/>
    <w:rsid w:val="00F34C67"/>
    <w:rsid w:val="00F34CD2"/>
    <w:rsid w:val="00F353F6"/>
    <w:rsid w:val="00F35846"/>
    <w:rsid w:val="00F365C0"/>
    <w:rsid w:val="00F36666"/>
    <w:rsid w:val="00F36D00"/>
    <w:rsid w:val="00F37183"/>
    <w:rsid w:val="00F3719D"/>
    <w:rsid w:val="00F372A9"/>
    <w:rsid w:val="00F4047D"/>
    <w:rsid w:val="00F40915"/>
    <w:rsid w:val="00F40EF0"/>
    <w:rsid w:val="00F40F7B"/>
    <w:rsid w:val="00F41745"/>
    <w:rsid w:val="00F41910"/>
    <w:rsid w:val="00F41C99"/>
    <w:rsid w:val="00F423D6"/>
    <w:rsid w:val="00F4349D"/>
    <w:rsid w:val="00F43E21"/>
    <w:rsid w:val="00F441ED"/>
    <w:rsid w:val="00F442F6"/>
    <w:rsid w:val="00F4468F"/>
    <w:rsid w:val="00F45157"/>
    <w:rsid w:val="00F45277"/>
    <w:rsid w:val="00F459EF"/>
    <w:rsid w:val="00F46B60"/>
    <w:rsid w:val="00F46D68"/>
    <w:rsid w:val="00F46D7B"/>
    <w:rsid w:val="00F46ED8"/>
    <w:rsid w:val="00F474EF"/>
    <w:rsid w:val="00F47750"/>
    <w:rsid w:val="00F47B8D"/>
    <w:rsid w:val="00F5056B"/>
    <w:rsid w:val="00F50974"/>
    <w:rsid w:val="00F51CAE"/>
    <w:rsid w:val="00F52144"/>
    <w:rsid w:val="00F52B0A"/>
    <w:rsid w:val="00F52C7B"/>
    <w:rsid w:val="00F5309C"/>
    <w:rsid w:val="00F53610"/>
    <w:rsid w:val="00F53AC2"/>
    <w:rsid w:val="00F53B5C"/>
    <w:rsid w:val="00F53EBA"/>
    <w:rsid w:val="00F54413"/>
    <w:rsid w:val="00F545C7"/>
    <w:rsid w:val="00F55004"/>
    <w:rsid w:val="00F55456"/>
    <w:rsid w:val="00F55465"/>
    <w:rsid w:val="00F55DE7"/>
    <w:rsid w:val="00F55FE8"/>
    <w:rsid w:val="00F564B2"/>
    <w:rsid w:val="00F56531"/>
    <w:rsid w:val="00F56AB7"/>
    <w:rsid w:val="00F56D25"/>
    <w:rsid w:val="00F56E63"/>
    <w:rsid w:val="00F570BE"/>
    <w:rsid w:val="00F57182"/>
    <w:rsid w:val="00F575DD"/>
    <w:rsid w:val="00F57649"/>
    <w:rsid w:val="00F579E8"/>
    <w:rsid w:val="00F60636"/>
    <w:rsid w:val="00F60738"/>
    <w:rsid w:val="00F610A9"/>
    <w:rsid w:val="00F610B0"/>
    <w:rsid w:val="00F61256"/>
    <w:rsid w:val="00F6132D"/>
    <w:rsid w:val="00F616D6"/>
    <w:rsid w:val="00F61F9D"/>
    <w:rsid w:val="00F62595"/>
    <w:rsid w:val="00F632E6"/>
    <w:rsid w:val="00F64137"/>
    <w:rsid w:val="00F64219"/>
    <w:rsid w:val="00F65B21"/>
    <w:rsid w:val="00F65C4C"/>
    <w:rsid w:val="00F661DA"/>
    <w:rsid w:val="00F6641E"/>
    <w:rsid w:val="00F6668D"/>
    <w:rsid w:val="00F668BD"/>
    <w:rsid w:val="00F66A3F"/>
    <w:rsid w:val="00F66EDD"/>
    <w:rsid w:val="00F66FDE"/>
    <w:rsid w:val="00F67A8D"/>
    <w:rsid w:val="00F70140"/>
    <w:rsid w:val="00F702A2"/>
    <w:rsid w:val="00F703C5"/>
    <w:rsid w:val="00F7066D"/>
    <w:rsid w:val="00F708B4"/>
    <w:rsid w:val="00F70A18"/>
    <w:rsid w:val="00F70A48"/>
    <w:rsid w:val="00F7100A"/>
    <w:rsid w:val="00F71193"/>
    <w:rsid w:val="00F71596"/>
    <w:rsid w:val="00F71E49"/>
    <w:rsid w:val="00F72653"/>
    <w:rsid w:val="00F72A12"/>
    <w:rsid w:val="00F72B88"/>
    <w:rsid w:val="00F73556"/>
    <w:rsid w:val="00F73E09"/>
    <w:rsid w:val="00F74276"/>
    <w:rsid w:val="00F74358"/>
    <w:rsid w:val="00F745C9"/>
    <w:rsid w:val="00F746AE"/>
    <w:rsid w:val="00F74718"/>
    <w:rsid w:val="00F74ACC"/>
    <w:rsid w:val="00F74C82"/>
    <w:rsid w:val="00F74ECE"/>
    <w:rsid w:val="00F75003"/>
    <w:rsid w:val="00F75181"/>
    <w:rsid w:val="00F754D4"/>
    <w:rsid w:val="00F758F7"/>
    <w:rsid w:val="00F75995"/>
    <w:rsid w:val="00F75CFA"/>
    <w:rsid w:val="00F76073"/>
    <w:rsid w:val="00F76E6C"/>
    <w:rsid w:val="00F7790B"/>
    <w:rsid w:val="00F77ADB"/>
    <w:rsid w:val="00F77B1D"/>
    <w:rsid w:val="00F77CF7"/>
    <w:rsid w:val="00F80257"/>
    <w:rsid w:val="00F807E0"/>
    <w:rsid w:val="00F8089A"/>
    <w:rsid w:val="00F81493"/>
    <w:rsid w:val="00F81927"/>
    <w:rsid w:val="00F8253D"/>
    <w:rsid w:val="00F83106"/>
    <w:rsid w:val="00F833F3"/>
    <w:rsid w:val="00F83B49"/>
    <w:rsid w:val="00F83FDC"/>
    <w:rsid w:val="00F842E4"/>
    <w:rsid w:val="00F84FB6"/>
    <w:rsid w:val="00F8545D"/>
    <w:rsid w:val="00F85504"/>
    <w:rsid w:val="00F85646"/>
    <w:rsid w:val="00F8582C"/>
    <w:rsid w:val="00F8621E"/>
    <w:rsid w:val="00F86738"/>
    <w:rsid w:val="00F86C9C"/>
    <w:rsid w:val="00F86FD6"/>
    <w:rsid w:val="00F87036"/>
    <w:rsid w:val="00F874DF"/>
    <w:rsid w:val="00F87730"/>
    <w:rsid w:val="00F87CC4"/>
    <w:rsid w:val="00F902E6"/>
    <w:rsid w:val="00F90620"/>
    <w:rsid w:val="00F90F27"/>
    <w:rsid w:val="00F917DB"/>
    <w:rsid w:val="00F91B5D"/>
    <w:rsid w:val="00F9277E"/>
    <w:rsid w:val="00F927D6"/>
    <w:rsid w:val="00F93F9B"/>
    <w:rsid w:val="00F9473E"/>
    <w:rsid w:val="00F94D93"/>
    <w:rsid w:val="00F957B3"/>
    <w:rsid w:val="00F95B61"/>
    <w:rsid w:val="00F960F8"/>
    <w:rsid w:val="00F96AB9"/>
    <w:rsid w:val="00F97707"/>
    <w:rsid w:val="00F97BE1"/>
    <w:rsid w:val="00F97CC4"/>
    <w:rsid w:val="00F97EF8"/>
    <w:rsid w:val="00FA00B9"/>
    <w:rsid w:val="00FA0405"/>
    <w:rsid w:val="00FA060F"/>
    <w:rsid w:val="00FA0B74"/>
    <w:rsid w:val="00FA0F5A"/>
    <w:rsid w:val="00FA1774"/>
    <w:rsid w:val="00FA1A2F"/>
    <w:rsid w:val="00FA2610"/>
    <w:rsid w:val="00FA2A98"/>
    <w:rsid w:val="00FA2E55"/>
    <w:rsid w:val="00FA2FF4"/>
    <w:rsid w:val="00FA3113"/>
    <w:rsid w:val="00FA3E46"/>
    <w:rsid w:val="00FA4A11"/>
    <w:rsid w:val="00FA4C6B"/>
    <w:rsid w:val="00FA549A"/>
    <w:rsid w:val="00FA5AAF"/>
    <w:rsid w:val="00FA5D10"/>
    <w:rsid w:val="00FA5D7E"/>
    <w:rsid w:val="00FA61E1"/>
    <w:rsid w:val="00FA65B3"/>
    <w:rsid w:val="00FA6C4A"/>
    <w:rsid w:val="00FA7030"/>
    <w:rsid w:val="00FA7943"/>
    <w:rsid w:val="00FA7B36"/>
    <w:rsid w:val="00FA7E83"/>
    <w:rsid w:val="00FA7FCF"/>
    <w:rsid w:val="00FB0610"/>
    <w:rsid w:val="00FB0A45"/>
    <w:rsid w:val="00FB0AC2"/>
    <w:rsid w:val="00FB0E19"/>
    <w:rsid w:val="00FB13D7"/>
    <w:rsid w:val="00FB14AC"/>
    <w:rsid w:val="00FB151A"/>
    <w:rsid w:val="00FB1634"/>
    <w:rsid w:val="00FB1717"/>
    <w:rsid w:val="00FB1771"/>
    <w:rsid w:val="00FB2160"/>
    <w:rsid w:val="00FB28F5"/>
    <w:rsid w:val="00FB2B33"/>
    <w:rsid w:val="00FB2D7C"/>
    <w:rsid w:val="00FB2F7A"/>
    <w:rsid w:val="00FB32E0"/>
    <w:rsid w:val="00FB3754"/>
    <w:rsid w:val="00FB3A97"/>
    <w:rsid w:val="00FB3D6F"/>
    <w:rsid w:val="00FB3D81"/>
    <w:rsid w:val="00FB402F"/>
    <w:rsid w:val="00FB444C"/>
    <w:rsid w:val="00FB4751"/>
    <w:rsid w:val="00FB520A"/>
    <w:rsid w:val="00FB5478"/>
    <w:rsid w:val="00FB6859"/>
    <w:rsid w:val="00FB68F9"/>
    <w:rsid w:val="00FB7496"/>
    <w:rsid w:val="00FB78F3"/>
    <w:rsid w:val="00FC099F"/>
    <w:rsid w:val="00FC0CA1"/>
    <w:rsid w:val="00FC1B27"/>
    <w:rsid w:val="00FC21C3"/>
    <w:rsid w:val="00FC2273"/>
    <w:rsid w:val="00FC3988"/>
    <w:rsid w:val="00FC3A31"/>
    <w:rsid w:val="00FC4731"/>
    <w:rsid w:val="00FC47AF"/>
    <w:rsid w:val="00FC485C"/>
    <w:rsid w:val="00FC4B40"/>
    <w:rsid w:val="00FC5075"/>
    <w:rsid w:val="00FC50C4"/>
    <w:rsid w:val="00FC6436"/>
    <w:rsid w:val="00FC64A0"/>
    <w:rsid w:val="00FC685C"/>
    <w:rsid w:val="00FC7904"/>
    <w:rsid w:val="00FC7DC9"/>
    <w:rsid w:val="00FD1100"/>
    <w:rsid w:val="00FD1345"/>
    <w:rsid w:val="00FD1362"/>
    <w:rsid w:val="00FD1B0B"/>
    <w:rsid w:val="00FD23A5"/>
    <w:rsid w:val="00FD2EAD"/>
    <w:rsid w:val="00FD3062"/>
    <w:rsid w:val="00FD36DB"/>
    <w:rsid w:val="00FD38D6"/>
    <w:rsid w:val="00FD3DDD"/>
    <w:rsid w:val="00FD46DC"/>
    <w:rsid w:val="00FD4996"/>
    <w:rsid w:val="00FD5023"/>
    <w:rsid w:val="00FD5B95"/>
    <w:rsid w:val="00FD5C47"/>
    <w:rsid w:val="00FD61A8"/>
    <w:rsid w:val="00FD6956"/>
    <w:rsid w:val="00FD696D"/>
    <w:rsid w:val="00FD6E5A"/>
    <w:rsid w:val="00FD73B9"/>
    <w:rsid w:val="00FD755F"/>
    <w:rsid w:val="00FD78E0"/>
    <w:rsid w:val="00FD79C5"/>
    <w:rsid w:val="00FD7C9A"/>
    <w:rsid w:val="00FE01ED"/>
    <w:rsid w:val="00FE0570"/>
    <w:rsid w:val="00FE06C0"/>
    <w:rsid w:val="00FE0A09"/>
    <w:rsid w:val="00FE0AB1"/>
    <w:rsid w:val="00FE1A04"/>
    <w:rsid w:val="00FE1C0A"/>
    <w:rsid w:val="00FE1C19"/>
    <w:rsid w:val="00FE25A3"/>
    <w:rsid w:val="00FE2D02"/>
    <w:rsid w:val="00FE2FD0"/>
    <w:rsid w:val="00FE308A"/>
    <w:rsid w:val="00FE43C9"/>
    <w:rsid w:val="00FE4608"/>
    <w:rsid w:val="00FE4983"/>
    <w:rsid w:val="00FE59BD"/>
    <w:rsid w:val="00FE5E36"/>
    <w:rsid w:val="00FE5E92"/>
    <w:rsid w:val="00FE61B7"/>
    <w:rsid w:val="00FE67C2"/>
    <w:rsid w:val="00FE6C36"/>
    <w:rsid w:val="00FE6C63"/>
    <w:rsid w:val="00FE70F9"/>
    <w:rsid w:val="00FE7167"/>
    <w:rsid w:val="00FE75E5"/>
    <w:rsid w:val="00FE766A"/>
    <w:rsid w:val="00FE798F"/>
    <w:rsid w:val="00FF02F3"/>
    <w:rsid w:val="00FF0695"/>
    <w:rsid w:val="00FF0C4C"/>
    <w:rsid w:val="00FF1C76"/>
    <w:rsid w:val="00FF1FA6"/>
    <w:rsid w:val="00FF2C33"/>
    <w:rsid w:val="00FF2E8F"/>
    <w:rsid w:val="00FF308B"/>
    <w:rsid w:val="00FF32BE"/>
    <w:rsid w:val="00FF3669"/>
    <w:rsid w:val="00FF3982"/>
    <w:rsid w:val="00FF39DD"/>
    <w:rsid w:val="00FF408E"/>
    <w:rsid w:val="00FF50D6"/>
    <w:rsid w:val="00FF51A7"/>
    <w:rsid w:val="00FF59FA"/>
    <w:rsid w:val="00FF5DB1"/>
    <w:rsid w:val="00FF6761"/>
    <w:rsid w:val="00FF6816"/>
    <w:rsid w:val="00FF6C79"/>
    <w:rsid w:val="00FF6DE6"/>
    <w:rsid w:val="00FF7167"/>
    <w:rsid w:val="00FF7746"/>
    <w:rsid w:val="00FF783B"/>
    <w:rsid w:val="00FF79E7"/>
    <w:rsid w:val="03B1615D"/>
    <w:rsid w:val="046C74E5"/>
    <w:rsid w:val="05F0E3C4"/>
    <w:rsid w:val="0634ABC3"/>
    <w:rsid w:val="0748EEEF"/>
    <w:rsid w:val="09B94492"/>
    <w:rsid w:val="0A1A4F3B"/>
    <w:rsid w:val="0D4CAF29"/>
    <w:rsid w:val="0F7EA813"/>
    <w:rsid w:val="0F9B0A34"/>
    <w:rsid w:val="101DE9D8"/>
    <w:rsid w:val="102CA063"/>
    <w:rsid w:val="106B278E"/>
    <w:rsid w:val="12563949"/>
    <w:rsid w:val="13127F20"/>
    <w:rsid w:val="13644125"/>
    <w:rsid w:val="17413F32"/>
    <w:rsid w:val="1750D5BB"/>
    <w:rsid w:val="1E85C38A"/>
    <w:rsid w:val="21387F5E"/>
    <w:rsid w:val="262309D0"/>
    <w:rsid w:val="2739109B"/>
    <w:rsid w:val="2A64E7C2"/>
    <w:rsid w:val="2BDD265C"/>
    <w:rsid w:val="2BF68B27"/>
    <w:rsid w:val="2D1B244A"/>
    <w:rsid w:val="2F3A8C8A"/>
    <w:rsid w:val="2F7E9C33"/>
    <w:rsid w:val="304D8100"/>
    <w:rsid w:val="35911DCE"/>
    <w:rsid w:val="35DEFFC5"/>
    <w:rsid w:val="376BF32F"/>
    <w:rsid w:val="3802611F"/>
    <w:rsid w:val="3BF145A8"/>
    <w:rsid w:val="3D0A2279"/>
    <w:rsid w:val="3DBBB362"/>
    <w:rsid w:val="3FB5C37C"/>
    <w:rsid w:val="44797A3F"/>
    <w:rsid w:val="44DEBE47"/>
    <w:rsid w:val="46C049B6"/>
    <w:rsid w:val="46D96EA4"/>
    <w:rsid w:val="49A265FF"/>
    <w:rsid w:val="4B404B9A"/>
    <w:rsid w:val="4C955264"/>
    <w:rsid w:val="4D546702"/>
    <w:rsid w:val="4D54CE07"/>
    <w:rsid w:val="5048D99B"/>
    <w:rsid w:val="566E7058"/>
    <w:rsid w:val="581AD8A1"/>
    <w:rsid w:val="589AADF6"/>
    <w:rsid w:val="58E26BEA"/>
    <w:rsid w:val="5ED0E22D"/>
    <w:rsid w:val="5EE773B2"/>
    <w:rsid w:val="61F2E13B"/>
    <w:rsid w:val="671892AD"/>
    <w:rsid w:val="676B3640"/>
    <w:rsid w:val="67826564"/>
    <w:rsid w:val="6B2C619C"/>
    <w:rsid w:val="6DDB119A"/>
    <w:rsid w:val="6F4F7324"/>
    <w:rsid w:val="74E7B17A"/>
    <w:rsid w:val="74F2608C"/>
    <w:rsid w:val="75EFDA7C"/>
    <w:rsid w:val="7682CD67"/>
    <w:rsid w:val="769C11C5"/>
    <w:rsid w:val="7878DBF5"/>
    <w:rsid w:val="790C4E30"/>
    <w:rsid w:val="7A4BCBB8"/>
    <w:rsid w:val="7EC31926"/>
    <w:rsid w:val="7FC88380"/>
    <w:rsid w:val="7FCBD33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9C7166"/>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3"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86014"/>
    <w:pPr>
      <w:suppressAutoHyphens/>
      <w:spacing w:after="160" w:line="259" w:lineRule="auto"/>
    </w:pPr>
  </w:style>
  <w:style w:type="paragraph" w:styleId="Heading1">
    <w:name w:val="heading 1"/>
    <w:next w:val="BodyText1"/>
    <w:link w:val="Heading1Char"/>
    <w:autoRedefine/>
    <w:qFormat/>
    <w:rsid w:val="00D2198E"/>
    <w:pPr>
      <w:keepLines/>
      <w:pageBreakBefore/>
      <w:tabs>
        <w:tab w:val="left" w:pos="709"/>
      </w:tabs>
      <w:suppressAutoHyphens/>
      <w:spacing w:before="360" w:after="120"/>
      <w:outlineLvl w:val="0"/>
    </w:pPr>
    <w:rPr>
      <w:rFonts w:ascii="VIC" w:hAnsi="VIC"/>
      <w:b/>
      <w:bCs/>
      <w:color w:val="00828D"/>
      <w:sz w:val="44"/>
      <w:szCs w:val="44"/>
      <w:lang w:eastAsia="en-US"/>
    </w:rPr>
  </w:style>
  <w:style w:type="paragraph" w:styleId="Heading2">
    <w:name w:val="heading 2"/>
    <w:next w:val="BodyText10"/>
    <w:link w:val="Heading2Char"/>
    <w:autoRedefine/>
    <w:uiPriority w:val="1"/>
    <w:qFormat/>
    <w:rsid w:val="00BA6981"/>
    <w:pPr>
      <w:keepNext/>
      <w:keepLines/>
      <w:tabs>
        <w:tab w:val="left" w:pos="709"/>
        <w:tab w:val="left" w:pos="851"/>
      </w:tabs>
      <w:suppressAutoHyphens/>
      <w:spacing w:before="120" w:after="160" w:line="180" w:lineRule="atLeast"/>
      <w:outlineLvl w:val="1"/>
    </w:pPr>
    <w:rPr>
      <w:rFonts w:ascii="VIC" w:hAnsi="VIC"/>
      <w:b/>
      <w:color w:val="00828D"/>
      <w:sz w:val="30"/>
      <w:szCs w:val="28"/>
      <w:lang w:eastAsia="en-US"/>
    </w:rPr>
  </w:style>
  <w:style w:type="paragraph" w:styleId="Heading3">
    <w:name w:val="heading 3"/>
    <w:basedOn w:val="Heading3nonumber"/>
    <w:next w:val="BodyText1"/>
    <w:link w:val="Heading3Char"/>
    <w:autoRedefine/>
    <w:uiPriority w:val="1"/>
    <w:qFormat/>
    <w:rsid w:val="004F6A20"/>
    <w:pPr>
      <w:tabs>
        <w:tab w:val="left" w:pos="680"/>
        <w:tab w:val="left" w:pos="709"/>
        <w:tab w:val="left" w:pos="737"/>
        <w:tab w:val="left" w:pos="851"/>
        <w:tab w:val="left" w:leader="dot" w:pos="5603"/>
      </w:tabs>
      <w:spacing w:before="120" w:after="120"/>
    </w:pPr>
  </w:style>
  <w:style w:type="paragraph" w:styleId="Heading4">
    <w:name w:val="heading 4"/>
    <w:next w:val="BodyText1"/>
    <w:link w:val="Heading4Char"/>
    <w:uiPriority w:val="1"/>
    <w:qFormat/>
    <w:rsid w:val="002123AF"/>
    <w:pPr>
      <w:keepNext/>
      <w:keepLines/>
      <w:suppressAutoHyphens/>
      <w:spacing w:before="120" w:after="120"/>
      <w:outlineLvl w:val="3"/>
    </w:pPr>
    <w:rPr>
      <w:rFonts w:ascii="VIC" w:eastAsia="MS Mincho" w:hAnsi="VIC"/>
      <w:b/>
      <w:bCs/>
      <w:color w:val="00828D" w:themeColor="text2"/>
      <w:sz w:val="22"/>
      <w:szCs w:val="22"/>
      <w:lang w:eastAsia="en-US"/>
    </w:rPr>
  </w:style>
  <w:style w:type="paragraph" w:styleId="Heading5">
    <w:name w:val="heading 5"/>
    <w:next w:val="BodyText1"/>
    <w:link w:val="Heading5Char"/>
    <w:uiPriority w:val="9"/>
    <w:rsid w:val="001F4C7A"/>
    <w:pPr>
      <w:keepNext/>
      <w:keepLines/>
      <w:suppressAutoHyphens/>
      <w:spacing w:before="240" w:after="120"/>
      <w:outlineLvl w:val="4"/>
    </w:pPr>
    <w:rPr>
      <w:rFonts w:ascii="Arial" w:eastAsia="MS Mincho" w:hAnsi="Arial"/>
      <w:b/>
      <w:bCs/>
      <w:i/>
      <w:sz w:val="22"/>
      <w:lang w:eastAsia="en-US"/>
    </w:rPr>
  </w:style>
  <w:style w:type="paragraph" w:styleId="Heading6">
    <w:name w:val="heading 6"/>
    <w:basedOn w:val="Normal"/>
    <w:next w:val="Normal"/>
    <w:link w:val="Heading6Char"/>
    <w:uiPriority w:val="9"/>
    <w:semiHidden/>
    <w:unhideWhenUsed/>
    <w:rsid w:val="009C026C"/>
    <w:pPr>
      <w:keepNext/>
      <w:keepLines/>
      <w:spacing w:before="300" w:after="80" w:line="240" w:lineRule="auto"/>
      <w:outlineLvl w:val="5"/>
    </w:pPr>
    <w:rPr>
      <w:rFonts w:ascii="Arial" w:eastAsiaTheme="majorEastAsia" w:hAnsi="Arial"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WPbodyitalic">
    <w:name w:val="_DELWP body italic"/>
    <w:basedOn w:val="BodyText1"/>
    <w:link w:val="DELWPbodyitalicChar"/>
    <w:rsid w:val="00A265FD"/>
    <w:rPr>
      <w:i/>
    </w:rPr>
  </w:style>
  <w:style w:type="paragraph" w:styleId="Header">
    <w:name w:val="header"/>
    <w:basedOn w:val="Normal"/>
    <w:link w:val="HeaderChar"/>
    <w:uiPriority w:val="99"/>
    <w:unhideWhenUsed/>
    <w:rsid w:val="00DF371F"/>
    <w:pPr>
      <w:tabs>
        <w:tab w:val="center" w:pos="4513"/>
        <w:tab w:val="right" w:pos="9026"/>
      </w:tabs>
    </w:pPr>
  </w:style>
  <w:style w:type="character" w:customStyle="1" w:styleId="HeaderChar">
    <w:name w:val="Header Char"/>
    <w:basedOn w:val="DefaultParagraphFont"/>
    <w:link w:val="Header"/>
    <w:uiPriority w:val="99"/>
    <w:rsid w:val="00DF371F"/>
  </w:style>
  <w:style w:type="character" w:styleId="Emphasis">
    <w:name w:val="Emphasis"/>
    <w:uiPriority w:val="20"/>
    <w:rsid w:val="009C433D"/>
    <w:rPr>
      <w:rFonts w:ascii="VIC" w:hAnsi="VIC"/>
      <w:i/>
      <w:iCs/>
    </w:rPr>
  </w:style>
  <w:style w:type="paragraph" w:styleId="Footer">
    <w:name w:val="footer"/>
    <w:basedOn w:val="Normal"/>
    <w:link w:val="FooterChar"/>
    <w:uiPriority w:val="99"/>
    <w:unhideWhenUsed/>
    <w:rsid w:val="00DF371F"/>
    <w:pPr>
      <w:tabs>
        <w:tab w:val="center" w:pos="4513"/>
        <w:tab w:val="right" w:pos="9026"/>
      </w:tabs>
    </w:pPr>
  </w:style>
  <w:style w:type="character" w:customStyle="1" w:styleId="FooterChar">
    <w:name w:val="Footer Char"/>
    <w:basedOn w:val="DefaultParagraphFont"/>
    <w:link w:val="Footer"/>
    <w:uiPriority w:val="99"/>
    <w:rsid w:val="00DF371F"/>
  </w:style>
  <w:style w:type="paragraph" w:customStyle="1" w:styleId="DELWPdiagraminline">
    <w:name w:val="_DELWP diagram inline"/>
    <w:basedOn w:val="Normal"/>
    <w:rsid w:val="00531DCD"/>
    <w:pPr>
      <w:keepNext/>
      <w:spacing w:before="120" w:after="300" w:line="288" w:lineRule="auto"/>
    </w:pPr>
    <w:rPr>
      <w:rFonts w:ascii="Arial" w:eastAsia="Times" w:hAnsi="Arial"/>
      <w:lang w:eastAsia="en-US"/>
    </w:rPr>
  </w:style>
  <w:style w:type="paragraph" w:customStyle="1" w:styleId="DELWPrule">
    <w:name w:val="_DELWP rule"/>
    <w:basedOn w:val="BodyText1"/>
    <w:rsid w:val="00B85AD5"/>
    <w:pPr>
      <w:keepLines/>
      <w:spacing w:line="264" w:lineRule="auto"/>
    </w:pPr>
    <w:rPr>
      <w:b/>
      <w:sz w:val="24"/>
      <w:szCs w:val="24"/>
    </w:rPr>
  </w:style>
  <w:style w:type="paragraph" w:customStyle="1" w:styleId="Bodybold">
    <w:name w:val="Body bold"/>
    <w:basedOn w:val="BodyText1"/>
    <w:qFormat/>
    <w:rsid w:val="006F20D5"/>
    <w:rPr>
      <w:b/>
    </w:rPr>
  </w:style>
  <w:style w:type="numbering" w:customStyle="1" w:styleId="Tablecaptionnumbers">
    <w:name w:val="__Table caption numbers"/>
    <w:basedOn w:val="NoList"/>
    <w:uiPriority w:val="99"/>
    <w:rsid w:val="007B5235"/>
    <w:pPr>
      <w:numPr>
        <w:numId w:val="29"/>
      </w:numPr>
    </w:pPr>
  </w:style>
  <w:style w:type="paragraph" w:customStyle="1" w:styleId="DELWPbodyboldspacebefore">
    <w:name w:val="_DELWP body bold space before"/>
    <w:basedOn w:val="Bodybold"/>
    <w:rsid w:val="001D410D"/>
    <w:pPr>
      <w:spacing w:before="240"/>
    </w:pPr>
  </w:style>
  <w:style w:type="character" w:customStyle="1" w:styleId="DELWPunboldH3">
    <w:name w:val="_DELWP unbold H3"/>
    <w:basedOn w:val="DefaultParagraphFont"/>
    <w:uiPriority w:val="1"/>
    <w:rsid w:val="00833AB7"/>
    <w:rPr>
      <w:b/>
    </w:rPr>
  </w:style>
  <w:style w:type="paragraph" w:customStyle="1" w:styleId="DELWPexamplebody">
    <w:name w:val="_DELWP example body"/>
    <w:basedOn w:val="BodyText1"/>
    <w:link w:val="DELWPexamplebodyChar"/>
    <w:rsid w:val="00102A11"/>
  </w:style>
  <w:style w:type="table" w:customStyle="1" w:styleId="DELWPhighlighttable">
    <w:name w:val="_DELWP highlight table"/>
    <w:basedOn w:val="TableNormal"/>
    <w:uiPriority w:val="99"/>
    <w:rsid w:val="00521D5E"/>
    <w:tblPr>
      <w:tblInd w:w="170" w:type="dxa"/>
      <w:tblCellMar>
        <w:top w:w="142" w:type="dxa"/>
        <w:left w:w="170" w:type="dxa"/>
        <w:right w:w="170" w:type="dxa"/>
      </w:tblCellMar>
    </w:tblPr>
    <w:tcPr>
      <w:shd w:val="clear" w:color="auto" w:fill="D9ECEA" w:themeFill="accent2"/>
    </w:tcPr>
  </w:style>
  <w:style w:type="paragraph" w:customStyle="1" w:styleId="DELWPexamplebodynospace">
    <w:name w:val="_DELWP example body no space"/>
    <w:basedOn w:val="DELWPexamplebody"/>
    <w:rsid w:val="00FB2B33"/>
  </w:style>
  <w:style w:type="paragraph" w:customStyle="1" w:styleId="DELWPexamplecaption">
    <w:name w:val="_DELWP example caption"/>
    <w:rsid w:val="00306C40"/>
    <w:pPr>
      <w:keepNext/>
      <w:keepLines/>
      <w:spacing w:before="240" w:after="120"/>
    </w:pPr>
    <w:rPr>
      <w:rFonts w:ascii="VIC" w:hAnsi="VIC"/>
      <w:b/>
      <w:lang w:eastAsia="en-US"/>
    </w:rPr>
  </w:style>
  <w:style w:type="paragraph" w:customStyle="1" w:styleId="DELWPexamplesubhead">
    <w:name w:val="_DELWP example subhead"/>
    <w:basedOn w:val="Heading4"/>
    <w:rsid w:val="00CB2AA5"/>
    <w:pPr>
      <w:spacing w:before="0"/>
    </w:pPr>
    <w:rPr>
      <w:color w:val="auto"/>
    </w:rPr>
  </w:style>
  <w:style w:type="numbering" w:customStyle="1" w:styleId="Examplebullets">
    <w:name w:val="__Example bullets"/>
    <w:basedOn w:val="NoList"/>
    <w:uiPriority w:val="99"/>
    <w:rsid w:val="00765C95"/>
    <w:pPr>
      <w:numPr>
        <w:numId w:val="6"/>
      </w:numPr>
    </w:pPr>
  </w:style>
  <w:style w:type="character" w:styleId="Strong">
    <w:name w:val="Strong"/>
    <w:uiPriority w:val="22"/>
    <w:qFormat/>
    <w:rsid w:val="00097555"/>
    <w:rPr>
      <w:b w:val="0"/>
      <w:i w:val="0"/>
    </w:rPr>
  </w:style>
  <w:style w:type="character" w:customStyle="1" w:styleId="Strongitalic">
    <w:name w:val="Strong italic"/>
    <w:uiPriority w:val="1"/>
    <w:rsid w:val="004800E5"/>
    <w:rPr>
      <w:b/>
      <w:bCs/>
      <w:i/>
    </w:rPr>
  </w:style>
  <w:style w:type="character" w:styleId="Hyperlink">
    <w:name w:val="Hyperlink"/>
    <w:uiPriority w:val="99"/>
    <w:rsid w:val="00F0169C"/>
    <w:rPr>
      <w:i w:val="0"/>
      <w:color w:val="0072CE"/>
      <w:u w:val="single"/>
    </w:rPr>
  </w:style>
  <w:style w:type="paragraph" w:customStyle="1" w:styleId="BodyText1">
    <w:name w:val="Body Text1"/>
    <w:link w:val="BodytextChar1"/>
    <w:qFormat/>
    <w:rsid w:val="002E55BC"/>
    <w:pPr>
      <w:suppressAutoHyphens/>
      <w:spacing w:before="120" w:line="288" w:lineRule="auto"/>
    </w:pPr>
    <w:rPr>
      <w:rFonts w:ascii="VIC" w:eastAsia="Times" w:hAnsi="VIC"/>
      <w:lang w:eastAsia="en-US"/>
    </w:rPr>
  </w:style>
  <w:style w:type="paragraph" w:customStyle="1" w:styleId="DELWPbodyafterbullets">
    <w:name w:val="_DELWP body after bullets"/>
    <w:basedOn w:val="BodyText1"/>
    <w:uiPriority w:val="11"/>
    <w:rsid w:val="001F4C7A"/>
  </w:style>
  <w:style w:type="paragraph" w:customStyle="1" w:styleId="DELWPbodyaftertablediagram">
    <w:name w:val="_DELWP body after table/diagram"/>
    <w:basedOn w:val="BodyText1"/>
    <w:next w:val="BodyText1"/>
    <w:rsid w:val="001F4C7A"/>
    <w:pPr>
      <w:spacing w:before="240"/>
    </w:pPr>
  </w:style>
  <w:style w:type="paragraph" w:customStyle="1" w:styleId="DELWPbodynospace">
    <w:name w:val="_DELWP body no space"/>
    <w:basedOn w:val="BodyText1"/>
    <w:uiPriority w:val="3"/>
    <w:rsid w:val="001F4C7A"/>
  </w:style>
  <w:style w:type="paragraph" w:customStyle="1" w:styleId="DELWPbullet1">
    <w:name w:val="_DELWP bullet 1"/>
    <w:basedOn w:val="BodyText1"/>
    <w:qFormat/>
    <w:rsid w:val="00723A0D"/>
    <w:pPr>
      <w:numPr>
        <w:numId w:val="1"/>
      </w:numPr>
      <w:spacing w:line="240" w:lineRule="auto"/>
    </w:pPr>
  </w:style>
  <w:style w:type="paragraph" w:customStyle="1" w:styleId="DELWPbullet2">
    <w:name w:val="_DELWP bullet 2"/>
    <w:basedOn w:val="BodyText1"/>
    <w:uiPriority w:val="2"/>
    <w:rsid w:val="001F4C7A"/>
    <w:pPr>
      <w:numPr>
        <w:ilvl w:val="1"/>
        <w:numId w:val="3"/>
      </w:numPr>
      <w:spacing w:after="40"/>
    </w:pPr>
  </w:style>
  <w:style w:type="paragraph" w:customStyle="1" w:styleId="DELWPdocumentsubtitle">
    <w:name w:val="_DELWP document subtitle"/>
    <w:uiPriority w:val="4"/>
    <w:rsid w:val="0032437B"/>
    <w:pPr>
      <w:spacing w:after="240"/>
      <w:jc w:val="right"/>
    </w:pPr>
    <w:rPr>
      <w:rFonts w:ascii="Arial" w:hAnsi="Arial"/>
      <w:b/>
      <w:bCs/>
      <w:color w:val="FFFFFF" w:themeColor="background1"/>
      <w:sz w:val="28"/>
      <w:szCs w:val="28"/>
      <w:lang w:eastAsia="en-US"/>
    </w:rPr>
  </w:style>
  <w:style w:type="paragraph" w:customStyle="1" w:styleId="DELWPdocumenttitle">
    <w:name w:val="_DELWP document title"/>
    <w:uiPriority w:val="4"/>
    <w:rsid w:val="0032437B"/>
    <w:pPr>
      <w:keepLines/>
      <w:spacing w:after="240"/>
      <w:jc w:val="right"/>
    </w:pPr>
    <w:rPr>
      <w:rFonts w:ascii="Arial" w:hAnsi="Arial"/>
      <w:bCs/>
      <w:color w:val="FFFFFF" w:themeColor="background1"/>
      <w:sz w:val="52"/>
      <w:szCs w:val="50"/>
      <w:lang w:eastAsia="en-US"/>
    </w:rPr>
  </w:style>
  <w:style w:type="paragraph" w:customStyle="1" w:styleId="DELWPdiagramcaption">
    <w:name w:val="_DELWP diagram caption"/>
    <w:next w:val="BodyText1"/>
    <w:rsid w:val="001C67BB"/>
    <w:pPr>
      <w:keepNext/>
      <w:keepLines/>
      <w:numPr>
        <w:numId w:val="4"/>
      </w:numPr>
      <w:spacing w:before="300" w:after="120"/>
    </w:pPr>
    <w:rPr>
      <w:rFonts w:ascii="Arial" w:hAnsi="Arial"/>
      <w:b/>
      <w:sz w:val="22"/>
      <w:lang w:eastAsia="en-US"/>
    </w:rPr>
  </w:style>
  <w:style w:type="paragraph" w:customStyle="1" w:styleId="DELWPfooter">
    <w:name w:val="_DELWP footer"/>
    <w:uiPriority w:val="11"/>
    <w:rsid w:val="00C6398D"/>
    <w:pPr>
      <w:tabs>
        <w:tab w:val="right" w:pos="9072"/>
      </w:tabs>
    </w:pPr>
    <w:rPr>
      <w:rFonts w:ascii="Arial" w:hAnsi="Arial" w:cs="Arial"/>
      <w:sz w:val="18"/>
      <w:szCs w:val="18"/>
      <w:lang w:eastAsia="en-US"/>
    </w:rPr>
  </w:style>
  <w:style w:type="paragraph" w:customStyle="1" w:styleId="DELWPheaderleft">
    <w:name w:val="_DELWP header left"/>
    <w:basedOn w:val="DELWPfooter"/>
    <w:uiPriority w:val="11"/>
    <w:rsid w:val="001F4C7A"/>
  </w:style>
  <w:style w:type="paragraph" w:customStyle="1" w:styleId="Tablebody">
    <w:name w:val="Table body"/>
    <w:basedOn w:val="BodyText1"/>
    <w:uiPriority w:val="3"/>
    <w:qFormat/>
    <w:rsid w:val="00D02070"/>
    <w:pPr>
      <w:spacing w:before="60" w:after="60" w:line="240" w:lineRule="auto"/>
      <w:ind w:left="57"/>
    </w:pPr>
  </w:style>
  <w:style w:type="paragraph" w:customStyle="1" w:styleId="Tablebullet1">
    <w:name w:val="Table bullet 1"/>
    <w:basedOn w:val="Tablebody"/>
    <w:uiPriority w:val="3"/>
    <w:qFormat/>
    <w:rsid w:val="00A10EA3"/>
    <w:pPr>
      <w:numPr>
        <w:numId w:val="2"/>
      </w:numPr>
    </w:pPr>
  </w:style>
  <w:style w:type="paragraph" w:customStyle="1" w:styleId="DELWPtablebullet2">
    <w:name w:val="_DELWP table bullet 2"/>
    <w:basedOn w:val="Tablebody"/>
    <w:uiPriority w:val="11"/>
    <w:rsid w:val="001F4C7A"/>
    <w:pPr>
      <w:numPr>
        <w:ilvl w:val="1"/>
        <w:numId w:val="23"/>
      </w:numPr>
    </w:pPr>
  </w:style>
  <w:style w:type="paragraph" w:customStyle="1" w:styleId="Tablecaption">
    <w:name w:val="Table caption"/>
    <w:next w:val="BodyText1"/>
    <w:uiPriority w:val="3"/>
    <w:qFormat/>
    <w:rsid w:val="009B53DE"/>
    <w:pPr>
      <w:keepNext/>
      <w:keepLines/>
      <w:numPr>
        <w:numId w:val="5"/>
      </w:numPr>
      <w:tabs>
        <w:tab w:val="clear" w:pos="7514"/>
        <w:tab w:val="num" w:pos="992"/>
        <w:tab w:val="num" w:pos="1134"/>
        <w:tab w:val="num" w:pos="5246"/>
      </w:tabs>
      <w:spacing w:before="240" w:after="60" w:line="264" w:lineRule="auto"/>
      <w:ind w:left="567" w:hanging="567"/>
      <w:outlineLvl w:val="1"/>
    </w:pPr>
    <w:rPr>
      <w:rFonts w:ascii="VIC" w:hAnsi="VIC"/>
      <w:b/>
      <w:color w:val="00828D" w:themeColor="text2"/>
      <w:sz w:val="22"/>
      <w:szCs w:val="22"/>
      <w:lang w:eastAsia="en-US"/>
    </w:rPr>
  </w:style>
  <w:style w:type="paragraph" w:customStyle="1" w:styleId="Tablecolhead">
    <w:name w:val="Table col head"/>
    <w:uiPriority w:val="3"/>
    <w:qFormat/>
    <w:rsid w:val="00D02070"/>
    <w:pPr>
      <w:suppressAutoHyphens/>
      <w:spacing w:before="80" w:after="60"/>
      <w:ind w:left="57"/>
    </w:pPr>
    <w:rPr>
      <w:rFonts w:ascii="VIC" w:hAnsi="VIC"/>
      <w:b/>
      <w:color w:val="FFFFFF" w:themeColor="background1"/>
      <w:lang w:eastAsia="en-US"/>
    </w:rPr>
  </w:style>
  <w:style w:type="paragraph" w:customStyle="1" w:styleId="DELWPtablefigurenote">
    <w:name w:val="_DELWP table/figure note"/>
    <w:uiPriority w:val="4"/>
    <w:rsid w:val="001F4C7A"/>
    <w:pPr>
      <w:spacing w:before="60" w:after="60" w:line="240" w:lineRule="exact"/>
    </w:pPr>
    <w:rPr>
      <w:rFonts w:ascii="Arial" w:hAnsi="Arial"/>
      <w:sz w:val="18"/>
      <w:lang w:eastAsia="en-US"/>
    </w:rPr>
  </w:style>
  <w:style w:type="character" w:customStyle="1" w:styleId="Heading1Char">
    <w:name w:val="Heading 1 Char"/>
    <w:link w:val="Heading1"/>
    <w:rsid w:val="00D2198E"/>
    <w:rPr>
      <w:rFonts w:ascii="VIC" w:hAnsi="VIC"/>
      <w:b/>
      <w:bCs/>
      <w:color w:val="00828D"/>
      <w:sz w:val="44"/>
      <w:szCs w:val="44"/>
      <w:lang w:eastAsia="en-US"/>
    </w:rPr>
  </w:style>
  <w:style w:type="paragraph" w:customStyle="1" w:styleId="DELWPTOCheading">
    <w:name w:val="_DELWP TOC heading"/>
    <w:basedOn w:val="Heading1"/>
    <w:link w:val="DELWPTOCheadingChar"/>
    <w:uiPriority w:val="5"/>
    <w:rsid w:val="000E61DB"/>
    <w:pPr>
      <w:tabs>
        <w:tab w:val="num" w:pos="1986"/>
      </w:tabs>
      <w:outlineLvl w:val="9"/>
    </w:pPr>
  </w:style>
  <w:style w:type="character" w:customStyle="1" w:styleId="DELWPTOCheadingChar">
    <w:name w:val="_DELWP TOC heading Char"/>
    <w:link w:val="DELWPTOCheading"/>
    <w:uiPriority w:val="5"/>
    <w:rsid w:val="000E61DB"/>
    <w:rPr>
      <w:rFonts w:ascii="VIC" w:hAnsi="VIC"/>
      <w:b/>
      <w:bCs/>
      <w:color w:val="00828D"/>
      <w:sz w:val="44"/>
      <w:szCs w:val="44"/>
      <w:lang w:eastAsia="en-US"/>
    </w:rPr>
  </w:style>
  <w:style w:type="character" w:customStyle="1" w:styleId="Heading2Char">
    <w:name w:val="Heading 2 Char"/>
    <w:link w:val="Heading2"/>
    <w:uiPriority w:val="1"/>
    <w:rsid w:val="00BA6981"/>
    <w:rPr>
      <w:rFonts w:ascii="VIC" w:hAnsi="VIC"/>
      <w:b/>
      <w:color w:val="00828D"/>
      <w:sz w:val="30"/>
      <w:szCs w:val="28"/>
      <w:lang w:eastAsia="en-US"/>
    </w:rPr>
  </w:style>
  <w:style w:type="character" w:customStyle="1" w:styleId="Heading3Char">
    <w:name w:val="Heading 3 Char"/>
    <w:link w:val="Heading3"/>
    <w:uiPriority w:val="1"/>
    <w:rsid w:val="004F6A20"/>
    <w:rPr>
      <w:rFonts w:ascii="VIC" w:eastAsia="MS Gothic" w:hAnsi="VIC"/>
      <w:b/>
      <w:bCs/>
      <w:color w:val="00828D"/>
      <w:sz w:val="24"/>
      <w:szCs w:val="24"/>
      <w:lang w:eastAsia="en-US"/>
    </w:rPr>
  </w:style>
  <w:style w:type="character" w:customStyle="1" w:styleId="Heading4Char">
    <w:name w:val="Heading 4 Char"/>
    <w:link w:val="Heading4"/>
    <w:uiPriority w:val="1"/>
    <w:rsid w:val="002123AF"/>
    <w:rPr>
      <w:rFonts w:ascii="VIC" w:eastAsia="MS Mincho" w:hAnsi="VIC"/>
      <w:b/>
      <w:bCs/>
      <w:color w:val="00828D" w:themeColor="text2"/>
      <w:sz w:val="22"/>
      <w:szCs w:val="22"/>
      <w:lang w:eastAsia="en-US"/>
    </w:rPr>
  </w:style>
  <w:style w:type="character" w:customStyle="1" w:styleId="Heading5Char">
    <w:name w:val="Heading 5 Char"/>
    <w:link w:val="Heading5"/>
    <w:uiPriority w:val="9"/>
    <w:rsid w:val="001F4C7A"/>
    <w:rPr>
      <w:rFonts w:ascii="Arial" w:eastAsia="MS Mincho" w:hAnsi="Arial" w:cs="Times New Roman"/>
      <w:b/>
      <w:bCs/>
      <w:i/>
      <w:szCs w:val="20"/>
      <w:lang w:eastAsia="en-US"/>
    </w:rPr>
  </w:style>
  <w:style w:type="paragraph" w:styleId="TOC1">
    <w:name w:val="toc 1"/>
    <w:basedOn w:val="Normal"/>
    <w:next w:val="Normal"/>
    <w:uiPriority w:val="39"/>
    <w:rsid w:val="00667714"/>
    <w:pPr>
      <w:keepNext/>
      <w:keepLines/>
      <w:tabs>
        <w:tab w:val="left" w:pos="660"/>
        <w:tab w:val="right" w:leader="dot" w:pos="9072"/>
      </w:tabs>
      <w:spacing w:before="160" w:after="60" w:line="288" w:lineRule="auto"/>
      <w:ind w:left="567" w:hanging="567"/>
    </w:pPr>
    <w:rPr>
      <w:rFonts w:ascii="VIC" w:hAnsi="VIC"/>
      <w:b/>
      <w:noProof/>
      <w:color w:val="00828D" w:themeColor="text2"/>
      <w:lang w:eastAsia="en-US"/>
    </w:rPr>
  </w:style>
  <w:style w:type="paragraph" w:styleId="TOC2">
    <w:name w:val="toc 2"/>
    <w:basedOn w:val="Normal"/>
    <w:next w:val="Normal"/>
    <w:uiPriority w:val="39"/>
    <w:rsid w:val="001643CF"/>
    <w:pPr>
      <w:tabs>
        <w:tab w:val="left" w:pos="660"/>
        <w:tab w:val="right" w:leader="dot" w:pos="9072"/>
      </w:tabs>
      <w:spacing w:after="60" w:line="288" w:lineRule="auto"/>
      <w:ind w:left="567" w:hanging="567"/>
    </w:pPr>
    <w:rPr>
      <w:rFonts w:ascii="VIC" w:hAnsi="VIC"/>
      <w:noProof/>
      <w:color w:val="00828D" w:themeColor="text2"/>
      <w:sz w:val="18"/>
      <w:lang w:eastAsia="en-US"/>
    </w:rPr>
  </w:style>
  <w:style w:type="paragraph" w:styleId="TOC3">
    <w:name w:val="toc 3"/>
    <w:basedOn w:val="Normal"/>
    <w:next w:val="Normal"/>
    <w:uiPriority w:val="39"/>
    <w:semiHidden/>
    <w:rsid w:val="00734C45"/>
    <w:pPr>
      <w:tabs>
        <w:tab w:val="right" w:pos="9072"/>
      </w:tabs>
      <w:spacing w:after="60" w:line="270" w:lineRule="atLeast"/>
      <w:ind w:left="567" w:hanging="567"/>
    </w:pPr>
    <w:rPr>
      <w:rFonts w:ascii="Arial" w:hAnsi="Arial" w:cs="Arial"/>
      <w:lang w:eastAsia="en-US"/>
    </w:rPr>
  </w:style>
  <w:style w:type="numbering" w:customStyle="1" w:styleId="Bullets">
    <w:name w:val="__Bullets"/>
    <w:rsid w:val="001F4C7A"/>
    <w:pPr>
      <w:numPr>
        <w:numId w:val="1"/>
      </w:numPr>
    </w:pPr>
  </w:style>
  <w:style w:type="numbering" w:customStyle="1" w:styleId="Tablebullets">
    <w:name w:val="__Table bullets"/>
    <w:basedOn w:val="NoList"/>
    <w:rsid w:val="001F4C7A"/>
    <w:pPr>
      <w:numPr>
        <w:numId w:val="2"/>
      </w:numPr>
    </w:pPr>
  </w:style>
  <w:style w:type="numbering" w:customStyle="1" w:styleId="Diagramcaptionnumbers">
    <w:name w:val="__Diagram caption numbers"/>
    <w:basedOn w:val="NoList"/>
    <w:uiPriority w:val="99"/>
    <w:rsid w:val="00782738"/>
    <w:pPr>
      <w:numPr>
        <w:numId w:val="31"/>
      </w:numPr>
    </w:pPr>
  </w:style>
  <w:style w:type="paragraph" w:customStyle="1" w:styleId="Heading1nonumber">
    <w:name w:val="Heading 1 no number"/>
    <w:basedOn w:val="Heading1"/>
    <w:link w:val="Heading1nonumberChar"/>
    <w:rsid w:val="00A4630E"/>
    <w:pPr>
      <w:tabs>
        <w:tab w:val="num" w:pos="1986"/>
      </w:tabs>
    </w:pPr>
    <w:rPr>
      <w:sz w:val="36"/>
    </w:rPr>
  </w:style>
  <w:style w:type="numbering" w:customStyle="1" w:styleId="Numberedheadings">
    <w:name w:val="__Numbered headings"/>
    <w:basedOn w:val="NoList"/>
    <w:uiPriority w:val="99"/>
    <w:rsid w:val="00834E4C"/>
    <w:pPr>
      <w:numPr>
        <w:numId w:val="28"/>
      </w:numPr>
    </w:pPr>
  </w:style>
  <w:style w:type="paragraph" w:customStyle="1" w:styleId="Heading3nonumber">
    <w:name w:val="Heading 3 no number"/>
    <w:rsid w:val="00E06AD6"/>
    <w:pPr>
      <w:keepNext/>
      <w:keepLines/>
      <w:spacing w:before="300" w:after="160"/>
      <w:outlineLvl w:val="2"/>
    </w:pPr>
    <w:rPr>
      <w:rFonts w:ascii="VIC" w:eastAsia="MS Gothic" w:hAnsi="VIC"/>
      <w:b/>
      <w:bCs/>
      <w:color w:val="00828D"/>
      <w:sz w:val="24"/>
      <w:szCs w:val="24"/>
      <w:lang w:eastAsia="en-US"/>
    </w:rPr>
  </w:style>
  <w:style w:type="table" w:styleId="TableGrid">
    <w:name w:val="Table Grid"/>
    <w:basedOn w:val="TableNormal"/>
    <w:uiPriority w:val="39"/>
    <w:rsid w:val="00521D5E"/>
    <w:tblPr>
      <w:tblInd w:w="108" w:type="dxa"/>
      <w:tblBorders>
        <w:top w:val="single" w:sz="4" w:space="0" w:color="00828D" w:themeColor="accent1"/>
        <w:left w:val="single" w:sz="4" w:space="0" w:color="00828D" w:themeColor="accent1"/>
        <w:bottom w:val="single" w:sz="4" w:space="0" w:color="00828D" w:themeColor="accent1"/>
        <w:right w:val="single" w:sz="4" w:space="0" w:color="00828D" w:themeColor="accent1"/>
        <w:insideH w:val="single" w:sz="4" w:space="0" w:color="00828D" w:themeColor="accent1"/>
        <w:insideV w:val="single" w:sz="4" w:space="0" w:color="00828D" w:themeColor="accent1"/>
      </w:tblBorders>
    </w:tblPr>
    <w:tblStylePr w:type="firstRow">
      <w:tblPr/>
      <w:tcPr>
        <w:tcBorders>
          <w:insideH w:val="single" w:sz="4" w:space="0" w:color="FFFFFF" w:themeColor="background1"/>
          <w:insideV w:val="single" w:sz="4" w:space="0" w:color="FFFFFF" w:themeColor="background1"/>
        </w:tcBorders>
        <w:shd w:val="clear" w:color="auto" w:fill="00828D" w:themeFill="accent1"/>
        <w:vAlign w:val="bottom"/>
      </w:tcPr>
    </w:tblStylePr>
  </w:style>
  <w:style w:type="paragraph" w:customStyle="1" w:styleId="DELWPexamplebullet">
    <w:name w:val="_DELWP example bullet"/>
    <w:basedOn w:val="DELWPexamplebody"/>
    <w:rsid w:val="0016667E"/>
    <w:pPr>
      <w:numPr>
        <w:numId w:val="6"/>
      </w:numPr>
      <w:spacing w:after="40"/>
    </w:pPr>
  </w:style>
  <w:style w:type="paragraph" w:customStyle="1" w:styleId="Tablebodybold">
    <w:name w:val="Table body bold"/>
    <w:basedOn w:val="Tablebody"/>
    <w:qFormat/>
    <w:rsid w:val="00EE5E86"/>
    <w:rPr>
      <w:b/>
    </w:rPr>
  </w:style>
  <w:style w:type="paragraph" w:customStyle="1" w:styleId="DELWPbodyitalicindent">
    <w:name w:val="_DELWP body italic indent"/>
    <w:basedOn w:val="DELWPbodyitalic"/>
    <w:link w:val="DELWPbodyitalicindentChar"/>
    <w:rsid w:val="001E6C73"/>
    <w:pPr>
      <w:spacing w:after="40"/>
      <w:ind w:left="284"/>
    </w:pPr>
  </w:style>
  <w:style w:type="paragraph" w:customStyle="1" w:styleId="DELWPbodybolditalic">
    <w:name w:val="_DELWP body bold italic"/>
    <w:basedOn w:val="Bodybold"/>
    <w:rsid w:val="00DF2C79"/>
    <w:rPr>
      <w:i/>
    </w:rPr>
  </w:style>
  <w:style w:type="paragraph" w:customStyle="1" w:styleId="DELWPexamplebodyindent">
    <w:name w:val="_DELWP example body indent"/>
    <w:basedOn w:val="DELWPexamplebody"/>
    <w:rsid w:val="004B2395"/>
    <w:pPr>
      <w:ind w:left="284"/>
    </w:pPr>
  </w:style>
  <w:style w:type="paragraph" w:customStyle="1" w:styleId="DELWPnumberdigit">
    <w:name w:val="_DELWP number digit"/>
    <w:basedOn w:val="BodyText1"/>
    <w:rsid w:val="005E3ADE"/>
    <w:pPr>
      <w:numPr>
        <w:numId w:val="8"/>
      </w:numPr>
    </w:pPr>
  </w:style>
  <w:style w:type="numbering" w:customStyle="1" w:styleId="Numberdigit">
    <w:name w:val="__Number digit"/>
    <w:basedOn w:val="NoList"/>
    <w:uiPriority w:val="99"/>
    <w:rsid w:val="005E3ADE"/>
    <w:pPr>
      <w:numPr>
        <w:numId w:val="7"/>
      </w:numPr>
    </w:pPr>
  </w:style>
  <w:style w:type="paragraph" w:customStyle="1" w:styleId="Appendicesheader">
    <w:name w:val="Appendices header"/>
    <w:basedOn w:val="Heading1"/>
    <w:link w:val="AppendicesheaderChar"/>
    <w:qFormat/>
    <w:rsid w:val="00B3434E"/>
    <w:rPr>
      <w:sz w:val="36"/>
      <w:szCs w:val="36"/>
    </w:rPr>
  </w:style>
  <w:style w:type="paragraph" w:customStyle="1" w:styleId="Heading2hangingindent">
    <w:name w:val="Heading 2 hanging indent"/>
    <w:basedOn w:val="Heading2"/>
    <w:link w:val="Heading2hangingindentChar"/>
    <w:rsid w:val="000E61DB"/>
    <w:pPr>
      <w:ind w:left="851" w:hanging="851"/>
    </w:pPr>
  </w:style>
  <w:style w:type="paragraph" w:customStyle="1" w:styleId="Heading3hangingindent">
    <w:name w:val="Heading 3 hanging indent"/>
    <w:rsid w:val="00E06AD6"/>
    <w:pPr>
      <w:keepNext/>
      <w:keepLines/>
      <w:spacing w:before="300" w:after="160"/>
      <w:ind w:left="851" w:hanging="851"/>
      <w:outlineLvl w:val="2"/>
    </w:pPr>
    <w:rPr>
      <w:rFonts w:ascii="VIC" w:eastAsia="MS Gothic" w:hAnsi="VIC"/>
      <w:b/>
      <w:bCs/>
      <w:color w:val="00828D"/>
      <w:sz w:val="24"/>
      <w:szCs w:val="24"/>
      <w:lang w:eastAsia="en-US"/>
    </w:rPr>
  </w:style>
  <w:style w:type="numbering" w:customStyle="1" w:styleId="Numberedappendices">
    <w:name w:val="__Numbered appendices"/>
    <w:basedOn w:val="Numberedheadings"/>
    <w:uiPriority w:val="99"/>
    <w:rsid w:val="002654E8"/>
    <w:pPr>
      <w:numPr>
        <w:numId w:val="16"/>
      </w:numPr>
    </w:pPr>
  </w:style>
  <w:style w:type="character" w:customStyle="1" w:styleId="UnresolvedMention1">
    <w:name w:val="Unresolved Mention1"/>
    <w:basedOn w:val="DefaultParagraphFont"/>
    <w:uiPriority w:val="99"/>
    <w:semiHidden/>
    <w:unhideWhenUsed/>
    <w:rsid w:val="00FF59FA"/>
    <w:rPr>
      <w:color w:val="605E5C"/>
      <w:shd w:val="clear" w:color="auto" w:fill="E1DFDD"/>
    </w:rPr>
  </w:style>
  <w:style w:type="paragraph" w:styleId="TOC4">
    <w:name w:val="toc 4"/>
    <w:basedOn w:val="Normal"/>
    <w:next w:val="Normal"/>
    <w:autoRedefine/>
    <w:uiPriority w:val="39"/>
    <w:semiHidden/>
    <w:rsid w:val="00E17A29"/>
    <w:pPr>
      <w:spacing w:after="100"/>
      <w:ind w:left="660"/>
    </w:pPr>
  </w:style>
  <w:style w:type="paragraph" w:customStyle="1" w:styleId="DELWPsectionTOC">
    <w:name w:val="_DELWP section TOC"/>
    <w:basedOn w:val="BodyText1"/>
    <w:rsid w:val="00C20A0C"/>
    <w:pPr>
      <w:tabs>
        <w:tab w:val="left" w:pos="567"/>
      </w:tabs>
      <w:spacing w:after="60"/>
    </w:pPr>
  </w:style>
  <w:style w:type="character" w:customStyle="1" w:styleId="Heading6Char">
    <w:name w:val="Heading 6 Char"/>
    <w:basedOn w:val="DefaultParagraphFont"/>
    <w:link w:val="Heading6"/>
    <w:uiPriority w:val="9"/>
    <w:semiHidden/>
    <w:rsid w:val="009C026C"/>
    <w:rPr>
      <w:rFonts w:ascii="Arial" w:eastAsiaTheme="majorEastAsia" w:hAnsi="Arial" w:cstheme="majorBidi"/>
      <w:i/>
      <w:iCs/>
      <w:color w:val="000000" w:themeColor="text1"/>
      <w:sz w:val="22"/>
      <w:szCs w:val="22"/>
    </w:rPr>
  </w:style>
  <w:style w:type="character" w:styleId="IntenseEmphasis">
    <w:name w:val="Intense Emphasis"/>
    <w:basedOn w:val="DefaultParagraphFont"/>
    <w:uiPriority w:val="21"/>
    <w:semiHidden/>
    <w:qFormat/>
    <w:rsid w:val="009C026C"/>
    <w:rPr>
      <w:b/>
      <w:bCs/>
      <w:i/>
      <w:iCs/>
      <w:color w:val="00828D" w:themeColor="text2"/>
    </w:rPr>
  </w:style>
  <w:style w:type="paragraph" w:styleId="IntenseQuote">
    <w:name w:val="Intense Quote"/>
    <w:basedOn w:val="Normal"/>
    <w:next w:val="Normal"/>
    <w:link w:val="IntenseQuoteChar"/>
    <w:uiPriority w:val="30"/>
    <w:semiHidden/>
    <w:qFormat/>
    <w:rsid w:val="009C026C"/>
    <w:pPr>
      <w:pBdr>
        <w:bottom w:val="single" w:sz="4" w:space="4" w:color="00828D" w:themeColor="accent1"/>
      </w:pBdr>
      <w:spacing w:before="200" w:after="280"/>
      <w:ind w:left="936" w:right="936"/>
    </w:pPr>
    <w:rPr>
      <w:b/>
      <w:bCs/>
      <w:i/>
      <w:iCs/>
      <w:color w:val="00828D" w:themeColor="text2"/>
    </w:rPr>
  </w:style>
  <w:style w:type="character" w:customStyle="1" w:styleId="IntenseQuoteChar">
    <w:name w:val="Intense Quote Char"/>
    <w:basedOn w:val="DefaultParagraphFont"/>
    <w:link w:val="IntenseQuote"/>
    <w:uiPriority w:val="30"/>
    <w:semiHidden/>
    <w:rsid w:val="00C57AF9"/>
    <w:rPr>
      <w:b/>
      <w:bCs/>
      <w:i/>
      <w:iCs/>
      <w:color w:val="00828D" w:themeColor="text2"/>
      <w:sz w:val="22"/>
      <w:szCs w:val="22"/>
    </w:rPr>
  </w:style>
  <w:style w:type="paragraph" w:styleId="Subtitle">
    <w:name w:val="Subtitle"/>
    <w:basedOn w:val="Normal"/>
    <w:next w:val="Normal"/>
    <w:link w:val="SubtitleChar"/>
    <w:uiPriority w:val="11"/>
    <w:semiHidden/>
    <w:qFormat/>
    <w:rsid w:val="009C026C"/>
    <w:pPr>
      <w:numPr>
        <w:ilvl w:val="1"/>
      </w:numPr>
    </w:pPr>
    <w:rPr>
      <w:rFonts w:asciiTheme="majorHAnsi" w:eastAsiaTheme="majorEastAsia" w:hAnsiTheme="majorHAnsi" w:cstheme="majorBidi"/>
      <w:i/>
      <w:iCs/>
      <w:color w:val="00828D" w:themeColor="text2"/>
      <w:spacing w:val="15"/>
      <w:sz w:val="24"/>
      <w:szCs w:val="24"/>
    </w:rPr>
  </w:style>
  <w:style w:type="character" w:customStyle="1" w:styleId="SubtitleChar">
    <w:name w:val="Subtitle Char"/>
    <w:basedOn w:val="DefaultParagraphFont"/>
    <w:link w:val="Subtitle"/>
    <w:uiPriority w:val="11"/>
    <w:semiHidden/>
    <w:rsid w:val="00C57AF9"/>
    <w:rPr>
      <w:rFonts w:asciiTheme="majorHAnsi" w:eastAsiaTheme="majorEastAsia" w:hAnsiTheme="majorHAnsi" w:cstheme="majorBidi"/>
      <w:i/>
      <w:iCs/>
      <w:color w:val="00828D" w:themeColor="text2"/>
      <w:spacing w:val="15"/>
      <w:sz w:val="24"/>
      <w:szCs w:val="24"/>
    </w:rPr>
  </w:style>
  <w:style w:type="character" w:customStyle="1" w:styleId="Hyperlinkitalic">
    <w:name w:val="Hyperlink italic"/>
    <w:basedOn w:val="Hyperlink"/>
    <w:uiPriority w:val="1"/>
    <w:rsid w:val="00DD615C"/>
    <w:rPr>
      <w:i/>
      <w:color w:val="0072CE"/>
      <w:u w:val="single"/>
    </w:rPr>
  </w:style>
  <w:style w:type="paragraph" w:customStyle="1" w:styleId="DELWPheaderright">
    <w:name w:val="_DELWP header right"/>
    <w:basedOn w:val="DELWPheaderleft"/>
    <w:rsid w:val="00A408F0"/>
    <w:pPr>
      <w:jc w:val="right"/>
    </w:pPr>
    <w:rPr>
      <w:rFonts w:ascii="VIC" w:hAnsi="VIC"/>
    </w:rPr>
  </w:style>
  <w:style w:type="paragraph" w:styleId="BalloonText">
    <w:name w:val="Balloon Text"/>
    <w:basedOn w:val="Normal"/>
    <w:link w:val="BalloonTextChar"/>
    <w:uiPriority w:val="99"/>
    <w:semiHidden/>
    <w:unhideWhenUsed/>
    <w:rsid w:val="00B85A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5AD5"/>
    <w:rPr>
      <w:rFonts w:ascii="Segoe UI" w:hAnsi="Segoe UI" w:cs="Segoe UI"/>
      <w:sz w:val="18"/>
      <w:szCs w:val="18"/>
    </w:rPr>
  </w:style>
  <w:style w:type="paragraph" w:customStyle="1" w:styleId="DELWPlargebody">
    <w:name w:val="_DELWP large body"/>
    <w:basedOn w:val="BodyText1"/>
    <w:rsid w:val="00E11153"/>
    <w:pPr>
      <w:spacing w:after="400"/>
    </w:pPr>
    <w:rPr>
      <w:sz w:val="24"/>
      <w:szCs w:val="24"/>
    </w:rPr>
  </w:style>
  <w:style w:type="paragraph" w:customStyle="1" w:styleId="Heading2nonumber">
    <w:name w:val="Heading 2 no number"/>
    <w:rsid w:val="00E06AD6"/>
    <w:pPr>
      <w:keepNext/>
      <w:keepLines/>
      <w:spacing w:before="300" w:after="160" w:line="264" w:lineRule="auto"/>
      <w:outlineLvl w:val="1"/>
    </w:pPr>
    <w:rPr>
      <w:rFonts w:ascii="VIC" w:hAnsi="VIC"/>
      <w:b/>
      <w:color w:val="00828D"/>
      <w:sz w:val="30"/>
      <w:szCs w:val="28"/>
      <w:lang w:eastAsia="en-US"/>
    </w:rPr>
  </w:style>
  <w:style w:type="paragraph" w:customStyle="1" w:styleId="Heading1small">
    <w:name w:val="Heading 1 small"/>
    <w:basedOn w:val="Heading3nonumber"/>
    <w:rsid w:val="00E06AD6"/>
    <w:pPr>
      <w:outlineLvl w:val="0"/>
    </w:pPr>
  </w:style>
  <w:style w:type="character" w:styleId="CommentReference">
    <w:name w:val="annotation reference"/>
    <w:basedOn w:val="DefaultParagraphFont"/>
    <w:unhideWhenUsed/>
    <w:rsid w:val="00613722"/>
    <w:rPr>
      <w:sz w:val="16"/>
      <w:szCs w:val="16"/>
    </w:rPr>
  </w:style>
  <w:style w:type="paragraph" w:styleId="CommentText">
    <w:name w:val="annotation text"/>
    <w:basedOn w:val="Normal"/>
    <w:link w:val="CommentTextChar"/>
    <w:uiPriority w:val="99"/>
    <w:unhideWhenUsed/>
    <w:rsid w:val="00613722"/>
    <w:pPr>
      <w:spacing w:line="240" w:lineRule="auto"/>
    </w:pPr>
  </w:style>
  <w:style w:type="character" w:customStyle="1" w:styleId="CommentTextChar">
    <w:name w:val="Comment Text Char"/>
    <w:basedOn w:val="DefaultParagraphFont"/>
    <w:link w:val="CommentText"/>
    <w:uiPriority w:val="99"/>
    <w:rsid w:val="00613722"/>
  </w:style>
  <w:style w:type="paragraph" w:styleId="CommentSubject">
    <w:name w:val="annotation subject"/>
    <w:basedOn w:val="CommentText"/>
    <w:next w:val="CommentText"/>
    <w:link w:val="CommentSubjectChar"/>
    <w:uiPriority w:val="99"/>
    <w:semiHidden/>
    <w:unhideWhenUsed/>
    <w:rsid w:val="00613722"/>
    <w:rPr>
      <w:b/>
      <w:bCs/>
    </w:rPr>
  </w:style>
  <w:style w:type="character" w:customStyle="1" w:styleId="CommentSubjectChar">
    <w:name w:val="Comment Subject Char"/>
    <w:basedOn w:val="CommentTextChar"/>
    <w:link w:val="CommentSubject"/>
    <w:uiPriority w:val="99"/>
    <w:semiHidden/>
    <w:rsid w:val="00613722"/>
    <w:rPr>
      <w:b/>
      <w:bCs/>
    </w:rPr>
  </w:style>
  <w:style w:type="paragraph" w:customStyle="1" w:styleId="Bodytext">
    <w:name w:val="Body text •"/>
    <w:basedOn w:val="Normal"/>
    <w:link w:val="BodytextChar"/>
    <w:rsid w:val="00647D9B"/>
    <w:pPr>
      <w:numPr>
        <w:numId w:val="12"/>
      </w:numPr>
    </w:pPr>
  </w:style>
  <w:style w:type="paragraph" w:customStyle="1" w:styleId="BodyText3">
    <w:name w:val="Body Text3"/>
    <w:basedOn w:val="Normal"/>
    <w:rsid w:val="00EF28CC"/>
    <w:pPr>
      <w:suppressAutoHyphens w:val="0"/>
      <w:spacing w:before="60" w:after="80" w:line="240" w:lineRule="auto"/>
      <w:ind w:left="1134"/>
      <w:jc w:val="both"/>
    </w:pPr>
    <w:rPr>
      <w:rFonts w:ascii="Times New Roman" w:hAnsi="Times New Roman"/>
    </w:rPr>
  </w:style>
  <w:style w:type="paragraph" w:customStyle="1" w:styleId="PPFmarkupsource">
    <w:name w:val="PPF mark up source"/>
    <w:basedOn w:val="Tablebody"/>
    <w:link w:val="PPFmarkupsourceChar"/>
    <w:qFormat/>
    <w:rsid w:val="00A10EA3"/>
    <w:rPr>
      <w:rFonts w:ascii="Arial Narrow" w:hAnsi="Arial Narrow"/>
      <w:color w:val="4B978F" w:themeColor="accent2" w:themeShade="80"/>
      <w:sz w:val="16"/>
      <w:szCs w:val="16"/>
      <w:lang w:val="en-US" w:eastAsia="en-AU"/>
    </w:rPr>
  </w:style>
  <w:style w:type="character" w:customStyle="1" w:styleId="PPFmarkupsourceChar">
    <w:name w:val="PPF mark up source Char"/>
    <w:link w:val="PPFmarkupsource"/>
    <w:rsid w:val="00A10EA3"/>
    <w:rPr>
      <w:rFonts w:ascii="Arial Narrow" w:eastAsia="Times" w:hAnsi="Arial Narrow"/>
      <w:color w:val="4B978F" w:themeColor="accent2" w:themeShade="80"/>
      <w:sz w:val="16"/>
      <w:szCs w:val="16"/>
      <w:lang w:val="en-US"/>
    </w:rPr>
  </w:style>
  <w:style w:type="paragraph" w:customStyle="1" w:styleId="HeadC">
    <w:name w:val="Head C"/>
    <w:basedOn w:val="Normal"/>
    <w:rsid w:val="00D54A74"/>
    <w:pPr>
      <w:keepNext/>
      <w:tabs>
        <w:tab w:val="left" w:pos="1134"/>
      </w:tabs>
      <w:suppressAutoHyphens w:val="0"/>
      <w:spacing w:before="240" w:after="240" w:line="240" w:lineRule="auto"/>
      <w:ind w:left="1134" w:hanging="1134"/>
    </w:pPr>
    <w:rPr>
      <w:rFonts w:ascii="Arial" w:hAnsi="Arial"/>
      <w:b/>
      <w:noProof/>
    </w:rPr>
  </w:style>
  <w:style w:type="paragraph" w:customStyle="1" w:styleId="BodyText8">
    <w:name w:val="Body Text8"/>
    <w:basedOn w:val="Normal"/>
    <w:rsid w:val="00D54A74"/>
    <w:pPr>
      <w:suppressAutoHyphens w:val="0"/>
      <w:spacing w:before="60" w:after="80" w:line="240" w:lineRule="auto"/>
      <w:ind w:left="1134"/>
      <w:jc w:val="both"/>
    </w:pPr>
    <w:rPr>
      <w:rFonts w:ascii="Times New Roman" w:hAnsi="Times New Roman"/>
    </w:rPr>
  </w:style>
  <w:style w:type="character" w:customStyle="1" w:styleId="ListParagraphChar">
    <w:name w:val="List Paragraph Char"/>
    <w:basedOn w:val="DefaultParagraphFont"/>
    <w:link w:val="ListParagraph"/>
    <w:uiPriority w:val="34"/>
    <w:locked/>
    <w:rsid w:val="008D0318"/>
  </w:style>
  <w:style w:type="paragraph" w:styleId="ListParagraph">
    <w:name w:val="List Paragraph"/>
    <w:basedOn w:val="Normal"/>
    <w:link w:val="ListParagraphChar"/>
    <w:uiPriority w:val="63"/>
    <w:qFormat/>
    <w:rsid w:val="008D0318"/>
    <w:pPr>
      <w:suppressAutoHyphens w:val="0"/>
      <w:spacing w:line="256" w:lineRule="auto"/>
      <w:ind w:left="720"/>
      <w:contextualSpacing/>
    </w:pPr>
  </w:style>
  <w:style w:type="paragraph" w:styleId="Revision">
    <w:name w:val="Revision"/>
    <w:hidden/>
    <w:uiPriority w:val="99"/>
    <w:semiHidden/>
    <w:rsid w:val="00D24E5C"/>
    <w:rPr>
      <w:sz w:val="22"/>
      <w:szCs w:val="22"/>
    </w:rPr>
  </w:style>
  <w:style w:type="character" w:customStyle="1" w:styleId="e24kjd">
    <w:name w:val="e24kjd"/>
    <w:basedOn w:val="DefaultParagraphFont"/>
    <w:rsid w:val="000473BF"/>
  </w:style>
  <w:style w:type="paragraph" w:customStyle="1" w:styleId="BulletList3">
    <w:name w:val="Bullet List .3"/>
    <w:basedOn w:val="ListParagraph"/>
    <w:link w:val="BulletList3Char"/>
    <w:rsid w:val="00D235CF"/>
    <w:pPr>
      <w:numPr>
        <w:numId w:val="15"/>
      </w:numPr>
      <w:spacing w:before="120" w:after="0" w:line="240" w:lineRule="auto"/>
      <w:contextualSpacing w:val="0"/>
    </w:pPr>
    <w:rPr>
      <w:rFonts w:ascii="Century Gothic" w:eastAsiaTheme="minorHAnsi" w:hAnsi="Century Gothic" w:cstheme="minorBidi"/>
      <w:lang w:eastAsia="en-US"/>
    </w:rPr>
  </w:style>
  <w:style w:type="character" w:customStyle="1" w:styleId="BulletList3Char">
    <w:name w:val="Bullet List .3 Char"/>
    <w:basedOn w:val="ListParagraphChar"/>
    <w:link w:val="BulletList3"/>
    <w:rsid w:val="00D235CF"/>
    <w:rPr>
      <w:rFonts w:ascii="Century Gothic" w:eastAsiaTheme="minorHAnsi" w:hAnsi="Century Gothic" w:cstheme="minorBidi"/>
      <w:lang w:eastAsia="en-US"/>
    </w:rPr>
  </w:style>
  <w:style w:type="paragraph" w:customStyle="1" w:styleId="Sub-bullet">
    <w:name w:val="Sub-bullet"/>
    <w:basedOn w:val="BulletList3"/>
    <w:rsid w:val="00D235CF"/>
    <w:pPr>
      <w:numPr>
        <w:ilvl w:val="1"/>
      </w:numPr>
      <w:ind w:left="567" w:hanging="283"/>
    </w:pPr>
    <w:rPr>
      <w:lang w:val="en-US"/>
    </w:rPr>
  </w:style>
  <w:style w:type="character" w:customStyle="1" w:styleId="UnresolvedMention2">
    <w:name w:val="Unresolved Mention2"/>
    <w:basedOn w:val="DefaultParagraphFont"/>
    <w:uiPriority w:val="99"/>
    <w:semiHidden/>
    <w:unhideWhenUsed/>
    <w:rsid w:val="00D235CF"/>
    <w:rPr>
      <w:color w:val="605E5C"/>
      <w:shd w:val="clear" w:color="auto" w:fill="E1DFDD"/>
    </w:rPr>
  </w:style>
  <w:style w:type="paragraph" w:customStyle="1" w:styleId="Symbol">
    <w:name w:val="Symbol"/>
    <w:basedOn w:val="DELWPexamplebody"/>
    <w:link w:val="SymbolChar"/>
    <w:qFormat/>
    <w:rsid w:val="000D4746"/>
    <w:pPr>
      <w:spacing w:line="240" w:lineRule="auto"/>
    </w:pPr>
    <w:rPr>
      <w:i/>
      <w:iCs/>
      <w:color w:val="00828D" w:themeColor="text2"/>
      <w:sz w:val="36"/>
      <w:szCs w:val="36"/>
    </w:rPr>
  </w:style>
  <w:style w:type="character" w:customStyle="1" w:styleId="SymbolChar">
    <w:name w:val="Symbol Char"/>
    <w:basedOn w:val="DefaultParagraphFont"/>
    <w:link w:val="Symbol"/>
    <w:rsid w:val="000D4746"/>
    <w:rPr>
      <w:rFonts w:ascii="VIC" w:eastAsia="Times" w:hAnsi="VIC"/>
      <w:i/>
      <w:iCs/>
      <w:color w:val="00828D" w:themeColor="text2"/>
      <w:sz w:val="36"/>
      <w:szCs w:val="36"/>
      <w:lang w:eastAsia="en-US"/>
    </w:rPr>
  </w:style>
  <w:style w:type="character" w:customStyle="1" w:styleId="Addition">
    <w:name w:val="Addition"/>
    <w:rsid w:val="00641462"/>
    <w:rPr>
      <w:noProof/>
      <w:color w:val="000000" w:themeColor="text1"/>
      <w:u w:val="none"/>
    </w:rPr>
  </w:style>
  <w:style w:type="character" w:styleId="FollowedHyperlink">
    <w:name w:val="FollowedHyperlink"/>
    <w:basedOn w:val="DefaultParagraphFont"/>
    <w:uiPriority w:val="99"/>
    <w:semiHidden/>
    <w:unhideWhenUsed/>
    <w:rsid w:val="00791531"/>
    <w:rPr>
      <w:color w:val="87189D" w:themeColor="followedHyperlink"/>
      <w:u w:val="single"/>
    </w:rPr>
  </w:style>
  <w:style w:type="character" w:customStyle="1" w:styleId="BodytextChar">
    <w:name w:val="Body text • Char"/>
    <w:link w:val="Bodytext"/>
    <w:rsid w:val="00EB3FC4"/>
  </w:style>
  <w:style w:type="paragraph" w:customStyle="1" w:styleId="Annotation">
    <w:name w:val="Annotation"/>
    <w:basedOn w:val="Bodytext"/>
    <w:qFormat/>
    <w:rsid w:val="00401C96"/>
    <w:pPr>
      <w:suppressAutoHyphens w:val="0"/>
      <w:spacing w:before="60" w:after="80" w:line="240" w:lineRule="auto"/>
      <w:ind w:left="-700" w:hanging="360"/>
    </w:pPr>
    <w:rPr>
      <w:rFonts w:ascii="Arial Narrow" w:hAnsi="Arial Narrow" w:cs="Arial"/>
      <w:color w:val="000000" w:themeColor="accent6" w:themeShade="BF"/>
      <w:sz w:val="16"/>
      <w:szCs w:val="16"/>
      <w:lang w:val="en-US"/>
    </w:rPr>
  </w:style>
  <w:style w:type="paragraph" w:customStyle="1" w:styleId="BodyText2">
    <w:name w:val="Body Text2"/>
    <w:basedOn w:val="Normal"/>
    <w:rsid w:val="00F957B3"/>
    <w:pPr>
      <w:suppressAutoHyphens w:val="0"/>
      <w:spacing w:before="60" w:after="80" w:line="240" w:lineRule="auto"/>
      <w:ind w:left="1134"/>
      <w:jc w:val="both"/>
    </w:pPr>
    <w:rPr>
      <w:rFonts w:ascii="Times New Roman" w:hAnsi="Times New Roman"/>
    </w:rPr>
  </w:style>
  <w:style w:type="paragraph" w:customStyle="1" w:styleId="paragraph">
    <w:name w:val="paragraph"/>
    <w:basedOn w:val="Normal"/>
    <w:rsid w:val="00BB5AB6"/>
    <w:pPr>
      <w:suppressAutoHyphens w:val="0"/>
      <w:spacing w:before="100" w:beforeAutospacing="1" w:after="100" w:afterAutospacing="1" w:line="240" w:lineRule="auto"/>
    </w:pPr>
    <w:rPr>
      <w:rFonts w:ascii="Times New Roman" w:hAnsi="Times New Roman"/>
      <w:sz w:val="24"/>
      <w:szCs w:val="24"/>
      <w:lang w:eastAsia="zh-CN"/>
    </w:rPr>
  </w:style>
  <w:style w:type="character" w:customStyle="1" w:styleId="normaltextrun">
    <w:name w:val="normaltextrun"/>
    <w:basedOn w:val="DefaultParagraphFont"/>
    <w:rsid w:val="00BB5AB6"/>
  </w:style>
  <w:style w:type="character" w:customStyle="1" w:styleId="eop">
    <w:name w:val="eop"/>
    <w:basedOn w:val="DefaultParagraphFont"/>
    <w:rsid w:val="00BB5AB6"/>
  </w:style>
  <w:style w:type="character" w:customStyle="1" w:styleId="spellingerror">
    <w:name w:val="spellingerror"/>
    <w:basedOn w:val="DefaultParagraphFont"/>
    <w:rsid w:val="00BB5AB6"/>
  </w:style>
  <w:style w:type="paragraph" w:styleId="BodyText0">
    <w:name w:val="Body Text"/>
    <w:basedOn w:val="Normal"/>
    <w:link w:val="BodyTextChar0"/>
    <w:rsid w:val="008E006E"/>
    <w:pPr>
      <w:suppressAutoHyphens w:val="0"/>
      <w:spacing w:after="120" w:line="240" w:lineRule="auto"/>
    </w:pPr>
    <w:rPr>
      <w:rFonts w:ascii="Arial" w:hAnsi="Arial"/>
      <w:szCs w:val="24"/>
    </w:rPr>
  </w:style>
  <w:style w:type="character" w:customStyle="1" w:styleId="BodyTextChar0">
    <w:name w:val="Body Text Char"/>
    <w:basedOn w:val="DefaultParagraphFont"/>
    <w:link w:val="BodyText0"/>
    <w:rsid w:val="008E006E"/>
    <w:rPr>
      <w:rFonts w:ascii="Arial" w:hAnsi="Arial"/>
      <w:szCs w:val="24"/>
    </w:rPr>
  </w:style>
  <w:style w:type="paragraph" w:styleId="ListNumber">
    <w:name w:val="List Number"/>
    <w:basedOn w:val="Normal"/>
    <w:rsid w:val="00F271DB"/>
    <w:pPr>
      <w:numPr>
        <w:numId w:val="21"/>
      </w:numPr>
      <w:suppressAutoHyphens w:val="0"/>
      <w:spacing w:before="120" w:after="120" w:line="240" w:lineRule="atLeast"/>
    </w:pPr>
    <w:rPr>
      <w:rFonts w:asciiTheme="minorHAnsi" w:hAnsiTheme="minorHAnsi" w:cs="Arial"/>
      <w:color w:val="000000" w:themeColor="text1"/>
    </w:rPr>
  </w:style>
  <w:style w:type="paragraph" w:styleId="ListNumber2">
    <w:name w:val="List Number 2"/>
    <w:basedOn w:val="Normal"/>
    <w:rsid w:val="00F271DB"/>
    <w:pPr>
      <w:numPr>
        <w:ilvl w:val="1"/>
        <w:numId w:val="21"/>
      </w:numPr>
      <w:suppressAutoHyphens w:val="0"/>
      <w:spacing w:before="120" w:after="120" w:line="240" w:lineRule="atLeast"/>
    </w:pPr>
    <w:rPr>
      <w:rFonts w:asciiTheme="minorHAnsi" w:hAnsiTheme="minorHAnsi" w:cs="Arial"/>
      <w:color w:val="000000" w:themeColor="text1"/>
    </w:rPr>
  </w:style>
  <w:style w:type="paragraph" w:styleId="ListNumber3">
    <w:name w:val="List Number 3"/>
    <w:basedOn w:val="Normal"/>
    <w:rsid w:val="00F271DB"/>
    <w:pPr>
      <w:numPr>
        <w:ilvl w:val="2"/>
        <w:numId w:val="21"/>
      </w:numPr>
      <w:suppressAutoHyphens w:val="0"/>
      <w:spacing w:before="120" w:after="120" w:line="240" w:lineRule="atLeast"/>
    </w:pPr>
    <w:rPr>
      <w:rFonts w:asciiTheme="minorHAnsi" w:hAnsiTheme="minorHAnsi" w:cs="Arial"/>
      <w:color w:val="000000" w:themeColor="text1"/>
    </w:rPr>
  </w:style>
  <w:style w:type="paragraph" w:styleId="ListBullet">
    <w:name w:val="List Bullet"/>
    <w:basedOn w:val="Normal"/>
    <w:uiPriority w:val="99"/>
    <w:unhideWhenUsed/>
    <w:rsid w:val="00F271DB"/>
    <w:pPr>
      <w:numPr>
        <w:numId w:val="22"/>
      </w:numPr>
      <w:suppressAutoHyphens w:val="0"/>
      <w:spacing w:before="120" w:after="120" w:line="240" w:lineRule="atLeast"/>
    </w:pPr>
    <w:rPr>
      <w:rFonts w:asciiTheme="minorHAnsi" w:hAnsiTheme="minorHAnsi" w:cs="Arial"/>
      <w:color w:val="000000" w:themeColor="text1"/>
    </w:rPr>
  </w:style>
  <w:style w:type="paragraph" w:styleId="ListBullet2">
    <w:name w:val="List Bullet 2"/>
    <w:basedOn w:val="ListBullet"/>
    <w:uiPriority w:val="99"/>
    <w:unhideWhenUsed/>
    <w:rsid w:val="00F271DB"/>
    <w:pPr>
      <w:numPr>
        <w:ilvl w:val="1"/>
      </w:numPr>
    </w:pPr>
  </w:style>
  <w:style w:type="paragraph" w:styleId="ListBullet3">
    <w:name w:val="List Bullet 3"/>
    <w:basedOn w:val="Normal"/>
    <w:uiPriority w:val="99"/>
    <w:unhideWhenUsed/>
    <w:rsid w:val="00F271DB"/>
    <w:pPr>
      <w:numPr>
        <w:ilvl w:val="2"/>
        <w:numId w:val="22"/>
      </w:numPr>
      <w:suppressAutoHyphens w:val="0"/>
      <w:spacing w:before="120" w:after="120" w:line="240" w:lineRule="atLeast"/>
    </w:pPr>
    <w:rPr>
      <w:rFonts w:asciiTheme="minorHAnsi" w:hAnsiTheme="minorHAnsi" w:cs="Arial"/>
      <w:color w:val="000000" w:themeColor="text1"/>
    </w:rPr>
  </w:style>
  <w:style w:type="character" w:customStyle="1" w:styleId="accordionl2-link-counter">
    <w:name w:val="accordion__l2-link-counter"/>
    <w:basedOn w:val="DefaultParagraphFont"/>
    <w:rsid w:val="002076EA"/>
  </w:style>
  <w:style w:type="character" w:styleId="Mention">
    <w:name w:val="Mention"/>
    <w:basedOn w:val="DefaultParagraphFont"/>
    <w:uiPriority w:val="99"/>
    <w:unhideWhenUsed/>
    <w:rPr>
      <w:color w:val="2B579A"/>
      <w:shd w:val="clear" w:color="auto" w:fill="E6E6E6"/>
    </w:rPr>
  </w:style>
  <w:style w:type="paragraph" w:styleId="NormalWeb">
    <w:name w:val="Normal (Web)"/>
    <w:basedOn w:val="Normal"/>
    <w:uiPriority w:val="99"/>
    <w:unhideWhenUsed/>
    <w:rsid w:val="002C0ACC"/>
    <w:pPr>
      <w:suppressAutoHyphens w:val="0"/>
      <w:spacing w:before="100" w:beforeAutospacing="1" w:after="100" w:afterAutospacing="1" w:line="240" w:lineRule="auto"/>
    </w:pPr>
    <w:rPr>
      <w:rFonts w:ascii="Times New Roman" w:hAnsi="Times New Roman"/>
      <w:sz w:val="24"/>
      <w:szCs w:val="24"/>
    </w:rPr>
  </w:style>
  <w:style w:type="paragraph" w:customStyle="1" w:styleId="BodyText10">
    <w:name w:val="Body Text1"/>
    <w:basedOn w:val="Normal"/>
    <w:link w:val="BodytextChar2"/>
    <w:qFormat/>
    <w:rsid w:val="002A6F5C"/>
    <w:pPr>
      <w:suppressAutoHyphens w:val="0"/>
      <w:spacing w:before="60" w:after="80" w:line="240" w:lineRule="auto"/>
      <w:ind w:left="1134"/>
    </w:pPr>
    <w:rPr>
      <w:rFonts w:ascii="Times New Roman" w:hAnsi="Times New Roman"/>
    </w:rPr>
  </w:style>
  <w:style w:type="character" w:customStyle="1" w:styleId="BodytextChar2">
    <w:name w:val="Body text Char"/>
    <w:link w:val="BodyText10"/>
    <w:rsid w:val="002A6F5C"/>
    <w:rPr>
      <w:rFonts w:ascii="Times New Roman" w:hAnsi="Times New Roman"/>
    </w:rPr>
  </w:style>
  <w:style w:type="numbering" w:customStyle="1" w:styleId="Bullets0">
    <w:name w:val="Bullets"/>
    <w:rsid w:val="00AF4509"/>
    <w:pPr>
      <w:numPr>
        <w:numId w:val="30"/>
      </w:numPr>
    </w:pPr>
  </w:style>
  <w:style w:type="paragraph" w:customStyle="1" w:styleId="SmallBodyText">
    <w:name w:val="Small Body Text"/>
    <w:basedOn w:val="Normal"/>
    <w:rsid w:val="00AF4509"/>
    <w:pPr>
      <w:suppressAutoHyphens w:val="0"/>
      <w:spacing w:before="40" w:after="40" w:line="160" w:lineRule="atLeast"/>
      <w:ind w:right="340"/>
    </w:pPr>
    <w:rPr>
      <w:rFonts w:asciiTheme="minorHAnsi" w:hAnsiTheme="minorHAnsi" w:cs="Arial"/>
      <w:color w:val="000000" w:themeColor="text1"/>
      <w:spacing w:val="2"/>
      <w:sz w:val="12"/>
    </w:rPr>
  </w:style>
  <w:style w:type="paragraph" w:customStyle="1" w:styleId="SmallHeading">
    <w:name w:val="Small Heading"/>
    <w:basedOn w:val="Normal"/>
    <w:next w:val="SmallBodyText"/>
    <w:rsid w:val="00AF4509"/>
    <w:pPr>
      <w:suppressAutoHyphens w:val="0"/>
      <w:spacing w:before="60" w:after="0" w:line="160" w:lineRule="atLeast"/>
      <w:ind w:right="3119"/>
    </w:pPr>
    <w:rPr>
      <w:rFonts w:asciiTheme="minorHAnsi" w:hAnsiTheme="minorHAnsi" w:cs="Arial"/>
      <w:b/>
      <w:color w:val="000000" w:themeColor="text1"/>
      <w:sz w:val="12"/>
    </w:rPr>
  </w:style>
  <w:style w:type="paragraph" w:customStyle="1" w:styleId="xAccessibilityHeading">
    <w:name w:val="xAccessibility Heading"/>
    <w:basedOn w:val="Normal"/>
    <w:semiHidden/>
    <w:qFormat/>
    <w:rsid w:val="00AF4509"/>
    <w:pPr>
      <w:suppressAutoHyphens w:val="0"/>
      <w:spacing w:after="0" w:line="300" w:lineRule="exact"/>
    </w:pPr>
    <w:rPr>
      <w:rFonts w:asciiTheme="minorHAnsi" w:hAnsiTheme="minorHAnsi" w:cs="Arial"/>
      <w:b/>
      <w:color w:val="000000" w:themeColor="text1"/>
    </w:rPr>
  </w:style>
  <w:style w:type="paragraph" w:customStyle="1" w:styleId="HeadingNo1">
    <w:name w:val="Heading No.1"/>
    <w:basedOn w:val="Heading1nonumber"/>
    <w:link w:val="HeadingNo1Char"/>
    <w:autoRedefine/>
    <w:rsid w:val="006806CA"/>
    <w:pPr>
      <w:tabs>
        <w:tab w:val="clear" w:pos="1986"/>
      </w:tabs>
      <w:spacing w:line="264" w:lineRule="auto"/>
      <w:ind w:left="851" w:hanging="851"/>
    </w:pPr>
  </w:style>
  <w:style w:type="character" w:customStyle="1" w:styleId="Heading1nonumberChar">
    <w:name w:val="Heading 1 no number Char"/>
    <w:basedOn w:val="Heading1Char"/>
    <w:link w:val="Heading1nonumber"/>
    <w:rsid w:val="004F0A83"/>
    <w:rPr>
      <w:rFonts w:ascii="VIC" w:hAnsi="VIC"/>
      <w:b/>
      <w:bCs/>
      <w:color w:val="00828D"/>
      <w:sz w:val="36"/>
      <w:szCs w:val="44"/>
      <w:lang w:eastAsia="en-US"/>
    </w:rPr>
  </w:style>
  <w:style w:type="character" w:customStyle="1" w:styleId="HeadingNo1Char">
    <w:name w:val="Heading No.1 Char"/>
    <w:basedOn w:val="Heading1nonumberChar"/>
    <w:link w:val="HeadingNo1"/>
    <w:rsid w:val="006806CA"/>
    <w:rPr>
      <w:rFonts w:ascii="VIC" w:hAnsi="VIC"/>
      <w:b/>
      <w:bCs/>
      <w:color w:val="00828D"/>
      <w:sz w:val="36"/>
      <w:szCs w:val="44"/>
      <w:lang w:eastAsia="en-US"/>
    </w:rPr>
  </w:style>
  <w:style w:type="paragraph" w:customStyle="1" w:styleId="ExampleSymbol">
    <w:name w:val="Example Symbol"/>
    <w:basedOn w:val="Symbol"/>
    <w:link w:val="ExampleSymbolChar"/>
    <w:rsid w:val="00462BCF"/>
    <w:rPr>
      <w:rFonts w:ascii="Wingdings" w:eastAsia="Wingdings" w:hAnsi="Wingdings" w:cs="Wingdings"/>
      <w:color w:val="006666"/>
      <w:sz w:val="28"/>
      <w:szCs w:val="28"/>
    </w:rPr>
  </w:style>
  <w:style w:type="character" w:customStyle="1" w:styleId="ExampleSymbolChar">
    <w:name w:val="Example Symbol Char"/>
    <w:basedOn w:val="SymbolChar"/>
    <w:link w:val="ExampleSymbol"/>
    <w:rsid w:val="00462BCF"/>
    <w:rPr>
      <w:rFonts w:ascii="Wingdings" w:eastAsia="Wingdings" w:hAnsi="Wingdings" w:cs="Wingdings"/>
      <w:i/>
      <w:iCs/>
      <w:color w:val="006666"/>
      <w:sz w:val="28"/>
      <w:szCs w:val="28"/>
      <w:lang w:eastAsia="en-US"/>
    </w:rPr>
  </w:style>
  <w:style w:type="paragraph" w:styleId="Title">
    <w:name w:val="Title"/>
    <w:basedOn w:val="DELWPdocumenttitle"/>
    <w:next w:val="Normal"/>
    <w:link w:val="TitleChar"/>
    <w:uiPriority w:val="10"/>
    <w:qFormat/>
    <w:rsid w:val="00233996"/>
    <w:pPr>
      <w:spacing w:after="120"/>
    </w:pPr>
    <w:rPr>
      <w:rFonts w:ascii="VIC" w:hAnsi="VIC"/>
      <w:b/>
      <w:sz w:val="56"/>
      <w:szCs w:val="56"/>
    </w:rPr>
  </w:style>
  <w:style w:type="character" w:customStyle="1" w:styleId="TitleChar">
    <w:name w:val="Title Char"/>
    <w:basedOn w:val="DefaultParagraphFont"/>
    <w:link w:val="Title"/>
    <w:uiPriority w:val="10"/>
    <w:rsid w:val="00233996"/>
    <w:rPr>
      <w:rFonts w:ascii="VIC" w:hAnsi="VIC"/>
      <w:b/>
      <w:bCs/>
      <w:color w:val="FFFFFF" w:themeColor="background1"/>
      <w:sz w:val="56"/>
      <w:szCs w:val="56"/>
      <w:lang w:eastAsia="en-US"/>
    </w:rPr>
  </w:style>
  <w:style w:type="paragraph" w:customStyle="1" w:styleId="Title-Sub">
    <w:name w:val="Title - Sub"/>
    <w:basedOn w:val="Title"/>
    <w:link w:val="Title-SubChar"/>
    <w:qFormat/>
    <w:rsid w:val="00233996"/>
    <w:rPr>
      <w:b w:val="0"/>
      <w:bCs w:val="0"/>
      <w:sz w:val="48"/>
      <w:szCs w:val="48"/>
    </w:rPr>
  </w:style>
  <w:style w:type="paragraph" w:customStyle="1" w:styleId="ChapterCaption">
    <w:name w:val="Chapter Caption"/>
    <w:basedOn w:val="Normal"/>
    <w:link w:val="ChapterCaptionChar"/>
    <w:qFormat/>
    <w:rsid w:val="00431FBF"/>
    <w:pPr>
      <w:tabs>
        <w:tab w:val="left" w:pos="709"/>
      </w:tabs>
      <w:ind w:left="709"/>
    </w:pPr>
    <w:rPr>
      <w:rFonts w:ascii="VIC" w:hAnsi="VIC"/>
      <w:color w:val="00828D" w:themeColor="text2"/>
    </w:rPr>
  </w:style>
  <w:style w:type="character" w:customStyle="1" w:styleId="Title-SubChar">
    <w:name w:val="Title - Sub Char"/>
    <w:basedOn w:val="TitleChar"/>
    <w:link w:val="Title-Sub"/>
    <w:rsid w:val="00233996"/>
    <w:rPr>
      <w:rFonts w:ascii="VIC" w:hAnsi="VIC"/>
      <w:b w:val="0"/>
      <w:bCs w:val="0"/>
      <w:color w:val="FFFFFF" w:themeColor="background1"/>
      <w:sz w:val="48"/>
      <w:szCs w:val="48"/>
      <w:lang w:eastAsia="en-US"/>
    </w:rPr>
  </w:style>
  <w:style w:type="paragraph" w:customStyle="1" w:styleId="Head5">
    <w:name w:val="Head 5"/>
    <w:basedOn w:val="Heading4"/>
    <w:link w:val="Head5Char"/>
    <w:qFormat/>
    <w:rsid w:val="007A34B5"/>
    <w:rPr>
      <w:color w:val="595959" w:themeColor="text1" w:themeTint="A6"/>
    </w:rPr>
  </w:style>
  <w:style w:type="character" w:customStyle="1" w:styleId="ChapterCaptionChar">
    <w:name w:val="Chapter Caption Char"/>
    <w:basedOn w:val="DefaultParagraphFont"/>
    <w:link w:val="ChapterCaption"/>
    <w:rsid w:val="00431FBF"/>
    <w:rPr>
      <w:rFonts w:ascii="VIC" w:hAnsi="VIC"/>
      <w:color w:val="00828D" w:themeColor="text2"/>
    </w:rPr>
  </w:style>
  <w:style w:type="paragraph" w:customStyle="1" w:styleId="ExampleInstruction">
    <w:name w:val="Example Instruction"/>
    <w:basedOn w:val="DELWPexamplebody"/>
    <w:link w:val="ExampleInstructionChar"/>
    <w:qFormat/>
    <w:rsid w:val="00BC7634"/>
    <w:rPr>
      <w:color w:val="006666"/>
      <w:sz w:val="18"/>
      <w:szCs w:val="18"/>
    </w:rPr>
  </w:style>
  <w:style w:type="character" w:customStyle="1" w:styleId="Head5Char">
    <w:name w:val="Head 5 Char"/>
    <w:basedOn w:val="Heading4Char"/>
    <w:link w:val="Head5"/>
    <w:rsid w:val="007A34B5"/>
    <w:rPr>
      <w:rFonts w:ascii="VIC" w:eastAsia="MS Mincho" w:hAnsi="VIC"/>
      <w:b/>
      <w:bCs/>
      <w:color w:val="595959" w:themeColor="text1" w:themeTint="A6"/>
      <w:sz w:val="22"/>
      <w:szCs w:val="22"/>
      <w:lang w:eastAsia="en-US"/>
    </w:rPr>
  </w:style>
  <w:style w:type="paragraph" w:customStyle="1" w:styleId="Exampletext">
    <w:name w:val="Example text"/>
    <w:basedOn w:val="ExampleInstruction"/>
    <w:link w:val="ExampletextChar"/>
    <w:qFormat/>
    <w:rsid w:val="007F361E"/>
    <w:rPr>
      <w:i/>
      <w:iCs/>
      <w:color w:val="auto"/>
      <w:sz w:val="20"/>
      <w:szCs w:val="20"/>
    </w:rPr>
  </w:style>
  <w:style w:type="character" w:customStyle="1" w:styleId="BodytextChar1">
    <w:name w:val="Body text Char1"/>
    <w:basedOn w:val="DefaultParagraphFont"/>
    <w:link w:val="BodyText1"/>
    <w:rsid w:val="00FF50D6"/>
    <w:rPr>
      <w:rFonts w:ascii="VIC" w:eastAsia="Times" w:hAnsi="VIC"/>
      <w:lang w:eastAsia="en-US"/>
    </w:rPr>
  </w:style>
  <w:style w:type="character" w:customStyle="1" w:styleId="DELWPexamplebodyChar">
    <w:name w:val="_DELWP example body Char"/>
    <w:basedOn w:val="BodytextChar1"/>
    <w:link w:val="DELWPexamplebody"/>
    <w:rsid w:val="00FF50D6"/>
    <w:rPr>
      <w:rFonts w:ascii="VIC" w:eastAsia="Times" w:hAnsi="VIC"/>
      <w:lang w:eastAsia="en-US"/>
    </w:rPr>
  </w:style>
  <w:style w:type="character" w:customStyle="1" w:styleId="ExampleInstructionChar">
    <w:name w:val="Example Instruction Char"/>
    <w:basedOn w:val="DELWPexamplebodyChar"/>
    <w:link w:val="ExampleInstruction"/>
    <w:rsid w:val="00BC7634"/>
    <w:rPr>
      <w:rFonts w:ascii="VIC" w:eastAsia="Times" w:hAnsi="VIC"/>
      <w:color w:val="006666"/>
      <w:sz w:val="18"/>
      <w:szCs w:val="18"/>
      <w:lang w:eastAsia="en-US"/>
    </w:rPr>
  </w:style>
  <w:style w:type="paragraph" w:customStyle="1" w:styleId="Examplein-text">
    <w:name w:val="Example in-text"/>
    <w:basedOn w:val="DELWPbodyitalicindent"/>
    <w:link w:val="Examplein-textChar"/>
    <w:qFormat/>
    <w:rsid w:val="0059360A"/>
    <w:rPr>
      <w:color w:val="00828D" w:themeColor="text2"/>
    </w:rPr>
  </w:style>
  <w:style w:type="character" w:customStyle="1" w:styleId="ExampletextChar">
    <w:name w:val="Example text Char"/>
    <w:basedOn w:val="ExampleInstructionChar"/>
    <w:link w:val="Exampletext"/>
    <w:rsid w:val="007F361E"/>
    <w:rPr>
      <w:rFonts w:ascii="VIC" w:eastAsia="Times" w:hAnsi="VIC"/>
      <w:i/>
      <w:iCs/>
      <w:color w:val="006666"/>
      <w:sz w:val="18"/>
      <w:szCs w:val="18"/>
      <w:lang w:eastAsia="en-US"/>
    </w:rPr>
  </w:style>
  <w:style w:type="paragraph" w:customStyle="1" w:styleId="Examplebullet">
    <w:name w:val="Example bullet"/>
    <w:basedOn w:val="Exampletext"/>
    <w:link w:val="ExamplebulletChar"/>
    <w:qFormat/>
    <w:rsid w:val="00C5456B"/>
    <w:pPr>
      <w:numPr>
        <w:numId w:val="34"/>
      </w:numPr>
    </w:pPr>
  </w:style>
  <w:style w:type="character" w:customStyle="1" w:styleId="DELWPbodyitalicChar">
    <w:name w:val="_DELWP body italic Char"/>
    <w:basedOn w:val="BodytextChar1"/>
    <w:link w:val="DELWPbodyitalic"/>
    <w:rsid w:val="0059360A"/>
    <w:rPr>
      <w:rFonts w:ascii="VIC" w:eastAsia="Times" w:hAnsi="VIC"/>
      <w:i/>
      <w:lang w:eastAsia="en-US"/>
    </w:rPr>
  </w:style>
  <w:style w:type="character" w:customStyle="1" w:styleId="DELWPbodyitalicindentChar">
    <w:name w:val="_DELWP body italic indent Char"/>
    <w:basedOn w:val="DELWPbodyitalicChar"/>
    <w:link w:val="DELWPbodyitalicindent"/>
    <w:rsid w:val="0059360A"/>
    <w:rPr>
      <w:rFonts w:ascii="VIC" w:eastAsia="Times" w:hAnsi="VIC"/>
      <w:i/>
      <w:lang w:eastAsia="en-US"/>
    </w:rPr>
  </w:style>
  <w:style w:type="character" w:customStyle="1" w:styleId="Examplein-textChar">
    <w:name w:val="Example in-text Char"/>
    <w:basedOn w:val="DELWPbodyitalicindentChar"/>
    <w:link w:val="Examplein-text"/>
    <w:rsid w:val="0059360A"/>
    <w:rPr>
      <w:rFonts w:ascii="VIC" w:eastAsia="Times" w:hAnsi="VIC"/>
      <w:i/>
      <w:color w:val="00828D" w:themeColor="text2"/>
      <w:lang w:eastAsia="en-US"/>
    </w:rPr>
  </w:style>
  <w:style w:type="paragraph" w:customStyle="1" w:styleId="Appendix2-Heading1">
    <w:name w:val="Appendix 2 - Heading 1"/>
    <w:basedOn w:val="Heading2hangingindent"/>
    <w:link w:val="Appendix2-Heading1Char"/>
    <w:qFormat/>
    <w:rsid w:val="00F90620"/>
    <w:rPr>
      <w:rFonts w:ascii="Arial" w:hAnsi="Arial" w:cs="Arial"/>
      <w:color w:val="auto"/>
      <w:sz w:val="22"/>
      <w:szCs w:val="22"/>
    </w:rPr>
  </w:style>
  <w:style w:type="character" w:customStyle="1" w:styleId="ExamplebulletChar">
    <w:name w:val="Example bullet Char"/>
    <w:basedOn w:val="ExampletextChar"/>
    <w:link w:val="Examplebullet"/>
    <w:rsid w:val="00C5456B"/>
    <w:rPr>
      <w:rFonts w:ascii="VIC" w:eastAsia="Times" w:hAnsi="VIC"/>
      <w:i/>
      <w:iCs/>
      <w:color w:val="006666"/>
      <w:sz w:val="18"/>
      <w:szCs w:val="18"/>
      <w:lang w:eastAsia="en-US"/>
    </w:rPr>
  </w:style>
  <w:style w:type="paragraph" w:customStyle="1" w:styleId="Appendix2-Body">
    <w:name w:val="Appendix 2 - Body"/>
    <w:basedOn w:val="BodyText1"/>
    <w:link w:val="Appendix2-BodyChar"/>
    <w:qFormat/>
    <w:rsid w:val="00FB14AC"/>
    <w:rPr>
      <w:rFonts w:ascii="Times New Roman" w:hAnsi="Times New Roman"/>
      <w:sz w:val="22"/>
      <w:szCs w:val="22"/>
    </w:rPr>
  </w:style>
  <w:style w:type="character" w:customStyle="1" w:styleId="Heading2hangingindentChar">
    <w:name w:val="Heading 2 hanging indent Char"/>
    <w:basedOn w:val="Heading2Char"/>
    <w:link w:val="Heading2hangingindent"/>
    <w:rsid w:val="00367F72"/>
    <w:rPr>
      <w:rFonts w:ascii="VIC" w:hAnsi="VIC"/>
      <w:b/>
      <w:color w:val="00828D"/>
      <w:sz w:val="30"/>
      <w:szCs w:val="28"/>
      <w:lang w:eastAsia="en-US"/>
    </w:rPr>
  </w:style>
  <w:style w:type="character" w:customStyle="1" w:styleId="Appendix2-Heading1Char">
    <w:name w:val="Appendix 2 - Heading 1 Char"/>
    <w:basedOn w:val="Heading2hangingindentChar"/>
    <w:link w:val="Appendix2-Heading1"/>
    <w:rsid w:val="00F90620"/>
    <w:rPr>
      <w:rFonts w:ascii="Arial" w:hAnsi="Arial" w:cs="Arial"/>
      <w:b/>
      <w:color w:val="00828D"/>
      <w:sz w:val="22"/>
      <w:szCs w:val="22"/>
      <w:lang w:eastAsia="en-US"/>
    </w:rPr>
  </w:style>
  <w:style w:type="paragraph" w:customStyle="1" w:styleId="Appendix2-Bullet">
    <w:name w:val="Appendix 2 - Bullet"/>
    <w:basedOn w:val="BodyText1"/>
    <w:link w:val="Appendix2-BulletChar"/>
    <w:qFormat/>
    <w:rsid w:val="00EE1C4E"/>
    <w:pPr>
      <w:numPr>
        <w:numId w:val="13"/>
      </w:numPr>
      <w:spacing w:line="240" w:lineRule="auto"/>
      <w:ind w:left="357" w:hanging="357"/>
    </w:pPr>
    <w:rPr>
      <w:rFonts w:ascii="Times New Roman" w:hAnsi="Times New Roman"/>
      <w:sz w:val="22"/>
      <w:szCs w:val="22"/>
    </w:rPr>
  </w:style>
  <w:style w:type="character" w:customStyle="1" w:styleId="Appendix2-BodyChar">
    <w:name w:val="Appendix 2 - Body Char"/>
    <w:basedOn w:val="BodytextChar1"/>
    <w:link w:val="Appendix2-Body"/>
    <w:rsid w:val="00FB14AC"/>
    <w:rPr>
      <w:rFonts w:ascii="Times New Roman" w:eastAsia="Times" w:hAnsi="Times New Roman"/>
      <w:sz w:val="22"/>
      <w:szCs w:val="22"/>
      <w:lang w:eastAsia="en-US"/>
    </w:rPr>
  </w:style>
  <w:style w:type="paragraph" w:customStyle="1" w:styleId="Appendix2-sub-bullet">
    <w:name w:val="Appendix 2 - sub-bullet"/>
    <w:basedOn w:val="BodyText1"/>
    <w:link w:val="Appendix2-sub-bulletChar"/>
    <w:qFormat/>
    <w:rsid w:val="00EE1C4E"/>
    <w:pPr>
      <w:numPr>
        <w:numId w:val="35"/>
      </w:numPr>
      <w:spacing w:line="240" w:lineRule="auto"/>
      <w:ind w:left="709" w:hanging="357"/>
    </w:pPr>
    <w:rPr>
      <w:rFonts w:ascii="Times New Roman" w:hAnsi="Times New Roman"/>
      <w:sz w:val="22"/>
      <w:szCs w:val="22"/>
    </w:rPr>
  </w:style>
  <w:style w:type="character" w:customStyle="1" w:styleId="Appendix2-BulletChar">
    <w:name w:val="Appendix 2 - Bullet Char"/>
    <w:basedOn w:val="BodytextChar1"/>
    <w:link w:val="Appendix2-Bullet"/>
    <w:rsid w:val="00EE1C4E"/>
    <w:rPr>
      <w:rFonts w:ascii="Times New Roman" w:eastAsia="Times" w:hAnsi="Times New Roman"/>
      <w:sz w:val="22"/>
      <w:szCs w:val="22"/>
      <w:lang w:eastAsia="en-US"/>
    </w:rPr>
  </w:style>
  <w:style w:type="character" w:customStyle="1" w:styleId="Appendix2-sub-bulletChar">
    <w:name w:val="Appendix 2 - sub-bullet Char"/>
    <w:basedOn w:val="BodytextChar1"/>
    <w:link w:val="Appendix2-sub-bullet"/>
    <w:rsid w:val="00EE1C4E"/>
    <w:rPr>
      <w:rFonts w:ascii="Times New Roman" w:eastAsia="Times" w:hAnsi="Times New Roman"/>
      <w:sz w:val="22"/>
      <w:szCs w:val="22"/>
      <w:lang w:eastAsia="en-US"/>
    </w:rPr>
  </w:style>
  <w:style w:type="paragraph" w:customStyle="1" w:styleId="Break-outboxheading">
    <w:name w:val="Break-out box heading"/>
    <w:basedOn w:val="Normal"/>
    <w:link w:val="Break-outboxheadingChar"/>
    <w:qFormat/>
    <w:rsid w:val="00333151"/>
    <w:pPr>
      <w:suppressAutoHyphens w:val="0"/>
      <w:spacing w:before="120" w:after="0" w:line="240" w:lineRule="auto"/>
    </w:pPr>
    <w:rPr>
      <w:rFonts w:ascii="VIC" w:eastAsiaTheme="minorHAnsi" w:hAnsi="VIC" w:cstheme="minorBidi"/>
      <w:b/>
      <w:bCs/>
      <w:color w:val="017D7D"/>
      <w:szCs w:val="18"/>
      <w:lang w:eastAsia="en-US"/>
    </w:rPr>
  </w:style>
  <w:style w:type="character" w:customStyle="1" w:styleId="Break-outboxheadingChar">
    <w:name w:val="Break-out box heading Char"/>
    <w:basedOn w:val="DefaultParagraphFont"/>
    <w:link w:val="Break-outboxheading"/>
    <w:rsid w:val="00333151"/>
    <w:rPr>
      <w:rFonts w:ascii="VIC" w:eastAsiaTheme="minorHAnsi" w:hAnsi="VIC" w:cstheme="minorBidi"/>
      <w:b/>
      <w:bCs/>
      <w:color w:val="017D7D"/>
      <w:szCs w:val="18"/>
      <w:lang w:eastAsia="en-US"/>
    </w:rPr>
  </w:style>
  <w:style w:type="table" w:customStyle="1" w:styleId="Break-outbox">
    <w:name w:val="Break-out box"/>
    <w:basedOn w:val="TableNormal"/>
    <w:uiPriority w:val="99"/>
    <w:rsid w:val="00333151"/>
    <w:pPr>
      <w:spacing w:before="120" w:after="120"/>
      <w:ind w:left="28" w:right="28"/>
    </w:pPr>
    <w:rPr>
      <w:rFonts w:ascii="VIC" w:eastAsiaTheme="minorHAnsi" w:hAnsi="VIC" w:cstheme="minorBidi"/>
      <w:color w:val="00857F"/>
      <w:sz w:val="24"/>
      <w:szCs w:val="24"/>
      <w:lang w:eastAsia="en-US"/>
    </w:rPr>
    <w:tblPr>
      <w:tblBorders>
        <w:top w:val="single" w:sz="4" w:space="0" w:color="00857F"/>
        <w:left w:val="single" w:sz="4" w:space="0" w:color="00857F"/>
        <w:bottom w:val="single" w:sz="4" w:space="0" w:color="00857F"/>
        <w:right w:val="single" w:sz="4" w:space="0" w:color="00857F"/>
      </w:tblBorders>
    </w:tblPr>
    <w:tcPr>
      <w:shd w:val="clear" w:color="auto" w:fill="EFF7FB"/>
    </w:tcPr>
  </w:style>
  <w:style w:type="paragraph" w:customStyle="1" w:styleId="Bullet1">
    <w:name w:val="Bullet 1"/>
    <w:basedOn w:val="Normal"/>
    <w:uiPriority w:val="99"/>
    <w:rsid w:val="00333151"/>
    <w:pPr>
      <w:numPr>
        <w:numId w:val="36"/>
      </w:numPr>
      <w:autoSpaceDE w:val="0"/>
      <w:autoSpaceDN w:val="0"/>
      <w:adjustRightInd w:val="0"/>
      <w:spacing w:after="200" w:line="240" w:lineRule="auto"/>
      <w:textAlignment w:val="center"/>
    </w:pPr>
    <w:rPr>
      <w:rFonts w:ascii="Arial" w:hAnsi="Arial" w:cs="Arial"/>
      <w:color w:val="000000"/>
      <w:lang w:val="en-GB"/>
    </w:rPr>
  </w:style>
  <w:style w:type="paragraph" w:customStyle="1" w:styleId="Example-sub-bullet">
    <w:name w:val="Example - sub-bullet"/>
    <w:basedOn w:val="Examplebullet"/>
    <w:link w:val="Example-sub-bulletChar"/>
    <w:qFormat/>
    <w:rsid w:val="00CE419E"/>
    <w:pPr>
      <w:numPr>
        <w:numId w:val="37"/>
      </w:numPr>
      <w:spacing w:line="240" w:lineRule="auto"/>
    </w:pPr>
    <w:rPr>
      <w:i w:val="0"/>
      <w:iCs w:val="0"/>
    </w:rPr>
  </w:style>
  <w:style w:type="paragraph" w:customStyle="1" w:styleId="BodyText4">
    <w:name w:val="Body Text4"/>
    <w:basedOn w:val="Normal"/>
    <w:rsid w:val="00CE1E45"/>
    <w:pPr>
      <w:tabs>
        <w:tab w:val="left" w:pos="357"/>
      </w:tabs>
      <w:autoSpaceDE w:val="0"/>
      <w:autoSpaceDN w:val="0"/>
      <w:adjustRightInd w:val="0"/>
      <w:spacing w:after="200" w:line="240" w:lineRule="auto"/>
      <w:textAlignment w:val="center"/>
    </w:pPr>
    <w:rPr>
      <w:rFonts w:ascii="Arial" w:hAnsi="Arial" w:cs="Arial"/>
      <w:color w:val="000000"/>
      <w:lang w:val="en-GB"/>
    </w:rPr>
  </w:style>
  <w:style w:type="character" w:customStyle="1" w:styleId="Example-sub-bulletChar">
    <w:name w:val="Example - sub-bullet Char"/>
    <w:basedOn w:val="ExamplebulletChar"/>
    <w:link w:val="Example-sub-bullet"/>
    <w:rsid w:val="00CE419E"/>
    <w:rPr>
      <w:rFonts w:ascii="VIC" w:eastAsia="Times" w:hAnsi="VIC"/>
      <w:i w:val="0"/>
      <w:iCs w:val="0"/>
      <w:color w:val="006666"/>
      <w:sz w:val="18"/>
      <w:szCs w:val="18"/>
      <w:lang w:eastAsia="en-US"/>
    </w:rPr>
  </w:style>
  <w:style w:type="paragraph" w:customStyle="1" w:styleId="Tablecelltext">
    <w:name w:val="Table cell text"/>
    <w:basedOn w:val="BodyText0"/>
    <w:qFormat/>
    <w:rsid w:val="00CE1E45"/>
    <w:pPr>
      <w:spacing w:after="0"/>
    </w:pPr>
  </w:style>
  <w:style w:type="paragraph" w:customStyle="1" w:styleId="Tablecellheading">
    <w:name w:val="Table cell heading"/>
    <w:basedOn w:val="Normal"/>
    <w:qFormat/>
    <w:rsid w:val="00CE1E45"/>
    <w:pPr>
      <w:suppressAutoHyphens w:val="0"/>
      <w:spacing w:after="120" w:line="240" w:lineRule="auto"/>
    </w:pPr>
    <w:rPr>
      <w:rFonts w:ascii="Arial" w:hAnsi="Arial"/>
      <w:b/>
      <w:szCs w:val="24"/>
    </w:rPr>
  </w:style>
  <w:style w:type="paragraph" w:customStyle="1" w:styleId="Appendix-Contents">
    <w:name w:val="Appendix - Contents"/>
    <w:basedOn w:val="Normal"/>
    <w:link w:val="Appendix-ContentsChar"/>
    <w:qFormat/>
    <w:rsid w:val="005510AA"/>
    <w:pPr>
      <w:numPr>
        <w:numId w:val="9"/>
      </w:numPr>
    </w:pPr>
    <w:rPr>
      <w:rFonts w:ascii="VIC" w:eastAsiaTheme="minorEastAsia" w:hAnsi="VIC"/>
      <w:sz w:val="18"/>
      <w:szCs w:val="18"/>
      <w:lang w:eastAsia="en-US"/>
    </w:rPr>
  </w:style>
  <w:style w:type="character" w:styleId="UnresolvedMention">
    <w:name w:val="Unresolved Mention"/>
    <w:basedOn w:val="DefaultParagraphFont"/>
    <w:uiPriority w:val="99"/>
    <w:semiHidden/>
    <w:unhideWhenUsed/>
    <w:rsid w:val="00F27CA6"/>
    <w:rPr>
      <w:color w:val="605E5C"/>
      <w:shd w:val="clear" w:color="auto" w:fill="E1DFDD"/>
    </w:rPr>
  </w:style>
  <w:style w:type="character" w:customStyle="1" w:styleId="Appendix-ContentsChar">
    <w:name w:val="Appendix - Contents Char"/>
    <w:basedOn w:val="DefaultParagraphFont"/>
    <w:link w:val="Appendix-Contents"/>
    <w:rsid w:val="005510AA"/>
    <w:rPr>
      <w:rFonts w:ascii="VIC" w:eastAsiaTheme="minorEastAsia" w:hAnsi="VIC"/>
      <w:sz w:val="18"/>
      <w:szCs w:val="18"/>
      <w:lang w:eastAsia="en-US"/>
    </w:rPr>
  </w:style>
  <w:style w:type="character" w:customStyle="1" w:styleId="bodytextbold">
    <w:name w:val="body text bold"/>
    <w:uiPriority w:val="99"/>
    <w:rsid w:val="00990A62"/>
    <w:rPr>
      <w:b/>
      <w:bCs/>
    </w:rPr>
  </w:style>
  <w:style w:type="character" w:customStyle="1" w:styleId="Bodytextitalic">
    <w:name w:val="Body text italic"/>
    <w:uiPriority w:val="99"/>
    <w:rsid w:val="00A27856"/>
    <w:rPr>
      <w:rFonts w:ascii="Arial" w:hAnsi="Arial" w:cs="Arial"/>
      <w:i/>
      <w:iCs/>
      <w:sz w:val="20"/>
      <w:szCs w:val="20"/>
    </w:rPr>
  </w:style>
  <w:style w:type="paragraph" w:customStyle="1" w:styleId="Paragraph0">
    <w:name w:val="Paragraph"/>
    <w:basedOn w:val="Normal"/>
    <w:link w:val="ParagraphChar"/>
    <w:qFormat/>
    <w:rsid w:val="000D4739"/>
    <w:pPr>
      <w:suppressAutoHyphens w:val="0"/>
      <w:spacing w:before="120" w:after="0" w:line="240" w:lineRule="auto"/>
    </w:pPr>
    <w:rPr>
      <w:rFonts w:ascii="VIC" w:hAnsi="VIC"/>
      <w:szCs w:val="24"/>
    </w:rPr>
  </w:style>
  <w:style w:type="character" w:customStyle="1" w:styleId="ParagraphChar">
    <w:name w:val="Paragraph Char"/>
    <w:link w:val="Paragraph0"/>
    <w:rsid w:val="000D4739"/>
    <w:rPr>
      <w:rFonts w:ascii="VIC" w:hAnsi="VIC"/>
      <w:szCs w:val="24"/>
    </w:rPr>
  </w:style>
  <w:style w:type="paragraph" w:customStyle="1" w:styleId="Heading21">
    <w:name w:val="Heading 2.1"/>
    <w:basedOn w:val="Heading3"/>
    <w:link w:val="Heading21Char"/>
    <w:qFormat/>
    <w:rsid w:val="006B72E2"/>
    <w:pPr>
      <w:keepLines w:val="0"/>
      <w:spacing w:after="0"/>
    </w:pPr>
    <w:rPr>
      <w:rFonts w:eastAsia="Times New Roman" w:cs="Arial"/>
      <w:kern w:val="32"/>
      <w:sz w:val="22"/>
      <w:szCs w:val="22"/>
      <w:lang w:val="en-GB" w:eastAsia="en-AU"/>
    </w:rPr>
  </w:style>
  <w:style w:type="character" w:customStyle="1" w:styleId="Heading21Char">
    <w:name w:val="Heading 2.1 Char"/>
    <w:link w:val="Heading21"/>
    <w:rsid w:val="006B72E2"/>
    <w:rPr>
      <w:rFonts w:ascii="VIC" w:hAnsi="VIC" w:cs="Arial"/>
      <w:b/>
      <w:bCs/>
      <w:color w:val="00828D"/>
      <w:kern w:val="32"/>
      <w:sz w:val="22"/>
      <w:szCs w:val="22"/>
      <w:lang w:val="en-GB"/>
    </w:rPr>
  </w:style>
  <w:style w:type="paragraph" w:customStyle="1" w:styleId="Bullets1">
    <w:name w:val="Bullets 1"/>
    <w:basedOn w:val="Normal"/>
    <w:autoRedefine/>
    <w:rsid w:val="00BD7127"/>
    <w:pPr>
      <w:numPr>
        <w:numId w:val="41"/>
      </w:numPr>
      <w:suppressAutoHyphens w:val="0"/>
      <w:spacing w:after="120" w:line="240" w:lineRule="auto"/>
    </w:pPr>
    <w:rPr>
      <w:rFonts w:ascii="Arial" w:hAnsi="Arial"/>
      <w:szCs w:val="24"/>
    </w:rPr>
  </w:style>
  <w:style w:type="character" w:customStyle="1" w:styleId="AppendicesheaderChar">
    <w:name w:val="Appendices header Char"/>
    <w:basedOn w:val="Heading1Char"/>
    <w:link w:val="Appendicesheader"/>
    <w:rsid w:val="00145CBD"/>
    <w:rPr>
      <w:rFonts w:ascii="VIC" w:hAnsi="VIC"/>
      <w:b/>
      <w:bCs/>
      <w:color w:val="00828D"/>
      <w:sz w:val="36"/>
      <w:szCs w:val="36"/>
      <w:lang w:eastAsia="en-US"/>
    </w:rPr>
  </w:style>
  <w:style w:type="paragraph" w:styleId="List">
    <w:name w:val="List"/>
    <w:basedOn w:val="Normal"/>
    <w:uiPriority w:val="99"/>
    <w:semiHidden/>
    <w:unhideWhenUsed/>
    <w:rsid w:val="001F3B24"/>
    <w:pPr>
      <w:ind w:left="283" w:hanging="283"/>
      <w:contextualSpacing/>
    </w:pPr>
  </w:style>
  <w:style w:type="paragraph" w:customStyle="1" w:styleId="Break-outboxtext">
    <w:name w:val="Break-out box text"/>
    <w:basedOn w:val="Break-outboxheading"/>
    <w:link w:val="Break-outboxtextChar"/>
    <w:qFormat/>
    <w:rsid w:val="001F3B24"/>
    <w:pPr>
      <w:spacing w:after="120"/>
    </w:pPr>
    <w:rPr>
      <w:b w:val="0"/>
      <w:bCs w:val="0"/>
    </w:rPr>
  </w:style>
  <w:style w:type="character" w:customStyle="1" w:styleId="Break-outboxtextChar">
    <w:name w:val="Break-out box text Char"/>
    <w:basedOn w:val="Break-outboxheadingChar"/>
    <w:link w:val="Break-outboxtext"/>
    <w:rsid w:val="001F3B24"/>
    <w:rPr>
      <w:rFonts w:ascii="VIC" w:eastAsiaTheme="minorHAnsi" w:hAnsi="VIC" w:cstheme="minorBidi"/>
      <w:b w:val="0"/>
      <w:bCs w:val="0"/>
      <w:color w:val="017D7D"/>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8144">
      <w:bodyDiv w:val="1"/>
      <w:marLeft w:val="0"/>
      <w:marRight w:val="0"/>
      <w:marTop w:val="0"/>
      <w:marBottom w:val="0"/>
      <w:divBdr>
        <w:top w:val="none" w:sz="0" w:space="0" w:color="auto"/>
        <w:left w:val="none" w:sz="0" w:space="0" w:color="auto"/>
        <w:bottom w:val="none" w:sz="0" w:space="0" w:color="auto"/>
        <w:right w:val="none" w:sz="0" w:space="0" w:color="auto"/>
      </w:divBdr>
    </w:div>
    <w:div w:id="109934080">
      <w:bodyDiv w:val="1"/>
      <w:marLeft w:val="0"/>
      <w:marRight w:val="0"/>
      <w:marTop w:val="0"/>
      <w:marBottom w:val="0"/>
      <w:divBdr>
        <w:top w:val="none" w:sz="0" w:space="0" w:color="auto"/>
        <w:left w:val="none" w:sz="0" w:space="0" w:color="auto"/>
        <w:bottom w:val="none" w:sz="0" w:space="0" w:color="auto"/>
        <w:right w:val="none" w:sz="0" w:space="0" w:color="auto"/>
      </w:divBdr>
    </w:div>
    <w:div w:id="220337616">
      <w:bodyDiv w:val="1"/>
      <w:marLeft w:val="0"/>
      <w:marRight w:val="0"/>
      <w:marTop w:val="0"/>
      <w:marBottom w:val="0"/>
      <w:divBdr>
        <w:top w:val="none" w:sz="0" w:space="0" w:color="auto"/>
        <w:left w:val="none" w:sz="0" w:space="0" w:color="auto"/>
        <w:bottom w:val="none" w:sz="0" w:space="0" w:color="auto"/>
        <w:right w:val="none" w:sz="0" w:space="0" w:color="auto"/>
      </w:divBdr>
    </w:div>
    <w:div w:id="247033637">
      <w:bodyDiv w:val="1"/>
      <w:marLeft w:val="0"/>
      <w:marRight w:val="0"/>
      <w:marTop w:val="0"/>
      <w:marBottom w:val="0"/>
      <w:divBdr>
        <w:top w:val="none" w:sz="0" w:space="0" w:color="auto"/>
        <w:left w:val="none" w:sz="0" w:space="0" w:color="auto"/>
        <w:bottom w:val="none" w:sz="0" w:space="0" w:color="auto"/>
        <w:right w:val="none" w:sz="0" w:space="0" w:color="auto"/>
      </w:divBdr>
    </w:div>
    <w:div w:id="330059565">
      <w:bodyDiv w:val="1"/>
      <w:marLeft w:val="0"/>
      <w:marRight w:val="0"/>
      <w:marTop w:val="0"/>
      <w:marBottom w:val="0"/>
      <w:divBdr>
        <w:top w:val="none" w:sz="0" w:space="0" w:color="auto"/>
        <w:left w:val="none" w:sz="0" w:space="0" w:color="auto"/>
        <w:bottom w:val="none" w:sz="0" w:space="0" w:color="auto"/>
        <w:right w:val="none" w:sz="0" w:space="0" w:color="auto"/>
      </w:divBdr>
    </w:div>
    <w:div w:id="336687702">
      <w:bodyDiv w:val="1"/>
      <w:marLeft w:val="0"/>
      <w:marRight w:val="0"/>
      <w:marTop w:val="0"/>
      <w:marBottom w:val="0"/>
      <w:divBdr>
        <w:top w:val="none" w:sz="0" w:space="0" w:color="auto"/>
        <w:left w:val="none" w:sz="0" w:space="0" w:color="auto"/>
        <w:bottom w:val="none" w:sz="0" w:space="0" w:color="auto"/>
        <w:right w:val="none" w:sz="0" w:space="0" w:color="auto"/>
      </w:divBdr>
      <w:divsChild>
        <w:div w:id="1765224719">
          <w:marLeft w:val="0"/>
          <w:marRight w:val="0"/>
          <w:marTop w:val="0"/>
          <w:marBottom w:val="0"/>
          <w:divBdr>
            <w:top w:val="none" w:sz="0" w:space="0" w:color="auto"/>
            <w:left w:val="none" w:sz="0" w:space="0" w:color="auto"/>
            <w:bottom w:val="none" w:sz="0" w:space="0" w:color="auto"/>
            <w:right w:val="none" w:sz="0" w:space="0" w:color="auto"/>
          </w:divBdr>
        </w:div>
      </w:divsChild>
    </w:div>
    <w:div w:id="381058028">
      <w:bodyDiv w:val="1"/>
      <w:marLeft w:val="0"/>
      <w:marRight w:val="0"/>
      <w:marTop w:val="0"/>
      <w:marBottom w:val="0"/>
      <w:divBdr>
        <w:top w:val="none" w:sz="0" w:space="0" w:color="auto"/>
        <w:left w:val="none" w:sz="0" w:space="0" w:color="auto"/>
        <w:bottom w:val="none" w:sz="0" w:space="0" w:color="auto"/>
        <w:right w:val="none" w:sz="0" w:space="0" w:color="auto"/>
      </w:divBdr>
    </w:div>
    <w:div w:id="399525560">
      <w:bodyDiv w:val="1"/>
      <w:marLeft w:val="0"/>
      <w:marRight w:val="0"/>
      <w:marTop w:val="0"/>
      <w:marBottom w:val="0"/>
      <w:divBdr>
        <w:top w:val="none" w:sz="0" w:space="0" w:color="auto"/>
        <w:left w:val="none" w:sz="0" w:space="0" w:color="auto"/>
        <w:bottom w:val="none" w:sz="0" w:space="0" w:color="auto"/>
        <w:right w:val="none" w:sz="0" w:space="0" w:color="auto"/>
      </w:divBdr>
    </w:div>
    <w:div w:id="405616167">
      <w:bodyDiv w:val="1"/>
      <w:marLeft w:val="0"/>
      <w:marRight w:val="0"/>
      <w:marTop w:val="0"/>
      <w:marBottom w:val="0"/>
      <w:divBdr>
        <w:top w:val="none" w:sz="0" w:space="0" w:color="auto"/>
        <w:left w:val="none" w:sz="0" w:space="0" w:color="auto"/>
        <w:bottom w:val="none" w:sz="0" w:space="0" w:color="auto"/>
        <w:right w:val="none" w:sz="0" w:space="0" w:color="auto"/>
      </w:divBdr>
      <w:divsChild>
        <w:div w:id="2040350972">
          <w:marLeft w:val="0"/>
          <w:marRight w:val="0"/>
          <w:marTop w:val="0"/>
          <w:marBottom w:val="0"/>
          <w:divBdr>
            <w:top w:val="none" w:sz="0" w:space="0" w:color="auto"/>
            <w:left w:val="none" w:sz="0" w:space="0" w:color="auto"/>
            <w:bottom w:val="none" w:sz="0" w:space="0" w:color="auto"/>
            <w:right w:val="none" w:sz="0" w:space="0" w:color="auto"/>
          </w:divBdr>
          <w:divsChild>
            <w:div w:id="699277324">
              <w:marLeft w:val="0"/>
              <w:marRight w:val="0"/>
              <w:marTop w:val="0"/>
              <w:marBottom w:val="0"/>
              <w:divBdr>
                <w:top w:val="none" w:sz="0" w:space="0" w:color="auto"/>
                <w:left w:val="none" w:sz="0" w:space="0" w:color="auto"/>
                <w:bottom w:val="none" w:sz="0" w:space="0" w:color="auto"/>
                <w:right w:val="none" w:sz="0" w:space="0" w:color="auto"/>
              </w:divBdr>
              <w:divsChild>
                <w:div w:id="1055659971">
                  <w:marLeft w:val="0"/>
                  <w:marRight w:val="0"/>
                  <w:marTop w:val="0"/>
                  <w:marBottom w:val="0"/>
                  <w:divBdr>
                    <w:top w:val="none" w:sz="0" w:space="0" w:color="auto"/>
                    <w:left w:val="none" w:sz="0" w:space="0" w:color="auto"/>
                    <w:bottom w:val="none" w:sz="0" w:space="0" w:color="auto"/>
                    <w:right w:val="none" w:sz="0" w:space="0" w:color="auto"/>
                  </w:divBdr>
                  <w:divsChild>
                    <w:div w:id="578832057">
                      <w:marLeft w:val="0"/>
                      <w:marRight w:val="0"/>
                      <w:marTop w:val="0"/>
                      <w:marBottom w:val="0"/>
                      <w:divBdr>
                        <w:top w:val="none" w:sz="0" w:space="0" w:color="auto"/>
                        <w:left w:val="none" w:sz="0" w:space="0" w:color="auto"/>
                        <w:bottom w:val="none" w:sz="0" w:space="0" w:color="auto"/>
                        <w:right w:val="none" w:sz="0" w:space="0" w:color="auto"/>
                      </w:divBdr>
                      <w:divsChild>
                        <w:div w:id="1448307103">
                          <w:marLeft w:val="0"/>
                          <w:marRight w:val="0"/>
                          <w:marTop w:val="0"/>
                          <w:marBottom w:val="0"/>
                          <w:divBdr>
                            <w:top w:val="none" w:sz="0" w:space="0" w:color="auto"/>
                            <w:left w:val="none" w:sz="0" w:space="0" w:color="auto"/>
                            <w:bottom w:val="none" w:sz="0" w:space="0" w:color="auto"/>
                            <w:right w:val="none" w:sz="0" w:space="0" w:color="auto"/>
                          </w:divBdr>
                          <w:divsChild>
                            <w:div w:id="1733313132">
                              <w:marLeft w:val="2070"/>
                              <w:marRight w:val="3960"/>
                              <w:marTop w:val="0"/>
                              <w:marBottom w:val="0"/>
                              <w:divBdr>
                                <w:top w:val="none" w:sz="0" w:space="0" w:color="auto"/>
                                <w:left w:val="none" w:sz="0" w:space="0" w:color="auto"/>
                                <w:bottom w:val="none" w:sz="0" w:space="0" w:color="auto"/>
                                <w:right w:val="none" w:sz="0" w:space="0" w:color="auto"/>
                              </w:divBdr>
                              <w:divsChild>
                                <w:div w:id="644623269">
                                  <w:marLeft w:val="0"/>
                                  <w:marRight w:val="0"/>
                                  <w:marTop w:val="0"/>
                                  <w:marBottom w:val="0"/>
                                  <w:divBdr>
                                    <w:top w:val="none" w:sz="0" w:space="0" w:color="auto"/>
                                    <w:left w:val="none" w:sz="0" w:space="0" w:color="auto"/>
                                    <w:bottom w:val="none" w:sz="0" w:space="0" w:color="auto"/>
                                    <w:right w:val="none" w:sz="0" w:space="0" w:color="auto"/>
                                  </w:divBdr>
                                  <w:divsChild>
                                    <w:div w:id="363746831">
                                      <w:marLeft w:val="0"/>
                                      <w:marRight w:val="0"/>
                                      <w:marTop w:val="0"/>
                                      <w:marBottom w:val="0"/>
                                      <w:divBdr>
                                        <w:top w:val="none" w:sz="0" w:space="0" w:color="auto"/>
                                        <w:left w:val="none" w:sz="0" w:space="0" w:color="auto"/>
                                        <w:bottom w:val="none" w:sz="0" w:space="0" w:color="auto"/>
                                        <w:right w:val="none" w:sz="0" w:space="0" w:color="auto"/>
                                      </w:divBdr>
                                      <w:divsChild>
                                        <w:div w:id="676614807">
                                          <w:marLeft w:val="0"/>
                                          <w:marRight w:val="0"/>
                                          <w:marTop w:val="0"/>
                                          <w:marBottom w:val="0"/>
                                          <w:divBdr>
                                            <w:top w:val="none" w:sz="0" w:space="0" w:color="auto"/>
                                            <w:left w:val="none" w:sz="0" w:space="0" w:color="auto"/>
                                            <w:bottom w:val="none" w:sz="0" w:space="0" w:color="auto"/>
                                            <w:right w:val="none" w:sz="0" w:space="0" w:color="auto"/>
                                          </w:divBdr>
                                          <w:divsChild>
                                            <w:div w:id="1393310318">
                                              <w:marLeft w:val="0"/>
                                              <w:marRight w:val="0"/>
                                              <w:marTop w:val="90"/>
                                              <w:marBottom w:val="0"/>
                                              <w:divBdr>
                                                <w:top w:val="none" w:sz="0" w:space="0" w:color="auto"/>
                                                <w:left w:val="none" w:sz="0" w:space="0" w:color="auto"/>
                                                <w:bottom w:val="none" w:sz="0" w:space="0" w:color="auto"/>
                                                <w:right w:val="none" w:sz="0" w:space="0" w:color="auto"/>
                                              </w:divBdr>
                                              <w:divsChild>
                                                <w:div w:id="1779063106">
                                                  <w:marLeft w:val="0"/>
                                                  <w:marRight w:val="0"/>
                                                  <w:marTop w:val="0"/>
                                                  <w:marBottom w:val="0"/>
                                                  <w:divBdr>
                                                    <w:top w:val="none" w:sz="0" w:space="0" w:color="auto"/>
                                                    <w:left w:val="none" w:sz="0" w:space="0" w:color="auto"/>
                                                    <w:bottom w:val="none" w:sz="0" w:space="0" w:color="auto"/>
                                                    <w:right w:val="none" w:sz="0" w:space="0" w:color="auto"/>
                                                  </w:divBdr>
                                                  <w:divsChild>
                                                    <w:div w:id="652299465">
                                                      <w:marLeft w:val="0"/>
                                                      <w:marRight w:val="0"/>
                                                      <w:marTop w:val="0"/>
                                                      <w:marBottom w:val="405"/>
                                                      <w:divBdr>
                                                        <w:top w:val="none" w:sz="0" w:space="0" w:color="auto"/>
                                                        <w:left w:val="none" w:sz="0" w:space="0" w:color="auto"/>
                                                        <w:bottom w:val="none" w:sz="0" w:space="0" w:color="auto"/>
                                                        <w:right w:val="none" w:sz="0" w:space="0" w:color="auto"/>
                                                      </w:divBdr>
                                                      <w:divsChild>
                                                        <w:div w:id="759453693">
                                                          <w:marLeft w:val="0"/>
                                                          <w:marRight w:val="0"/>
                                                          <w:marTop w:val="0"/>
                                                          <w:marBottom w:val="0"/>
                                                          <w:divBdr>
                                                            <w:top w:val="none" w:sz="0" w:space="0" w:color="auto"/>
                                                            <w:left w:val="none" w:sz="0" w:space="0" w:color="auto"/>
                                                            <w:bottom w:val="none" w:sz="0" w:space="0" w:color="auto"/>
                                                            <w:right w:val="none" w:sz="0" w:space="0" w:color="auto"/>
                                                          </w:divBdr>
                                                          <w:divsChild>
                                                            <w:div w:id="1354457349">
                                                              <w:marLeft w:val="0"/>
                                                              <w:marRight w:val="0"/>
                                                              <w:marTop w:val="0"/>
                                                              <w:marBottom w:val="0"/>
                                                              <w:divBdr>
                                                                <w:top w:val="none" w:sz="0" w:space="0" w:color="auto"/>
                                                                <w:left w:val="none" w:sz="0" w:space="0" w:color="auto"/>
                                                                <w:bottom w:val="none" w:sz="0" w:space="0" w:color="auto"/>
                                                                <w:right w:val="none" w:sz="0" w:space="0" w:color="auto"/>
                                                              </w:divBdr>
                                                              <w:divsChild>
                                                                <w:div w:id="1999993690">
                                                                  <w:marLeft w:val="0"/>
                                                                  <w:marRight w:val="0"/>
                                                                  <w:marTop w:val="0"/>
                                                                  <w:marBottom w:val="0"/>
                                                                  <w:divBdr>
                                                                    <w:top w:val="none" w:sz="0" w:space="0" w:color="auto"/>
                                                                    <w:left w:val="none" w:sz="0" w:space="0" w:color="auto"/>
                                                                    <w:bottom w:val="none" w:sz="0" w:space="0" w:color="auto"/>
                                                                    <w:right w:val="none" w:sz="0" w:space="0" w:color="auto"/>
                                                                  </w:divBdr>
                                                                  <w:divsChild>
                                                                    <w:div w:id="3729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31121757">
      <w:bodyDiv w:val="1"/>
      <w:marLeft w:val="0"/>
      <w:marRight w:val="0"/>
      <w:marTop w:val="0"/>
      <w:marBottom w:val="0"/>
      <w:divBdr>
        <w:top w:val="none" w:sz="0" w:space="0" w:color="auto"/>
        <w:left w:val="none" w:sz="0" w:space="0" w:color="auto"/>
        <w:bottom w:val="none" w:sz="0" w:space="0" w:color="auto"/>
        <w:right w:val="none" w:sz="0" w:space="0" w:color="auto"/>
      </w:divBdr>
    </w:div>
    <w:div w:id="432481941">
      <w:bodyDiv w:val="1"/>
      <w:marLeft w:val="0"/>
      <w:marRight w:val="0"/>
      <w:marTop w:val="0"/>
      <w:marBottom w:val="0"/>
      <w:divBdr>
        <w:top w:val="none" w:sz="0" w:space="0" w:color="auto"/>
        <w:left w:val="none" w:sz="0" w:space="0" w:color="auto"/>
        <w:bottom w:val="none" w:sz="0" w:space="0" w:color="auto"/>
        <w:right w:val="none" w:sz="0" w:space="0" w:color="auto"/>
      </w:divBdr>
    </w:div>
    <w:div w:id="523637211">
      <w:bodyDiv w:val="1"/>
      <w:marLeft w:val="0"/>
      <w:marRight w:val="0"/>
      <w:marTop w:val="0"/>
      <w:marBottom w:val="0"/>
      <w:divBdr>
        <w:top w:val="none" w:sz="0" w:space="0" w:color="auto"/>
        <w:left w:val="none" w:sz="0" w:space="0" w:color="auto"/>
        <w:bottom w:val="none" w:sz="0" w:space="0" w:color="auto"/>
        <w:right w:val="none" w:sz="0" w:space="0" w:color="auto"/>
      </w:divBdr>
    </w:div>
    <w:div w:id="630982394">
      <w:bodyDiv w:val="1"/>
      <w:marLeft w:val="0"/>
      <w:marRight w:val="0"/>
      <w:marTop w:val="0"/>
      <w:marBottom w:val="0"/>
      <w:divBdr>
        <w:top w:val="none" w:sz="0" w:space="0" w:color="auto"/>
        <w:left w:val="none" w:sz="0" w:space="0" w:color="auto"/>
        <w:bottom w:val="none" w:sz="0" w:space="0" w:color="auto"/>
        <w:right w:val="none" w:sz="0" w:space="0" w:color="auto"/>
      </w:divBdr>
    </w:div>
    <w:div w:id="652568211">
      <w:bodyDiv w:val="1"/>
      <w:marLeft w:val="0"/>
      <w:marRight w:val="0"/>
      <w:marTop w:val="0"/>
      <w:marBottom w:val="0"/>
      <w:divBdr>
        <w:top w:val="none" w:sz="0" w:space="0" w:color="auto"/>
        <w:left w:val="none" w:sz="0" w:space="0" w:color="auto"/>
        <w:bottom w:val="none" w:sz="0" w:space="0" w:color="auto"/>
        <w:right w:val="none" w:sz="0" w:space="0" w:color="auto"/>
      </w:divBdr>
      <w:divsChild>
        <w:div w:id="971863569">
          <w:marLeft w:val="0"/>
          <w:marRight w:val="0"/>
          <w:marTop w:val="0"/>
          <w:marBottom w:val="0"/>
          <w:divBdr>
            <w:top w:val="none" w:sz="0" w:space="0" w:color="auto"/>
            <w:left w:val="none" w:sz="0" w:space="0" w:color="auto"/>
            <w:bottom w:val="none" w:sz="0" w:space="0" w:color="auto"/>
            <w:right w:val="none" w:sz="0" w:space="0" w:color="auto"/>
          </w:divBdr>
          <w:divsChild>
            <w:div w:id="29506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15707">
      <w:bodyDiv w:val="1"/>
      <w:marLeft w:val="0"/>
      <w:marRight w:val="0"/>
      <w:marTop w:val="0"/>
      <w:marBottom w:val="0"/>
      <w:divBdr>
        <w:top w:val="none" w:sz="0" w:space="0" w:color="auto"/>
        <w:left w:val="none" w:sz="0" w:space="0" w:color="auto"/>
        <w:bottom w:val="none" w:sz="0" w:space="0" w:color="auto"/>
        <w:right w:val="none" w:sz="0" w:space="0" w:color="auto"/>
      </w:divBdr>
    </w:div>
    <w:div w:id="670909607">
      <w:bodyDiv w:val="1"/>
      <w:marLeft w:val="0"/>
      <w:marRight w:val="0"/>
      <w:marTop w:val="0"/>
      <w:marBottom w:val="0"/>
      <w:divBdr>
        <w:top w:val="none" w:sz="0" w:space="0" w:color="auto"/>
        <w:left w:val="none" w:sz="0" w:space="0" w:color="auto"/>
        <w:bottom w:val="none" w:sz="0" w:space="0" w:color="auto"/>
        <w:right w:val="none" w:sz="0" w:space="0" w:color="auto"/>
      </w:divBdr>
    </w:div>
    <w:div w:id="744759720">
      <w:bodyDiv w:val="1"/>
      <w:marLeft w:val="0"/>
      <w:marRight w:val="0"/>
      <w:marTop w:val="0"/>
      <w:marBottom w:val="0"/>
      <w:divBdr>
        <w:top w:val="none" w:sz="0" w:space="0" w:color="auto"/>
        <w:left w:val="none" w:sz="0" w:space="0" w:color="auto"/>
        <w:bottom w:val="none" w:sz="0" w:space="0" w:color="auto"/>
        <w:right w:val="none" w:sz="0" w:space="0" w:color="auto"/>
      </w:divBdr>
    </w:div>
    <w:div w:id="758449968">
      <w:bodyDiv w:val="1"/>
      <w:marLeft w:val="0"/>
      <w:marRight w:val="0"/>
      <w:marTop w:val="0"/>
      <w:marBottom w:val="0"/>
      <w:divBdr>
        <w:top w:val="none" w:sz="0" w:space="0" w:color="auto"/>
        <w:left w:val="none" w:sz="0" w:space="0" w:color="auto"/>
        <w:bottom w:val="none" w:sz="0" w:space="0" w:color="auto"/>
        <w:right w:val="none" w:sz="0" w:space="0" w:color="auto"/>
      </w:divBdr>
    </w:div>
    <w:div w:id="783696450">
      <w:bodyDiv w:val="1"/>
      <w:marLeft w:val="0"/>
      <w:marRight w:val="0"/>
      <w:marTop w:val="0"/>
      <w:marBottom w:val="0"/>
      <w:divBdr>
        <w:top w:val="none" w:sz="0" w:space="0" w:color="auto"/>
        <w:left w:val="none" w:sz="0" w:space="0" w:color="auto"/>
        <w:bottom w:val="none" w:sz="0" w:space="0" w:color="auto"/>
        <w:right w:val="none" w:sz="0" w:space="0" w:color="auto"/>
      </w:divBdr>
      <w:divsChild>
        <w:div w:id="1552812661">
          <w:marLeft w:val="0"/>
          <w:marRight w:val="0"/>
          <w:marTop w:val="0"/>
          <w:marBottom w:val="0"/>
          <w:divBdr>
            <w:top w:val="none" w:sz="0" w:space="0" w:color="auto"/>
            <w:left w:val="none" w:sz="0" w:space="0" w:color="auto"/>
            <w:bottom w:val="none" w:sz="0" w:space="0" w:color="auto"/>
            <w:right w:val="none" w:sz="0" w:space="0" w:color="auto"/>
          </w:divBdr>
          <w:divsChild>
            <w:div w:id="78662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79220">
      <w:bodyDiv w:val="1"/>
      <w:marLeft w:val="0"/>
      <w:marRight w:val="0"/>
      <w:marTop w:val="0"/>
      <w:marBottom w:val="0"/>
      <w:divBdr>
        <w:top w:val="none" w:sz="0" w:space="0" w:color="auto"/>
        <w:left w:val="none" w:sz="0" w:space="0" w:color="auto"/>
        <w:bottom w:val="none" w:sz="0" w:space="0" w:color="auto"/>
        <w:right w:val="none" w:sz="0" w:space="0" w:color="auto"/>
      </w:divBdr>
    </w:div>
    <w:div w:id="895050711">
      <w:bodyDiv w:val="1"/>
      <w:marLeft w:val="0"/>
      <w:marRight w:val="0"/>
      <w:marTop w:val="0"/>
      <w:marBottom w:val="0"/>
      <w:divBdr>
        <w:top w:val="none" w:sz="0" w:space="0" w:color="auto"/>
        <w:left w:val="none" w:sz="0" w:space="0" w:color="auto"/>
        <w:bottom w:val="none" w:sz="0" w:space="0" w:color="auto"/>
        <w:right w:val="none" w:sz="0" w:space="0" w:color="auto"/>
      </w:divBdr>
    </w:div>
    <w:div w:id="928392092">
      <w:bodyDiv w:val="1"/>
      <w:marLeft w:val="0"/>
      <w:marRight w:val="0"/>
      <w:marTop w:val="0"/>
      <w:marBottom w:val="0"/>
      <w:divBdr>
        <w:top w:val="none" w:sz="0" w:space="0" w:color="auto"/>
        <w:left w:val="none" w:sz="0" w:space="0" w:color="auto"/>
        <w:bottom w:val="none" w:sz="0" w:space="0" w:color="auto"/>
        <w:right w:val="none" w:sz="0" w:space="0" w:color="auto"/>
      </w:divBdr>
    </w:div>
    <w:div w:id="1100299614">
      <w:bodyDiv w:val="1"/>
      <w:marLeft w:val="0"/>
      <w:marRight w:val="0"/>
      <w:marTop w:val="0"/>
      <w:marBottom w:val="0"/>
      <w:divBdr>
        <w:top w:val="none" w:sz="0" w:space="0" w:color="auto"/>
        <w:left w:val="none" w:sz="0" w:space="0" w:color="auto"/>
        <w:bottom w:val="none" w:sz="0" w:space="0" w:color="auto"/>
        <w:right w:val="none" w:sz="0" w:space="0" w:color="auto"/>
      </w:divBdr>
    </w:div>
    <w:div w:id="1164467136">
      <w:bodyDiv w:val="1"/>
      <w:marLeft w:val="0"/>
      <w:marRight w:val="0"/>
      <w:marTop w:val="0"/>
      <w:marBottom w:val="0"/>
      <w:divBdr>
        <w:top w:val="none" w:sz="0" w:space="0" w:color="auto"/>
        <w:left w:val="none" w:sz="0" w:space="0" w:color="auto"/>
        <w:bottom w:val="none" w:sz="0" w:space="0" w:color="auto"/>
        <w:right w:val="none" w:sz="0" w:space="0" w:color="auto"/>
      </w:divBdr>
    </w:div>
    <w:div w:id="1321926813">
      <w:bodyDiv w:val="1"/>
      <w:marLeft w:val="0"/>
      <w:marRight w:val="0"/>
      <w:marTop w:val="0"/>
      <w:marBottom w:val="0"/>
      <w:divBdr>
        <w:top w:val="none" w:sz="0" w:space="0" w:color="auto"/>
        <w:left w:val="none" w:sz="0" w:space="0" w:color="auto"/>
        <w:bottom w:val="none" w:sz="0" w:space="0" w:color="auto"/>
        <w:right w:val="none" w:sz="0" w:space="0" w:color="auto"/>
      </w:divBdr>
    </w:div>
    <w:div w:id="1325552567">
      <w:bodyDiv w:val="1"/>
      <w:marLeft w:val="0"/>
      <w:marRight w:val="0"/>
      <w:marTop w:val="0"/>
      <w:marBottom w:val="0"/>
      <w:divBdr>
        <w:top w:val="none" w:sz="0" w:space="0" w:color="auto"/>
        <w:left w:val="none" w:sz="0" w:space="0" w:color="auto"/>
        <w:bottom w:val="none" w:sz="0" w:space="0" w:color="auto"/>
        <w:right w:val="none" w:sz="0" w:space="0" w:color="auto"/>
      </w:divBdr>
      <w:divsChild>
        <w:div w:id="317464273">
          <w:marLeft w:val="0"/>
          <w:marRight w:val="0"/>
          <w:marTop w:val="0"/>
          <w:marBottom w:val="0"/>
          <w:divBdr>
            <w:top w:val="none" w:sz="0" w:space="0" w:color="auto"/>
            <w:left w:val="none" w:sz="0" w:space="0" w:color="auto"/>
            <w:bottom w:val="none" w:sz="0" w:space="0" w:color="auto"/>
            <w:right w:val="none" w:sz="0" w:space="0" w:color="auto"/>
          </w:divBdr>
        </w:div>
        <w:div w:id="453060266">
          <w:marLeft w:val="0"/>
          <w:marRight w:val="0"/>
          <w:marTop w:val="0"/>
          <w:marBottom w:val="0"/>
          <w:divBdr>
            <w:top w:val="none" w:sz="0" w:space="0" w:color="auto"/>
            <w:left w:val="none" w:sz="0" w:space="0" w:color="auto"/>
            <w:bottom w:val="none" w:sz="0" w:space="0" w:color="auto"/>
            <w:right w:val="none" w:sz="0" w:space="0" w:color="auto"/>
          </w:divBdr>
        </w:div>
        <w:div w:id="496270659">
          <w:marLeft w:val="0"/>
          <w:marRight w:val="0"/>
          <w:marTop w:val="0"/>
          <w:marBottom w:val="0"/>
          <w:divBdr>
            <w:top w:val="none" w:sz="0" w:space="0" w:color="auto"/>
            <w:left w:val="none" w:sz="0" w:space="0" w:color="auto"/>
            <w:bottom w:val="none" w:sz="0" w:space="0" w:color="auto"/>
            <w:right w:val="none" w:sz="0" w:space="0" w:color="auto"/>
          </w:divBdr>
        </w:div>
        <w:div w:id="517697152">
          <w:marLeft w:val="0"/>
          <w:marRight w:val="0"/>
          <w:marTop w:val="0"/>
          <w:marBottom w:val="0"/>
          <w:divBdr>
            <w:top w:val="none" w:sz="0" w:space="0" w:color="auto"/>
            <w:left w:val="none" w:sz="0" w:space="0" w:color="auto"/>
            <w:bottom w:val="none" w:sz="0" w:space="0" w:color="auto"/>
            <w:right w:val="none" w:sz="0" w:space="0" w:color="auto"/>
          </w:divBdr>
        </w:div>
        <w:div w:id="1440374897">
          <w:marLeft w:val="0"/>
          <w:marRight w:val="0"/>
          <w:marTop w:val="0"/>
          <w:marBottom w:val="0"/>
          <w:divBdr>
            <w:top w:val="none" w:sz="0" w:space="0" w:color="auto"/>
            <w:left w:val="none" w:sz="0" w:space="0" w:color="auto"/>
            <w:bottom w:val="none" w:sz="0" w:space="0" w:color="auto"/>
            <w:right w:val="none" w:sz="0" w:space="0" w:color="auto"/>
          </w:divBdr>
        </w:div>
        <w:div w:id="1573277475">
          <w:marLeft w:val="0"/>
          <w:marRight w:val="0"/>
          <w:marTop w:val="0"/>
          <w:marBottom w:val="0"/>
          <w:divBdr>
            <w:top w:val="none" w:sz="0" w:space="0" w:color="auto"/>
            <w:left w:val="none" w:sz="0" w:space="0" w:color="auto"/>
            <w:bottom w:val="none" w:sz="0" w:space="0" w:color="auto"/>
            <w:right w:val="none" w:sz="0" w:space="0" w:color="auto"/>
          </w:divBdr>
        </w:div>
        <w:div w:id="1832864077">
          <w:marLeft w:val="0"/>
          <w:marRight w:val="0"/>
          <w:marTop w:val="0"/>
          <w:marBottom w:val="0"/>
          <w:divBdr>
            <w:top w:val="none" w:sz="0" w:space="0" w:color="auto"/>
            <w:left w:val="none" w:sz="0" w:space="0" w:color="auto"/>
            <w:bottom w:val="none" w:sz="0" w:space="0" w:color="auto"/>
            <w:right w:val="none" w:sz="0" w:space="0" w:color="auto"/>
          </w:divBdr>
        </w:div>
      </w:divsChild>
    </w:div>
    <w:div w:id="1413964995">
      <w:bodyDiv w:val="1"/>
      <w:marLeft w:val="0"/>
      <w:marRight w:val="0"/>
      <w:marTop w:val="0"/>
      <w:marBottom w:val="0"/>
      <w:divBdr>
        <w:top w:val="none" w:sz="0" w:space="0" w:color="auto"/>
        <w:left w:val="none" w:sz="0" w:space="0" w:color="auto"/>
        <w:bottom w:val="none" w:sz="0" w:space="0" w:color="auto"/>
        <w:right w:val="none" w:sz="0" w:space="0" w:color="auto"/>
      </w:divBdr>
      <w:divsChild>
        <w:div w:id="466898711">
          <w:marLeft w:val="0"/>
          <w:marRight w:val="0"/>
          <w:marTop w:val="0"/>
          <w:marBottom w:val="0"/>
          <w:divBdr>
            <w:top w:val="none" w:sz="0" w:space="0" w:color="auto"/>
            <w:left w:val="none" w:sz="0" w:space="0" w:color="auto"/>
            <w:bottom w:val="none" w:sz="0" w:space="0" w:color="auto"/>
            <w:right w:val="none" w:sz="0" w:space="0" w:color="auto"/>
          </w:divBdr>
          <w:divsChild>
            <w:div w:id="140002229">
              <w:marLeft w:val="0"/>
              <w:marRight w:val="0"/>
              <w:marTop w:val="0"/>
              <w:marBottom w:val="0"/>
              <w:divBdr>
                <w:top w:val="none" w:sz="0" w:space="0" w:color="auto"/>
                <w:left w:val="none" w:sz="0" w:space="0" w:color="auto"/>
                <w:bottom w:val="none" w:sz="0" w:space="0" w:color="auto"/>
                <w:right w:val="none" w:sz="0" w:space="0" w:color="auto"/>
              </w:divBdr>
              <w:divsChild>
                <w:div w:id="188995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780961">
      <w:bodyDiv w:val="1"/>
      <w:marLeft w:val="0"/>
      <w:marRight w:val="0"/>
      <w:marTop w:val="0"/>
      <w:marBottom w:val="0"/>
      <w:divBdr>
        <w:top w:val="none" w:sz="0" w:space="0" w:color="auto"/>
        <w:left w:val="none" w:sz="0" w:space="0" w:color="auto"/>
        <w:bottom w:val="none" w:sz="0" w:space="0" w:color="auto"/>
        <w:right w:val="none" w:sz="0" w:space="0" w:color="auto"/>
      </w:divBdr>
      <w:divsChild>
        <w:div w:id="1374580065">
          <w:marLeft w:val="0"/>
          <w:marRight w:val="0"/>
          <w:marTop w:val="0"/>
          <w:marBottom w:val="0"/>
          <w:divBdr>
            <w:top w:val="none" w:sz="0" w:space="0" w:color="auto"/>
            <w:left w:val="none" w:sz="0" w:space="0" w:color="auto"/>
            <w:bottom w:val="none" w:sz="0" w:space="0" w:color="auto"/>
            <w:right w:val="none" w:sz="0" w:space="0" w:color="auto"/>
          </w:divBdr>
          <w:divsChild>
            <w:div w:id="1567718534">
              <w:marLeft w:val="0"/>
              <w:marRight w:val="0"/>
              <w:marTop w:val="0"/>
              <w:marBottom w:val="0"/>
              <w:divBdr>
                <w:top w:val="none" w:sz="0" w:space="0" w:color="auto"/>
                <w:left w:val="none" w:sz="0" w:space="0" w:color="auto"/>
                <w:bottom w:val="none" w:sz="0" w:space="0" w:color="auto"/>
                <w:right w:val="none" w:sz="0" w:space="0" w:color="auto"/>
              </w:divBdr>
              <w:divsChild>
                <w:div w:id="40180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14259">
      <w:bodyDiv w:val="1"/>
      <w:marLeft w:val="0"/>
      <w:marRight w:val="0"/>
      <w:marTop w:val="0"/>
      <w:marBottom w:val="0"/>
      <w:divBdr>
        <w:top w:val="none" w:sz="0" w:space="0" w:color="auto"/>
        <w:left w:val="none" w:sz="0" w:space="0" w:color="auto"/>
        <w:bottom w:val="none" w:sz="0" w:space="0" w:color="auto"/>
        <w:right w:val="none" w:sz="0" w:space="0" w:color="auto"/>
      </w:divBdr>
    </w:div>
    <w:div w:id="1536692135">
      <w:bodyDiv w:val="1"/>
      <w:marLeft w:val="0"/>
      <w:marRight w:val="0"/>
      <w:marTop w:val="0"/>
      <w:marBottom w:val="0"/>
      <w:divBdr>
        <w:top w:val="none" w:sz="0" w:space="0" w:color="auto"/>
        <w:left w:val="none" w:sz="0" w:space="0" w:color="auto"/>
        <w:bottom w:val="none" w:sz="0" w:space="0" w:color="auto"/>
        <w:right w:val="none" w:sz="0" w:space="0" w:color="auto"/>
      </w:divBdr>
    </w:div>
    <w:div w:id="1538465928">
      <w:bodyDiv w:val="1"/>
      <w:marLeft w:val="0"/>
      <w:marRight w:val="0"/>
      <w:marTop w:val="0"/>
      <w:marBottom w:val="0"/>
      <w:divBdr>
        <w:top w:val="none" w:sz="0" w:space="0" w:color="auto"/>
        <w:left w:val="none" w:sz="0" w:space="0" w:color="auto"/>
        <w:bottom w:val="none" w:sz="0" w:space="0" w:color="auto"/>
        <w:right w:val="none" w:sz="0" w:space="0" w:color="auto"/>
      </w:divBdr>
      <w:divsChild>
        <w:div w:id="11879945">
          <w:marLeft w:val="0"/>
          <w:marRight w:val="0"/>
          <w:marTop w:val="0"/>
          <w:marBottom w:val="0"/>
          <w:divBdr>
            <w:top w:val="none" w:sz="0" w:space="0" w:color="auto"/>
            <w:left w:val="none" w:sz="0" w:space="0" w:color="auto"/>
            <w:bottom w:val="none" w:sz="0" w:space="0" w:color="auto"/>
            <w:right w:val="none" w:sz="0" w:space="0" w:color="auto"/>
          </w:divBdr>
          <w:divsChild>
            <w:div w:id="799692909">
              <w:marLeft w:val="0"/>
              <w:marRight w:val="0"/>
              <w:marTop w:val="0"/>
              <w:marBottom w:val="0"/>
              <w:divBdr>
                <w:top w:val="none" w:sz="0" w:space="0" w:color="auto"/>
                <w:left w:val="none" w:sz="0" w:space="0" w:color="auto"/>
                <w:bottom w:val="none" w:sz="0" w:space="0" w:color="auto"/>
                <w:right w:val="none" w:sz="0" w:space="0" w:color="auto"/>
              </w:divBdr>
              <w:divsChild>
                <w:div w:id="162434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23487">
      <w:bodyDiv w:val="1"/>
      <w:marLeft w:val="0"/>
      <w:marRight w:val="0"/>
      <w:marTop w:val="0"/>
      <w:marBottom w:val="0"/>
      <w:divBdr>
        <w:top w:val="none" w:sz="0" w:space="0" w:color="auto"/>
        <w:left w:val="none" w:sz="0" w:space="0" w:color="auto"/>
        <w:bottom w:val="none" w:sz="0" w:space="0" w:color="auto"/>
        <w:right w:val="none" w:sz="0" w:space="0" w:color="auto"/>
      </w:divBdr>
    </w:div>
    <w:div w:id="1628659939">
      <w:bodyDiv w:val="1"/>
      <w:marLeft w:val="0"/>
      <w:marRight w:val="0"/>
      <w:marTop w:val="0"/>
      <w:marBottom w:val="0"/>
      <w:divBdr>
        <w:top w:val="none" w:sz="0" w:space="0" w:color="auto"/>
        <w:left w:val="none" w:sz="0" w:space="0" w:color="auto"/>
        <w:bottom w:val="none" w:sz="0" w:space="0" w:color="auto"/>
        <w:right w:val="none" w:sz="0" w:space="0" w:color="auto"/>
      </w:divBdr>
    </w:div>
    <w:div w:id="1645620855">
      <w:bodyDiv w:val="1"/>
      <w:marLeft w:val="0"/>
      <w:marRight w:val="0"/>
      <w:marTop w:val="0"/>
      <w:marBottom w:val="0"/>
      <w:divBdr>
        <w:top w:val="none" w:sz="0" w:space="0" w:color="auto"/>
        <w:left w:val="none" w:sz="0" w:space="0" w:color="auto"/>
        <w:bottom w:val="none" w:sz="0" w:space="0" w:color="auto"/>
        <w:right w:val="none" w:sz="0" w:space="0" w:color="auto"/>
      </w:divBdr>
    </w:div>
    <w:div w:id="1688480229">
      <w:bodyDiv w:val="1"/>
      <w:marLeft w:val="0"/>
      <w:marRight w:val="0"/>
      <w:marTop w:val="0"/>
      <w:marBottom w:val="0"/>
      <w:divBdr>
        <w:top w:val="none" w:sz="0" w:space="0" w:color="auto"/>
        <w:left w:val="none" w:sz="0" w:space="0" w:color="auto"/>
        <w:bottom w:val="none" w:sz="0" w:space="0" w:color="auto"/>
        <w:right w:val="none" w:sz="0" w:space="0" w:color="auto"/>
      </w:divBdr>
    </w:div>
    <w:div w:id="1720471244">
      <w:bodyDiv w:val="1"/>
      <w:marLeft w:val="0"/>
      <w:marRight w:val="0"/>
      <w:marTop w:val="0"/>
      <w:marBottom w:val="0"/>
      <w:divBdr>
        <w:top w:val="none" w:sz="0" w:space="0" w:color="auto"/>
        <w:left w:val="none" w:sz="0" w:space="0" w:color="auto"/>
        <w:bottom w:val="none" w:sz="0" w:space="0" w:color="auto"/>
        <w:right w:val="none" w:sz="0" w:space="0" w:color="auto"/>
      </w:divBdr>
    </w:div>
    <w:div w:id="1755205896">
      <w:bodyDiv w:val="1"/>
      <w:marLeft w:val="0"/>
      <w:marRight w:val="0"/>
      <w:marTop w:val="0"/>
      <w:marBottom w:val="0"/>
      <w:divBdr>
        <w:top w:val="none" w:sz="0" w:space="0" w:color="auto"/>
        <w:left w:val="none" w:sz="0" w:space="0" w:color="auto"/>
        <w:bottom w:val="none" w:sz="0" w:space="0" w:color="auto"/>
        <w:right w:val="none" w:sz="0" w:space="0" w:color="auto"/>
      </w:divBdr>
      <w:divsChild>
        <w:div w:id="1852179686">
          <w:marLeft w:val="0"/>
          <w:marRight w:val="0"/>
          <w:marTop w:val="0"/>
          <w:marBottom w:val="0"/>
          <w:divBdr>
            <w:top w:val="none" w:sz="0" w:space="0" w:color="auto"/>
            <w:left w:val="none" w:sz="0" w:space="0" w:color="auto"/>
            <w:bottom w:val="none" w:sz="0" w:space="0" w:color="auto"/>
            <w:right w:val="none" w:sz="0" w:space="0" w:color="auto"/>
          </w:divBdr>
          <w:divsChild>
            <w:div w:id="1207991818">
              <w:marLeft w:val="0"/>
              <w:marRight w:val="0"/>
              <w:marTop w:val="0"/>
              <w:marBottom w:val="0"/>
              <w:divBdr>
                <w:top w:val="none" w:sz="0" w:space="0" w:color="auto"/>
                <w:left w:val="none" w:sz="0" w:space="0" w:color="auto"/>
                <w:bottom w:val="none" w:sz="0" w:space="0" w:color="auto"/>
                <w:right w:val="none" w:sz="0" w:space="0" w:color="auto"/>
              </w:divBdr>
              <w:divsChild>
                <w:div w:id="167058923">
                  <w:marLeft w:val="0"/>
                  <w:marRight w:val="0"/>
                  <w:marTop w:val="0"/>
                  <w:marBottom w:val="0"/>
                  <w:divBdr>
                    <w:top w:val="none" w:sz="0" w:space="0" w:color="auto"/>
                    <w:left w:val="none" w:sz="0" w:space="0" w:color="auto"/>
                    <w:bottom w:val="none" w:sz="0" w:space="0" w:color="auto"/>
                    <w:right w:val="none" w:sz="0" w:space="0" w:color="auto"/>
                  </w:divBdr>
                  <w:divsChild>
                    <w:div w:id="571811289">
                      <w:marLeft w:val="0"/>
                      <w:marRight w:val="0"/>
                      <w:marTop w:val="0"/>
                      <w:marBottom w:val="0"/>
                      <w:divBdr>
                        <w:top w:val="none" w:sz="0" w:space="0" w:color="auto"/>
                        <w:left w:val="none" w:sz="0" w:space="0" w:color="auto"/>
                        <w:bottom w:val="none" w:sz="0" w:space="0" w:color="auto"/>
                        <w:right w:val="none" w:sz="0" w:space="0" w:color="auto"/>
                      </w:divBdr>
                      <w:divsChild>
                        <w:div w:id="1764497871">
                          <w:marLeft w:val="0"/>
                          <w:marRight w:val="0"/>
                          <w:marTop w:val="0"/>
                          <w:marBottom w:val="0"/>
                          <w:divBdr>
                            <w:top w:val="none" w:sz="0" w:space="0" w:color="auto"/>
                            <w:left w:val="none" w:sz="0" w:space="0" w:color="auto"/>
                            <w:bottom w:val="none" w:sz="0" w:space="0" w:color="auto"/>
                            <w:right w:val="none" w:sz="0" w:space="0" w:color="auto"/>
                          </w:divBdr>
                          <w:divsChild>
                            <w:div w:id="1232889309">
                              <w:marLeft w:val="2070"/>
                              <w:marRight w:val="3960"/>
                              <w:marTop w:val="0"/>
                              <w:marBottom w:val="0"/>
                              <w:divBdr>
                                <w:top w:val="none" w:sz="0" w:space="0" w:color="auto"/>
                                <w:left w:val="none" w:sz="0" w:space="0" w:color="auto"/>
                                <w:bottom w:val="none" w:sz="0" w:space="0" w:color="auto"/>
                                <w:right w:val="none" w:sz="0" w:space="0" w:color="auto"/>
                              </w:divBdr>
                              <w:divsChild>
                                <w:div w:id="1892770147">
                                  <w:marLeft w:val="0"/>
                                  <w:marRight w:val="0"/>
                                  <w:marTop w:val="0"/>
                                  <w:marBottom w:val="0"/>
                                  <w:divBdr>
                                    <w:top w:val="none" w:sz="0" w:space="0" w:color="auto"/>
                                    <w:left w:val="none" w:sz="0" w:space="0" w:color="auto"/>
                                    <w:bottom w:val="none" w:sz="0" w:space="0" w:color="auto"/>
                                    <w:right w:val="none" w:sz="0" w:space="0" w:color="auto"/>
                                  </w:divBdr>
                                  <w:divsChild>
                                    <w:div w:id="949820648">
                                      <w:marLeft w:val="0"/>
                                      <w:marRight w:val="0"/>
                                      <w:marTop w:val="0"/>
                                      <w:marBottom w:val="0"/>
                                      <w:divBdr>
                                        <w:top w:val="none" w:sz="0" w:space="0" w:color="auto"/>
                                        <w:left w:val="none" w:sz="0" w:space="0" w:color="auto"/>
                                        <w:bottom w:val="none" w:sz="0" w:space="0" w:color="auto"/>
                                        <w:right w:val="none" w:sz="0" w:space="0" w:color="auto"/>
                                      </w:divBdr>
                                      <w:divsChild>
                                        <w:div w:id="563182469">
                                          <w:marLeft w:val="0"/>
                                          <w:marRight w:val="0"/>
                                          <w:marTop w:val="0"/>
                                          <w:marBottom w:val="0"/>
                                          <w:divBdr>
                                            <w:top w:val="none" w:sz="0" w:space="0" w:color="auto"/>
                                            <w:left w:val="none" w:sz="0" w:space="0" w:color="auto"/>
                                            <w:bottom w:val="none" w:sz="0" w:space="0" w:color="auto"/>
                                            <w:right w:val="none" w:sz="0" w:space="0" w:color="auto"/>
                                          </w:divBdr>
                                          <w:divsChild>
                                            <w:div w:id="468517936">
                                              <w:marLeft w:val="0"/>
                                              <w:marRight w:val="0"/>
                                              <w:marTop w:val="90"/>
                                              <w:marBottom w:val="0"/>
                                              <w:divBdr>
                                                <w:top w:val="none" w:sz="0" w:space="0" w:color="auto"/>
                                                <w:left w:val="none" w:sz="0" w:space="0" w:color="auto"/>
                                                <w:bottom w:val="none" w:sz="0" w:space="0" w:color="auto"/>
                                                <w:right w:val="none" w:sz="0" w:space="0" w:color="auto"/>
                                              </w:divBdr>
                                              <w:divsChild>
                                                <w:div w:id="1800416046">
                                                  <w:marLeft w:val="0"/>
                                                  <w:marRight w:val="0"/>
                                                  <w:marTop w:val="0"/>
                                                  <w:marBottom w:val="0"/>
                                                  <w:divBdr>
                                                    <w:top w:val="none" w:sz="0" w:space="0" w:color="auto"/>
                                                    <w:left w:val="none" w:sz="0" w:space="0" w:color="auto"/>
                                                    <w:bottom w:val="none" w:sz="0" w:space="0" w:color="auto"/>
                                                    <w:right w:val="none" w:sz="0" w:space="0" w:color="auto"/>
                                                  </w:divBdr>
                                                  <w:divsChild>
                                                    <w:div w:id="578364421">
                                                      <w:marLeft w:val="0"/>
                                                      <w:marRight w:val="0"/>
                                                      <w:marTop w:val="0"/>
                                                      <w:marBottom w:val="405"/>
                                                      <w:divBdr>
                                                        <w:top w:val="none" w:sz="0" w:space="0" w:color="auto"/>
                                                        <w:left w:val="none" w:sz="0" w:space="0" w:color="auto"/>
                                                        <w:bottom w:val="none" w:sz="0" w:space="0" w:color="auto"/>
                                                        <w:right w:val="none" w:sz="0" w:space="0" w:color="auto"/>
                                                      </w:divBdr>
                                                      <w:divsChild>
                                                        <w:div w:id="715006212">
                                                          <w:marLeft w:val="0"/>
                                                          <w:marRight w:val="0"/>
                                                          <w:marTop w:val="0"/>
                                                          <w:marBottom w:val="0"/>
                                                          <w:divBdr>
                                                            <w:top w:val="none" w:sz="0" w:space="0" w:color="auto"/>
                                                            <w:left w:val="none" w:sz="0" w:space="0" w:color="auto"/>
                                                            <w:bottom w:val="none" w:sz="0" w:space="0" w:color="auto"/>
                                                            <w:right w:val="none" w:sz="0" w:space="0" w:color="auto"/>
                                                          </w:divBdr>
                                                          <w:divsChild>
                                                            <w:div w:id="2022464950">
                                                              <w:marLeft w:val="0"/>
                                                              <w:marRight w:val="0"/>
                                                              <w:marTop w:val="0"/>
                                                              <w:marBottom w:val="0"/>
                                                              <w:divBdr>
                                                                <w:top w:val="none" w:sz="0" w:space="0" w:color="auto"/>
                                                                <w:left w:val="none" w:sz="0" w:space="0" w:color="auto"/>
                                                                <w:bottom w:val="none" w:sz="0" w:space="0" w:color="auto"/>
                                                                <w:right w:val="none" w:sz="0" w:space="0" w:color="auto"/>
                                                              </w:divBdr>
                                                              <w:divsChild>
                                                                <w:div w:id="614291916">
                                                                  <w:marLeft w:val="0"/>
                                                                  <w:marRight w:val="0"/>
                                                                  <w:marTop w:val="0"/>
                                                                  <w:marBottom w:val="0"/>
                                                                  <w:divBdr>
                                                                    <w:top w:val="none" w:sz="0" w:space="0" w:color="auto"/>
                                                                    <w:left w:val="none" w:sz="0" w:space="0" w:color="auto"/>
                                                                    <w:bottom w:val="none" w:sz="0" w:space="0" w:color="auto"/>
                                                                    <w:right w:val="none" w:sz="0" w:space="0" w:color="auto"/>
                                                                  </w:divBdr>
                                                                  <w:divsChild>
                                                                    <w:div w:id="135542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25658699">
      <w:bodyDiv w:val="1"/>
      <w:marLeft w:val="0"/>
      <w:marRight w:val="0"/>
      <w:marTop w:val="0"/>
      <w:marBottom w:val="0"/>
      <w:divBdr>
        <w:top w:val="none" w:sz="0" w:space="0" w:color="auto"/>
        <w:left w:val="none" w:sz="0" w:space="0" w:color="auto"/>
        <w:bottom w:val="none" w:sz="0" w:space="0" w:color="auto"/>
        <w:right w:val="none" w:sz="0" w:space="0" w:color="auto"/>
      </w:divBdr>
    </w:div>
    <w:div w:id="1883129830">
      <w:bodyDiv w:val="1"/>
      <w:marLeft w:val="0"/>
      <w:marRight w:val="0"/>
      <w:marTop w:val="0"/>
      <w:marBottom w:val="0"/>
      <w:divBdr>
        <w:top w:val="none" w:sz="0" w:space="0" w:color="auto"/>
        <w:left w:val="none" w:sz="0" w:space="0" w:color="auto"/>
        <w:bottom w:val="none" w:sz="0" w:space="0" w:color="auto"/>
        <w:right w:val="none" w:sz="0" w:space="0" w:color="auto"/>
      </w:divBdr>
    </w:div>
    <w:div w:id="1922638711">
      <w:bodyDiv w:val="1"/>
      <w:marLeft w:val="0"/>
      <w:marRight w:val="0"/>
      <w:marTop w:val="0"/>
      <w:marBottom w:val="0"/>
      <w:divBdr>
        <w:top w:val="none" w:sz="0" w:space="0" w:color="auto"/>
        <w:left w:val="none" w:sz="0" w:space="0" w:color="auto"/>
        <w:bottom w:val="none" w:sz="0" w:space="0" w:color="auto"/>
        <w:right w:val="none" w:sz="0" w:space="0" w:color="auto"/>
      </w:divBdr>
    </w:div>
    <w:div w:id="1931111900">
      <w:bodyDiv w:val="1"/>
      <w:marLeft w:val="0"/>
      <w:marRight w:val="0"/>
      <w:marTop w:val="0"/>
      <w:marBottom w:val="0"/>
      <w:divBdr>
        <w:top w:val="none" w:sz="0" w:space="0" w:color="auto"/>
        <w:left w:val="none" w:sz="0" w:space="0" w:color="auto"/>
        <w:bottom w:val="none" w:sz="0" w:space="0" w:color="auto"/>
        <w:right w:val="none" w:sz="0" w:space="0" w:color="auto"/>
      </w:divBdr>
      <w:divsChild>
        <w:div w:id="174345725">
          <w:marLeft w:val="0"/>
          <w:marRight w:val="0"/>
          <w:marTop w:val="0"/>
          <w:marBottom w:val="0"/>
          <w:divBdr>
            <w:top w:val="none" w:sz="0" w:space="0" w:color="auto"/>
            <w:left w:val="none" w:sz="0" w:space="0" w:color="auto"/>
            <w:bottom w:val="none" w:sz="0" w:space="0" w:color="auto"/>
            <w:right w:val="none" w:sz="0" w:space="0" w:color="auto"/>
          </w:divBdr>
          <w:divsChild>
            <w:div w:id="823741209">
              <w:marLeft w:val="0"/>
              <w:marRight w:val="0"/>
              <w:marTop w:val="0"/>
              <w:marBottom w:val="0"/>
              <w:divBdr>
                <w:top w:val="none" w:sz="0" w:space="0" w:color="auto"/>
                <w:left w:val="none" w:sz="0" w:space="0" w:color="auto"/>
                <w:bottom w:val="none" w:sz="0" w:space="0" w:color="auto"/>
                <w:right w:val="none" w:sz="0" w:space="0" w:color="auto"/>
              </w:divBdr>
              <w:divsChild>
                <w:div w:id="10596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28497">
      <w:bodyDiv w:val="1"/>
      <w:marLeft w:val="0"/>
      <w:marRight w:val="0"/>
      <w:marTop w:val="0"/>
      <w:marBottom w:val="0"/>
      <w:divBdr>
        <w:top w:val="none" w:sz="0" w:space="0" w:color="auto"/>
        <w:left w:val="none" w:sz="0" w:space="0" w:color="auto"/>
        <w:bottom w:val="none" w:sz="0" w:space="0" w:color="auto"/>
        <w:right w:val="none" w:sz="0" w:space="0" w:color="auto"/>
      </w:divBdr>
    </w:div>
    <w:div w:id="2045865736">
      <w:bodyDiv w:val="1"/>
      <w:marLeft w:val="0"/>
      <w:marRight w:val="0"/>
      <w:marTop w:val="0"/>
      <w:marBottom w:val="0"/>
      <w:divBdr>
        <w:top w:val="none" w:sz="0" w:space="0" w:color="auto"/>
        <w:left w:val="none" w:sz="0" w:space="0" w:color="auto"/>
        <w:bottom w:val="none" w:sz="0" w:space="0" w:color="auto"/>
        <w:right w:val="none" w:sz="0" w:space="0" w:color="auto"/>
      </w:divBdr>
    </w:div>
    <w:div w:id="2074768105">
      <w:bodyDiv w:val="1"/>
      <w:marLeft w:val="0"/>
      <w:marRight w:val="0"/>
      <w:marTop w:val="0"/>
      <w:marBottom w:val="0"/>
      <w:divBdr>
        <w:top w:val="none" w:sz="0" w:space="0" w:color="auto"/>
        <w:left w:val="none" w:sz="0" w:space="0" w:color="auto"/>
        <w:bottom w:val="none" w:sz="0" w:space="0" w:color="auto"/>
        <w:right w:val="none" w:sz="0" w:space="0" w:color="auto"/>
      </w:divBdr>
      <w:divsChild>
        <w:div w:id="519516884">
          <w:marLeft w:val="0"/>
          <w:marRight w:val="0"/>
          <w:marTop w:val="0"/>
          <w:marBottom w:val="0"/>
          <w:divBdr>
            <w:top w:val="none" w:sz="0" w:space="0" w:color="auto"/>
            <w:left w:val="none" w:sz="0" w:space="0" w:color="auto"/>
            <w:bottom w:val="none" w:sz="0" w:space="0" w:color="auto"/>
            <w:right w:val="none" w:sz="0" w:space="0" w:color="auto"/>
          </w:divBdr>
          <w:divsChild>
            <w:div w:id="54252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50808">
      <w:bodyDiv w:val="1"/>
      <w:marLeft w:val="0"/>
      <w:marRight w:val="0"/>
      <w:marTop w:val="0"/>
      <w:marBottom w:val="0"/>
      <w:divBdr>
        <w:top w:val="none" w:sz="0" w:space="0" w:color="auto"/>
        <w:left w:val="none" w:sz="0" w:space="0" w:color="auto"/>
        <w:bottom w:val="none" w:sz="0" w:space="0" w:color="auto"/>
        <w:right w:val="none" w:sz="0" w:space="0" w:color="auto"/>
      </w:divBdr>
    </w:div>
    <w:div w:id="2115242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91"/>
</w:webSettings>
</file>

<file path=word/_rels/document.xml.rels><?xml version="1.0" encoding="UTF-8" standalone="yes"?>
<Relationships xmlns="http://schemas.openxmlformats.org/package/2006/relationships"><Relationship Id="rId13" Type="http://schemas.openxmlformats.org/officeDocument/2006/relationships/hyperlink" Target="#_Appendix_1_&#8211;"/><Relationship Id="rId18" Type="http://schemas.openxmlformats.org/officeDocument/2006/relationships/hyperlink" Target="#_1_Using_this"/><Relationship Id="rId26" Type="http://schemas.openxmlformats.org/officeDocument/2006/relationships/image" Target="media/image6.png"/><Relationship Id="rId39" Type="http://schemas.openxmlformats.org/officeDocument/2006/relationships/hyperlink" Target="https://achris.vic.gov.au/weave/wca.html" TargetMode="Externa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hyperlink" Target="https://www.planning.vic.gov.au/guides-and-resources/guides/guide-to-victorias-planning-system" TargetMode="External"/><Relationship Id="rId42" Type="http://schemas.openxmlformats.org/officeDocument/2006/relationships/image" Target="media/image14.png"/><Relationship Id="rId47" Type="http://schemas.openxmlformats.org/officeDocument/2006/relationships/header" Target="header1.xml"/><Relationship Id="rId50" Type="http://schemas.openxmlformats.org/officeDocument/2006/relationships/footer" Target="foot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svg"/><Relationship Id="rId25" Type="http://schemas.openxmlformats.org/officeDocument/2006/relationships/image" Target="media/image5.png"/><Relationship Id="rId33" Type="http://schemas.openxmlformats.org/officeDocument/2006/relationships/hyperlink" Target="https://www.planning.vic.gov.au/guides-and-resources/guides/guide-to-victorias-planning-system" TargetMode="External"/><Relationship Id="rId38" Type="http://schemas.openxmlformats.org/officeDocument/2006/relationships/image" Target="media/image12.png"/><Relationship Id="rId46" Type="http://schemas.openxmlformats.org/officeDocument/2006/relationships/hyperlink" Target="mailto:planning.systems@delwp.vic.gov.au"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_4_Rules_for"/><Relationship Id="rId29" Type="http://schemas.openxmlformats.org/officeDocument/2006/relationships/image" Target="media/image9.png"/><Relationship Id="rId41" Type="http://schemas.openxmlformats.org/officeDocument/2006/relationships/hyperlink" Target="https://www.planning.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hyperlink" Target="https://www.planning.vic.gov.au/guides-and-resources/guides/guide-to-victorias-planning-system" TargetMode="External"/><Relationship Id="rId37" Type="http://schemas.openxmlformats.org/officeDocument/2006/relationships/hyperlink" Target="https://maps.land.vic.gov.au/lassi/VicnamesUI.jsp" TargetMode="External"/><Relationship Id="rId40" Type="http://schemas.openxmlformats.org/officeDocument/2006/relationships/image" Target="media/image13.png"/><Relationship Id="rId45" Type="http://schemas.openxmlformats.org/officeDocument/2006/relationships/hyperlink" Target="http://creativecommons.org/licenses/by/4.0/" TargetMode="External"/><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_5_Choosing_and"/><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https://www.land.vic.gov.au/place-naming/understand-the-naming-process/the-naming-rules" TargetMode="External"/><Relationship Id="rId49"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hyperlink" Target="#_2_The_VPP"/><Relationship Id="rId31" Type="http://schemas.openxmlformats.org/officeDocument/2006/relationships/image" Target="media/image11.png"/><Relationship Id="rId44" Type="http://schemas.openxmlformats.org/officeDocument/2006/relationships/image" Target="media/image16.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_6_How_to&#8230;"/><Relationship Id="rId22" Type="http://schemas.openxmlformats.org/officeDocument/2006/relationships/footer" Target="footer2.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maps.land.vic.gov.au/lassi/VicnamesUI.jsp" TargetMode="External"/><Relationship Id="rId43" Type="http://schemas.openxmlformats.org/officeDocument/2006/relationships/image" Target="media/image15.png"/><Relationship Id="rId48" Type="http://schemas.openxmlformats.org/officeDocument/2006/relationships/header" Target="header2.xml"/><Relationship Id="rId8" Type="http://schemas.openxmlformats.org/officeDocument/2006/relationships/styles" Target="styles.xml"/><Relationship Id="rId51" Type="http://schemas.openxmlformats.org/officeDocument/2006/relationships/footer" Target="footer5.xml"/></Relationships>
</file>

<file path=word/theme/theme1.xml><?xml version="1.0" encoding="utf-8"?>
<a:theme xmlns:a="http://schemas.openxmlformats.org/drawingml/2006/main" name="Office Theme">
  <a:themeElements>
    <a:clrScheme name="DELWP Planning">
      <a:dk1>
        <a:sysClr val="windowText" lastClr="000000"/>
      </a:dk1>
      <a:lt1>
        <a:sysClr val="window" lastClr="FFFFFF"/>
      </a:lt1>
      <a:dk2>
        <a:srgbClr val="00828D"/>
      </a:dk2>
      <a:lt2>
        <a:srgbClr val="FFFFFF"/>
      </a:lt2>
      <a:accent1>
        <a:srgbClr val="00828D"/>
      </a:accent1>
      <a:accent2>
        <a:srgbClr val="D9ECEA"/>
      </a:accent2>
      <a:accent3>
        <a:srgbClr val="000000"/>
      </a:accent3>
      <a:accent4>
        <a:srgbClr val="000000"/>
      </a:accent4>
      <a:accent5>
        <a:srgbClr val="000000"/>
      </a:accent5>
      <a:accent6>
        <a:srgbClr val="000000"/>
      </a:accent6>
      <a:hlink>
        <a:srgbClr val="0072CE"/>
      </a:hlink>
      <a:folHlink>
        <a:srgbClr val="87189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mso-contentType ?>
<SharedContentType xmlns="Microsoft.SharePoint.Taxonomy.ContentTypeSync" SourceId="797aeec6-0273-40f2-ab3e-beee73212332" ContentTypeId="0x0101" PreviousValue="fals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44AE49B90340AF44A07AA5C348D70C22" ma:contentTypeVersion="23" ma:contentTypeDescription="Create a new document." ma:contentTypeScope="" ma:versionID="0e13a1c3cce8def95ca69b202dc241e8">
  <xsd:schema xmlns:xsd="http://www.w3.org/2001/XMLSchema" xmlns:xs="http://www.w3.org/2001/XMLSchema" xmlns:p="http://schemas.microsoft.com/office/2006/metadata/properties" xmlns:ns2="a5f32de4-e402-4188-b034-e71ca7d22e54" xmlns:ns3="dcba8cd8-4ab0-4252-839b-82aa47f9fc8a" xmlns:ns4="9fd47c19-1c4a-4d7d-b342-c10cef269344" xmlns:ns5="6fb2e63c-2bd9-440f-a689-992b6b9291d9" targetNamespace="http://schemas.microsoft.com/office/2006/metadata/properties" ma:root="true" ma:fieldsID="ae7a205d9bdc84381d65b4714913b76e" ns2:_="" ns3:_="" ns4:_="" ns5:_="">
    <xsd:import namespace="a5f32de4-e402-4188-b034-e71ca7d22e54"/>
    <xsd:import namespace="dcba8cd8-4ab0-4252-839b-82aa47f9fc8a"/>
    <xsd:import namespace="9fd47c19-1c4a-4d7d-b342-c10cef269344"/>
    <xsd:import namespace="6fb2e63c-2bd9-440f-a689-992b6b9291d9"/>
    <xsd:element name="properties">
      <xsd:complexType>
        <xsd:sequence>
          <xsd:element name="documentManagement">
            <xsd:complexType>
              <xsd:all>
                <xsd:element ref="ns2:_dlc_DocId" minOccurs="0"/>
                <xsd:element ref="ns2:_dlc_DocIdUrl" minOccurs="0"/>
                <xsd:element ref="ns2:_dlc_DocIdPersistId" minOccurs="0"/>
                <xsd:element ref="ns3:ied385936e7646da9ee9cb5c9a681f3c" minOccurs="0"/>
                <xsd:element ref="ns3:m612677ec3164b4f8c858819e2ed5121" minOccurs="0"/>
                <xsd:element ref="ns4:TaxCatchAll" minOccurs="0"/>
                <xsd:element ref="ns3:MediaServiceMetadata" minOccurs="0"/>
                <xsd:element ref="ns3:MediaServiceFastMetadata" minOccurs="0"/>
                <xsd:element ref="ns3:MediaServiceAutoKeyPoints" minOccurs="0"/>
                <xsd:element ref="ns3:MediaServiceKeyPoints" minOccurs="0"/>
                <xsd:element ref="ns5:SharedWithUsers" minOccurs="0"/>
                <xsd:element ref="ns5:SharedWithDetail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3:MediaServiceDateTaken" minOccurs="0"/>
                <xsd:element ref="ns3:MediaServiceObjectDetectorVersion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cba8cd8-4ab0-4252-839b-82aa47f9fc8a" elementFormDefault="qualified">
    <xsd:import namespace="http://schemas.microsoft.com/office/2006/documentManagement/types"/>
    <xsd:import namespace="http://schemas.microsoft.com/office/infopath/2007/PartnerControls"/>
    <xsd:element name="ied385936e7646da9ee9cb5c9a681f3c" ma:index="12" nillable="true" ma:taxonomy="true" ma:internalName="ied385936e7646da9ee9cb5c9a681f3c" ma:taxonomyFieldName="Records_x0020_Purpose" ma:displayName="Records Purpose" ma:default="1;#Minor / routine projects|61f94139-eaaa-400f-b6db-76a98071b4b1" ma:fieldId="{2ed38593-6e76-46da-9ee9-cb5c9a681f3c}" ma:sspId="797aeec6-0273-40f2-ab3e-beee73212332" ma:termSetId="bcf5a239-fe11-49e0-8a78-d51fb720f0dd" ma:anchorId="d9c211bb-4a81-4cc6-9764-6af3d4c88160" ma:open="false" ma:isKeyword="false">
      <xsd:complexType>
        <xsd:sequence>
          <xsd:element ref="pc:Terms" minOccurs="0" maxOccurs="1"/>
        </xsd:sequence>
      </xsd:complexType>
    </xsd:element>
    <xsd:element name="m612677ec3164b4f8c858819e2ed5121" ma:index="13" nillable="true" ma:taxonomy="true" ma:internalName="m612677ec3164b4f8c858819e2ed5121" ma:taxonomyFieldName="Records_x0020_Classification" ma:displayName="Records Classification" ma:default="" ma:fieldId="{6612677e-c316-4b4f-8c85-8819e2ed5121}" ma:sspId="797aeec6-0273-40f2-ab3e-beee73212332" ma:termSetId="4258747f-0974-48f0-ac10-46f208a52cd4" ma:anchorId="00000000-0000-0000-0000-000000000000" ma:open="false" ma:isKeyword="false">
      <xsd:complexType>
        <xsd:sequence>
          <xsd:element ref="pc:Terms" minOccurs="0" maxOccurs="1"/>
        </xsd:sequence>
      </xsd:complex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28" nillable="true" ma:displayName="MediaServiceDateTaken" ma:hidden="true" ma:internalName="MediaServiceDateTaken" ma:readOnly="true">
      <xsd:simpleType>
        <xsd:restriction base="dms:Text"/>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Location" ma:index="30" nillable="true" ma:displayName="Location" ma:indexed="true" ma:internalName="MediaServiceLocation"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bf9ae72-0e53-4fc1-bc15-05fee3a41671}" ma:internalName="TaxCatchAll" ma:showField="CatchAllData" ma:web="6fb2e63c-2bd9-440f-a689-992b6b9291d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b2e63c-2bd9-440f-a689-992b6b9291d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ied385936e7646da9ee9cb5c9a681f3c xmlns="dcba8cd8-4ab0-4252-839b-82aa47f9fc8a">
      <Terms xmlns="http://schemas.microsoft.com/office/infopath/2007/PartnerControls">
        <TermInfo xmlns="http://schemas.microsoft.com/office/infopath/2007/PartnerControls">
          <TermName xmlns="http://schemas.microsoft.com/office/infopath/2007/PartnerControls">Minor / routine projects</TermName>
          <TermId xmlns="http://schemas.microsoft.com/office/infopath/2007/PartnerControls">61f94139-eaaa-400f-b6db-76a98071b4b1</TermId>
        </TermInfo>
      </Terms>
    </ied385936e7646da9ee9cb5c9a681f3c>
    <m612677ec3164b4f8c858819e2ed5121 xmlns="dcba8cd8-4ab0-4252-839b-82aa47f9fc8a">
      <Terms xmlns="http://schemas.microsoft.com/office/infopath/2007/PartnerControls"/>
    </m612677ec3164b4f8c858819e2ed5121>
    <SharedWithUsers xmlns="6fb2e63c-2bd9-440f-a689-992b6b9291d9">
      <UserInfo>
        <DisplayName>Jenny Dzomba (DEECA)</DisplayName>
        <AccountId>21</AccountId>
        <AccountType/>
      </UserInfo>
      <UserInfo>
        <DisplayName>Daniela Cala (DEECA)</DisplayName>
        <AccountId>31</AccountId>
        <AccountType/>
      </UserInfo>
    </SharedWithUsers>
    <lcf76f155ced4ddcb4097134ff3c332f xmlns="dcba8cd8-4ab0-4252-839b-82aa47f9fc8a">
      <Terms xmlns="http://schemas.microsoft.com/office/infopath/2007/PartnerControls"/>
    </lcf76f155ced4ddcb4097134ff3c332f>
    <TaxCatchAll xmlns="9fd47c19-1c4a-4d7d-b342-c10cef269344">
      <Value>1</Value>
    </TaxCatchAll>
  </documentManagement>
</p:properties>
</file>

<file path=customXml/itemProps1.xml><?xml version="1.0" encoding="utf-8"?>
<ds:datastoreItem xmlns:ds="http://schemas.openxmlformats.org/officeDocument/2006/customXml" ds:itemID="{F91439E9-061F-4677-A56B-F07E6179D255}">
  <ds:schemaRefs>
    <ds:schemaRef ds:uri="http://schemas.microsoft.com/sharepoint/v3/contenttype/forms"/>
  </ds:schemaRefs>
</ds:datastoreItem>
</file>

<file path=customXml/itemProps2.xml><?xml version="1.0" encoding="utf-8"?>
<ds:datastoreItem xmlns:ds="http://schemas.openxmlformats.org/officeDocument/2006/customXml" ds:itemID="{3FB65DEF-02EC-4585-96DF-230848F2F144}">
  <ds:schemaRefs>
    <ds:schemaRef ds:uri="http://schemas.microsoft.com/sharepoint/events"/>
  </ds:schemaRefs>
</ds:datastoreItem>
</file>

<file path=customXml/itemProps3.xml><?xml version="1.0" encoding="utf-8"?>
<ds:datastoreItem xmlns:ds="http://schemas.openxmlformats.org/officeDocument/2006/customXml" ds:itemID="{CE4216E9-58A8-49EE-AA88-3D91A28B1A3D}">
  <ds:schemaRefs>
    <ds:schemaRef ds:uri="Microsoft.SharePoint.Taxonomy.ContentTypeSync"/>
  </ds:schemaRefs>
</ds:datastoreItem>
</file>

<file path=customXml/itemProps4.xml><?xml version="1.0" encoding="utf-8"?>
<ds:datastoreItem xmlns:ds="http://schemas.openxmlformats.org/officeDocument/2006/customXml" ds:itemID="{4AD67312-1E85-6F49-83E8-3B32074FF8E8}">
  <ds:schemaRefs>
    <ds:schemaRef ds:uri="http://schemas.openxmlformats.org/officeDocument/2006/bibliography"/>
  </ds:schemaRefs>
</ds:datastoreItem>
</file>

<file path=customXml/itemProps5.xml><?xml version="1.0" encoding="utf-8"?>
<ds:datastoreItem xmlns:ds="http://schemas.openxmlformats.org/officeDocument/2006/customXml" ds:itemID="{41EF9B60-D782-4677-B05F-F19B2D9869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dcba8cd8-4ab0-4252-839b-82aa47f9fc8a"/>
    <ds:schemaRef ds:uri="9fd47c19-1c4a-4d7d-b342-c10cef269344"/>
    <ds:schemaRef ds:uri="6fb2e63c-2bd9-440f-a689-992b6b9291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63D5173-0645-4B8E-B6B2-55881AD377F1}">
  <ds:schemaRefs>
    <ds:schemaRef ds:uri="http://schemas.openxmlformats.org/package/2006/metadata/core-properties"/>
    <ds:schemaRef ds:uri="http://purl.org/dc/terms/"/>
    <ds:schemaRef ds:uri="http://schemas.microsoft.com/office/infopath/2007/PartnerControls"/>
    <ds:schemaRef ds:uri="http://purl.org/dc/dcmitype/"/>
    <ds:schemaRef ds:uri="6fb2e63c-2bd9-440f-a689-992b6b9291d9"/>
    <ds:schemaRef ds:uri="http://purl.org/dc/elements/1.1/"/>
    <ds:schemaRef ds:uri="http://schemas.microsoft.com/office/2006/metadata/properties"/>
    <ds:schemaRef ds:uri="http://schemas.microsoft.com/office/2006/documentManagement/types"/>
    <ds:schemaRef ds:uri="9fd47c19-1c4a-4d7d-b342-c10cef269344"/>
    <ds:schemaRef ds:uri="dcba8cd8-4ab0-4252-839b-82aa47f9fc8a"/>
    <ds:schemaRef ds:uri="a5f32de4-e402-4188-b034-e71ca7d22e54"/>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139</Pages>
  <Words>44716</Words>
  <Characters>246998</Characters>
  <Application>Microsoft Office Word</Application>
  <DocSecurity>0</DocSecurity>
  <Lines>4490</Lines>
  <Paragraphs>2514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2024-02-02T03:35:00Z</dcterms:created>
  <dcterms:modified xsi:type="dcterms:W3CDTF">2024-03-13T22:31:00Z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19,1a,2f,30,31,33</vt:lpwstr>
  </property>
  <property fmtid="{D5CDD505-2E9C-101B-9397-08002B2CF9AE}" pid="3" name="ClassificationContentMarkingFooterFontProps">
    <vt:lpwstr>#000000,12,Calibri</vt:lpwstr>
  </property>
  <property fmtid="{D5CDD505-2E9C-101B-9397-08002B2CF9AE}" pid="4" name="ClassificationContentMarkingFooterText">
    <vt:lpwstr>OFFICIAL</vt:lpwstr>
  </property>
  <property fmtid="{D5CDD505-2E9C-101B-9397-08002B2CF9AE}" pid="5" name="MSIP_Label_4257e2ab-f512-40e2-9c9a-c64247360765_Enabled">
    <vt:lpwstr>true</vt:lpwstr>
  </property>
  <property fmtid="{D5CDD505-2E9C-101B-9397-08002B2CF9AE}" pid="6" name="MSIP_Label_4257e2ab-f512-40e2-9c9a-c64247360765_SetDate">
    <vt:lpwstr>2024-02-02T03:36:04Z</vt:lpwstr>
  </property>
  <property fmtid="{D5CDD505-2E9C-101B-9397-08002B2CF9AE}" pid="7" name="MSIP_Label_4257e2ab-f512-40e2-9c9a-c64247360765_Method">
    <vt:lpwstr>Privileged</vt:lpwstr>
  </property>
  <property fmtid="{D5CDD505-2E9C-101B-9397-08002B2CF9AE}" pid="8" name="MSIP_Label_4257e2ab-f512-40e2-9c9a-c64247360765_Name">
    <vt:lpwstr>OFFICIAL</vt:lpwstr>
  </property>
  <property fmtid="{D5CDD505-2E9C-101B-9397-08002B2CF9AE}" pid="9" name="MSIP_Label_4257e2ab-f512-40e2-9c9a-c64247360765_SiteId">
    <vt:lpwstr>e8bdd6f7-fc18-4e48-a554-7f547927223b</vt:lpwstr>
  </property>
  <property fmtid="{D5CDD505-2E9C-101B-9397-08002B2CF9AE}" pid="10" name="MSIP_Label_4257e2ab-f512-40e2-9c9a-c64247360765_ActionId">
    <vt:lpwstr>30a1a190-0c52-4cad-903b-2d2a5bec2c5a</vt:lpwstr>
  </property>
  <property fmtid="{D5CDD505-2E9C-101B-9397-08002B2CF9AE}" pid="11" name="MSIP_Label_4257e2ab-f512-40e2-9c9a-c64247360765_ContentBits">
    <vt:lpwstr>2</vt:lpwstr>
  </property>
  <property fmtid="{D5CDD505-2E9C-101B-9397-08002B2CF9AE}" pid="12" name="MediaServiceImageTags">
    <vt:lpwstr/>
  </property>
  <property fmtid="{D5CDD505-2E9C-101B-9397-08002B2CF9AE}" pid="13" name="ContentTypeId">
    <vt:lpwstr>0x01010044AE49B90340AF44A07AA5C348D70C22</vt:lpwstr>
  </property>
  <property fmtid="{D5CDD505-2E9C-101B-9397-08002B2CF9AE}" pid="14" name="Records Classification">
    <vt:lpwstr/>
  </property>
  <property fmtid="{D5CDD505-2E9C-101B-9397-08002B2CF9AE}" pid="15" name="Records Purpose">
    <vt:lpwstr>1;#Minor / routine projects|61f94139-eaaa-400f-b6db-76a98071b4b1</vt:lpwstr>
  </property>
</Properties>
</file>