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3D" w:rsidRDefault="0097543D" w:rsidP="00717740">
      <w:pPr>
        <w:pStyle w:val="Heading2"/>
      </w:pPr>
    </w:p>
    <w:p w:rsidR="0097543D" w:rsidRDefault="0097543D" w:rsidP="00717740">
      <w:pPr>
        <w:pStyle w:val="Heading2"/>
      </w:pPr>
    </w:p>
    <w:p w:rsidR="00764FE4" w:rsidRPr="0097543D" w:rsidRDefault="00764FE4" w:rsidP="00717740">
      <w:pPr>
        <w:pStyle w:val="Heading2"/>
        <w:rPr>
          <w:caps/>
        </w:rPr>
      </w:pPr>
      <w:r w:rsidRPr="0097543D">
        <w:t xml:space="preserve">Circulation of </w:t>
      </w:r>
      <w:r w:rsidR="0097543D">
        <w:t>e</w:t>
      </w:r>
      <w:r w:rsidRPr="0097543D">
        <w:t xml:space="preserve">xpert </w:t>
      </w:r>
      <w:r w:rsidR="0097543D">
        <w:t>r</w:t>
      </w:r>
      <w:r w:rsidRPr="0097543D">
        <w:t>eports</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 xml:space="preserve">Expert witness reports must be submitted five working days prior to the commencement of the Hearing, or another date directed by the Panel.  An earlier date will be specified for more complex reports. </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Parties must identify at the Directions Hearing, the evidence (if any) they will be calling at the Public Hearing.</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Copies of witnesses’ reports or statements must be circulated in accordance with Directions made at the Directions Hearing.  If no specific directions are made, six copies of their reports or statements must be given to the Panel Coordinator at least five working days before the Hearing.  Copies will be given to the Panel and to other parties as directed.  Other people may obtain electronic copies by contacting the Panel Co-ordinator at Planning Pa</w:t>
      </w:r>
      <w:r w:rsidR="00977AA9">
        <w:rPr>
          <w:rFonts w:asciiTheme="minorHAnsi" w:hAnsiTheme="minorHAnsi" w:cstheme="minorHAnsi"/>
          <w:sz w:val="22"/>
          <w:szCs w:val="22"/>
        </w:rPr>
        <w:t xml:space="preserve">nels Victoria (PPV) on 8392 </w:t>
      </w:r>
      <w:r w:rsidR="003125D7">
        <w:rPr>
          <w:rFonts w:asciiTheme="minorHAnsi" w:hAnsiTheme="minorHAnsi" w:cstheme="minorHAnsi"/>
          <w:sz w:val="22"/>
          <w:szCs w:val="22"/>
        </w:rPr>
        <w:t>5115</w:t>
      </w:r>
      <w:r w:rsidRPr="00764FE4">
        <w:rPr>
          <w:rFonts w:asciiTheme="minorHAnsi" w:hAnsiTheme="minorHAnsi" w:cstheme="minorHAnsi"/>
          <w:sz w:val="22"/>
          <w:szCs w:val="22"/>
        </w:rPr>
        <w:t>.</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A soft copy of reports should be provided as follows:</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bookmarkStart w:id="0" w:name="_Toc215290585"/>
      <w:r w:rsidRPr="00764FE4">
        <w:rPr>
          <w:rFonts w:asciiTheme="minorHAnsi" w:hAnsiTheme="minorHAnsi" w:cstheme="minorHAnsi"/>
          <w:sz w:val="22"/>
          <w:szCs w:val="22"/>
        </w:rPr>
        <w:t>as an unlocked ‘pdf’ or Microsoft Word format to PPV; and</w:t>
      </w:r>
      <w:bookmarkEnd w:id="0"/>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as a ‘pdf’ to the Planning Authority suitable for uploading in its website.</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Before the Hearing, copies of witnesses’ reports or statements will normally be available for perusal by submitters at the offices of</w:t>
      </w:r>
      <w:r w:rsidR="00977AA9">
        <w:rPr>
          <w:rFonts w:asciiTheme="minorHAnsi" w:hAnsiTheme="minorHAnsi" w:cstheme="minorHAnsi"/>
          <w:sz w:val="22"/>
          <w:szCs w:val="22"/>
        </w:rPr>
        <w:t xml:space="preserve"> the Planning Authority and PPV</w:t>
      </w:r>
      <w:r w:rsidRPr="00764FE4">
        <w:rPr>
          <w:rFonts w:asciiTheme="minorHAnsi" w:hAnsiTheme="minorHAnsi" w:cstheme="minorHAnsi"/>
          <w:sz w:val="22"/>
          <w:szCs w:val="22"/>
        </w:rPr>
        <w:t>.</w:t>
      </w:r>
    </w:p>
    <w:p w:rsidR="00764FE4" w:rsidRPr="0097543D" w:rsidRDefault="00764FE4" w:rsidP="00717740">
      <w:pPr>
        <w:pStyle w:val="Heading2"/>
        <w:rPr>
          <w:caps/>
        </w:rPr>
      </w:pPr>
      <w:r w:rsidRPr="0097543D">
        <w:t xml:space="preserve">Expert's </w:t>
      </w:r>
      <w:r w:rsidR="0097543D">
        <w:t>d</w:t>
      </w:r>
      <w:r w:rsidRPr="0097543D">
        <w:t xml:space="preserve">uty to the Panel </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 xml:space="preserve">An expert witness has a paramount duty to the Panel and not to the party retaining the expert. </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 xml:space="preserve">An expert witness has an overriding duty to assist the Panel on matters relevant to the expert's expertise. </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 xml:space="preserve">An expert witness is not an advocate for a party to a proceeding. </w:t>
      </w:r>
    </w:p>
    <w:p w:rsidR="00764FE4" w:rsidRPr="0097543D" w:rsidRDefault="0097543D" w:rsidP="00717740">
      <w:pPr>
        <w:pStyle w:val="Heading2"/>
        <w:rPr>
          <w:caps/>
        </w:rPr>
      </w:pPr>
      <w:r>
        <w:t>Content and form of e</w:t>
      </w:r>
      <w:r w:rsidR="00764FE4" w:rsidRPr="0097543D">
        <w:t xml:space="preserve">xpert's </w:t>
      </w:r>
      <w:r>
        <w:t>r</w:t>
      </w:r>
      <w:r w:rsidR="00764FE4" w:rsidRPr="0097543D">
        <w:t xml:space="preserve">eport </w:t>
      </w:r>
    </w:p>
    <w:p w:rsidR="00764FE4" w:rsidRPr="00764FE4" w:rsidRDefault="00764FE4" w:rsidP="00764FE4">
      <w:pPr>
        <w:pStyle w:val="Normalnum"/>
        <w:spacing w:before="0" w:after="120"/>
        <w:rPr>
          <w:rFonts w:asciiTheme="minorHAnsi" w:hAnsiTheme="minorHAnsi" w:cstheme="minorHAnsi"/>
          <w:sz w:val="22"/>
          <w:szCs w:val="22"/>
        </w:rPr>
      </w:pPr>
      <w:r w:rsidRPr="00764FE4">
        <w:rPr>
          <w:rFonts w:asciiTheme="minorHAnsi" w:hAnsiTheme="minorHAnsi" w:cstheme="minorHAnsi"/>
          <w:sz w:val="22"/>
          <w:szCs w:val="22"/>
        </w:rPr>
        <w:t>The re</w:t>
      </w:r>
      <w:r w:rsidR="00A41773">
        <w:rPr>
          <w:rFonts w:asciiTheme="minorHAnsi" w:hAnsiTheme="minorHAnsi" w:cstheme="minorHAnsi"/>
          <w:sz w:val="22"/>
          <w:szCs w:val="22"/>
        </w:rPr>
        <w:t>port of an expert must include</w:t>
      </w:r>
      <w:r w:rsidRPr="00764FE4">
        <w:rPr>
          <w:rFonts w:asciiTheme="minorHAnsi" w:hAnsiTheme="minorHAnsi" w:cstheme="minorHAnsi"/>
          <w:sz w:val="22"/>
          <w:szCs w:val="22"/>
        </w:rPr>
        <w:t>:</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the</w:t>
      </w:r>
      <w:r w:rsidR="00A41773">
        <w:rPr>
          <w:rFonts w:asciiTheme="minorHAnsi" w:hAnsiTheme="minorHAnsi" w:cstheme="minorHAnsi"/>
          <w:sz w:val="22"/>
          <w:szCs w:val="22"/>
        </w:rPr>
        <w:t xml:space="preserve"> name and address of the expert</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the expert'</w:t>
      </w:r>
      <w:r w:rsidR="00A41773">
        <w:rPr>
          <w:rFonts w:asciiTheme="minorHAnsi" w:hAnsiTheme="minorHAnsi" w:cstheme="minorHAnsi"/>
          <w:sz w:val="22"/>
          <w:szCs w:val="22"/>
        </w:rPr>
        <w:t>s qualifications and experience</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 xml:space="preserve">a statement identifying the expert's area </w:t>
      </w:r>
      <w:r w:rsidR="00A41773">
        <w:rPr>
          <w:rFonts w:asciiTheme="minorHAnsi" w:hAnsiTheme="minorHAnsi" w:cstheme="minorHAnsi"/>
          <w:sz w:val="22"/>
          <w:szCs w:val="22"/>
        </w:rPr>
        <w:t>of expertise to make the report</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a statement identifying any other significant contributors to the report and where nece</w:t>
      </w:r>
      <w:r w:rsidR="00A41773">
        <w:rPr>
          <w:rFonts w:asciiTheme="minorHAnsi" w:hAnsiTheme="minorHAnsi" w:cstheme="minorHAnsi"/>
          <w:sz w:val="22"/>
          <w:szCs w:val="22"/>
        </w:rPr>
        <w:t>ssary outlining their expertise</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 xml:space="preserve">all instructions that define the scope of the report (original and supplementary and </w:t>
      </w:r>
      <w:r w:rsidR="00A41773">
        <w:rPr>
          <w:rFonts w:asciiTheme="minorHAnsi" w:hAnsiTheme="minorHAnsi" w:cstheme="minorHAnsi"/>
          <w:sz w:val="22"/>
          <w:szCs w:val="22"/>
        </w:rPr>
        <w:t>whether in writing or oral)</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the identity of the person who carried out any tests or experiments upon which the expert has relied on and the qualifications of that person.</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Where an expert has prepared a report that has been used to inform the preparation of an amendment or proposal, the expert should not provide a revised version of that report. The expert should provide a brief report that includes:</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lastRenderedPageBreak/>
        <w:t>an unambiguous reference to the report, or repo</w:t>
      </w:r>
      <w:r w:rsidR="00A41773">
        <w:rPr>
          <w:rFonts w:asciiTheme="minorHAnsi" w:hAnsiTheme="minorHAnsi" w:cstheme="minorHAnsi"/>
          <w:sz w:val="22"/>
          <w:szCs w:val="22"/>
        </w:rPr>
        <w:t>rts that the expert relies upon</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a statement identifying the role that the expert had in preparing or ove</w:t>
      </w:r>
      <w:r w:rsidR="00A41773">
        <w:rPr>
          <w:rFonts w:asciiTheme="minorHAnsi" w:hAnsiTheme="minorHAnsi" w:cstheme="minorHAnsi"/>
          <w:sz w:val="22"/>
          <w:szCs w:val="22"/>
        </w:rPr>
        <w:t>rseeing the exhibited report(s)</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 xml:space="preserve">a statement to the effect that the expert adopts the </w:t>
      </w:r>
      <w:r w:rsidR="00A41773">
        <w:rPr>
          <w:rFonts w:asciiTheme="minorHAnsi" w:hAnsiTheme="minorHAnsi" w:cstheme="minorHAnsi"/>
          <w:sz w:val="22"/>
          <w:szCs w:val="22"/>
        </w:rPr>
        <w:t xml:space="preserve">exhibited report and </w:t>
      </w:r>
      <w:r w:rsidRPr="00764FE4">
        <w:rPr>
          <w:rFonts w:asciiTheme="minorHAnsi" w:hAnsiTheme="minorHAnsi" w:cstheme="minorHAnsi"/>
          <w:sz w:val="22"/>
          <w:szCs w:val="22"/>
        </w:rPr>
        <w:t>identifying:</w:t>
      </w:r>
    </w:p>
    <w:p w:rsidR="00A41773" w:rsidRPr="00A41773" w:rsidRDefault="00764FE4" w:rsidP="00A41773">
      <w:pPr>
        <w:pStyle w:val="Normalnumbul"/>
        <w:numPr>
          <w:ilvl w:val="0"/>
          <w:numId w:val="46"/>
        </w:numPr>
        <w:spacing w:after="120" w:line="240" w:lineRule="auto"/>
        <w:ind w:left="1418" w:hanging="425"/>
        <w:jc w:val="left"/>
        <w:rPr>
          <w:rFonts w:asciiTheme="minorHAnsi" w:hAnsiTheme="minorHAnsi" w:cstheme="minorHAnsi"/>
          <w:sz w:val="22"/>
          <w:szCs w:val="22"/>
        </w:rPr>
      </w:pPr>
      <w:r w:rsidRPr="00764FE4">
        <w:rPr>
          <w:rFonts w:asciiTheme="minorHAnsi" w:hAnsiTheme="minorHAnsi" w:cstheme="minorHAnsi"/>
          <w:sz w:val="22"/>
          <w:szCs w:val="22"/>
        </w:rPr>
        <w:t>any departure of the expert from the finding or opinions ex</w:t>
      </w:r>
      <w:r w:rsidR="00A41773">
        <w:rPr>
          <w:rFonts w:asciiTheme="minorHAnsi" w:hAnsiTheme="minorHAnsi" w:cstheme="minorHAnsi"/>
          <w:sz w:val="22"/>
          <w:szCs w:val="22"/>
        </w:rPr>
        <w:t>pressed in the exhibited report</w:t>
      </w:r>
    </w:p>
    <w:p w:rsidR="00764FE4" w:rsidRPr="00764FE4" w:rsidRDefault="00764FE4" w:rsidP="00764FE4">
      <w:pPr>
        <w:pStyle w:val="Normalnumbul"/>
        <w:numPr>
          <w:ilvl w:val="0"/>
          <w:numId w:val="46"/>
        </w:numPr>
        <w:tabs>
          <w:tab w:val="num" w:pos="1418"/>
        </w:tabs>
        <w:spacing w:after="120" w:line="240" w:lineRule="auto"/>
        <w:ind w:left="1418" w:hanging="425"/>
        <w:jc w:val="left"/>
        <w:rPr>
          <w:rFonts w:asciiTheme="minorHAnsi" w:hAnsiTheme="minorHAnsi" w:cstheme="minorHAnsi"/>
          <w:sz w:val="22"/>
          <w:szCs w:val="22"/>
        </w:rPr>
      </w:pPr>
      <w:r w:rsidRPr="00764FE4">
        <w:rPr>
          <w:rFonts w:asciiTheme="minorHAnsi" w:hAnsiTheme="minorHAnsi" w:cstheme="minorHAnsi"/>
          <w:sz w:val="22"/>
          <w:szCs w:val="22"/>
        </w:rPr>
        <w:t>any questions falling</w:t>
      </w:r>
      <w:r w:rsidR="00A41773">
        <w:rPr>
          <w:rFonts w:asciiTheme="minorHAnsi" w:hAnsiTheme="minorHAnsi" w:cstheme="minorHAnsi"/>
          <w:sz w:val="22"/>
          <w:szCs w:val="22"/>
        </w:rPr>
        <w:t xml:space="preserve"> outside the expert's expertise</w:t>
      </w:r>
    </w:p>
    <w:p w:rsidR="00764FE4" w:rsidRPr="00764FE4" w:rsidRDefault="00764FE4" w:rsidP="00764FE4">
      <w:pPr>
        <w:pStyle w:val="Normalnumbul"/>
        <w:numPr>
          <w:ilvl w:val="0"/>
          <w:numId w:val="46"/>
        </w:numPr>
        <w:tabs>
          <w:tab w:val="num" w:pos="1418"/>
        </w:tabs>
        <w:spacing w:after="120" w:line="240" w:lineRule="auto"/>
        <w:ind w:left="1418" w:hanging="425"/>
        <w:jc w:val="left"/>
        <w:rPr>
          <w:rFonts w:asciiTheme="minorHAnsi" w:hAnsiTheme="minorHAnsi" w:cstheme="minorHAnsi"/>
          <w:sz w:val="22"/>
          <w:szCs w:val="22"/>
        </w:rPr>
      </w:pPr>
      <w:r w:rsidRPr="00764FE4">
        <w:rPr>
          <w:rFonts w:asciiTheme="minorHAnsi" w:hAnsiTheme="minorHAnsi" w:cstheme="minorHAnsi"/>
          <w:sz w:val="22"/>
          <w:szCs w:val="22"/>
        </w:rPr>
        <w:t>any key assumptions ma</w:t>
      </w:r>
      <w:r w:rsidR="00A41773">
        <w:rPr>
          <w:rFonts w:asciiTheme="minorHAnsi" w:hAnsiTheme="minorHAnsi" w:cstheme="minorHAnsi"/>
          <w:sz w:val="22"/>
          <w:szCs w:val="22"/>
        </w:rPr>
        <w:t>de in preparing the report</w:t>
      </w:r>
    </w:p>
    <w:p w:rsidR="00764FE4" w:rsidRPr="00764FE4" w:rsidRDefault="00764FE4" w:rsidP="00764FE4">
      <w:pPr>
        <w:pStyle w:val="Normalnumbul"/>
        <w:numPr>
          <w:ilvl w:val="0"/>
          <w:numId w:val="46"/>
        </w:numPr>
        <w:tabs>
          <w:tab w:val="num" w:pos="1418"/>
        </w:tabs>
        <w:spacing w:after="120" w:line="240" w:lineRule="auto"/>
        <w:ind w:left="1418" w:hanging="425"/>
        <w:jc w:val="left"/>
        <w:rPr>
          <w:rFonts w:asciiTheme="minorHAnsi" w:hAnsiTheme="minorHAnsi" w:cstheme="minorHAnsi"/>
          <w:sz w:val="22"/>
          <w:szCs w:val="22"/>
        </w:rPr>
      </w:pPr>
      <w:r w:rsidRPr="00764FE4">
        <w:rPr>
          <w:rFonts w:asciiTheme="minorHAnsi" w:hAnsiTheme="minorHAnsi" w:cstheme="minorHAnsi"/>
          <w:sz w:val="22"/>
          <w:szCs w:val="22"/>
        </w:rPr>
        <w:t>whether the exhibited report is incomplete or inaccurate in any respect.</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Where a report has not been used to prepare an amendment or proposal, the report should include:</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the facts, matters and all assumptions</w:t>
      </w:r>
      <w:r w:rsidR="00A41773">
        <w:rPr>
          <w:rFonts w:asciiTheme="minorHAnsi" w:hAnsiTheme="minorHAnsi" w:cstheme="minorHAnsi"/>
          <w:sz w:val="22"/>
          <w:szCs w:val="22"/>
        </w:rPr>
        <w:t xml:space="preserve"> upon which the report proceeds</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reference to those documents and other materials the expert has been instructed to consider or take into account in preparing his or her report, and the literature or other mat</w:t>
      </w:r>
      <w:r w:rsidR="00A41773">
        <w:rPr>
          <w:rFonts w:asciiTheme="minorHAnsi" w:hAnsiTheme="minorHAnsi" w:cstheme="minorHAnsi"/>
          <w:sz w:val="22"/>
          <w:szCs w:val="22"/>
        </w:rPr>
        <w:t>erial used in making the report</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a summary of the op</w:t>
      </w:r>
      <w:r w:rsidR="00A41773">
        <w:rPr>
          <w:rFonts w:asciiTheme="minorHAnsi" w:hAnsiTheme="minorHAnsi" w:cstheme="minorHAnsi"/>
          <w:sz w:val="22"/>
          <w:szCs w:val="22"/>
        </w:rPr>
        <w:t>inion or opinions of the expert</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 xml:space="preserve">a statement identifying any provisional opinions that are not fully researched for any reason (identifying the reason why such opinions have not been or </w:t>
      </w:r>
      <w:r w:rsidR="00A41773">
        <w:rPr>
          <w:rFonts w:asciiTheme="minorHAnsi" w:hAnsiTheme="minorHAnsi" w:cstheme="minorHAnsi"/>
          <w:sz w:val="22"/>
          <w:szCs w:val="22"/>
        </w:rPr>
        <w:t>cannot be fully researched)</w:t>
      </w:r>
    </w:p>
    <w:p w:rsidR="00764FE4" w:rsidRPr="00764FE4" w:rsidRDefault="00764FE4" w:rsidP="00764FE4">
      <w:pPr>
        <w:pStyle w:val="Bulletts"/>
        <w:numPr>
          <w:ilvl w:val="0"/>
          <w:numId w:val="44"/>
        </w:numPr>
        <w:spacing w:after="120"/>
        <w:ind w:left="714" w:hanging="357"/>
        <w:rPr>
          <w:rFonts w:asciiTheme="minorHAnsi" w:hAnsiTheme="minorHAnsi" w:cstheme="minorHAnsi"/>
          <w:sz w:val="22"/>
          <w:szCs w:val="22"/>
        </w:rPr>
      </w:pPr>
      <w:r w:rsidRPr="00764FE4">
        <w:rPr>
          <w:rFonts w:asciiTheme="minorHAnsi" w:hAnsiTheme="minorHAnsi" w:cstheme="minorHAnsi"/>
          <w:sz w:val="22"/>
          <w:szCs w:val="22"/>
        </w:rPr>
        <w:t>a statement setting out:</w:t>
      </w:r>
    </w:p>
    <w:p w:rsidR="00764FE4" w:rsidRPr="00764FE4" w:rsidRDefault="00764FE4" w:rsidP="00764FE4">
      <w:pPr>
        <w:pStyle w:val="Normalnumbul"/>
        <w:numPr>
          <w:ilvl w:val="0"/>
          <w:numId w:val="46"/>
        </w:numPr>
        <w:tabs>
          <w:tab w:val="num" w:pos="1418"/>
        </w:tabs>
        <w:spacing w:after="120" w:line="240" w:lineRule="auto"/>
        <w:ind w:left="1418" w:hanging="425"/>
        <w:jc w:val="left"/>
        <w:rPr>
          <w:rFonts w:asciiTheme="minorHAnsi" w:hAnsiTheme="minorHAnsi" w:cstheme="minorHAnsi"/>
          <w:sz w:val="22"/>
          <w:szCs w:val="22"/>
        </w:rPr>
      </w:pPr>
      <w:r w:rsidRPr="00764FE4">
        <w:rPr>
          <w:rFonts w:asciiTheme="minorHAnsi" w:hAnsiTheme="minorHAnsi" w:cstheme="minorHAnsi"/>
          <w:sz w:val="22"/>
          <w:szCs w:val="22"/>
        </w:rPr>
        <w:t>any questions falling out</w:t>
      </w:r>
      <w:r w:rsidR="00A41773">
        <w:rPr>
          <w:rFonts w:asciiTheme="minorHAnsi" w:hAnsiTheme="minorHAnsi" w:cstheme="minorHAnsi"/>
          <w:sz w:val="22"/>
          <w:szCs w:val="22"/>
        </w:rPr>
        <w:t>side the expert's expertise</w:t>
      </w:r>
    </w:p>
    <w:p w:rsidR="00764FE4" w:rsidRPr="00764FE4" w:rsidRDefault="00764FE4" w:rsidP="00764FE4">
      <w:pPr>
        <w:pStyle w:val="Normalnumbul"/>
        <w:numPr>
          <w:ilvl w:val="0"/>
          <w:numId w:val="46"/>
        </w:numPr>
        <w:tabs>
          <w:tab w:val="num" w:pos="1418"/>
        </w:tabs>
        <w:spacing w:after="120" w:line="240" w:lineRule="auto"/>
        <w:ind w:left="1418" w:hanging="425"/>
        <w:jc w:val="left"/>
        <w:rPr>
          <w:rFonts w:asciiTheme="minorHAnsi" w:hAnsiTheme="minorHAnsi" w:cstheme="minorHAnsi"/>
          <w:sz w:val="22"/>
          <w:szCs w:val="22"/>
        </w:rPr>
      </w:pPr>
      <w:r w:rsidRPr="00764FE4">
        <w:rPr>
          <w:rFonts w:asciiTheme="minorHAnsi" w:hAnsiTheme="minorHAnsi" w:cstheme="minorHAnsi"/>
          <w:sz w:val="22"/>
          <w:szCs w:val="22"/>
        </w:rPr>
        <w:t>whether the report is incomplete or inaccurate in any respect.</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The expert must declare at the end of the report:</w:t>
      </w:r>
    </w:p>
    <w:p w:rsidR="00764FE4" w:rsidRPr="00764FE4" w:rsidRDefault="00764FE4" w:rsidP="00764FE4">
      <w:pPr>
        <w:pStyle w:val="Normalnum2"/>
        <w:spacing w:after="120"/>
        <w:ind w:left="0" w:firstLine="0"/>
        <w:rPr>
          <w:rFonts w:asciiTheme="minorHAnsi" w:hAnsiTheme="minorHAnsi" w:cstheme="minorHAnsi"/>
          <w:i/>
          <w:sz w:val="22"/>
          <w:szCs w:val="22"/>
        </w:rPr>
      </w:pPr>
      <w:r w:rsidRPr="00764FE4">
        <w:rPr>
          <w:rFonts w:asciiTheme="minorHAnsi" w:hAnsiTheme="minorHAnsi" w:cstheme="minorHAnsi"/>
          <w:i/>
          <w:sz w:val="22"/>
          <w:szCs w:val="22"/>
        </w:rPr>
        <w:t>‘I have made all the inquiries that I believe are desirable and appropriate and no matters of significance which I regard as relevant have to my knowledge been withheld from the Panel.’</w:t>
      </w:r>
    </w:p>
    <w:p w:rsidR="00764FE4" w:rsidRPr="0097543D" w:rsidRDefault="00764FE4" w:rsidP="00717740">
      <w:pPr>
        <w:pStyle w:val="Heading2"/>
        <w:rPr>
          <w:caps/>
        </w:rPr>
      </w:pPr>
      <w:r w:rsidRPr="0097543D">
        <w:t xml:space="preserve">Privacy </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 xml:space="preserve">Expert witnesses need to be aware of their obligations under the </w:t>
      </w:r>
      <w:r w:rsidRPr="00764FE4">
        <w:rPr>
          <w:rFonts w:asciiTheme="minorHAnsi" w:hAnsiTheme="minorHAnsi" w:cstheme="minorHAnsi"/>
          <w:i/>
          <w:sz w:val="22"/>
          <w:szCs w:val="22"/>
        </w:rPr>
        <w:t>Information Privacy Act</w:t>
      </w:r>
      <w:r w:rsidRPr="00977AA9">
        <w:rPr>
          <w:rFonts w:asciiTheme="minorHAnsi" w:hAnsiTheme="minorHAnsi" w:cstheme="minorHAnsi"/>
          <w:i/>
          <w:sz w:val="22"/>
          <w:szCs w:val="22"/>
        </w:rPr>
        <w:t xml:space="preserve"> 2000</w:t>
      </w:r>
      <w:r w:rsidRPr="00764FE4">
        <w:rPr>
          <w:rFonts w:asciiTheme="minorHAnsi" w:hAnsiTheme="minorHAnsi" w:cstheme="minorHAnsi"/>
          <w:sz w:val="22"/>
          <w:szCs w:val="22"/>
        </w:rPr>
        <w:t xml:space="preserve">.  Particularly when using personal information contained in submissions they have received as a third party. </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 xml:space="preserve">Copies of witnesses’ reports are usually posted on the Planning Authorities website.  Where possible, the report of an expert should not refer to any individual submitter by name and if necessary, submitters should be referred to by submission number. </w:t>
      </w:r>
    </w:p>
    <w:p w:rsidR="00764FE4" w:rsidRPr="00764FE4" w:rsidRDefault="00764FE4" w:rsidP="00764FE4">
      <w:pPr>
        <w:spacing w:after="120"/>
        <w:jc w:val="both"/>
        <w:rPr>
          <w:rFonts w:asciiTheme="minorHAnsi" w:hAnsiTheme="minorHAnsi" w:cstheme="minorHAnsi"/>
          <w:b/>
          <w:szCs w:val="22"/>
        </w:rPr>
      </w:pPr>
      <w:r w:rsidRPr="00764FE4">
        <w:rPr>
          <w:rFonts w:asciiTheme="minorHAnsi" w:hAnsiTheme="minorHAnsi" w:cstheme="minorHAnsi"/>
          <w:szCs w:val="22"/>
        </w:rPr>
        <w:t xml:space="preserve">For more information on Privacy refer to the separate PPV </w:t>
      </w:r>
      <w:r w:rsidRPr="00764FE4">
        <w:rPr>
          <w:rFonts w:asciiTheme="minorHAnsi" w:hAnsiTheme="minorHAnsi" w:cstheme="minorHAnsi"/>
          <w:b/>
          <w:szCs w:val="22"/>
        </w:rPr>
        <w:t xml:space="preserve">Guide to Privacy at Planning Panels Victoria.  </w:t>
      </w:r>
    </w:p>
    <w:p w:rsidR="00764FE4" w:rsidRPr="0097543D" w:rsidRDefault="00764FE4" w:rsidP="00717740">
      <w:pPr>
        <w:pStyle w:val="Heading2"/>
        <w:rPr>
          <w:caps/>
        </w:rPr>
      </w:pPr>
      <w:r w:rsidRPr="0097543D">
        <w:t xml:space="preserve">Where the expert changes his or her opinion on a material matter </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An expert witness who changes an opinion on a material matter on the basis of another expert's report or for any other reason must communicate that change of opinion in writing to the party retaining the expert and that party must file with the Panel, notice of such change of opinion as soon as practicable.</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 xml:space="preserve">Such a document must specify reasons why his or her opinion has changed. </w:t>
      </w:r>
    </w:p>
    <w:p w:rsidR="00764FE4" w:rsidRPr="0097543D" w:rsidRDefault="00764FE4" w:rsidP="00717740">
      <w:pPr>
        <w:pStyle w:val="Heading2"/>
        <w:rPr>
          <w:caps/>
        </w:rPr>
      </w:pPr>
      <w:r w:rsidRPr="0097543D">
        <w:lastRenderedPageBreak/>
        <w:t xml:space="preserve">Where the Panel </w:t>
      </w:r>
      <w:r w:rsidRPr="00717740">
        <w:t>directs</w:t>
      </w:r>
      <w:r w:rsidRPr="0097543D">
        <w:t xml:space="preserve"> expert witnesses to meet </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 xml:space="preserve">Expert witnesses retained by parties are encouraged to meet to narrow any points of difference between them and to identify any remaining points of difference.  The Panel may also direct that they meet.  </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 xml:space="preserve">If expert witnesses meet they must each set out in writing by a document filed with the Panel any agreed points and all remaining points of difference. </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 xml:space="preserve">If any expert witness directed by the Panel to meet with any other expert is instructed not to reach agreement in respect of points of difference, the fact of such instructions must be reported in writing to the Panel by the expert witness. </w:t>
      </w:r>
    </w:p>
    <w:p w:rsidR="00764FE4" w:rsidRPr="0097543D" w:rsidRDefault="00764FE4" w:rsidP="00717740">
      <w:pPr>
        <w:pStyle w:val="Heading2"/>
        <w:rPr>
          <w:caps/>
        </w:rPr>
      </w:pPr>
      <w:r w:rsidRPr="0097543D">
        <w:t xml:space="preserve">Generally </w:t>
      </w:r>
    </w:p>
    <w:p w:rsidR="00764FE4" w:rsidRPr="00764FE4" w:rsidRDefault="00764FE4" w:rsidP="00764FE4">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 xml:space="preserve">Parties to a proceeding must ensure that any expert retained by them to provide a report for use in the proceeding is aware of the contents of this direction, at the time of such retainer. </w:t>
      </w:r>
    </w:p>
    <w:p w:rsidR="00764FE4" w:rsidRPr="0097543D" w:rsidRDefault="0097543D" w:rsidP="00717740">
      <w:pPr>
        <w:pStyle w:val="Heading2"/>
        <w:rPr>
          <w:caps/>
        </w:rPr>
      </w:pPr>
      <w:r>
        <w:t>Form of r</w:t>
      </w:r>
      <w:r w:rsidR="00764FE4" w:rsidRPr="0097543D">
        <w:t>eport</w:t>
      </w:r>
    </w:p>
    <w:p w:rsidR="00764FE4" w:rsidRPr="00764FE4" w:rsidRDefault="00764FE4" w:rsidP="00764FE4">
      <w:pPr>
        <w:pStyle w:val="Normalnum"/>
        <w:spacing w:before="0" w:after="120"/>
        <w:rPr>
          <w:rFonts w:asciiTheme="minorHAnsi" w:hAnsiTheme="minorHAnsi" w:cstheme="minorHAnsi"/>
          <w:sz w:val="22"/>
          <w:szCs w:val="22"/>
        </w:rPr>
      </w:pPr>
      <w:r w:rsidRPr="00764FE4">
        <w:rPr>
          <w:rFonts w:asciiTheme="minorHAnsi" w:hAnsiTheme="minorHAnsi" w:cstheme="minorHAnsi"/>
          <w:sz w:val="22"/>
          <w:szCs w:val="22"/>
        </w:rPr>
        <w:t xml:space="preserve">Written material presented at the Hearing should be </w:t>
      </w:r>
      <w:r w:rsidR="00A41773">
        <w:rPr>
          <w:rFonts w:asciiTheme="minorHAnsi" w:hAnsiTheme="minorHAnsi" w:cstheme="minorHAnsi"/>
          <w:sz w:val="22"/>
          <w:szCs w:val="22"/>
        </w:rPr>
        <w:t>two-hole punched and stapled (not bound).</w:t>
      </w:r>
    </w:p>
    <w:p w:rsidR="00764FE4" w:rsidRPr="00764FE4" w:rsidRDefault="00764FE4" w:rsidP="00A41773">
      <w:pPr>
        <w:pStyle w:val="Normalnum"/>
        <w:spacing w:before="0" w:after="120"/>
        <w:ind w:left="0" w:firstLine="0"/>
        <w:rPr>
          <w:rFonts w:asciiTheme="minorHAnsi" w:hAnsiTheme="minorHAnsi" w:cstheme="minorHAnsi"/>
          <w:sz w:val="22"/>
          <w:szCs w:val="22"/>
        </w:rPr>
      </w:pPr>
      <w:r w:rsidRPr="00764FE4">
        <w:rPr>
          <w:rFonts w:asciiTheme="minorHAnsi" w:hAnsiTheme="minorHAnsi" w:cstheme="minorHAnsi"/>
          <w:sz w:val="22"/>
          <w:szCs w:val="22"/>
        </w:rPr>
        <w:t>Photographs or other visual material should be presented in binders in A4 or A3 format, not on large boards. This makes the material easier to transport and file.</w:t>
      </w:r>
    </w:p>
    <w:p w:rsidR="00764FE4" w:rsidRPr="0097543D" w:rsidRDefault="0097543D" w:rsidP="00717740">
      <w:pPr>
        <w:pStyle w:val="Heading2"/>
        <w:rPr>
          <w:caps/>
        </w:rPr>
      </w:pPr>
      <w:r>
        <w:t>Further i</w:t>
      </w:r>
      <w:r w:rsidR="00764FE4" w:rsidRPr="0097543D">
        <w:t xml:space="preserve">nformation </w:t>
      </w:r>
    </w:p>
    <w:p w:rsidR="00764FE4" w:rsidRPr="00764FE4" w:rsidRDefault="00764FE4" w:rsidP="00764FE4">
      <w:pPr>
        <w:spacing w:after="120"/>
        <w:jc w:val="both"/>
        <w:rPr>
          <w:rFonts w:asciiTheme="minorHAnsi" w:hAnsiTheme="minorHAnsi" w:cstheme="minorHAnsi"/>
          <w:szCs w:val="22"/>
        </w:rPr>
      </w:pPr>
      <w:r w:rsidRPr="00764FE4">
        <w:rPr>
          <w:rFonts w:asciiTheme="minorHAnsi" w:hAnsiTheme="minorHAnsi" w:cstheme="minorHAnsi"/>
          <w:szCs w:val="22"/>
        </w:rPr>
        <w:t xml:space="preserve">Further information about Planning Panels Victoria can be found </w:t>
      </w:r>
      <w:r w:rsidR="00B80E67">
        <w:rPr>
          <w:rFonts w:asciiTheme="minorHAnsi" w:hAnsiTheme="minorHAnsi" w:cstheme="minorHAnsi"/>
          <w:szCs w:val="22"/>
        </w:rPr>
        <w:t>at</w:t>
      </w:r>
      <w:bookmarkStart w:id="1" w:name="_GoBack"/>
      <w:bookmarkEnd w:id="1"/>
      <w:r w:rsidRPr="00764FE4">
        <w:rPr>
          <w:rFonts w:asciiTheme="minorHAnsi" w:hAnsiTheme="minorHAnsi" w:cstheme="minorHAnsi"/>
          <w:szCs w:val="22"/>
        </w:rPr>
        <w:t xml:space="preserve">: </w:t>
      </w:r>
    </w:p>
    <w:p w:rsidR="00764FE4" w:rsidRDefault="002B125B" w:rsidP="00717740">
      <w:pPr>
        <w:pStyle w:val="Bulletts"/>
        <w:numPr>
          <w:ilvl w:val="0"/>
          <w:numId w:val="0"/>
        </w:numPr>
        <w:spacing w:after="120"/>
        <w:rPr>
          <w:rFonts w:ascii="Calibri" w:hAnsi="Calibri"/>
          <w:sz w:val="22"/>
          <w:szCs w:val="24"/>
        </w:rPr>
      </w:pPr>
      <w:hyperlink r:id="rId9" w:history="1">
        <w:r w:rsidR="00717740" w:rsidRPr="0000149D">
          <w:rPr>
            <w:rStyle w:val="Hyperlink"/>
            <w:rFonts w:ascii="Calibri" w:hAnsi="Calibri"/>
            <w:sz w:val="22"/>
            <w:szCs w:val="24"/>
          </w:rPr>
          <w:t>https://www.planning.vic.gov.au/panels-and-committees/planning-panels-victoria</w:t>
        </w:r>
      </w:hyperlink>
    </w:p>
    <w:p w:rsidR="00717740" w:rsidRDefault="00717740" w:rsidP="00717740">
      <w:pPr>
        <w:pStyle w:val="Bulletts"/>
        <w:numPr>
          <w:ilvl w:val="0"/>
          <w:numId w:val="0"/>
        </w:numPr>
        <w:spacing w:after="120"/>
        <w:rPr>
          <w:rFonts w:ascii="Calibri" w:hAnsi="Calibri"/>
          <w:sz w:val="22"/>
          <w:szCs w:val="24"/>
        </w:rPr>
      </w:pPr>
    </w:p>
    <w:sectPr w:rsidR="00717740" w:rsidSect="004809ED">
      <w:headerReference w:type="default" r:id="rId10"/>
      <w:footerReference w:type="default" r:id="rId11"/>
      <w:headerReference w:type="first" r:id="rId12"/>
      <w:footerReference w:type="first" r:id="rId13"/>
      <w:type w:val="continuous"/>
      <w:pgSz w:w="11906" w:h="16838"/>
      <w:pgMar w:top="1790" w:right="1134" w:bottom="1560" w:left="1134" w:header="720" w:footer="248" w:gutter="0"/>
      <w:cols w:space="709"/>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25B" w:rsidRDefault="002B125B" w:rsidP="00481DC8">
      <w:r>
        <w:separator/>
      </w:r>
    </w:p>
  </w:endnote>
  <w:endnote w:type="continuationSeparator" w:id="0">
    <w:p w:rsidR="002B125B" w:rsidRDefault="002B125B" w:rsidP="0048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DIN-Regular">
    <w:altName w:val="Lucida Sans Typewriter"/>
    <w:charset w:val="00"/>
    <w:family w:val="swiss"/>
    <w:pitch w:val="variable"/>
    <w:sig w:usb0="8000002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ED" w:rsidRPr="00892D4F" w:rsidRDefault="004809ED" w:rsidP="004809ED">
    <w:pPr>
      <w:pBdr>
        <w:top w:val="single" w:sz="12" w:space="1" w:color="404040" w:themeColor="text1" w:themeTint="BF"/>
      </w:pBdr>
      <w:ind w:left="7938"/>
      <w:jc w:val="right"/>
      <w:rPr>
        <w:rFonts w:asciiTheme="minorHAnsi" w:hAnsiTheme="minorHAnsi" w:cstheme="minorHAnsi"/>
        <w:sz w:val="20"/>
      </w:rPr>
    </w:pPr>
    <w:r w:rsidRPr="003D77DE">
      <w:rPr>
        <w:rFonts w:asciiTheme="minorHAnsi" w:hAnsiTheme="minorHAnsi" w:cstheme="minorHAnsi"/>
        <w:sz w:val="20"/>
      </w:rPr>
      <w:t xml:space="preserve">Page </w:t>
    </w:r>
    <w:r w:rsidR="004F10E1" w:rsidRPr="003D77DE">
      <w:rPr>
        <w:rFonts w:asciiTheme="minorHAnsi" w:hAnsiTheme="minorHAnsi" w:cstheme="minorHAnsi"/>
        <w:sz w:val="20"/>
      </w:rPr>
      <w:fldChar w:fldCharType="begin"/>
    </w:r>
    <w:r w:rsidRPr="003D77DE">
      <w:rPr>
        <w:rFonts w:asciiTheme="minorHAnsi" w:hAnsiTheme="minorHAnsi" w:cstheme="minorHAnsi"/>
        <w:sz w:val="20"/>
      </w:rPr>
      <w:instrText xml:space="preserve"> PAGE   \* MERGEFORMAT </w:instrText>
    </w:r>
    <w:r w:rsidR="004F10E1" w:rsidRPr="003D77DE">
      <w:rPr>
        <w:rFonts w:asciiTheme="minorHAnsi" w:hAnsiTheme="minorHAnsi" w:cstheme="minorHAnsi"/>
        <w:sz w:val="20"/>
      </w:rPr>
      <w:fldChar w:fldCharType="separate"/>
    </w:r>
    <w:r w:rsidR="00B80E67">
      <w:rPr>
        <w:rFonts w:asciiTheme="minorHAnsi" w:hAnsiTheme="minorHAnsi" w:cstheme="minorHAnsi"/>
        <w:noProof/>
        <w:sz w:val="20"/>
      </w:rPr>
      <w:t>3</w:t>
    </w:r>
    <w:r w:rsidR="004F10E1" w:rsidRPr="003D77DE">
      <w:rPr>
        <w:rFonts w:asciiTheme="minorHAnsi" w:hAnsiTheme="minorHAnsi" w:cstheme="minorHAnsi"/>
        <w:sz w:val="20"/>
      </w:rPr>
      <w:fldChar w:fldCharType="end"/>
    </w:r>
  </w:p>
  <w:p w:rsidR="004809ED" w:rsidRDefault="00480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D2" w:rsidRPr="004809ED" w:rsidRDefault="00B262AD" w:rsidP="00F825D3">
    <w:pPr>
      <w:pStyle w:val="Footer"/>
      <w:jc w:val="right"/>
      <w:rPr>
        <w:szCs w:val="18"/>
      </w:rPr>
    </w:pPr>
    <w:r>
      <w:rPr>
        <w:noProof/>
      </w:rPr>
      <w:drawing>
        <wp:anchor distT="0" distB="0" distL="114300" distR="114300" simplePos="0" relativeHeight="251663360" behindDoc="1" locked="0" layoutInCell="1" allowOverlap="1" wp14:anchorId="1DAFD535" wp14:editId="7D931F20">
          <wp:simplePos x="0" y="0"/>
          <wp:positionH relativeFrom="column">
            <wp:posOffset>4472305</wp:posOffset>
          </wp:positionH>
          <wp:positionV relativeFrom="paragraph">
            <wp:posOffset>-667238</wp:posOffset>
          </wp:positionV>
          <wp:extent cx="1670541" cy="571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PV Logo New 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541" cy="5715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25B" w:rsidRDefault="002B125B" w:rsidP="00481DC8">
      <w:r>
        <w:separator/>
      </w:r>
    </w:p>
  </w:footnote>
  <w:footnote w:type="continuationSeparator" w:id="0">
    <w:p w:rsidR="002B125B" w:rsidRDefault="002B125B" w:rsidP="0048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9ED" w:rsidRPr="00892D4F" w:rsidRDefault="004809ED" w:rsidP="004809ED">
    <w:pPr>
      <w:pStyle w:val="Header"/>
      <w:pBdr>
        <w:bottom w:val="single" w:sz="12" w:space="1" w:color="404040" w:themeColor="text1" w:themeTint="BF"/>
      </w:pBdr>
      <w:jc w:val="right"/>
      <w:rPr>
        <w:rFonts w:asciiTheme="minorHAnsi" w:hAnsiTheme="minorHAnsi" w:cstheme="minorHAnsi"/>
        <w:sz w:val="20"/>
      </w:rPr>
    </w:pPr>
    <w:r>
      <w:rPr>
        <w:rFonts w:asciiTheme="minorHAnsi" w:hAnsiTheme="minorHAnsi" w:cstheme="minorHAnsi"/>
        <w:sz w:val="20"/>
      </w:rPr>
      <w:t xml:space="preserve">Planning Panels Victoria </w:t>
    </w:r>
    <w:r w:rsidRPr="00892D4F">
      <w:rPr>
        <w:rFonts w:asciiTheme="minorHAnsi" w:hAnsiTheme="minorHAnsi" w:cstheme="minorHAnsi"/>
        <w:sz w:val="20"/>
      </w:rPr>
      <w:sym w:font="Symbol" w:char="007C"/>
    </w:r>
    <w:r w:rsidRPr="00892D4F">
      <w:rPr>
        <w:rFonts w:asciiTheme="minorHAnsi" w:hAnsiTheme="minorHAnsi" w:cstheme="minorHAnsi"/>
        <w:sz w:val="20"/>
      </w:rPr>
      <w:t xml:space="preserve"> </w:t>
    </w:r>
    <w:r>
      <w:rPr>
        <w:rFonts w:asciiTheme="minorHAnsi" w:hAnsiTheme="minorHAnsi" w:cstheme="minorHAnsi"/>
        <w:sz w:val="20"/>
      </w:rPr>
      <w:t xml:space="preserve">Guide to </w:t>
    </w:r>
    <w:r w:rsidR="008F69CD">
      <w:rPr>
        <w:rFonts w:asciiTheme="minorHAnsi" w:hAnsiTheme="minorHAnsi" w:cstheme="minorHAnsi"/>
        <w:sz w:val="20"/>
      </w:rPr>
      <w:t>Expert Evidence</w:t>
    </w:r>
  </w:p>
  <w:p w:rsidR="004809ED" w:rsidRDefault="00480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2D2" w:rsidRPr="00F825D3" w:rsidRDefault="002B125B" w:rsidP="0097543D">
    <w:pPr>
      <w:pStyle w:val="Header"/>
      <w:spacing w:before="240"/>
      <w:jc w:val="right"/>
      <w:rPr>
        <w:sz w:val="2"/>
        <w:szCs w:val="2"/>
      </w:rPr>
    </w:pPr>
    <w:r>
      <w:rPr>
        <w:rFonts w:asciiTheme="minorHAnsi" w:hAnsiTheme="minorHAnsi" w:cstheme="minorHAnsi"/>
        <w:noProof/>
        <w:color w:val="FFFFFF" w:themeColor="background1"/>
        <w:spacing w:val="-10"/>
        <w:sz w:val="40"/>
        <w:szCs w:val="40"/>
      </w:rPr>
      <w:pict>
        <v:shape id="TriangleBottom" o:spid="_x0000_s2056" style="position:absolute;left:0;text-align:left;margin-left:56.7pt;margin-top:89.95pt;width:68.05pt;height:70.85pt;z-index:-251649024;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coordsize="1339,1415" path="m,l669,1415,1339,,,xe" fillcolor="#99e0dd" stroked="f">
          <v:path arrowok="t" o:connecttype="custom" o:connectlocs="0,0;431677,900000;864000,0;0,0" o:connectangles="0,0,0,0"/>
          <w10:wrap anchorx="page" anchory="page"/>
        </v:shape>
      </w:pict>
    </w:r>
    <w:r>
      <w:rPr>
        <w:rFonts w:asciiTheme="minorHAnsi" w:hAnsiTheme="minorHAnsi" w:cstheme="minorHAnsi"/>
        <w:noProof/>
        <w:color w:val="FFFFFF" w:themeColor="background1"/>
        <w:spacing w:val="-10"/>
        <w:sz w:val="40"/>
        <w:szCs w:val="40"/>
      </w:rPr>
      <w:pict>
        <v:shape id="TriangleRight" o:spid="_x0000_s2055" style="position:absolute;left:0;text-align:left;margin-left:56.7pt;margin-top:19.1pt;width:68.05pt;height:70.85pt;z-index:-25165004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coordsize="1339,1419" path="m1339,1419l669,,,1419r1339,xe" fillcolor="#201547" stroked="f">
          <v:path arrowok="t" o:connecttype="custom" o:connectlocs="864000,900000;431677,0;0,900000;864000,900000" o:connectangles="0,0,0,0"/>
          <w10:wrap anchorx="page" anchory="page"/>
        </v:shape>
      </w:pict>
    </w:r>
    <w:r>
      <w:rPr>
        <w:rFonts w:asciiTheme="minorHAnsi" w:hAnsiTheme="minorHAnsi" w:cstheme="minorHAnsi"/>
        <w:noProof/>
        <w:color w:val="FFFFFF" w:themeColor="background1"/>
        <w:spacing w:val="-10"/>
        <w:sz w:val="40"/>
        <w:szCs w:val="40"/>
      </w:rPr>
      <w:pict>
        <v:shape id="TriangleLeft" o:spid="_x0000_s2054" style="position:absolute;left:0;text-align:left;margin-left:22.7pt;margin-top:19.1pt;width:68.05pt;height:70.85pt;z-index:-251651072;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coordsize="1334,1419" path="m,l665,1419,1334,,,xe" fillcolor="#797391" stroked="f">
          <v:path arrowok="t" o:connecttype="custom" o:connectlocs="0,0;430705,900000;864000,0;0,0" o:connectangles="0,0,0,0"/>
          <w10:wrap anchorx="page" anchory="page"/>
        </v:shape>
      </w:pict>
    </w:r>
    <w:r>
      <w:rPr>
        <w:rFonts w:asciiTheme="minorHAnsi" w:hAnsiTheme="minorHAnsi" w:cstheme="minorHAnsi"/>
        <w:noProof/>
        <w:color w:val="FFFFFF" w:themeColor="background1"/>
        <w:spacing w:val="-10"/>
        <w:sz w:val="40"/>
        <w:szCs w:val="40"/>
      </w:rPr>
      <w:pict>
        <v:rect id="Rectangle" o:spid="_x0000_s2053" style="position:absolute;left:0;text-align:left;margin-left:22.7pt;margin-top:19.1pt;width:552.75pt;height:70.85pt;z-index:-251652096;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fillcolor="#00b2a9" stroked="f">
          <w10:wrap anchorx="page" anchory="page"/>
        </v:rect>
      </w:pict>
    </w:r>
    <w:r w:rsidR="00B262AD" w:rsidRPr="00570CA1">
      <w:rPr>
        <w:rFonts w:asciiTheme="minorHAnsi" w:hAnsiTheme="minorHAnsi" w:cstheme="minorHAnsi"/>
        <w:color w:val="FFFFFF" w:themeColor="background1"/>
        <w:spacing w:val="-10"/>
        <w:sz w:val="40"/>
        <w:szCs w:val="40"/>
      </w:rPr>
      <w:t xml:space="preserve">Guide to the </w:t>
    </w:r>
    <w:r w:rsidR="00B262AD">
      <w:rPr>
        <w:rFonts w:asciiTheme="minorHAnsi" w:hAnsiTheme="minorHAnsi" w:cstheme="minorHAnsi"/>
        <w:color w:val="FFFFFF" w:themeColor="background1"/>
        <w:spacing w:val="-10"/>
        <w:sz w:val="40"/>
        <w:szCs w:val="40"/>
      </w:rPr>
      <w:t>Expert Evidence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26BDAE"/>
    <w:lvl w:ilvl="0">
      <w:start w:val="1"/>
      <w:numFmt w:val="decimal"/>
      <w:lvlText w:val="%1."/>
      <w:lvlJc w:val="left"/>
      <w:pPr>
        <w:tabs>
          <w:tab w:val="num" w:pos="1492"/>
        </w:tabs>
        <w:ind w:left="1492" w:hanging="360"/>
      </w:pPr>
    </w:lvl>
  </w:abstractNum>
  <w:abstractNum w:abstractNumId="1">
    <w:nsid w:val="FFFFFF7D"/>
    <w:multiLevelType w:val="singleLevel"/>
    <w:tmpl w:val="213C74A8"/>
    <w:lvl w:ilvl="0">
      <w:start w:val="1"/>
      <w:numFmt w:val="decimal"/>
      <w:lvlText w:val="%1."/>
      <w:lvlJc w:val="left"/>
      <w:pPr>
        <w:tabs>
          <w:tab w:val="num" w:pos="1209"/>
        </w:tabs>
        <w:ind w:left="1209" w:hanging="360"/>
      </w:pPr>
    </w:lvl>
  </w:abstractNum>
  <w:abstractNum w:abstractNumId="2">
    <w:nsid w:val="FFFFFF7E"/>
    <w:multiLevelType w:val="singleLevel"/>
    <w:tmpl w:val="B7B4EB78"/>
    <w:lvl w:ilvl="0">
      <w:start w:val="1"/>
      <w:numFmt w:val="decimal"/>
      <w:lvlText w:val="%1."/>
      <w:lvlJc w:val="left"/>
      <w:pPr>
        <w:tabs>
          <w:tab w:val="num" w:pos="926"/>
        </w:tabs>
        <w:ind w:left="926" w:hanging="360"/>
      </w:pPr>
    </w:lvl>
  </w:abstractNum>
  <w:abstractNum w:abstractNumId="3">
    <w:nsid w:val="FFFFFF7F"/>
    <w:multiLevelType w:val="singleLevel"/>
    <w:tmpl w:val="AB2886EE"/>
    <w:lvl w:ilvl="0">
      <w:start w:val="1"/>
      <w:numFmt w:val="decimal"/>
      <w:lvlText w:val="%1."/>
      <w:lvlJc w:val="left"/>
      <w:pPr>
        <w:tabs>
          <w:tab w:val="num" w:pos="643"/>
        </w:tabs>
        <w:ind w:left="643" w:hanging="360"/>
      </w:pPr>
    </w:lvl>
  </w:abstractNum>
  <w:abstractNum w:abstractNumId="4">
    <w:nsid w:val="FFFFFF80"/>
    <w:multiLevelType w:val="singleLevel"/>
    <w:tmpl w:val="A37A2B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3267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5678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F326C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E2E0E4A"/>
    <w:lvl w:ilvl="0">
      <w:start w:val="1"/>
      <w:numFmt w:val="decimal"/>
      <w:lvlText w:val="%1."/>
      <w:lvlJc w:val="left"/>
      <w:pPr>
        <w:tabs>
          <w:tab w:val="num" w:pos="360"/>
        </w:tabs>
        <w:ind w:left="360" w:hanging="360"/>
      </w:pPr>
    </w:lvl>
  </w:abstractNum>
  <w:abstractNum w:abstractNumId="9">
    <w:nsid w:val="FFFFFF89"/>
    <w:multiLevelType w:val="singleLevel"/>
    <w:tmpl w:val="6FC40A7C"/>
    <w:lvl w:ilvl="0">
      <w:start w:val="1"/>
      <w:numFmt w:val="bullet"/>
      <w:lvlText w:val=""/>
      <w:lvlJc w:val="left"/>
      <w:pPr>
        <w:tabs>
          <w:tab w:val="num" w:pos="360"/>
        </w:tabs>
        <w:ind w:left="360" w:hanging="360"/>
      </w:pPr>
      <w:rPr>
        <w:rFonts w:ascii="Symbol" w:hAnsi="Symbol" w:hint="default"/>
      </w:rPr>
    </w:lvl>
  </w:abstractNum>
  <w:abstractNum w:abstractNumId="10">
    <w:nsid w:val="20D37A4D"/>
    <w:multiLevelType w:val="hybridMultilevel"/>
    <w:tmpl w:val="37342B9C"/>
    <w:lvl w:ilvl="0" w:tplc="EA88FEC4">
      <w:start w:val="1"/>
      <w:numFmt w:val="bullet"/>
      <w:pStyle w:val="FormtextBullet"/>
      <w:lvlText w:val=""/>
      <w:lvlJc w:val="left"/>
      <w:pPr>
        <w:tabs>
          <w:tab w:val="num" w:pos="363"/>
        </w:tabs>
        <w:ind w:left="0" w:firstLine="3"/>
      </w:pPr>
      <w:rPr>
        <w:rFonts w:ascii="Symbol" w:hAnsi="Symbol" w:hint="default"/>
      </w:rPr>
    </w:lvl>
    <w:lvl w:ilvl="1" w:tplc="0C090003" w:tentative="1">
      <w:start w:val="1"/>
      <w:numFmt w:val="bullet"/>
      <w:lvlText w:val="o"/>
      <w:lvlJc w:val="left"/>
      <w:pPr>
        <w:tabs>
          <w:tab w:val="num" w:pos="1083"/>
        </w:tabs>
        <w:ind w:left="1083" w:hanging="360"/>
      </w:pPr>
      <w:rPr>
        <w:rFonts w:ascii="Courier New" w:hAnsi="Courier New" w:cs="Courier New" w:hint="default"/>
      </w:rPr>
    </w:lvl>
    <w:lvl w:ilvl="2" w:tplc="0C090005" w:tentative="1">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cs="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cs="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11">
    <w:nsid w:val="32DD73A6"/>
    <w:multiLevelType w:val="hybridMultilevel"/>
    <w:tmpl w:val="81F2C7C0"/>
    <w:lvl w:ilvl="0" w:tplc="06F8D63E">
      <w:start w:val="3"/>
      <w:numFmt w:val="bullet"/>
      <w:lvlText w:val="-"/>
      <w:lvlJc w:val="left"/>
      <w:pPr>
        <w:ind w:left="1778" w:hanging="360"/>
      </w:pPr>
      <w:rPr>
        <w:rFonts w:ascii="Arial" w:eastAsia="Times New Roman" w:hAnsi="Arial" w:cs="Aria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2">
    <w:nsid w:val="352B0267"/>
    <w:multiLevelType w:val="hybridMultilevel"/>
    <w:tmpl w:val="915849C4"/>
    <w:lvl w:ilvl="0" w:tplc="0C090001">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13">
    <w:nsid w:val="49DE1E47"/>
    <w:multiLevelType w:val="hybridMultilevel"/>
    <w:tmpl w:val="FD8A5518"/>
    <w:lvl w:ilvl="0" w:tplc="0C1CCC3A">
      <w:start w:val="1"/>
      <w:numFmt w:val="bullet"/>
      <w:pStyle w:val="Checkbox"/>
      <w:lvlText w:val=""/>
      <w:lvlJc w:val="left"/>
      <w:pPr>
        <w:tabs>
          <w:tab w:val="num" w:pos="720"/>
        </w:tabs>
        <w:ind w:left="720" w:hanging="360"/>
      </w:pPr>
      <w:rPr>
        <w:rFonts w:ascii="ZapfDingbats" w:hAnsi="ZapfDingba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501E4667"/>
    <w:multiLevelType w:val="hybridMultilevel"/>
    <w:tmpl w:val="C3484196"/>
    <w:lvl w:ilvl="0" w:tplc="9898659A">
      <w:start w:val="1"/>
      <w:numFmt w:val="bullet"/>
      <w:pStyle w:val="Normalnumbul"/>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7E75F0F"/>
    <w:multiLevelType w:val="hybridMultilevel"/>
    <w:tmpl w:val="54A810C0"/>
    <w:lvl w:ilvl="0" w:tplc="EE36471E">
      <w:start w:val="1"/>
      <w:numFmt w:val="bullet"/>
      <w:pStyle w:val="Bullet1"/>
      <w:lvlText w:val=""/>
      <w:lvlJc w:val="left"/>
      <w:pPr>
        <w:tabs>
          <w:tab w:val="num" w:pos="340"/>
        </w:tabs>
        <w:ind w:left="340" w:hanging="34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CDF6A83"/>
    <w:multiLevelType w:val="hybridMultilevel"/>
    <w:tmpl w:val="AE1AB970"/>
    <w:lvl w:ilvl="0" w:tplc="929A92E4">
      <w:start w:val="1"/>
      <w:numFmt w:val="bullet"/>
      <w:pStyle w:val="Bullettscheck"/>
      <w:lvlText w:val=""/>
      <w:lvlJc w:val="left"/>
      <w:pPr>
        <w:tabs>
          <w:tab w:val="num" w:pos="927"/>
        </w:tabs>
        <w:ind w:left="927" w:hanging="360"/>
      </w:pPr>
      <w:rPr>
        <w:rFonts w:ascii="ZapfDingbats" w:hAnsi="ZapfDingba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6DBB60FD"/>
    <w:multiLevelType w:val="hybridMultilevel"/>
    <w:tmpl w:val="0F0CBA28"/>
    <w:lvl w:ilvl="0" w:tplc="410E46DE">
      <w:start w:val="1"/>
      <w:numFmt w:val="bullet"/>
      <w:pStyle w:val="Bulletts"/>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15"/>
  </w:num>
  <w:num w:numId="9">
    <w:abstractNumId w:val="15"/>
  </w:num>
  <w:num w:numId="10">
    <w:abstractNumId w:val="15"/>
  </w:num>
  <w:num w:numId="11">
    <w:abstractNumId w:val="3"/>
  </w:num>
  <w:num w:numId="12">
    <w:abstractNumId w:val="2"/>
  </w:num>
  <w:num w:numId="13">
    <w:abstractNumId w:val="1"/>
  </w:num>
  <w:num w:numId="14">
    <w:abstractNumId w:val="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2"/>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6"/>
  </w:num>
  <w:num w:numId="30">
    <w:abstractNumId w:val="16"/>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6"/>
  </w:num>
  <w:num w:numId="40">
    <w:abstractNumId w:val="13"/>
  </w:num>
  <w:num w:numId="41">
    <w:abstractNumId w:val="13"/>
  </w:num>
  <w:num w:numId="42">
    <w:abstractNumId w:val="16"/>
  </w:num>
  <w:num w:numId="43">
    <w:abstractNumId w:val="13"/>
  </w:num>
  <w:num w:numId="44">
    <w:abstractNumId w:val="14"/>
  </w:num>
  <w:num w:numId="45">
    <w:abstractNumId w:val="1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4C7E"/>
    <w:rsid w:val="00005004"/>
    <w:rsid w:val="000224E3"/>
    <w:rsid w:val="00047678"/>
    <w:rsid w:val="00056BDA"/>
    <w:rsid w:val="00063DFA"/>
    <w:rsid w:val="00076C0D"/>
    <w:rsid w:val="0008055E"/>
    <w:rsid w:val="0008157E"/>
    <w:rsid w:val="00082677"/>
    <w:rsid w:val="00097D8F"/>
    <w:rsid w:val="000A1C36"/>
    <w:rsid w:val="000B0A27"/>
    <w:rsid w:val="000B3EEC"/>
    <w:rsid w:val="000C251E"/>
    <w:rsid w:val="000D3599"/>
    <w:rsid w:val="000D6859"/>
    <w:rsid w:val="000E3A38"/>
    <w:rsid w:val="000E5065"/>
    <w:rsid w:val="00106DB7"/>
    <w:rsid w:val="001179E1"/>
    <w:rsid w:val="001368DF"/>
    <w:rsid w:val="00147F27"/>
    <w:rsid w:val="001500F6"/>
    <w:rsid w:val="0015122E"/>
    <w:rsid w:val="00153A95"/>
    <w:rsid w:val="001664D2"/>
    <w:rsid w:val="001676CE"/>
    <w:rsid w:val="00175510"/>
    <w:rsid w:val="00183F7E"/>
    <w:rsid w:val="00197B0C"/>
    <w:rsid w:val="001A0221"/>
    <w:rsid w:val="001A12E9"/>
    <w:rsid w:val="001B50FF"/>
    <w:rsid w:val="001C0872"/>
    <w:rsid w:val="001C0ACF"/>
    <w:rsid w:val="001C61BF"/>
    <w:rsid w:val="001C6DE8"/>
    <w:rsid w:val="001C79AA"/>
    <w:rsid w:val="001D2947"/>
    <w:rsid w:val="001D5DE0"/>
    <w:rsid w:val="001E0146"/>
    <w:rsid w:val="001E35D1"/>
    <w:rsid w:val="001F225B"/>
    <w:rsid w:val="00205162"/>
    <w:rsid w:val="002155DA"/>
    <w:rsid w:val="00216739"/>
    <w:rsid w:val="0022274D"/>
    <w:rsid w:val="002340FC"/>
    <w:rsid w:val="002412A5"/>
    <w:rsid w:val="0026080D"/>
    <w:rsid w:val="00271625"/>
    <w:rsid w:val="00291DD5"/>
    <w:rsid w:val="002A586C"/>
    <w:rsid w:val="002B125B"/>
    <w:rsid w:val="002C4086"/>
    <w:rsid w:val="002C4C86"/>
    <w:rsid w:val="002C54B7"/>
    <w:rsid w:val="002D7BB3"/>
    <w:rsid w:val="002E0549"/>
    <w:rsid w:val="002E7BE4"/>
    <w:rsid w:val="002E7F78"/>
    <w:rsid w:val="00305DF4"/>
    <w:rsid w:val="003125D7"/>
    <w:rsid w:val="00316AAD"/>
    <w:rsid w:val="003173F7"/>
    <w:rsid w:val="00317F4D"/>
    <w:rsid w:val="003227CE"/>
    <w:rsid w:val="0033182D"/>
    <w:rsid w:val="00340A90"/>
    <w:rsid w:val="003546BF"/>
    <w:rsid w:val="003740BA"/>
    <w:rsid w:val="003770B6"/>
    <w:rsid w:val="00382F2A"/>
    <w:rsid w:val="003926C2"/>
    <w:rsid w:val="00392DC2"/>
    <w:rsid w:val="003972F3"/>
    <w:rsid w:val="003A1A87"/>
    <w:rsid w:val="003B27FC"/>
    <w:rsid w:val="003B29A6"/>
    <w:rsid w:val="003B2CAE"/>
    <w:rsid w:val="003C71E2"/>
    <w:rsid w:val="003D1DA5"/>
    <w:rsid w:val="003D33B0"/>
    <w:rsid w:val="003D5603"/>
    <w:rsid w:val="003E47BD"/>
    <w:rsid w:val="003E72FE"/>
    <w:rsid w:val="003E7CD0"/>
    <w:rsid w:val="003F45D7"/>
    <w:rsid w:val="003F74CE"/>
    <w:rsid w:val="0040150B"/>
    <w:rsid w:val="00407517"/>
    <w:rsid w:val="004160D6"/>
    <w:rsid w:val="00416443"/>
    <w:rsid w:val="00431595"/>
    <w:rsid w:val="00433879"/>
    <w:rsid w:val="00435A1A"/>
    <w:rsid w:val="00437D21"/>
    <w:rsid w:val="004421EF"/>
    <w:rsid w:val="004428F9"/>
    <w:rsid w:val="0044701C"/>
    <w:rsid w:val="004628D3"/>
    <w:rsid w:val="004641FC"/>
    <w:rsid w:val="00465DE7"/>
    <w:rsid w:val="004733FF"/>
    <w:rsid w:val="00474FE9"/>
    <w:rsid w:val="004770E2"/>
    <w:rsid w:val="00480714"/>
    <w:rsid w:val="004809ED"/>
    <w:rsid w:val="00480D5A"/>
    <w:rsid w:val="00481DC8"/>
    <w:rsid w:val="00496BBF"/>
    <w:rsid w:val="004B0487"/>
    <w:rsid w:val="004B193A"/>
    <w:rsid w:val="004C55AC"/>
    <w:rsid w:val="004C7B8C"/>
    <w:rsid w:val="004F10E1"/>
    <w:rsid w:val="004F4FC9"/>
    <w:rsid w:val="0050446D"/>
    <w:rsid w:val="00504BC2"/>
    <w:rsid w:val="00514103"/>
    <w:rsid w:val="005254FD"/>
    <w:rsid w:val="00535497"/>
    <w:rsid w:val="00537E10"/>
    <w:rsid w:val="00541427"/>
    <w:rsid w:val="005414C6"/>
    <w:rsid w:val="00542426"/>
    <w:rsid w:val="00551551"/>
    <w:rsid w:val="0055232F"/>
    <w:rsid w:val="00567023"/>
    <w:rsid w:val="00572096"/>
    <w:rsid w:val="005762A4"/>
    <w:rsid w:val="00583476"/>
    <w:rsid w:val="0059771B"/>
    <w:rsid w:val="005C141F"/>
    <w:rsid w:val="005C39E3"/>
    <w:rsid w:val="005D4807"/>
    <w:rsid w:val="005E4E6A"/>
    <w:rsid w:val="005E58CD"/>
    <w:rsid w:val="005F2A59"/>
    <w:rsid w:val="005F72AA"/>
    <w:rsid w:val="00603588"/>
    <w:rsid w:val="00610207"/>
    <w:rsid w:val="0061207E"/>
    <w:rsid w:val="00653292"/>
    <w:rsid w:val="006545A2"/>
    <w:rsid w:val="00661C4C"/>
    <w:rsid w:val="00672ACA"/>
    <w:rsid w:val="00682458"/>
    <w:rsid w:val="00684C63"/>
    <w:rsid w:val="006853F9"/>
    <w:rsid w:val="0069611E"/>
    <w:rsid w:val="00696548"/>
    <w:rsid w:val="00697A70"/>
    <w:rsid w:val="006A1114"/>
    <w:rsid w:val="006A5512"/>
    <w:rsid w:val="006B3AE0"/>
    <w:rsid w:val="006B3AFB"/>
    <w:rsid w:val="006B5992"/>
    <w:rsid w:val="006B7F23"/>
    <w:rsid w:val="006C6349"/>
    <w:rsid w:val="006E6728"/>
    <w:rsid w:val="007139CB"/>
    <w:rsid w:val="007145FE"/>
    <w:rsid w:val="00716112"/>
    <w:rsid w:val="00717740"/>
    <w:rsid w:val="00717E2E"/>
    <w:rsid w:val="00717E39"/>
    <w:rsid w:val="00722E36"/>
    <w:rsid w:val="00735CA5"/>
    <w:rsid w:val="0074259E"/>
    <w:rsid w:val="00743014"/>
    <w:rsid w:val="00744FE4"/>
    <w:rsid w:val="00750282"/>
    <w:rsid w:val="00754C58"/>
    <w:rsid w:val="00764FE4"/>
    <w:rsid w:val="0077173D"/>
    <w:rsid w:val="00777056"/>
    <w:rsid w:val="007A251D"/>
    <w:rsid w:val="007A64D6"/>
    <w:rsid w:val="007B0502"/>
    <w:rsid w:val="007C4658"/>
    <w:rsid w:val="007C49AD"/>
    <w:rsid w:val="007E3F5C"/>
    <w:rsid w:val="007E68B2"/>
    <w:rsid w:val="007F1645"/>
    <w:rsid w:val="008041EE"/>
    <w:rsid w:val="00807906"/>
    <w:rsid w:val="00814C3A"/>
    <w:rsid w:val="008337A4"/>
    <w:rsid w:val="00837466"/>
    <w:rsid w:val="00843C50"/>
    <w:rsid w:val="00850714"/>
    <w:rsid w:val="00864C7E"/>
    <w:rsid w:val="00875E45"/>
    <w:rsid w:val="008802C2"/>
    <w:rsid w:val="00884F3F"/>
    <w:rsid w:val="00887BCD"/>
    <w:rsid w:val="00895494"/>
    <w:rsid w:val="00896FC3"/>
    <w:rsid w:val="008A766A"/>
    <w:rsid w:val="008B3CF9"/>
    <w:rsid w:val="008B428D"/>
    <w:rsid w:val="008B6716"/>
    <w:rsid w:val="008C592D"/>
    <w:rsid w:val="008E1956"/>
    <w:rsid w:val="008E1CED"/>
    <w:rsid w:val="008E37FF"/>
    <w:rsid w:val="008F1DB6"/>
    <w:rsid w:val="008F3C7A"/>
    <w:rsid w:val="008F51F5"/>
    <w:rsid w:val="008F69CD"/>
    <w:rsid w:val="008F6F01"/>
    <w:rsid w:val="00900135"/>
    <w:rsid w:val="00904D1C"/>
    <w:rsid w:val="009102BD"/>
    <w:rsid w:val="00926681"/>
    <w:rsid w:val="00941237"/>
    <w:rsid w:val="009453D1"/>
    <w:rsid w:val="009475BC"/>
    <w:rsid w:val="00953C5C"/>
    <w:rsid w:val="00974413"/>
    <w:rsid w:val="0097543D"/>
    <w:rsid w:val="00976409"/>
    <w:rsid w:val="00977AA9"/>
    <w:rsid w:val="009800BC"/>
    <w:rsid w:val="0098374D"/>
    <w:rsid w:val="00990B7B"/>
    <w:rsid w:val="00991D0B"/>
    <w:rsid w:val="009B5C2C"/>
    <w:rsid w:val="009B7561"/>
    <w:rsid w:val="009C5A23"/>
    <w:rsid w:val="009D1683"/>
    <w:rsid w:val="009D3BF7"/>
    <w:rsid w:val="009D69F4"/>
    <w:rsid w:val="009E2FFA"/>
    <w:rsid w:val="009F05DF"/>
    <w:rsid w:val="00A06ED3"/>
    <w:rsid w:val="00A130BD"/>
    <w:rsid w:val="00A32EE9"/>
    <w:rsid w:val="00A344C9"/>
    <w:rsid w:val="00A41773"/>
    <w:rsid w:val="00A47907"/>
    <w:rsid w:val="00A67751"/>
    <w:rsid w:val="00A7107E"/>
    <w:rsid w:val="00A81BD5"/>
    <w:rsid w:val="00A84925"/>
    <w:rsid w:val="00A905E5"/>
    <w:rsid w:val="00A91DBE"/>
    <w:rsid w:val="00A94BBD"/>
    <w:rsid w:val="00AA1DD0"/>
    <w:rsid w:val="00AA32DF"/>
    <w:rsid w:val="00AB36D4"/>
    <w:rsid w:val="00AB4A17"/>
    <w:rsid w:val="00AC0217"/>
    <w:rsid w:val="00AC1BCD"/>
    <w:rsid w:val="00AC47B4"/>
    <w:rsid w:val="00AC74CB"/>
    <w:rsid w:val="00AD4503"/>
    <w:rsid w:val="00AE32F5"/>
    <w:rsid w:val="00B06C17"/>
    <w:rsid w:val="00B10152"/>
    <w:rsid w:val="00B1479D"/>
    <w:rsid w:val="00B259BA"/>
    <w:rsid w:val="00B262AD"/>
    <w:rsid w:val="00B37E22"/>
    <w:rsid w:val="00B41BEC"/>
    <w:rsid w:val="00B4364D"/>
    <w:rsid w:val="00B5035A"/>
    <w:rsid w:val="00B571CF"/>
    <w:rsid w:val="00B605A3"/>
    <w:rsid w:val="00B72228"/>
    <w:rsid w:val="00B73915"/>
    <w:rsid w:val="00B80E67"/>
    <w:rsid w:val="00B848E6"/>
    <w:rsid w:val="00B921FD"/>
    <w:rsid w:val="00B9653C"/>
    <w:rsid w:val="00BA432D"/>
    <w:rsid w:val="00BB10C9"/>
    <w:rsid w:val="00BC139F"/>
    <w:rsid w:val="00BC3945"/>
    <w:rsid w:val="00BC5F4B"/>
    <w:rsid w:val="00BD7C51"/>
    <w:rsid w:val="00BE5CFD"/>
    <w:rsid w:val="00BF1FA3"/>
    <w:rsid w:val="00BF4725"/>
    <w:rsid w:val="00C00151"/>
    <w:rsid w:val="00C0718E"/>
    <w:rsid w:val="00C07C72"/>
    <w:rsid w:val="00C1052A"/>
    <w:rsid w:val="00C156AF"/>
    <w:rsid w:val="00C2019D"/>
    <w:rsid w:val="00C2083B"/>
    <w:rsid w:val="00C26B4D"/>
    <w:rsid w:val="00C34427"/>
    <w:rsid w:val="00C417E5"/>
    <w:rsid w:val="00C45D5D"/>
    <w:rsid w:val="00C471C7"/>
    <w:rsid w:val="00C47DD6"/>
    <w:rsid w:val="00C6399E"/>
    <w:rsid w:val="00C64758"/>
    <w:rsid w:val="00C7657C"/>
    <w:rsid w:val="00C81549"/>
    <w:rsid w:val="00CB2BFC"/>
    <w:rsid w:val="00CC3490"/>
    <w:rsid w:val="00CE2E80"/>
    <w:rsid w:val="00CF2A80"/>
    <w:rsid w:val="00CF58BC"/>
    <w:rsid w:val="00D002C0"/>
    <w:rsid w:val="00D00F9F"/>
    <w:rsid w:val="00D019F9"/>
    <w:rsid w:val="00D04C7E"/>
    <w:rsid w:val="00D16353"/>
    <w:rsid w:val="00D17354"/>
    <w:rsid w:val="00D216E3"/>
    <w:rsid w:val="00D30186"/>
    <w:rsid w:val="00D370B4"/>
    <w:rsid w:val="00D4284C"/>
    <w:rsid w:val="00D451BC"/>
    <w:rsid w:val="00D502D4"/>
    <w:rsid w:val="00D60B81"/>
    <w:rsid w:val="00D629CC"/>
    <w:rsid w:val="00D62DDD"/>
    <w:rsid w:val="00D702D2"/>
    <w:rsid w:val="00D7097B"/>
    <w:rsid w:val="00D754C4"/>
    <w:rsid w:val="00D75C55"/>
    <w:rsid w:val="00D87BAB"/>
    <w:rsid w:val="00D93D17"/>
    <w:rsid w:val="00DB1204"/>
    <w:rsid w:val="00DC3BBA"/>
    <w:rsid w:val="00DD0E47"/>
    <w:rsid w:val="00DD13E4"/>
    <w:rsid w:val="00DE5989"/>
    <w:rsid w:val="00DF2A6A"/>
    <w:rsid w:val="00DF7329"/>
    <w:rsid w:val="00DF7533"/>
    <w:rsid w:val="00E00A30"/>
    <w:rsid w:val="00E0647B"/>
    <w:rsid w:val="00E0767C"/>
    <w:rsid w:val="00E144FB"/>
    <w:rsid w:val="00E361AD"/>
    <w:rsid w:val="00E41E95"/>
    <w:rsid w:val="00E51736"/>
    <w:rsid w:val="00E62B23"/>
    <w:rsid w:val="00E64526"/>
    <w:rsid w:val="00E67871"/>
    <w:rsid w:val="00E90ADB"/>
    <w:rsid w:val="00E95BDE"/>
    <w:rsid w:val="00EA6C1B"/>
    <w:rsid w:val="00EB2907"/>
    <w:rsid w:val="00EC3022"/>
    <w:rsid w:val="00ED6D2E"/>
    <w:rsid w:val="00ED740F"/>
    <w:rsid w:val="00EE0CF8"/>
    <w:rsid w:val="00EE48B8"/>
    <w:rsid w:val="00EE4D78"/>
    <w:rsid w:val="00EE5CF1"/>
    <w:rsid w:val="00EF42C4"/>
    <w:rsid w:val="00F10715"/>
    <w:rsid w:val="00F11E12"/>
    <w:rsid w:val="00F1289B"/>
    <w:rsid w:val="00F15F6D"/>
    <w:rsid w:val="00F2423E"/>
    <w:rsid w:val="00F3236D"/>
    <w:rsid w:val="00F36FAD"/>
    <w:rsid w:val="00F44CB5"/>
    <w:rsid w:val="00F56C5A"/>
    <w:rsid w:val="00F67688"/>
    <w:rsid w:val="00F7434C"/>
    <w:rsid w:val="00F7780D"/>
    <w:rsid w:val="00F825D3"/>
    <w:rsid w:val="00F93B67"/>
    <w:rsid w:val="00F971AD"/>
    <w:rsid w:val="00FA72FA"/>
    <w:rsid w:val="00FB1F30"/>
    <w:rsid w:val="00FC7857"/>
    <w:rsid w:val="00FD1C9B"/>
    <w:rsid w:val="00FD3909"/>
    <w:rsid w:val="00FD6CE8"/>
    <w:rsid w:val="00FD71FE"/>
    <w:rsid w:val="00FD7E63"/>
    <w:rsid w:val="00FE7A99"/>
    <w:rsid w:val="00FF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740"/>
    <w:rPr>
      <w:rFonts w:ascii="Calibri" w:hAnsi="Calibri"/>
      <w:sz w:val="22"/>
      <w:szCs w:val="24"/>
    </w:rPr>
  </w:style>
  <w:style w:type="paragraph" w:styleId="Heading2">
    <w:name w:val="heading 2"/>
    <w:basedOn w:val="Normal"/>
    <w:next w:val="Normal"/>
    <w:link w:val="Heading2Char"/>
    <w:qFormat/>
    <w:rsid w:val="00717740"/>
    <w:pPr>
      <w:keepNext/>
      <w:spacing w:before="240" w:after="120"/>
      <w:ind w:left="709" w:hanging="709"/>
      <w:outlineLvl w:val="1"/>
    </w:pPr>
    <w:rPr>
      <w:rFonts w:asciiTheme="minorHAnsi" w:hAnsiTheme="minorHAnsi" w:cstheme="minorHAnsi"/>
      <w:b/>
      <w:noProof/>
      <w:snapToGrid w:val="0"/>
      <w:color w:val="00B2A9"/>
      <w:sz w:val="28"/>
      <w:szCs w:val="28"/>
    </w:rPr>
  </w:style>
  <w:style w:type="paragraph" w:styleId="Heading3">
    <w:name w:val="heading 3"/>
    <w:basedOn w:val="Normal"/>
    <w:next w:val="Normal"/>
    <w:link w:val="Heading3Char"/>
    <w:semiHidden/>
    <w:unhideWhenUsed/>
    <w:qFormat/>
    <w:rsid w:val="00B848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extBullet">
    <w:name w:val="Form text Bullet"/>
    <w:basedOn w:val="Formtext"/>
    <w:rsid w:val="006853F9"/>
    <w:pPr>
      <w:numPr>
        <w:numId w:val="15"/>
      </w:numPr>
      <w:spacing w:before="80"/>
    </w:pPr>
  </w:style>
  <w:style w:type="paragraph" w:styleId="Title">
    <w:name w:val="Title"/>
    <w:basedOn w:val="Normal"/>
    <w:qFormat/>
    <w:rsid w:val="007C4658"/>
    <w:pPr>
      <w:spacing w:before="240" w:after="60"/>
      <w:jc w:val="center"/>
      <w:outlineLvl w:val="0"/>
    </w:pPr>
    <w:rPr>
      <w:rFonts w:ascii="Arial" w:hAnsi="Arial" w:cs="Arial"/>
      <w:b/>
      <w:bCs/>
      <w:kern w:val="28"/>
      <w:sz w:val="32"/>
      <w:szCs w:val="32"/>
    </w:rPr>
  </w:style>
  <w:style w:type="paragraph" w:customStyle="1" w:styleId="FormtextTable">
    <w:name w:val="Form text Table"/>
    <w:basedOn w:val="Formtext"/>
    <w:rsid w:val="00F93B67"/>
    <w:pPr>
      <w:spacing w:before="0"/>
    </w:pPr>
  </w:style>
  <w:style w:type="paragraph" w:customStyle="1" w:styleId="Bullet1">
    <w:name w:val="Bullet 1"/>
    <w:basedOn w:val="Normal"/>
    <w:rsid w:val="00864C7E"/>
    <w:pPr>
      <w:numPr>
        <w:numId w:val="1"/>
      </w:numPr>
      <w:suppressAutoHyphens/>
      <w:autoSpaceDE w:val="0"/>
      <w:autoSpaceDN w:val="0"/>
      <w:adjustRightInd w:val="0"/>
      <w:spacing w:after="170" w:line="280" w:lineRule="atLeast"/>
      <w:textAlignment w:val="center"/>
    </w:pPr>
    <w:rPr>
      <w:rFonts w:ascii="DIN-Regular" w:hAnsi="DIN-Regular" w:cs="DIN-Regular"/>
      <w:color w:val="000000"/>
      <w:sz w:val="20"/>
      <w:szCs w:val="20"/>
      <w:lang w:val="en-GB"/>
    </w:rPr>
  </w:style>
  <w:style w:type="paragraph" w:customStyle="1" w:styleId="BodyText1">
    <w:name w:val="Body Text1"/>
    <w:basedOn w:val="Normal"/>
    <w:rsid w:val="00864C7E"/>
    <w:pPr>
      <w:suppressAutoHyphens/>
      <w:autoSpaceDE w:val="0"/>
      <w:autoSpaceDN w:val="0"/>
      <w:adjustRightInd w:val="0"/>
      <w:spacing w:after="170" w:line="280" w:lineRule="atLeast"/>
      <w:textAlignment w:val="center"/>
    </w:pPr>
    <w:rPr>
      <w:rFonts w:ascii="DIN-Regular" w:hAnsi="DIN-Regular" w:cs="DIN-Regular"/>
      <w:color w:val="000000"/>
      <w:sz w:val="20"/>
      <w:szCs w:val="20"/>
      <w:lang w:val="en-GB"/>
    </w:rPr>
  </w:style>
  <w:style w:type="table" w:styleId="TableGrid">
    <w:name w:val="Table Grid"/>
    <w:basedOn w:val="TableNormal"/>
    <w:uiPriority w:val="59"/>
    <w:rsid w:val="00713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921FD"/>
    <w:rPr>
      <w:sz w:val="16"/>
      <w:szCs w:val="16"/>
    </w:rPr>
  </w:style>
  <w:style w:type="paragraph" w:styleId="CommentText">
    <w:name w:val="annotation text"/>
    <w:basedOn w:val="Normal"/>
    <w:link w:val="CommentTextChar"/>
    <w:rsid w:val="00B921FD"/>
    <w:rPr>
      <w:sz w:val="20"/>
      <w:szCs w:val="20"/>
    </w:rPr>
  </w:style>
  <w:style w:type="character" w:customStyle="1" w:styleId="CommentTextChar">
    <w:name w:val="Comment Text Char"/>
    <w:basedOn w:val="DefaultParagraphFont"/>
    <w:link w:val="CommentText"/>
    <w:rsid w:val="00B921FD"/>
  </w:style>
  <w:style w:type="paragraph" w:customStyle="1" w:styleId="Formtext">
    <w:name w:val="Form text"/>
    <w:basedOn w:val="BodyText1"/>
    <w:rsid w:val="00F93B67"/>
    <w:pPr>
      <w:spacing w:before="240" w:after="0" w:line="240" w:lineRule="auto"/>
    </w:pPr>
    <w:rPr>
      <w:rFonts w:ascii="Arial Narrow" w:hAnsi="Arial Narrow" w:cs="Arial"/>
      <w:color w:val="auto"/>
    </w:rPr>
  </w:style>
  <w:style w:type="paragraph" w:styleId="Header">
    <w:name w:val="header"/>
    <w:basedOn w:val="Normal"/>
    <w:link w:val="HeaderChar"/>
    <w:rsid w:val="00496BBF"/>
    <w:pPr>
      <w:tabs>
        <w:tab w:val="center" w:pos="4153"/>
        <w:tab w:val="right" w:pos="8306"/>
      </w:tabs>
    </w:pPr>
  </w:style>
  <w:style w:type="paragraph" w:styleId="Footer">
    <w:name w:val="footer"/>
    <w:basedOn w:val="Normal"/>
    <w:link w:val="FooterChar"/>
    <w:uiPriority w:val="99"/>
    <w:rsid w:val="00496BBF"/>
    <w:pPr>
      <w:tabs>
        <w:tab w:val="center" w:pos="4153"/>
        <w:tab w:val="right" w:pos="8306"/>
      </w:tabs>
    </w:pPr>
  </w:style>
  <w:style w:type="paragraph" w:styleId="CommentSubject">
    <w:name w:val="annotation subject"/>
    <w:basedOn w:val="CommentText"/>
    <w:next w:val="CommentText"/>
    <w:link w:val="CommentSubjectChar"/>
    <w:rsid w:val="00B921FD"/>
    <w:rPr>
      <w:b/>
      <w:bCs/>
    </w:rPr>
  </w:style>
  <w:style w:type="character" w:customStyle="1" w:styleId="CommentSubjectChar">
    <w:name w:val="Comment Subject Char"/>
    <w:basedOn w:val="CommentTextChar"/>
    <w:link w:val="CommentSubject"/>
    <w:rsid w:val="00B921FD"/>
    <w:rPr>
      <w:b/>
      <w:bCs/>
    </w:rPr>
  </w:style>
  <w:style w:type="paragraph" w:styleId="BalloonText">
    <w:name w:val="Balloon Text"/>
    <w:basedOn w:val="Normal"/>
    <w:link w:val="BalloonTextChar"/>
    <w:rsid w:val="00B921FD"/>
    <w:rPr>
      <w:rFonts w:ascii="Tahoma" w:hAnsi="Tahoma" w:cs="Tahoma"/>
      <w:sz w:val="16"/>
      <w:szCs w:val="16"/>
    </w:rPr>
  </w:style>
  <w:style w:type="character" w:customStyle="1" w:styleId="BalloonTextChar">
    <w:name w:val="Balloon Text Char"/>
    <w:basedOn w:val="DefaultParagraphFont"/>
    <w:link w:val="BalloonText"/>
    <w:rsid w:val="00B921FD"/>
    <w:rPr>
      <w:rFonts w:ascii="Tahoma" w:hAnsi="Tahoma" w:cs="Tahoma"/>
      <w:sz w:val="16"/>
      <w:szCs w:val="16"/>
    </w:rPr>
  </w:style>
  <w:style w:type="character" w:styleId="Hyperlink">
    <w:name w:val="Hyperlink"/>
    <w:basedOn w:val="DefaultParagraphFont"/>
    <w:rsid w:val="00D30186"/>
    <w:rPr>
      <w:color w:val="132F8A"/>
      <w:u w:val="single"/>
    </w:rPr>
  </w:style>
  <w:style w:type="character" w:customStyle="1" w:styleId="FooterChar">
    <w:name w:val="Footer Char"/>
    <w:basedOn w:val="DefaultParagraphFont"/>
    <w:link w:val="Footer"/>
    <w:uiPriority w:val="99"/>
    <w:rsid w:val="00DF7329"/>
    <w:rPr>
      <w:sz w:val="24"/>
      <w:szCs w:val="24"/>
    </w:rPr>
  </w:style>
  <w:style w:type="character" w:customStyle="1" w:styleId="Heading2Char">
    <w:name w:val="Heading 2 Char"/>
    <w:basedOn w:val="DefaultParagraphFont"/>
    <w:link w:val="Heading2"/>
    <w:rsid w:val="00717740"/>
    <w:rPr>
      <w:rFonts w:asciiTheme="minorHAnsi" w:hAnsiTheme="minorHAnsi" w:cstheme="minorHAnsi"/>
      <w:b/>
      <w:noProof/>
      <w:snapToGrid w:val="0"/>
      <w:color w:val="00B2A9"/>
      <w:sz w:val="28"/>
      <w:szCs w:val="28"/>
    </w:rPr>
  </w:style>
  <w:style w:type="paragraph" w:customStyle="1" w:styleId="Normalnum">
    <w:name w:val="Normal (num)"/>
    <w:basedOn w:val="Normal"/>
    <w:rsid w:val="005C39E3"/>
    <w:pPr>
      <w:spacing w:before="120"/>
      <w:ind w:left="709" w:hanging="709"/>
      <w:jc w:val="both"/>
    </w:pPr>
    <w:rPr>
      <w:rFonts w:ascii="Palatino Linotype" w:hAnsi="Palatino Linotype"/>
      <w:sz w:val="21"/>
      <w:szCs w:val="21"/>
    </w:rPr>
  </w:style>
  <w:style w:type="paragraph" w:customStyle="1" w:styleId="Bullettscheck">
    <w:name w:val="Bulletts (check)"/>
    <w:basedOn w:val="Normal"/>
    <w:rsid w:val="005C39E3"/>
    <w:pPr>
      <w:numPr>
        <w:numId w:val="29"/>
      </w:numPr>
    </w:pPr>
    <w:rPr>
      <w:rFonts w:ascii="Palatino Linotype" w:hAnsi="Palatino Linotype"/>
      <w:sz w:val="21"/>
      <w:szCs w:val="21"/>
    </w:rPr>
  </w:style>
  <w:style w:type="paragraph" w:customStyle="1" w:styleId="Checkbox">
    <w:name w:val="Checkbox"/>
    <w:basedOn w:val="Heading3"/>
    <w:rsid w:val="00B848E6"/>
    <w:pPr>
      <w:keepLines w:val="0"/>
      <w:numPr>
        <w:numId w:val="31"/>
      </w:numPr>
      <w:tabs>
        <w:tab w:val="left" w:pos="851"/>
      </w:tabs>
      <w:spacing w:before="240"/>
    </w:pPr>
    <w:rPr>
      <w:rFonts w:ascii="Arial" w:eastAsia="Times New Roman" w:hAnsi="Arial" w:cs="Times New Roman"/>
      <w:bCs w:val="0"/>
      <w:color w:val="auto"/>
    </w:rPr>
  </w:style>
  <w:style w:type="character" w:customStyle="1" w:styleId="Heading3Char">
    <w:name w:val="Heading 3 Char"/>
    <w:basedOn w:val="DefaultParagraphFont"/>
    <w:link w:val="Heading3"/>
    <w:semiHidden/>
    <w:rsid w:val="00B848E6"/>
    <w:rPr>
      <w:rFonts w:asciiTheme="majorHAnsi" w:eastAsiaTheme="majorEastAsia" w:hAnsiTheme="majorHAnsi" w:cstheme="majorBidi"/>
      <w:b/>
      <w:bCs/>
      <w:color w:val="4F81BD" w:themeColor="accent1"/>
      <w:sz w:val="24"/>
      <w:szCs w:val="24"/>
    </w:rPr>
  </w:style>
  <w:style w:type="paragraph" w:customStyle="1" w:styleId="Normalnumbul">
    <w:name w:val="Normal (num bul)"/>
    <w:basedOn w:val="Normal"/>
    <w:rsid w:val="00183F7E"/>
    <w:pPr>
      <w:numPr>
        <w:numId w:val="44"/>
      </w:numPr>
      <w:tabs>
        <w:tab w:val="clear" w:pos="720"/>
        <w:tab w:val="num" w:pos="1620"/>
      </w:tabs>
      <w:spacing w:line="260" w:lineRule="atLeast"/>
      <w:ind w:left="1620"/>
      <w:jc w:val="both"/>
    </w:pPr>
    <w:rPr>
      <w:rFonts w:ascii="Palatino Linotype" w:hAnsi="Palatino Linotype"/>
      <w:sz w:val="21"/>
      <w:szCs w:val="21"/>
    </w:rPr>
  </w:style>
  <w:style w:type="paragraph" w:customStyle="1" w:styleId="Bulletts">
    <w:name w:val="Bulletts"/>
    <w:basedOn w:val="Normal"/>
    <w:rsid w:val="00183F7E"/>
    <w:pPr>
      <w:numPr>
        <w:numId w:val="45"/>
      </w:numPr>
      <w:jc w:val="both"/>
    </w:pPr>
    <w:rPr>
      <w:rFonts w:ascii="Palatino Linotype" w:hAnsi="Palatino Linotype"/>
      <w:sz w:val="21"/>
      <w:szCs w:val="21"/>
    </w:rPr>
  </w:style>
  <w:style w:type="character" w:customStyle="1" w:styleId="HeaderChar">
    <w:name w:val="Header Char"/>
    <w:basedOn w:val="DefaultParagraphFont"/>
    <w:link w:val="Header"/>
    <w:rsid w:val="004809ED"/>
    <w:rPr>
      <w:sz w:val="24"/>
      <w:szCs w:val="24"/>
    </w:rPr>
  </w:style>
  <w:style w:type="character" w:styleId="FollowedHyperlink">
    <w:name w:val="FollowedHyperlink"/>
    <w:basedOn w:val="DefaultParagraphFont"/>
    <w:rsid w:val="004809ED"/>
    <w:rPr>
      <w:color w:val="800080" w:themeColor="followedHyperlink"/>
      <w:u w:val="single"/>
    </w:rPr>
  </w:style>
  <w:style w:type="paragraph" w:customStyle="1" w:styleId="Normalnum2">
    <w:name w:val="Normal (num2)"/>
    <w:basedOn w:val="Normal"/>
    <w:rsid w:val="00764FE4"/>
    <w:pPr>
      <w:ind w:left="1260" w:hanging="540"/>
      <w:jc w:val="both"/>
    </w:pPr>
    <w:rPr>
      <w:rFonts w:ascii="Palatino Linotype" w:hAnsi="Palatino Linotype"/>
      <w:sz w:val="21"/>
      <w:szCs w:val="21"/>
    </w:rPr>
  </w:style>
  <w:style w:type="paragraph" w:customStyle="1" w:styleId="PPVHeader">
    <w:name w:val="PPV Header"/>
    <w:basedOn w:val="Normal"/>
    <w:link w:val="PPVHeaderChar"/>
    <w:qFormat/>
    <w:rsid w:val="00F825D3"/>
    <w:pPr>
      <w:jc w:val="both"/>
    </w:pPr>
    <w:rPr>
      <w:rFonts w:asciiTheme="minorHAnsi" w:hAnsiTheme="minorHAnsi" w:cstheme="minorHAnsi"/>
      <w:b/>
      <w:noProof/>
      <w:sz w:val="48"/>
      <w:szCs w:val="48"/>
    </w:rPr>
  </w:style>
  <w:style w:type="character" w:customStyle="1" w:styleId="PPVHeaderChar">
    <w:name w:val="PPV Header Char"/>
    <w:basedOn w:val="DefaultParagraphFont"/>
    <w:link w:val="PPVHeader"/>
    <w:rsid w:val="00F825D3"/>
    <w:rPr>
      <w:rFonts w:asciiTheme="minorHAnsi" w:hAnsiTheme="minorHAnsi" w:cstheme="minorHAnsi"/>
      <w:b/>
      <w:noProof/>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lanning.vic.gov.au/panels-and-committees/planning-panels-victoria"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CF103-F0F7-481E-B542-EEE979DDF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SPSR guidelines for managing submissions</vt:lpstr>
    </vt:vector>
  </TitlesOfParts>
  <Company>DSEDPI</Company>
  <LinksUpToDate>false</LinksUpToDate>
  <CharactersWithSpaces>6240</CharactersWithSpaces>
  <SharedDoc>false</SharedDoc>
  <HLinks>
    <vt:vector size="18" baseType="variant">
      <vt:variant>
        <vt:i4>7405601</vt:i4>
      </vt:variant>
      <vt:variant>
        <vt:i4>18</vt:i4>
      </vt:variant>
      <vt:variant>
        <vt:i4>0</vt:i4>
      </vt:variant>
      <vt:variant>
        <vt:i4>5</vt:i4>
      </vt:variant>
      <vt:variant>
        <vt:lpwstr>http://www.dpcd.vic.gov.au/</vt:lpwstr>
      </vt:variant>
      <vt:variant>
        <vt:lpwstr/>
      </vt:variant>
      <vt:variant>
        <vt:i4>7405601</vt:i4>
      </vt:variant>
      <vt:variant>
        <vt:i4>13</vt:i4>
      </vt:variant>
      <vt:variant>
        <vt:i4>0</vt:i4>
      </vt:variant>
      <vt:variant>
        <vt:i4>5</vt:i4>
      </vt:variant>
      <vt:variant>
        <vt:lpwstr>http://www.dpcd.vic.gov.au/</vt:lpwstr>
      </vt:variant>
      <vt:variant>
        <vt:lpwstr/>
      </vt:variant>
      <vt:variant>
        <vt:i4>7340037</vt:i4>
      </vt:variant>
      <vt:variant>
        <vt:i4>4</vt:i4>
      </vt:variant>
      <vt:variant>
        <vt:i4>0</vt:i4>
      </vt:variant>
      <vt:variant>
        <vt:i4>5</vt:i4>
      </vt:variant>
      <vt:variant>
        <vt:lpwstr>mailto:planning.panels@dpcd.vic.gov.au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SPSR guidelines for managing submissions</dc:title>
  <dc:creator>Colleen Dooley</dc:creator>
  <cp:lastModifiedBy>Con Tsotsoros</cp:lastModifiedBy>
  <cp:revision>12</cp:revision>
  <cp:lastPrinted>2016-12-22T06:02:00Z</cp:lastPrinted>
  <dcterms:created xsi:type="dcterms:W3CDTF">2013-12-11T04:57:00Z</dcterms:created>
  <dcterms:modified xsi:type="dcterms:W3CDTF">2017-04-20T04:03:00Z</dcterms:modified>
</cp:coreProperties>
</file>