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9EA" w:rsidRPr="005149EA" w:rsidRDefault="005149EA" w:rsidP="005149EA">
      <w:pPr>
        <w:rPr>
          <w:rFonts w:cs="Helvetica 45 Light"/>
          <w:b/>
          <w:color w:val="221E1F"/>
          <w:sz w:val="52"/>
          <w:szCs w:val="52"/>
        </w:rPr>
      </w:pPr>
      <w:r w:rsidRPr="005149EA">
        <w:rPr>
          <w:rFonts w:cs="Helvetica 45 Light"/>
          <w:b/>
          <w:color w:val="008B80"/>
          <w:sz w:val="52"/>
          <w:szCs w:val="52"/>
        </w:rPr>
        <w:t>Victorian Population Bulletin 2013</w:t>
      </w:r>
    </w:p>
    <w:p w:rsidR="005149EA" w:rsidRDefault="005149EA">
      <w:pPr>
        <w:rPr>
          <w:rFonts w:cs="Helvetica 45 Light"/>
          <w:color w:val="008B80"/>
          <w:sz w:val="28"/>
          <w:szCs w:val="28"/>
        </w:rPr>
      </w:pPr>
      <w:r w:rsidRPr="005149EA">
        <w:rPr>
          <w:rFonts w:cs="Helvetica 45 Light"/>
          <w:color w:val="008B80"/>
          <w:sz w:val="28"/>
          <w:szCs w:val="28"/>
        </w:rPr>
        <w:t>ISSN 1834-6650</w:t>
      </w:r>
    </w:p>
    <w:p w:rsidR="005149EA" w:rsidRPr="005149EA" w:rsidRDefault="005149EA">
      <w:pPr>
        <w:rPr>
          <w:rFonts w:cs="Helvetica 45 Light"/>
          <w:color w:val="008B80"/>
          <w:sz w:val="28"/>
          <w:szCs w:val="28"/>
        </w:rPr>
      </w:pPr>
    </w:p>
    <w:p w:rsidR="00FF156F" w:rsidRDefault="00FF156F">
      <w:pPr>
        <w:rPr>
          <w:rFonts w:cs="Helvetica 45 Light"/>
          <w:color w:val="221E1F"/>
          <w:sz w:val="19"/>
          <w:szCs w:val="19"/>
        </w:rPr>
      </w:pPr>
      <w:r>
        <w:rPr>
          <w:rFonts w:cs="Helvetica 45 Light"/>
          <w:color w:val="008B80"/>
          <w:sz w:val="40"/>
          <w:szCs w:val="40"/>
        </w:rPr>
        <w:t>Introduction</w:t>
      </w:r>
    </w:p>
    <w:p w:rsidR="00584176" w:rsidRPr="00FF156F" w:rsidRDefault="00FF156F">
      <w:pPr>
        <w:rPr>
          <w:rFonts w:cs="Helvetica 45 Light"/>
          <w:color w:val="221E1F"/>
          <w:sz w:val="20"/>
          <w:szCs w:val="20"/>
        </w:rPr>
      </w:pPr>
      <w:r w:rsidRPr="00FF156F">
        <w:rPr>
          <w:rFonts w:cs="Helvetica 45 Light"/>
          <w:color w:val="221E1F"/>
          <w:sz w:val="20"/>
          <w:szCs w:val="20"/>
        </w:rPr>
        <w:t xml:space="preserve">The </w:t>
      </w:r>
      <w:r w:rsidRPr="00FF156F">
        <w:rPr>
          <w:rFonts w:cs="Helvetica 45 Light"/>
          <w:i/>
          <w:iCs/>
          <w:color w:val="221E1F"/>
          <w:sz w:val="20"/>
          <w:szCs w:val="20"/>
        </w:rPr>
        <w:t xml:space="preserve">Victorian Population Bulletin </w:t>
      </w:r>
      <w:r w:rsidRPr="00FF156F">
        <w:rPr>
          <w:rFonts w:cs="Helvetica 45 Light"/>
          <w:color w:val="221E1F"/>
          <w:sz w:val="20"/>
          <w:szCs w:val="20"/>
        </w:rPr>
        <w:t xml:space="preserve">provides a valuable snapshot of information on population change and the basic drivers behind that change. The data reported here are the latest estimates and figures from the Australian Bureau of Statistics (ABS), relating to the estimated resident population (ERP) at 30 June 2012. The </w:t>
      </w:r>
      <w:r w:rsidRPr="00FF156F">
        <w:rPr>
          <w:rFonts w:cs="Helvetica 45 Light"/>
          <w:i/>
          <w:iCs/>
          <w:color w:val="221E1F"/>
          <w:sz w:val="20"/>
          <w:szCs w:val="20"/>
        </w:rPr>
        <w:t xml:space="preserve">Victorian Population Bulletin </w:t>
      </w:r>
      <w:r w:rsidRPr="00FF156F">
        <w:rPr>
          <w:rFonts w:cs="Helvetica 45 Light"/>
          <w:color w:val="221E1F"/>
          <w:sz w:val="20"/>
          <w:szCs w:val="20"/>
        </w:rPr>
        <w:t>provides volume and growth rates for the states and capital cities, and for the 79 Local Government Areas (LGAs) of Victoria. The estimates in this issue are preliminary rebased for 2011, based on the results of the 2011 Census, and preliminary for 2012. The ABS advises that, once 2011 population estimates are finalised, 2012 sub-state estimates will also be revised and released on 30 August 2013. The 2011-12 growth rates released in this issue of Regional Population Growth, Australia, 2011-12 (cat. no. 3218.0) will generally be applied to the new 2011 base to give updated 2012 estimates.</w:t>
      </w:r>
    </w:p>
    <w:p w:rsidR="00FF156F" w:rsidRDefault="00FF156F">
      <w:pPr>
        <w:rPr>
          <w:rFonts w:cs="Helvetica 45 Light"/>
          <w:color w:val="221E1F"/>
          <w:sz w:val="19"/>
          <w:szCs w:val="19"/>
        </w:rPr>
      </w:pPr>
    </w:p>
    <w:p w:rsidR="00FF156F" w:rsidRDefault="00FF156F">
      <w:pPr>
        <w:rPr>
          <w:rFonts w:cs="Helvetica 45 Light"/>
          <w:color w:val="221E1F"/>
          <w:sz w:val="19"/>
          <w:szCs w:val="19"/>
        </w:rPr>
      </w:pPr>
      <w:r>
        <w:rPr>
          <w:rStyle w:val="A7"/>
        </w:rPr>
        <w:t>Highlights of population change 2011 – 2012</w:t>
      </w:r>
    </w:p>
    <w:p w:rsidR="00FF156F" w:rsidRDefault="00FF156F" w:rsidP="00FF156F">
      <w:pPr>
        <w:pStyle w:val="Default"/>
      </w:pPr>
    </w:p>
    <w:p w:rsidR="00FF156F" w:rsidRPr="00FF156F" w:rsidRDefault="00FF156F" w:rsidP="00FF156F">
      <w:pPr>
        <w:pStyle w:val="Default"/>
        <w:numPr>
          <w:ilvl w:val="0"/>
          <w:numId w:val="1"/>
        </w:numPr>
        <w:rPr>
          <w:rFonts w:asciiTheme="minorHAnsi" w:hAnsiTheme="minorHAnsi" w:cstheme="minorHAnsi"/>
          <w:color w:val="221E1F"/>
          <w:sz w:val="20"/>
          <w:szCs w:val="20"/>
        </w:rPr>
      </w:pPr>
      <w:r w:rsidRPr="00FF156F">
        <w:rPr>
          <w:rFonts w:asciiTheme="minorHAnsi" w:hAnsiTheme="minorHAnsi" w:cstheme="minorHAnsi"/>
          <w:color w:val="221E1F"/>
          <w:sz w:val="20"/>
          <w:szCs w:val="20"/>
        </w:rPr>
        <w:t>Australia’s ERP reached 22.7 million at 30 June 2012, an increase of 359,600 people over the previous year. This represents a growth rate of 1.6% (see table in Figure 7).</w:t>
      </w:r>
    </w:p>
    <w:p w:rsidR="00FF156F" w:rsidRPr="00FF156F" w:rsidRDefault="00FF156F" w:rsidP="00FF156F">
      <w:pPr>
        <w:pStyle w:val="Default"/>
        <w:rPr>
          <w:rFonts w:asciiTheme="minorHAnsi" w:hAnsiTheme="minorHAnsi" w:cstheme="minorHAnsi"/>
          <w:color w:val="221E1F"/>
          <w:sz w:val="20"/>
          <w:szCs w:val="20"/>
        </w:rPr>
      </w:pPr>
    </w:p>
    <w:p w:rsidR="00FF156F" w:rsidRPr="00FF156F" w:rsidRDefault="00FF156F" w:rsidP="00FF156F">
      <w:pPr>
        <w:pStyle w:val="Default"/>
        <w:numPr>
          <w:ilvl w:val="0"/>
          <w:numId w:val="1"/>
        </w:numPr>
        <w:rPr>
          <w:rFonts w:asciiTheme="minorHAnsi" w:hAnsiTheme="minorHAnsi" w:cstheme="minorHAnsi"/>
          <w:color w:val="221E1F"/>
          <w:sz w:val="20"/>
          <w:szCs w:val="20"/>
        </w:rPr>
      </w:pPr>
      <w:r w:rsidRPr="00FF156F">
        <w:rPr>
          <w:rFonts w:asciiTheme="minorHAnsi" w:hAnsiTheme="minorHAnsi" w:cstheme="minorHAnsi"/>
          <w:color w:val="221E1F"/>
          <w:sz w:val="20"/>
          <w:szCs w:val="20"/>
        </w:rPr>
        <w:t xml:space="preserve">Victoria’s ERP at 30 June 2012 was 5.62 million, an increase of 1.6% (89,000 persons) since 30 June 2011. This is higher than the estimated growth over the previous year, 2010-11 (66,100 persons), but significantly lower than the growth in 2008-09 (102,000 persons). </w:t>
      </w:r>
    </w:p>
    <w:p w:rsidR="00FF156F" w:rsidRPr="00FF156F" w:rsidRDefault="00FF156F" w:rsidP="00FF156F">
      <w:pPr>
        <w:pStyle w:val="Default"/>
        <w:rPr>
          <w:rFonts w:asciiTheme="minorHAnsi" w:hAnsiTheme="minorHAnsi" w:cstheme="minorHAnsi"/>
          <w:color w:val="221E1F"/>
          <w:sz w:val="20"/>
          <w:szCs w:val="20"/>
        </w:rPr>
      </w:pPr>
    </w:p>
    <w:p w:rsidR="00FF156F" w:rsidRPr="00FF156F" w:rsidRDefault="00FF156F" w:rsidP="00FF156F">
      <w:pPr>
        <w:pStyle w:val="Default"/>
        <w:numPr>
          <w:ilvl w:val="0"/>
          <w:numId w:val="1"/>
        </w:numPr>
        <w:rPr>
          <w:rFonts w:asciiTheme="minorHAnsi" w:hAnsiTheme="minorHAnsi" w:cstheme="minorHAnsi"/>
          <w:color w:val="221E1F"/>
          <w:sz w:val="20"/>
          <w:szCs w:val="20"/>
        </w:rPr>
      </w:pPr>
      <w:r w:rsidRPr="00FF156F">
        <w:rPr>
          <w:rFonts w:asciiTheme="minorHAnsi" w:hAnsiTheme="minorHAnsi" w:cstheme="minorHAnsi"/>
          <w:color w:val="221E1F"/>
          <w:sz w:val="20"/>
          <w:szCs w:val="20"/>
        </w:rPr>
        <w:t>The annual growth rate of Metropolitan Melbourne (31 LGAs) was 1.8% (see map in Figure 4). The absolute increase for the year ended 30 June 2012 was 75,400 persons, a growth of approximately 1,450 persons per week.</w:t>
      </w:r>
    </w:p>
    <w:p w:rsidR="00FF156F" w:rsidRPr="00FF156F" w:rsidRDefault="00FF156F" w:rsidP="00FF156F">
      <w:pPr>
        <w:pStyle w:val="Default"/>
        <w:rPr>
          <w:rFonts w:asciiTheme="minorHAnsi" w:hAnsiTheme="minorHAnsi" w:cstheme="minorHAnsi"/>
          <w:color w:val="221E1F"/>
          <w:sz w:val="20"/>
          <w:szCs w:val="20"/>
        </w:rPr>
      </w:pPr>
    </w:p>
    <w:p w:rsidR="00FF156F" w:rsidRPr="00FF156F" w:rsidRDefault="00FF156F" w:rsidP="00FF156F">
      <w:pPr>
        <w:pStyle w:val="Default"/>
        <w:numPr>
          <w:ilvl w:val="0"/>
          <w:numId w:val="1"/>
        </w:numPr>
        <w:rPr>
          <w:rFonts w:asciiTheme="minorHAnsi" w:hAnsiTheme="minorHAnsi" w:cstheme="minorHAnsi"/>
          <w:color w:val="221E1F"/>
          <w:sz w:val="20"/>
          <w:szCs w:val="20"/>
        </w:rPr>
      </w:pPr>
      <w:r w:rsidRPr="00FF156F">
        <w:rPr>
          <w:rFonts w:asciiTheme="minorHAnsi" w:hAnsiTheme="minorHAnsi" w:cstheme="minorHAnsi"/>
          <w:color w:val="221E1F"/>
          <w:sz w:val="20"/>
          <w:szCs w:val="20"/>
        </w:rPr>
        <w:t xml:space="preserve">The population of regional Victoria (48 LGAs) increased by 13,500 persons, representing a growth rate of 0.9% (see map in Figure 3). </w:t>
      </w:r>
    </w:p>
    <w:p w:rsidR="00FF156F" w:rsidRPr="00FF156F" w:rsidRDefault="00FF156F" w:rsidP="00FF156F">
      <w:pPr>
        <w:pStyle w:val="Default"/>
        <w:rPr>
          <w:rFonts w:asciiTheme="minorHAnsi" w:hAnsiTheme="minorHAnsi" w:cstheme="minorHAnsi"/>
          <w:color w:val="221E1F"/>
          <w:sz w:val="20"/>
          <w:szCs w:val="20"/>
        </w:rPr>
      </w:pPr>
    </w:p>
    <w:p w:rsidR="00FF156F" w:rsidRPr="00FF156F" w:rsidRDefault="00FF156F" w:rsidP="00FF156F">
      <w:pPr>
        <w:pStyle w:val="Default"/>
        <w:numPr>
          <w:ilvl w:val="0"/>
          <w:numId w:val="1"/>
        </w:numPr>
        <w:rPr>
          <w:rFonts w:asciiTheme="minorHAnsi" w:hAnsiTheme="minorHAnsi" w:cstheme="minorHAnsi"/>
          <w:color w:val="221E1F"/>
          <w:sz w:val="20"/>
          <w:szCs w:val="20"/>
        </w:rPr>
      </w:pPr>
      <w:r w:rsidRPr="00FF156F">
        <w:rPr>
          <w:rFonts w:asciiTheme="minorHAnsi" w:hAnsiTheme="minorHAnsi" w:cstheme="minorHAnsi"/>
          <w:color w:val="221E1F"/>
          <w:sz w:val="20"/>
          <w:szCs w:val="20"/>
        </w:rPr>
        <w:t>There were three Victorian LGAs amongst the ten largest growing municipalities in Australia for the year ended 30 June 2012. These were Wyndham (up 12,650 or 7.6%), Whittlesea (up 8,600 or 5.4%) and Casey (up 6,500 persons or 2.5%). All are located on Melbourne’s urban fringe (see Figure 1 below).</w:t>
      </w:r>
    </w:p>
    <w:p w:rsidR="00FF156F" w:rsidRDefault="00FF156F"/>
    <w:p w:rsidR="00FF156F" w:rsidRDefault="00FF156F">
      <w:r>
        <w:rPr>
          <w:rFonts w:cs="Helvetica 45 Light"/>
          <w:color w:val="008B80"/>
          <w:sz w:val="40"/>
          <w:szCs w:val="40"/>
        </w:rPr>
        <w:t>Regional Victoria</w:t>
      </w:r>
    </w:p>
    <w:p w:rsidR="00FF156F" w:rsidRPr="00FF156F" w:rsidRDefault="00FF156F" w:rsidP="00FF156F">
      <w:pPr>
        <w:pStyle w:val="Default"/>
        <w:numPr>
          <w:ilvl w:val="0"/>
          <w:numId w:val="1"/>
        </w:numPr>
        <w:rPr>
          <w:rFonts w:asciiTheme="minorHAnsi" w:hAnsiTheme="minorHAnsi" w:cstheme="minorHAnsi"/>
          <w:color w:val="221E1F"/>
          <w:sz w:val="20"/>
          <w:szCs w:val="20"/>
        </w:rPr>
      </w:pPr>
      <w:r w:rsidRPr="00FF156F">
        <w:rPr>
          <w:rFonts w:asciiTheme="minorHAnsi" w:hAnsiTheme="minorHAnsi" w:cstheme="minorHAnsi"/>
          <w:color w:val="221E1F"/>
          <w:sz w:val="20"/>
          <w:szCs w:val="20"/>
        </w:rPr>
        <w:t xml:space="preserve">For the year ended 30 June 2012 the population of regional Victoria (48 LGAs) grew to 1,439,517, an increase of 13,532 persons over the previous year, or 0.9%. </w:t>
      </w:r>
    </w:p>
    <w:p w:rsidR="00FF156F" w:rsidRPr="00FF156F" w:rsidRDefault="00FF156F" w:rsidP="00FF156F">
      <w:pPr>
        <w:pStyle w:val="Default"/>
        <w:rPr>
          <w:rFonts w:asciiTheme="minorHAnsi" w:hAnsiTheme="minorHAnsi" w:cstheme="minorHAnsi"/>
          <w:color w:val="221E1F"/>
          <w:sz w:val="20"/>
          <w:szCs w:val="20"/>
        </w:rPr>
      </w:pPr>
    </w:p>
    <w:p w:rsidR="00FF156F" w:rsidRPr="00FF156F" w:rsidRDefault="00FF156F" w:rsidP="00FF156F">
      <w:pPr>
        <w:pStyle w:val="Default"/>
        <w:numPr>
          <w:ilvl w:val="0"/>
          <w:numId w:val="1"/>
        </w:numPr>
        <w:rPr>
          <w:rFonts w:asciiTheme="minorHAnsi" w:hAnsiTheme="minorHAnsi" w:cstheme="minorHAnsi"/>
          <w:color w:val="221E1F"/>
          <w:sz w:val="20"/>
          <w:szCs w:val="20"/>
        </w:rPr>
      </w:pPr>
      <w:r w:rsidRPr="00FF156F">
        <w:rPr>
          <w:rFonts w:asciiTheme="minorHAnsi" w:hAnsiTheme="minorHAnsi" w:cstheme="minorHAnsi"/>
          <w:color w:val="221E1F"/>
          <w:sz w:val="20"/>
          <w:szCs w:val="20"/>
        </w:rPr>
        <w:lastRenderedPageBreak/>
        <w:t xml:space="preserve">The fastest growing LGAs in regional Victoria were generally located in peri-urban areas close to Melbourne or Geelong. The highest rate recorded was in Mitchell (3.2%), which is now partially included in the Melbourne Urban Growth Boundary. Surf Coast (2.5%), Golden Plains (2.4%), Moorabool (2.3%) and Baw </w:t>
      </w:r>
      <w:proofErr w:type="spellStart"/>
      <w:r w:rsidRPr="00FF156F">
        <w:rPr>
          <w:rFonts w:asciiTheme="minorHAnsi" w:hAnsiTheme="minorHAnsi" w:cstheme="minorHAnsi"/>
          <w:color w:val="221E1F"/>
          <w:sz w:val="20"/>
          <w:szCs w:val="20"/>
        </w:rPr>
        <w:t>Baw</w:t>
      </w:r>
      <w:proofErr w:type="spellEnd"/>
      <w:r w:rsidRPr="00FF156F">
        <w:rPr>
          <w:rFonts w:asciiTheme="minorHAnsi" w:hAnsiTheme="minorHAnsi" w:cstheme="minorHAnsi"/>
          <w:color w:val="221E1F"/>
          <w:sz w:val="20"/>
          <w:szCs w:val="20"/>
        </w:rPr>
        <w:t xml:space="preserve"> (2.2%) also experienced higher than average growth rates. In terms of absolute growth, the LGAs with regional centres recorded the highest amounts. Largely because of their size, Greater Geelong (up 2,423 persons), Ballarat (up 1,745) and Greater Bendigo (up 1,682) recorded the highest volumes of growth. Combined, these three LGAs accounted for 43% of regional Victoria’s population growth.</w:t>
      </w:r>
    </w:p>
    <w:p w:rsidR="00FF156F" w:rsidRPr="00FF156F" w:rsidRDefault="00FF156F" w:rsidP="00FF156F">
      <w:pPr>
        <w:pStyle w:val="Default"/>
        <w:rPr>
          <w:rFonts w:asciiTheme="minorHAnsi" w:hAnsiTheme="minorHAnsi" w:cstheme="minorHAnsi"/>
          <w:color w:val="221E1F"/>
          <w:sz w:val="20"/>
          <w:szCs w:val="20"/>
        </w:rPr>
      </w:pPr>
    </w:p>
    <w:p w:rsidR="00FF156F" w:rsidRPr="00FF156F" w:rsidRDefault="00FF156F" w:rsidP="00FF156F">
      <w:pPr>
        <w:pStyle w:val="Default"/>
        <w:numPr>
          <w:ilvl w:val="0"/>
          <w:numId w:val="1"/>
        </w:numPr>
        <w:rPr>
          <w:rFonts w:asciiTheme="minorHAnsi" w:hAnsiTheme="minorHAnsi" w:cstheme="minorHAnsi"/>
          <w:color w:val="221E1F"/>
          <w:sz w:val="20"/>
          <w:szCs w:val="20"/>
        </w:rPr>
      </w:pPr>
      <w:r w:rsidRPr="00FF156F">
        <w:rPr>
          <w:rFonts w:asciiTheme="minorHAnsi" w:hAnsiTheme="minorHAnsi" w:cstheme="minorHAnsi"/>
          <w:color w:val="221E1F"/>
          <w:sz w:val="20"/>
          <w:szCs w:val="20"/>
        </w:rPr>
        <w:t xml:space="preserve">Several LGAs in regional Victoria recorded small population losses in 2011-2012. Most of these were located in the dryland agricultural region in the west of the state. It should be noted that in numerical terms this amounted to losses of between 2 and 179 persons in any LGA. </w:t>
      </w:r>
    </w:p>
    <w:p w:rsidR="00FF156F" w:rsidRDefault="00FF156F"/>
    <w:p w:rsidR="00FF156F" w:rsidRDefault="00FF156F">
      <w:pPr>
        <w:rPr>
          <w:rFonts w:cs="Helvetica 45 Light"/>
          <w:color w:val="008B80"/>
          <w:sz w:val="40"/>
          <w:szCs w:val="40"/>
        </w:rPr>
      </w:pPr>
      <w:r>
        <w:rPr>
          <w:rFonts w:cs="Helvetica 45 Light"/>
          <w:color w:val="008B80"/>
          <w:sz w:val="40"/>
          <w:szCs w:val="40"/>
        </w:rPr>
        <w:t>Metropolitan Melbourne</w:t>
      </w:r>
    </w:p>
    <w:p w:rsidR="00FF156F" w:rsidRPr="005149EA" w:rsidRDefault="00FF156F" w:rsidP="00FF156F">
      <w:pPr>
        <w:pStyle w:val="Default"/>
        <w:rPr>
          <w:rFonts w:asciiTheme="minorHAnsi" w:hAnsiTheme="minorHAnsi" w:cstheme="minorHAnsi"/>
          <w:sz w:val="20"/>
          <w:szCs w:val="20"/>
        </w:rPr>
      </w:pPr>
    </w:p>
    <w:p w:rsidR="00FF156F" w:rsidRPr="005149EA" w:rsidRDefault="00FF156F" w:rsidP="00FF156F">
      <w:pPr>
        <w:pStyle w:val="Default"/>
        <w:numPr>
          <w:ilvl w:val="0"/>
          <w:numId w:val="3"/>
        </w:numPr>
        <w:rPr>
          <w:rFonts w:asciiTheme="minorHAnsi" w:hAnsiTheme="minorHAnsi" w:cstheme="minorHAnsi"/>
          <w:color w:val="221E1F"/>
          <w:sz w:val="20"/>
          <w:szCs w:val="20"/>
        </w:rPr>
      </w:pPr>
      <w:r w:rsidRPr="005149EA">
        <w:rPr>
          <w:rFonts w:asciiTheme="minorHAnsi" w:hAnsiTheme="minorHAnsi" w:cstheme="minorHAnsi"/>
          <w:color w:val="221E1F"/>
          <w:sz w:val="20"/>
          <w:szCs w:val="20"/>
        </w:rPr>
        <w:t>For the year ended 30 June 2012, the population of the 31 Metropolitan LGAs grew to nearly 4.2 million persons (4,183,975). This represented an increase of 75,434 persons or 1.8%.</w:t>
      </w:r>
    </w:p>
    <w:p w:rsidR="00FF156F" w:rsidRPr="005149EA" w:rsidRDefault="00FF156F" w:rsidP="00FF156F">
      <w:pPr>
        <w:pStyle w:val="Default"/>
        <w:rPr>
          <w:rFonts w:asciiTheme="minorHAnsi" w:hAnsiTheme="minorHAnsi" w:cstheme="minorHAnsi"/>
          <w:color w:val="221E1F"/>
          <w:sz w:val="20"/>
          <w:szCs w:val="20"/>
        </w:rPr>
      </w:pPr>
    </w:p>
    <w:p w:rsidR="00FF156F" w:rsidRPr="005149EA" w:rsidRDefault="00FF156F" w:rsidP="00FF156F">
      <w:pPr>
        <w:pStyle w:val="Default"/>
        <w:numPr>
          <w:ilvl w:val="0"/>
          <w:numId w:val="3"/>
        </w:numPr>
        <w:rPr>
          <w:rFonts w:asciiTheme="minorHAnsi" w:hAnsiTheme="minorHAnsi" w:cstheme="minorHAnsi"/>
          <w:color w:val="221E1F"/>
          <w:sz w:val="20"/>
          <w:szCs w:val="20"/>
        </w:rPr>
      </w:pPr>
      <w:r w:rsidRPr="005149EA">
        <w:rPr>
          <w:rFonts w:asciiTheme="minorHAnsi" w:hAnsiTheme="minorHAnsi" w:cstheme="minorHAnsi"/>
          <w:color w:val="221E1F"/>
          <w:sz w:val="20"/>
          <w:szCs w:val="20"/>
        </w:rPr>
        <w:t xml:space="preserve">All but two LGAs in Metropolitan Melbourne recorded population growth in the year ended 30 June 2012. </w:t>
      </w:r>
    </w:p>
    <w:p w:rsidR="00FF156F" w:rsidRPr="005149EA" w:rsidRDefault="00FF156F" w:rsidP="00FF156F">
      <w:pPr>
        <w:pStyle w:val="Default"/>
        <w:rPr>
          <w:rFonts w:asciiTheme="minorHAnsi" w:hAnsiTheme="minorHAnsi" w:cstheme="minorHAnsi"/>
          <w:color w:val="221E1F"/>
          <w:sz w:val="20"/>
          <w:szCs w:val="20"/>
        </w:rPr>
      </w:pPr>
    </w:p>
    <w:p w:rsidR="00FF156F" w:rsidRPr="005149EA" w:rsidRDefault="00FF156F" w:rsidP="00FF156F">
      <w:pPr>
        <w:pStyle w:val="Default"/>
        <w:numPr>
          <w:ilvl w:val="0"/>
          <w:numId w:val="3"/>
        </w:numPr>
        <w:rPr>
          <w:rFonts w:asciiTheme="minorHAnsi" w:hAnsiTheme="minorHAnsi" w:cstheme="minorHAnsi"/>
          <w:color w:val="221E1F"/>
          <w:sz w:val="20"/>
          <w:szCs w:val="20"/>
        </w:rPr>
      </w:pPr>
      <w:r w:rsidRPr="005149EA">
        <w:rPr>
          <w:rFonts w:asciiTheme="minorHAnsi" w:hAnsiTheme="minorHAnsi" w:cstheme="minorHAnsi"/>
          <w:color w:val="221E1F"/>
          <w:sz w:val="20"/>
          <w:szCs w:val="20"/>
        </w:rPr>
        <w:t xml:space="preserve">The three LGAs with the highest growth rates were located on the urban fringe: Wyndham (7.6%), Cardinia (5.6%), </w:t>
      </w:r>
      <w:proofErr w:type="gramStart"/>
      <w:r w:rsidRPr="005149EA">
        <w:rPr>
          <w:rFonts w:asciiTheme="minorHAnsi" w:hAnsiTheme="minorHAnsi" w:cstheme="minorHAnsi"/>
          <w:color w:val="221E1F"/>
          <w:sz w:val="20"/>
          <w:szCs w:val="20"/>
        </w:rPr>
        <w:t>Whittlesea</w:t>
      </w:r>
      <w:proofErr w:type="gramEnd"/>
      <w:r w:rsidRPr="005149EA">
        <w:rPr>
          <w:rFonts w:asciiTheme="minorHAnsi" w:hAnsiTheme="minorHAnsi" w:cstheme="minorHAnsi"/>
          <w:color w:val="221E1F"/>
          <w:sz w:val="20"/>
          <w:szCs w:val="20"/>
        </w:rPr>
        <w:t xml:space="preserve"> (5.4%). The City of Melbourne was fourth with 5.1% and Melton had the fifth highest growth rate (4.7%).</w:t>
      </w:r>
    </w:p>
    <w:p w:rsidR="00FF156F" w:rsidRPr="005149EA" w:rsidRDefault="00FF156F" w:rsidP="00FF156F">
      <w:pPr>
        <w:pStyle w:val="Default"/>
        <w:rPr>
          <w:rFonts w:asciiTheme="minorHAnsi" w:hAnsiTheme="minorHAnsi" w:cstheme="minorHAnsi"/>
          <w:color w:val="221E1F"/>
          <w:sz w:val="20"/>
          <w:szCs w:val="20"/>
        </w:rPr>
      </w:pPr>
    </w:p>
    <w:p w:rsidR="00FF156F" w:rsidRPr="005149EA" w:rsidRDefault="00FF156F" w:rsidP="00FF156F">
      <w:pPr>
        <w:pStyle w:val="Default"/>
        <w:numPr>
          <w:ilvl w:val="0"/>
          <w:numId w:val="3"/>
        </w:numPr>
        <w:rPr>
          <w:rFonts w:asciiTheme="minorHAnsi" w:hAnsiTheme="minorHAnsi" w:cstheme="minorHAnsi"/>
          <w:color w:val="221E1F"/>
          <w:sz w:val="20"/>
          <w:szCs w:val="20"/>
        </w:rPr>
      </w:pPr>
      <w:r w:rsidRPr="005149EA">
        <w:rPr>
          <w:rFonts w:asciiTheme="minorHAnsi" w:hAnsiTheme="minorHAnsi" w:cstheme="minorHAnsi"/>
          <w:color w:val="221E1F"/>
          <w:sz w:val="20"/>
          <w:szCs w:val="20"/>
        </w:rPr>
        <w:t>The LGAs with the highest volumes of growth were all on the urban fringe: Wyndham (12,649), Whittlesea (8,593), Casey (6,487) and Melton (5,252).</w:t>
      </w:r>
    </w:p>
    <w:p w:rsidR="00FF156F" w:rsidRPr="005149EA" w:rsidRDefault="00FF156F" w:rsidP="00FF156F">
      <w:pPr>
        <w:pStyle w:val="Default"/>
        <w:rPr>
          <w:rFonts w:asciiTheme="minorHAnsi" w:hAnsiTheme="minorHAnsi" w:cstheme="minorHAnsi"/>
          <w:color w:val="221E1F"/>
          <w:sz w:val="20"/>
          <w:szCs w:val="20"/>
        </w:rPr>
      </w:pPr>
    </w:p>
    <w:p w:rsidR="00FF156F" w:rsidRPr="005149EA" w:rsidRDefault="00FF156F" w:rsidP="00FF156F">
      <w:pPr>
        <w:pStyle w:val="Default"/>
        <w:numPr>
          <w:ilvl w:val="0"/>
          <w:numId w:val="3"/>
        </w:numPr>
        <w:rPr>
          <w:rFonts w:asciiTheme="minorHAnsi" w:hAnsiTheme="minorHAnsi" w:cstheme="minorHAnsi"/>
          <w:color w:val="221E1F"/>
          <w:sz w:val="20"/>
          <w:szCs w:val="20"/>
        </w:rPr>
      </w:pPr>
      <w:r w:rsidRPr="005149EA">
        <w:rPr>
          <w:rFonts w:asciiTheme="minorHAnsi" w:hAnsiTheme="minorHAnsi" w:cstheme="minorHAnsi"/>
          <w:color w:val="221E1F"/>
          <w:sz w:val="20"/>
          <w:szCs w:val="20"/>
        </w:rPr>
        <w:t>Knox and Nillumbik experienced small losses of population (less than 100 persons).</w:t>
      </w:r>
    </w:p>
    <w:p w:rsidR="00FF156F" w:rsidRDefault="00FF156F"/>
    <w:p w:rsidR="00FF156F" w:rsidRDefault="00FF156F">
      <w:pPr>
        <w:rPr>
          <w:rStyle w:val="A7"/>
        </w:rPr>
      </w:pPr>
      <w:r>
        <w:rPr>
          <w:rStyle w:val="A7"/>
        </w:rPr>
        <w:t>National, State and Territory population growth</w:t>
      </w:r>
    </w:p>
    <w:p w:rsidR="00FF156F" w:rsidRPr="005149EA" w:rsidRDefault="00FF156F" w:rsidP="00FF156F">
      <w:pPr>
        <w:pStyle w:val="Default"/>
        <w:numPr>
          <w:ilvl w:val="0"/>
          <w:numId w:val="5"/>
        </w:numPr>
        <w:rPr>
          <w:rFonts w:asciiTheme="minorHAnsi" w:hAnsiTheme="minorHAnsi" w:cstheme="minorHAnsi"/>
          <w:color w:val="221E1F"/>
          <w:sz w:val="20"/>
          <w:szCs w:val="20"/>
        </w:rPr>
      </w:pPr>
      <w:r w:rsidRPr="005149EA">
        <w:rPr>
          <w:rFonts w:asciiTheme="minorHAnsi" w:hAnsiTheme="minorHAnsi" w:cstheme="minorHAnsi"/>
          <w:color w:val="221E1F"/>
          <w:sz w:val="20"/>
          <w:szCs w:val="20"/>
        </w:rPr>
        <w:t>For the year ended 30 June 2012, Australia’s population reached 22,683,573 persons. This represented a growth of 359,640 or 1.6%.</w:t>
      </w:r>
    </w:p>
    <w:p w:rsidR="00FF156F" w:rsidRPr="005149EA" w:rsidRDefault="00FF156F" w:rsidP="00FF156F">
      <w:pPr>
        <w:pStyle w:val="Default"/>
        <w:rPr>
          <w:rFonts w:asciiTheme="minorHAnsi" w:hAnsiTheme="minorHAnsi" w:cstheme="minorHAnsi"/>
          <w:color w:val="221E1F"/>
          <w:sz w:val="20"/>
          <w:szCs w:val="20"/>
        </w:rPr>
      </w:pPr>
    </w:p>
    <w:p w:rsidR="00FF156F" w:rsidRPr="005149EA" w:rsidRDefault="00FF156F" w:rsidP="00FF156F">
      <w:pPr>
        <w:pStyle w:val="Default"/>
        <w:numPr>
          <w:ilvl w:val="0"/>
          <w:numId w:val="5"/>
        </w:numPr>
        <w:rPr>
          <w:rFonts w:asciiTheme="minorHAnsi" w:hAnsiTheme="minorHAnsi" w:cstheme="minorHAnsi"/>
          <w:color w:val="221E1F"/>
          <w:sz w:val="20"/>
          <w:szCs w:val="20"/>
        </w:rPr>
      </w:pPr>
      <w:r w:rsidRPr="005149EA">
        <w:rPr>
          <w:rFonts w:asciiTheme="minorHAnsi" w:hAnsiTheme="minorHAnsi" w:cstheme="minorHAnsi"/>
          <w:color w:val="221E1F"/>
          <w:sz w:val="20"/>
          <w:szCs w:val="20"/>
        </w:rPr>
        <w:t xml:space="preserve">Western Australia (3.3%) recorded the fastest population growth of all states and territories, continuing trends associated with the minerals boom. Queensland and the Australian Capital Territory also grew strongly, at a rate of 1.9%, followed by Victoria at 1.6%. </w:t>
      </w:r>
    </w:p>
    <w:p w:rsidR="00FF156F" w:rsidRPr="005149EA" w:rsidRDefault="00FF156F" w:rsidP="00FF156F">
      <w:pPr>
        <w:pStyle w:val="Default"/>
        <w:rPr>
          <w:rFonts w:asciiTheme="minorHAnsi" w:hAnsiTheme="minorHAnsi" w:cstheme="minorHAnsi"/>
          <w:color w:val="221E1F"/>
          <w:sz w:val="20"/>
          <w:szCs w:val="20"/>
        </w:rPr>
      </w:pPr>
    </w:p>
    <w:p w:rsidR="00FF156F" w:rsidRPr="005149EA" w:rsidRDefault="00FF156F" w:rsidP="00FF156F">
      <w:pPr>
        <w:pStyle w:val="Default"/>
        <w:numPr>
          <w:ilvl w:val="0"/>
          <w:numId w:val="5"/>
        </w:numPr>
        <w:rPr>
          <w:rFonts w:asciiTheme="minorHAnsi" w:hAnsiTheme="minorHAnsi" w:cstheme="minorHAnsi"/>
          <w:color w:val="221E1F"/>
          <w:sz w:val="20"/>
          <w:szCs w:val="20"/>
        </w:rPr>
      </w:pPr>
      <w:r w:rsidRPr="005149EA">
        <w:rPr>
          <w:rFonts w:asciiTheme="minorHAnsi" w:hAnsiTheme="minorHAnsi" w:cstheme="minorHAnsi"/>
          <w:color w:val="221E1F"/>
          <w:sz w:val="20"/>
          <w:szCs w:val="20"/>
        </w:rPr>
        <w:t>In terms of absolute numbers, Victoria recorded the largest growth (88,966 persons), followed by Queensland (up 85,961), New South Wales (up 78,877) and Western Australia (up 78,037).</w:t>
      </w:r>
    </w:p>
    <w:p w:rsidR="00FF156F" w:rsidRPr="005149EA" w:rsidRDefault="00FF156F" w:rsidP="00FF156F">
      <w:pPr>
        <w:pStyle w:val="Default"/>
        <w:rPr>
          <w:rFonts w:asciiTheme="minorHAnsi" w:hAnsiTheme="minorHAnsi" w:cstheme="minorHAnsi"/>
          <w:color w:val="221E1F"/>
          <w:sz w:val="20"/>
          <w:szCs w:val="20"/>
        </w:rPr>
      </w:pPr>
    </w:p>
    <w:p w:rsidR="00FF156F" w:rsidRPr="00375087" w:rsidRDefault="00FF156F" w:rsidP="00375087">
      <w:pPr>
        <w:pStyle w:val="Default"/>
        <w:numPr>
          <w:ilvl w:val="0"/>
          <w:numId w:val="5"/>
        </w:numPr>
        <w:rPr>
          <w:rFonts w:asciiTheme="minorHAnsi" w:hAnsiTheme="minorHAnsi" w:cstheme="minorHAnsi"/>
          <w:sz w:val="20"/>
          <w:szCs w:val="20"/>
        </w:rPr>
      </w:pPr>
      <w:r w:rsidRPr="005149EA">
        <w:rPr>
          <w:rFonts w:asciiTheme="minorHAnsi" w:hAnsiTheme="minorHAnsi" w:cstheme="minorHAnsi"/>
          <w:color w:val="221E1F"/>
          <w:sz w:val="20"/>
          <w:szCs w:val="20"/>
        </w:rPr>
        <w:t xml:space="preserve">Queensland recorded the largest gain in interstate migration (11,796 persons), ahead of Western Australia (11,085), Victoria (1,203) and Australian Capital Territory (695). The other states and territories recorded losses; New South Wales (loss of 18,378 persons), Tasmania (loss of 2,552 persons), South Australia (loss of 2,357 persons) and the Northern Territory (loss of 1,492 persons) (Source: Australian Demographic </w:t>
      </w:r>
      <w:r w:rsidRPr="00375087">
        <w:rPr>
          <w:rFonts w:asciiTheme="minorHAnsi" w:hAnsiTheme="minorHAnsi" w:cstheme="minorHAnsi"/>
          <w:color w:val="221E1F"/>
          <w:sz w:val="20"/>
          <w:szCs w:val="20"/>
        </w:rPr>
        <w:t xml:space="preserve">Statistics, September Quarter 2012, cat. </w:t>
      </w:r>
      <w:proofErr w:type="gramStart"/>
      <w:r w:rsidRPr="00375087">
        <w:rPr>
          <w:rFonts w:asciiTheme="minorHAnsi" w:hAnsiTheme="minorHAnsi" w:cstheme="minorHAnsi"/>
          <w:color w:val="221E1F"/>
          <w:sz w:val="20"/>
          <w:szCs w:val="20"/>
        </w:rPr>
        <w:t>No. 3101.0).</w:t>
      </w:r>
      <w:proofErr w:type="gramEnd"/>
    </w:p>
    <w:p w:rsidR="00FF156F" w:rsidRDefault="00FF156F" w:rsidP="00FF156F">
      <w:pPr>
        <w:pStyle w:val="Default"/>
        <w:rPr>
          <w:color w:val="221E1F"/>
          <w:sz w:val="19"/>
          <w:szCs w:val="19"/>
        </w:rPr>
      </w:pPr>
    </w:p>
    <w:p w:rsidR="00FF156F" w:rsidRDefault="00FF156F"/>
    <w:p w:rsidR="00FF156F" w:rsidRDefault="00E219F9">
      <w:pPr>
        <w:rPr>
          <w:rFonts w:cs="Helvetica 45 Light"/>
          <w:color w:val="008B80"/>
          <w:sz w:val="40"/>
          <w:szCs w:val="40"/>
        </w:rPr>
      </w:pPr>
      <w:r>
        <w:rPr>
          <w:rFonts w:cs="Helvetica 45 Light"/>
          <w:color w:val="008B80"/>
          <w:sz w:val="40"/>
          <w:szCs w:val="40"/>
        </w:rPr>
        <w:lastRenderedPageBreak/>
        <w:t>Capital city population growth</w:t>
      </w:r>
    </w:p>
    <w:p w:rsidR="00E219F9" w:rsidRPr="00E219F9" w:rsidRDefault="00E219F9" w:rsidP="00E219F9">
      <w:pPr>
        <w:pStyle w:val="Default"/>
        <w:numPr>
          <w:ilvl w:val="0"/>
          <w:numId w:val="7"/>
        </w:numPr>
        <w:rPr>
          <w:rFonts w:asciiTheme="minorHAnsi" w:hAnsiTheme="minorHAnsi" w:cstheme="minorHAnsi"/>
          <w:color w:val="221E1F"/>
          <w:sz w:val="20"/>
          <w:szCs w:val="20"/>
        </w:rPr>
      </w:pPr>
      <w:r w:rsidRPr="00E219F9">
        <w:rPr>
          <w:rFonts w:asciiTheme="minorHAnsi" w:hAnsiTheme="minorHAnsi" w:cstheme="minorHAnsi"/>
          <w:color w:val="221E1F"/>
          <w:sz w:val="20"/>
          <w:szCs w:val="20"/>
        </w:rPr>
        <w:t>The majority of Australia’s population lives in the state and territory capital cities and their associated socioeconomic areas. At 30 June 2012, 15.0 million people or 75% of the Australian population lived in the seven Greater Capital City statistical areas (GCCSAs) and the Australian Capital Territory.</w:t>
      </w:r>
    </w:p>
    <w:p w:rsidR="00E219F9" w:rsidRPr="00E219F9" w:rsidRDefault="00E219F9" w:rsidP="00E219F9">
      <w:pPr>
        <w:pStyle w:val="Default"/>
        <w:rPr>
          <w:rFonts w:asciiTheme="minorHAnsi" w:hAnsiTheme="minorHAnsi" w:cstheme="minorHAnsi"/>
          <w:color w:val="221E1F"/>
          <w:sz w:val="20"/>
          <w:szCs w:val="20"/>
        </w:rPr>
      </w:pPr>
    </w:p>
    <w:p w:rsidR="00E219F9" w:rsidRPr="00E219F9" w:rsidRDefault="00E219F9" w:rsidP="00E219F9">
      <w:pPr>
        <w:pStyle w:val="Default"/>
        <w:numPr>
          <w:ilvl w:val="0"/>
          <w:numId w:val="7"/>
        </w:numPr>
        <w:rPr>
          <w:rFonts w:asciiTheme="minorHAnsi" w:hAnsiTheme="minorHAnsi" w:cstheme="minorHAnsi"/>
          <w:color w:val="221E1F"/>
          <w:sz w:val="20"/>
          <w:szCs w:val="20"/>
        </w:rPr>
      </w:pPr>
      <w:r w:rsidRPr="00E219F9">
        <w:rPr>
          <w:rFonts w:asciiTheme="minorHAnsi" w:hAnsiTheme="minorHAnsi" w:cstheme="minorHAnsi"/>
          <w:color w:val="221E1F"/>
          <w:sz w:val="20"/>
          <w:szCs w:val="20"/>
        </w:rPr>
        <w:t xml:space="preserve">The bulk of each state or territory’s population growth also occurred in the capital cities - with the exception of Queensland. Queensland has strong growth in other areas aside from Brisbane, leading to the capital accounting for only 50% of the population growth in the year to 30 June 2012. </w:t>
      </w:r>
    </w:p>
    <w:p w:rsidR="00E219F9" w:rsidRPr="00E219F9" w:rsidRDefault="00E219F9" w:rsidP="00E219F9">
      <w:pPr>
        <w:pStyle w:val="Default"/>
        <w:rPr>
          <w:rFonts w:asciiTheme="minorHAnsi" w:hAnsiTheme="minorHAnsi" w:cstheme="minorHAnsi"/>
          <w:color w:val="221E1F"/>
          <w:sz w:val="20"/>
          <w:szCs w:val="20"/>
        </w:rPr>
      </w:pPr>
    </w:p>
    <w:p w:rsidR="00E219F9" w:rsidRPr="00E219F9" w:rsidRDefault="00E219F9" w:rsidP="00E219F9">
      <w:pPr>
        <w:pStyle w:val="Default"/>
        <w:numPr>
          <w:ilvl w:val="0"/>
          <w:numId w:val="7"/>
        </w:numPr>
        <w:rPr>
          <w:rFonts w:asciiTheme="minorHAnsi" w:hAnsiTheme="minorHAnsi" w:cstheme="minorHAnsi"/>
          <w:color w:val="221E1F"/>
          <w:sz w:val="20"/>
          <w:szCs w:val="20"/>
        </w:rPr>
      </w:pPr>
      <w:r w:rsidRPr="00E219F9">
        <w:rPr>
          <w:rFonts w:asciiTheme="minorHAnsi" w:hAnsiTheme="minorHAnsi" w:cstheme="minorHAnsi"/>
          <w:color w:val="221E1F"/>
          <w:sz w:val="20"/>
          <w:szCs w:val="20"/>
        </w:rPr>
        <w:t>Greater Perth was the fastest growing state capital, increasing by 3.6%, or 65,434 persons. However, the volume of growth was largest in Greater Melbourne (77,242 persons). Greater Sydney’s population increased by 61,291 persons.</w:t>
      </w:r>
    </w:p>
    <w:p w:rsidR="00E219F9" w:rsidRDefault="00E219F9"/>
    <w:p w:rsidR="00E219F9" w:rsidRDefault="00E219F9"/>
    <w:p w:rsidR="00E219F9" w:rsidRPr="00E219F9" w:rsidRDefault="00E219F9">
      <w:r w:rsidRPr="00E219F9">
        <w:br w:type="page"/>
      </w:r>
    </w:p>
    <w:p w:rsidR="00E219F9" w:rsidRPr="00E219F9" w:rsidRDefault="00E219F9" w:rsidP="00E219F9">
      <w:pPr>
        <w:pStyle w:val="Pa2"/>
        <w:rPr>
          <w:rFonts w:asciiTheme="minorHAnsi" w:hAnsiTheme="minorHAnsi" w:cstheme="minorHAnsi"/>
          <w:sz w:val="20"/>
          <w:szCs w:val="20"/>
        </w:rPr>
      </w:pPr>
      <w:r w:rsidRPr="00E219F9">
        <w:rPr>
          <w:rFonts w:asciiTheme="minorHAnsi" w:hAnsiTheme="minorHAnsi" w:cstheme="minorHAnsi"/>
          <w:sz w:val="20"/>
          <w:szCs w:val="20"/>
        </w:rPr>
        <w:lastRenderedPageBreak/>
        <w:t>Published by Spatial Analysis and Research, a branch in the Department of Transport, Planning and Local Infrastructure</w:t>
      </w:r>
    </w:p>
    <w:p w:rsidR="00E219F9" w:rsidRPr="00E219F9" w:rsidRDefault="00E219F9" w:rsidP="00E219F9">
      <w:pPr>
        <w:pStyle w:val="Pa2"/>
        <w:rPr>
          <w:rFonts w:asciiTheme="minorHAnsi" w:hAnsiTheme="minorHAnsi" w:cstheme="minorHAnsi"/>
          <w:sz w:val="20"/>
          <w:szCs w:val="20"/>
        </w:rPr>
      </w:pPr>
      <w:r w:rsidRPr="00E219F9">
        <w:rPr>
          <w:rFonts w:asciiTheme="minorHAnsi" w:hAnsiTheme="minorHAnsi" w:cstheme="minorHAnsi"/>
          <w:sz w:val="20"/>
          <w:szCs w:val="20"/>
        </w:rPr>
        <w:t>1 Spring Street Melbourne Victoria 3000</w:t>
      </w:r>
    </w:p>
    <w:p w:rsidR="00E219F9" w:rsidRPr="00E219F9" w:rsidRDefault="00E219F9" w:rsidP="00E219F9">
      <w:pPr>
        <w:pStyle w:val="Pa2"/>
        <w:rPr>
          <w:rFonts w:asciiTheme="minorHAnsi" w:hAnsiTheme="minorHAnsi" w:cstheme="minorHAnsi"/>
          <w:sz w:val="20"/>
          <w:szCs w:val="20"/>
        </w:rPr>
      </w:pPr>
      <w:r w:rsidRPr="00E219F9">
        <w:rPr>
          <w:rFonts w:asciiTheme="minorHAnsi" w:hAnsiTheme="minorHAnsi" w:cstheme="minorHAnsi"/>
          <w:sz w:val="20"/>
          <w:szCs w:val="20"/>
        </w:rPr>
        <w:t xml:space="preserve">Telephone (03) 9208 3000 </w:t>
      </w:r>
    </w:p>
    <w:p w:rsidR="00E219F9" w:rsidRPr="00E219F9" w:rsidRDefault="00E219F9" w:rsidP="00E219F9">
      <w:pPr>
        <w:pStyle w:val="Pa2"/>
        <w:rPr>
          <w:rFonts w:asciiTheme="minorHAnsi" w:hAnsiTheme="minorHAnsi" w:cstheme="minorHAnsi"/>
          <w:sz w:val="20"/>
          <w:szCs w:val="20"/>
        </w:rPr>
      </w:pPr>
      <w:r w:rsidRPr="00E219F9">
        <w:rPr>
          <w:rFonts w:asciiTheme="minorHAnsi" w:hAnsiTheme="minorHAnsi" w:cstheme="minorHAnsi"/>
          <w:sz w:val="20"/>
          <w:szCs w:val="20"/>
        </w:rPr>
        <w:t>June 2013</w:t>
      </w:r>
    </w:p>
    <w:p w:rsidR="00E219F9" w:rsidRPr="00E219F9" w:rsidRDefault="00E219F9" w:rsidP="00E219F9">
      <w:pPr>
        <w:pStyle w:val="Pa2"/>
        <w:rPr>
          <w:rFonts w:asciiTheme="minorHAnsi" w:hAnsiTheme="minorHAnsi" w:cstheme="minorHAnsi"/>
          <w:sz w:val="20"/>
          <w:szCs w:val="20"/>
        </w:rPr>
      </w:pPr>
      <w:r w:rsidRPr="00E219F9">
        <w:rPr>
          <w:rFonts w:asciiTheme="minorHAnsi" w:hAnsiTheme="minorHAnsi" w:cstheme="minorHAnsi"/>
          <w:sz w:val="20"/>
          <w:szCs w:val="20"/>
        </w:rPr>
        <w:t>Unless indicated otherwise, this work is made available under the terms of the Creative Commons Attribution 3.0 Australia licence. To view a copy of this licence, visit http://creativecommons.org/licenses/by/3.0/au</w:t>
      </w:r>
    </w:p>
    <w:p w:rsidR="00E219F9" w:rsidRPr="00E219F9" w:rsidRDefault="00E219F9" w:rsidP="00E219F9">
      <w:pPr>
        <w:pStyle w:val="Pa2"/>
        <w:rPr>
          <w:rFonts w:asciiTheme="minorHAnsi" w:hAnsiTheme="minorHAnsi" w:cstheme="minorHAnsi"/>
          <w:sz w:val="20"/>
          <w:szCs w:val="20"/>
        </w:rPr>
      </w:pPr>
      <w:r w:rsidRPr="00E219F9">
        <w:rPr>
          <w:rFonts w:asciiTheme="minorHAnsi" w:hAnsiTheme="minorHAnsi" w:cstheme="minorHAnsi"/>
          <w:sz w:val="20"/>
          <w:szCs w:val="20"/>
        </w:rPr>
        <w:t xml:space="preserve">It is a condition of this Creative Commons Attribution 3.0 Licence that you must give credit to the original author who is the State of Victoria. Attribution should be given as follows: </w:t>
      </w:r>
      <w:r w:rsidRPr="00E219F9">
        <w:rPr>
          <w:rFonts w:asciiTheme="minorHAnsi" w:hAnsiTheme="minorHAnsi" w:cstheme="minorHAnsi"/>
          <w:i/>
          <w:iCs/>
          <w:sz w:val="20"/>
          <w:szCs w:val="20"/>
        </w:rPr>
        <w:t>Victorian Population Bulletin</w:t>
      </w:r>
      <w:r w:rsidRPr="00E219F9">
        <w:rPr>
          <w:rFonts w:asciiTheme="minorHAnsi" w:hAnsiTheme="minorHAnsi" w:cstheme="minorHAnsi"/>
          <w:sz w:val="20"/>
          <w:szCs w:val="20"/>
        </w:rPr>
        <w:t>, State of Victoria through the Department of Transport, Planning and Local Infrastructure 2013</w:t>
      </w:r>
    </w:p>
    <w:p w:rsidR="00E219F9" w:rsidRPr="00E219F9" w:rsidRDefault="00E219F9" w:rsidP="00E219F9">
      <w:pPr>
        <w:pStyle w:val="Pa2"/>
        <w:rPr>
          <w:rFonts w:asciiTheme="minorHAnsi" w:hAnsiTheme="minorHAnsi" w:cstheme="minorHAnsi"/>
          <w:sz w:val="20"/>
          <w:szCs w:val="20"/>
        </w:rPr>
      </w:pPr>
      <w:r w:rsidRPr="00E219F9">
        <w:rPr>
          <w:rFonts w:asciiTheme="minorHAnsi" w:hAnsiTheme="minorHAnsi" w:cstheme="minorHAnsi"/>
          <w:sz w:val="20"/>
          <w:szCs w:val="20"/>
        </w:rPr>
        <w:t>Print managed by Finsbury Green</w:t>
      </w:r>
    </w:p>
    <w:p w:rsidR="00E219F9" w:rsidRPr="00E219F9" w:rsidRDefault="00E219F9" w:rsidP="00E219F9">
      <w:pPr>
        <w:pStyle w:val="Pa2"/>
        <w:rPr>
          <w:rFonts w:asciiTheme="minorHAnsi" w:hAnsiTheme="minorHAnsi" w:cstheme="minorHAnsi"/>
          <w:sz w:val="20"/>
          <w:szCs w:val="20"/>
        </w:rPr>
      </w:pPr>
      <w:r w:rsidRPr="00E219F9">
        <w:rPr>
          <w:rFonts w:asciiTheme="minorHAnsi" w:hAnsiTheme="minorHAnsi" w:cstheme="minorHAnsi"/>
          <w:sz w:val="20"/>
          <w:szCs w:val="20"/>
        </w:rPr>
        <w:t>Designed by DTPLI</w:t>
      </w:r>
    </w:p>
    <w:p w:rsidR="00E219F9" w:rsidRPr="00E219F9" w:rsidRDefault="00E219F9" w:rsidP="00E219F9">
      <w:pPr>
        <w:pStyle w:val="Pa2"/>
        <w:rPr>
          <w:rFonts w:asciiTheme="minorHAnsi" w:hAnsiTheme="minorHAnsi" w:cstheme="minorHAnsi"/>
          <w:sz w:val="20"/>
          <w:szCs w:val="20"/>
        </w:rPr>
      </w:pPr>
      <w:r w:rsidRPr="00E219F9">
        <w:rPr>
          <w:rFonts w:asciiTheme="minorHAnsi" w:hAnsiTheme="minorHAnsi" w:cstheme="minorHAnsi"/>
          <w:sz w:val="20"/>
          <w:szCs w:val="20"/>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consequences which may arise from you relying on any information in this publication.</w:t>
      </w:r>
    </w:p>
    <w:p w:rsidR="00E219F9" w:rsidRPr="00E219F9" w:rsidRDefault="00E219F9" w:rsidP="00E219F9">
      <w:pPr>
        <w:pStyle w:val="Pa2"/>
        <w:rPr>
          <w:rFonts w:asciiTheme="minorHAnsi" w:hAnsiTheme="minorHAnsi" w:cstheme="minorHAnsi"/>
          <w:sz w:val="20"/>
          <w:szCs w:val="20"/>
        </w:rPr>
      </w:pPr>
      <w:r w:rsidRPr="00E219F9">
        <w:rPr>
          <w:rFonts w:asciiTheme="minorHAnsi" w:hAnsiTheme="minorHAnsi" w:cstheme="minorHAnsi"/>
          <w:sz w:val="20"/>
          <w:szCs w:val="20"/>
        </w:rPr>
        <w:t xml:space="preserve">Email: </w:t>
      </w:r>
      <w:r w:rsidRPr="00E219F9">
        <w:rPr>
          <w:rFonts w:asciiTheme="minorHAnsi" w:hAnsiTheme="minorHAnsi" w:cstheme="minorHAnsi"/>
          <w:b/>
          <w:bCs/>
          <w:sz w:val="20"/>
          <w:szCs w:val="20"/>
        </w:rPr>
        <w:t>spatialanalysis.research@dpcd.vic.gov.au</w:t>
      </w:r>
    </w:p>
    <w:p w:rsidR="00E219F9" w:rsidRPr="00E219F9" w:rsidRDefault="00E219F9" w:rsidP="00E219F9">
      <w:pPr>
        <w:rPr>
          <w:rFonts w:cstheme="minorHAnsi"/>
          <w:sz w:val="20"/>
          <w:szCs w:val="20"/>
        </w:rPr>
      </w:pPr>
      <w:r w:rsidRPr="00E219F9">
        <w:rPr>
          <w:rFonts w:cstheme="minorHAnsi"/>
          <w:sz w:val="20"/>
          <w:szCs w:val="20"/>
        </w:rPr>
        <w:t xml:space="preserve">Internet: </w:t>
      </w:r>
      <w:r w:rsidRPr="00E219F9">
        <w:rPr>
          <w:rFonts w:cstheme="minorHAnsi"/>
          <w:b/>
          <w:bCs/>
          <w:sz w:val="20"/>
          <w:szCs w:val="20"/>
        </w:rPr>
        <w:t>www.dpcd.vic.gov.au/research/urbanandregional</w:t>
      </w:r>
    </w:p>
    <w:sectPr w:rsidR="00E219F9" w:rsidRPr="00E219F9" w:rsidSect="0058417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DINOT">
    <w:altName w:val="DINO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56BEC4"/>
    <w:multiLevelType w:val="hybridMultilevel"/>
    <w:tmpl w:val="2B2CD96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E38083E"/>
    <w:multiLevelType w:val="hybridMultilevel"/>
    <w:tmpl w:val="C5A6BB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852334"/>
    <w:multiLevelType w:val="hybridMultilevel"/>
    <w:tmpl w:val="75060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6F4D38"/>
    <w:multiLevelType w:val="hybridMultilevel"/>
    <w:tmpl w:val="37BCB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1B2009F"/>
    <w:multiLevelType w:val="hybridMultilevel"/>
    <w:tmpl w:val="024A2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142D1C2"/>
    <w:multiLevelType w:val="hybridMultilevel"/>
    <w:tmpl w:val="C8A68D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7D544990"/>
    <w:multiLevelType w:val="hybridMultilevel"/>
    <w:tmpl w:val="D11EF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AMO_XmlVersion" w:val="Empty"/>
  </w:docVars>
  <w:rsids>
    <w:rsidRoot w:val="00FF156F"/>
    <w:rsid w:val="00015E2E"/>
    <w:rsid w:val="0001780A"/>
    <w:rsid w:val="00022A63"/>
    <w:rsid w:val="000256D7"/>
    <w:rsid w:val="00030847"/>
    <w:rsid w:val="0003092F"/>
    <w:rsid w:val="00034D35"/>
    <w:rsid w:val="0003774F"/>
    <w:rsid w:val="0004315D"/>
    <w:rsid w:val="00043C80"/>
    <w:rsid w:val="00052453"/>
    <w:rsid w:val="00052858"/>
    <w:rsid w:val="00056DC6"/>
    <w:rsid w:val="00062799"/>
    <w:rsid w:val="000639D5"/>
    <w:rsid w:val="00066E52"/>
    <w:rsid w:val="000703AD"/>
    <w:rsid w:val="00072A68"/>
    <w:rsid w:val="000766D8"/>
    <w:rsid w:val="000951CB"/>
    <w:rsid w:val="000A46DD"/>
    <w:rsid w:val="000A5D58"/>
    <w:rsid w:val="000B1041"/>
    <w:rsid w:val="000B40FE"/>
    <w:rsid w:val="000B67CC"/>
    <w:rsid w:val="000B6A27"/>
    <w:rsid w:val="000B77E4"/>
    <w:rsid w:val="000C12A2"/>
    <w:rsid w:val="000C1CA9"/>
    <w:rsid w:val="000D7246"/>
    <w:rsid w:val="000D7A2B"/>
    <w:rsid w:val="000E0ECD"/>
    <w:rsid w:val="000E47AF"/>
    <w:rsid w:val="000E6B8A"/>
    <w:rsid w:val="000E75D4"/>
    <w:rsid w:val="000F6C3C"/>
    <w:rsid w:val="0010066A"/>
    <w:rsid w:val="00102EC6"/>
    <w:rsid w:val="00104905"/>
    <w:rsid w:val="00112DC8"/>
    <w:rsid w:val="0012317F"/>
    <w:rsid w:val="001325D1"/>
    <w:rsid w:val="00133094"/>
    <w:rsid w:val="00137F20"/>
    <w:rsid w:val="00140B4E"/>
    <w:rsid w:val="00141093"/>
    <w:rsid w:val="00144913"/>
    <w:rsid w:val="0015200B"/>
    <w:rsid w:val="00172989"/>
    <w:rsid w:val="0017440D"/>
    <w:rsid w:val="00175A84"/>
    <w:rsid w:val="00177044"/>
    <w:rsid w:val="0018087B"/>
    <w:rsid w:val="0018141D"/>
    <w:rsid w:val="00182AAE"/>
    <w:rsid w:val="001A6D22"/>
    <w:rsid w:val="001C0BAF"/>
    <w:rsid w:val="001C2628"/>
    <w:rsid w:val="001D2DF0"/>
    <w:rsid w:val="001D326C"/>
    <w:rsid w:val="001D75ED"/>
    <w:rsid w:val="001E6E61"/>
    <w:rsid w:val="001F0E80"/>
    <w:rsid w:val="00200699"/>
    <w:rsid w:val="00201A6D"/>
    <w:rsid w:val="00203B58"/>
    <w:rsid w:val="0021499E"/>
    <w:rsid w:val="00215F6E"/>
    <w:rsid w:val="002168EB"/>
    <w:rsid w:val="00222DE2"/>
    <w:rsid w:val="00235FB9"/>
    <w:rsid w:val="0024231B"/>
    <w:rsid w:val="00242FF5"/>
    <w:rsid w:val="00243D77"/>
    <w:rsid w:val="00247AAE"/>
    <w:rsid w:val="00247AD4"/>
    <w:rsid w:val="00247FD8"/>
    <w:rsid w:val="00255A8F"/>
    <w:rsid w:val="00265186"/>
    <w:rsid w:val="002664F5"/>
    <w:rsid w:val="002667F7"/>
    <w:rsid w:val="00267F85"/>
    <w:rsid w:val="00270C74"/>
    <w:rsid w:val="00272834"/>
    <w:rsid w:val="00272DDB"/>
    <w:rsid w:val="00276EAE"/>
    <w:rsid w:val="00281717"/>
    <w:rsid w:val="00283537"/>
    <w:rsid w:val="00283A52"/>
    <w:rsid w:val="0029247B"/>
    <w:rsid w:val="00294BD1"/>
    <w:rsid w:val="0029512A"/>
    <w:rsid w:val="002A1069"/>
    <w:rsid w:val="002A2F02"/>
    <w:rsid w:val="002A35F9"/>
    <w:rsid w:val="002B3B1E"/>
    <w:rsid w:val="002C53F8"/>
    <w:rsid w:val="002C7276"/>
    <w:rsid w:val="002D0808"/>
    <w:rsid w:val="002D259A"/>
    <w:rsid w:val="002D2852"/>
    <w:rsid w:val="002E7D93"/>
    <w:rsid w:val="00304FED"/>
    <w:rsid w:val="00307F2B"/>
    <w:rsid w:val="0031195F"/>
    <w:rsid w:val="00313737"/>
    <w:rsid w:val="00315B69"/>
    <w:rsid w:val="003356BA"/>
    <w:rsid w:val="00335D1B"/>
    <w:rsid w:val="00337C1E"/>
    <w:rsid w:val="00345EC1"/>
    <w:rsid w:val="00345F03"/>
    <w:rsid w:val="00345FAD"/>
    <w:rsid w:val="00346645"/>
    <w:rsid w:val="003507A0"/>
    <w:rsid w:val="00352DCD"/>
    <w:rsid w:val="00354E47"/>
    <w:rsid w:val="00375087"/>
    <w:rsid w:val="00383351"/>
    <w:rsid w:val="00385684"/>
    <w:rsid w:val="00385856"/>
    <w:rsid w:val="00386170"/>
    <w:rsid w:val="00391488"/>
    <w:rsid w:val="0039608A"/>
    <w:rsid w:val="003A74D4"/>
    <w:rsid w:val="003B3D6E"/>
    <w:rsid w:val="003B78EC"/>
    <w:rsid w:val="003C65BF"/>
    <w:rsid w:val="003D0B52"/>
    <w:rsid w:val="003D2517"/>
    <w:rsid w:val="003D314A"/>
    <w:rsid w:val="003D523F"/>
    <w:rsid w:val="003D691A"/>
    <w:rsid w:val="003E53CD"/>
    <w:rsid w:val="003E55CA"/>
    <w:rsid w:val="003E6069"/>
    <w:rsid w:val="003F0A78"/>
    <w:rsid w:val="003F380D"/>
    <w:rsid w:val="003F7D03"/>
    <w:rsid w:val="00403260"/>
    <w:rsid w:val="0041604E"/>
    <w:rsid w:val="00421297"/>
    <w:rsid w:val="00425685"/>
    <w:rsid w:val="00427742"/>
    <w:rsid w:val="004334A9"/>
    <w:rsid w:val="0043466F"/>
    <w:rsid w:val="00437D8F"/>
    <w:rsid w:val="00443FD5"/>
    <w:rsid w:val="00444AC3"/>
    <w:rsid w:val="004519F0"/>
    <w:rsid w:val="004534FE"/>
    <w:rsid w:val="00456C67"/>
    <w:rsid w:val="00463D13"/>
    <w:rsid w:val="00464109"/>
    <w:rsid w:val="00467221"/>
    <w:rsid w:val="004713A2"/>
    <w:rsid w:val="00480D3E"/>
    <w:rsid w:val="004837B4"/>
    <w:rsid w:val="004851F2"/>
    <w:rsid w:val="00490DDB"/>
    <w:rsid w:val="00492E96"/>
    <w:rsid w:val="00493EB3"/>
    <w:rsid w:val="004B4991"/>
    <w:rsid w:val="004B62CE"/>
    <w:rsid w:val="004C3E02"/>
    <w:rsid w:val="004D1E2B"/>
    <w:rsid w:val="004D1F38"/>
    <w:rsid w:val="004E0058"/>
    <w:rsid w:val="004E4823"/>
    <w:rsid w:val="004F2D15"/>
    <w:rsid w:val="0050703E"/>
    <w:rsid w:val="005073C9"/>
    <w:rsid w:val="005133B4"/>
    <w:rsid w:val="005147FD"/>
    <w:rsid w:val="005149EA"/>
    <w:rsid w:val="005207A5"/>
    <w:rsid w:val="005233E7"/>
    <w:rsid w:val="00536E97"/>
    <w:rsid w:val="00537BFD"/>
    <w:rsid w:val="00542FEC"/>
    <w:rsid w:val="00554CAF"/>
    <w:rsid w:val="00556321"/>
    <w:rsid w:val="00560EB0"/>
    <w:rsid w:val="00563A8C"/>
    <w:rsid w:val="00563EE5"/>
    <w:rsid w:val="005674BE"/>
    <w:rsid w:val="00572DA1"/>
    <w:rsid w:val="005762B1"/>
    <w:rsid w:val="00577579"/>
    <w:rsid w:val="0058094D"/>
    <w:rsid w:val="00584176"/>
    <w:rsid w:val="005859BE"/>
    <w:rsid w:val="00590DE5"/>
    <w:rsid w:val="00592F34"/>
    <w:rsid w:val="005B7D67"/>
    <w:rsid w:val="005C0740"/>
    <w:rsid w:val="005C721D"/>
    <w:rsid w:val="005C78B7"/>
    <w:rsid w:val="005D196F"/>
    <w:rsid w:val="005D524E"/>
    <w:rsid w:val="005D7F29"/>
    <w:rsid w:val="005E0BA8"/>
    <w:rsid w:val="005E3244"/>
    <w:rsid w:val="005E69FA"/>
    <w:rsid w:val="005F0EB5"/>
    <w:rsid w:val="005F4052"/>
    <w:rsid w:val="005F4DD6"/>
    <w:rsid w:val="00605F77"/>
    <w:rsid w:val="006079F7"/>
    <w:rsid w:val="00611217"/>
    <w:rsid w:val="00616029"/>
    <w:rsid w:val="00634688"/>
    <w:rsid w:val="006373E3"/>
    <w:rsid w:val="006411A4"/>
    <w:rsid w:val="00642CAB"/>
    <w:rsid w:val="00651536"/>
    <w:rsid w:val="00655990"/>
    <w:rsid w:val="00667BC1"/>
    <w:rsid w:val="00677F43"/>
    <w:rsid w:val="00684B87"/>
    <w:rsid w:val="006876C8"/>
    <w:rsid w:val="00694C1A"/>
    <w:rsid w:val="006950AB"/>
    <w:rsid w:val="006A126B"/>
    <w:rsid w:val="006A2FD0"/>
    <w:rsid w:val="006A5D75"/>
    <w:rsid w:val="006B0F89"/>
    <w:rsid w:val="006B60D6"/>
    <w:rsid w:val="006B6F02"/>
    <w:rsid w:val="006C069A"/>
    <w:rsid w:val="006C3D89"/>
    <w:rsid w:val="006C4F3B"/>
    <w:rsid w:val="006C6DA8"/>
    <w:rsid w:val="006C7DAC"/>
    <w:rsid w:val="006E1920"/>
    <w:rsid w:val="006E2CAF"/>
    <w:rsid w:val="006E41EB"/>
    <w:rsid w:val="006E7D77"/>
    <w:rsid w:val="006F569F"/>
    <w:rsid w:val="0070279A"/>
    <w:rsid w:val="00710712"/>
    <w:rsid w:val="0071211B"/>
    <w:rsid w:val="00721655"/>
    <w:rsid w:val="00722935"/>
    <w:rsid w:val="007273F5"/>
    <w:rsid w:val="00730008"/>
    <w:rsid w:val="00737F2A"/>
    <w:rsid w:val="00750020"/>
    <w:rsid w:val="00750519"/>
    <w:rsid w:val="00753944"/>
    <w:rsid w:val="0075536D"/>
    <w:rsid w:val="00755764"/>
    <w:rsid w:val="00756A5D"/>
    <w:rsid w:val="00757532"/>
    <w:rsid w:val="0075787D"/>
    <w:rsid w:val="00760089"/>
    <w:rsid w:val="0076053C"/>
    <w:rsid w:val="007647BC"/>
    <w:rsid w:val="00765CB0"/>
    <w:rsid w:val="00767850"/>
    <w:rsid w:val="00773E64"/>
    <w:rsid w:val="00794301"/>
    <w:rsid w:val="007A10F7"/>
    <w:rsid w:val="007A26CE"/>
    <w:rsid w:val="007A3DF1"/>
    <w:rsid w:val="007B3328"/>
    <w:rsid w:val="007B6CB4"/>
    <w:rsid w:val="007C562E"/>
    <w:rsid w:val="007C7A80"/>
    <w:rsid w:val="007D4A60"/>
    <w:rsid w:val="007D6196"/>
    <w:rsid w:val="007E630D"/>
    <w:rsid w:val="007F1AC6"/>
    <w:rsid w:val="007F2800"/>
    <w:rsid w:val="007F476A"/>
    <w:rsid w:val="0080060A"/>
    <w:rsid w:val="008053D1"/>
    <w:rsid w:val="00811DD6"/>
    <w:rsid w:val="0081584D"/>
    <w:rsid w:val="00820626"/>
    <w:rsid w:val="00823A3E"/>
    <w:rsid w:val="00825B88"/>
    <w:rsid w:val="0082765C"/>
    <w:rsid w:val="00834C9D"/>
    <w:rsid w:val="00840289"/>
    <w:rsid w:val="00841568"/>
    <w:rsid w:val="00850D21"/>
    <w:rsid w:val="00854345"/>
    <w:rsid w:val="0085448E"/>
    <w:rsid w:val="00861358"/>
    <w:rsid w:val="00866C24"/>
    <w:rsid w:val="00867F3E"/>
    <w:rsid w:val="008763D4"/>
    <w:rsid w:val="008776ED"/>
    <w:rsid w:val="00891372"/>
    <w:rsid w:val="00892B25"/>
    <w:rsid w:val="008A3C25"/>
    <w:rsid w:val="008A6DDA"/>
    <w:rsid w:val="008B6C0D"/>
    <w:rsid w:val="008C572F"/>
    <w:rsid w:val="008C62E7"/>
    <w:rsid w:val="008C6368"/>
    <w:rsid w:val="008C6A87"/>
    <w:rsid w:val="008C6CD0"/>
    <w:rsid w:val="008D25B7"/>
    <w:rsid w:val="008D25BF"/>
    <w:rsid w:val="008D53EE"/>
    <w:rsid w:val="008E38B5"/>
    <w:rsid w:val="008E716C"/>
    <w:rsid w:val="008F025B"/>
    <w:rsid w:val="008F517D"/>
    <w:rsid w:val="00901300"/>
    <w:rsid w:val="00901AE9"/>
    <w:rsid w:val="009136F7"/>
    <w:rsid w:val="00913E95"/>
    <w:rsid w:val="00915BBC"/>
    <w:rsid w:val="00915DD1"/>
    <w:rsid w:val="00922B9F"/>
    <w:rsid w:val="009236A3"/>
    <w:rsid w:val="00925E66"/>
    <w:rsid w:val="0092749A"/>
    <w:rsid w:val="00937A28"/>
    <w:rsid w:val="00940CC3"/>
    <w:rsid w:val="009464E7"/>
    <w:rsid w:val="009473A6"/>
    <w:rsid w:val="00957100"/>
    <w:rsid w:val="0096586D"/>
    <w:rsid w:val="009705D5"/>
    <w:rsid w:val="009738F5"/>
    <w:rsid w:val="009754E1"/>
    <w:rsid w:val="0097710F"/>
    <w:rsid w:val="00992623"/>
    <w:rsid w:val="0099305B"/>
    <w:rsid w:val="00993BF6"/>
    <w:rsid w:val="00994896"/>
    <w:rsid w:val="00997AF0"/>
    <w:rsid w:val="009A0277"/>
    <w:rsid w:val="009B62A0"/>
    <w:rsid w:val="009B789A"/>
    <w:rsid w:val="009C64F1"/>
    <w:rsid w:val="009C6BED"/>
    <w:rsid w:val="009D1AA8"/>
    <w:rsid w:val="009D3607"/>
    <w:rsid w:val="009D53F2"/>
    <w:rsid w:val="009D58FD"/>
    <w:rsid w:val="009D78A4"/>
    <w:rsid w:val="009E148A"/>
    <w:rsid w:val="009E6E02"/>
    <w:rsid w:val="009F08E4"/>
    <w:rsid w:val="009F4BB7"/>
    <w:rsid w:val="009F79B2"/>
    <w:rsid w:val="00A04848"/>
    <w:rsid w:val="00A04AD7"/>
    <w:rsid w:val="00A07E7F"/>
    <w:rsid w:val="00A11F0B"/>
    <w:rsid w:val="00A1775D"/>
    <w:rsid w:val="00A3046A"/>
    <w:rsid w:val="00A312DD"/>
    <w:rsid w:val="00A3351B"/>
    <w:rsid w:val="00A342A3"/>
    <w:rsid w:val="00A42289"/>
    <w:rsid w:val="00A426DE"/>
    <w:rsid w:val="00A47156"/>
    <w:rsid w:val="00A50EB3"/>
    <w:rsid w:val="00A558A3"/>
    <w:rsid w:val="00A61720"/>
    <w:rsid w:val="00A66A24"/>
    <w:rsid w:val="00A67601"/>
    <w:rsid w:val="00A704B1"/>
    <w:rsid w:val="00A73D1E"/>
    <w:rsid w:val="00A77F05"/>
    <w:rsid w:val="00A82FB8"/>
    <w:rsid w:val="00A84BE7"/>
    <w:rsid w:val="00A91C1E"/>
    <w:rsid w:val="00A94B61"/>
    <w:rsid w:val="00A954A3"/>
    <w:rsid w:val="00A96840"/>
    <w:rsid w:val="00AA39A8"/>
    <w:rsid w:val="00AA4A61"/>
    <w:rsid w:val="00AA611C"/>
    <w:rsid w:val="00AA703D"/>
    <w:rsid w:val="00AB0131"/>
    <w:rsid w:val="00AB18E4"/>
    <w:rsid w:val="00AB5342"/>
    <w:rsid w:val="00AC044D"/>
    <w:rsid w:val="00AC6004"/>
    <w:rsid w:val="00AC6F56"/>
    <w:rsid w:val="00AD2F07"/>
    <w:rsid w:val="00AD3D16"/>
    <w:rsid w:val="00AE2AB3"/>
    <w:rsid w:val="00AE56CD"/>
    <w:rsid w:val="00AF65DC"/>
    <w:rsid w:val="00AF70F5"/>
    <w:rsid w:val="00AF75C9"/>
    <w:rsid w:val="00AF7974"/>
    <w:rsid w:val="00B03B6D"/>
    <w:rsid w:val="00B0721A"/>
    <w:rsid w:val="00B11B23"/>
    <w:rsid w:val="00B22F9D"/>
    <w:rsid w:val="00B23687"/>
    <w:rsid w:val="00B41418"/>
    <w:rsid w:val="00B41683"/>
    <w:rsid w:val="00B41E9F"/>
    <w:rsid w:val="00B44F8F"/>
    <w:rsid w:val="00B46720"/>
    <w:rsid w:val="00B571A6"/>
    <w:rsid w:val="00B72648"/>
    <w:rsid w:val="00B72C90"/>
    <w:rsid w:val="00B7774D"/>
    <w:rsid w:val="00B84556"/>
    <w:rsid w:val="00B84797"/>
    <w:rsid w:val="00B84C37"/>
    <w:rsid w:val="00B86DA0"/>
    <w:rsid w:val="00B87FEC"/>
    <w:rsid w:val="00B90C24"/>
    <w:rsid w:val="00B911E9"/>
    <w:rsid w:val="00B91CC3"/>
    <w:rsid w:val="00B920FC"/>
    <w:rsid w:val="00B92416"/>
    <w:rsid w:val="00B93D3E"/>
    <w:rsid w:val="00B96739"/>
    <w:rsid w:val="00B97745"/>
    <w:rsid w:val="00BA00A9"/>
    <w:rsid w:val="00BB7538"/>
    <w:rsid w:val="00BB7F49"/>
    <w:rsid w:val="00BC3AD8"/>
    <w:rsid w:val="00BC5024"/>
    <w:rsid w:val="00BD1CB7"/>
    <w:rsid w:val="00BD1F44"/>
    <w:rsid w:val="00BD5452"/>
    <w:rsid w:val="00BE325E"/>
    <w:rsid w:val="00BE76BC"/>
    <w:rsid w:val="00BF2347"/>
    <w:rsid w:val="00BF7FF0"/>
    <w:rsid w:val="00C0010B"/>
    <w:rsid w:val="00C01ED3"/>
    <w:rsid w:val="00C04510"/>
    <w:rsid w:val="00C13DFE"/>
    <w:rsid w:val="00C15699"/>
    <w:rsid w:val="00C22C28"/>
    <w:rsid w:val="00C36F3F"/>
    <w:rsid w:val="00C424C3"/>
    <w:rsid w:val="00C54A11"/>
    <w:rsid w:val="00C54B28"/>
    <w:rsid w:val="00C55D0D"/>
    <w:rsid w:val="00C608B6"/>
    <w:rsid w:val="00C61768"/>
    <w:rsid w:val="00C633F9"/>
    <w:rsid w:val="00C76806"/>
    <w:rsid w:val="00C76E15"/>
    <w:rsid w:val="00C80A4E"/>
    <w:rsid w:val="00C8373C"/>
    <w:rsid w:val="00C84D0D"/>
    <w:rsid w:val="00C96AC9"/>
    <w:rsid w:val="00CA6A63"/>
    <w:rsid w:val="00CC0DAB"/>
    <w:rsid w:val="00CC7F95"/>
    <w:rsid w:val="00CD2B93"/>
    <w:rsid w:val="00CE00E6"/>
    <w:rsid w:val="00CE4ACE"/>
    <w:rsid w:val="00CE4CE0"/>
    <w:rsid w:val="00CF533B"/>
    <w:rsid w:val="00CF63C2"/>
    <w:rsid w:val="00D02E12"/>
    <w:rsid w:val="00D037CF"/>
    <w:rsid w:val="00D13965"/>
    <w:rsid w:val="00D17A3B"/>
    <w:rsid w:val="00D17C26"/>
    <w:rsid w:val="00D2066B"/>
    <w:rsid w:val="00D30A90"/>
    <w:rsid w:val="00D44E83"/>
    <w:rsid w:val="00D45D8B"/>
    <w:rsid w:val="00D51D5D"/>
    <w:rsid w:val="00D5430B"/>
    <w:rsid w:val="00D54ADB"/>
    <w:rsid w:val="00D569D1"/>
    <w:rsid w:val="00D632BC"/>
    <w:rsid w:val="00D63381"/>
    <w:rsid w:val="00D663D0"/>
    <w:rsid w:val="00D81EF1"/>
    <w:rsid w:val="00D82797"/>
    <w:rsid w:val="00D925CA"/>
    <w:rsid w:val="00D936CA"/>
    <w:rsid w:val="00DA2EE1"/>
    <w:rsid w:val="00DA4A5C"/>
    <w:rsid w:val="00DA5B3B"/>
    <w:rsid w:val="00DB0BF6"/>
    <w:rsid w:val="00DB3D76"/>
    <w:rsid w:val="00DD286C"/>
    <w:rsid w:val="00DD7828"/>
    <w:rsid w:val="00DE3F0C"/>
    <w:rsid w:val="00DE5F38"/>
    <w:rsid w:val="00DF0749"/>
    <w:rsid w:val="00E04415"/>
    <w:rsid w:val="00E06E2B"/>
    <w:rsid w:val="00E12F8D"/>
    <w:rsid w:val="00E2024D"/>
    <w:rsid w:val="00E219F9"/>
    <w:rsid w:val="00E228DF"/>
    <w:rsid w:val="00E25235"/>
    <w:rsid w:val="00E318EF"/>
    <w:rsid w:val="00E332D8"/>
    <w:rsid w:val="00E33674"/>
    <w:rsid w:val="00E3418E"/>
    <w:rsid w:val="00E4481D"/>
    <w:rsid w:val="00E52F54"/>
    <w:rsid w:val="00E609B7"/>
    <w:rsid w:val="00E612FD"/>
    <w:rsid w:val="00E621B4"/>
    <w:rsid w:val="00E671A3"/>
    <w:rsid w:val="00E676BC"/>
    <w:rsid w:val="00E67939"/>
    <w:rsid w:val="00E71AAD"/>
    <w:rsid w:val="00E75350"/>
    <w:rsid w:val="00E84185"/>
    <w:rsid w:val="00E91524"/>
    <w:rsid w:val="00E91F7E"/>
    <w:rsid w:val="00E92BC5"/>
    <w:rsid w:val="00E9543D"/>
    <w:rsid w:val="00E96AC5"/>
    <w:rsid w:val="00E97E11"/>
    <w:rsid w:val="00EA3B46"/>
    <w:rsid w:val="00EC4520"/>
    <w:rsid w:val="00EC783B"/>
    <w:rsid w:val="00EE1360"/>
    <w:rsid w:val="00EE46F0"/>
    <w:rsid w:val="00EF10CC"/>
    <w:rsid w:val="00EF265A"/>
    <w:rsid w:val="00F03E4F"/>
    <w:rsid w:val="00F20CAD"/>
    <w:rsid w:val="00F301F8"/>
    <w:rsid w:val="00F361B8"/>
    <w:rsid w:val="00F37AEC"/>
    <w:rsid w:val="00F44612"/>
    <w:rsid w:val="00F47891"/>
    <w:rsid w:val="00F51AE5"/>
    <w:rsid w:val="00F52B6C"/>
    <w:rsid w:val="00F5696E"/>
    <w:rsid w:val="00F62AAD"/>
    <w:rsid w:val="00F66B83"/>
    <w:rsid w:val="00F8457E"/>
    <w:rsid w:val="00F85585"/>
    <w:rsid w:val="00F873C7"/>
    <w:rsid w:val="00F94510"/>
    <w:rsid w:val="00F95988"/>
    <w:rsid w:val="00FA27A1"/>
    <w:rsid w:val="00FA3AAA"/>
    <w:rsid w:val="00FA3B94"/>
    <w:rsid w:val="00FA5650"/>
    <w:rsid w:val="00FB3EBB"/>
    <w:rsid w:val="00FC181D"/>
    <w:rsid w:val="00FC20D8"/>
    <w:rsid w:val="00FD4498"/>
    <w:rsid w:val="00FD5C63"/>
    <w:rsid w:val="00FE2619"/>
    <w:rsid w:val="00FE4928"/>
    <w:rsid w:val="00FE55DD"/>
    <w:rsid w:val="00FF142B"/>
    <w:rsid w:val="00FF156F"/>
    <w:rsid w:val="00FF3E10"/>
    <w:rsid w:val="00FF638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1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156F"/>
    <w:pPr>
      <w:autoSpaceDE w:val="0"/>
      <w:autoSpaceDN w:val="0"/>
      <w:adjustRightInd w:val="0"/>
      <w:spacing w:after="0" w:line="240" w:lineRule="auto"/>
    </w:pPr>
    <w:rPr>
      <w:rFonts w:ascii="Helvetica 45 Light" w:hAnsi="Helvetica 45 Light" w:cs="Helvetica 45 Light"/>
      <w:color w:val="000000"/>
      <w:sz w:val="24"/>
      <w:szCs w:val="24"/>
    </w:rPr>
  </w:style>
  <w:style w:type="character" w:customStyle="1" w:styleId="A8">
    <w:name w:val="A8"/>
    <w:uiPriority w:val="99"/>
    <w:rsid w:val="00FF156F"/>
    <w:rPr>
      <w:rFonts w:ascii="DINOT" w:hAnsi="DINOT" w:cs="DINOT"/>
      <w:color w:val="221E1F"/>
      <w:sz w:val="19"/>
      <w:szCs w:val="19"/>
    </w:rPr>
  </w:style>
  <w:style w:type="character" w:customStyle="1" w:styleId="A7">
    <w:name w:val="A7"/>
    <w:uiPriority w:val="99"/>
    <w:rsid w:val="00FF156F"/>
    <w:rPr>
      <w:rFonts w:cs="Helvetica 45 Light"/>
      <w:color w:val="008B80"/>
      <w:sz w:val="42"/>
      <w:szCs w:val="42"/>
    </w:rPr>
  </w:style>
  <w:style w:type="character" w:styleId="Strong">
    <w:name w:val="Strong"/>
    <w:basedOn w:val="DefaultParagraphFont"/>
    <w:uiPriority w:val="22"/>
    <w:qFormat/>
    <w:rsid w:val="00E219F9"/>
    <w:rPr>
      <w:b/>
      <w:bCs/>
    </w:rPr>
  </w:style>
  <w:style w:type="paragraph" w:customStyle="1" w:styleId="Pa2">
    <w:name w:val="Pa2"/>
    <w:basedOn w:val="Default"/>
    <w:next w:val="Default"/>
    <w:uiPriority w:val="99"/>
    <w:rsid w:val="00E219F9"/>
    <w:pPr>
      <w:spacing w:line="141" w:lineRule="atLeast"/>
    </w:pPr>
    <w:rPr>
      <w:rFonts w:cstheme="minorBidi"/>
      <w:color w:val="auto"/>
    </w:rPr>
  </w:style>
  <w:style w:type="paragraph" w:styleId="ListParagraph">
    <w:name w:val="List Paragraph"/>
    <w:basedOn w:val="Normal"/>
    <w:uiPriority w:val="34"/>
    <w:qFormat/>
    <w:rsid w:val="003750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1089</Words>
  <Characters>6209</Characters>
  <Application>Microsoft Office Word</Application>
  <DocSecurity>0</DocSecurity>
  <Lines>51</Lines>
  <Paragraphs>14</Paragraphs>
  <ScaleCrop>false</ScaleCrop>
  <Company>CenITex</Company>
  <LinksUpToDate>false</LinksUpToDate>
  <CharactersWithSpaces>7284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Nardia Smits</dc:creator>
  <cp:lastModifiedBy>Nardia Smits</cp:lastModifiedBy>
  <cp:revision>4</cp:revision>
  <dcterms:created xsi:type="dcterms:W3CDTF">2013-06-19T22:14:00Z</dcterms:created>
  <dcterms:modified xsi:type="dcterms:W3CDTF">2013-06-19T22:36:00Z</dcterms:modified>
</cp:coreProperties>
</file>