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68" w:rsidRDefault="004D7F68" w:rsidP="007728F3">
      <w:pPr>
        <w:pStyle w:val="Pa1"/>
        <w:rPr>
          <w:rFonts w:cs="Helvetica 45 Light"/>
          <w:color w:val="6CB43E"/>
          <w:sz w:val="56"/>
          <w:szCs w:val="56"/>
        </w:rPr>
      </w:pPr>
      <w:r>
        <w:rPr>
          <w:rFonts w:cs="Helvetica 45 Light"/>
          <w:noProof/>
          <w:color w:val="6CB43E"/>
          <w:sz w:val="56"/>
          <w:szCs w:val="56"/>
          <w:lang w:eastAsia="en-AU"/>
        </w:rPr>
        <w:drawing>
          <wp:inline distT="0" distB="0" distL="0" distR="0">
            <wp:extent cx="6381750" cy="16523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2589" t="13054" r="12731" b="67697"/>
                    <a:stretch>
                      <a:fillRect/>
                    </a:stretch>
                  </pic:blipFill>
                  <pic:spPr bwMode="auto">
                    <a:xfrm>
                      <a:off x="0" y="0"/>
                      <a:ext cx="6394164" cy="1655598"/>
                    </a:xfrm>
                    <a:prstGeom prst="rect">
                      <a:avLst/>
                    </a:prstGeom>
                    <a:noFill/>
                    <a:ln w="9525">
                      <a:noFill/>
                      <a:miter lim="800000"/>
                      <a:headEnd/>
                      <a:tailEnd/>
                    </a:ln>
                  </pic:spPr>
                </pic:pic>
              </a:graphicData>
            </a:graphic>
          </wp:inline>
        </w:drawing>
      </w:r>
    </w:p>
    <w:p w:rsidR="007728F3" w:rsidRDefault="004D7F68" w:rsidP="007728F3">
      <w:pPr>
        <w:pStyle w:val="Pa1"/>
        <w:rPr>
          <w:rFonts w:cs="Helvetica 45 Light"/>
          <w:color w:val="6CB43E"/>
          <w:sz w:val="56"/>
          <w:szCs w:val="56"/>
        </w:rPr>
      </w:pPr>
      <w:r>
        <w:rPr>
          <w:rFonts w:cs="Helvetica 45 Light"/>
          <w:color w:val="6CB43E"/>
          <w:sz w:val="56"/>
          <w:szCs w:val="56"/>
        </w:rPr>
        <w:br/>
      </w:r>
      <w:r w:rsidR="007728F3">
        <w:rPr>
          <w:rFonts w:cs="Helvetica 45 Light"/>
          <w:color w:val="6CB43E"/>
          <w:sz w:val="56"/>
          <w:szCs w:val="56"/>
        </w:rPr>
        <w:t>Introduction</w:t>
      </w:r>
    </w:p>
    <w:p w:rsidR="007728F3" w:rsidRDefault="007728F3" w:rsidP="007728F3">
      <w:pPr>
        <w:pStyle w:val="Pa2"/>
        <w:rPr>
          <w:rFonts w:cs="Helvetica 45 Light"/>
          <w:color w:val="221E1F"/>
          <w:sz w:val="19"/>
          <w:szCs w:val="19"/>
        </w:rPr>
      </w:pPr>
      <w:r>
        <w:rPr>
          <w:rFonts w:cs="Helvetica 45 Light"/>
          <w:color w:val="221E1F"/>
          <w:sz w:val="19"/>
          <w:szCs w:val="19"/>
        </w:rPr>
        <w:t xml:space="preserve">The </w:t>
      </w:r>
      <w:r>
        <w:rPr>
          <w:rFonts w:cs="Helvetica 45 Light"/>
          <w:i/>
          <w:iCs/>
          <w:color w:val="221E1F"/>
          <w:sz w:val="19"/>
          <w:szCs w:val="19"/>
        </w:rPr>
        <w:t xml:space="preserve">Victorian Population Bulletin </w:t>
      </w:r>
      <w:r>
        <w:rPr>
          <w:rFonts w:cs="Helvetica 45 Light"/>
          <w:color w:val="221E1F"/>
          <w:sz w:val="19"/>
          <w:szCs w:val="19"/>
        </w:rPr>
        <w:t xml:space="preserve">provides a valuable snapshot of information on population change and the basic drivers behind that change. The data reported here are the latest estimates and figures from the Australian Bureau of Statistics (ABS), relating to the estimated resident population (ERP) at 30 June 2011. The </w:t>
      </w:r>
      <w:r>
        <w:rPr>
          <w:rFonts w:cs="Helvetica 45 Light"/>
          <w:i/>
          <w:iCs/>
          <w:color w:val="221E1F"/>
          <w:sz w:val="19"/>
          <w:szCs w:val="19"/>
        </w:rPr>
        <w:t xml:space="preserve">Victorian Population Bulletin </w:t>
      </w:r>
      <w:r>
        <w:rPr>
          <w:rFonts w:cs="Helvetica 45 Light"/>
          <w:color w:val="221E1F"/>
          <w:sz w:val="19"/>
          <w:szCs w:val="19"/>
        </w:rPr>
        <w:t xml:space="preserve">provides volume and growth rates for the states and capital cities, for the major cities (statistical districts) in Victoria, and for the 79 Local Government Areas (LGAs) of Victoria. The estimates are ‘preliminary’. They will be revised on 31 July 2012 using 2011 Census data. </w:t>
      </w:r>
      <w:r>
        <w:rPr>
          <w:rFonts w:cs="Helvetica 45 Light"/>
          <w:color w:val="221E1F"/>
          <w:sz w:val="19"/>
          <w:szCs w:val="19"/>
        </w:rPr>
        <w:br/>
      </w:r>
    </w:p>
    <w:p w:rsidR="007728F3" w:rsidRDefault="007728F3" w:rsidP="007728F3">
      <w:pPr>
        <w:pStyle w:val="Default"/>
        <w:spacing w:line="481" w:lineRule="atLeast"/>
        <w:rPr>
          <w:color w:val="6CB43E"/>
          <w:sz w:val="42"/>
          <w:szCs w:val="42"/>
        </w:rPr>
      </w:pPr>
      <w:r>
        <w:rPr>
          <w:rStyle w:val="A3"/>
        </w:rPr>
        <w:t>Highlights of population change 2010 – 2011</w:t>
      </w:r>
    </w:p>
    <w:p w:rsidR="007728F3" w:rsidRDefault="007728F3" w:rsidP="007728F3">
      <w:pPr>
        <w:pStyle w:val="Default"/>
        <w:numPr>
          <w:ilvl w:val="0"/>
          <w:numId w:val="2"/>
        </w:numPr>
        <w:rPr>
          <w:color w:val="221E1F"/>
          <w:sz w:val="19"/>
          <w:szCs w:val="19"/>
        </w:rPr>
      </w:pPr>
      <w:r>
        <w:rPr>
          <w:color w:val="221E1F"/>
          <w:sz w:val="19"/>
          <w:szCs w:val="19"/>
        </w:rPr>
        <w:t>Australia’s ERP reached 22.62 million at 30 June 2011, an increase of 320,779 people over the previous year. This represents a growth rate of 1.4%.</w:t>
      </w:r>
    </w:p>
    <w:p w:rsidR="007728F3" w:rsidRDefault="007728F3" w:rsidP="007728F3">
      <w:pPr>
        <w:pStyle w:val="Default"/>
        <w:numPr>
          <w:ilvl w:val="0"/>
          <w:numId w:val="2"/>
        </w:numPr>
        <w:rPr>
          <w:color w:val="221E1F"/>
          <w:sz w:val="19"/>
          <w:szCs w:val="19"/>
        </w:rPr>
      </w:pPr>
      <w:r>
        <w:rPr>
          <w:color w:val="221E1F"/>
          <w:sz w:val="19"/>
          <w:szCs w:val="19"/>
        </w:rPr>
        <w:t xml:space="preserve">Victoria’s ERP at 30 June 2011 was 5.62 million, an increase of 1.5% (84,150 persons) since 30 June 2010. This is lower than the growth over the previous year, 2009-2010 (90,448 persons), and considerably lower than the growth in 2008-2009 (119,634 persons). </w:t>
      </w:r>
    </w:p>
    <w:p w:rsidR="007728F3" w:rsidRDefault="007728F3" w:rsidP="007728F3">
      <w:pPr>
        <w:pStyle w:val="Default"/>
        <w:numPr>
          <w:ilvl w:val="0"/>
          <w:numId w:val="2"/>
        </w:numPr>
        <w:rPr>
          <w:color w:val="221E1F"/>
          <w:sz w:val="19"/>
          <w:szCs w:val="19"/>
        </w:rPr>
      </w:pPr>
      <w:r>
        <w:rPr>
          <w:color w:val="221E1F"/>
          <w:sz w:val="19"/>
          <w:szCs w:val="19"/>
        </w:rPr>
        <w:t>The annual growth rate of the Melbourne metropolitan area was 1.6%. The absolute increase for the year ended 30 June 2011 was 66,913 persons, a growth of approximately 1,282 persons per week.</w:t>
      </w:r>
    </w:p>
    <w:p w:rsidR="007728F3" w:rsidRDefault="007728F3" w:rsidP="007728F3">
      <w:pPr>
        <w:pStyle w:val="Default"/>
        <w:numPr>
          <w:ilvl w:val="0"/>
          <w:numId w:val="2"/>
        </w:numPr>
        <w:rPr>
          <w:color w:val="221E1F"/>
          <w:sz w:val="19"/>
          <w:szCs w:val="19"/>
        </w:rPr>
      </w:pPr>
      <w:r>
        <w:rPr>
          <w:color w:val="221E1F"/>
          <w:sz w:val="19"/>
          <w:szCs w:val="19"/>
        </w:rPr>
        <w:t>The population of Regional Victoria increased by 17,237 persons, representing a growth rate of 1.2%.</w:t>
      </w:r>
    </w:p>
    <w:p w:rsidR="007728F3" w:rsidRDefault="007728F3" w:rsidP="007728F3">
      <w:pPr>
        <w:pStyle w:val="Default"/>
        <w:numPr>
          <w:ilvl w:val="0"/>
          <w:numId w:val="2"/>
        </w:numPr>
        <w:rPr>
          <w:color w:val="221E1F"/>
          <w:sz w:val="19"/>
          <w:szCs w:val="19"/>
        </w:rPr>
      </w:pPr>
      <w:r>
        <w:rPr>
          <w:color w:val="221E1F"/>
          <w:sz w:val="19"/>
          <w:szCs w:val="19"/>
        </w:rPr>
        <w:t>There were four Victorian LGAs amongst the ten largest growing municipalities in Australia for the year ended 30 June 2011. These were Wyndham (up 12,230 or 7.8%), Whittlesea (up 8,675 or 5.6%), Melton (up 6,002 or 5.6%) and Casey (up 5,947 persons or 2.3%). All are located on Melbourne’s urban fringe.</w:t>
      </w:r>
    </w:p>
    <w:p w:rsidR="007728F3" w:rsidRDefault="007728F3" w:rsidP="007728F3">
      <w:pPr>
        <w:pStyle w:val="Default"/>
        <w:rPr>
          <w:color w:val="221E1F"/>
          <w:sz w:val="19"/>
          <w:szCs w:val="19"/>
        </w:rPr>
      </w:pPr>
    </w:p>
    <w:p w:rsidR="007728F3" w:rsidRDefault="007728F3" w:rsidP="007728F3">
      <w:pPr>
        <w:pStyle w:val="Pa1"/>
        <w:rPr>
          <w:rFonts w:cs="Helvetica 45 Light"/>
          <w:color w:val="6CB43E"/>
          <w:sz w:val="48"/>
          <w:szCs w:val="48"/>
        </w:rPr>
      </w:pPr>
      <w:r>
        <w:rPr>
          <w:rFonts w:cs="Helvetica 45 Light"/>
          <w:color w:val="6CB43E"/>
          <w:sz w:val="48"/>
          <w:szCs w:val="48"/>
        </w:rPr>
        <w:t>Regional Victoria</w:t>
      </w:r>
    </w:p>
    <w:p w:rsidR="007728F3" w:rsidRDefault="007728F3" w:rsidP="007728F3">
      <w:pPr>
        <w:pStyle w:val="Default"/>
        <w:numPr>
          <w:ilvl w:val="0"/>
          <w:numId w:val="4"/>
        </w:numPr>
        <w:rPr>
          <w:color w:val="221E1F"/>
          <w:sz w:val="19"/>
          <w:szCs w:val="19"/>
        </w:rPr>
      </w:pPr>
      <w:r>
        <w:rPr>
          <w:color w:val="221E1F"/>
          <w:sz w:val="19"/>
          <w:szCs w:val="19"/>
        </w:rPr>
        <w:t xml:space="preserve">For the year ended 30 June 2011, the population of regional Victoria grew to 1.48 million*, an increase of 17,237 persons over the previous year, or 1.2%. </w:t>
      </w:r>
    </w:p>
    <w:p w:rsidR="007728F3" w:rsidRDefault="007728F3" w:rsidP="007728F3">
      <w:pPr>
        <w:pStyle w:val="Default"/>
        <w:numPr>
          <w:ilvl w:val="0"/>
          <w:numId w:val="4"/>
        </w:numPr>
        <w:rPr>
          <w:color w:val="221E1F"/>
          <w:sz w:val="19"/>
          <w:szCs w:val="19"/>
        </w:rPr>
      </w:pPr>
      <w:r>
        <w:rPr>
          <w:color w:val="221E1F"/>
          <w:sz w:val="19"/>
          <w:szCs w:val="19"/>
        </w:rPr>
        <w:t xml:space="preserve">The fastest growing LGAs in regional Victoria were generally located in coastal or peri-urban areas close to Melbourne or Geelong. The highest rate recorded was in Bass Coast (3.7%), located south of Cardinia. Other rapidly growing LGAs were Moorabool (3.0%) and Mitchell (2.9%). Both Baw </w:t>
      </w:r>
      <w:proofErr w:type="spellStart"/>
      <w:r>
        <w:rPr>
          <w:color w:val="221E1F"/>
          <w:sz w:val="19"/>
          <w:szCs w:val="19"/>
        </w:rPr>
        <w:t>Baw</w:t>
      </w:r>
      <w:proofErr w:type="spellEnd"/>
      <w:r>
        <w:rPr>
          <w:color w:val="221E1F"/>
          <w:sz w:val="19"/>
          <w:szCs w:val="19"/>
        </w:rPr>
        <w:t xml:space="preserve"> and Surf Coast had growth rates of 2.8%.</w:t>
      </w:r>
    </w:p>
    <w:p w:rsidR="007728F3" w:rsidRDefault="007728F3" w:rsidP="007728F3">
      <w:pPr>
        <w:pStyle w:val="Default"/>
        <w:numPr>
          <w:ilvl w:val="0"/>
          <w:numId w:val="4"/>
        </w:numPr>
        <w:rPr>
          <w:color w:val="221E1F"/>
          <w:sz w:val="19"/>
          <w:szCs w:val="19"/>
        </w:rPr>
      </w:pPr>
      <w:r>
        <w:rPr>
          <w:color w:val="221E1F"/>
          <w:sz w:val="19"/>
          <w:szCs w:val="19"/>
        </w:rPr>
        <w:t>In terms of absolute growth, LGAs with regional centres recorded the highest amounts. Largely because of their size, Greater Geelong (up 3,331 persons), Ballarat (up 1,867) and Greater Bendigo (up 1,539) recorded the highest volumes of growth. Combined, these three LGAs accounted for 39% of regional Victoria’s population growth.</w:t>
      </w:r>
    </w:p>
    <w:p w:rsidR="007728F3" w:rsidRDefault="007728F3" w:rsidP="007728F3">
      <w:pPr>
        <w:pStyle w:val="Default"/>
        <w:numPr>
          <w:ilvl w:val="0"/>
          <w:numId w:val="4"/>
        </w:numPr>
        <w:rPr>
          <w:color w:val="221E1F"/>
          <w:sz w:val="19"/>
          <w:szCs w:val="19"/>
        </w:rPr>
      </w:pPr>
      <w:r>
        <w:rPr>
          <w:color w:val="221E1F"/>
          <w:sz w:val="19"/>
          <w:szCs w:val="19"/>
        </w:rPr>
        <w:t xml:space="preserve">Several LGAs in regional Victoria recorded small population losses in 2010-2011. Most of these were located in the dryland agricultural region in the west of the State. It should be noted that in numerical terms this amounted to loss of between 3 and 131 persons in any LGA. </w:t>
      </w:r>
    </w:p>
    <w:p w:rsidR="007728F3" w:rsidRDefault="007728F3" w:rsidP="007728F3">
      <w:pPr>
        <w:pStyle w:val="Default"/>
        <w:rPr>
          <w:color w:val="221E1F"/>
          <w:sz w:val="19"/>
          <w:szCs w:val="19"/>
        </w:rPr>
      </w:pPr>
    </w:p>
    <w:p w:rsidR="007728F3" w:rsidRPr="007728F3" w:rsidRDefault="007728F3" w:rsidP="007728F3">
      <w:pPr>
        <w:pStyle w:val="Default"/>
        <w:numPr>
          <w:ilvl w:val="0"/>
          <w:numId w:val="4"/>
        </w:numPr>
        <w:rPr>
          <w:color w:val="221E1F"/>
          <w:sz w:val="19"/>
          <w:szCs w:val="19"/>
        </w:rPr>
      </w:pPr>
      <w:r>
        <w:rPr>
          <w:i/>
          <w:iCs/>
          <w:color w:val="221E1F"/>
          <w:sz w:val="16"/>
          <w:szCs w:val="16"/>
        </w:rPr>
        <w:t>*Note that this regional total does not include Yarra Ranges part B.</w:t>
      </w:r>
    </w:p>
    <w:p w:rsidR="007728F3" w:rsidRDefault="007728F3" w:rsidP="007728F3">
      <w:pPr>
        <w:pStyle w:val="ListParagraph"/>
        <w:rPr>
          <w:color w:val="221E1F"/>
          <w:sz w:val="19"/>
          <w:szCs w:val="19"/>
        </w:rPr>
      </w:pPr>
    </w:p>
    <w:p w:rsidR="007728F3" w:rsidRDefault="007728F3" w:rsidP="007728F3">
      <w:pPr>
        <w:pStyle w:val="Default"/>
        <w:rPr>
          <w:color w:val="221E1F"/>
          <w:sz w:val="19"/>
          <w:szCs w:val="19"/>
        </w:rPr>
      </w:pPr>
      <w:r>
        <w:rPr>
          <w:color w:val="6CB43E"/>
          <w:sz w:val="48"/>
          <w:szCs w:val="48"/>
        </w:rPr>
        <w:lastRenderedPageBreak/>
        <w:t>Metropolitan Melbourne</w:t>
      </w:r>
    </w:p>
    <w:p w:rsidR="007728F3" w:rsidRDefault="007728F3" w:rsidP="007728F3">
      <w:pPr>
        <w:pStyle w:val="Default"/>
      </w:pPr>
    </w:p>
    <w:p w:rsidR="007728F3" w:rsidRDefault="007728F3" w:rsidP="007728F3">
      <w:pPr>
        <w:pStyle w:val="Default"/>
        <w:numPr>
          <w:ilvl w:val="0"/>
          <w:numId w:val="5"/>
        </w:numPr>
        <w:rPr>
          <w:color w:val="221E1F"/>
          <w:sz w:val="19"/>
          <w:szCs w:val="19"/>
        </w:rPr>
      </w:pPr>
      <w:r>
        <w:rPr>
          <w:color w:val="221E1F"/>
          <w:sz w:val="19"/>
          <w:szCs w:val="19"/>
        </w:rPr>
        <w:t>For the year ended 30 June 2011, the population of the Melbourne Statistical Division grew to well over 4.1 million persons. This represented an increase of 66,913 persons or 1.6%.</w:t>
      </w:r>
    </w:p>
    <w:p w:rsidR="007728F3" w:rsidRDefault="007728F3" w:rsidP="007728F3">
      <w:pPr>
        <w:pStyle w:val="Default"/>
        <w:rPr>
          <w:color w:val="221E1F"/>
          <w:sz w:val="19"/>
          <w:szCs w:val="19"/>
        </w:rPr>
      </w:pPr>
    </w:p>
    <w:p w:rsidR="007728F3" w:rsidRDefault="007728F3" w:rsidP="007728F3">
      <w:pPr>
        <w:pStyle w:val="Default"/>
        <w:numPr>
          <w:ilvl w:val="0"/>
          <w:numId w:val="6"/>
        </w:numPr>
        <w:rPr>
          <w:color w:val="221E1F"/>
          <w:sz w:val="19"/>
          <w:szCs w:val="19"/>
        </w:rPr>
      </w:pPr>
      <w:r>
        <w:rPr>
          <w:color w:val="221E1F"/>
          <w:sz w:val="19"/>
          <w:szCs w:val="19"/>
        </w:rPr>
        <w:t xml:space="preserve">All LGAs in metropolitan Melbourne recorded population growth in the year ended 30 June 2011. </w:t>
      </w:r>
    </w:p>
    <w:p w:rsidR="007728F3" w:rsidRDefault="007728F3" w:rsidP="007728F3">
      <w:pPr>
        <w:pStyle w:val="Default"/>
        <w:rPr>
          <w:color w:val="221E1F"/>
          <w:sz w:val="19"/>
          <w:szCs w:val="19"/>
        </w:rPr>
      </w:pPr>
    </w:p>
    <w:p w:rsidR="007728F3" w:rsidRDefault="007728F3" w:rsidP="007728F3">
      <w:pPr>
        <w:pStyle w:val="Default"/>
        <w:numPr>
          <w:ilvl w:val="0"/>
          <w:numId w:val="6"/>
        </w:numPr>
        <w:rPr>
          <w:color w:val="221E1F"/>
          <w:sz w:val="19"/>
          <w:szCs w:val="19"/>
        </w:rPr>
      </w:pPr>
      <w:r>
        <w:rPr>
          <w:color w:val="221E1F"/>
          <w:sz w:val="19"/>
          <w:szCs w:val="19"/>
        </w:rPr>
        <w:t>The four LGAs with the highest growth rates were located on the urban fringe: Wyndham (7.8%), Cardinia (5.9%), Melton (5.6%), and Whittlesea (5.6%). The fifth highest was the City of Melbourne (2.6%).</w:t>
      </w:r>
    </w:p>
    <w:p w:rsidR="007728F3" w:rsidRDefault="007728F3" w:rsidP="007728F3">
      <w:pPr>
        <w:pStyle w:val="Default"/>
        <w:rPr>
          <w:color w:val="221E1F"/>
          <w:sz w:val="19"/>
          <w:szCs w:val="19"/>
        </w:rPr>
      </w:pPr>
    </w:p>
    <w:p w:rsidR="007728F3" w:rsidRDefault="007728F3" w:rsidP="007728F3">
      <w:pPr>
        <w:pStyle w:val="Default"/>
        <w:numPr>
          <w:ilvl w:val="0"/>
          <w:numId w:val="6"/>
        </w:numPr>
        <w:rPr>
          <w:color w:val="221E1F"/>
          <w:sz w:val="19"/>
          <w:szCs w:val="19"/>
        </w:rPr>
      </w:pPr>
      <w:r>
        <w:rPr>
          <w:color w:val="221E1F"/>
          <w:sz w:val="19"/>
          <w:szCs w:val="19"/>
        </w:rPr>
        <w:t>LGAs with the highest volumes of growth were all on the urban fringe: Wyndham (12,230), Whittlesea (8,675), Casey (5,947) and Melton (6,002).</w:t>
      </w:r>
    </w:p>
    <w:p w:rsidR="007728F3" w:rsidRDefault="007728F3" w:rsidP="007728F3">
      <w:pPr>
        <w:pStyle w:val="Default"/>
        <w:rPr>
          <w:color w:val="221E1F"/>
          <w:sz w:val="19"/>
          <w:szCs w:val="19"/>
        </w:rPr>
      </w:pPr>
    </w:p>
    <w:p w:rsidR="007728F3" w:rsidRDefault="007728F3" w:rsidP="007728F3">
      <w:pPr>
        <w:pStyle w:val="Default"/>
        <w:numPr>
          <w:ilvl w:val="0"/>
          <w:numId w:val="6"/>
        </w:numPr>
        <w:rPr>
          <w:color w:val="221E1F"/>
          <w:sz w:val="19"/>
          <w:szCs w:val="19"/>
        </w:rPr>
      </w:pPr>
      <w:r>
        <w:rPr>
          <w:color w:val="221E1F"/>
          <w:sz w:val="19"/>
          <w:szCs w:val="19"/>
        </w:rPr>
        <w:t xml:space="preserve">The lowest growth rates were in Banyule, Knox and Nillumbik, which each had a growth rate of 0.2%. </w:t>
      </w:r>
    </w:p>
    <w:p w:rsidR="007728F3" w:rsidRDefault="007728F3" w:rsidP="007728F3">
      <w:pPr>
        <w:pStyle w:val="Default"/>
        <w:rPr>
          <w:color w:val="221E1F"/>
          <w:sz w:val="19"/>
          <w:szCs w:val="19"/>
        </w:rPr>
      </w:pPr>
    </w:p>
    <w:p w:rsidR="004D7F68" w:rsidRDefault="004D7F68">
      <w:r>
        <w:rPr>
          <w:rStyle w:val="A3"/>
        </w:rPr>
        <w:t>National, State and Territory population growth</w:t>
      </w:r>
    </w:p>
    <w:p w:rsidR="004D7F68" w:rsidRDefault="004D7F68" w:rsidP="004D7F68">
      <w:pPr>
        <w:pStyle w:val="Default"/>
        <w:numPr>
          <w:ilvl w:val="0"/>
          <w:numId w:val="5"/>
        </w:numPr>
        <w:spacing w:line="276" w:lineRule="auto"/>
        <w:rPr>
          <w:color w:val="221E1F"/>
          <w:sz w:val="19"/>
          <w:szCs w:val="19"/>
        </w:rPr>
      </w:pPr>
      <w:r>
        <w:rPr>
          <w:color w:val="221E1F"/>
          <w:sz w:val="19"/>
          <w:szCs w:val="19"/>
        </w:rPr>
        <w:t>For the year ended 30 June 2011, Australia’s population reached 22,618,294 persons. This represented growth of 320,779 or 1.4%.</w:t>
      </w:r>
    </w:p>
    <w:p w:rsidR="004D7F68" w:rsidRDefault="004D7F68" w:rsidP="004D7F68">
      <w:pPr>
        <w:pStyle w:val="Default"/>
        <w:numPr>
          <w:ilvl w:val="0"/>
          <w:numId w:val="5"/>
        </w:numPr>
        <w:spacing w:line="276" w:lineRule="auto"/>
        <w:rPr>
          <w:color w:val="221E1F"/>
          <w:sz w:val="19"/>
          <w:szCs w:val="19"/>
        </w:rPr>
      </w:pPr>
      <w:r>
        <w:rPr>
          <w:color w:val="221E1F"/>
          <w:sz w:val="19"/>
          <w:szCs w:val="19"/>
        </w:rPr>
        <w:t xml:space="preserve">Western Australia (2.4%) recorded the fastest population growth of all States and Territories, continuing trends associated with the minerals boom. The Australian Capital Territory also grew strongly, at a rate of 1.9%, followed by Queensland at 1.7%, then Victoria at 1.5%. </w:t>
      </w:r>
    </w:p>
    <w:p w:rsidR="004D7F68" w:rsidRDefault="004D7F68" w:rsidP="004D7F68">
      <w:pPr>
        <w:pStyle w:val="Default"/>
        <w:numPr>
          <w:ilvl w:val="0"/>
          <w:numId w:val="5"/>
        </w:numPr>
        <w:spacing w:line="276" w:lineRule="auto"/>
        <w:rPr>
          <w:color w:val="221E1F"/>
          <w:sz w:val="19"/>
          <w:szCs w:val="19"/>
        </w:rPr>
      </w:pPr>
      <w:r>
        <w:rPr>
          <w:color w:val="221E1F"/>
          <w:sz w:val="19"/>
          <w:szCs w:val="19"/>
        </w:rPr>
        <w:t>In terms of absolute numbers, Victoria recorded the largest growth (84,150 persons), followed by NSW (up 82,154) and Queensland (up 74,849).</w:t>
      </w:r>
    </w:p>
    <w:p w:rsidR="004D7F68" w:rsidRDefault="004D7F68" w:rsidP="004D7F68">
      <w:pPr>
        <w:pStyle w:val="Default"/>
        <w:numPr>
          <w:ilvl w:val="0"/>
          <w:numId w:val="5"/>
        </w:numPr>
        <w:spacing w:line="276" w:lineRule="auto"/>
        <w:rPr>
          <w:color w:val="221E1F"/>
          <w:sz w:val="19"/>
          <w:szCs w:val="19"/>
        </w:rPr>
      </w:pPr>
      <w:r>
        <w:rPr>
          <w:color w:val="221E1F"/>
          <w:sz w:val="19"/>
          <w:szCs w:val="19"/>
        </w:rPr>
        <w:t>Queensland recorded the largest gain in interstate migration (7,150 persons), ahead of Western Australia (up 6,163), Victoria (up 3,759) and Australian Capital Territory (up 1,355). The other states and territories recorded losses; New South Wales (loss of 13,218 persons), South Australia (loss of 2,613 persons), Northern Territory (loss of 2,549 persons) and Tasmania (loss of 47 persons).</w:t>
      </w:r>
    </w:p>
    <w:p w:rsidR="004D7F68" w:rsidRDefault="004D7F68" w:rsidP="004D7F68">
      <w:pPr>
        <w:pStyle w:val="Default"/>
        <w:spacing w:line="276" w:lineRule="auto"/>
        <w:rPr>
          <w:color w:val="221E1F"/>
          <w:sz w:val="19"/>
          <w:szCs w:val="19"/>
        </w:rPr>
      </w:pPr>
    </w:p>
    <w:p w:rsidR="004D7F68" w:rsidRDefault="004D7F68" w:rsidP="004D7F68">
      <w:pPr>
        <w:pStyle w:val="Default"/>
        <w:spacing w:line="276" w:lineRule="auto"/>
        <w:rPr>
          <w:color w:val="221E1F"/>
          <w:sz w:val="19"/>
          <w:szCs w:val="19"/>
        </w:rPr>
      </w:pPr>
      <w:r>
        <w:rPr>
          <w:color w:val="6CB43E"/>
          <w:sz w:val="48"/>
          <w:szCs w:val="48"/>
        </w:rPr>
        <w:t>Capital city population growth</w:t>
      </w:r>
    </w:p>
    <w:p w:rsidR="004D7F68" w:rsidRDefault="004D7F68" w:rsidP="004D7F68">
      <w:pPr>
        <w:pStyle w:val="Default"/>
      </w:pPr>
    </w:p>
    <w:p w:rsidR="004D7F68" w:rsidRDefault="004D7F68" w:rsidP="004D7F68">
      <w:pPr>
        <w:pStyle w:val="Default"/>
        <w:numPr>
          <w:ilvl w:val="0"/>
          <w:numId w:val="5"/>
        </w:numPr>
        <w:rPr>
          <w:color w:val="221E1F"/>
          <w:sz w:val="19"/>
          <w:szCs w:val="19"/>
        </w:rPr>
      </w:pPr>
      <w:r>
        <w:rPr>
          <w:color w:val="221E1F"/>
          <w:sz w:val="19"/>
          <w:szCs w:val="19"/>
        </w:rPr>
        <w:t>The majority of Australia’s population lives in the state and territory capital cities (14.5 million people or 64%, at 30 June 2011).</w:t>
      </w:r>
    </w:p>
    <w:p w:rsidR="004D7F68" w:rsidRDefault="004D7F68" w:rsidP="004D7F68">
      <w:pPr>
        <w:pStyle w:val="Default"/>
        <w:rPr>
          <w:color w:val="221E1F"/>
          <w:sz w:val="19"/>
          <w:szCs w:val="19"/>
        </w:rPr>
      </w:pPr>
    </w:p>
    <w:p w:rsidR="004D7F68" w:rsidRDefault="004D7F68" w:rsidP="004D7F68">
      <w:pPr>
        <w:pStyle w:val="Default"/>
        <w:numPr>
          <w:ilvl w:val="0"/>
          <w:numId w:val="5"/>
        </w:numPr>
        <w:rPr>
          <w:color w:val="221E1F"/>
          <w:sz w:val="19"/>
          <w:szCs w:val="19"/>
        </w:rPr>
      </w:pPr>
      <w:r>
        <w:rPr>
          <w:color w:val="221E1F"/>
          <w:sz w:val="19"/>
          <w:szCs w:val="19"/>
        </w:rPr>
        <w:t xml:space="preserve">The bulk of each state or territory’s population growth also occurred in the capital cities - with the exception of Queensland. Queensland has strong growth in other areas aside from Brisbane, leading to the capital accounting for only 47% of the population growth to 30 June 2011. </w:t>
      </w:r>
    </w:p>
    <w:p w:rsidR="004D7F68" w:rsidRDefault="004D7F68" w:rsidP="004D7F68">
      <w:pPr>
        <w:pStyle w:val="Default"/>
        <w:rPr>
          <w:color w:val="221E1F"/>
          <w:sz w:val="19"/>
          <w:szCs w:val="19"/>
        </w:rPr>
      </w:pPr>
    </w:p>
    <w:p w:rsidR="004D7F68" w:rsidRDefault="004D7F68" w:rsidP="004D7F68">
      <w:pPr>
        <w:pStyle w:val="Default"/>
        <w:numPr>
          <w:ilvl w:val="0"/>
          <w:numId w:val="5"/>
        </w:numPr>
        <w:rPr>
          <w:color w:val="221E1F"/>
          <w:sz w:val="19"/>
          <w:szCs w:val="19"/>
        </w:rPr>
      </w:pPr>
      <w:r>
        <w:rPr>
          <w:color w:val="221E1F"/>
          <w:sz w:val="19"/>
          <w:szCs w:val="19"/>
        </w:rPr>
        <w:t>Perth was the fastest growing state capital, increasing by 2.5%, or 42,764 persons. However, the volume of growth was largest in Melbourne (66,918 persons), followed by Sydney (59,767) and Perth (42,764).</w:t>
      </w:r>
    </w:p>
    <w:p w:rsidR="004D7F68" w:rsidRDefault="004D7F68" w:rsidP="004D7F68">
      <w:pPr>
        <w:pStyle w:val="Default"/>
        <w:spacing w:line="276" w:lineRule="auto"/>
        <w:rPr>
          <w:color w:val="221E1F"/>
          <w:sz w:val="19"/>
          <w:szCs w:val="19"/>
        </w:rPr>
      </w:pPr>
    </w:p>
    <w:p w:rsidR="004D7F68" w:rsidRDefault="004D7F68"/>
    <w:sectPr w:rsidR="004D7F68" w:rsidSect="009970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FD" w:rsidRDefault="00DB46FD" w:rsidP="00DB46FD">
      <w:pPr>
        <w:spacing w:after="0" w:line="240" w:lineRule="auto"/>
      </w:pPr>
      <w:r>
        <w:separator/>
      </w:r>
    </w:p>
  </w:endnote>
  <w:endnote w:type="continuationSeparator" w:id="0">
    <w:p w:rsidR="00DB46FD" w:rsidRDefault="00DB46FD" w:rsidP="00DB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FD" w:rsidRDefault="00DB4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FD" w:rsidRDefault="00DB46FD">
    <w:pPr>
      <w:pStyle w:val="Footer"/>
    </w:pPr>
    <w:r>
      <w:t xml:space="preserve">Department of Planning and Community </w:t>
    </w:r>
    <w:r>
      <w:t>Development</w:t>
    </w:r>
  </w:p>
  <w:p w:rsidR="00DB46FD" w:rsidRDefault="00DB46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FD" w:rsidRDefault="00DB4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FD" w:rsidRDefault="00DB46FD" w:rsidP="00DB46FD">
      <w:pPr>
        <w:spacing w:after="0" w:line="240" w:lineRule="auto"/>
      </w:pPr>
      <w:r>
        <w:separator/>
      </w:r>
    </w:p>
  </w:footnote>
  <w:footnote w:type="continuationSeparator" w:id="0">
    <w:p w:rsidR="00DB46FD" w:rsidRDefault="00DB46FD" w:rsidP="00DB4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FD" w:rsidRDefault="00DB4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FD" w:rsidRDefault="00DB46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FD" w:rsidRDefault="00DB46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86A937"/>
    <w:multiLevelType w:val="hybridMultilevel"/>
    <w:tmpl w:val="8D43B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F82D42"/>
    <w:multiLevelType w:val="hybridMultilevel"/>
    <w:tmpl w:val="91EA4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FF43EA"/>
    <w:multiLevelType w:val="hybridMultilevel"/>
    <w:tmpl w:val="39D4E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D329F9"/>
    <w:multiLevelType w:val="hybridMultilevel"/>
    <w:tmpl w:val="47448B96"/>
    <w:lvl w:ilvl="0" w:tplc="F71CB398">
      <w:numFmt w:val="bullet"/>
      <w:lvlText w:val="•"/>
      <w:lvlJc w:val="left"/>
      <w:pPr>
        <w:ind w:left="720" w:hanging="360"/>
      </w:pPr>
      <w:rPr>
        <w:rFonts w:ascii="DIN" w:eastAsiaTheme="minorHAnsi" w:hAnsi="DIN" w:cs="DIN" w:hint="default"/>
        <w:color w:val="6CB43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D304C7"/>
    <w:multiLevelType w:val="hybridMultilevel"/>
    <w:tmpl w:val="75CC15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87F4206"/>
    <w:multiLevelType w:val="hybridMultilevel"/>
    <w:tmpl w:val="4484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4D6DEC"/>
    <w:multiLevelType w:val="hybridMultilevel"/>
    <w:tmpl w:val="A066F2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80304D7"/>
    <w:multiLevelType w:val="hybridMultilevel"/>
    <w:tmpl w:val="C3787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docVars>
    <w:docVar w:name="_AMO_XmlVersion" w:val="Empty"/>
  </w:docVars>
  <w:rsids>
    <w:rsidRoot w:val="007728F3"/>
    <w:rsid w:val="000009B8"/>
    <w:rsid w:val="000047CC"/>
    <w:rsid w:val="0002564B"/>
    <w:rsid w:val="00035D11"/>
    <w:rsid w:val="000403F7"/>
    <w:rsid w:val="0004425E"/>
    <w:rsid w:val="000450FA"/>
    <w:rsid w:val="00051961"/>
    <w:rsid w:val="00054FA4"/>
    <w:rsid w:val="00061B33"/>
    <w:rsid w:val="00061D1E"/>
    <w:rsid w:val="0006382B"/>
    <w:rsid w:val="00077A3D"/>
    <w:rsid w:val="0008087F"/>
    <w:rsid w:val="0008598C"/>
    <w:rsid w:val="00097244"/>
    <w:rsid w:val="000A2D47"/>
    <w:rsid w:val="000A564D"/>
    <w:rsid w:val="000A7591"/>
    <w:rsid w:val="000A7D6A"/>
    <w:rsid w:val="000C5FC7"/>
    <w:rsid w:val="000C6A04"/>
    <w:rsid w:val="000D3E11"/>
    <w:rsid w:val="000D60F2"/>
    <w:rsid w:val="000D7A55"/>
    <w:rsid w:val="000D7F3A"/>
    <w:rsid w:val="000E098F"/>
    <w:rsid w:val="000E0A12"/>
    <w:rsid w:val="000E1373"/>
    <w:rsid w:val="000E2284"/>
    <w:rsid w:val="000F27C7"/>
    <w:rsid w:val="000F64DD"/>
    <w:rsid w:val="000F694F"/>
    <w:rsid w:val="000F76FA"/>
    <w:rsid w:val="000F7D77"/>
    <w:rsid w:val="00101C43"/>
    <w:rsid w:val="001047E2"/>
    <w:rsid w:val="00112C27"/>
    <w:rsid w:val="001177DF"/>
    <w:rsid w:val="001208D3"/>
    <w:rsid w:val="00123B67"/>
    <w:rsid w:val="00131A56"/>
    <w:rsid w:val="0014044F"/>
    <w:rsid w:val="00143290"/>
    <w:rsid w:val="00150A86"/>
    <w:rsid w:val="00152BC1"/>
    <w:rsid w:val="00156DEF"/>
    <w:rsid w:val="001618E6"/>
    <w:rsid w:val="00170135"/>
    <w:rsid w:val="00175D25"/>
    <w:rsid w:val="00183FAC"/>
    <w:rsid w:val="001847B1"/>
    <w:rsid w:val="001A0192"/>
    <w:rsid w:val="001A41E6"/>
    <w:rsid w:val="001A795A"/>
    <w:rsid w:val="001C11C6"/>
    <w:rsid w:val="001C3848"/>
    <w:rsid w:val="001D0E91"/>
    <w:rsid w:val="001D428C"/>
    <w:rsid w:val="001F1B82"/>
    <w:rsid w:val="001F472D"/>
    <w:rsid w:val="001F562C"/>
    <w:rsid w:val="001F592C"/>
    <w:rsid w:val="001F75BC"/>
    <w:rsid w:val="002140F3"/>
    <w:rsid w:val="002215D8"/>
    <w:rsid w:val="00225DB7"/>
    <w:rsid w:val="002279E4"/>
    <w:rsid w:val="002307A5"/>
    <w:rsid w:val="00233384"/>
    <w:rsid w:val="002333B4"/>
    <w:rsid w:val="002365EA"/>
    <w:rsid w:val="00246F37"/>
    <w:rsid w:val="00252F41"/>
    <w:rsid w:val="00253824"/>
    <w:rsid w:val="00260A4A"/>
    <w:rsid w:val="00261817"/>
    <w:rsid w:val="00261CF0"/>
    <w:rsid w:val="002638FC"/>
    <w:rsid w:val="00264948"/>
    <w:rsid w:val="00265874"/>
    <w:rsid w:val="0026656C"/>
    <w:rsid w:val="002667B9"/>
    <w:rsid w:val="00270934"/>
    <w:rsid w:val="00270999"/>
    <w:rsid w:val="0028373A"/>
    <w:rsid w:val="00283B02"/>
    <w:rsid w:val="00291F78"/>
    <w:rsid w:val="00293867"/>
    <w:rsid w:val="002A1085"/>
    <w:rsid w:val="002A6CBB"/>
    <w:rsid w:val="002B4BFD"/>
    <w:rsid w:val="002B4DBB"/>
    <w:rsid w:val="002B5BCB"/>
    <w:rsid w:val="002C6040"/>
    <w:rsid w:val="002D4EAE"/>
    <w:rsid w:val="002E1793"/>
    <w:rsid w:val="002E20AE"/>
    <w:rsid w:val="002E45B5"/>
    <w:rsid w:val="002E526D"/>
    <w:rsid w:val="002E6950"/>
    <w:rsid w:val="002E745F"/>
    <w:rsid w:val="00303F26"/>
    <w:rsid w:val="003125E7"/>
    <w:rsid w:val="00322A2D"/>
    <w:rsid w:val="0033067E"/>
    <w:rsid w:val="00331B62"/>
    <w:rsid w:val="00335346"/>
    <w:rsid w:val="00347D8F"/>
    <w:rsid w:val="0035104B"/>
    <w:rsid w:val="00361B35"/>
    <w:rsid w:val="0037362A"/>
    <w:rsid w:val="00376D7C"/>
    <w:rsid w:val="00392F53"/>
    <w:rsid w:val="003A12CD"/>
    <w:rsid w:val="003B5702"/>
    <w:rsid w:val="003C0656"/>
    <w:rsid w:val="003C2BFB"/>
    <w:rsid w:val="003C75A6"/>
    <w:rsid w:val="003D2BFF"/>
    <w:rsid w:val="003D60BD"/>
    <w:rsid w:val="003E1351"/>
    <w:rsid w:val="003E1983"/>
    <w:rsid w:val="003F0528"/>
    <w:rsid w:val="003F09F8"/>
    <w:rsid w:val="003F4A84"/>
    <w:rsid w:val="00402AFA"/>
    <w:rsid w:val="00402F6C"/>
    <w:rsid w:val="00404A60"/>
    <w:rsid w:val="00410C1A"/>
    <w:rsid w:val="00410E9A"/>
    <w:rsid w:val="00411FDE"/>
    <w:rsid w:val="004124A2"/>
    <w:rsid w:val="0041470B"/>
    <w:rsid w:val="00414EA6"/>
    <w:rsid w:val="00416C13"/>
    <w:rsid w:val="00422639"/>
    <w:rsid w:val="00425499"/>
    <w:rsid w:val="00436020"/>
    <w:rsid w:val="00452E1D"/>
    <w:rsid w:val="004559AD"/>
    <w:rsid w:val="00462007"/>
    <w:rsid w:val="00462B93"/>
    <w:rsid w:val="00462C85"/>
    <w:rsid w:val="004729A7"/>
    <w:rsid w:val="004827B5"/>
    <w:rsid w:val="00486145"/>
    <w:rsid w:val="00486C02"/>
    <w:rsid w:val="004933EB"/>
    <w:rsid w:val="00493CBA"/>
    <w:rsid w:val="004962B6"/>
    <w:rsid w:val="004B7E65"/>
    <w:rsid w:val="004D361A"/>
    <w:rsid w:val="004D739C"/>
    <w:rsid w:val="004D7F68"/>
    <w:rsid w:val="004E2A56"/>
    <w:rsid w:val="004E7E8B"/>
    <w:rsid w:val="005039D3"/>
    <w:rsid w:val="00506AE2"/>
    <w:rsid w:val="00517C05"/>
    <w:rsid w:val="005276B4"/>
    <w:rsid w:val="00542E82"/>
    <w:rsid w:val="0055073E"/>
    <w:rsid w:val="005525BC"/>
    <w:rsid w:val="00553CA4"/>
    <w:rsid w:val="00554CB1"/>
    <w:rsid w:val="00561B22"/>
    <w:rsid w:val="00562CE2"/>
    <w:rsid w:val="005647AF"/>
    <w:rsid w:val="0056491D"/>
    <w:rsid w:val="00566E54"/>
    <w:rsid w:val="005675AB"/>
    <w:rsid w:val="00571712"/>
    <w:rsid w:val="005814AF"/>
    <w:rsid w:val="005825CC"/>
    <w:rsid w:val="00584674"/>
    <w:rsid w:val="005A09DA"/>
    <w:rsid w:val="005A163B"/>
    <w:rsid w:val="005A2E3B"/>
    <w:rsid w:val="005A3412"/>
    <w:rsid w:val="005A4452"/>
    <w:rsid w:val="005A6758"/>
    <w:rsid w:val="005A7E5D"/>
    <w:rsid w:val="005B1E32"/>
    <w:rsid w:val="005B47FB"/>
    <w:rsid w:val="005C2979"/>
    <w:rsid w:val="005D09C3"/>
    <w:rsid w:val="005D5A8D"/>
    <w:rsid w:val="005D7712"/>
    <w:rsid w:val="005E2479"/>
    <w:rsid w:val="005E6300"/>
    <w:rsid w:val="006130B3"/>
    <w:rsid w:val="00617C4F"/>
    <w:rsid w:val="00634E8F"/>
    <w:rsid w:val="006363E6"/>
    <w:rsid w:val="00643C1E"/>
    <w:rsid w:val="00644F8C"/>
    <w:rsid w:val="006466DF"/>
    <w:rsid w:val="006479BF"/>
    <w:rsid w:val="00656395"/>
    <w:rsid w:val="006646B7"/>
    <w:rsid w:val="00677321"/>
    <w:rsid w:val="0068247D"/>
    <w:rsid w:val="00686893"/>
    <w:rsid w:val="006936F4"/>
    <w:rsid w:val="00695F1C"/>
    <w:rsid w:val="006B2C1B"/>
    <w:rsid w:val="006B6118"/>
    <w:rsid w:val="006C5CE9"/>
    <w:rsid w:val="006D779C"/>
    <w:rsid w:val="006E668B"/>
    <w:rsid w:val="006F632E"/>
    <w:rsid w:val="007139EE"/>
    <w:rsid w:val="00716875"/>
    <w:rsid w:val="007171EE"/>
    <w:rsid w:val="00722976"/>
    <w:rsid w:val="00723BC1"/>
    <w:rsid w:val="007324F7"/>
    <w:rsid w:val="007357A7"/>
    <w:rsid w:val="00736869"/>
    <w:rsid w:val="00741D02"/>
    <w:rsid w:val="0074573B"/>
    <w:rsid w:val="00750667"/>
    <w:rsid w:val="00757C39"/>
    <w:rsid w:val="00770D6C"/>
    <w:rsid w:val="007728F3"/>
    <w:rsid w:val="00773242"/>
    <w:rsid w:val="0077674A"/>
    <w:rsid w:val="0078019E"/>
    <w:rsid w:val="0078267B"/>
    <w:rsid w:val="00783EE8"/>
    <w:rsid w:val="00784097"/>
    <w:rsid w:val="007A347C"/>
    <w:rsid w:val="007B21FC"/>
    <w:rsid w:val="007C2228"/>
    <w:rsid w:val="007C4A8C"/>
    <w:rsid w:val="007C552F"/>
    <w:rsid w:val="007C7E25"/>
    <w:rsid w:val="007D1B7A"/>
    <w:rsid w:val="007D1BF1"/>
    <w:rsid w:val="007D63E7"/>
    <w:rsid w:val="007E3EB9"/>
    <w:rsid w:val="007F1DAE"/>
    <w:rsid w:val="007F5A48"/>
    <w:rsid w:val="00800225"/>
    <w:rsid w:val="008127F1"/>
    <w:rsid w:val="00816A30"/>
    <w:rsid w:val="00830739"/>
    <w:rsid w:val="00845EA5"/>
    <w:rsid w:val="008500A8"/>
    <w:rsid w:val="0085316F"/>
    <w:rsid w:val="00853AA3"/>
    <w:rsid w:val="00857196"/>
    <w:rsid w:val="00862D01"/>
    <w:rsid w:val="0087070B"/>
    <w:rsid w:val="0087139D"/>
    <w:rsid w:val="00872B3D"/>
    <w:rsid w:val="00886ADE"/>
    <w:rsid w:val="00892CF7"/>
    <w:rsid w:val="00895359"/>
    <w:rsid w:val="008A3AAB"/>
    <w:rsid w:val="008B178F"/>
    <w:rsid w:val="008C0845"/>
    <w:rsid w:val="008D5FAA"/>
    <w:rsid w:val="008E218D"/>
    <w:rsid w:val="008E2470"/>
    <w:rsid w:val="008F546D"/>
    <w:rsid w:val="00907D03"/>
    <w:rsid w:val="00913841"/>
    <w:rsid w:val="00921C82"/>
    <w:rsid w:val="00924A50"/>
    <w:rsid w:val="009311D2"/>
    <w:rsid w:val="00933276"/>
    <w:rsid w:val="00946F17"/>
    <w:rsid w:val="00952720"/>
    <w:rsid w:val="00952F89"/>
    <w:rsid w:val="00955497"/>
    <w:rsid w:val="00963298"/>
    <w:rsid w:val="009645E3"/>
    <w:rsid w:val="009645ED"/>
    <w:rsid w:val="0096694D"/>
    <w:rsid w:val="009701D6"/>
    <w:rsid w:val="009735DC"/>
    <w:rsid w:val="009776A4"/>
    <w:rsid w:val="00981378"/>
    <w:rsid w:val="00985A5A"/>
    <w:rsid w:val="00986B44"/>
    <w:rsid w:val="00986E71"/>
    <w:rsid w:val="0099380C"/>
    <w:rsid w:val="00996DD6"/>
    <w:rsid w:val="009B4545"/>
    <w:rsid w:val="009E1230"/>
    <w:rsid w:val="009F0883"/>
    <w:rsid w:val="009F0BFA"/>
    <w:rsid w:val="009F26D4"/>
    <w:rsid w:val="009F3459"/>
    <w:rsid w:val="009F4A40"/>
    <w:rsid w:val="00A0233C"/>
    <w:rsid w:val="00A02EBE"/>
    <w:rsid w:val="00A155E4"/>
    <w:rsid w:val="00A1751A"/>
    <w:rsid w:val="00A20223"/>
    <w:rsid w:val="00A67C4C"/>
    <w:rsid w:val="00A71B02"/>
    <w:rsid w:val="00A7386D"/>
    <w:rsid w:val="00A74329"/>
    <w:rsid w:val="00A77189"/>
    <w:rsid w:val="00A80907"/>
    <w:rsid w:val="00A9631A"/>
    <w:rsid w:val="00AA1FFB"/>
    <w:rsid w:val="00AB0705"/>
    <w:rsid w:val="00AB36F0"/>
    <w:rsid w:val="00AC7418"/>
    <w:rsid w:val="00AD594C"/>
    <w:rsid w:val="00AE6280"/>
    <w:rsid w:val="00AE63D2"/>
    <w:rsid w:val="00AF3F91"/>
    <w:rsid w:val="00AF5042"/>
    <w:rsid w:val="00B02F9C"/>
    <w:rsid w:val="00B103F4"/>
    <w:rsid w:val="00B10516"/>
    <w:rsid w:val="00B13EA8"/>
    <w:rsid w:val="00B17EAC"/>
    <w:rsid w:val="00B24B48"/>
    <w:rsid w:val="00B40600"/>
    <w:rsid w:val="00B4163B"/>
    <w:rsid w:val="00B42297"/>
    <w:rsid w:val="00B44FAB"/>
    <w:rsid w:val="00B508DF"/>
    <w:rsid w:val="00B51B7A"/>
    <w:rsid w:val="00B6094A"/>
    <w:rsid w:val="00B61572"/>
    <w:rsid w:val="00B617C5"/>
    <w:rsid w:val="00B73EA9"/>
    <w:rsid w:val="00B7692F"/>
    <w:rsid w:val="00B83A37"/>
    <w:rsid w:val="00B83CB3"/>
    <w:rsid w:val="00B84C38"/>
    <w:rsid w:val="00B917B4"/>
    <w:rsid w:val="00B94A31"/>
    <w:rsid w:val="00BA694A"/>
    <w:rsid w:val="00BB6424"/>
    <w:rsid w:val="00BC3201"/>
    <w:rsid w:val="00BC497F"/>
    <w:rsid w:val="00BD1395"/>
    <w:rsid w:val="00BD2063"/>
    <w:rsid w:val="00BD296E"/>
    <w:rsid w:val="00BD6503"/>
    <w:rsid w:val="00BE062F"/>
    <w:rsid w:val="00BF2C73"/>
    <w:rsid w:val="00BF4A97"/>
    <w:rsid w:val="00BF6644"/>
    <w:rsid w:val="00C11CCF"/>
    <w:rsid w:val="00C27153"/>
    <w:rsid w:val="00C27BC1"/>
    <w:rsid w:val="00C27D67"/>
    <w:rsid w:val="00C31E11"/>
    <w:rsid w:val="00C37541"/>
    <w:rsid w:val="00C5593A"/>
    <w:rsid w:val="00C57B89"/>
    <w:rsid w:val="00C61BD4"/>
    <w:rsid w:val="00C6326B"/>
    <w:rsid w:val="00C67BC3"/>
    <w:rsid w:val="00C75C5B"/>
    <w:rsid w:val="00C845EC"/>
    <w:rsid w:val="00C90BE5"/>
    <w:rsid w:val="00C93509"/>
    <w:rsid w:val="00C94580"/>
    <w:rsid w:val="00C95603"/>
    <w:rsid w:val="00CA0BD3"/>
    <w:rsid w:val="00CA6CE3"/>
    <w:rsid w:val="00CB0BC3"/>
    <w:rsid w:val="00CB3649"/>
    <w:rsid w:val="00CB4007"/>
    <w:rsid w:val="00CB59A8"/>
    <w:rsid w:val="00CB7789"/>
    <w:rsid w:val="00CC11CF"/>
    <w:rsid w:val="00CC6F08"/>
    <w:rsid w:val="00CD23D4"/>
    <w:rsid w:val="00CE1403"/>
    <w:rsid w:val="00CE4F24"/>
    <w:rsid w:val="00CE6ED5"/>
    <w:rsid w:val="00CF0179"/>
    <w:rsid w:val="00CF6900"/>
    <w:rsid w:val="00D01904"/>
    <w:rsid w:val="00D13B85"/>
    <w:rsid w:val="00D14A1A"/>
    <w:rsid w:val="00D212C7"/>
    <w:rsid w:val="00D21EDA"/>
    <w:rsid w:val="00D26374"/>
    <w:rsid w:val="00D41362"/>
    <w:rsid w:val="00D441A6"/>
    <w:rsid w:val="00D46796"/>
    <w:rsid w:val="00D5086B"/>
    <w:rsid w:val="00D56520"/>
    <w:rsid w:val="00D574C0"/>
    <w:rsid w:val="00D61D73"/>
    <w:rsid w:val="00D63261"/>
    <w:rsid w:val="00D7238A"/>
    <w:rsid w:val="00D81527"/>
    <w:rsid w:val="00D85EC6"/>
    <w:rsid w:val="00D937CF"/>
    <w:rsid w:val="00DA0397"/>
    <w:rsid w:val="00DA1840"/>
    <w:rsid w:val="00DA567D"/>
    <w:rsid w:val="00DA7B03"/>
    <w:rsid w:val="00DB0101"/>
    <w:rsid w:val="00DB2634"/>
    <w:rsid w:val="00DB33EF"/>
    <w:rsid w:val="00DB46FD"/>
    <w:rsid w:val="00DC61EC"/>
    <w:rsid w:val="00DD490F"/>
    <w:rsid w:val="00DE0B3E"/>
    <w:rsid w:val="00DE3BCF"/>
    <w:rsid w:val="00E06E5E"/>
    <w:rsid w:val="00E10905"/>
    <w:rsid w:val="00E166FA"/>
    <w:rsid w:val="00E27C07"/>
    <w:rsid w:val="00E30A13"/>
    <w:rsid w:val="00E40486"/>
    <w:rsid w:val="00E43FAE"/>
    <w:rsid w:val="00E57728"/>
    <w:rsid w:val="00E63816"/>
    <w:rsid w:val="00E70CC3"/>
    <w:rsid w:val="00E77A06"/>
    <w:rsid w:val="00E84CD2"/>
    <w:rsid w:val="00E87FE6"/>
    <w:rsid w:val="00EA076B"/>
    <w:rsid w:val="00EA6A5D"/>
    <w:rsid w:val="00EB0BFC"/>
    <w:rsid w:val="00EB55C6"/>
    <w:rsid w:val="00EB6979"/>
    <w:rsid w:val="00EC73C8"/>
    <w:rsid w:val="00EC76B6"/>
    <w:rsid w:val="00ED32EC"/>
    <w:rsid w:val="00ED4C06"/>
    <w:rsid w:val="00EE2287"/>
    <w:rsid w:val="00EE37F7"/>
    <w:rsid w:val="00EE5BDC"/>
    <w:rsid w:val="00EF122A"/>
    <w:rsid w:val="00F00B90"/>
    <w:rsid w:val="00F14080"/>
    <w:rsid w:val="00F14590"/>
    <w:rsid w:val="00F16A4F"/>
    <w:rsid w:val="00F174D7"/>
    <w:rsid w:val="00F201A9"/>
    <w:rsid w:val="00F37372"/>
    <w:rsid w:val="00F44206"/>
    <w:rsid w:val="00F44E11"/>
    <w:rsid w:val="00F478F5"/>
    <w:rsid w:val="00F528BF"/>
    <w:rsid w:val="00F54BC6"/>
    <w:rsid w:val="00F575CA"/>
    <w:rsid w:val="00F57D4B"/>
    <w:rsid w:val="00F71AAA"/>
    <w:rsid w:val="00F750D5"/>
    <w:rsid w:val="00F753F5"/>
    <w:rsid w:val="00F81BA0"/>
    <w:rsid w:val="00F82D59"/>
    <w:rsid w:val="00F90A1E"/>
    <w:rsid w:val="00FA5B97"/>
    <w:rsid w:val="00FA76AA"/>
    <w:rsid w:val="00FB130D"/>
    <w:rsid w:val="00FB73F8"/>
    <w:rsid w:val="00FC24B8"/>
    <w:rsid w:val="00FC661D"/>
    <w:rsid w:val="00FE0D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8F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7728F3"/>
    <w:pPr>
      <w:spacing w:line="481" w:lineRule="atLeast"/>
    </w:pPr>
    <w:rPr>
      <w:rFonts w:cstheme="minorBidi"/>
      <w:color w:val="auto"/>
    </w:rPr>
  </w:style>
  <w:style w:type="paragraph" w:customStyle="1" w:styleId="Pa2">
    <w:name w:val="Pa2"/>
    <w:basedOn w:val="Default"/>
    <w:next w:val="Default"/>
    <w:uiPriority w:val="99"/>
    <w:rsid w:val="007728F3"/>
    <w:pPr>
      <w:spacing w:line="191" w:lineRule="atLeast"/>
    </w:pPr>
    <w:rPr>
      <w:rFonts w:cstheme="minorBidi"/>
      <w:color w:val="auto"/>
    </w:rPr>
  </w:style>
  <w:style w:type="character" w:customStyle="1" w:styleId="A3">
    <w:name w:val="A3"/>
    <w:uiPriority w:val="99"/>
    <w:rsid w:val="007728F3"/>
    <w:rPr>
      <w:rFonts w:cs="Helvetica 45 Light"/>
      <w:color w:val="6CB43E"/>
      <w:sz w:val="42"/>
      <w:szCs w:val="42"/>
    </w:rPr>
  </w:style>
  <w:style w:type="paragraph" w:styleId="ListParagraph">
    <w:name w:val="List Paragraph"/>
    <w:basedOn w:val="Normal"/>
    <w:uiPriority w:val="34"/>
    <w:qFormat/>
    <w:rsid w:val="007728F3"/>
    <w:pPr>
      <w:ind w:left="720"/>
      <w:contextualSpacing/>
    </w:pPr>
  </w:style>
  <w:style w:type="character" w:customStyle="1" w:styleId="A4">
    <w:name w:val="A4"/>
    <w:uiPriority w:val="99"/>
    <w:rsid w:val="007728F3"/>
    <w:rPr>
      <w:rFonts w:ascii="DIN" w:hAnsi="DIN" w:cs="DIN"/>
      <w:color w:val="6CB43E"/>
      <w:sz w:val="19"/>
      <w:szCs w:val="19"/>
    </w:rPr>
  </w:style>
  <w:style w:type="paragraph" w:styleId="BalloonText">
    <w:name w:val="Balloon Text"/>
    <w:basedOn w:val="Normal"/>
    <w:link w:val="BalloonTextChar"/>
    <w:uiPriority w:val="99"/>
    <w:semiHidden/>
    <w:unhideWhenUsed/>
    <w:rsid w:val="004D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68"/>
    <w:rPr>
      <w:rFonts w:ascii="Tahoma" w:hAnsi="Tahoma" w:cs="Tahoma"/>
      <w:sz w:val="16"/>
      <w:szCs w:val="16"/>
    </w:rPr>
  </w:style>
  <w:style w:type="paragraph" w:styleId="Header">
    <w:name w:val="header"/>
    <w:basedOn w:val="Normal"/>
    <w:link w:val="HeaderChar"/>
    <w:uiPriority w:val="99"/>
    <w:semiHidden/>
    <w:unhideWhenUsed/>
    <w:rsid w:val="00DB46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46FD"/>
  </w:style>
  <w:style w:type="paragraph" w:styleId="Footer">
    <w:name w:val="footer"/>
    <w:basedOn w:val="Normal"/>
    <w:link w:val="FooterChar"/>
    <w:uiPriority w:val="99"/>
    <w:unhideWhenUsed/>
    <w:rsid w:val="00DB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787</Words>
  <Characters>4490</Characters>
  <Application>Microsoft Office Word</Application>
  <DocSecurity>0</DocSecurity>
  <Lines>37</Lines>
  <Paragraphs>10</Paragraphs>
  <ScaleCrop>false</ScaleCrop>
  <Company>CenITex</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Nardia Smits</cp:lastModifiedBy>
  <cp:revision>3</cp:revision>
  <dcterms:created xsi:type="dcterms:W3CDTF">2012-04-12T02:59:00Z</dcterms:created>
  <dcterms:modified xsi:type="dcterms:W3CDTF">2012-04-16T00:45:00Z</dcterms:modified>
</cp:coreProperties>
</file>