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3B" w:rsidRPr="0006173B" w:rsidRDefault="0006173B" w:rsidP="0006173B">
      <w:pPr>
        <w:jc w:val="center"/>
        <w:rPr>
          <w:rFonts w:ascii="Times New Roman" w:hAnsi="Times New Roman" w:cs="Times New Roman"/>
          <w:b/>
        </w:rPr>
      </w:pPr>
      <w:r w:rsidRPr="0006173B">
        <w:rPr>
          <w:rFonts w:ascii="Times New Roman" w:hAnsi="Times New Roman" w:cs="Times New Roman"/>
          <w:b/>
        </w:rPr>
        <w:t>Environment Effects Act 1978</w:t>
      </w:r>
    </w:p>
    <w:p w:rsidR="0006173B" w:rsidRPr="00B86FA1" w:rsidRDefault="00B0436B" w:rsidP="0006173B">
      <w:pPr>
        <w:jc w:val="center"/>
        <w:rPr>
          <w:rFonts w:ascii="Times New Roman" w:hAnsi="Times New Roman" w:cs="Times New Roman"/>
        </w:rPr>
      </w:pPr>
      <w:r w:rsidRPr="00B86FA1">
        <w:rPr>
          <w:rFonts w:ascii="Times New Roman" w:hAnsi="Times New Roman" w:cs="Times New Roman"/>
        </w:rPr>
        <w:t>ORDER</w:t>
      </w:r>
      <w:r w:rsidR="0006173B" w:rsidRPr="00B86FA1">
        <w:rPr>
          <w:rFonts w:ascii="Times New Roman" w:hAnsi="Times New Roman" w:cs="Times New Roman"/>
        </w:rPr>
        <w:t xml:space="preserve"> UNDER SECTION 3(1)</w:t>
      </w:r>
    </w:p>
    <w:p w:rsidR="00307915" w:rsidRPr="00B86FA1" w:rsidRDefault="0006173B" w:rsidP="00C67407">
      <w:pPr>
        <w:jc w:val="both"/>
        <w:rPr>
          <w:rFonts w:ascii="Times New Roman" w:hAnsi="Times New Roman" w:cs="Times New Roman"/>
        </w:rPr>
      </w:pPr>
      <w:r w:rsidRPr="00B86FA1">
        <w:rPr>
          <w:rFonts w:ascii="Times New Roman" w:hAnsi="Times New Roman" w:cs="Times New Roman"/>
        </w:rPr>
        <w:t xml:space="preserve">The Minister for Planning, being satisfied that works proposed in relation to the </w:t>
      </w:r>
      <w:r w:rsidR="008D3533" w:rsidRPr="00B86FA1">
        <w:rPr>
          <w:rFonts w:ascii="Times New Roman" w:hAnsi="Times New Roman" w:cs="Times New Roman"/>
        </w:rPr>
        <w:t xml:space="preserve">Western Distributor </w:t>
      </w:r>
      <w:r w:rsidR="00623FEA" w:rsidRPr="00B86FA1">
        <w:rPr>
          <w:rFonts w:ascii="Times New Roman" w:hAnsi="Times New Roman" w:cs="Times New Roman"/>
        </w:rPr>
        <w:t>Project</w:t>
      </w:r>
      <w:r w:rsidRPr="00B86FA1">
        <w:rPr>
          <w:rFonts w:ascii="Times New Roman" w:hAnsi="Times New Roman" w:cs="Times New Roman"/>
        </w:rPr>
        <w:t xml:space="preserve"> could reasonably be considered to have or </w:t>
      </w:r>
      <w:r w:rsidR="00FB73E5" w:rsidRPr="00B86FA1">
        <w:rPr>
          <w:rFonts w:ascii="Times New Roman" w:hAnsi="Times New Roman" w:cs="Times New Roman"/>
        </w:rPr>
        <w:t xml:space="preserve">be </w:t>
      </w:r>
      <w:r w:rsidRPr="00B86FA1">
        <w:rPr>
          <w:rFonts w:ascii="Times New Roman" w:hAnsi="Times New Roman" w:cs="Times New Roman"/>
        </w:rPr>
        <w:t xml:space="preserve">capable of having a significant effect on the environment, </w:t>
      </w:r>
      <w:r w:rsidR="00B0436B" w:rsidRPr="00B86FA1">
        <w:rPr>
          <w:rFonts w:ascii="Times New Roman" w:hAnsi="Times New Roman" w:cs="Times New Roman"/>
        </w:rPr>
        <w:t>hereby declares</w:t>
      </w:r>
      <w:r w:rsidRPr="00B86FA1">
        <w:rPr>
          <w:rFonts w:ascii="Times New Roman" w:hAnsi="Times New Roman" w:cs="Times New Roman"/>
        </w:rPr>
        <w:t xml:space="preserve"> the works </w:t>
      </w:r>
      <w:r w:rsidR="00B0436B" w:rsidRPr="00B86FA1">
        <w:rPr>
          <w:rFonts w:ascii="Times New Roman" w:hAnsi="Times New Roman" w:cs="Times New Roman"/>
        </w:rPr>
        <w:t xml:space="preserve">proposed to be undertaken by the </w:t>
      </w:r>
      <w:r w:rsidR="00372BE6" w:rsidRPr="00B86FA1">
        <w:rPr>
          <w:rFonts w:ascii="Times New Roman" w:hAnsi="Times New Roman" w:cs="Times New Roman"/>
        </w:rPr>
        <w:t>Department of Economic Development, Jobs, Transport and Resources</w:t>
      </w:r>
      <w:r w:rsidR="00B0436B" w:rsidRPr="00B86FA1">
        <w:rPr>
          <w:rFonts w:ascii="Times New Roman" w:hAnsi="Times New Roman" w:cs="Times New Roman"/>
        </w:rPr>
        <w:t xml:space="preserve"> for the purposes of the </w:t>
      </w:r>
      <w:r w:rsidR="00372BE6" w:rsidRPr="00B86FA1">
        <w:rPr>
          <w:rFonts w:ascii="Times New Roman" w:hAnsi="Times New Roman" w:cs="Times New Roman"/>
        </w:rPr>
        <w:t xml:space="preserve">Western Distributor Project </w:t>
      </w:r>
      <w:r w:rsidR="00B0436B" w:rsidRPr="00B86FA1">
        <w:rPr>
          <w:rFonts w:ascii="Times New Roman" w:hAnsi="Times New Roman" w:cs="Times New Roman"/>
        </w:rPr>
        <w:t>to be</w:t>
      </w:r>
      <w:r w:rsidRPr="00B86FA1">
        <w:rPr>
          <w:rFonts w:ascii="Times New Roman" w:hAnsi="Times New Roman" w:cs="Times New Roman"/>
        </w:rPr>
        <w:t xml:space="preserve"> public works </w:t>
      </w:r>
      <w:r w:rsidR="00B0436B" w:rsidRPr="00B86FA1">
        <w:rPr>
          <w:rFonts w:ascii="Times New Roman" w:hAnsi="Times New Roman" w:cs="Times New Roman"/>
        </w:rPr>
        <w:t>for the purposes of</w:t>
      </w:r>
      <w:r w:rsidRPr="00B86FA1">
        <w:rPr>
          <w:rFonts w:ascii="Times New Roman" w:hAnsi="Times New Roman" w:cs="Times New Roman"/>
        </w:rPr>
        <w:t xml:space="preserve"> the </w:t>
      </w:r>
      <w:r w:rsidRPr="00B86FA1">
        <w:rPr>
          <w:rFonts w:ascii="Times New Roman" w:hAnsi="Times New Roman" w:cs="Times New Roman"/>
          <w:i/>
        </w:rPr>
        <w:t>Environment Effects Act 1978</w:t>
      </w:r>
      <w:r w:rsidRPr="00B86FA1">
        <w:rPr>
          <w:rFonts w:ascii="Times New Roman" w:hAnsi="Times New Roman" w:cs="Times New Roman"/>
        </w:rPr>
        <w:t>.</w:t>
      </w:r>
    </w:p>
    <w:p w:rsidR="00B20ECB" w:rsidRPr="00B20ECB" w:rsidRDefault="00DB070A" w:rsidP="00B20ECB">
      <w:pPr>
        <w:jc w:val="both"/>
        <w:rPr>
          <w:rFonts w:ascii="Times New Roman" w:hAnsi="Times New Roman" w:cs="Times New Roman"/>
        </w:rPr>
      </w:pPr>
      <w:r w:rsidRPr="00B86FA1">
        <w:rPr>
          <w:rFonts w:ascii="Times New Roman" w:hAnsi="Times New Roman" w:cs="Times New Roman"/>
        </w:rPr>
        <w:t xml:space="preserve">The </w:t>
      </w:r>
      <w:r w:rsidR="00DC1423" w:rsidRPr="00B86FA1">
        <w:rPr>
          <w:rFonts w:ascii="Times New Roman" w:hAnsi="Times New Roman" w:cs="Times New Roman"/>
        </w:rPr>
        <w:t xml:space="preserve">"public works” to which the Order relates </w:t>
      </w:r>
      <w:r w:rsidRPr="00B86FA1">
        <w:rPr>
          <w:rFonts w:ascii="Times New Roman" w:hAnsi="Times New Roman" w:cs="Times New Roman"/>
        </w:rPr>
        <w:t>broadly comprise the following:</w:t>
      </w:r>
    </w:p>
    <w:p w:rsidR="00734502" w:rsidRPr="00734502" w:rsidRDefault="00734502" w:rsidP="00734502">
      <w:pPr>
        <w:numPr>
          <w:ilvl w:val="0"/>
          <w:numId w:val="8"/>
        </w:numPr>
        <w:overflowPunct w:val="0"/>
        <w:autoSpaceDE w:val="0"/>
        <w:autoSpaceDN w:val="0"/>
        <w:adjustRightInd w:val="0"/>
        <w:spacing w:before="60" w:after="60" w:line="240" w:lineRule="auto"/>
        <w:jc w:val="both"/>
        <w:textAlignment w:val="baseline"/>
        <w:rPr>
          <w:rFonts w:ascii="Times New Roman" w:hAnsi="Times New Roman" w:cs="Times New Roman"/>
        </w:rPr>
      </w:pPr>
      <w:r w:rsidRPr="00B20ECB">
        <w:rPr>
          <w:rFonts w:ascii="Times New Roman" w:hAnsi="Times New Roman" w:cs="Times New Roman"/>
        </w:rPr>
        <w:t xml:space="preserve">Widening of the existing West Gate Freeway by two lanes in each direction to provide overall capacity of six lanes each way </w:t>
      </w:r>
      <w:r>
        <w:rPr>
          <w:rFonts w:ascii="Times New Roman" w:hAnsi="Times New Roman"/>
        </w:rPr>
        <w:t>generally</w:t>
      </w:r>
      <w:r w:rsidRPr="00B20ECB">
        <w:rPr>
          <w:rFonts w:ascii="Times New Roman" w:hAnsi="Times New Roman" w:cs="Times New Roman"/>
        </w:rPr>
        <w:t xml:space="preserve"> between Williamstown Road and M80, collector-distributor carriageways, elevated ramps, structures and surface road</w:t>
      </w:r>
      <w:r w:rsidRPr="00603751">
        <w:rPr>
          <w:rFonts w:ascii="Tahoma" w:hAnsi="Tahoma" w:cs="Tahoma"/>
          <w:lang w:eastAsia="en-US"/>
        </w:rPr>
        <w:t xml:space="preserve"> </w:t>
      </w:r>
      <w:r w:rsidRPr="00B20ECB">
        <w:rPr>
          <w:rFonts w:ascii="Times New Roman" w:hAnsi="Times New Roman" w:cs="Times New Roman"/>
        </w:rPr>
        <w:t xml:space="preserve">connections including a new connection </w:t>
      </w:r>
      <w:r>
        <w:rPr>
          <w:rFonts w:ascii="Times New Roman" w:hAnsi="Times New Roman"/>
        </w:rPr>
        <w:t>generally in the vicinity of</w:t>
      </w:r>
      <w:r w:rsidRPr="00B20ECB">
        <w:rPr>
          <w:rFonts w:ascii="Times New Roman" w:hAnsi="Times New Roman" w:cs="Times New Roman"/>
        </w:rPr>
        <w:t xml:space="preserve"> Hyde Street</w:t>
      </w:r>
      <w:r w:rsidR="007D6EC3">
        <w:rPr>
          <w:rFonts w:ascii="Times New Roman" w:hAnsi="Times New Roman" w:cs="Times New Roman"/>
        </w:rPr>
        <w:t>;</w:t>
      </w:r>
    </w:p>
    <w:p w:rsidR="00B20ECB" w:rsidRPr="00B20ECB" w:rsidRDefault="00B20ECB" w:rsidP="00B20ECB">
      <w:pPr>
        <w:pStyle w:val="bodyCopy"/>
        <w:numPr>
          <w:ilvl w:val="0"/>
          <w:numId w:val="8"/>
        </w:numPr>
        <w:spacing w:after="0"/>
        <w:jc w:val="both"/>
        <w:rPr>
          <w:rFonts w:ascii="Times New Roman" w:eastAsiaTheme="minorEastAsia" w:hAnsi="Times New Roman"/>
          <w:color w:val="auto"/>
          <w:sz w:val="22"/>
          <w:szCs w:val="22"/>
          <w:lang w:eastAsia="en-AU"/>
        </w:rPr>
      </w:pPr>
      <w:r w:rsidRPr="00B20ECB">
        <w:rPr>
          <w:rFonts w:ascii="Times New Roman" w:eastAsiaTheme="minorEastAsia" w:hAnsi="Times New Roman"/>
          <w:color w:val="auto"/>
          <w:sz w:val="22"/>
          <w:szCs w:val="22"/>
          <w:lang w:eastAsia="en-AU"/>
        </w:rPr>
        <w:t xml:space="preserve">Two bored tunnels ultimately catering for three traffic lanes in both directions, with the southern portal </w:t>
      </w:r>
      <w:r>
        <w:rPr>
          <w:rFonts w:ascii="Times New Roman" w:eastAsiaTheme="minorEastAsia" w:hAnsi="Times New Roman"/>
          <w:color w:val="auto"/>
          <w:sz w:val="22"/>
          <w:szCs w:val="22"/>
          <w:lang w:eastAsia="en-AU"/>
        </w:rPr>
        <w:t xml:space="preserve">generally </w:t>
      </w:r>
      <w:r w:rsidRPr="00B20ECB">
        <w:rPr>
          <w:rFonts w:ascii="Times New Roman" w:eastAsiaTheme="minorEastAsia" w:hAnsi="Times New Roman"/>
          <w:color w:val="auto"/>
          <w:sz w:val="22"/>
          <w:szCs w:val="22"/>
          <w:lang w:eastAsia="en-AU"/>
        </w:rPr>
        <w:t xml:space="preserve">located on the north side of the West Gate Freeway in the vicinity of Beverley and Hyde Streets, and the northern portal </w:t>
      </w:r>
      <w:r>
        <w:rPr>
          <w:rFonts w:ascii="Times New Roman" w:eastAsiaTheme="minorEastAsia" w:hAnsi="Times New Roman"/>
          <w:color w:val="auto"/>
          <w:sz w:val="22"/>
          <w:szCs w:val="22"/>
          <w:lang w:eastAsia="en-AU"/>
        </w:rPr>
        <w:t xml:space="preserve">generally </w:t>
      </w:r>
      <w:r w:rsidRPr="00B20ECB">
        <w:rPr>
          <w:rFonts w:ascii="Times New Roman" w:eastAsiaTheme="minorEastAsia" w:hAnsi="Times New Roman"/>
          <w:color w:val="auto"/>
          <w:sz w:val="22"/>
          <w:szCs w:val="22"/>
          <w:lang w:eastAsia="en-AU"/>
        </w:rPr>
        <w:t>in the vicinity</w:t>
      </w:r>
      <w:r>
        <w:rPr>
          <w:rFonts w:ascii="Times New Roman" w:eastAsiaTheme="minorEastAsia" w:hAnsi="Times New Roman"/>
          <w:color w:val="auto"/>
          <w:sz w:val="22"/>
          <w:szCs w:val="22"/>
          <w:lang w:eastAsia="en-AU"/>
        </w:rPr>
        <w:t xml:space="preserve"> </w:t>
      </w:r>
      <w:r w:rsidRPr="00B20ECB">
        <w:rPr>
          <w:rFonts w:ascii="Times New Roman" w:eastAsiaTheme="minorEastAsia" w:hAnsi="Times New Roman"/>
          <w:color w:val="auto"/>
          <w:sz w:val="22"/>
          <w:szCs w:val="22"/>
          <w:lang w:eastAsia="en-AU"/>
        </w:rPr>
        <w:t xml:space="preserve"> east of Whitehall Street, north of Somerville Road an</w:t>
      </w:r>
      <w:r w:rsidR="007D6EC3">
        <w:rPr>
          <w:rFonts w:ascii="Times New Roman" w:eastAsiaTheme="minorEastAsia" w:hAnsi="Times New Roman"/>
          <w:color w:val="auto"/>
          <w:sz w:val="22"/>
          <w:szCs w:val="22"/>
          <w:lang w:eastAsia="en-AU"/>
        </w:rPr>
        <w:t>d west of the Maribyrnong River;</w:t>
      </w:r>
    </w:p>
    <w:p w:rsidR="00B20ECB" w:rsidRPr="00B20ECB" w:rsidRDefault="009B4813" w:rsidP="00B20ECB">
      <w:pPr>
        <w:pStyle w:val="bodyCopy"/>
        <w:numPr>
          <w:ilvl w:val="0"/>
          <w:numId w:val="8"/>
        </w:numPr>
        <w:spacing w:after="0"/>
        <w:jc w:val="both"/>
        <w:rPr>
          <w:rFonts w:ascii="Times New Roman" w:eastAsiaTheme="minorEastAsia" w:hAnsi="Times New Roman"/>
          <w:color w:val="auto"/>
          <w:sz w:val="22"/>
          <w:szCs w:val="22"/>
          <w:lang w:eastAsia="en-AU"/>
        </w:rPr>
      </w:pPr>
      <w:r>
        <w:rPr>
          <w:rFonts w:ascii="Times New Roman" w:eastAsiaTheme="minorEastAsia" w:hAnsi="Times New Roman"/>
          <w:color w:val="auto"/>
          <w:sz w:val="22"/>
          <w:szCs w:val="22"/>
          <w:lang w:eastAsia="en-AU"/>
        </w:rPr>
        <w:t>B</w:t>
      </w:r>
      <w:r w:rsidR="00B20ECB" w:rsidRPr="00B20ECB">
        <w:rPr>
          <w:rFonts w:ascii="Times New Roman" w:eastAsiaTheme="minorEastAsia" w:hAnsi="Times New Roman"/>
          <w:color w:val="auto"/>
          <w:sz w:val="22"/>
          <w:szCs w:val="22"/>
          <w:lang w:eastAsia="en-AU"/>
        </w:rPr>
        <w:t>ridge</w:t>
      </w:r>
      <w:r>
        <w:rPr>
          <w:rFonts w:ascii="Times New Roman" w:eastAsiaTheme="minorEastAsia" w:hAnsi="Times New Roman"/>
          <w:color w:val="auto"/>
          <w:sz w:val="22"/>
          <w:szCs w:val="22"/>
          <w:lang w:eastAsia="en-AU"/>
        </w:rPr>
        <w:t xml:space="preserve"> works</w:t>
      </w:r>
      <w:bookmarkStart w:id="0" w:name="_GoBack"/>
      <w:bookmarkEnd w:id="0"/>
      <w:r w:rsidR="00B20ECB" w:rsidRPr="00B20ECB">
        <w:rPr>
          <w:rFonts w:ascii="Times New Roman" w:eastAsiaTheme="minorEastAsia" w:hAnsi="Times New Roman"/>
          <w:color w:val="auto"/>
          <w:sz w:val="22"/>
          <w:szCs w:val="22"/>
          <w:lang w:eastAsia="en-AU"/>
        </w:rPr>
        <w:t xml:space="preserve"> across Maribyrnong River</w:t>
      </w:r>
      <w:r w:rsidR="00734502">
        <w:rPr>
          <w:rFonts w:ascii="Times New Roman" w:eastAsiaTheme="minorEastAsia" w:hAnsi="Times New Roman"/>
          <w:color w:val="auto"/>
          <w:sz w:val="22"/>
          <w:szCs w:val="22"/>
          <w:lang w:eastAsia="en-AU"/>
        </w:rPr>
        <w:t xml:space="preserve"> connecting the tunnel and </w:t>
      </w:r>
      <w:r w:rsidR="00734502" w:rsidRPr="00B20ECB">
        <w:rPr>
          <w:rFonts w:ascii="Times New Roman" w:eastAsiaTheme="minorEastAsia" w:hAnsi="Times New Roman"/>
          <w:color w:val="auto"/>
          <w:sz w:val="22"/>
          <w:szCs w:val="22"/>
          <w:lang w:eastAsia="en-AU"/>
        </w:rPr>
        <w:t>Footscray Road</w:t>
      </w:r>
      <w:r w:rsidR="00B20ECB" w:rsidRPr="00B20ECB">
        <w:rPr>
          <w:rFonts w:ascii="Times New Roman" w:eastAsiaTheme="minorEastAsia" w:hAnsi="Times New Roman"/>
          <w:color w:val="auto"/>
          <w:sz w:val="22"/>
          <w:szCs w:val="22"/>
          <w:lang w:eastAsia="en-AU"/>
        </w:rPr>
        <w:t xml:space="preserve">, with </w:t>
      </w:r>
      <w:r w:rsidR="00734502">
        <w:rPr>
          <w:rFonts w:ascii="Times New Roman" w:eastAsiaTheme="minorEastAsia" w:hAnsi="Times New Roman"/>
          <w:color w:val="auto"/>
          <w:sz w:val="22"/>
          <w:szCs w:val="22"/>
          <w:lang w:eastAsia="en-AU"/>
        </w:rPr>
        <w:t xml:space="preserve">two </w:t>
      </w:r>
      <w:r w:rsidR="00B20ECB" w:rsidRPr="00B20ECB">
        <w:rPr>
          <w:rFonts w:ascii="Times New Roman" w:eastAsiaTheme="minorEastAsia" w:hAnsi="Times New Roman"/>
          <w:color w:val="auto"/>
          <w:sz w:val="22"/>
          <w:szCs w:val="22"/>
          <w:lang w:eastAsia="en-AU"/>
        </w:rPr>
        <w:t>vi</w:t>
      </w:r>
      <w:r w:rsidR="00734502">
        <w:rPr>
          <w:rFonts w:ascii="Times New Roman" w:eastAsiaTheme="minorEastAsia" w:hAnsi="Times New Roman"/>
          <w:color w:val="auto"/>
          <w:sz w:val="22"/>
          <w:szCs w:val="22"/>
          <w:lang w:eastAsia="en-AU"/>
        </w:rPr>
        <w:t>aducts in both directions above Footscray Road providing</w:t>
      </w:r>
      <w:r w:rsidR="00B20ECB" w:rsidRPr="00B20ECB">
        <w:rPr>
          <w:rFonts w:ascii="Times New Roman" w:eastAsiaTheme="minorEastAsia" w:hAnsi="Times New Roman"/>
          <w:color w:val="auto"/>
          <w:sz w:val="22"/>
          <w:szCs w:val="22"/>
          <w:lang w:eastAsia="en-AU"/>
        </w:rPr>
        <w:t xml:space="preserve"> direct access to the Port of Melbourne </w:t>
      </w:r>
      <w:r w:rsidR="00B20ECB">
        <w:rPr>
          <w:rFonts w:ascii="Times New Roman" w:eastAsiaTheme="minorEastAsia" w:hAnsi="Times New Roman"/>
          <w:color w:val="auto"/>
          <w:sz w:val="22"/>
          <w:szCs w:val="22"/>
          <w:lang w:eastAsia="en-AU"/>
        </w:rPr>
        <w:t xml:space="preserve">generally </w:t>
      </w:r>
      <w:r w:rsidR="00B20ECB" w:rsidRPr="00B20ECB">
        <w:rPr>
          <w:rFonts w:ascii="Times New Roman" w:eastAsiaTheme="minorEastAsia" w:hAnsi="Times New Roman"/>
          <w:color w:val="auto"/>
          <w:sz w:val="22"/>
          <w:szCs w:val="22"/>
          <w:lang w:eastAsia="en-AU"/>
        </w:rPr>
        <w:t>in the vicinity</w:t>
      </w:r>
      <w:r w:rsidR="00B20ECB">
        <w:rPr>
          <w:rFonts w:ascii="Times New Roman" w:eastAsiaTheme="minorEastAsia" w:hAnsi="Times New Roman"/>
          <w:color w:val="auto"/>
          <w:sz w:val="22"/>
          <w:szCs w:val="22"/>
          <w:lang w:eastAsia="en-AU"/>
        </w:rPr>
        <w:t xml:space="preserve"> </w:t>
      </w:r>
      <w:r w:rsidR="00B20ECB" w:rsidRPr="00B20ECB">
        <w:rPr>
          <w:rFonts w:ascii="Times New Roman" w:eastAsiaTheme="minorEastAsia" w:hAnsi="Times New Roman"/>
          <w:color w:val="auto"/>
          <w:sz w:val="22"/>
          <w:szCs w:val="22"/>
          <w:lang w:eastAsia="en-AU"/>
        </w:rPr>
        <w:t xml:space="preserve"> Mackenzie Road and Appleton Dock Road;</w:t>
      </w:r>
      <w:r w:rsidR="007D6EC3">
        <w:rPr>
          <w:rFonts w:ascii="Times New Roman" w:eastAsiaTheme="minorEastAsia" w:hAnsi="Times New Roman"/>
          <w:color w:val="auto"/>
          <w:sz w:val="22"/>
          <w:szCs w:val="22"/>
          <w:lang w:eastAsia="en-AU"/>
        </w:rPr>
        <w:t xml:space="preserve"> and</w:t>
      </w:r>
    </w:p>
    <w:p w:rsidR="00B20ECB" w:rsidRPr="00B20ECB" w:rsidRDefault="00B20ECB" w:rsidP="00B20ECB">
      <w:pPr>
        <w:pStyle w:val="bodyCopy"/>
        <w:numPr>
          <w:ilvl w:val="0"/>
          <w:numId w:val="8"/>
        </w:numPr>
        <w:spacing w:after="0"/>
        <w:jc w:val="both"/>
        <w:rPr>
          <w:rFonts w:ascii="Times New Roman" w:eastAsiaTheme="minorEastAsia" w:hAnsi="Times New Roman"/>
          <w:color w:val="auto"/>
          <w:sz w:val="22"/>
          <w:szCs w:val="22"/>
          <w:lang w:eastAsia="en-AU"/>
        </w:rPr>
      </w:pPr>
      <w:r w:rsidRPr="00B20ECB">
        <w:rPr>
          <w:rFonts w:ascii="Times New Roman" w:eastAsiaTheme="minorEastAsia" w:hAnsi="Times New Roman"/>
          <w:color w:val="auto"/>
          <w:sz w:val="22"/>
          <w:szCs w:val="22"/>
          <w:lang w:eastAsia="en-AU"/>
        </w:rPr>
        <w:t xml:space="preserve">Connections to </w:t>
      </w:r>
      <w:proofErr w:type="spellStart"/>
      <w:r w:rsidRPr="00B20ECB">
        <w:rPr>
          <w:rFonts w:ascii="Times New Roman" w:eastAsiaTheme="minorEastAsia" w:hAnsi="Times New Roman"/>
          <w:color w:val="auto"/>
          <w:sz w:val="22"/>
          <w:szCs w:val="22"/>
          <w:lang w:eastAsia="en-AU"/>
        </w:rPr>
        <w:t>CityLink</w:t>
      </w:r>
      <w:proofErr w:type="spellEnd"/>
      <w:r w:rsidRPr="00B20ECB">
        <w:rPr>
          <w:rFonts w:ascii="Times New Roman" w:eastAsiaTheme="minorEastAsia" w:hAnsi="Times New Roman"/>
          <w:color w:val="auto"/>
          <w:sz w:val="22"/>
          <w:szCs w:val="22"/>
          <w:lang w:eastAsia="en-AU"/>
        </w:rPr>
        <w:t xml:space="preserve"> </w:t>
      </w:r>
      <w:r w:rsidR="00734502">
        <w:rPr>
          <w:rFonts w:ascii="Times New Roman" w:eastAsiaTheme="minorEastAsia" w:hAnsi="Times New Roman"/>
          <w:color w:val="auto"/>
          <w:sz w:val="22"/>
          <w:szCs w:val="22"/>
          <w:lang w:eastAsia="en-AU"/>
        </w:rPr>
        <w:t>generally</w:t>
      </w:r>
      <w:r w:rsidR="00734502" w:rsidRPr="00B20ECB">
        <w:rPr>
          <w:rFonts w:ascii="Times New Roman" w:eastAsiaTheme="minorEastAsia" w:hAnsi="Times New Roman"/>
          <w:color w:val="auto"/>
          <w:sz w:val="22"/>
          <w:szCs w:val="22"/>
          <w:lang w:eastAsia="en-AU"/>
        </w:rPr>
        <w:t xml:space="preserve"> </w:t>
      </w:r>
      <w:r w:rsidRPr="00B20ECB">
        <w:rPr>
          <w:rFonts w:ascii="Times New Roman" w:eastAsiaTheme="minorEastAsia" w:hAnsi="Times New Roman"/>
          <w:color w:val="auto"/>
          <w:sz w:val="22"/>
          <w:szCs w:val="22"/>
          <w:lang w:eastAsia="en-AU"/>
        </w:rPr>
        <w:t xml:space="preserve">via the existing </w:t>
      </w:r>
      <w:proofErr w:type="spellStart"/>
      <w:r w:rsidRPr="00B20ECB">
        <w:rPr>
          <w:rFonts w:ascii="Times New Roman" w:eastAsiaTheme="minorEastAsia" w:hAnsi="Times New Roman"/>
          <w:color w:val="auto"/>
          <w:sz w:val="22"/>
          <w:szCs w:val="22"/>
          <w:lang w:eastAsia="en-AU"/>
        </w:rPr>
        <w:t>Dynon</w:t>
      </w:r>
      <w:proofErr w:type="spellEnd"/>
      <w:r w:rsidRPr="00B20ECB">
        <w:rPr>
          <w:rFonts w:ascii="Times New Roman" w:eastAsiaTheme="minorEastAsia" w:hAnsi="Times New Roman"/>
          <w:color w:val="auto"/>
          <w:sz w:val="22"/>
          <w:szCs w:val="22"/>
          <w:lang w:eastAsia="en-AU"/>
        </w:rPr>
        <w:t xml:space="preserve"> Road ramps, and access to Docklands, West Melbourne and central or inner City </w:t>
      </w:r>
      <w:r w:rsidR="00734502">
        <w:rPr>
          <w:rFonts w:ascii="Times New Roman" w:eastAsiaTheme="minorEastAsia" w:hAnsi="Times New Roman"/>
          <w:color w:val="auto"/>
          <w:sz w:val="22"/>
          <w:szCs w:val="22"/>
          <w:lang w:eastAsia="en-AU"/>
        </w:rPr>
        <w:t>generally</w:t>
      </w:r>
      <w:r w:rsidR="00734502" w:rsidRPr="00B20ECB">
        <w:rPr>
          <w:rFonts w:ascii="Times New Roman" w:eastAsiaTheme="minorEastAsia" w:hAnsi="Times New Roman"/>
          <w:color w:val="auto"/>
          <w:sz w:val="22"/>
          <w:szCs w:val="22"/>
          <w:lang w:eastAsia="en-AU"/>
        </w:rPr>
        <w:t xml:space="preserve"> </w:t>
      </w:r>
      <w:r w:rsidRPr="00B20ECB">
        <w:rPr>
          <w:rFonts w:ascii="Times New Roman" w:eastAsiaTheme="minorEastAsia" w:hAnsi="Times New Roman"/>
          <w:color w:val="auto"/>
          <w:sz w:val="22"/>
          <w:szCs w:val="22"/>
          <w:lang w:eastAsia="en-AU"/>
        </w:rPr>
        <w:t xml:space="preserve">via ramps onto Footscray Road with additional connections to </w:t>
      </w:r>
      <w:proofErr w:type="spellStart"/>
      <w:r w:rsidRPr="00B20ECB">
        <w:rPr>
          <w:rFonts w:ascii="Times New Roman" w:eastAsiaTheme="minorEastAsia" w:hAnsi="Times New Roman"/>
          <w:color w:val="auto"/>
          <w:sz w:val="22"/>
          <w:szCs w:val="22"/>
          <w:lang w:eastAsia="en-AU"/>
        </w:rPr>
        <w:t>Dynon</w:t>
      </w:r>
      <w:proofErr w:type="spellEnd"/>
      <w:r w:rsidRPr="00B20ECB">
        <w:rPr>
          <w:rFonts w:ascii="Times New Roman" w:eastAsiaTheme="minorEastAsia" w:hAnsi="Times New Roman"/>
          <w:color w:val="auto"/>
          <w:sz w:val="22"/>
          <w:szCs w:val="22"/>
          <w:lang w:eastAsia="en-AU"/>
        </w:rPr>
        <w:t xml:space="preserve"> Road and </w:t>
      </w:r>
      <w:proofErr w:type="spellStart"/>
      <w:r w:rsidRPr="00B20ECB">
        <w:rPr>
          <w:rFonts w:ascii="Times New Roman" w:eastAsiaTheme="minorEastAsia" w:hAnsi="Times New Roman"/>
          <w:color w:val="auto"/>
          <w:sz w:val="22"/>
          <w:szCs w:val="22"/>
          <w:lang w:eastAsia="en-AU"/>
        </w:rPr>
        <w:t>Wurundjeri</w:t>
      </w:r>
      <w:proofErr w:type="spellEnd"/>
      <w:r w:rsidRPr="00B20ECB">
        <w:rPr>
          <w:rFonts w:ascii="Times New Roman" w:eastAsiaTheme="minorEastAsia" w:hAnsi="Times New Roman"/>
          <w:color w:val="auto"/>
          <w:sz w:val="22"/>
          <w:szCs w:val="22"/>
          <w:lang w:eastAsia="en-AU"/>
        </w:rPr>
        <w:t xml:space="preserve"> Way through construction of a </w:t>
      </w:r>
      <w:r w:rsidRPr="00B20ECB">
        <w:rPr>
          <w:rFonts w:ascii="Times New Roman" w:eastAsiaTheme="minorEastAsia" w:hAnsi="Times New Roman"/>
          <w:color w:val="auto"/>
          <w:sz w:val="22"/>
          <w:szCs w:val="22"/>
          <w:lang w:eastAsia="en-AU"/>
        </w:rPr>
        <w:lastRenderedPageBreak/>
        <w:t xml:space="preserve">new CBD Bypass road </w:t>
      </w:r>
      <w:r w:rsidR="00734502">
        <w:rPr>
          <w:rFonts w:ascii="Times New Roman" w:eastAsiaTheme="minorEastAsia" w:hAnsi="Times New Roman"/>
          <w:color w:val="auto"/>
          <w:sz w:val="22"/>
          <w:szCs w:val="22"/>
          <w:lang w:eastAsia="en-AU"/>
        </w:rPr>
        <w:t>generally</w:t>
      </w:r>
      <w:r w:rsidR="00734502" w:rsidRPr="00B20ECB">
        <w:rPr>
          <w:rFonts w:ascii="Times New Roman" w:eastAsiaTheme="minorEastAsia" w:hAnsi="Times New Roman"/>
          <w:color w:val="auto"/>
          <w:sz w:val="22"/>
          <w:szCs w:val="22"/>
          <w:lang w:eastAsia="en-AU"/>
        </w:rPr>
        <w:t xml:space="preserve"> </w:t>
      </w:r>
      <w:r w:rsidRPr="00B20ECB">
        <w:rPr>
          <w:rFonts w:ascii="Times New Roman" w:eastAsiaTheme="minorEastAsia" w:hAnsi="Times New Roman"/>
          <w:color w:val="auto"/>
          <w:sz w:val="22"/>
          <w:szCs w:val="22"/>
          <w:lang w:eastAsia="en-AU"/>
        </w:rPr>
        <w:t xml:space="preserve">between </w:t>
      </w:r>
      <w:proofErr w:type="spellStart"/>
      <w:r w:rsidRPr="00B20ECB">
        <w:rPr>
          <w:rFonts w:ascii="Times New Roman" w:eastAsiaTheme="minorEastAsia" w:hAnsi="Times New Roman"/>
          <w:color w:val="auto"/>
          <w:sz w:val="22"/>
          <w:szCs w:val="22"/>
          <w:lang w:eastAsia="en-AU"/>
        </w:rPr>
        <w:t>Wurundjeri</w:t>
      </w:r>
      <w:proofErr w:type="spellEnd"/>
      <w:r w:rsidRPr="00B20ECB">
        <w:rPr>
          <w:rFonts w:ascii="Times New Roman" w:eastAsiaTheme="minorEastAsia" w:hAnsi="Times New Roman"/>
          <w:color w:val="auto"/>
          <w:sz w:val="22"/>
          <w:szCs w:val="22"/>
          <w:lang w:eastAsia="en-AU"/>
        </w:rPr>
        <w:t xml:space="preserve"> Way and </w:t>
      </w:r>
      <w:proofErr w:type="spellStart"/>
      <w:r w:rsidRPr="00B20ECB">
        <w:rPr>
          <w:rFonts w:ascii="Times New Roman" w:eastAsiaTheme="minorEastAsia" w:hAnsi="Times New Roman"/>
          <w:color w:val="auto"/>
          <w:sz w:val="22"/>
          <w:szCs w:val="22"/>
          <w:lang w:eastAsia="en-AU"/>
        </w:rPr>
        <w:t>Dynon</w:t>
      </w:r>
      <w:proofErr w:type="spellEnd"/>
      <w:r w:rsidRPr="00B20ECB">
        <w:rPr>
          <w:rFonts w:ascii="Times New Roman" w:eastAsiaTheme="minorEastAsia" w:hAnsi="Times New Roman"/>
          <w:color w:val="auto"/>
          <w:sz w:val="22"/>
          <w:szCs w:val="22"/>
          <w:lang w:eastAsia="en-AU"/>
        </w:rPr>
        <w:t xml:space="preserve"> Road; </w:t>
      </w:r>
    </w:p>
    <w:p w:rsidR="006E269A" w:rsidRPr="00B86FA1" w:rsidRDefault="006E269A" w:rsidP="006E269A">
      <w:pPr>
        <w:pStyle w:val="bodyCopy"/>
        <w:spacing w:after="0"/>
        <w:ind w:left="360"/>
        <w:jc w:val="both"/>
        <w:rPr>
          <w:rFonts w:ascii="Times New Roman" w:eastAsiaTheme="minorEastAsia" w:hAnsi="Times New Roman"/>
          <w:color w:val="auto"/>
          <w:sz w:val="22"/>
          <w:szCs w:val="22"/>
          <w:lang w:eastAsia="en-AU"/>
        </w:rPr>
      </w:pPr>
    </w:p>
    <w:p w:rsidR="00AD67FD" w:rsidRPr="006E269A" w:rsidRDefault="00B86FA1" w:rsidP="006E269A">
      <w:pPr>
        <w:jc w:val="both"/>
        <w:rPr>
          <w:rFonts w:ascii="Times New Roman" w:hAnsi="Times New Roman" w:cs="Times New Roman"/>
        </w:rPr>
      </w:pPr>
      <w:r w:rsidRPr="006E269A">
        <w:rPr>
          <w:rFonts w:ascii="Times New Roman" w:hAnsi="Times New Roman" w:cs="Times New Roman"/>
        </w:rPr>
        <w:t>Figure 1 is a schematic diagram of key Project components.</w:t>
      </w:r>
    </w:p>
    <w:p w:rsidR="009D5A50" w:rsidRDefault="009D5A50" w:rsidP="00AD67FD">
      <w:pPr>
        <w:jc w:val="both"/>
        <w:rPr>
          <w:rFonts w:ascii="Times New Roman" w:hAnsi="Times New Roman" w:cs="Times New Roman"/>
        </w:rPr>
      </w:pPr>
      <w:r>
        <w:rPr>
          <w:rFonts w:ascii="Times New Roman" w:hAnsi="Times New Roman" w:cs="Times New Roman"/>
          <w:noProof/>
        </w:rPr>
        <w:drawing>
          <wp:inline distT="0" distB="0" distL="0" distR="0">
            <wp:extent cx="2638425" cy="1978819"/>
            <wp:effectExtent l="0" t="0" r="0" b="2540"/>
            <wp:docPr id="10" name="Picture 10" descr="C:\Users\mk43\AppData\Local\Temp\notes83572B\WD project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k43\AppData\Local\Temp\notes83572B\WD project ar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965" cy="1980724"/>
                    </a:xfrm>
                    <a:prstGeom prst="rect">
                      <a:avLst/>
                    </a:prstGeom>
                    <a:noFill/>
                    <a:ln>
                      <a:noFill/>
                    </a:ln>
                  </pic:spPr>
                </pic:pic>
              </a:graphicData>
            </a:graphic>
          </wp:inline>
        </w:drawing>
      </w:r>
    </w:p>
    <w:p w:rsidR="00FB73E5" w:rsidRPr="00B86FA1" w:rsidRDefault="00B0436B" w:rsidP="00FB73E5">
      <w:pPr>
        <w:jc w:val="both"/>
        <w:rPr>
          <w:rFonts w:ascii="Times New Roman" w:hAnsi="Times New Roman" w:cs="Times New Roman"/>
          <w:b/>
        </w:rPr>
      </w:pPr>
      <w:r w:rsidRPr="00B86FA1">
        <w:rPr>
          <w:rFonts w:ascii="Times New Roman" w:hAnsi="Times New Roman" w:cs="Times New Roman"/>
          <w:b/>
        </w:rPr>
        <w:t>S</w:t>
      </w:r>
      <w:r w:rsidR="00FB73E5" w:rsidRPr="00B86FA1">
        <w:rPr>
          <w:rFonts w:ascii="Times New Roman" w:hAnsi="Times New Roman" w:cs="Times New Roman"/>
          <w:b/>
        </w:rPr>
        <w:t>ection 3(3) of the Environment Effects Act</w:t>
      </w:r>
      <w:r w:rsidR="00C01F83" w:rsidRPr="00B86FA1">
        <w:rPr>
          <w:rFonts w:ascii="Times New Roman" w:hAnsi="Times New Roman" w:cs="Times New Roman"/>
          <w:b/>
        </w:rPr>
        <w:t>:</w:t>
      </w:r>
      <w:r w:rsidR="00FB73E5" w:rsidRPr="00B86FA1">
        <w:rPr>
          <w:rFonts w:ascii="Times New Roman" w:hAnsi="Times New Roman" w:cs="Times New Roman"/>
          <w:b/>
          <w:i/>
        </w:rPr>
        <w:t xml:space="preserve"> </w:t>
      </w:r>
      <w:r w:rsidR="00C01F83" w:rsidRPr="00B86FA1">
        <w:rPr>
          <w:rFonts w:ascii="Times New Roman" w:hAnsi="Times New Roman" w:cs="Times New Roman"/>
          <w:b/>
        </w:rPr>
        <w:t>specified procedures and requirements</w:t>
      </w:r>
    </w:p>
    <w:p w:rsidR="0006173B" w:rsidRPr="00B86FA1" w:rsidRDefault="0006173B" w:rsidP="0006173B">
      <w:pPr>
        <w:jc w:val="both"/>
        <w:rPr>
          <w:rFonts w:ascii="Times New Roman" w:hAnsi="Times New Roman" w:cs="Times New Roman"/>
        </w:rPr>
      </w:pPr>
      <w:r w:rsidRPr="00B86FA1">
        <w:rPr>
          <w:rFonts w:ascii="Times New Roman" w:hAnsi="Times New Roman" w:cs="Times New Roman"/>
        </w:rPr>
        <w:t xml:space="preserve">The following procedures and requirements </w:t>
      </w:r>
      <w:r w:rsidR="00C01F83" w:rsidRPr="00B86FA1">
        <w:rPr>
          <w:rFonts w:ascii="Times New Roman" w:hAnsi="Times New Roman" w:cs="Times New Roman"/>
        </w:rPr>
        <w:t xml:space="preserve">under the guidelines </w:t>
      </w:r>
      <w:r w:rsidRPr="00B86FA1">
        <w:rPr>
          <w:rFonts w:ascii="Times New Roman" w:hAnsi="Times New Roman" w:cs="Times New Roman"/>
        </w:rPr>
        <w:t xml:space="preserve">are to apply to the Environment Effects Statement (EES) for the </w:t>
      </w:r>
      <w:r w:rsidR="00C01F83" w:rsidRPr="00B86FA1">
        <w:rPr>
          <w:rFonts w:ascii="Times New Roman" w:hAnsi="Times New Roman" w:cs="Times New Roman"/>
        </w:rPr>
        <w:t>works</w:t>
      </w:r>
      <w:r w:rsidR="00623FEA" w:rsidRPr="00B86FA1">
        <w:rPr>
          <w:rFonts w:ascii="Times New Roman" w:hAnsi="Times New Roman" w:cs="Times New Roman"/>
        </w:rPr>
        <w:t>.</w:t>
      </w:r>
    </w:p>
    <w:p w:rsidR="0006173B" w:rsidRPr="00B86FA1" w:rsidRDefault="005772A8" w:rsidP="0006173B">
      <w:pPr>
        <w:pStyle w:val="ListParagraph"/>
        <w:numPr>
          <w:ilvl w:val="0"/>
          <w:numId w:val="2"/>
        </w:numPr>
        <w:ind w:left="284" w:hanging="284"/>
        <w:jc w:val="both"/>
        <w:rPr>
          <w:rFonts w:ascii="Times New Roman" w:hAnsi="Times New Roman" w:cs="Times New Roman"/>
        </w:rPr>
      </w:pPr>
      <w:r w:rsidRPr="00B86FA1">
        <w:rPr>
          <w:rFonts w:ascii="Times New Roman" w:hAnsi="Times New Roman" w:cs="Times New Roman"/>
        </w:rPr>
        <w:t xml:space="preserve">      </w:t>
      </w:r>
      <w:r w:rsidR="0006173B" w:rsidRPr="00B86FA1">
        <w:rPr>
          <w:rFonts w:ascii="Times New Roman" w:hAnsi="Times New Roman" w:cs="Times New Roman"/>
        </w:rPr>
        <w:t xml:space="preserve">The EES is to document investigations of potential environmental effects of the proposed </w:t>
      </w:r>
      <w:r w:rsidR="00C01F83" w:rsidRPr="00B86FA1">
        <w:rPr>
          <w:rFonts w:ascii="Times New Roman" w:hAnsi="Times New Roman" w:cs="Times New Roman"/>
        </w:rPr>
        <w:t>works</w:t>
      </w:r>
      <w:r w:rsidR="0006173B" w:rsidRPr="00B86FA1">
        <w:rPr>
          <w:rFonts w:ascii="Times New Roman" w:hAnsi="Times New Roman" w:cs="Times New Roman"/>
        </w:rPr>
        <w:t xml:space="preserve">, including the feasibility of </w:t>
      </w:r>
      <w:r w:rsidR="00256EE3" w:rsidRPr="00142ED1">
        <w:rPr>
          <w:rFonts w:ascii="Times New Roman" w:hAnsi="Times New Roman" w:cs="Times New Roman"/>
        </w:rPr>
        <w:t>design alternatives</w:t>
      </w:r>
      <w:r w:rsidR="00256EE3">
        <w:rPr>
          <w:rFonts w:ascii="Times New Roman" w:hAnsi="Times New Roman" w:cs="Times New Roman"/>
        </w:rPr>
        <w:t xml:space="preserve"> and </w:t>
      </w:r>
      <w:r w:rsidR="0006173B" w:rsidRPr="00B86FA1">
        <w:rPr>
          <w:rFonts w:ascii="Times New Roman" w:hAnsi="Times New Roman" w:cs="Times New Roman"/>
        </w:rPr>
        <w:t xml:space="preserve">associated environmental mitigation and management measures, in particular for: </w:t>
      </w:r>
    </w:p>
    <w:p w:rsidR="00623FEA" w:rsidRPr="00B86FA1" w:rsidRDefault="00623FEA"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potential effects of construction</w:t>
      </w:r>
      <w:r w:rsidR="00991C1B" w:rsidRPr="00B86FA1">
        <w:rPr>
          <w:rFonts w:ascii="Times New Roman" w:hAnsi="Times New Roman" w:cs="Times New Roman"/>
          <w:lang w:eastAsia="en-US"/>
        </w:rPr>
        <w:t xml:space="preserve"> works on</w:t>
      </w:r>
      <w:r w:rsidR="005772A8" w:rsidRPr="00B86FA1">
        <w:rPr>
          <w:rFonts w:ascii="Times New Roman" w:hAnsi="Times New Roman" w:cs="Times New Roman"/>
          <w:lang w:eastAsia="en-US"/>
        </w:rPr>
        <w:t xml:space="preserve"> noise, </w:t>
      </w:r>
      <w:r w:rsidR="00372BE6" w:rsidRPr="00B86FA1">
        <w:rPr>
          <w:rFonts w:ascii="Times New Roman" w:hAnsi="Times New Roman" w:cs="Times New Roman"/>
          <w:lang w:eastAsia="en-US"/>
        </w:rPr>
        <w:t xml:space="preserve">dust </w:t>
      </w:r>
      <w:r w:rsidR="005772A8" w:rsidRPr="00B86FA1">
        <w:rPr>
          <w:rFonts w:ascii="Times New Roman" w:hAnsi="Times New Roman" w:cs="Times New Roman"/>
          <w:lang w:eastAsia="en-US"/>
        </w:rPr>
        <w:t xml:space="preserve">and vibration levels, and </w:t>
      </w:r>
      <w:r w:rsidRPr="00B86FA1">
        <w:rPr>
          <w:rFonts w:ascii="Times New Roman" w:hAnsi="Times New Roman" w:cs="Times New Roman"/>
          <w:lang w:eastAsia="en-US"/>
        </w:rPr>
        <w:t>hyd</w:t>
      </w:r>
      <w:r w:rsidR="00372BE6" w:rsidRPr="00B86FA1">
        <w:rPr>
          <w:rFonts w:ascii="Times New Roman" w:hAnsi="Times New Roman" w:cs="Times New Roman"/>
          <w:lang w:eastAsia="en-US"/>
        </w:rPr>
        <w:t xml:space="preserve">rology and quality of </w:t>
      </w:r>
      <w:r w:rsidRPr="00B86FA1">
        <w:rPr>
          <w:rFonts w:ascii="Times New Roman" w:hAnsi="Times New Roman" w:cs="Times New Roman"/>
          <w:lang w:eastAsia="en-US"/>
        </w:rPr>
        <w:t>groundwater</w:t>
      </w:r>
      <w:r w:rsidR="00561475" w:rsidRPr="00B86FA1">
        <w:rPr>
          <w:rFonts w:ascii="Times New Roman" w:hAnsi="Times New Roman" w:cs="Times New Roman"/>
          <w:lang w:eastAsia="en-US"/>
        </w:rPr>
        <w:t xml:space="preserve"> and </w:t>
      </w:r>
      <w:r w:rsidR="000A396C" w:rsidRPr="00B86FA1">
        <w:rPr>
          <w:rFonts w:ascii="Times New Roman" w:hAnsi="Times New Roman" w:cs="Times New Roman"/>
          <w:lang w:eastAsia="en-US"/>
        </w:rPr>
        <w:t>surface water</w:t>
      </w:r>
      <w:r w:rsidRPr="00B86FA1">
        <w:rPr>
          <w:rFonts w:ascii="Times New Roman" w:hAnsi="Times New Roman" w:cs="Times New Roman"/>
          <w:lang w:eastAsia="en-US"/>
        </w:rPr>
        <w:t>;</w:t>
      </w:r>
    </w:p>
    <w:p w:rsidR="00623FEA" w:rsidRPr="00B86FA1" w:rsidRDefault="00623FEA"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 xml:space="preserve">potential effects arising from disturbance of contaminated </w:t>
      </w:r>
      <w:r w:rsidR="000668B1">
        <w:rPr>
          <w:rFonts w:ascii="Times New Roman" w:hAnsi="Times New Roman" w:cs="Times New Roman"/>
          <w:lang w:eastAsia="en-US"/>
        </w:rPr>
        <w:t xml:space="preserve">soils or groundwater, acid </w:t>
      </w:r>
      <w:proofErr w:type="spellStart"/>
      <w:r w:rsidR="000668B1">
        <w:rPr>
          <w:rFonts w:ascii="Times New Roman" w:hAnsi="Times New Roman" w:cs="Times New Roman"/>
          <w:lang w:eastAsia="en-US"/>
        </w:rPr>
        <w:t>sulf</w:t>
      </w:r>
      <w:r w:rsidRPr="00B86FA1">
        <w:rPr>
          <w:rFonts w:ascii="Times New Roman" w:hAnsi="Times New Roman" w:cs="Times New Roman"/>
          <w:lang w:eastAsia="en-US"/>
        </w:rPr>
        <w:t>ate</w:t>
      </w:r>
      <w:proofErr w:type="spellEnd"/>
      <w:r w:rsidRPr="00B86FA1">
        <w:rPr>
          <w:rFonts w:ascii="Times New Roman" w:hAnsi="Times New Roman" w:cs="Times New Roman"/>
          <w:lang w:eastAsia="en-US"/>
        </w:rPr>
        <w:t xml:space="preserve"> soils or geophysical conditions, including </w:t>
      </w:r>
      <w:r w:rsidR="0073535B" w:rsidRPr="00B86FA1">
        <w:rPr>
          <w:rFonts w:ascii="Times New Roman" w:hAnsi="Times New Roman" w:cs="Times New Roman"/>
          <w:lang w:eastAsia="en-US"/>
        </w:rPr>
        <w:t>risks related</w:t>
      </w:r>
      <w:r w:rsidRPr="00B86FA1">
        <w:rPr>
          <w:rFonts w:ascii="Times New Roman" w:hAnsi="Times New Roman" w:cs="Times New Roman"/>
          <w:lang w:eastAsia="en-US"/>
        </w:rPr>
        <w:t xml:space="preserve"> to land</w:t>
      </w:r>
      <w:r w:rsidR="0073535B" w:rsidRPr="00B86FA1">
        <w:rPr>
          <w:rFonts w:ascii="Times New Roman" w:hAnsi="Times New Roman" w:cs="Times New Roman"/>
          <w:lang w:eastAsia="en-US"/>
        </w:rPr>
        <w:t xml:space="preserve"> and river bank </w:t>
      </w:r>
      <w:r w:rsidRPr="00B86FA1">
        <w:rPr>
          <w:rFonts w:ascii="Times New Roman" w:hAnsi="Times New Roman" w:cs="Times New Roman"/>
          <w:lang w:eastAsia="en-US"/>
        </w:rPr>
        <w:t xml:space="preserve"> </w:t>
      </w:r>
      <w:r w:rsidR="00991C1B" w:rsidRPr="00B86FA1">
        <w:rPr>
          <w:rFonts w:ascii="Times New Roman" w:hAnsi="Times New Roman" w:cs="Times New Roman"/>
          <w:lang w:eastAsia="en-US"/>
        </w:rPr>
        <w:t>or bed stability</w:t>
      </w:r>
      <w:r w:rsidRPr="00B86FA1">
        <w:rPr>
          <w:rFonts w:ascii="Times New Roman" w:hAnsi="Times New Roman" w:cs="Times New Roman"/>
          <w:lang w:eastAsia="en-US"/>
        </w:rPr>
        <w:t>;</w:t>
      </w:r>
    </w:p>
    <w:p w:rsidR="00372BE6" w:rsidRPr="00B86FA1" w:rsidRDefault="00372BE6"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 xml:space="preserve">potential effects </w:t>
      </w:r>
      <w:r w:rsidR="00561475" w:rsidRPr="00B86FA1">
        <w:rPr>
          <w:rFonts w:ascii="Times New Roman" w:hAnsi="Times New Roman" w:cs="Times New Roman"/>
          <w:lang w:eastAsia="en-US"/>
        </w:rPr>
        <w:t>on</w:t>
      </w:r>
      <w:r w:rsidRPr="00B86FA1">
        <w:rPr>
          <w:rFonts w:ascii="Times New Roman" w:hAnsi="Times New Roman" w:cs="Times New Roman"/>
          <w:lang w:eastAsia="en-US"/>
        </w:rPr>
        <w:t xml:space="preserve"> amenity and environmental quality of the adjacent residential areas </w:t>
      </w:r>
      <w:r w:rsidR="00991C1B" w:rsidRPr="00B86FA1">
        <w:rPr>
          <w:rFonts w:ascii="Times New Roman" w:hAnsi="Times New Roman" w:cs="Times New Roman"/>
          <w:lang w:eastAsia="en-US"/>
        </w:rPr>
        <w:t>from the works’ operation</w:t>
      </w:r>
      <w:r w:rsidR="0073535B" w:rsidRPr="00B86FA1">
        <w:rPr>
          <w:rFonts w:ascii="Times New Roman" w:hAnsi="Times New Roman" w:cs="Times New Roman"/>
          <w:lang w:eastAsia="en-US"/>
        </w:rPr>
        <w:t>, in particular air emissions from the proposed ventilation stacks and increased noise levels;</w:t>
      </w:r>
    </w:p>
    <w:p w:rsidR="00623FEA" w:rsidRPr="00B86FA1" w:rsidRDefault="00623FEA"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lastRenderedPageBreak/>
        <w:t>potential effects on visu</w:t>
      </w:r>
      <w:r w:rsidR="00991C1B" w:rsidRPr="00B86FA1">
        <w:rPr>
          <w:rFonts w:ascii="Times New Roman" w:hAnsi="Times New Roman" w:cs="Times New Roman"/>
          <w:lang w:eastAsia="en-US"/>
        </w:rPr>
        <w:t xml:space="preserve">al, landscape, recreational </w:t>
      </w:r>
      <w:r w:rsidRPr="00B86FA1">
        <w:rPr>
          <w:rFonts w:ascii="Times New Roman" w:hAnsi="Times New Roman" w:cs="Times New Roman"/>
          <w:lang w:eastAsia="en-US"/>
        </w:rPr>
        <w:t>values</w:t>
      </w:r>
      <w:r w:rsidR="00561475" w:rsidRPr="00B86FA1">
        <w:rPr>
          <w:rFonts w:ascii="Times New Roman" w:hAnsi="Times New Roman" w:cs="Times New Roman"/>
          <w:lang w:eastAsia="en-US"/>
        </w:rPr>
        <w:t xml:space="preserve"> of areas in the vicinity of the proposed works</w:t>
      </w:r>
      <w:r w:rsidRPr="00B86FA1">
        <w:rPr>
          <w:rFonts w:ascii="Times New Roman" w:hAnsi="Times New Roman" w:cs="Times New Roman"/>
          <w:lang w:eastAsia="en-US"/>
        </w:rPr>
        <w:t>;</w:t>
      </w:r>
    </w:p>
    <w:p w:rsidR="00991C1B" w:rsidRPr="00B86FA1" w:rsidRDefault="00991C1B"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 xml:space="preserve">potential effects on native vegetation and biodiversity, in particular listed </w:t>
      </w:r>
      <w:r w:rsidR="00561475" w:rsidRPr="00B86FA1">
        <w:rPr>
          <w:rFonts w:ascii="Times New Roman" w:hAnsi="Times New Roman" w:cs="Times New Roman"/>
          <w:lang w:eastAsia="en-US"/>
        </w:rPr>
        <w:t>flora and fauna species and communities;</w:t>
      </w:r>
    </w:p>
    <w:p w:rsidR="00561475" w:rsidRPr="00B86FA1" w:rsidRDefault="00561475" w:rsidP="00561475">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potential effects on Aboriginal and cultural heritage values;</w:t>
      </w:r>
    </w:p>
    <w:p w:rsidR="00623FEA" w:rsidRPr="00B86FA1" w:rsidRDefault="00623FEA"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potential effects on existing land uses</w:t>
      </w:r>
      <w:r w:rsidR="000A396C" w:rsidRPr="00B86FA1">
        <w:rPr>
          <w:rFonts w:ascii="Times New Roman" w:hAnsi="Times New Roman" w:cs="Times New Roman"/>
          <w:lang w:eastAsia="en-US"/>
        </w:rPr>
        <w:t>, (including Crown Land)</w:t>
      </w:r>
      <w:r w:rsidRPr="00B86FA1">
        <w:rPr>
          <w:rFonts w:ascii="Times New Roman" w:hAnsi="Times New Roman" w:cs="Times New Roman"/>
          <w:lang w:eastAsia="en-US"/>
        </w:rPr>
        <w:t xml:space="preserve"> and community and business activities, including </w:t>
      </w:r>
      <w:r w:rsidR="000A396C" w:rsidRPr="00B86FA1">
        <w:rPr>
          <w:rFonts w:ascii="Times New Roman" w:hAnsi="Times New Roman" w:cs="Times New Roman"/>
          <w:lang w:eastAsia="en-US"/>
        </w:rPr>
        <w:t>with</w:t>
      </w:r>
      <w:r w:rsidRPr="00B86FA1">
        <w:rPr>
          <w:rFonts w:ascii="Times New Roman" w:hAnsi="Times New Roman" w:cs="Times New Roman"/>
          <w:lang w:eastAsia="en-US"/>
        </w:rPr>
        <w:t xml:space="preserve"> respect to acquisitions, services, connectivity and social impacts;</w:t>
      </w:r>
    </w:p>
    <w:p w:rsidR="00623FEA" w:rsidRPr="00F111C2" w:rsidRDefault="00623FEA" w:rsidP="00F111C2">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potential temporary and perma</w:t>
      </w:r>
      <w:r w:rsidR="008E45B7" w:rsidRPr="00B86FA1">
        <w:rPr>
          <w:rFonts w:ascii="Times New Roman" w:hAnsi="Times New Roman" w:cs="Times New Roman"/>
          <w:lang w:eastAsia="en-US"/>
        </w:rPr>
        <w:t>nent effects on transport network</w:t>
      </w:r>
      <w:r w:rsidRPr="00B86FA1">
        <w:rPr>
          <w:rFonts w:ascii="Times New Roman" w:hAnsi="Times New Roman" w:cs="Times New Roman"/>
          <w:lang w:eastAsia="en-US"/>
        </w:rPr>
        <w:t xml:space="preserve"> and services, both for residents and businesses locate</w:t>
      </w:r>
      <w:r w:rsidR="000A396C" w:rsidRPr="00B86FA1">
        <w:rPr>
          <w:rFonts w:ascii="Times New Roman" w:hAnsi="Times New Roman" w:cs="Times New Roman"/>
          <w:lang w:eastAsia="en-US"/>
        </w:rPr>
        <w:t xml:space="preserve">d in the vicinity of the </w:t>
      </w:r>
      <w:r w:rsidR="000A396C" w:rsidRPr="00F111C2">
        <w:rPr>
          <w:rFonts w:ascii="Times New Roman" w:hAnsi="Times New Roman" w:cs="Times New Roman"/>
          <w:lang w:eastAsia="en-US"/>
        </w:rPr>
        <w:t>proposed</w:t>
      </w:r>
      <w:r w:rsidRPr="00F111C2">
        <w:rPr>
          <w:rFonts w:ascii="Times New Roman" w:hAnsi="Times New Roman" w:cs="Times New Roman"/>
          <w:lang w:eastAsia="en-US"/>
        </w:rPr>
        <w:t xml:space="preserve"> and related works and for the broader community; and</w:t>
      </w:r>
    </w:p>
    <w:p w:rsidR="00623FEA" w:rsidRPr="00B86FA1" w:rsidRDefault="00623FEA" w:rsidP="00623FEA">
      <w:pPr>
        <w:numPr>
          <w:ilvl w:val="1"/>
          <w:numId w:val="2"/>
        </w:numPr>
        <w:spacing w:before="120" w:after="0" w:line="240" w:lineRule="auto"/>
        <w:ind w:left="643"/>
        <w:jc w:val="both"/>
        <w:rPr>
          <w:rFonts w:ascii="Times New Roman" w:hAnsi="Times New Roman" w:cs="Times New Roman"/>
          <w:lang w:eastAsia="en-US"/>
        </w:rPr>
      </w:pPr>
      <w:r w:rsidRPr="00B86FA1">
        <w:rPr>
          <w:rFonts w:ascii="Times New Roman" w:hAnsi="Times New Roman" w:cs="Times New Roman"/>
          <w:lang w:eastAsia="en-US"/>
        </w:rPr>
        <w:t>other effects on land uses and the community.</w:t>
      </w:r>
    </w:p>
    <w:p w:rsidR="0006173B" w:rsidRPr="00B86FA1" w:rsidRDefault="0006173B" w:rsidP="0006173B">
      <w:pPr>
        <w:pStyle w:val="ListParagraph"/>
        <w:numPr>
          <w:ilvl w:val="0"/>
          <w:numId w:val="2"/>
        </w:numPr>
        <w:ind w:left="284" w:hanging="284"/>
        <w:jc w:val="both"/>
        <w:rPr>
          <w:rFonts w:ascii="Times New Roman" w:hAnsi="Times New Roman" w:cs="Times New Roman"/>
        </w:rPr>
      </w:pPr>
      <w:r w:rsidRPr="00B86FA1">
        <w:rPr>
          <w:rFonts w:ascii="Times New Roman" w:hAnsi="Times New Roman" w:cs="Times New Roman"/>
        </w:rPr>
        <w:t xml:space="preserve">      The matters to be investigated and documented in the EES will be set out </w:t>
      </w:r>
      <w:r w:rsidR="00FE23BD" w:rsidRPr="00B86FA1">
        <w:rPr>
          <w:rFonts w:ascii="Times New Roman" w:hAnsi="Times New Roman" w:cs="Times New Roman"/>
        </w:rPr>
        <w:t>in more details</w:t>
      </w:r>
      <w:r w:rsidRPr="00B86FA1">
        <w:rPr>
          <w:rFonts w:ascii="Times New Roman" w:hAnsi="Times New Roman" w:cs="Times New Roman"/>
        </w:rPr>
        <w:t xml:space="preserve"> in </w:t>
      </w:r>
      <w:r w:rsidR="00FE23BD" w:rsidRPr="00B86FA1">
        <w:rPr>
          <w:rFonts w:ascii="Times New Roman" w:hAnsi="Times New Roman" w:cs="Times New Roman"/>
        </w:rPr>
        <w:t xml:space="preserve">the </w:t>
      </w:r>
      <w:r w:rsidRPr="00B86FA1">
        <w:rPr>
          <w:rFonts w:ascii="Times New Roman" w:hAnsi="Times New Roman" w:cs="Times New Roman"/>
        </w:rPr>
        <w:t>scoping requirements.  Draft scoping requirements will be exhibited for 15 business days for public comment, before final scoping requirements are endorsed by the Minister for Planning.</w:t>
      </w:r>
    </w:p>
    <w:p w:rsidR="0006173B" w:rsidRPr="00B86FA1" w:rsidRDefault="0006173B" w:rsidP="0006173B">
      <w:pPr>
        <w:pStyle w:val="ListParagraph"/>
        <w:numPr>
          <w:ilvl w:val="0"/>
          <w:numId w:val="2"/>
        </w:numPr>
        <w:ind w:left="284" w:hanging="284"/>
        <w:jc w:val="both"/>
        <w:rPr>
          <w:rFonts w:ascii="Times New Roman" w:hAnsi="Times New Roman" w:cs="Times New Roman"/>
        </w:rPr>
      </w:pPr>
      <w:r w:rsidRPr="00B86FA1">
        <w:rPr>
          <w:rFonts w:ascii="Times New Roman" w:hAnsi="Times New Roman" w:cs="Times New Roman"/>
        </w:rPr>
        <w:t xml:space="preserve">The proponent </w:t>
      </w:r>
      <w:r w:rsidR="00623FEA" w:rsidRPr="00B86FA1">
        <w:rPr>
          <w:rFonts w:ascii="Times New Roman" w:hAnsi="Times New Roman" w:cs="Times New Roman"/>
        </w:rPr>
        <w:t>may</w:t>
      </w:r>
      <w:r w:rsidRPr="00B86FA1">
        <w:rPr>
          <w:rFonts w:ascii="Times New Roman" w:hAnsi="Times New Roman" w:cs="Times New Roman"/>
        </w:rPr>
        <w:t xml:space="preserve"> prepare and submit to the Department of Environment, Land, Water and Planning (DELWP) a draft EES study program to inform the preparation of scoping requirements. </w:t>
      </w:r>
    </w:p>
    <w:p w:rsidR="0006173B" w:rsidRPr="00B86FA1" w:rsidRDefault="0006173B" w:rsidP="0006173B">
      <w:pPr>
        <w:pStyle w:val="ListParagraph"/>
        <w:numPr>
          <w:ilvl w:val="0"/>
          <w:numId w:val="2"/>
        </w:numPr>
        <w:ind w:left="284" w:hanging="284"/>
        <w:jc w:val="both"/>
        <w:rPr>
          <w:rFonts w:ascii="Times New Roman" w:hAnsi="Times New Roman" w:cs="Times New Roman"/>
        </w:rPr>
      </w:pPr>
      <w:r w:rsidRPr="00B86FA1">
        <w:rPr>
          <w:rFonts w:ascii="Times New Roman" w:hAnsi="Times New Roman" w:cs="Times New Roman"/>
        </w:rPr>
        <w:t xml:space="preserve">The level of detail of investigation for the EES studies should be consistent with the approach set out in the scoping requirements and be adequate to inform an assessment of the significance and acceptability of </w:t>
      </w:r>
      <w:r w:rsidR="00C01F83" w:rsidRPr="00B86FA1">
        <w:rPr>
          <w:rFonts w:ascii="Times New Roman" w:hAnsi="Times New Roman" w:cs="Times New Roman"/>
        </w:rPr>
        <w:t>the</w:t>
      </w:r>
      <w:r w:rsidRPr="00B86FA1">
        <w:rPr>
          <w:rFonts w:ascii="Times New Roman" w:hAnsi="Times New Roman" w:cs="Times New Roman"/>
        </w:rPr>
        <w:t xml:space="preserve"> potential environmental effects</w:t>
      </w:r>
      <w:r w:rsidR="00FE23BD" w:rsidRPr="00B86FA1">
        <w:rPr>
          <w:rFonts w:ascii="Times New Roman" w:hAnsi="Times New Roman" w:cs="Times New Roman"/>
        </w:rPr>
        <w:t xml:space="preserve"> of the proposed works</w:t>
      </w:r>
      <w:r w:rsidRPr="00B86FA1">
        <w:rPr>
          <w:rFonts w:ascii="Times New Roman" w:hAnsi="Times New Roman" w:cs="Times New Roman"/>
        </w:rPr>
        <w:t xml:space="preserve">, in the context of the </w:t>
      </w:r>
      <w:r w:rsidR="00C01F83" w:rsidRPr="00B86FA1">
        <w:rPr>
          <w:rFonts w:ascii="Times New Roman" w:hAnsi="Times New Roman" w:cs="Times New Roman"/>
        </w:rPr>
        <w:t>g</w:t>
      </w:r>
      <w:r w:rsidRPr="00B86FA1">
        <w:rPr>
          <w:rFonts w:ascii="Times New Roman" w:hAnsi="Times New Roman" w:cs="Times New Roman"/>
        </w:rPr>
        <w:t>uidelines.</w:t>
      </w:r>
    </w:p>
    <w:p w:rsidR="0006173B" w:rsidRPr="00B86FA1" w:rsidRDefault="005772A8" w:rsidP="0006173B">
      <w:pPr>
        <w:pStyle w:val="ListParagraph"/>
        <w:numPr>
          <w:ilvl w:val="0"/>
          <w:numId w:val="2"/>
        </w:numPr>
        <w:ind w:left="284" w:hanging="284"/>
        <w:jc w:val="both"/>
        <w:rPr>
          <w:rFonts w:ascii="Times New Roman" w:hAnsi="Times New Roman" w:cs="Times New Roman"/>
        </w:rPr>
      </w:pPr>
      <w:r w:rsidRPr="00B86FA1">
        <w:rPr>
          <w:rFonts w:ascii="Times New Roman" w:hAnsi="Times New Roman" w:cs="Times New Roman"/>
        </w:rPr>
        <w:t xml:space="preserve">        </w:t>
      </w:r>
      <w:r w:rsidR="0006173B" w:rsidRPr="00B86FA1">
        <w:rPr>
          <w:rFonts w:ascii="Times New Roman" w:hAnsi="Times New Roman" w:cs="Times New Roman"/>
        </w:rPr>
        <w:t>DELWP will convene an inter-agency Technical Reference Group (TRG) to advise the Department and the proponent, as appropriate, during the preparation of the EES</w:t>
      </w:r>
      <w:r w:rsidR="00FE23BD" w:rsidRPr="00B86FA1">
        <w:rPr>
          <w:rFonts w:ascii="Times New Roman" w:hAnsi="Times New Roman" w:cs="Times New Roman"/>
        </w:rPr>
        <w:t>,</w:t>
      </w:r>
      <w:r w:rsidR="0006173B" w:rsidRPr="00B86FA1">
        <w:rPr>
          <w:rFonts w:ascii="Times New Roman" w:hAnsi="Times New Roman" w:cs="Times New Roman"/>
        </w:rPr>
        <w:t xml:space="preserve"> on the scoping requirements, the </w:t>
      </w:r>
      <w:r w:rsidR="0006173B" w:rsidRPr="00B86FA1">
        <w:rPr>
          <w:rFonts w:ascii="Times New Roman" w:hAnsi="Times New Roman" w:cs="Times New Roman"/>
        </w:rPr>
        <w:lastRenderedPageBreak/>
        <w:t>design and adequacy of the EES studies, and coordination with statutory approval processes.</w:t>
      </w:r>
    </w:p>
    <w:p w:rsidR="0006173B" w:rsidRPr="00B86FA1" w:rsidRDefault="0006173B" w:rsidP="0006173B">
      <w:pPr>
        <w:pStyle w:val="ListParagraph"/>
        <w:numPr>
          <w:ilvl w:val="0"/>
          <w:numId w:val="2"/>
        </w:numPr>
        <w:ind w:left="284" w:hanging="284"/>
        <w:jc w:val="both"/>
        <w:rPr>
          <w:rFonts w:ascii="Times New Roman" w:hAnsi="Times New Roman" w:cs="Times New Roman"/>
        </w:rPr>
      </w:pPr>
      <w:r w:rsidRPr="00B86FA1">
        <w:rPr>
          <w:rFonts w:ascii="Times New Roman" w:hAnsi="Times New Roman" w:cs="Times New Roman"/>
        </w:rPr>
        <w:t xml:space="preserve">The proponent is to prepare and implement an EES Consultation Plan for informing the public and consulting with stakeholders during the preparation of the EES, having regard to advice from DELWP and the TRG. </w:t>
      </w:r>
    </w:p>
    <w:p w:rsidR="0006173B" w:rsidRPr="00B86FA1" w:rsidRDefault="0006173B" w:rsidP="0006173B">
      <w:pPr>
        <w:jc w:val="both"/>
        <w:rPr>
          <w:rFonts w:ascii="Times New Roman" w:hAnsi="Times New Roman" w:cs="Times New Roman"/>
        </w:rPr>
      </w:pPr>
      <w:r w:rsidRPr="00B86FA1">
        <w:rPr>
          <w:rFonts w:ascii="Times New Roman" w:hAnsi="Times New Roman" w:cs="Times New Roman"/>
        </w:rPr>
        <w:t>(vii)</w:t>
      </w:r>
      <w:r w:rsidRPr="00B86FA1">
        <w:rPr>
          <w:rFonts w:ascii="Times New Roman" w:hAnsi="Times New Roman" w:cs="Times New Roman"/>
        </w:rPr>
        <w:tab/>
        <w:t xml:space="preserve">The proponent is also to prepare and submit to DELWP its proposed schedule for the completion of studies, preparation and exhibition of the EES, </w:t>
      </w:r>
      <w:r w:rsidR="00480A4E" w:rsidRPr="00B86FA1">
        <w:rPr>
          <w:rFonts w:ascii="Times New Roman" w:hAnsi="Times New Roman" w:cs="Times New Roman"/>
        </w:rPr>
        <w:t xml:space="preserve">which may be amended </w:t>
      </w:r>
      <w:r w:rsidRPr="00B86FA1">
        <w:rPr>
          <w:rFonts w:ascii="Times New Roman" w:hAnsi="Times New Roman" w:cs="Times New Roman"/>
        </w:rPr>
        <w:t xml:space="preserve">following </w:t>
      </w:r>
      <w:r w:rsidR="00E033AA" w:rsidRPr="00B86FA1">
        <w:rPr>
          <w:rFonts w:ascii="Times New Roman" w:hAnsi="Times New Roman" w:cs="Times New Roman"/>
        </w:rPr>
        <w:t>endorsement</w:t>
      </w:r>
      <w:r w:rsidRPr="00B86FA1">
        <w:rPr>
          <w:rFonts w:ascii="Times New Roman" w:hAnsi="Times New Roman" w:cs="Times New Roman"/>
        </w:rPr>
        <w:t xml:space="preserve"> of the scoping requirements.  This schedule is intended to facilitate the alignment of the proponent’s and DELWP’s timeframes, including for TRG review of technical studies for the EES and the main EES documentation.</w:t>
      </w:r>
    </w:p>
    <w:p w:rsidR="0006173B" w:rsidRPr="00B86FA1" w:rsidRDefault="0006173B" w:rsidP="0006173B">
      <w:pPr>
        <w:jc w:val="both"/>
        <w:rPr>
          <w:rFonts w:ascii="Times New Roman" w:hAnsi="Times New Roman" w:cs="Times New Roman"/>
        </w:rPr>
      </w:pPr>
      <w:r w:rsidRPr="00B86FA1">
        <w:rPr>
          <w:rFonts w:ascii="Times New Roman" w:hAnsi="Times New Roman" w:cs="Times New Roman"/>
        </w:rPr>
        <w:t>(viii)</w:t>
      </w:r>
      <w:r w:rsidRPr="00B86FA1">
        <w:rPr>
          <w:rFonts w:ascii="Times New Roman" w:hAnsi="Times New Roman" w:cs="Times New Roman"/>
        </w:rPr>
        <w:tab/>
        <w:t>The proponent is to apply appropriate peer review</w:t>
      </w:r>
      <w:r w:rsidR="00480A4E" w:rsidRPr="00B86FA1">
        <w:rPr>
          <w:rFonts w:ascii="Times New Roman" w:hAnsi="Times New Roman" w:cs="Times New Roman"/>
        </w:rPr>
        <w:t xml:space="preserve"> where necessary</w:t>
      </w:r>
      <w:r w:rsidRPr="00B86FA1">
        <w:rPr>
          <w:rFonts w:ascii="Times New Roman" w:hAnsi="Times New Roman" w:cs="Times New Roman"/>
        </w:rPr>
        <w:t xml:space="preserve"> and quality management procedures to enable the completion of EES studies to a satisfactory standard.</w:t>
      </w:r>
      <w:r w:rsidR="00886DA1" w:rsidRPr="00B86FA1">
        <w:rPr>
          <w:rFonts w:ascii="Times New Roman" w:hAnsi="Times New Roman" w:cs="Times New Roman"/>
        </w:rPr>
        <w:t xml:space="preserve"> </w:t>
      </w:r>
    </w:p>
    <w:p w:rsidR="0006173B" w:rsidRPr="00B86FA1" w:rsidRDefault="0006173B" w:rsidP="0006173B">
      <w:pPr>
        <w:jc w:val="both"/>
        <w:rPr>
          <w:rFonts w:ascii="Times New Roman" w:hAnsi="Times New Roman" w:cs="Times New Roman"/>
        </w:rPr>
      </w:pPr>
      <w:r w:rsidRPr="00B86FA1">
        <w:rPr>
          <w:rFonts w:ascii="Times New Roman" w:hAnsi="Times New Roman" w:cs="Times New Roman"/>
        </w:rPr>
        <w:t>(ix)</w:t>
      </w:r>
      <w:r w:rsidRPr="00B86FA1">
        <w:rPr>
          <w:rFonts w:ascii="Times New Roman" w:hAnsi="Times New Roman" w:cs="Times New Roman"/>
        </w:rPr>
        <w:tab/>
        <w:t>The EES is to be exhibited for a period of 30 business days for public comment, unless the exhibition period spans the Christmas–New Year period, in which case 40 business days will apply.</w:t>
      </w:r>
    </w:p>
    <w:p w:rsidR="0006173B" w:rsidRPr="0006173B" w:rsidRDefault="0006173B" w:rsidP="0006173B">
      <w:pPr>
        <w:jc w:val="both"/>
        <w:rPr>
          <w:rFonts w:ascii="Times New Roman" w:hAnsi="Times New Roman" w:cs="Times New Roman"/>
        </w:rPr>
      </w:pPr>
      <w:r w:rsidRPr="00B86FA1">
        <w:rPr>
          <w:rFonts w:ascii="Times New Roman" w:hAnsi="Times New Roman" w:cs="Times New Roman"/>
        </w:rPr>
        <w:t>(x)</w:t>
      </w:r>
      <w:r w:rsidRPr="00B86FA1">
        <w:rPr>
          <w:rFonts w:ascii="Times New Roman" w:hAnsi="Times New Roman" w:cs="Times New Roman"/>
        </w:rPr>
        <w:tab/>
        <w:t xml:space="preserve">An inquiry will be appointed under the </w:t>
      </w:r>
      <w:r w:rsidRPr="00B86FA1">
        <w:rPr>
          <w:rFonts w:ascii="Times New Roman" w:hAnsi="Times New Roman" w:cs="Times New Roman"/>
          <w:b/>
        </w:rPr>
        <w:t>Environment Effects Act 1978</w:t>
      </w:r>
      <w:r w:rsidRPr="00B86FA1">
        <w:rPr>
          <w:rFonts w:ascii="Times New Roman" w:hAnsi="Times New Roman" w:cs="Times New Roman"/>
        </w:rPr>
        <w:t xml:space="preserve"> to consider enviro</w:t>
      </w:r>
      <w:r w:rsidR="00432DED" w:rsidRPr="00B86FA1">
        <w:rPr>
          <w:rFonts w:ascii="Times New Roman" w:hAnsi="Times New Roman" w:cs="Times New Roman"/>
        </w:rPr>
        <w:t>nmental effects of the proposal.</w:t>
      </w:r>
    </w:p>
    <w:p w:rsidR="00B10E3C" w:rsidRDefault="00B10E3C" w:rsidP="00B10E3C">
      <w:pPr>
        <w:jc w:val="both"/>
        <w:rPr>
          <w:rFonts w:ascii="Times New Roman" w:hAnsi="Times New Roman" w:cs="Times New Roman"/>
        </w:rPr>
      </w:pPr>
      <w:r>
        <w:rPr>
          <w:rFonts w:ascii="Times New Roman" w:hAnsi="Times New Roman" w:cs="Times New Roman"/>
          <w:u w:val="single"/>
        </w:rPr>
        <w:t>Excluded works</w:t>
      </w:r>
    </w:p>
    <w:p w:rsidR="00B10E3C" w:rsidRPr="00D239A4" w:rsidRDefault="00B10E3C" w:rsidP="00B10E3C">
      <w:pPr>
        <w:jc w:val="both"/>
        <w:rPr>
          <w:rFonts w:ascii="Times New Roman" w:hAnsi="Times New Roman" w:cs="Times New Roman"/>
        </w:rPr>
      </w:pPr>
      <w:r>
        <w:rPr>
          <w:rFonts w:ascii="Times New Roman" w:hAnsi="Times New Roman" w:cs="Times New Roman"/>
        </w:rPr>
        <w:t>The works specified in Schedule 1 hereof are excluded from the declaration of “public works”.</w:t>
      </w:r>
    </w:p>
    <w:p w:rsidR="00B10E3C" w:rsidRPr="0006173B" w:rsidRDefault="00B10E3C" w:rsidP="00B10E3C">
      <w:pPr>
        <w:jc w:val="both"/>
        <w:rPr>
          <w:rFonts w:ascii="Times New Roman" w:hAnsi="Times New Roman" w:cs="Times New Roman"/>
        </w:rPr>
      </w:pPr>
    </w:p>
    <w:p w:rsidR="00B10E3C" w:rsidRPr="00E033AA" w:rsidRDefault="00B10E3C" w:rsidP="00B10E3C">
      <w:pPr>
        <w:jc w:val="both"/>
        <w:rPr>
          <w:rFonts w:ascii="Times New Roman" w:hAnsi="Times New Roman" w:cs="Times New Roman"/>
          <w:b/>
        </w:rPr>
      </w:pPr>
      <w:r w:rsidRPr="00E033AA">
        <w:rPr>
          <w:rFonts w:ascii="Times New Roman" w:hAnsi="Times New Roman" w:cs="Times New Roman"/>
          <w:b/>
        </w:rPr>
        <w:t>Hon Richard Wynne MP</w:t>
      </w:r>
    </w:p>
    <w:p w:rsidR="00B10E3C" w:rsidRDefault="00B10E3C" w:rsidP="00B10E3C">
      <w:pPr>
        <w:jc w:val="both"/>
        <w:rPr>
          <w:rFonts w:ascii="Times New Roman" w:hAnsi="Times New Roman" w:cs="Times New Roman"/>
          <w:b/>
        </w:rPr>
      </w:pPr>
      <w:r w:rsidRPr="00E033AA">
        <w:rPr>
          <w:rFonts w:ascii="Times New Roman" w:hAnsi="Times New Roman" w:cs="Times New Roman"/>
          <w:b/>
        </w:rPr>
        <w:t>Minister for Planning</w:t>
      </w:r>
    </w:p>
    <w:p w:rsidR="00B10E3C" w:rsidRDefault="00B10E3C" w:rsidP="00B10E3C">
      <w:pPr>
        <w:jc w:val="both"/>
        <w:rPr>
          <w:rFonts w:ascii="Times New Roman" w:hAnsi="Times New Roman" w:cs="Times New Roman"/>
          <w:b/>
        </w:rPr>
      </w:pPr>
      <w:r w:rsidRPr="00E033AA">
        <w:rPr>
          <w:rFonts w:ascii="Times New Roman" w:hAnsi="Times New Roman" w:cs="Times New Roman"/>
          <w:b/>
        </w:rPr>
        <w:t>Date:</w:t>
      </w:r>
    </w:p>
    <w:p w:rsidR="00B10E3C" w:rsidRPr="002E442E" w:rsidRDefault="00B10E3C" w:rsidP="00B10E3C">
      <w:pPr>
        <w:jc w:val="center"/>
        <w:rPr>
          <w:rFonts w:ascii="Times New Roman" w:hAnsi="Times New Roman" w:cs="Times New Roman"/>
          <w:b/>
        </w:rPr>
      </w:pPr>
      <w:r w:rsidRPr="002E442E">
        <w:rPr>
          <w:rFonts w:ascii="Times New Roman" w:hAnsi="Times New Roman" w:cs="Times New Roman"/>
          <w:b/>
        </w:rPr>
        <w:lastRenderedPageBreak/>
        <w:t xml:space="preserve">SCHEDULE </w:t>
      </w:r>
      <w:r>
        <w:rPr>
          <w:rFonts w:ascii="Times New Roman" w:hAnsi="Times New Roman" w:cs="Times New Roman"/>
          <w:b/>
        </w:rPr>
        <w:t>1</w:t>
      </w:r>
    </w:p>
    <w:p w:rsidR="00B10E3C" w:rsidRDefault="00B10E3C" w:rsidP="00B10E3C">
      <w:pPr>
        <w:jc w:val="center"/>
        <w:rPr>
          <w:rFonts w:ascii="Times New Roman" w:hAnsi="Times New Roman" w:cs="Times New Roman"/>
          <w:b/>
        </w:rPr>
      </w:pPr>
      <w:r>
        <w:rPr>
          <w:rFonts w:ascii="Times New Roman" w:hAnsi="Times New Roman" w:cs="Times New Roman"/>
          <w:b/>
        </w:rPr>
        <w:t>Excluded works</w:t>
      </w:r>
    </w:p>
    <w:p w:rsidR="00B10E3C" w:rsidRPr="000171FE" w:rsidRDefault="00B10E3C" w:rsidP="00B10E3C">
      <w:pPr>
        <w:rPr>
          <w:rFonts w:ascii="Times New Roman" w:hAnsi="Times New Roman" w:cs="Times New Roman"/>
        </w:rPr>
      </w:pPr>
      <w:r>
        <w:rPr>
          <w:rFonts w:ascii="Times New Roman" w:hAnsi="Times New Roman" w:cs="Times New Roman"/>
        </w:rPr>
        <w:t>The following preliminary works</w:t>
      </w:r>
      <w:r w:rsidRPr="000171FE">
        <w:rPr>
          <w:rFonts w:ascii="Times New Roman" w:hAnsi="Times New Roman" w:cs="Times New Roman"/>
        </w:rPr>
        <w:t>:</w:t>
      </w:r>
    </w:p>
    <w:p w:rsidR="00B10E3C" w:rsidRPr="004E2FAF" w:rsidRDefault="00B10E3C" w:rsidP="00B10E3C">
      <w:pPr>
        <w:pStyle w:val="ListParagraph"/>
        <w:numPr>
          <w:ilvl w:val="0"/>
          <w:numId w:val="12"/>
        </w:numPr>
        <w:jc w:val="both"/>
        <w:rPr>
          <w:rFonts w:ascii="Times New Roman" w:hAnsi="Times New Roman" w:cs="Times New Roman"/>
        </w:rPr>
      </w:pPr>
      <w:r w:rsidRPr="004E2FAF">
        <w:rPr>
          <w:rFonts w:ascii="Times New Roman" w:hAnsi="Times New Roman" w:cs="Times New Roman"/>
        </w:rPr>
        <w:t>Design and investigation activities and works associated with designing the Project and assessing its impacts through the Environment Effects Statement process.</w:t>
      </w:r>
    </w:p>
    <w:p w:rsidR="00E033AA" w:rsidRDefault="00E033AA" w:rsidP="00B10E3C">
      <w:pPr>
        <w:jc w:val="both"/>
        <w:rPr>
          <w:rFonts w:ascii="Times New Roman" w:hAnsi="Times New Roman" w:cs="Times New Roman"/>
          <w:b/>
        </w:rPr>
      </w:pPr>
    </w:p>
    <w:p w:rsidR="003C196C" w:rsidRPr="00E033AA" w:rsidRDefault="003C196C" w:rsidP="00B10E3C">
      <w:pPr>
        <w:jc w:val="both"/>
        <w:rPr>
          <w:rFonts w:ascii="Times New Roman" w:hAnsi="Times New Roman" w:cs="Times New Roman"/>
          <w:b/>
        </w:rPr>
      </w:pPr>
    </w:p>
    <w:sectPr w:rsidR="003C196C" w:rsidRPr="00E033AA" w:rsidSect="0006173B">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8BD"/>
    <w:multiLevelType w:val="hybridMultilevel"/>
    <w:tmpl w:val="A19C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CF60C6"/>
    <w:multiLevelType w:val="hybridMultilevel"/>
    <w:tmpl w:val="A8CAC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89B63CE"/>
    <w:multiLevelType w:val="hybridMultilevel"/>
    <w:tmpl w:val="4358F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051ACB"/>
    <w:multiLevelType w:val="hybridMultilevel"/>
    <w:tmpl w:val="062056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A710891"/>
    <w:multiLevelType w:val="hybridMultilevel"/>
    <w:tmpl w:val="E4E60FFE"/>
    <w:lvl w:ilvl="0" w:tplc="1D8AC1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C825EAB"/>
    <w:multiLevelType w:val="hybridMultilevel"/>
    <w:tmpl w:val="FD84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4143CC"/>
    <w:multiLevelType w:val="hybridMultilevel"/>
    <w:tmpl w:val="76C01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1C211A"/>
    <w:multiLevelType w:val="hybridMultilevel"/>
    <w:tmpl w:val="84368B36"/>
    <w:lvl w:ilvl="0" w:tplc="3A38CE28">
      <w:start w:val="1"/>
      <w:numFmt w:val="lowerRoman"/>
      <w:lvlText w:val="(%1)"/>
      <w:lvlJc w:val="left"/>
      <w:pPr>
        <w:ind w:left="1854"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5247D82"/>
    <w:multiLevelType w:val="hybridMultilevel"/>
    <w:tmpl w:val="65D406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6D14793"/>
    <w:multiLevelType w:val="hybridMultilevel"/>
    <w:tmpl w:val="250C81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AD024F8"/>
    <w:multiLevelType w:val="hybridMultilevel"/>
    <w:tmpl w:val="EA263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C2B3039"/>
    <w:multiLevelType w:val="hybridMultilevel"/>
    <w:tmpl w:val="5FA82DE6"/>
    <w:lvl w:ilvl="0" w:tplc="0C09001B">
      <w:start w:val="1"/>
      <w:numFmt w:val="lowerRoman"/>
      <w:lvlText w:val="%1."/>
      <w:lvlJc w:val="right"/>
      <w:pPr>
        <w:tabs>
          <w:tab w:val="num" w:pos="1080"/>
        </w:tabs>
        <w:ind w:left="1080" w:hanging="360"/>
      </w:pPr>
      <w:rPr>
        <w:rFonts w:hint="default"/>
      </w:rPr>
    </w:lvl>
    <w:lvl w:ilvl="1" w:tplc="0C090019">
      <w:start w:val="1"/>
      <w:numFmt w:val="lowerLetter"/>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1"/>
  </w:num>
  <w:num w:numId="6">
    <w:abstractNumId w:val="1"/>
  </w:num>
  <w:num w:numId="7">
    <w:abstractNumId w:val="10"/>
  </w:num>
  <w:num w:numId="8">
    <w:abstractNumId w:val="3"/>
  </w:num>
  <w:num w:numId="9">
    <w:abstractNumId w:val="6"/>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3B"/>
    <w:rsid w:val="000156C5"/>
    <w:rsid w:val="000247B5"/>
    <w:rsid w:val="00040F33"/>
    <w:rsid w:val="0006173B"/>
    <w:rsid w:val="00062953"/>
    <w:rsid w:val="000668B1"/>
    <w:rsid w:val="00091D7A"/>
    <w:rsid w:val="000924D0"/>
    <w:rsid w:val="000A396C"/>
    <w:rsid w:val="000A4EAD"/>
    <w:rsid w:val="000A5B37"/>
    <w:rsid w:val="000D5DD0"/>
    <w:rsid w:val="000F3751"/>
    <w:rsid w:val="00142ED1"/>
    <w:rsid w:val="001613BE"/>
    <w:rsid w:val="00164945"/>
    <w:rsid w:val="00177BF3"/>
    <w:rsid w:val="001A567E"/>
    <w:rsid w:val="00227F42"/>
    <w:rsid w:val="00256EE3"/>
    <w:rsid w:val="00284316"/>
    <w:rsid w:val="00307915"/>
    <w:rsid w:val="00326498"/>
    <w:rsid w:val="00372BE6"/>
    <w:rsid w:val="003846FE"/>
    <w:rsid w:val="003A5748"/>
    <w:rsid w:val="003C196C"/>
    <w:rsid w:val="00432DED"/>
    <w:rsid w:val="00437563"/>
    <w:rsid w:val="0043765A"/>
    <w:rsid w:val="00480A4E"/>
    <w:rsid w:val="00494688"/>
    <w:rsid w:val="004977AD"/>
    <w:rsid w:val="004C3D48"/>
    <w:rsid w:val="004C7BED"/>
    <w:rsid w:val="004D0850"/>
    <w:rsid w:val="00525AAD"/>
    <w:rsid w:val="005401D5"/>
    <w:rsid w:val="00561475"/>
    <w:rsid w:val="005772A8"/>
    <w:rsid w:val="00593416"/>
    <w:rsid w:val="005B18DB"/>
    <w:rsid w:val="005B68D5"/>
    <w:rsid w:val="005F29C0"/>
    <w:rsid w:val="00623FEA"/>
    <w:rsid w:val="00624A0D"/>
    <w:rsid w:val="0064554C"/>
    <w:rsid w:val="00645B92"/>
    <w:rsid w:val="006569C2"/>
    <w:rsid w:val="006741AD"/>
    <w:rsid w:val="00696601"/>
    <w:rsid w:val="00697029"/>
    <w:rsid w:val="006B7E37"/>
    <w:rsid w:val="006C7083"/>
    <w:rsid w:val="006D2E93"/>
    <w:rsid w:val="006E269A"/>
    <w:rsid w:val="007133F5"/>
    <w:rsid w:val="007145DB"/>
    <w:rsid w:val="007332EE"/>
    <w:rsid w:val="00734502"/>
    <w:rsid w:val="0073535B"/>
    <w:rsid w:val="00735F32"/>
    <w:rsid w:val="00754A64"/>
    <w:rsid w:val="007D3C6B"/>
    <w:rsid w:val="007D6EC3"/>
    <w:rsid w:val="007E6089"/>
    <w:rsid w:val="007F6371"/>
    <w:rsid w:val="0082414F"/>
    <w:rsid w:val="00836E60"/>
    <w:rsid w:val="0084503B"/>
    <w:rsid w:val="00851113"/>
    <w:rsid w:val="00864E0F"/>
    <w:rsid w:val="00886DA1"/>
    <w:rsid w:val="008D3533"/>
    <w:rsid w:val="008E1D26"/>
    <w:rsid w:val="008E45B7"/>
    <w:rsid w:val="00942F76"/>
    <w:rsid w:val="00991C1B"/>
    <w:rsid w:val="009B4813"/>
    <w:rsid w:val="009D5A50"/>
    <w:rsid w:val="00A405DD"/>
    <w:rsid w:val="00A82F07"/>
    <w:rsid w:val="00AD4D5E"/>
    <w:rsid w:val="00AD67FD"/>
    <w:rsid w:val="00AF763A"/>
    <w:rsid w:val="00B0436B"/>
    <w:rsid w:val="00B10E3C"/>
    <w:rsid w:val="00B20ECB"/>
    <w:rsid w:val="00B2151A"/>
    <w:rsid w:val="00B841CB"/>
    <w:rsid w:val="00B86FA1"/>
    <w:rsid w:val="00BA0D86"/>
    <w:rsid w:val="00BB056E"/>
    <w:rsid w:val="00C01838"/>
    <w:rsid w:val="00C01F83"/>
    <w:rsid w:val="00C3524A"/>
    <w:rsid w:val="00C67407"/>
    <w:rsid w:val="00CB5211"/>
    <w:rsid w:val="00CF3B49"/>
    <w:rsid w:val="00D40836"/>
    <w:rsid w:val="00D735AF"/>
    <w:rsid w:val="00DA2B3F"/>
    <w:rsid w:val="00DB070A"/>
    <w:rsid w:val="00DC1423"/>
    <w:rsid w:val="00DF14B5"/>
    <w:rsid w:val="00E033AA"/>
    <w:rsid w:val="00E161D7"/>
    <w:rsid w:val="00E2247F"/>
    <w:rsid w:val="00E255D3"/>
    <w:rsid w:val="00E55867"/>
    <w:rsid w:val="00E83C70"/>
    <w:rsid w:val="00EB39F8"/>
    <w:rsid w:val="00EB5AF5"/>
    <w:rsid w:val="00F111C2"/>
    <w:rsid w:val="00F474BD"/>
    <w:rsid w:val="00F93077"/>
    <w:rsid w:val="00FB3E19"/>
    <w:rsid w:val="00FB73E5"/>
    <w:rsid w:val="00FD2C74"/>
    <w:rsid w:val="00FD556B"/>
    <w:rsid w:val="00FE2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3B"/>
    <w:pPr>
      <w:ind w:left="720"/>
      <w:contextualSpacing/>
    </w:pPr>
  </w:style>
  <w:style w:type="paragraph" w:customStyle="1" w:styleId="bodyCopy">
    <w:name w:val="#  body Copy"/>
    <w:basedOn w:val="Normal"/>
    <w:rsid w:val="00DB070A"/>
    <w:pPr>
      <w:spacing w:before="120" w:line="240" w:lineRule="auto"/>
    </w:pPr>
    <w:rPr>
      <w:rFonts w:ascii="Tahoma" w:eastAsia="Times New Roman" w:hAnsi="Tahoma" w:cs="Times New Roman"/>
      <w:color w:val="000000"/>
      <w:sz w:val="20"/>
      <w:szCs w:val="20"/>
      <w:lang w:eastAsia="en-US"/>
    </w:rPr>
  </w:style>
  <w:style w:type="paragraph" w:styleId="BalloonText">
    <w:name w:val="Balloon Text"/>
    <w:basedOn w:val="Normal"/>
    <w:link w:val="BalloonTextChar"/>
    <w:uiPriority w:val="99"/>
    <w:semiHidden/>
    <w:unhideWhenUsed/>
    <w:rsid w:val="00525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3B"/>
    <w:pPr>
      <w:ind w:left="720"/>
      <w:contextualSpacing/>
    </w:pPr>
  </w:style>
  <w:style w:type="paragraph" w:customStyle="1" w:styleId="bodyCopy">
    <w:name w:val="#  body Copy"/>
    <w:basedOn w:val="Normal"/>
    <w:rsid w:val="00DB070A"/>
    <w:pPr>
      <w:spacing w:before="120" w:line="240" w:lineRule="auto"/>
    </w:pPr>
    <w:rPr>
      <w:rFonts w:ascii="Tahoma" w:eastAsia="Times New Roman" w:hAnsi="Tahoma" w:cs="Times New Roman"/>
      <w:color w:val="000000"/>
      <w:sz w:val="20"/>
      <w:szCs w:val="20"/>
      <w:lang w:eastAsia="en-US"/>
    </w:rPr>
  </w:style>
  <w:style w:type="paragraph" w:styleId="BalloonText">
    <w:name w:val="Balloon Text"/>
    <w:basedOn w:val="Normal"/>
    <w:link w:val="BalloonTextChar"/>
    <w:uiPriority w:val="99"/>
    <w:semiHidden/>
    <w:unhideWhenUsed/>
    <w:rsid w:val="00525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1A7A-FB7F-4D0A-BE61-1BBA8DF5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eb41</dc:creator>
  <cp:lastModifiedBy>mk43</cp:lastModifiedBy>
  <cp:revision>2</cp:revision>
  <cp:lastPrinted>2015-12-03T00:45:00Z</cp:lastPrinted>
  <dcterms:created xsi:type="dcterms:W3CDTF">2015-12-22T05:05:00Z</dcterms:created>
  <dcterms:modified xsi:type="dcterms:W3CDTF">2015-12-22T05:05:00Z</dcterms:modified>
</cp:coreProperties>
</file>